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952BEA" w14:textId="77777777" w:rsidR="00575022" w:rsidRPr="008E2EB9" w:rsidRDefault="00575022" w:rsidP="00B619C5">
      <w:pPr>
        <w:spacing w:line="480" w:lineRule="auto"/>
        <w:rPr>
          <w:rFonts w:eastAsia="Times New Roman"/>
          <w:b/>
          <w:iCs/>
        </w:rPr>
      </w:pPr>
      <w:r w:rsidRPr="008E2EB9">
        <w:rPr>
          <w:rFonts w:eastAsia="Times New Roman"/>
          <w:b/>
        </w:rPr>
        <w:t>Title</w:t>
      </w:r>
    </w:p>
    <w:p w14:paraId="13C28FFE" w14:textId="77777777" w:rsidR="00575022" w:rsidRPr="008E2EB9" w:rsidRDefault="00575022" w:rsidP="00B619C5">
      <w:pPr>
        <w:spacing w:line="480" w:lineRule="auto"/>
      </w:pPr>
      <w:r>
        <w:t xml:space="preserve"> Association of initial</w:t>
      </w:r>
      <w:r w:rsidRPr="008E2EB9">
        <w:t xml:space="preserve"> disease-modifying therap</w:t>
      </w:r>
      <w:r>
        <w:t>y</w:t>
      </w:r>
      <w:r w:rsidRPr="008E2EB9">
        <w:t xml:space="preserve"> </w:t>
      </w:r>
      <w:r>
        <w:t>with</w:t>
      </w:r>
      <w:r w:rsidRPr="008E2EB9">
        <w:t xml:space="preserve"> conversion to secondary progressive multiple sclerosis</w:t>
      </w:r>
      <w:r>
        <w:t xml:space="preserve"> among patients with relapsing-remitting multiple sclerosis.</w:t>
      </w:r>
    </w:p>
    <w:p w14:paraId="2A1AD0E7" w14:textId="77777777" w:rsidR="00575022" w:rsidRPr="008E2EB9" w:rsidRDefault="00575022" w:rsidP="00B619C5">
      <w:pPr>
        <w:spacing w:line="480" w:lineRule="auto"/>
        <w:rPr>
          <w:b/>
        </w:rPr>
      </w:pPr>
    </w:p>
    <w:p w14:paraId="61CCE849" w14:textId="77777777" w:rsidR="00575022" w:rsidRPr="008E2EB9" w:rsidRDefault="00575022" w:rsidP="00B619C5">
      <w:pPr>
        <w:spacing w:line="480" w:lineRule="auto"/>
        <w:rPr>
          <w:b/>
        </w:rPr>
      </w:pPr>
      <w:r w:rsidRPr="008E2EB9">
        <w:rPr>
          <w:b/>
        </w:rPr>
        <w:t>Authors and affiliations</w:t>
      </w:r>
    </w:p>
    <w:p w14:paraId="26C2241E" w14:textId="10247D35" w:rsidR="00384C27" w:rsidRPr="009E1930" w:rsidRDefault="00575022" w:rsidP="00E65456">
      <w:pPr>
        <w:spacing w:line="480" w:lineRule="auto"/>
        <w:rPr>
          <w:lang w:val="en-US"/>
        </w:rPr>
      </w:pPr>
      <w:r w:rsidRPr="00697D58">
        <w:rPr>
          <w:lang w:val="en-US"/>
        </w:rPr>
        <w:t>J William L Brown*, MRCP</w:t>
      </w:r>
      <w:r w:rsidR="003C29A0" w:rsidRPr="00A7311A">
        <w:rPr>
          <w:vertAlign w:val="superscript"/>
          <w:lang w:val="en-US"/>
        </w:rPr>
        <w:t>1</w:t>
      </w:r>
      <w:r w:rsidR="003C29A0">
        <w:rPr>
          <w:vertAlign w:val="superscript"/>
          <w:lang w:val="en-US"/>
        </w:rPr>
        <w:t>-3</w:t>
      </w:r>
      <w:r w:rsidRPr="00697D58">
        <w:rPr>
          <w:lang w:val="en-US"/>
        </w:rPr>
        <w:t xml:space="preserve">; </w:t>
      </w:r>
      <w:r w:rsidR="003C29A0" w:rsidRPr="00697D58">
        <w:rPr>
          <w:lang w:val="en-US"/>
        </w:rPr>
        <w:t>Alasdair Coles*, PhD</w:t>
      </w:r>
      <w:r w:rsidR="003C29A0" w:rsidRPr="00A7311A">
        <w:rPr>
          <w:vertAlign w:val="superscript"/>
          <w:lang w:val="en-US"/>
        </w:rPr>
        <w:t>1</w:t>
      </w:r>
      <w:r w:rsidR="003C29A0">
        <w:rPr>
          <w:lang w:val="en-US"/>
        </w:rPr>
        <w:t>;</w:t>
      </w:r>
      <w:r w:rsidR="003C29A0" w:rsidRPr="003C29A0">
        <w:rPr>
          <w:lang w:val="en-US"/>
        </w:rPr>
        <w:t xml:space="preserve"> </w:t>
      </w:r>
      <w:r w:rsidR="003C29A0">
        <w:rPr>
          <w:lang w:val="en-US"/>
        </w:rPr>
        <w:t xml:space="preserve">Dana </w:t>
      </w:r>
      <w:proofErr w:type="spellStart"/>
      <w:r w:rsidR="003C29A0">
        <w:rPr>
          <w:lang w:val="en-US"/>
        </w:rPr>
        <w:t>Horakova</w:t>
      </w:r>
      <w:proofErr w:type="spellEnd"/>
      <w:r w:rsidR="003C29A0">
        <w:rPr>
          <w:lang w:val="en-US"/>
        </w:rPr>
        <w:t>,</w:t>
      </w:r>
      <w:r w:rsidR="003C29A0" w:rsidRPr="00697D58">
        <w:rPr>
          <w:lang w:val="en-US"/>
        </w:rPr>
        <w:t xml:space="preserve"> PhD</w:t>
      </w:r>
      <w:r w:rsidR="003C29A0" w:rsidRPr="00AB648C">
        <w:rPr>
          <w:vertAlign w:val="superscript"/>
          <w:lang w:val="en-US"/>
        </w:rPr>
        <w:t>4</w:t>
      </w:r>
      <w:r w:rsidR="003C29A0">
        <w:rPr>
          <w:vertAlign w:val="superscript"/>
          <w:lang w:val="en-US"/>
        </w:rPr>
        <w:t>,5</w:t>
      </w:r>
      <w:r w:rsidR="003C29A0" w:rsidRPr="00697D58">
        <w:rPr>
          <w:lang w:val="en-US"/>
        </w:rPr>
        <w:t>;</w:t>
      </w:r>
      <w:r w:rsidR="003C29A0" w:rsidRPr="003C29A0">
        <w:rPr>
          <w:lang w:val="en-US"/>
        </w:rPr>
        <w:t xml:space="preserve"> </w:t>
      </w:r>
      <w:r w:rsidR="003C29A0">
        <w:rPr>
          <w:lang w:val="en-US"/>
        </w:rPr>
        <w:t xml:space="preserve">Eva </w:t>
      </w:r>
      <w:proofErr w:type="spellStart"/>
      <w:r w:rsidR="003C29A0">
        <w:rPr>
          <w:lang w:val="en-US"/>
        </w:rPr>
        <w:t>Havrdova</w:t>
      </w:r>
      <w:proofErr w:type="spellEnd"/>
      <w:r w:rsidR="003C29A0">
        <w:rPr>
          <w:lang w:val="en-US"/>
        </w:rPr>
        <w:t>,</w:t>
      </w:r>
      <w:r w:rsidR="003C29A0" w:rsidRPr="00697D58">
        <w:rPr>
          <w:lang w:val="en-US"/>
        </w:rPr>
        <w:t xml:space="preserve"> PhD</w:t>
      </w:r>
      <w:r w:rsidR="003C29A0" w:rsidRPr="00A7311A">
        <w:rPr>
          <w:vertAlign w:val="superscript"/>
          <w:lang w:val="en-US"/>
        </w:rPr>
        <w:t>4</w:t>
      </w:r>
      <w:r w:rsidR="003C29A0">
        <w:rPr>
          <w:vertAlign w:val="superscript"/>
          <w:lang w:val="en-US"/>
        </w:rPr>
        <w:t>,5</w:t>
      </w:r>
      <w:r w:rsidR="003C29A0" w:rsidRPr="00697D58">
        <w:rPr>
          <w:lang w:val="en-US"/>
        </w:rPr>
        <w:t xml:space="preserve">; Guillermo </w:t>
      </w:r>
      <w:proofErr w:type="spellStart"/>
      <w:r w:rsidR="003C29A0" w:rsidRPr="00697D58">
        <w:rPr>
          <w:lang w:val="en-US"/>
        </w:rPr>
        <w:t>Izquierdo</w:t>
      </w:r>
      <w:proofErr w:type="spellEnd"/>
      <w:r w:rsidR="003C29A0" w:rsidRPr="00697D58">
        <w:rPr>
          <w:lang w:val="en-US"/>
        </w:rPr>
        <w:t>, MD</w:t>
      </w:r>
      <w:r w:rsidR="003C29A0">
        <w:rPr>
          <w:vertAlign w:val="superscript"/>
          <w:lang w:val="en-US"/>
        </w:rPr>
        <w:t>6</w:t>
      </w:r>
      <w:r w:rsidR="003C29A0" w:rsidRPr="00697D58">
        <w:rPr>
          <w:lang w:val="en-US"/>
        </w:rPr>
        <w:t>;</w:t>
      </w:r>
      <w:r w:rsidR="003C29A0" w:rsidRPr="003C29A0">
        <w:rPr>
          <w:lang w:val="en-US"/>
        </w:rPr>
        <w:t xml:space="preserve"> </w:t>
      </w:r>
      <w:r w:rsidR="003C29A0">
        <w:rPr>
          <w:lang w:val="en-US"/>
        </w:rPr>
        <w:t xml:space="preserve">Alexandre Prat, </w:t>
      </w:r>
      <w:r w:rsidR="003C29A0" w:rsidRPr="00697D58">
        <w:rPr>
          <w:lang w:val="en-US"/>
        </w:rPr>
        <w:t>PhD</w:t>
      </w:r>
      <w:r w:rsidR="003C29A0" w:rsidRPr="00AB648C">
        <w:rPr>
          <w:vertAlign w:val="superscript"/>
          <w:lang w:val="en-US"/>
        </w:rPr>
        <w:t>7</w:t>
      </w:r>
      <w:r w:rsidR="003C29A0">
        <w:rPr>
          <w:vertAlign w:val="superscript"/>
          <w:lang w:val="en-US"/>
        </w:rPr>
        <w:t>,8</w:t>
      </w:r>
      <w:r w:rsidR="003C29A0" w:rsidRPr="00697D58">
        <w:rPr>
          <w:lang w:val="en-US"/>
        </w:rPr>
        <w:t>;</w:t>
      </w:r>
      <w:r w:rsidR="003C29A0" w:rsidRPr="003C29A0">
        <w:rPr>
          <w:lang w:val="en-US"/>
        </w:rPr>
        <w:t xml:space="preserve"> </w:t>
      </w:r>
      <w:r w:rsidR="003C29A0" w:rsidRPr="00697D58">
        <w:rPr>
          <w:lang w:val="en-US"/>
        </w:rPr>
        <w:t>Marc Girard, MD</w:t>
      </w:r>
      <w:r w:rsidR="003C29A0" w:rsidRPr="00AB648C">
        <w:rPr>
          <w:vertAlign w:val="superscript"/>
          <w:lang w:val="en-US"/>
        </w:rPr>
        <w:t>7,8</w:t>
      </w:r>
      <w:r w:rsidR="003C29A0" w:rsidRPr="00697D58">
        <w:rPr>
          <w:lang w:val="en-US"/>
        </w:rPr>
        <w:t>;</w:t>
      </w:r>
      <w:r w:rsidR="00FA0974" w:rsidRPr="00FA0974">
        <w:rPr>
          <w:lang w:val="en-US"/>
        </w:rPr>
        <w:t xml:space="preserve"> </w:t>
      </w:r>
      <w:r w:rsidR="00FA0974" w:rsidRPr="00697D58">
        <w:rPr>
          <w:lang w:val="en-US"/>
        </w:rPr>
        <w:t>Pierre Duquette, MD</w:t>
      </w:r>
      <w:r w:rsidR="00FA0974" w:rsidRPr="00A7311A">
        <w:rPr>
          <w:vertAlign w:val="superscript"/>
          <w:lang w:val="en-US"/>
        </w:rPr>
        <w:t>7,8</w:t>
      </w:r>
      <w:r w:rsidR="00FA0974" w:rsidRPr="00697D58">
        <w:rPr>
          <w:lang w:val="en-US"/>
        </w:rPr>
        <w:t>;</w:t>
      </w:r>
      <w:r w:rsidR="00FA0974">
        <w:rPr>
          <w:lang w:val="en-US"/>
        </w:rPr>
        <w:t xml:space="preserve"> </w:t>
      </w:r>
      <w:r w:rsidR="00FA0974" w:rsidRPr="00697D58">
        <w:rPr>
          <w:lang w:val="en-US"/>
        </w:rPr>
        <w:t xml:space="preserve">Maria </w:t>
      </w:r>
      <w:proofErr w:type="spellStart"/>
      <w:r w:rsidR="00FA0974" w:rsidRPr="00697D58">
        <w:rPr>
          <w:lang w:val="en-US"/>
        </w:rPr>
        <w:t>Trojano</w:t>
      </w:r>
      <w:proofErr w:type="spellEnd"/>
      <w:r w:rsidR="00FA0974" w:rsidRPr="00697D58">
        <w:rPr>
          <w:lang w:val="en-US"/>
        </w:rPr>
        <w:t>, MD</w:t>
      </w:r>
      <w:r w:rsidR="00FA0974" w:rsidRPr="00AB648C">
        <w:rPr>
          <w:vertAlign w:val="superscript"/>
          <w:lang w:val="en-US"/>
        </w:rPr>
        <w:t>9</w:t>
      </w:r>
      <w:r w:rsidR="00FA0974" w:rsidRPr="00697D58">
        <w:rPr>
          <w:lang w:val="en-US"/>
        </w:rPr>
        <w:t>;</w:t>
      </w:r>
      <w:r w:rsidR="00FA0974">
        <w:rPr>
          <w:lang w:val="en-US"/>
        </w:rPr>
        <w:t xml:space="preserve"> </w:t>
      </w:r>
      <w:r w:rsidR="00FA0974" w:rsidRPr="00697D58">
        <w:rPr>
          <w:lang w:val="en-US"/>
        </w:rPr>
        <w:t xml:space="preserve">Alessandra </w:t>
      </w:r>
      <w:proofErr w:type="spellStart"/>
      <w:r w:rsidR="00FA0974" w:rsidRPr="00697D58">
        <w:rPr>
          <w:lang w:val="en-US"/>
        </w:rPr>
        <w:t>Lugaresi</w:t>
      </w:r>
      <w:proofErr w:type="spellEnd"/>
      <w:r w:rsidR="00FA0974" w:rsidRPr="00697D58">
        <w:rPr>
          <w:lang w:val="en-US"/>
        </w:rPr>
        <w:t>, PhD</w:t>
      </w:r>
      <w:r w:rsidR="00FA0974" w:rsidRPr="00AB648C">
        <w:rPr>
          <w:vertAlign w:val="superscript"/>
          <w:lang w:val="en-US"/>
        </w:rPr>
        <w:t>10</w:t>
      </w:r>
      <w:r w:rsidR="00FA0974">
        <w:rPr>
          <w:lang w:val="en-US"/>
        </w:rPr>
        <w:t xml:space="preserve">; </w:t>
      </w:r>
      <w:r w:rsidR="00FA0974" w:rsidRPr="00697D58">
        <w:rPr>
          <w:lang w:val="en-US"/>
        </w:rPr>
        <w:t>Roberto Bergamaschi, MD</w:t>
      </w:r>
      <w:r w:rsidR="00FA0974" w:rsidRPr="00A7311A">
        <w:rPr>
          <w:vertAlign w:val="superscript"/>
          <w:lang w:val="en-US"/>
        </w:rPr>
        <w:t>11</w:t>
      </w:r>
      <w:r w:rsidR="00FA0974" w:rsidRPr="00697D58">
        <w:rPr>
          <w:lang w:val="en-US"/>
        </w:rPr>
        <w:t>;</w:t>
      </w:r>
      <w:r w:rsidR="00FA0974">
        <w:rPr>
          <w:lang w:val="en-US"/>
        </w:rPr>
        <w:t xml:space="preserve"> </w:t>
      </w:r>
      <w:r w:rsidR="008F0933" w:rsidRPr="00697D58">
        <w:rPr>
          <w:lang w:val="en-US"/>
        </w:rPr>
        <w:t xml:space="preserve">Pierre </w:t>
      </w:r>
      <w:proofErr w:type="spellStart"/>
      <w:r w:rsidR="008F0933" w:rsidRPr="00697D58">
        <w:rPr>
          <w:lang w:val="en-US"/>
        </w:rPr>
        <w:t>Grammond</w:t>
      </w:r>
      <w:proofErr w:type="spellEnd"/>
      <w:r w:rsidR="008F0933" w:rsidRPr="00697D58">
        <w:rPr>
          <w:lang w:val="en-US"/>
        </w:rPr>
        <w:t>, MD</w:t>
      </w:r>
      <w:r w:rsidR="008F0933" w:rsidRPr="00AB648C">
        <w:rPr>
          <w:vertAlign w:val="superscript"/>
          <w:lang w:val="en-US"/>
        </w:rPr>
        <w:t>12</w:t>
      </w:r>
      <w:r w:rsidR="008F0933" w:rsidRPr="00697D58">
        <w:rPr>
          <w:lang w:val="en-US"/>
        </w:rPr>
        <w:t>;</w:t>
      </w:r>
      <w:r w:rsidR="008F0933">
        <w:rPr>
          <w:lang w:val="en-US"/>
        </w:rPr>
        <w:t xml:space="preserve"> </w:t>
      </w:r>
      <w:proofErr w:type="spellStart"/>
      <w:r w:rsidR="008F0933" w:rsidRPr="00697D58">
        <w:rPr>
          <w:lang w:val="en-US"/>
        </w:rPr>
        <w:t>Raed</w:t>
      </w:r>
      <w:proofErr w:type="spellEnd"/>
      <w:r w:rsidR="008F0933" w:rsidRPr="00697D58">
        <w:rPr>
          <w:lang w:val="en-US"/>
        </w:rPr>
        <w:t xml:space="preserve"> </w:t>
      </w:r>
      <w:proofErr w:type="spellStart"/>
      <w:r w:rsidR="008F0933" w:rsidRPr="00697D58">
        <w:rPr>
          <w:lang w:val="en-US"/>
        </w:rPr>
        <w:t>Alroughani</w:t>
      </w:r>
      <w:proofErr w:type="spellEnd"/>
      <w:r w:rsidR="008F0933" w:rsidRPr="00697D58">
        <w:rPr>
          <w:lang w:val="en-US"/>
        </w:rPr>
        <w:t>, MD</w:t>
      </w:r>
      <w:r w:rsidR="008F0933" w:rsidRPr="00AB648C">
        <w:rPr>
          <w:vertAlign w:val="superscript"/>
          <w:lang w:val="en-US"/>
        </w:rPr>
        <w:t>13</w:t>
      </w:r>
      <w:r w:rsidR="008F0933" w:rsidRPr="00697D58">
        <w:rPr>
          <w:lang w:val="en-US"/>
        </w:rPr>
        <w:t>;</w:t>
      </w:r>
      <w:r w:rsidR="008F0933">
        <w:rPr>
          <w:lang w:val="en-US"/>
        </w:rPr>
        <w:t xml:space="preserve"> Raymond </w:t>
      </w:r>
      <w:proofErr w:type="spellStart"/>
      <w:r w:rsidR="008F0933">
        <w:rPr>
          <w:lang w:val="en-US"/>
        </w:rPr>
        <w:t>Hupperts</w:t>
      </w:r>
      <w:proofErr w:type="spellEnd"/>
      <w:r w:rsidR="008F0933">
        <w:rPr>
          <w:lang w:val="en-US"/>
        </w:rPr>
        <w:t xml:space="preserve">, </w:t>
      </w:r>
      <w:r w:rsidR="008F0933" w:rsidRPr="00697D58">
        <w:rPr>
          <w:lang w:val="en-US"/>
        </w:rPr>
        <w:t>PhD</w:t>
      </w:r>
      <w:r w:rsidR="008F0933" w:rsidRPr="00AB648C">
        <w:rPr>
          <w:vertAlign w:val="superscript"/>
          <w:lang w:val="en-US"/>
        </w:rPr>
        <w:t>14</w:t>
      </w:r>
      <w:r w:rsidR="008F0933">
        <w:rPr>
          <w:lang w:val="en-US"/>
        </w:rPr>
        <w:t xml:space="preserve">; </w:t>
      </w:r>
      <w:r w:rsidR="008F0933" w:rsidRPr="00697D58">
        <w:rPr>
          <w:lang w:val="en-US"/>
        </w:rPr>
        <w:t xml:space="preserve">Pamela </w:t>
      </w:r>
      <w:proofErr w:type="spellStart"/>
      <w:r w:rsidR="008F0933" w:rsidRPr="00697D58">
        <w:rPr>
          <w:lang w:val="en-US"/>
        </w:rPr>
        <w:t>McCombe</w:t>
      </w:r>
      <w:proofErr w:type="spellEnd"/>
      <w:r w:rsidR="008F0933" w:rsidRPr="00697D58">
        <w:rPr>
          <w:lang w:val="en-US"/>
        </w:rPr>
        <w:t>, MBBS</w:t>
      </w:r>
      <w:r w:rsidR="008F0933" w:rsidRPr="00AB648C">
        <w:rPr>
          <w:vertAlign w:val="superscript"/>
          <w:lang w:val="en-US"/>
        </w:rPr>
        <w:t>15</w:t>
      </w:r>
      <w:r w:rsidR="008F0933" w:rsidRPr="00697D58">
        <w:rPr>
          <w:lang w:val="en-US"/>
        </w:rPr>
        <w:t>;</w:t>
      </w:r>
      <w:r w:rsidR="00B32453">
        <w:rPr>
          <w:lang w:val="en-US"/>
        </w:rPr>
        <w:t xml:space="preserve"> </w:t>
      </w:r>
      <w:r w:rsidR="00B32453" w:rsidRPr="00697D58">
        <w:rPr>
          <w:color w:val="000000" w:themeColor="text1"/>
          <w:lang w:val="en-US"/>
        </w:rPr>
        <w:t xml:space="preserve">Vincent Van </w:t>
      </w:r>
      <w:proofErr w:type="spellStart"/>
      <w:r w:rsidR="00B32453" w:rsidRPr="00697D58">
        <w:rPr>
          <w:color w:val="000000" w:themeColor="text1"/>
          <w:lang w:val="en-US"/>
        </w:rPr>
        <w:t>Pesch</w:t>
      </w:r>
      <w:proofErr w:type="spellEnd"/>
      <w:r w:rsidR="00B32453" w:rsidRPr="00697D58">
        <w:rPr>
          <w:color w:val="000000" w:themeColor="text1"/>
          <w:lang w:val="en-US"/>
        </w:rPr>
        <w:t>, MD</w:t>
      </w:r>
      <w:r w:rsidR="00B32453" w:rsidRPr="00A7311A">
        <w:rPr>
          <w:color w:val="000000" w:themeColor="text1"/>
          <w:vertAlign w:val="superscript"/>
          <w:lang w:val="en-US"/>
        </w:rPr>
        <w:t>16</w:t>
      </w:r>
      <w:r w:rsidR="00B32453" w:rsidRPr="00697D58">
        <w:rPr>
          <w:color w:val="000000" w:themeColor="text1"/>
          <w:lang w:val="en-US"/>
        </w:rPr>
        <w:t>;</w:t>
      </w:r>
      <w:r w:rsidR="006A3163">
        <w:rPr>
          <w:color w:val="000000" w:themeColor="text1"/>
          <w:lang w:val="en-US"/>
        </w:rPr>
        <w:t xml:space="preserve"> </w:t>
      </w:r>
      <w:proofErr w:type="spellStart"/>
      <w:r w:rsidR="006A3163">
        <w:rPr>
          <w:lang w:val="en-US"/>
        </w:rPr>
        <w:t>Patrizia</w:t>
      </w:r>
      <w:proofErr w:type="spellEnd"/>
      <w:r w:rsidR="006A3163">
        <w:rPr>
          <w:lang w:val="en-US"/>
        </w:rPr>
        <w:t xml:space="preserve"> Sola, </w:t>
      </w:r>
      <w:r w:rsidR="006A3163" w:rsidRPr="00697D58">
        <w:rPr>
          <w:lang w:val="en-US"/>
        </w:rPr>
        <w:t>PhD</w:t>
      </w:r>
      <w:r w:rsidR="006A3163" w:rsidRPr="00A7311A">
        <w:rPr>
          <w:vertAlign w:val="superscript"/>
          <w:lang w:val="en-US"/>
        </w:rPr>
        <w:t>17</w:t>
      </w:r>
      <w:r w:rsidR="006A3163" w:rsidRPr="00697D58">
        <w:rPr>
          <w:lang w:val="en-US"/>
        </w:rPr>
        <w:t>; Diana Ferraro, MD</w:t>
      </w:r>
      <w:r w:rsidR="006A3163" w:rsidRPr="00A7311A">
        <w:rPr>
          <w:vertAlign w:val="superscript"/>
          <w:lang w:val="en-US"/>
        </w:rPr>
        <w:t>17</w:t>
      </w:r>
      <w:r w:rsidR="006A3163" w:rsidRPr="00697D58">
        <w:rPr>
          <w:lang w:val="en-US"/>
        </w:rPr>
        <w:t>;</w:t>
      </w:r>
      <w:r w:rsidR="006A3163">
        <w:rPr>
          <w:lang w:val="en-US"/>
        </w:rPr>
        <w:t xml:space="preserve"> </w:t>
      </w:r>
      <w:r w:rsidR="006A3163" w:rsidRPr="00697D58">
        <w:rPr>
          <w:lang w:val="en-US"/>
        </w:rPr>
        <w:t xml:space="preserve">Francois </w:t>
      </w:r>
      <w:proofErr w:type="spellStart"/>
      <w:r w:rsidR="006A3163" w:rsidRPr="00697D58">
        <w:rPr>
          <w:lang w:val="en-US"/>
        </w:rPr>
        <w:t>Grand'Maison</w:t>
      </w:r>
      <w:proofErr w:type="spellEnd"/>
      <w:r w:rsidR="006A3163" w:rsidRPr="00697D58">
        <w:rPr>
          <w:lang w:val="en-US"/>
        </w:rPr>
        <w:t>, MD</w:t>
      </w:r>
      <w:r w:rsidR="006A3163" w:rsidRPr="00AB648C">
        <w:rPr>
          <w:vertAlign w:val="superscript"/>
          <w:lang w:val="en-US"/>
        </w:rPr>
        <w:t>18</w:t>
      </w:r>
      <w:r w:rsidR="006A3163" w:rsidRPr="00697D58">
        <w:rPr>
          <w:lang w:val="en-US"/>
        </w:rPr>
        <w:t>;</w:t>
      </w:r>
      <w:r w:rsidR="006A3163">
        <w:rPr>
          <w:lang w:val="en-US"/>
        </w:rPr>
        <w:t xml:space="preserve"> </w:t>
      </w:r>
      <w:r w:rsidR="006A3163" w:rsidRPr="00697D58">
        <w:rPr>
          <w:color w:val="000000" w:themeColor="text1"/>
          <w:lang w:val="en-US"/>
        </w:rPr>
        <w:t>Murat Terzi, MD</w:t>
      </w:r>
      <w:r w:rsidR="006A3163" w:rsidRPr="00AB648C">
        <w:rPr>
          <w:color w:val="000000" w:themeColor="text1"/>
          <w:vertAlign w:val="superscript"/>
          <w:lang w:val="en-US"/>
        </w:rPr>
        <w:t>19</w:t>
      </w:r>
      <w:r w:rsidR="006A3163" w:rsidRPr="00697D58">
        <w:rPr>
          <w:color w:val="000000" w:themeColor="text1"/>
          <w:lang w:val="en-US"/>
        </w:rPr>
        <w:t>;</w:t>
      </w:r>
      <w:r w:rsidR="006A3163">
        <w:rPr>
          <w:color w:val="000000" w:themeColor="text1"/>
          <w:lang w:val="en-US"/>
        </w:rPr>
        <w:t xml:space="preserve"> </w:t>
      </w:r>
      <w:proofErr w:type="spellStart"/>
      <w:r w:rsidR="006A3163" w:rsidRPr="00697D58">
        <w:rPr>
          <w:color w:val="000000" w:themeColor="text1"/>
          <w:lang w:val="en-US"/>
        </w:rPr>
        <w:t>Schlomo</w:t>
      </w:r>
      <w:proofErr w:type="spellEnd"/>
      <w:r w:rsidR="006A3163" w:rsidRPr="00697D58">
        <w:rPr>
          <w:color w:val="000000" w:themeColor="text1"/>
          <w:lang w:val="en-US"/>
        </w:rPr>
        <w:t xml:space="preserve"> </w:t>
      </w:r>
      <w:proofErr w:type="spellStart"/>
      <w:r w:rsidR="006A3163" w:rsidRPr="00697D58">
        <w:rPr>
          <w:color w:val="000000" w:themeColor="text1"/>
          <w:lang w:val="en-US"/>
        </w:rPr>
        <w:t>Flechter</w:t>
      </w:r>
      <w:proofErr w:type="spellEnd"/>
      <w:r w:rsidR="006A3163" w:rsidRPr="00697D58">
        <w:rPr>
          <w:color w:val="000000" w:themeColor="text1"/>
          <w:lang w:val="en-US"/>
        </w:rPr>
        <w:t>, MD</w:t>
      </w:r>
      <w:r w:rsidR="006A3163" w:rsidRPr="00AB648C">
        <w:rPr>
          <w:color w:val="000000" w:themeColor="text1"/>
          <w:vertAlign w:val="superscript"/>
          <w:lang w:val="en-US"/>
        </w:rPr>
        <w:t>20</w:t>
      </w:r>
      <w:r w:rsidR="006A3163" w:rsidRPr="00697D58">
        <w:rPr>
          <w:color w:val="000000" w:themeColor="text1"/>
          <w:lang w:val="en-US"/>
        </w:rPr>
        <w:t>;</w:t>
      </w:r>
      <w:r w:rsidR="006A3163">
        <w:rPr>
          <w:color w:val="000000" w:themeColor="text1"/>
          <w:lang w:val="en-US"/>
        </w:rPr>
        <w:t xml:space="preserve"> </w:t>
      </w:r>
      <w:r w:rsidR="006A3163">
        <w:rPr>
          <w:lang w:val="en-US"/>
        </w:rPr>
        <w:t xml:space="preserve">Mark </w:t>
      </w:r>
      <w:proofErr w:type="spellStart"/>
      <w:r w:rsidR="006A3163">
        <w:rPr>
          <w:lang w:val="en-US"/>
        </w:rPr>
        <w:t>Slee</w:t>
      </w:r>
      <w:proofErr w:type="spellEnd"/>
      <w:r w:rsidR="006A3163">
        <w:rPr>
          <w:lang w:val="en-US"/>
        </w:rPr>
        <w:t xml:space="preserve">, </w:t>
      </w:r>
      <w:r w:rsidR="006A3163" w:rsidRPr="00697D58">
        <w:rPr>
          <w:lang w:val="en-US"/>
        </w:rPr>
        <w:t>PhD</w:t>
      </w:r>
      <w:r w:rsidR="006A3163" w:rsidRPr="00AB648C">
        <w:rPr>
          <w:vertAlign w:val="superscript"/>
          <w:lang w:val="en-US"/>
        </w:rPr>
        <w:t>21</w:t>
      </w:r>
      <w:r w:rsidR="006A3163" w:rsidRPr="00697D58">
        <w:rPr>
          <w:lang w:val="en-US"/>
        </w:rPr>
        <w:t>;</w:t>
      </w:r>
      <w:r w:rsidR="00A82C7F">
        <w:rPr>
          <w:lang w:val="en-US"/>
        </w:rPr>
        <w:t xml:space="preserve"> </w:t>
      </w:r>
      <w:r w:rsidR="00A82C7F" w:rsidRPr="00697D58">
        <w:rPr>
          <w:color w:val="000000" w:themeColor="text1"/>
          <w:lang w:val="en-US"/>
        </w:rPr>
        <w:t xml:space="preserve">Vahid </w:t>
      </w:r>
      <w:proofErr w:type="spellStart"/>
      <w:r w:rsidR="00A82C7F" w:rsidRPr="00697D58">
        <w:rPr>
          <w:color w:val="000000" w:themeColor="text1"/>
          <w:lang w:val="en-US"/>
        </w:rPr>
        <w:t>Shaygannejad</w:t>
      </w:r>
      <w:proofErr w:type="spellEnd"/>
      <w:r w:rsidR="00A82C7F" w:rsidRPr="00697D58">
        <w:rPr>
          <w:color w:val="000000" w:themeColor="text1"/>
          <w:lang w:val="en-US"/>
        </w:rPr>
        <w:t>, MD</w:t>
      </w:r>
      <w:r w:rsidR="00A82C7F" w:rsidRPr="00AB648C">
        <w:rPr>
          <w:color w:val="000000" w:themeColor="text1"/>
          <w:vertAlign w:val="superscript"/>
          <w:lang w:val="en-US"/>
        </w:rPr>
        <w:t>22</w:t>
      </w:r>
      <w:r w:rsidR="00A82C7F" w:rsidRPr="00697D58">
        <w:rPr>
          <w:color w:val="000000" w:themeColor="text1"/>
          <w:lang w:val="en-US"/>
        </w:rPr>
        <w:t>;</w:t>
      </w:r>
      <w:r w:rsidR="00A82C7F">
        <w:rPr>
          <w:color w:val="000000" w:themeColor="text1"/>
          <w:lang w:val="en-US"/>
        </w:rPr>
        <w:t xml:space="preserve"> </w:t>
      </w:r>
      <w:r w:rsidR="00A82C7F" w:rsidRPr="00697D58">
        <w:rPr>
          <w:lang w:val="en-US"/>
        </w:rPr>
        <w:t>Eugenio Pucci, MD</w:t>
      </w:r>
      <w:r w:rsidR="00A82C7F" w:rsidRPr="00AB648C">
        <w:rPr>
          <w:vertAlign w:val="superscript"/>
          <w:lang w:val="en-US"/>
        </w:rPr>
        <w:t>23</w:t>
      </w:r>
      <w:r w:rsidR="00A82C7F" w:rsidRPr="00697D58">
        <w:rPr>
          <w:lang w:val="en-US"/>
        </w:rPr>
        <w:t>;</w:t>
      </w:r>
      <w:r w:rsidR="00A82C7F">
        <w:rPr>
          <w:lang w:val="en-US"/>
        </w:rPr>
        <w:t xml:space="preserve"> </w:t>
      </w:r>
      <w:r w:rsidR="00A82C7F" w:rsidRPr="00697D58">
        <w:rPr>
          <w:lang w:val="en-US"/>
        </w:rPr>
        <w:t xml:space="preserve">Franco </w:t>
      </w:r>
      <w:proofErr w:type="spellStart"/>
      <w:r w:rsidR="00A82C7F" w:rsidRPr="00697D58">
        <w:rPr>
          <w:lang w:val="en-US"/>
        </w:rPr>
        <w:t>Granella</w:t>
      </w:r>
      <w:proofErr w:type="spellEnd"/>
      <w:r w:rsidR="00A82C7F" w:rsidRPr="00697D58">
        <w:rPr>
          <w:lang w:val="en-US"/>
        </w:rPr>
        <w:t>, MD</w:t>
      </w:r>
      <w:r w:rsidR="00FE0359" w:rsidRPr="00AB648C">
        <w:rPr>
          <w:vertAlign w:val="superscript"/>
          <w:lang w:val="en-US"/>
        </w:rPr>
        <w:t>24</w:t>
      </w:r>
      <w:r w:rsidR="00A82C7F" w:rsidRPr="00697D58">
        <w:rPr>
          <w:lang w:val="en-US"/>
        </w:rPr>
        <w:t>;</w:t>
      </w:r>
      <w:r w:rsidR="00FE0359">
        <w:rPr>
          <w:lang w:val="en-US"/>
        </w:rPr>
        <w:t xml:space="preserve"> </w:t>
      </w:r>
      <w:proofErr w:type="spellStart"/>
      <w:r w:rsidR="00FE0359" w:rsidRPr="00697D58">
        <w:rPr>
          <w:lang w:val="en-US"/>
        </w:rPr>
        <w:t>Vilija</w:t>
      </w:r>
      <w:proofErr w:type="spellEnd"/>
      <w:r w:rsidR="00FE0359" w:rsidRPr="00697D58">
        <w:rPr>
          <w:lang w:val="en-US"/>
        </w:rPr>
        <w:t xml:space="preserve"> </w:t>
      </w:r>
      <w:proofErr w:type="spellStart"/>
      <w:r w:rsidR="00FE0359" w:rsidRPr="00697D58">
        <w:rPr>
          <w:lang w:val="en-US"/>
        </w:rPr>
        <w:t>Jokubaitis</w:t>
      </w:r>
      <w:proofErr w:type="spellEnd"/>
      <w:r w:rsidR="00FE0359" w:rsidRPr="00697D58">
        <w:rPr>
          <w:lang w:val="en-US"/>
        </w:rPr>
        <w:t>, PhD</w:t>
      </w:r>
      <w:r w:rsidR="00FE0359" w:rsidRPr="00AB648C">
        <w:rPr>
          <w:vertAlign w:val="superscript"/>
          <w:lang w:val="en-US"/>
        </w:rPr>
        <w:t>25,26</w:t>
      </w:r>
      <w:r w:rsidR="00FE0359" w:rsidRPr="00697D58">
        <w:rPr>
          <w:lang w:val="en-US"/>
        </w:rPr>
        <w:t>;</w:t>
      </w:r>
      <w:r w:rsidR="00FE0359">
        <w:rPr>
          <w:lang w:val="en-US"/>
        </w:rPr>
        <w:t xml:space="preserve"> </w:t>
      </w:r>
      <w:r w:rsidR="00FE0359" w:rsidRPr="00697D58">
        <w:rPr>
          <w:lang w:val="en-US"/>
        </w:rPr>
        <w:t>Mark Willis</w:t>
      </w:r>
      <w:r w:rsidR="00FE0359">
        <w:rPr>
          <w:lang w:val="en-US"/>
        </w:rPr>
        <w:t>,</w:t>
      </w:r>
      <w:r w:rsidR="00FE0359" w:rsidRPr="00697D58">
        <w:rPr>
          <w:lang w:val="en-US"/>
        </w:rPr>
        <w:t xml:space="preserve"> MRCP</w:t>
      </w:r>
      <w:r w:rsidR="00FE0359" w:rsidRPr="00AB648C">
        <w:rPr>
          <w:vertAlign w:val="superscript"/>
          <w:lang w:val="en-US"/>
        </w:rPr>
        <w:t>27</w:t>
      </w:r>
      <w:r w:rsidR="00FE0359">
        <w:rPr>
          <w:lang w:val="en-US"/>
        </w:rPr>
        <w:t>;</w:t>
      </w:r>
      <w:r w:rsidR="00E65456">
        <w:rPr>
          <w:lang w:val="en-US"/>
        </w:rPr>
        <w:t xml:space="preserve"> </w:t>
      </w:r>
      <w:r w:rsidR="00E65456" w:rsidRPr="00C3392D">
        <w:rPr>
          <w:lang w:val="en-US"/>
        </w:rPr>
        <w:t>Claire Rice</w:t>
      </w:r>
      <w:r w:rsidR="00E65456">
        <w:rPr>
          <w:lang w:val="en-US"/>
        </w:rPr>
        <w:t>,</w:t>
      </w:r>
      <w:r w:rsidR="00E65456" w:rsidRPr="00C3392D">
        <w:rPr>
          <w:lang w:val="en-US"/>
        </w:rPr>
        <w:t xml:space="preserve"> FRCP</w:t>
      </w:r>
      <w:r w:rsidR="00E65456" w:rsidRPr="00AB648C">
        <w:rPr>
          <w:vertAlign w:val="superscript"/>
          <w:lang w:val="en-US"/>
        </w:rPr>
        <w:t>28</w:t>
      </w:r>
      <w:r w:rsidR="00E65456">
        <w:rPr>
          <w:lang w:val="en-US"/>
        </w:rPr>
        <w:t xml:space="preserve">; </w:t>
      </w:r>
      <w:r w:rsidR="00E65456" w:rsidRPr="00697D58">
        <w:rPr>
          <w:lang w:val="en-US"/>
        </w:rPr>
        <w:t>Neil Scolding</w:t>
      </w:r>
      <w:r w:rsidR="00E65456">
        <w:rPr>
          <w:lang w:val="en-US"/>
        </w:rPr>
        <w:t>,</w:t>
      </w:r>
      <w:r w:rsidR="00E65456" w:rsidRPr="00697D58">
        <w:rPr>
          <w:lang w:val="en-US"/>
        </w:rPr>
        <w:t xml:space="preserve"> PhD</w:t>
      </w:r>
      <w:r w:rsidR="00E65456" w:rsidRPr="00AB648C">
        <w:rPr>
          <w:vertAlign w:val="superscript"/>
          <w:lang w:val="en-US"/>
        </w:rPr>
        <w:t>28</w:t>
      </w:r>
      <w:r w:rsidR="00E65456">
        <w:rPr>
          <w:lang w:val="en-US"/>
        </w:rPr>
        <w:t>; A</w:t>
      </w:r>
      <w:r w:rsidR="00E65456" w:rsidRPr="00697D58">
        <w:rPr>
          <w:lang w:val="en-US"/>
        </w:rPr>
        <w:t>lastair Wilkins</w:t>
      </w:r>
      <w:r w:rsidR="00E65456">
        <w:rPr>
          <w:lang w:val="en-US"/>
        </w:rPr>
        <w:t>,</w:t>
      </w:r>
      <w:r w:rsidR="00E65456" w:rsidRPr="00697D58">
        <w:rPr>
          <w:lang w:val="en-US"/>
        </w:rPr>
        <w:t xml:space="preserve"> PhD</w:t>
      </w:r>
      <w:r w:rsidR="00E65456" w:rsidRPr="00AB648C">
        <w:rPr>
          <w:vertAlign w:val="superscript"/>
          <w:lang w:val="en-US"/>
        </w:rPr>
        <w:t>28</w:t>
      </w:r>
      <w:r w:rsidR="00E65456">
        <w:rPr>
          <w:lang w:val="en-US"/>
        </w:rPr>
        <w:t>;</w:t>
      </w:r>
      <w:r w:rsidR="00BC6E99">
        <w:rPr>
          <w:lang w:val="en-US"/>
        </w:rPr>
        <w:t xml:space="preserve"> </w:t>
      </w:r>
      <w:r w:rsidR="00BC6E99" w:rsidRPr="00697D58">
        <w:rPr>
          <w:lang w:val="en-US"/>
        </w:rPr>
        <w:t>Owen R Pearson</w:t>
      </w:r>
      <w:r w:rsidR="00BC6E99">
        <w:rPr>
          <w:lang w:val="en-US"/>
        </w:rPr>
        <w:t>,</w:t>
      </w:r>
      <w:r w:rsidR="00BC6E99" w:rsidRPr="00697D58">
        <w:rPr>
          <w:lang w:val="en-US"/>
        </w:rPr>
        <w:t xml:space="preserve"> MD</w:t>
      </w:r>
      <w:r w:rsidR="00BC6E99" w:rsidRPr="00AB648C">
        <w:rPr>
          <w:vertAlign w:val="superscript"/>
          <w:lang w:val="en-US"/>
        </w:rPr>
        <w:t>29</w:t>
      </w:r>
      <w:r w:rsidR="00BC6E99">
        <w:rPr>
          <w:lang w:val="en-US"/>
        </w:rPr>
        <w:t xml:space="preserve">; </w:t>
      </w:r>
      <w:proofErr w:type="spellStart"/>
      <w:r w:rsidR="00BC6E99" w:rsidRPr="00697D58">
        <w:rPr>
          <w:lang w:val="en-US"/>
        </w:rPr>
        <w:t>Tjalf</w:t>
      </w:r>
      <w:proofErr w:type="spellEnd"/>
      <w:r w:rsidR="00BC6E99" w:rsidRPr="00697D58">
        <w:rPr>
          <w:lang w:val="en-US"/>
        </w:rPr>
        <w:t xml:space="preserve"> </w:t>
      </w:r>
      <w:proofErr w:type="spellStart"/>
      <w:r w:rsidR="00BC6E99" w:rsidRPr="00697D58">
        <w:rPr>
          <w:lang w:val="en-US"/>
        </w:rPr>
        <w:t>Ziemssen</w:t>
      </w:r>
      <w:proofErr w:type="spellEnd"/>
      <w:r w:rsidR="00BC6E99">
        <w:rPr>
          <w:lang w:val="en-US"/>
        </w:rPr>
        <w:t>,</w:t>
      </w:r>
      <w:r w:rsidR="00BC6E99" w:rsidRPr="00697D58">
        <w:rPr>
          <w:lang w:val="en-US"/>
        </w:rPr>
        <w:t xml:space="preserve"> MD</w:t>
      </w:r>
      <w:r w:rsidR="00BC6E99" w:rsidRPr="00AB648C">
        <w:rPr>
          <w:vertAlign w:val="superscript"/>
          <w:lang w:val="en-US"/>
        </w:rPr>
        <w:t>3</w:t>
      </w:r>
      <w:r w:rsidR="00BC6E99">
        <w:rPr>
          <w:vertAlign w:val="superscript"/>
          <w:lang w:val="en-US"/>
        </w:rPr>
        <w:t>0</w:t>
      </w:r>
      <w:r w:rsidR="00BC6E99">
        <w:rPr>
          <w:lang w:val="en-US"/>
        </w:rPr>
        <w:t xml:space="preserve">; </w:t>
      </w:r>
      <w:r w:rsidR="00BC6E99" w:rsidRPr="00697D58">
        <w:rPr>
          <w:lang w:val="en-US"/>
        </w:rPr>
        <w:t>Michael Hutchinson</w:t>
      </w:r>
      <w:r w:rsidR="00BC6E99">
        <w:rPr>
          <w:lang w:val="en-US"/>
        </w:rPr>
        <w:t>,</w:t>
      </w:r>
      <w:r w:rsidR="00BC6E99" w:rsidRPr="00697D58">
        <w:rPr>
          <w:lang w:val="en-US"/>
        </w:rPr>
        <w:t xml:space="preserve"> MD</w:t>
      </w:r>
      <w:r w:rsidR="00BC6E99" w:rsidRPr="00AB648C">
        <w:rPr>
          <w:vertAlign w:val="superscript"/>
          <w:lang w:val="en-US"/>
        </w:rPr>
        <w:t>31</w:t>
      </w:r>
      <w:r w:rsidR="00BC6E99" w:rsidRPr="00AB648C">
        <w:rPr>
          <w:lang w:val="en-US"/>
        </w:rPr>
        <w:t>;</w:t>
      </w:r>
      <w:r w:rsidR="00BC6E99">
        <w:rPr>
          <w:vertAlign w:val="superscript"/>
          <w:lang w:val="en-US"/>
        </w:rPr>
        <w:t xml:space="preserve"> </w:t>
      </w:r>
      <w:r w:rsidR="00BC6E99" w:rsidRPr="00697D58">
        <w:rPr>
          <w:lang w:val="en-US"/>
        </w:rPr>
        <w:t>Katharine Harding</w:t>
      </w:r>
      <w:r w:rsidR="00BC6E99">
        <w:rPr>
          <w:lang w:val="en-US"/>
        </w:rPr>
        <w:t>,</w:t>
      </w:r>
      <w:r w:rsidR="00BC6E99" w:rsidRPr="00697D58">
        <w:rPr>
          <w:lang w:val="en-US"/>
        </w:rPr>
        <w:t xml:space="preserve"> </w:t>
      </w:r>
      <w:r w:rsidR="00BC6E99" w:rsidRPr="00697D58">
        <w:rPr>
          <w:rFonts w:eastAsia="Times New Roman"/>
          <w:color w:val="000000"/>
        </w:rPr>
        <w:t>PhD</w:t>
      </w:r>
      <w:r w:rsidR="00BC6E99" w:rsidRPr="00AB648C">
        <w:rPr>
          <w:rFonts w:eastAsia="Times New Roman"/>
          <w:color w:val="000000"/>
          <w:vertAlign w:val="superscript"/>
        </w:rPr>
        <w:t>32</w:t>
      </w:r>
      <w:r w:rsidR="00BC6E99">
        <w:rPr>
          <w:rFonts w:eastAsia="Times New Roman"/>
          <w:color w:val="000000"/>
        </w:rPr>
        <w:t xml:space="preserve">; </w:t>
      </w:r>
      <w:r w:rsidR="00BC6E99" w:rsidRPr="00697D58">
        <w:rPr>
          <w:rFonts w:eastAsia="Times New Roman"/>
          <w:iCs/>
        </w:rPr>
        <w:t>Joanne Jones</w:t>
      </w:r>
      <w:r w:rsidR="00BC6E99">
        <w:rPr>
          <w:rFonts w:eastAsia="Times New Roman"/>
          <w:iCs/>
        </w:rPr>
        <w:t>,</w:t>
      </w:r>
      <w:r w:rsidR="00BC6E99" w:rsidRPr="00697D58">
        <w:rPr>
          <w:rFonts w:eastAsia="Times New Roman"/>
          <w:iCs/>
        </w:rPr>
        <w:t xml:space="preserve"> PhD</w:t>
      </w:r>
      <w:r w:rsidR="00BC6E99" w:rsidRPr="00AB648C">
        <w:rPr>
          <w:rFonts w:eastAsia="Times New Roman"/>
          <w:iCs/>
          <w:vertAlign w:val="superscript"/>
        </w:rPr>
        <w:t>1</w:t>
      </w:r>
      <w:r w:rsidR="00BC6E99" w:rsidRPr="00697D58">
        <w:rPr>
          <w:rFonts w:eastAsia="Times New Roman"/>
          <w:iCs/>
        </w:rPr>
        <w:t>;</w:t>
      </w:r>
      <w:r w:rsidR="00BC6E99">
        <w:rPr>
          <w:rFonts w:eastAsia="Times New Roman"/>
          <w:iCs/>
        </w:rPr>
        <w:t xml:space="preserve"> </w:t>
      </w:r>
      <w:r w:rsidR="00BC6E99" w:rsidRPr="00697D58">
        <w:rPr>
          <w:lang w:val="en-US"/>
        </w:rPr>
        <w:t>Christopher McGuigan</w:t>
      </w:r>
      <w:r w:rsidR="00BC6E99">
        <w:rPr>
          <w:lang w:val="en-US"/>
        </w:rPr>
        <w:t>,</w:t>
      </w:r>
      <w:r w:rsidR="00BC6E99" w:rsidRPr="00697D58">
        <w:rPr>
          <w:lang w:val="en-US"/>
        </w:rPr>
        <w:t xml:space="preserve"> MD</w:t>
      </w:r>
      <w:r w:rsidR="00BC6E99" w:rsidRPr="00AB648C">
        <w:rPr>
          <w:vertAlign w:val="superscript"/>
          <w:lang w:val="en-US"/>
        </w:rPr>
        <w:t>31</w:t>
      </w:r>
      <w:r w:rsidR="00BC6E99" w:rsidRPr="00697D58">
        <w:rPr>
          <w:lang w:val="en-US"/>
        </w:rPr>
        <w:t>;</w:t>
      </w:r>
      <w:r w:rsidR="00BC6E99">
        <w:rPr>
          <w:lang w:val="en-US"/>
        </w:rPr>
        <w:t xml:space="preserve"> </w:t>
      </w:r>
      <w:r w:rsidR="006C18F6" w:rsidRPr="00697D58">
        <w:rPr>
          <w:lang w:val="en-US"/>
        </w:rPr>
        <w:t xml:space="preserve">Helmut </w:t>
      </w:r>
      <w:proofErr w:type="spellStart"/>
      <w:r w:rsidR="006C18F6" w:rsidRPr="00697D58">
        <w:rPr>
          <w:lang w:val="en-US"/>
        </w:rPr>
        <w:t>Butzkueven</w:t>
      </w:r>
      <w:proofErr w:type="spellEnd"/>
      <w:r w:rsidR="006C18F6" w:rsidRPr="00697D58">
        <w:rPr>
          <w:lang w:val="en-US"/>
        </w:rPr>
        <w:t>, PhD</w:t>
      </w:r>
      <w:r w:rsidR="006C18F6" w:rsidRPr="00AB648C">
        <w:rPr>
          <w:vertAlign w:val="superscript"/>
          <w:lang w:val="en-US"/>
        </w:rPr>
        <w:t>25,26,32</w:t>
      </w:r>
      <w:r w:rsidR="006C18F6">
        <w:rPr>
          <w:vertAlign w:val="superscript"/>
          <w:lang w:val="en-US"/>
        </w:rPr>
        <w:t>,33</w:t>
      </w:r>
      <w:r w:rsidR="006C18F6" w:rsidRPr="00697D58">
        <w:rPr>
          <w:lang w:val="en-US"/>
        </w:rPr>
        <w:t>;</w:t>
      </w:r>
      <w:r w:rsidR="00C247A9">
        <w:rPr>
          <w:lang w:val="en-US"/>
        </w:rPr>
        <w:t xml:space="preserve"> </w:t>
      </w:r>
      <w:r w:rsidR="00C247A9" w:rsidRPr="00697D58">
        <w:t>To</w:t>
      </w:r>
      <w:r w:rsidR="00C247A9">
        <w:t xml:space="preserve">mas </w:t>
      </w:r>
      <w:proofErr w:type="spellStart"/>
      <w:r w:rsidR="00C247A9">
        <w:t>Kalincik</w:t>
      </w:r>
      <w:proofErr w:type="spellEnd"/>
      <w:r w:rsidR="00C247A9">
        <w:t>, PhD</w:t>
      </w:r>
      <w:r w:rsidR="00C247A9" w:rsidRPr="00697D58">
        <w:t>*</w:t>
      </w:r>
      <w:r w:rsidR="00C247A9" w:rsidRPr="00AB648C">
        <w:rPr>
          <w:vertAlign w:val="superscript"/>
        </w:rPr>
        <w:t>3</w:t>
      </w:r>
      <w:r w:rsidR="00C247A9">
        <w:rPr>
          <w:vertAlign w:val="superscript"/>
        </w:rPr>
        <w:t>,25,26</w:t>
      </w:r>
      <w:r w:rsidR="00C247A9" w:rsidRPr="00697D58">
        <w:t>;</w:t>
      </w:r>
      <w:r w:rsidR="00C247A9">
        <w:t xml:space="preserve"> </w:t>
      </w:r>
      <w:r w:rsidR="00C247A9" w:rsidRPr="00697D58">
        <w:rPr>
          <w:lang w:val="en-US"/>
        </w:rPr>
        <w:t xml:space="preserve">Neil Robertson*, </w:t>
      </w:r>
      <w:r w:rsidR="00C247A9">
        <w:rPr>
          <w:lang w:val="en-US"/>
        </w:rPr>
        <w:t>M</w:t>
      </w:r>
      <w:r w:rsidR="00C247A9" w:rsidRPr="00697D58">
        <w:rPr>
          <w:lang w:val="en-US"/>
        </w:rPr>
        <w:t>D</w:t>
      </w:r>
      <w:r w:rsidR="00C247A9" w:rsidRPr="00AB648C">
        <w:rPr>
          <w:vertAlign w:val="superscript"/>
          <w:lang w:val="en-US"/>
        </w:rPr>
        <w:t>32</w:t>
      </w:r>
      <w:r w:rsidR="00C247A9">
        <w:rPr>
          <w:lang w:val="en-US"/>
        </w:rPr>
        <w:t>.</w:t>
      </w:r>
      <w:r w:rsidR="006C18F6">
        <w:rPr>
          <w:lang w:val="en-US"/>
        </w:rPr>
        <w:tab/>
      </w:r>
    </w:p>
    <w:p w14:paraId="00F05D3B" w14:textId="77777777" w:rsidR="00FA0974" w:rsidRDefault="00FA0974" w:rsidP="00B619C5">
      <w:pPr>
        <w:spacing w:line="480" w:lineRule="auto"/>
        <w:rPr>
          <w:vertAlign w:val="superscript"/>
          <w:lang w:val="en-US"/>
        </w:rPr>
      </w:pPr>
    </w:p>
    <w:p w14:paraId="20355B1B" w14:textId="77777777" w:rsidR="003C29A0" w:rsidRDefault="00DA619E" w:rsidP="00B619C5">
      <w:pPr>
        <w:spacing w:line="480" w:lineRule="auto"/>
        <w:rPr>
          <w:lang w:val="en-US"/>
        </w:rPr>
      </w:pPr>
      <w:r w:rsidRPr="00AB648C">
        <w:rPr>
          <w:vertAlign w:val="superscript"/>
          <w:lang w:val="en-US"/>
        </w:rPr>
        <w:t>1</w:t>
      </w:r>
      <w:r w:rsidR="00575022" w:rsidRPr="00697D58">
        <w:rPr>
          <w:lang w:val="en-US"/>
        </w:rPr>
        <w:t xml:space="preserve">Department of Clinical Neurosciences, University of Cambridge, Cambridge, UK </w:t>
      </w:r>
    </w:p>
    <w:p w14:paraId="39F4D6E7" w14:textId="64C11025" w:rsidR="003C29A0" w:rsidRDefault="003C29A0" w:rsidP="00B619C5">
      <w:pPr>
        <w:spacing w:line="480" w:lineRule="auto"/>
        <w:rPr>
          <w:lang w:val="en-US"/>
        </w:rPr>
      </w:pPr>
      <w:r>
        <w:rPr>
          <w:vertAlign w:val="superscript"/>
          <w:lang w:val="en-US"/>
        </w:rPr>
        <w:t>2</w:t>
      </w:r>
      <w:r w:rsidR="00575022" w:rsidRPr="00697D58">
        <w:rPr>
          <w:lang w:val="en-US"/>
        </w:rPr>
        <w:t xml:space="preserve">NMR Research Unit, Queen Square Multiple Sclerosis Centre, University College London, Institute of Neurology, London, UK </w:t>
      </w:r>
    </w:p>
    <w:p w14:paraId="00E534D3" w14:textId="77777777" w:rsidR="00575022" w:rsidRPr="00697D58" w:rsidRDefault="003C29A0" w:rsidP="00B619C5">
      <w:pPr>
        <w:spacing w:line="480" w:lineRule="auto"/>
        <w:rPr>
          <w:lang w:val="en-US"/>
        </w:rPr>
      </w:pPr>
      <w:r>
        <w:rPr>
          <w:vertAlign w:val="superscript"/>
          <w:lang w:val="en-US"/>
        </w:rPr>
        <w:t>3</w:t>
      </w:r>
      <w:r w:rsidR="00575022" w:rsidRPr="00697D58">
        <w:t>Clinical Outcomes Research (</w:t>
      </w:r>
      <w:proofErr w:type="spellStart"/>
      <w:r w:rsidR="00575022" w:rsidRPr="00697D58">
        <w:t>CORe</w:t>
      </w:r>
      <w:proofErr w:type="spellEnd"/>
      <w:r w:rsidR="00575022" w:rsidRPr="00697D58">
        <w:t xml:space="preserve">) Unit, Melbourne Brain Centre, </w:t>
      </w:r>
      <w:r w:rsidR="00575022" w:rsidRPr="00697D58">
        <w:rPr>
          <w:lang w:val="en-US"/>
        </w:rPr>
        <w:t>University of Melbou</w:t>
      </w:r>
      <w:r w:rsidR="00575022">
        <w:rPr>
          <w:lang w:val="en-US"/>
        </w:rPr>
        <w:t>rne, Melbourne, 3050, Australia</w:t>
      </w:r>
      <w:r w:rsidR="00575022" w:rsidRPr="00697D58">
        <w:rPr>
          <w:lang w:val="en-US"/>
        </w:rPr>
        <w:t>.</w:t>
      </w:r>
    </w:p>
    <w:p w14:paraId="45CB407F" w14:textId="59257E5C" w:rsidR="003C29A0" w:rsidRDefault="003C29A0" w:rsidP="00B619C5">
      <w:pPr>
        <w:spacing w:line="480" w:lineRule="auto"/>
        <w:rPr>
          <w:lang w:val="en-US"/>
        </w:rPr>
      </w:pPr>
      <w:r>
        <w:rPr>
          <w:vertAlign w:val="superscript"/>
          <w:lang w:val="en-US"/>
        </w:rPr>
        <w:t>4</w:t>
      </w:r>
      <w:r w:rsidR="00575022" w:rsidRPr="00697D58">
        <w:rPr>
          <w:lang w:val="en-US"/>
        </w:rPr>
        <w:t xml:space="preserve">Department of Neurology and Center of Clinical Neuroscience, General University Hospital </w:t>
      </w:r>
    </w:p>
    <w:p w14:paraId="21762E6B" w14:textId="77777777" w:rsidR="00575022" w:rsidRPr="00697D58" w:rsidRDefault="003C29A0" w:rsidP="00B619C5">
      <w:pPr>
        <w:spacing w:line="480" w:lineRule="auto"/>
        <w:rPr>
          <w:lang w:val="en-US"/>
        </w:rPr>
      </w:pPr>
      <w:r w:rsidRPr="00AB648C">
        <w:rPr>
          <w:vertAlign w:val="superscript"/>
          <w:lang w:val="en-US"/>
        </w:rPr>
        <w:t>5</w:t>
      </w:r>
      <w:r w:rsidR="00575022" w:rsidRPr="00697D58">
        <w:rPr>
          <w:lang w:val="en-US"/>
        </w:rPr>
        <w:t xml:space="preserve">Charles University in Prague, </w:t>
      </w:r>
      <w:proofErr w:type="spellStart"/>
      <w:r w:rsidR="00575022" w:rsidRPr="00697D58">
        <w:rPr>
          <w:lang w:val="en-US"/>
        </w:rPr>
        <w:t>Katerinska</w:t>
      </w:r>
      <w:proofErr w:type="spellEnd"/>
      <w:r w:rsidR="00575022" w:rsidRPr="00697D58">
        <w:rPr>
          <w:lang w:val="en-US"/>
        </w:rPr>
        <w:t xml:space="preserve"> 30, Prague, 12808, Czech Republic</w:t>
      </w:r>
    </w:p>
    <w:p w14:paraId="0FD97604" w14:textId="4E06C58E" w:rsidR="00575022" w:rsidRPr="00697D58" w:rsidRDefault="003C29A0" w:rsidP="00B619C5">
      <w:pPr>
        <w:spacing w:line="480" w:lineRule="auto"/>
        <w:rPr>
          <w:lang w:val="en-US"/>
        </w:rPr>
      </w:pPr>
      <w:r>
        <w:rPr>
          <w:vertAlign w:val="superscript"/>
          <w:lang w:val="en-US"/>
        </w:rPr>
        <w:t>6</w:t>
      </w:r>
      <w:r w:rsidR="00575022" w:rsidRPr="00697D58">
        <w:rPr>
          <w:lang w:val="en-US"/>
        </w:rPr>
        <w:t xml:space="preserve">Hospital </w:t>
      </w:r>
      <w:proofErr w:type="spellStart"/>
      <w:r w:rsidR="00575022" w:rsidRPr="00697D58">
        <w:rPr>
          <w:lang w:val="en-US"/>
        </w:rPr>
        <w:t>Universitario</w:t>
      </w:r>
      <w:proofErr w:type="spellEnd"/>
      <w:r w:rsidR="00575022" w:rsidRPr="00697D58">
        <w:rPr>
          <w:lang w:val="en-US"/>
        </w:rPr>
        <w:t xml:space="preserve"> Virgen Macarena, Amador de </w:t>
      </w:r>
      <w:proofErr w:type="spellStart"/>
      <w:r w:rsidR="00575022" w:rsidRPr="00697D58">
        <w:rPr>
          <w:lang w:val="en-US"/>
        </w:rPr>
        <w:t>los</w:t>
      </w:r>
      <w:proofErr w:type="spellEnd"/>
      <w:r w:rsidR="00575022" w:rsidRPr="00697D58">
        <w:rPr>
          <w:lang w:val="en-US"/>
        </w:rPr>
        <w:t xml:space="preserve"> Rios 48-50. 4a, Sevilla, 41003, Spain</w:t>
      </w:r>
    </w:p>
    <w:p w14:paraId="24913725" w14:textId="456E5E45" w:rsidR="003C29A0" w:rsidRDefault="003C29A0" w:rsidP="00B619C5">
      <w:pPr>
        <w:spacing w:line="480" w:lineRule="auto"/>
        <w:rPr>
          <w:lang w:val="en-US"/>
        </w:rPr>
      </w:pPr>
      <w:r w:rsidRPr="00AB648C">
        <w:rPr>
          <w:vertAlign w:val="superscript"/>
          <w:lang w:val="en-US"/>
        </w:rPr>
        <w:t>7</w:t>
      </w:r>
      <w:r w:rsidR="00575022" w:rsidRPr="00697D58">
        <w:rPr>
          <w:lang w:val="en-US"/>
        </w:rPr>
        <w:t xml:space="preserve">Hopital Notre Dame, 1560 Sherbrooke East, Montreal, H2L 4M1, Canada; </w:t>
      </w:r>
    </w:p>
    <w:p w14:paraId="1A4E134D" w14:textId="69361237" w:rsidR="00575022" w:rsidRPr="00697D58" w:rsidRDefault="003C29A0" w:rsidP="00B619C5">
      <w:pPr>
        <w:spacing w:line="480" w:lineRule="auto"/>
        <w:rPr>
          <w:lang w:val="en-US"/>
        </w:rPr>
      </w:pPr>
      <w:r w:rsidRPr="00AB648C">
        <w:rPr>
          <w:vertAlign w:val="superscript"/>
          <w:lang w:val="en-US"/>
        </w:rPr>
        <w:t>8</w:t>
      </w:r>
      <w:r w:rsidR="00575022" w:rsidRPr="00697D58">
        <w:rPr>
          <w:lang w:val="en-US"/>
        </w:rPr>
        <w:t xml:space="preserve">CHUM and </w:t>
      </w:r>
      <w:proofErr w:type="spellStart"/>
      <w:r w:rsidR="00575022" w:rsidRPr="00697D58">
        <w:rPr>
          <w:lang w:val="en-US"/>
        </w:rPr>
        <w:t>Universite</w:t>
      </w:r>
      <w:proofErr w:type="spellEnd"/>
      <w:r w:rsidR="00575022" w:rsidRPr="00697D58">
        <w:rPr>
          <w:lang w:val="en-US"/>
        </w:rPr>
        <w:t xml:space="preserve"> de Montreal, Montreal, Canada</w:t>
      </w:r>
    </w:p>
    <w:p w14:paraId="40473E26" w14:textId="5A65C8B5" w:rsidR="00575022" w:rsidRPr="00697D58" w:rsidRDefault="00FA0974">
      <w:pPr>
        <w:spacing w:line="480" w:lineRule="auto"/>
      </w:pPr>
      <w:r w:rsidRPr="00AB648C">
        <w:rPr>
          <w:vertAlign w:val="superscript"/>
          <w:lang w:val="en-US"/>
        </w:rPr>
        <w:lastRenderedPageBreak/>
        <w:t>9</w:t>
      </w:r>
      <w:r w:rsidR="00575022" w:rsidRPr="00697D58">
        <w:t>Department of Basic Medical Sciences, Neuroscience and Sense Organs, University of Bari, Piazza G. Cesare, 11, Bari, 70122, Italy</w:t>
      </w:r>
    </w:p>
    <w:p w14:paraId="08281518" w14:textId="0DD1A3D8" w:rsidR="00575022" w:rsidRPr="00697D58" w:rsidRDefault="00FA0974" w:rsidP="00B619C5">
      <w:pPr>
        <w:spacing w:line="480" w:lineRule="auto"/>
        <w:rPr>
          <w:lang w:val="en-US"/>
        </w:rPr>
      </w:pPr>
      <w:r w:rsidRPr="00AB648C">
        <w:rPr>
          <w:vertAlign w:val="superscript"/>
          <w:lang w:val="en-US"/>
        </w:rPr>
        <w:t>10</w:t>
      </w:r>
      <w:r w:rsidR="00575022" w:rsidRPr="00697D58">
        <w:rPr>
          <w:lang w:val="en-US"/>
        </w:rPr>
        <w:t xml:space="preserve">Department of Neuroscience, Imaging and Clinical Sciences, University G. </w:t>
      </w:r>
      <w:proofErr w:type="spellStart"/>
      <w:r w:rsidR="00575022" w:rsidRPr="00697D58">
        <w:rPr>
          <w:lang w:val="en-US"/>
        </w:rPr>
        <w:t>d</w:t>
      </w:r>
      <w:r w:rsidR="00575022" w:rsidRPr="008E2EB9">
        <w:rPr>
          <w:lang w:val="en-US"/>
        </w:rPr>
        <w:t>’</w:t>
      </w:r>
      <w:r w:rsidR="00575022" w:rsidRPr="00697D58">
        <w:rPr>
          <w:lang w:val="en-US"/>
        </w:rPr>
        <w:t>Annunzio</w:t>
      </w:r>
      <w:proofErr w:type="spellEnd"/>
      <w:r w:rsidR="00575022" w:rsidRPr="00697D58">
        <w:rPr>
          <w:lang w:val="en-US"/>
        </w:rPr>
        <w:t xml:space="preserve">, Via </w:t>
      </w:r>
      <w:proofErr w:type="spellStart"/>
      <w:r w:rsidR="00575022" w:rsidRPr="00697D58">
        <w:rPr>
          <w:lang w:val="en-US"/>
        </w:rPr>
        <w:t>dei</w:t>
      </w:r>
      <w:proofErr w:type="spellEnd"/>
      <w:r w:rsidR="00575022" w:rsidRPr="00697D58">
        <w:rPr>
          <w:lang w:val="en-US"/>
        </w:rPr>
        <w:t xml:space="preserve"> </w:t>
      </w:r>
      <w:proofErr w:type="spellStart"/>
      <w:r w:rsidR="00575022" w:rsidRPr="00697D58">
        <w:rPr>
          <w:lang w:val="en-US"/>
        </w:rPr>
        <w:t>Vestini</w:t>
      </w:r>
      <w:proofErr w:type="spellEnd"/>
      <w:r w:rsidR="00575022" w:rsidRPr="00697D58">
        <w:rPr>
          <w:lang w:val="en-US"/>
        </w:rPr>
        <w:t xml:space="preserve">, Chieti, 66100, Italy; </w:t>
      </w:r>
    </w:p>
    <w:p w14:paraId="04BDF2AB" w14:textId="3E875203" w:rsidR="00575022" w:rsidRPr="00697D58" w:rsidRDefault="00FA0974" w:rsidP="00B619C5">
      <w:pPr>
        <w:spacing w:line="480" w:lineRule="auto"/>
        <w:rPr>
          <w:lang w:val="en-US"/>
        </w:rPr>
      </w:pPr>
      <w:r w:rsidRPr="00AB648C">
        <w:rPr>
          <w:vertAlign w:val="superscript"/>
          <w:lang w:val="en-US"/>
        </w:rPr>
        <w:t>11</w:t>
      </w:r>
      <w:r w:rsidR="00575022" w:rsidRPr="00697D58">
        <w:rPr>
          <w:lang w:val="en-US"/>
        </w:rPr>
        <w:t xml:space="preserve">C. </w:t>
      </w:r>
      <w:proofErr w:type="spellStart"/>
      <w:r w:rsidR="00575022" w:rsidRPr="00697D58">
        <w:rPr>
          <w:lang w:val="en-US"/>
        </w:rPr>
        <w:t>Mondino</w:t>
      </w:r>
      <w:proofErr w:type="spellEnd"/>
      <w:r w:rsidR="00575022" w:rsidRPr="00697D58">
        <w:rPr>
          <w:lang w:val="en-US"/>
        </w:rPr>
        <w:t xml:space="preserve"> National Neurological Institute, via </w:t>
      </w:r>
      <w:proofErr w:type="spellStart"/>
      <w:r w:rsidR="00575022" w:rsidRPr="00697D58">
        <w:rPr>
          <w:lang w:val="en-US"/>
        </w:rPr>
        <w:t>Mondino</w:t>
      </w:r>
      <w:proofErr w:type="spellEnd"/>
      <w:r w:rsidR="00575022" w:rsidRPr="00697D58">
        <w:rPr>
          <w:lang w:val="en-US"/>
        </w:rPr>
        <w:t xml:space="preserve"> 2, Pavia, 27100, Italy</w:t>
      </w:r>
    </w:p>
    <w:p w14:paraId="06133F66" w14:textId="68620DEF" w:rsidR="00575022" w:rsidRPr="00697D58" w:rsidRDefault="008F0933" w:rsidP="00B619C5">
      <w:pPr>
        <w:spacing w:line="480" w:lineRule="auto"/>
        <w:rPr>
          <w:lang w:val="en-US"/>
        </w:rPr>
      </w:pPr>
      <w:r w:rsidRPr="00AB648C">
        <w:rPr>
          <w:vertAlign w:val="superscript"/>
          <w:lang w:val="en-US"/>
        </w:rPr>
        <w:t>12</w:t>
      </w:r>
      <w:r w:rsidR="00575022" w:rsidRPr="00697D58">
        <w:rPr>
          <w:lang w:val="en-US"/>
        </w:rPr>
        <w:t xml:space="preserve">CISSS </w:t>
      </w:r>
      <w:proofErr w:type="spellStart"/>
      <w:r w:rsidR="00575022" w:rsidRPr="00697D58">
        <w:rPr>
          <w:lang w:val="en-US"/>
        </w:rPr>
        <w:t>Chaudi</w:t>
      </w:r>
      <w:r w:rsidR="00575022" w:rsidRPr="008E2EB9">
        <w:rPr>
          <w:rFonts w:eastAsia="Malgun Gothic"/>
          <w:lang w:val="en-US"/>
        </w:rPr>
        <w:t>’</w:t>
      </w:r>
      <w:r w:rsidR="00575022" w:rsidRPr="00697D58">
        <w:rPr>
          <w:lang w:val="en-US"/>
        </w:rPr>
        <w:t>re-Appalache</w:t>
      </w:r>
      <w:proofErr w:type="spellEnd"/>
      <w:r w:rsidR="00575022" w:rsidRPr="00697D58">
        <w:rPr>
          <w:lang w:val="en-US"/>
        </w:rPr>
        <w:t xml:space="preserve">, 9500 </w:t>
      </w:r>
      <w:proofErr w:type="spellStart"/>
      <w:r w:rsidR="00575022" w:rsidRPr="00697D58">
        <w:rPr>
          <w:lang w:val="en-US"/>
        </w:rPr>
        <w:t>blvd</w:t>
      </w:r>
      <w:proofErr w:type="spellEnd"/>
      <w:r w:rsidR="00575022" w:rsidRPr="00697D58">
        <w:rPr>
          <w:lang w:val="en-US"/>
        </w:rPr>
        <w:t xml:space="preserve"> Centre-</w:t>
      </w:r>
      <w:proofErr w:type="spellStart"/>
      <w:r w:rsidR="00575022" w:rsidRPr="00697D58">
        <w:rPr>
          <w:lang w:val="en-US"/>
        </w:rPr>
        <w:t>Hospitalier</w:t>
      </w:r>
      <w:proofErr w:type="spellEnd"/>
      <w:r w:rsidR="00575022" w:rsidRPr="00697D58">
        <w:rPr>
          <w:lang w:val="en-US"/>
        </w:rPr>
        <w:t xml:space="preserve">, </w:t>
      </w:r>
      <w:proofErr w:type="spellStart"/>
      <w:r w:rsidR="00575022" w:rsidRPr="00697D58">
        <w:rPr>
          <w:lang w:val="en-US"/>
        </w:rPr>
        <w:t>Levis</w:t>
      </w:r>
      <w:proofErr w:type="spellEnd"/>
      <w:r w:rsidR="00575022" w:rsidRPr="00697D58">
        <w:rPr>
          <w:lang w:val="en-US"/>
        </w:rPr>
        <w:t>, G6X 0A1, Canada</w:t>
      </w:r>
    </w:p>
    <w:p w14:paraId="2B73E527" w14:textId="14BD89A8" w:rsidR="00575022" w:rsidRPr="00697D58" w:rsidRDefault="008F0933" w:rsidP="00B619C5">
      <w:pPr>
        <w:spacing w:line="480" w:lineRule="auto"/>
        <w:rPr>
          <w:lang w:val="en-US"/>
        </w:rPr>
      </w:pPr>
      <w:r w:rsidRPr="00AB648C">
        <w:rPr>
          <w:vertAlign w:val="superscript"/>
          <w:lang w:val="en-US"/>
        </w:rPr>
        <w:t>13</w:t>
      </w:r>
      <w:r w:rsidR="00575022" w:rsidRPr="00697D58">
        <w:rPr>
          <w:lang w:val="en-US"/>
        </w:rPr>
        <w:t xml:space="preserve">Amiri Hospital, </w:t>
      </w:r>
      <w:proofErr w:type="spellStart"/>
      <w:r w:rsidR="00575022" w:rsidRPr="00697D58">
        <w:rPr>
          <w:lang w:val="en-US"/>
        </w:rPr>
        <w:t>P.</w:t>
      </w:r>
      <w:proofErr w:type="gramStart"/>
      <w:r w:rsidR="00575022" w:rsidRPr="00697D58">
        <w:rPr>
          <w:lang w:val="en-US"/>
        </w:rPr>
        <w:t>O.Box</w:t>
      </w:r>
      <w:proofErr w:type="spellEnd"/>
      <w:proofErr w:type="gramEnd"/>
      <w:r w:rsidR="00575022" w:rsidRPr="00697D58">
        <w:rPr>
          <w:lang w:val="en-US"/>
        </w:rPr>
        <w:t xml:space="preserve"> 1661. </w:t>
      </w:r>
      <w:proofErr w:type="spellStart"/>
      <w:r w:rsidR="00575022" w:rsidRPr="00697D58">
        <w:rPr>
          <w:lang w:val="en-US"/>
        </w:rPr>
        <w:t>Qurtoba</w:t>
      </w:r>
      <w:proofErr w:type="spellEnd"/>
      <w:r w:rsidR="00575022" w:rsidRPr="00697D58">
        <w:rPr>
          <w:lang w:val="en-US"/>
        </w:rPr>
        <w:t>, Kuwait City, 73767, Kuwait</w:t>
      </w:r>
    </w:p>
    <w:p w14:paraId="182ACC62" w14:textId="1CD69A92" w:rsidR="00575022" w:rsidRPr="00697D58" w:rsidRDefault="008F0933" w:rsidP="00B619C5">
      <w:pPr>
        <w:spacing w:line="480" w:lineRule="auto"/>
      </w:pPr>
      <w:r w:rsidRPr="00AB648C">
        <w:rPr>
          <w:vertAlign w:val="superscript"/>
          <w:lang w:val="en-US"/>
        </w:rPr>
        <w:t>14</w:t>
      </w:r>
      <w:proofErr w:type="spellStart"/>
      <w:r w:rsidR="00575022" w:rsidRPr="00697D58">
        <w:t>Zuyderland</w:t>
      </w:r>
      <w:proofErr w:type="spellEnd"/>
      <w:r w:rsidR="00575022" w:rsidRPr="00697D58">
        <w:t xml:space="preserve"> Medical </w:t>
      </w:r>
      <w:proofErr w:type="spellStart"/>
      <w:r w:rsidR="00575022" w:rsidRPr="00697D58">
        <w:t>Center</w:t>
      </w:r>
      <w:proofErr w:type="spellEnd"/>
      <w:r w:rsidR="00575022" w:rsidRPr="00697D58">
        <w:t xml:space="preserve">. </w:t>
      </w:r>
      <w:proofErr w:type="spellStart"/>
      <w:r w:rsidR="00575022" w:rsidRPr="00697D58">
        <w:t>Dr.H</w:t>
      </w:r>
      <w:proofErr w:type="spellEnd"/>
      <w:r w:rsidR="00575022" w:rsidRPr="00697D58">
        <w:t xml:space="preserve"> van der </w:t>
      </w:r>
      <w:proofErr w:type="spellStart"/>
      <w:r w:rsidR="00575022" w:rsidRPr="00697D58">
        <w:t>Hoffplein</w:t>
      </w:r>
      <w:proofErr w:type="spellEnd"/>
      <w:r w:rsidR="00575022" w:rsidRPr="00697D58">
        <w:t xml:space="preserve"> 1 6162BG </w:t>
      </w:r>
      <w:proofErr w:type="spellStart"/>
      <w:r w:rsidR="00575022" w:rsidRPr="00697D58">
        <w:t>Sittard-Geleen</w:t>
      </w:r>
      <w:proofErr w:type="spellEnd"/>
    </w:p>
    <w:p w14:paraId="3CEF7C75" w14:textId="6FF492F3" w:rsidR="00575022" w:rsidRPr="00697D58" w:rsidRDefault="008F0933" w:rsidP="00B619C5">
      <w:pPr>
        <w:spacing w:line="480" w:lineRule="auto"/>
        <w:rPr>
          <w:lang w:val="en-US"/>
        </w:rPr>
      </w:pPr>
      <w:r w:rsidRPr="00AB648C">
        <w:rPr>
          <w:vertAlign w:val="superscript"/>
          <w:lang w:val="en-US"/>
        </w:rPr>
        <w:t>15</w:t>
      </w:r>
      <w:r w:rsidR="00575022" w:rsidRPr="00697D58">
        <w:rPr>
          <w:lang w:val="en-US"/>
        </w:rPr>
        <w:t xml:space="preserve">University of Queensland, 33 North Street, </w:t>
      </w:r>
      <w:proofErr w:type="gramStart"/>
      <w:r w:rsidR="00575022" w:rsidRPr="00697D58">
        <w:rPr>
          <w:lang w:val="en-US"/>
        </w:rPr>
        <w:t>Brisbane,  QLD</w:t>
      </w:r>
      <w:proofErr w:type="gramEnd"/>
      <w:r w:rsidR="00575022" w:rsidRPr="00697D58">
        <w:rPr>
          <w:lang w:val="en-US"/>
        </w:rPr>
        <w:t xml:space="preserve"> 4000, Australia; Royal Brisbane and Women's Hospital</w:t>
      </w:r>
    </w:p>
    <w:p w14:paraId="4A865877" w14:textId="3646485E" w:rsidR="00575022" w:rsidRPr="00697D58" w:rsidRDefault="00B32453">
      <w:pPr>
        <w:spacing w:line="480" w:lineRule="auto"/>
        <w:rPr>
          <w:lang w:val="en-US"/>
        </w:rPr>
      </w:pPr>
      <w:r w:rsidRPr="00AB648C">
        <w:rPr>
          <w:color w:val="000000" w:themeColor="text1"/>
          <w:vertAlign w:val="superscript"/>
          <w:lang w:val="en-US"/>
        </w:rPr>
        <w:t>16</w:t>
      </w:r>
      <w:r w:rsidR="00575022" w:rsidRPr="00697D58">
        <w:rPr>
          <w:lang w:val="en-US"/>
        </w:rPr>
        <w:t xml:space="preserve">Cliniques </w:t>
      </w:r>
      <w:proofErr w:type="spellStart"/>
      <w:r w:rsidR="00575022" w:rsidRPr="00697D58">
        <w:rPr>
          <w:lang w:val="en-US"/>
        </w:rPr>
        <w:t>Universitaires</w:t>
      </w:r>
      <w:proofErr w:type="spellEnd"/>
      <w:r w:rsidR="00575022" w:rsidRPr="00697D58">
        <w:rPr>
          <w:lang w:val="en-US"/>
        </w:rPr>
        <w:t xml:space="preserve"> Saint-Luc</w:t>
      </w:r>
      <w:r w:rsidR="00575022" w:rsidRPr="008E2EB9">
        <w:rPr>
          <w:lang w:val="en-US"/>
        </w:rPr>
        <w:t xml:space="preserve">, </w:t>
      </w:r>
      <w:proofErr w:type="spellStart"/>
      <w:r w:rsidR="00575022" w:rsidRPr="008E2EB9">
        <w:rPr>
          <w:rFonts w:eastAsia="Times New Roman"/>
          <w:color w:val="000000"/>
        </w:rPr>
        <w:t>Université</w:t>
      </w:r>
      <w:proofErr w:type="spellEnd"/>
      <w:r w:rsidR="00575022" w:rsidRPr="008E2EB9">
        <w:rPr>
          <w:rFonts w:eastAsia="Times New Roman"/>
          <w:color w:val="000000"/>
        </w:rPr>
        <w:t xml:space="preserve"> </w:t>
      </w:r>
      <w:proofErr w:type="spellStart"/>
      <w:r w:rsidR="00575022" w:rsidRPr="008E2EB9">
        <w:rPr>
          <w:rFonts w:eastAsia="Times New Roman"/>
          <w:color w:val="000000"/>
        </w:rPr>
        <w:t>Catholique</w:t>
      </w:r>
      <w:proofErr w:type="spellEnd"/>
      <w:r w:rsidR="00575022" w:rsidRPr="008E2EB9">
        <w:rPr>
          <w:rFonts w:eastAsia="Times New Roman"/>
          <w:color w:val="000000"/>
        </w:rPr>
        <w:t xml:space="preserve"> de Louvain</w:t>
      </w:r>
      <w:r w:rsidR="00575022">
        <w:rPr>
          <w:rFonts w:eastAsia="Times New Roman"/>
          <w:color w:val="000000"/>
        </w:rPr>
        <w:t xml:space="preserve"> </w:t>
      </w:r>
      <w:r w:rsidR="00575022" w:rsidRPr="008E2EB9">
        <w:rPr>
          <w:lang w:val="en-US"/>
        </w:rPr>
        <w:t xml:space="preserve">avenue </w:t>
      </w:r>
      <w:proofErr w:type="spellStart"/>
      <w:r w:rsidR="00575022" w:rsidRPr="008E2EB9">
        <w:rPr>
          <w:lang w:val="en-US"/>
        </w:rPr>
        <w:t>Hippocrate</w:t>
      </w:r>
      <w:proofErr w:type="spellEnd"/>
      <w:r w:rsidR="00575022" w:rsidRPr="008E2EB9">
        <w:rPr>
          <w:lang w:val="en-US"/>
        </w:rPr>
        <w:t>, 10 UCL10/80, Brussels, 1200 BXL, Bel</w:t>
      </w:r>
      <w:r w:rsidR="00575022" w:rsidRPr="00697D58">
        <w:rPr>
          <w:lang w:val="en-US"/>
        </w:rPr>
        <w:t>gium</w:t>
      </w:r>
    </w:p>
    <w:p w14:paraId="1EFC9D68" w14:textId="27E0E3B8" w:rsidR="00575022" w:rsidRPr="00697D58" w:rsidRDefault="006A3163" w:rsidP="00B619C5">
      <w:pPr>
        <w:spacing w:line="480" w:lineRule="auto"/>
        <w:rPr>
          <w:lang w:val="en-US"/>
        </w:rPr>
      </w:pPr>
      <w:r w:rsidRPr="00AB648C">
        <w:rPr>
          <w:vertAlign w:val="superscript"/>
          <w:lang w:val="en-US"/>
        </w:rPr>
        <w:t>17</w:t>
      </w:r>
      <w:r w:rsidR="00575022" w:rsidRPr="00697D58">
        <w:rPr>
          <w:lang w:val="en-US"/>
        </w:rPr>
        <w:t xml:space="preserve">Department of Neuroscience, </w:t>
      </w:r>
      <w:proofErr w:type="spellStart"/>
      <w:r w:rsidR="00575022" w:rsidRPr="00697D58">
        <w:rPr>
          <w:lang w:val="en-US"/>
        </w:rPr>
        <w:t>Azienda</w:t>
      </w:r>
      <w:proofErr w:type="spellEnd"/>
      <w:r w:rsidR="00575022" w:rsidRPr="00697D58">
        <w:rPr>
          <w:lang w:val="en-US"/>
        </w:rPr>
        <w:t xml:space="preserve"> </w:t>
      </w:r>
      <w:proofErr w:type="spellStart"/>
      <w:r w:rsidR="00575022" w:rsidRPr="00697D58">
        <w:rPr>
          <w:lang w:val="en-US"/>
        </w:rPr>
        <w:t>Ospedaliera</w:t>
      </w:r>
      <w:proofErr w:type="spellEnd"/>
      <w:r w:rsidR="00575022" w:rsidRPr="00697D58">
        <w:rPr>
          <w:lang w:val="en-US"/>
        </w:rPr>
        <w:t xml:space="preserve"> </w:t>
      </w:r>
      <w:proofErr w:type="spellStart"/>
      <w:r w:rsidR="00575022" w:rsidRPr="00697D58">
        <w:rPr>
          <w:lang w:val="en-US"/>
        </w:rPr>
        <w:t>Universitaria</w:t>
      </w:r>
      <w:proofErr w:type="spellEnd"/>
      <w:r w:rsidR="00575022" w:rsidRPr="00697D58">
        <w:rPr>
          <w:lang w:val="en-US"/>
        </w:rPr>
        <w:t xml:space="preserve">, via </w:t>
      </w:r>
      <w:proofErr w:type="spellStart"/>
      <w:r w:rsidR="00575022" w:rsidRPr="00697D58">
        <w:rPr>
          <w:lang w:val="en-US"/>
        </w:rPr>
        <w:t>giardini</w:t>
      </w:r>
      <w:proofErr w:type="spellEnd"/>
      <w:r w:rsidR="00575022" w:rsidRPr="00697D58">
        <w:rPr>
          <w:lang w:val="en-US"/>
        </w:rPr>
        <w:t xml:space="preserve"> 1355, Modena, 41100, Italy</w:t>
      </w:r>
    </w:p>
    <w:p w14:paraId="207EA81D" w14:textId="10AC138C" w:rsidR="00575022" w:rsidRPr="00697D58" w:rsidRDefault="006A3163" w:rsidP="00B619C5">
      <w:pPr>
        <w:spacing w:line="480" w:lineRule="auto"/>
        <w:rPr>
          <w:lang w:val="en-US"/>
        </w:rPr>
      </w:pPr>
      <w:r w:rsidRPr="00AB648C">
        <w:rPr>
          <w:vertAlign w:val="superscript"/>
          <w:lang w:val="en-US"/>
        </w:rPr>
        <w:t>18</w:t>
      </w:r>
      <w:r w:rsidR="00575022" w:rsidRPr="00697D58">
        <w:rPr>
          <w:lang w:val="en-US"/>
        </w:rPr>
        <w:t xml:space="preserve">Neuro Rive-Sud, 4896 boul. </w:t>
      </w:r>
      <w:proofErr w:type="spellStart"/>
      <w:r w:rsidR="00575022" w:rsidRPr="00697D58">
        <w:rPr>
          <w:lang w:val="en-US"/>
        </w:rPr>
        <w:t>Taschereau</w:t>
      </w:r>
      <w:proofErr w:type="spellEnd"/>
      <w:r w:rsidR="00575022" w:rsidRPr="00697D58">
        <w:rPr>
          <w:lang w:val="en-US"/>
        </w:rPr>
        <w:t>, suite 250, Quebec, J4V 2J2, Canada</w:t>
      </w:r>
    </w:p>
    <w:p w14:paraId="360424CC" w14:textId="45DB63F0" w:rsidR="00575022" w:rsidRPr="00697D58" w:rsidRDefault="006A3163" w:rsidP="00B619C5">
      <w:pPr>
        <w:spacing w:line="480" w:lineRule="auto"/>
        <w:rPr>
          <w:color w:val="000000" w:themeColor="text1"/>
          <w:lang w:val="en-US"/>
        </w:rPr>
      </w:pPr>
      <w:r w:rsidRPr="00AB648C">
        <w:rPr>
          <w:color w:val="000000" w:themeColor="text1"/>
          <w:vertAlign w:val="superscript"/>
          <w:lang w:val="en-US"/>
        </w:rPr>
        <w:t>19</w:t>
      </w:r>
      <w:r w:rsidR="00575022" w:rsidRPr="00697D58">
        <w:rPr>
          <w:color w:val="000000" w:themeColor="text1"/>
          <w:lang w:val="en-US"/>
        </w:rPr>
        <w:t xml:space="preserve">Medical Faculty, 19 </w:t>
      </w:r>
      <w:proofErr w:type="spellStart"/>
      <w:r w:rsidR="00575022" w:rsidRPr="00697D58">
        <w:rPr>
          <w:color w:val="000000" w:themeColor="text1"/>
          <w:lang w:val="en-US"/>
        </w:rPr>
        <w:t>Mayis</w:t>
      </w:r>
      <w:proofErr w:type="spellEnd"/>
      <w:r w:rsidR="00575022" w:rsidRPr="00697D58">
        <w:rPr>
          <w:color w:val="000000" w:themeColor="text1"/>
          <w:lang w:val="en-US"/>
        </w:rPr>
        <w:t xml:space="preserve"> University, </w:t>
      </w:r>
      <w:proofErr w:type="spellStart"/>
      <w:r w:rsidR="00575022" w:rsidRPr="00697D58">
        <w:rPr>
          <w:color w:val="000000" w:themeColor="text1"/>
          <w:lang w:val="en-US"/>
        </w:rPr>
        <w:t>Kurupelit</w:t>
      </w:r>
      <w:proofErr w:type="spellEnd"/>
      <w:r w:rsidR="00575022" w:rsidRPr="00697D58">
        <w:rPr>
          <w:color w:val="000000" w:themeColor="text1"/>
          <w:lang w:val="en-US"/>
        </w:rPr>
        <w:t>, Samsun, 55160, Turkey</w:t>
      </w:r>
    </w:p>
    <w:p w14:paraId="58046BCB" w14:textId="77777777" w:rsidR="00575022" w:rsidRPr="00697D58" w:rsidRDefault="00575022" w:rsidP="00B619C5">
      <w:pPr>
        <w:spacing w:line="480" w:lineRule="auto"/>
        <w:rPr>
          <w:lang w:val="en-US"/>
        </w:rPr>
      </w:pPr>
      <w:r>
        <w:rPr>
          <w:lang w:val="en-US"/>
        </w:rPr>
        <w:t>Jeannette Lechner-Scott,</w:t>
      </w:r>
      <w:r w:rsidRPr="00697D58">
        <w:rPr>
          <w:lang w:val="en-US"/>
        </w:rPr>
        <w:t xml:space="preserve"> PhD; School of Medicine and Public Health, University Newcastle, Lookout Road, Newcastle, 2305, Australia; Department of Neurology, John Hunter Hospital, Hunter New England Health, Newcastle, Australia</w:t>
      </w:r>
    </w:p>
    <w:p w14:paraId="3CA821BD" w14:textId="0C95CA34" w:rsidR="00575022" w:rsidRPr="00697D58" w:rsidRDefault="006A3163" w:rsidP="00B619C5">
      <w:pPr>
        <w:spacing w:line="480" w:lineRule="auto"/>
        <w:rPr>
          <w:color w:val="000000" w:themeColor="text1"/>
          <w:lang w:val="en-US"/>
        </w:rPr>
      </w:pPr>
      <w:r w:rsidRPr="00AB648C">
        <w:rPr>
          <w:color w:val="000000" w:themeColor="text1"/>
          <w:vertAlign w:val="superscript"/>
          <w:lang w:val="en-US"/>
        </w:rPr>
        <w:t>20</w:t>
      </w:r>
      <w:r w:rsidR="00575022" w:rsidRPr="00697D58">
        <w:rPr>
          <w:color w:val="000000" w:themeColor="text1"/>
          <w:lang w:val="en-US"/>
        </w:rPr>
        <w:t xml:space="preserve">Asaf </w:t>
      </w:r>
      <w:proofErr w:type="spellStart"/>
      <w:r w:rsidR="00575022" w:rsidRPr="00697D58">
        <w:rPr>
          <w:color w:val="000000" w:themeColor="text1"/>
          <w:lang w:val="en-US"/>
        </w:rPr>
        <w:t>Harofen</w:t>
      </w:r>
      <w:proofErr w:type="spellEnd"/>
      <w:r w:rsidR="00575022" w:rsidRPr="00697D58">
        <w:rPr>
          <w:color w:val="000000" w:themeColor="text1"/>
          <w:lang w:val="en-US"/>
        </w:rPr>
        <w:t xml:space="preserve"> Medical Center, Beer-Yaakov, </w:t>
      </w:r>
      <w:proofErr w:type="spellStart"/>
      <w:r w:rsidR="00575022" w:rsidRPr="00697D58">
        <w:rPr>
          <w:color w:val="000000" w:themeColor="text1"/>
          <w:lang w:val="en-US"/>
        </w:rPr>
        <w:t>Zerifin</w:t>
      </w:r>
      <w:proofErr w:type="spellEnd"/>
      <w:r w:rsidR="00575022" w:rsidRPr="00697D58">
        <w:rPr>
          <w:color w:val="000000" w:themeColor="text1"/>
          <w:lang w:val="en-US"/>
        </w:rPr>
        <w:t>, 70100, Israel.</w:t>
      </w:r>
    </w:p>
    <w:p w14:paraId="19232515" w14:textId="2A4EC433" w:rsidR="00575022" w:rsidRPr="00697D58" w:rsidRDefault="006A3163" w:rsidP="00B619C5">
      <w:pPr>
        <w:spacing w:line="480" w:lineRule="auto"/>
        <w:rPr>
          <w:lang w:val="en-US"/>
        </w:rPr>
      </w:pPr>
      <w:r w:rsidRPr="00AB648C">
        <w:rPr>
          <w:vertAlign w:val="superscript"/>
          <w:lang w:val="en-US"/>
        </w:rPr>
        <w:t>21</w:t>
      </w:r>
      <w:r w:rsidR="00575022" w:rsidRPr="00697D58">
        <w:rPr>
          <w:lang w:val="en-US"/>
        </w:rPr>
        <w:t>Flinders University, Flinders Drive, Adelaide, 5042, Australia</w:t>
      </w:r>
    </w:p>
    <w:p w14:paraId="74524CCD" w14:textId="2AC9B19E" w:rsidR="00575022" w:rsidRPr="00697D58" w:rsidRDefault="00A82C7F" w:rsidP="00B619C5">
      <w:pPr>
        <w:spacing w:line="480" w:lineRule="auto"/>
        <w:rPr>
          <w:color w:val="000000" w:themeColor="text1"/>
          <w:lang w:val="en-US"/>
        </w:rPr>
      </w:pPr>
      <w:r w:rsidRPr="00AB648C">
        <w:rPr>
          <w:color w:val="000000" w:themeColor="text1"/>
          <w:vertAlign w:val="superscript"/>
          <w:lang w:val="en-US"/>
        </w:rPr>
        <w:t>22</w:t>
      </w:r>
      <w:r w:rsidR="00575022" w:rsidRPr="00697D58">
        <w:rPr>
          <w:color w:val="000000" w:themeColor="text1"/>
          <w:lang w:val="en-US"/>
        </w:rPr>
        <w:t xml:space="preserve">Isfahan University of Medical Sciences, </w:t>
      </w:r>
      <w:proofErr w:type="spellStart"/>
      <w:r w:rsidR="00575022" w:rsidRPr="00697D58">
        <w:rPr>
          <w:color w:val="000000" w:themeColor="text1"/>
          <w:lang w:val="en-US"/>
        </w:rPr>
        <w:t>Soffeh</w:t>
      </w:r>
      <w:proofErr w:type="spellEnd"/>
      <w:r w:rsidR="00575022" w:rsidRPr="00697D58">
        <w:rPr>
          <w:color w:val="000000" w:themeColor="text1"/>
          <w:lang w:val="en-US"/>
        </w:rPr>
        <w:t xml:space="preserve"> </w:t>
      </w:r>
      <w:proofErr w:type="gramStart"/>
      <w:r w:rsidR="00575022" w:rsidRPr="00697D58">
        <w:rPr>
          <w:color w:val="000000" w:themeColor="text1"/>
          <w:lang w:val="en-US"/>
        </w:rPr>
        <w:t>St ,</w:t>
      </w:r>
      <w:proofErr w:type="gramEnd"/>
      <w:r w:rsidR="00575022" w:rsidRPr="00697D58">
        <w:rPr>
          <w:color w:val="000000" w:themeColor="text1"/>
          <w:lang w:val="en-US"/>
        </w:rPr>
        <w:t xml:space="preserve"> Isfahan, 81744, Iran</w:t>
      </w:r>
    </w:p>
    <w:p w14:paraId="14593AD4" w14:textId="16AFD31E" w:rsidR="00575022" w:rsidRPr="00697D58" w:rsidRDefault="00A82C7F" w:rsidP="00B619C5">
      <w:pPr>
        <w:spacing w:line="480" w:lineRule="auto"/>
        <w:rPr>
          <w:lang w:val="en-US"/>
        </w:rPr>
      </w:pPr>
      <w:r w:rsidRPr="00AB648C">
        <w:rPr>
          <w:vertAlign w:val="superscript"/>
          <w:lang w:val="en-US"/>
        </w:rPr>
        <w:t>23</w:t>
      </w:r>
      <w:r w:rsidR="00575022" w:rsidRPr="00697D58">
        <w:rPr>
          <w:lang w:val="en-US"/>
        </w:rPr>
        <w:t xml:space="preserve">UOC </w:t>
      </w:r>
      <w:proofErr w:type="spellStart"/>
      <w:r w:rsidR="00575022" w:rsidRPr="00697D58">
        <w:rPr>
          <w:lang w:val="en-US"/>
        </w:rPr>
        <w:t>Neurologia</w:t>
      </w:r>
      <w:proofErr w:type="spellEnd"/>
      <w:r w:rsidR="00575022" w:rsidRPr="00697D58">
        <w:rPr>
          <w:lang w:val="en-US"/>
        </w:rPr>
        <w:t xml:space="preserve">, </w:t>
      </w:r>
      <w:proofErr w:type="spellStart"/>
      <w:r w:rsidR="00575022" w:rsidRPr="00697D58">
        <w:rPr>
          <w:lang w:val="en-US"/>
        </w:rPr>
        <w:t>Azienda</w:t>
      </w:r>
      <w:proofErr w:type="spellEnd"/>
      <w:r w:rsidR="00575022" w:rsidRPr="00697D58">
        <w:rPr>
          <w:lang w:val="en-US"/>
        </w:rPr>
        <w:t xml:space="preserve"> Sanitaria </w:t>
      </w:r>
      <w:proofErr w:type="spellStart"/>
      <w:r w:rsidR="00575022" w:rsidRPr="00697D58">
        <w:rPr>
          <w:lang w:val="en-US"/>
        </w:rPr>
        <w:t>Unica</w:t>
      </w:r>
      <w:proofErr w:type="spellEnd"/>
      <w:r w:rsidR="00575022" w:rsidRPr="00697D58">
        <w:rPr>
          <w:lang w:val="en-US"/>
        </w:rPr>
        <w:t xml:space="preserve"> </w:t>
      </w:r>
      <w:proofErr w:type="spellStart"/>
      <w:r w:rsidR="00575022" w:rsidRPr="00697D58">
        <w:rPr>
          <w:lang w:val="en-US"/>
        </w:rPr>
        <w:t>Regionale</w:t>
      </w:r>
      <w:proofErr w:type="spellEnd"/>
      <w:r w:rsidR="00575022" w:rsidRPr="00697D58">
        <w:rPr>
          <w:lang w:val="en-US"/>
        </w:rPr>
        <w:t xml:space="preserve"> Marche - AV3, Via Santa Lucia 2, Macerata, 62100, Italy</w:t>
      </w:r>
    </w:p>
    <w:p w14:paraId="3E328F4A" w14:textId="7242DBC5" w:rsidR="00575022" w:rsidRPr="00697D58" w:rsidRDefault="00A82C7F" w:rsidP="00B619C5">
      <w:pPr>
        <w:spacing w:line="480" w:lineRule="auto"/>
        <w:rPr>
          <w:lang w:val="en-US"/>
        </w:rPr>
      </w:pPr>
      <w:r w:rsidRPr="00AB648C">
        <w:rPr>
          <w:vertAlign w:val="superscript"/>
          <w:lang w:val="en-US"/>
        </w:rPr>
        <w:t>24</w:t>
      </w:r>
      <w:r w:rsidR="00575022" w:rsidRPr="00697D58">
        <w:rPr>
          <w:lang w:val="en-US"/>
        </w:rPr>
        <w:t>University of Parma, VIA GRAMSCI, 14, Parma, 43100, Italy</w:t>
      </w:r>
    </w:p>
    <w:p w14:paraId="34AFCD2B" w14:textId="09F60569" w:rsidR="00FE0359" w:rsidRDefault="00FE0359" w:rsidP="00B619C5">
      <w:pPr>
        <w:spacing w:line="480" w:lineRule="auto"/>
        <w:rPr>
          <w:lang w:val="en-US"/>
        </w:rPr>
      </w:pPr>
      <w:r w:rsidRPr="00AB648C">
        <w:rPr>
          <w:vertAlign w:val="superscript"/>
          <w:lang w:val="en-US"/>
        </w:rPr>
        <w:t>25</w:t>
      </w:r>
      <w:r w:rsidR="00575022" w:rsidRPr="00697D58">
        <w:rPr>
          <w:lang w:val="en-US"/>
        </w:rPr>
        <w:t xml:space="preserve">Department of Medicine, University of Melbourne, 300 Grattan St, Melbourne, 3050, Australia; </w:t>
      </w:r>
    </w:p>
    <w:p w14:paraId="575EC8CE" w14:textId="77777777" w:rsidR="00575022" w:rsidRPr="00697D58" w:rsidRDefault="00FE0359" w:rsidP="00B619C5">
      <w:pPr>
        <w:spacing w:line="480" w:lineRule="auto"/>
        <w:rPr>
          <w:lang w:val="en-US"/>
        </w:rPr>
      </w:pPr>
      <w:r w:rsidRPr="00AB648C">
        <w:rPr>
          <w:vertAlign w:val="superscript"/>
          <w:lang w:val="en-US"/>
        </w:rPr>
        <w:lastRenderedPageBreak/>
        <w:t>26</w:t>
      </w:r>
      <w:r w:rsidR="00575022" w:rsidRPr="00697D58">
        <w:rPr>
          <w:lang w:val="en-US"/>
        </w:rPr>
        <w:t>Department of Neurology, Royal Melbourne Hospital, Melbourne, Australia</w:t>
      </w:r>
    </w:p>
    <w:p w14:paraId="6A4A6D09" w14:textId="3E3A55E6" w:rsidR="00575022" w:rsidRPr="00697D58" w:rsidRDefault="00FE0359" w:rsidP="00B619C5">
      <w:pPr>
        <w:spacing w:line="480" w:lineRule="auto"/>
        <w:rPr>
          <w:lang w:val="en-US"/>
        </w:rPr>
      </w:pPr>
      <w:r w:rsidRPr="00AB648C">
        <w:rPr>
          <w:vertAlign w:val="superscript"/>
          <w:lang w:val="en-US"/>
        </w:rPr>
        <w:t>27</w:t>
      </w:r>
      <w:r w:rsidR="00575022" w:rsidRPr="00697D58">
        <w:rPr>
          <w:lang w:val="en-US"/>
        </w:rPr>
        <w:t>Department of Neurology, Institute of Psychological Medicine and Clinical Neuroscience, Cardiff University, University Hospital of Wales, Cardiff, UK</w:t>
      </w:r>
    </w:p>
    <w:p w14:paraId="4445E92E" w14:textId="5EFE40B4" w:rsidR="00575022" w:rsidRPr="00C3392D" w:rsidRDefault="00FE0359" w:rsidP="00B619C5">
      <w:pPr>
        <w:pStyle w:val="NoSpacing"/>
        <w:spacing w:line="480" w:lineRule="auto"/>
        <w:rPr>
          <w:rFonts w:ascii="Calibri" w:hAnsi="Calibri" w:cs="Calibri"/>
          <w:sz w:val="22"/>
          <w:szCs w:val="22"/>
        </w:rPr>
      </w:pPr>
      <w:r w:rsidRPr="00AB648C">
        <w:rPr>
          <w:rFonts w:ascii="Calibri" w:hAnsi="Calibri" w:cs="Calibri"/>
          <w:sz w:val="22"/>
          <w:szCs w:val="22"/>
          <w:vertAlign w:val="superscript"/>
          <w:lang w:val="en-US"/>
        </w:rPr>
        <w:t>28</w:t>
      </w:r>
      <w:r w:rsidR="00575022" w:rsidRPr="00C3392D">
        <w:rPr>
          <w:rFonts w:ascii="Calibri" w:hAnsi="Calibri" w:cs="Calibri"/>
          <w:sz w:val="22"/>
          <w:szCs w:val="22"/>
          <w:lang w:val="en-US"/>
        </w:rPr>
        <w:t xml:space="preserve">Department of Neurology, Southmead Hospital, Bristol, UK and </w:t>
      </w:r>
      <w:r w:rsidR="00575022" w:rsidRPr="00C3392D">
        <w:rPr>
          <w:rFonts w:ascii="Calibri" w:hAnsi="Calibri" w:cs="Calibri"/>
          <w:sz w:val="22"/>
          <w:szCs w:val="22"/>
        </w:rPr>
        <w:t>Clinical Neurosciences, University of Bristol, Bristol, UK </w:t>
      </w:r>
    </w:p>
    <w:p w14:paraId="3DBDA6D2" w14:textId="65A79382" w:rsidR="00575022" w:rsidRPr="00697D58" w:rsidRDefault="00E65456" w:rsidP="00B619C5">
      <w:pPr>
        <w:spacing w:line="480" w:lineRule="auto"/>
        <w:rPr>
          <w:lang w:val="en-US"/>
        </w:rPr>
      </w:pPr>
      <w:r w:rsidRPr="00AB648C">
        <w:rPr>
          <w:vertAlign w:val="superscript"/>
          <w:lang w:val="en-US"/>
        </w:rPr>
        <w:t>29</w:t>
      </w:r>
      <w:r w:rsidR="00575022" w:rsidRPr="00697D58">
        <w:rPr>
          <w:lang w:val="en-US"/>
        </w:rPr>
        <w:t xml:space="preserve">Abertawe Bro, </w:t>
      </w:r>
      <w:proofErr w:type="spellStart"/>
      <w:r w:rsidR="00575022" w:rsidRPr="00697D58">
        <w:rPr>
          <w:lang w:val="en-US"/>
        </w:rPr>
        <w:t>Morgannwg</w:t>
      </w:r>
      <w:proofErr w:type="spellEnd"/>
      <w:r w:rsidR="00575022" w:rsidRPr="00697D58">
        <w:rPr>
          <w:lang w:val="en-US"/>
        </w:rPr>
        <w:t xml:space="preserve"> University Local Health Board, Swansea, UK</w:t>
      </w:r>
    </w:p>
    <w:p w14:paraId="2FB5A0BB" w14:textId="68D2CB80" w:rsidR="00575022" w:rsidRPr="00697D58" w:rsidRDefault="00BC6E99" w:rsidP="00B619C5">
      <w:pPr>
        <w:spacing w:line="480" w:lineRule="auto"/>
        <w:rPr>
          <w:lang w:val="en-US"/>
        </w:rPr>
      </w:pPr>
      <w:r w:rsidRPr="00AB648C">
        <w:rPr>
          <w:vertAlign w:val="superscript"/>
          <w:lang w:val="en-US"/>
        </w:rPr>
        <w:t>30</w:t>
      </w:r>
      <w:r w:rsidR="00575022" w:rsidRPr="00697D58">
        <w:rPr>
          <w:lang w:val="en-US"/>
        </w:rPr>
        <w:t>Center of Clinical Neuroscience, Department of Neurology, MS Center Dresden, Dresden, Germany</w:t>
      </w:r>
    </w:p>
    <w:p w14:paraId="65E3E2A0" w14:textId="79D5CF34" w:rsidR="00575022" w:rsidRPr="00697D58" w:rsidRDefault="00BC6E99" w:rsidP="00B619C5">
      <w:pPr>
        <w:spacing w:line="480" w:lineRule="auto"/>
        <w:rPr>
          <w:lang w:val="en-US"/>
        </w:rPr>
      </w:pPr>
      <w:r w:rsidRPr="00AB648C">
        <w:rPr>
          <w:vertAlign w:val="superscript"/>
          <w:lang w:val="en-US"/>
        </w:rPr>
        <w:t>31</w:t>
      </w:r>
      <w:r w:rsidR="00575022" w:rsidRPr="00697D58">
        <w:rPr>
          <w:lang w:val="en-US"/>
        </w:rPr>
        <w:t>School of Medicine and Medical Sciences, University College Dublin, St Vincent</w:t>
      </w:r>
      <w:r w:rsidR="00575022" w:rsidRPr="008E2EB9">
        <w:rPr>
          <w:lang w:val="en-US"/>
        </w:rPr>
        <w:t>’</w:t>
      </w:r>
      <w:r w:rsidR="00575022" w:rsidRPr="00697D58">
        <w:rPr>
          <w:lang w:val="en-US"/>
        </w:rPr>
        <w:t>s University, Hospital, Dublin, Ireland</w:t>
      </w:r>
    </w:p>
    <w:p w14:paraId="7279F2E8" w14:textId="7FAECD82" w:rsidR="00575022" w:rsidRPr="00697D58" w:rsidRDefault="00BC6E99" w:rsidP="00B619C5">
      <w:pPr>
        <w:spacing w:line="480" w:lineRule="auto"/>
        <w:rPr>
          <w:rFonts w:eastAsia="Times New Roman"/>
        </w:rPr>
      </w:pPr>
      <w:r w:rsidRPr="00AB648C">
        <w:rPr>
          <w:vertAlign w:val="superscript"/>
          <w:lang w:val="en-US"/>
        </w:rPr>
        <w:t>32</w:t>
      </w:r>
      <w:r w:rsidR="00575022" w:rsidRPr="00697D58">
        <w:rPr>
          <w:rFonts w:eastAsia="Times New Roman"/>
          <w:color w:val="000000"/>
        </w:rPr>
        <w:t>Institute for Psychological Medicine and Clinical Neurosciences, Cardiff University, Wales </w:t>
      </w:r>
    </w:p>
    <w:p w14:paraId="64B986CE" w14:textId="58B916C5" w:rsidR="006C18F6" w:rsidRDefault="006C18F6" w:rsidP="006C18F6">
      <w:pPr>
        <w:spacing w:line="480" w:lineRule="auto"/>
        <w:rPr>
          <w:lang w:val="en-US"/>
        </w:rPr>
      </w:pPr>
      <w:r w:rsidRPr="00AB648C">
        <w:rPr>
          <w:vertAlign w:val="superscript"/>
          <w:lang w:val="en-US"/>
        </w:rPr>
        <w:t>32</w:t>
      </w:r>
      <w:r w:rsidR="00575022" w:rsidRPr="00697D58">
        <w:rPr>
          <w:lang w:val="en-US"/>
        </w:rPr>
        <w:t xml:space="preserve">Dept of Neuroscience, Central Clinical School, Alfred Campus, Monash University; </w:t>
      </w:r>
    </w:p>
    <w:p w14:paraId="3C757CB4" w14:textId="7E33790B" w:rsidR="00575022" w:rsidRPr="00697D58" w:rsidRDefault="006C18F6" w:rsidP="009E1930">
      <w:pPr>
        <w:spacing w:line="480" w:lineRule="auto"/>
        <w:rPr>
          <w:lang w:val="en-US"/>
        </w:rPr>
      </w:pPr>
      <w:r w:rsidRPr="00AB648C">
        <w:rPr>
          <w:vertAlign w:val="superscript"/>
          <w:lang w:val="en-US"/>
        </w:rPr>
        <w:t>33</w:t>
      </w:r>
      <w:r w:rsidR="00575022" w:rsidRPr="00697D58">
        <w:rPr>
          <w:lang w:val="en-US"/>
        </w:rPr>
        <w:t>Department of Neurology, Box Hill Hospital, Monash University, Melbourne, Australia</w:t>
      </w:r>
    </w:p>
    <w:p w14:paraId="39542A6D" w14:textId="77777777" w:rsidR="00575022" w:rsidRPr="008E2EB9" w:rsidRDefault="00575022" w:rsidP="00B619C5">
      <w:pPr>
        <w:spacing w:line="480" w:lineRule="auto"/>
        <w:ind w:left="426" w:hanging="426"/>
        <w:rPr>
          <w:rFonts w:eastAsia="Times New Roman"/>
          <w:iCs/>
        </w:rPr>
      </w:pPr>
      <w:r w:rsidRPr="008E2EB9">
        <w:rPr>
          <w:rFonts w:eastAsia="Times New Roman"/>
          <w:iCs/>
        </w:rPr>
        <w:t xml:space="preserve">on behalf of the </w:t>
      </w:r>
      <w:proofErr w:type="spellStart"/>
      <w:r w:rsidRPr="008E2EB9">
        <w:rPr>
          <w:rFonts w:eastAsia="Times New Roman"/>
          <w:iCs/>
        </w:rPr>
        <w:t>MSBase</w:t>
      </w:r>
      <w:proofErr w:type="spellEnd"/>
      <w:r w:rsidRPr="008E2EB9">
        <w:rPr>
          <w:rFonts w:eastAsia="Times New Roman"/>
          <w:iCs/>
        </w:rPr>
        <w:t xml:space="preserve"> Study Group</w:t>
      </w:r>
      <w:r w:rsidRPr="008E2EB9">
        <w:rPr>
          <w:rFonts w:eastAsia="Times New Roman"/>
          <w:iCs/>
          <w:vertAlign w:val="superscript"/>
        </w:rPr>
        <w:t>#</w:t>
      </w:r>
    </w:p>
    <w:p w14:paraId="6CEC5DF4" w14:textId="77777777" w:rsidR="00575022" w:rsidRPr="008E2EB9" w:rsidRDefault="00575022" w:rsidP="00B619C5">
      <w:pPr>
        <w:spacing w:line="480" w:lineRule="auto"/>
        <w:ind w:left="426" w:hanging="426"/>
        <w:rPr>
          <w:rFonts w:eastAsia="Times New Roman"/>
          <w:iCs/>
        </w:rPr>
      </w:pPr>
    </w:p>
    <w:p w14:paraId="42DD48FC" w14:textId="77777777" w:rsidR="00575022" w:rsidRPr="008E2EB9" w:rsidRDefault="00575022" w:rsidP="00B619C5">
      <w:pPr>
        <w:spacing w:line="480" w:lineRule="auto"/>
        <w:ind w:left="426" w:hanging="426"/>
        <w:rPr>
          <w:rFonts w:eastAsia="Times New Roman"/>
          <w:iCs/>
        </w:rPr>
      </w:pPr>
      <w:r w:rsidRPr="008E2EB9">
        <w:rPr>
          <w:rFonts w:eastAsia="Times New Roman"/>
          <w:iCs/>
        </w:rPr>
        <w:t>* These authors contributed equally to the manuscript.</w:t>
      </w:r>
    </w:p>
    <w:p w14:paraId="3E45C264" w14:textId="068F0E3B" w:rsidR="00575022" w:rsidRPr="008E2EB9" w:rsidRDefault="00575022" w:rsidP="00B619C5">
      <w:pPr>
        <w:spacing w:line="480" w:lineRule="auto"/>
        <w:ind w:left="426" w:hanging="426"/>
        <w:rPr>
          <w:rFonts w:eastAsia="Times New Roman"/>
          <w:iCs/>
        </w:rPr>
      </w:pPr>
      <w:r w:rsidRPr="008E2EB9">
        <w:rPr>
          <w:rFonts w:eastAsia="Times New Roman"/>
          <w:iCs/>
          <w:vertAlign w:val="superscript"/>
        </w:rPr>
        <w:t xml:space="preserve"># </w:t>
      </w:r>
      <w:r w:rsidRPr="008E2EB9">
        <w:rPr>
          <w:rFonts w:eastAsia="Times New Roman"/>
          <w:iCs/>
        </w:rPr>
        <w:t xml:space="preserve">Contributing members of the </w:t>
      </w:r>
      <w:proofErr w:type="spellStart"/>
      <w:r w:rsidRPr="008E2EB9">
        <w:rPr>
          <w:rFonts w:eastAsia="Times New Roman"/>
          <w:iCs/>
        </w:rPr>
        <w:t>MSBase</w:t>
      </w:r>
      <w:proofErr w:type="spellEnd"/>
      <w:r w:rsidRPr="008E2EB9">
        <w:rPr>
          <w:rFonts w:eastAsia="Times New Roman"/>
          <w:iCs/>
        </w:rPr>
        <w:t xml:space="preserve"> Study Group are listed in </w:t>
      </w:r>
      <w:r w:rsidR="009E1930">
        <w:rPr>
          <w:rFonts w:eastAsia="Times New Roman"/>
          <w:iCs/>
        </w:rPr>
        <w:t>the acknowledgements</w:t>
      </w:r>
      <w:r w:rsidRPr="008E2EB9">
        <w:rPr>
          <w:rFonts w:eastAsia="Times New Roman"/>
          <w:iCs/>
        </w:rPr>
        <w:t>.</w:t>
      </w:r>
    </w:p>
    <w:p w14:paraId="153F3DD0" w14:textId="77777777" w:rsidR="00575022" w:rsidRDefault="00575022" w:rsidP="00B619C5">
      <w:pPr>
        <w:spacing w:line="480" w:lineRule="auto"/>
        <w:ind w:left="426" w:hanging="426"/>
        <w:rPr>
          <w:rFonts w:eastAsia="Times New Roman"/>
          <w:iCs/>
        </w:rPr>
      </w:pPr>
    </w:p>
    <w:p w14:paraId="363312FB" w14:textId="123D0D64" w:rsidR="00575022" w:rsidRDefault="00575022" w:rsidP="00B619C5">
      <w:pPr>
        <w:spacing w:line="480" w:lineRule="auto"/>
        <w:ind w:left="426" w:hanging="426"/>
        <w:rPr>
          <w:rFonts w:eastAsia="Times New Roman"/>
          <w:iCs/>
        </w:rPr>
      </w:pPr>
      <w:r>
        <w:rPr>
          <w:rFonts w:eastAsia="Times New Roman"/>
          <w:iCs/>
        </w:rPr>
        <w:t xml:space="preserve">Date of revision: </w:t>
      </w:r>
      <w:r w:rsidR="00C247A9">
        <w:rPr>
          <w:rFonts w:eastAsia="Times New Roman"/>
          <w:iCs/>
        </w:rPr>
        <w:t>26</w:t>
      </w:r>
      <w:r w:rsidR="00C247A9" w:rsidRPr="001D75E2">
        <w:rPr>
          <w:rFonts w:eastAsia="Times New Roman"/>
          <w:iCs/>
          <w:vertAlign w:val="superscript"/>
        </w:rPr>
        <w:t>th</w:t>
      </w:r>
      <w:r w:rsidR="00C247A9" w:rsidRPr="001D75E2">
        <w:rPr>
          <w:rFonts w:eastAsia="Times New Roman"/>
          <w:iCs/>
        </w:rPr>
        <w:t xml:space="preserve"> </w:t>
      </w:r>
      <w:r w:rsidR="00C247A9">
        <w:rPr>
          <w:rFonts w:eastAsia="Times New Roman"/>
          <w:iCs/>
        </w:rPr>
        <w:t>November</w:t>
      </w:r>
      <w:r w:rsidR="00C247A9" w:rsidRPr="001D75E2">
        <w:rPr>
          <w:rFonts w:eastAsia="Times New Roman"/>
          <w:iCs/>
        </w:rPr>
        <w:t xml:space="preserve"> </w:t>
      </w:r>
      <w:r w:rsidRPr="001D75E2">
        <w:rPr>
          <w:rFonts w:eastAsia="Times New Roman"/>
          <w:iCs/>
        </w:rPr>
        <w:t>2018</w:t>
      </w:r>
    </w:p>
    <w:p w14:paraId="606BE66C" w14:textId="77777777" w:rsidR="00575022" w:rsidRPr="008E2EB9" w:rsidRDefault="00575022" w:rsidP="00B619C5">
      <w:pPr>
        <w:spacing w:line="480" w:lineRule="auto"/>
        <w:ind w:left="426" w:hanging="426"/>
        <w:rPr>
          <w:rFonts w:eastAsia="Times New Roman"/>
          <w:iCs/>
        </w:rPr>
      </w:pPr>
    </w:p>
    <w:p w14:paraId="2673A2C4" w14:textId="77777777" w:rsidR="00575022" w:rsidRPr="00697D58" w:rsidRDefault="00575022" w:rsidP="00B619C5">
      <w:pPr>
        <w:spacing w:line="480" w:lineRule="auto"/>
        <w:rPr>
          <w:lang w:val="en-US"/>
        </w:rPr>
      </w:pPr>
      <w:r w:rsidRPr="008E2EB9">
        <w:rPr>
          <w:rFonts w:eastAsia="Times New Roman"/>
          <w:b/>
        </w:rPr>
        <w:t xml:space="preserve">Corresponding author </w:t>
      </w:r>
    </w:p>
    <w:p w14:paraId="3D37F166" w14:textId="77777777" w:rsidR="00575022" w:rsidRDefault="00575022" w:rsidP="00B619C5">
      <w:pPr>
        <w:spacing w:line="480" w:lineRule="auto"/>
        <w:rPr>
          <w:rFonts w:eastAsia="Times New Roman"/>
        </w:rPr>
      </w:pPr>
      <w:r w:rsidRPr="008E2EB9">
        <w:rPr>
          <w:rFonts w:eastAsia="Times New Roman"/>
        </w:rPr>
        <w:t xml:space="preserve">Tomas </w:t>
      </w:r>
      <w:proofErr w:type="spellStart"/>
      <w:r w:rsidRPr="008E2EB9">
        <w:rPr>
          <w:rFonts w:eastAsia="Times New Roman"/>
        </w:rPr>
        <w:t>Kalincik</w:t>
      </w:r>
      <w:proofErr w:type="spellEnd"/>
      <w:r w:rsidRPr="008E2EB9">
        <w:rPr>
          <w:rFonts w:eastAsia="Times New Roman"/>
        </w:rPr>
        <w:t xml:space="preserve">; </w:t>
      </w:r>
      <w:proofErr w:type="spellStart"/>
      <w:r>
        <w:rPr>
          <w:rFonts w:eastAsia="Times New Roman"/>
        </w:rPr>
        <w:t>CORe</w:t>
      </w:r>
      <w:proofErr w:type="spellEnd"/>
      <w:r>
        <w:rPr>
          <w:rFonts w:eastAsia="Times New Roman"/>
        </w:rPr>
        <w:t xml:space="preserve">, </w:t>
      </w:r>
      <w:r w:rsidRPr="008E2EB9">
        <w:rPr>
          <w:rFonts w:eastAsia="Times New Roman"/>
        </w:rPr>
        <w:t xml:space="preserve">L4 </w:t>
      </w:r>
      <w:r>
        <w:rPr>
          <w:rFonts w:eastAsia="Times New Roman"/>
        </w:rPr>
        <w:t>East</w:t>
      </w:r>
      <w:r w:rsidRPr="008E2EB9">
        <w:rPr>
          <w:rFonts w:eastAsia="Times New Roman"/>
        </w:rPr>
        <w:t xml:space="preserve">, Royal Melbourne Hospital, </w:t>
      </w:r>
      <w:r>
        <w:rPr>
          <w:rFonts w:eastAsia="Times New Roman"/>
        </w:rPr>
        <w:t xml:space="preserve">300 </w:t>
      </w:r>
      <w:r w:rsidRPr="008E2EB9">
        <w:rPr>
          <w:rFonts w:eastAsia="Times New Roman"/>
        </w:rPr>
        <w:t>Grattan St, Parkville VIC 3050, Australia; Tel: +61 3 93</w:t>
      </w:r>
      <w:r>
        <w:rPr>
          <w:rFonts w:eastAsia="Times New Roman"/>
        </w:rPr>
        <w:t xml:space="preserve">42 4404, Fax: +61 3 9349 5997; </w:t>
      </w:r>
    </w:p>
    <w:p w14:paraId="2634B8BD" w14:textId="77777777" w:rsidR="00575022" w:rsidRPr="008E2EB9" w:rsidRDefault="00575022" w:rsidP="00B619C5">
      <w:pPr>
        <w:spacing w:line="480" w:lineRule="auto"/>
        <w:rPr>
          <w:rFonts w:eastAsia="Times New Roman"/>
        </w:rPr>
      </w:pPr>
      <w:r>
        <w:rPr>
          <w:rFonts w:eastAsia="Times New Roman"/>
        </w:rPr>
        <w:t>E</w:t>
      </w:r>
      <w:r w:rsidRPr="008E2EB9">
        <w:rPr>
          <w:rFonts w:eastAsia="Times New Roman"/>
        </w:rPr>
        <w:t xml:space="preserve">mail: </w:t>
      </w:r>
      <w:hyperlink r:id="rId7" w:history="1">
        <w:r w:rsidRPr="008E2EB9">
          <w:rPr>
            <w:rStyle w:val="Hyperlink"/>
            <w:rFonts w:eastAsia="Times New Roman"/>
          </w:rPr>
          <w:t>tomas.kalincik@unimelb.edu.au</w:t>
        </w:r>
      </w:hyperlink>
    </w:p>
    <w:p w14:paraId="4F9FE69A" w14:textId="77777777" w:rsidR="00575022" w:rsidRPr="008E2EB9" w:rsidRDefault="00575022" w:rsidP="00B619C5">
      <w:pPr>
        <w:spacing w:line="480" w:lineRule="auto"/>
        <w:rPr>
          <w:rFonts w:eastAsia="Times New Roman"/>
        </w:rPr>
      </w:pPr>
    </w:p>
    <w:p w14:paraId="445E87C6" w14:textId="4B375F36" w:rsidR="00575022" w:rsidRPr="008E2EB9" w:rsidRDefault="00575022" w:rsidP="00B619C5">
      <w:pPr>
        <w:spacing w:line="480" w:lineRule="auto"/>
        <w:rPr>
          <w:rFonts w:eastAsia="Times New Roman"/>
        </w:rPr>
      </w:pPr>
      <w:r w:rsidRPr="008E2EB9">
        <w:rPr>
          <w:rFonts w:eastAsia="Times New Roman"/>
          <w:b/>
        </w:rPr>
        <w:t>Word count, manuscript:</w:t>
      </w:r>
      <w:r w:rsidRPr="008E2EB9">
        <w:rPr>
          <w:rFonts w:eastAsia="Times New Roman"/>
        </w:rPr>
        <w:t xml:space="preserve"> </w:t>
      </w:r>
      <w:r w:rsidRPr="008E2EB9">
        <w:rPr>
          <w:rFonts w:eastAsia="Times New Roman"/>
        </w:rPr>
        <w:tab/>
      </w:r>
      <w:r w:rsidR="00BE2D3E">
        <w:rPr>
          <w:rFonts w:eastAsia="Times New Roman"/>
        </w:rPr>
        <w:t>3718</w:t>
      </w:r>
    </w:p>
    <w:p w14:paraId="798B8AFF" w14:textId="264C8910" w:rsidR="00575022" w:rsidRPr="008E2EB9" w:rsidRDefault="00575022" w:rsidP="00B619C5">
      <w:pPr>
        <w:spacing w:line="480" w:lineRule="auto"/>
        <w:rPr>
          <w:rFonts w:eastAsia="Times New Roman"/>
        </w:rPr>
      </w:pPr>
      <w:r w:rsidRPr="008E2EB9">
        <w:rPr>
          <w:rFonts w:eastAsia="Times New Roman"/>
          <w:b/>
        </w:rPr>
        <w:t>Word count, abstract:</w:t>
      </w:r>
      <w:r w:rsidRPr="008E2EB9">
        <w:rPr>
          <w:rFonts w:eastAsia="Times New Roman"/>
        </w:rPr>
        <w:t xml:space="preserve"> </w:t>
      </w:r>
      <w:r w:rsidRPr="008E2EB9">
        <w:rPr>
          <w:rFonts w:eastAsia="Times New Roman"/>
        </w:rPr>
        <w:tab/>
      </w:r>
      <w:r w:rsidR="00BE2D3E">
        <w:rPr>
          <w:rFonts w:eastAsia="Times New Roman"/>
        </w:rPr>
        <w:t>457</w:t>
      </w:r>
    </w:p>
    <w:p w14:paraId="79605131" w14:textId="77777777" w:rsidR="00575022" w:rsidRPr="008E2EB9" w:rsidRDefault="00575022" w:rsidP="00B619C5">
      <w:pPr>
        <w:spacing w:line="480" w:lineRule="auto"/>
        <w:rPr>
          <w:rFonts w:eastAsia="Times New Roman"/>
        </w:rPr>
      </w:pPr>
      <w:r w:rsidRPr="008E2EB9">
        <w:rPr>
          <w:rFonts w:eastAsia="Times New Roman"/>
          <w:b/>
        </w:rPr>
        <w:lastRenderedPageBreak/>
        <w:t>Figures:</w:t>
      </w:r>
      <w:r w:rsidRPr="008E2EB9">
        <w:rPr>
          <w:rFonts w:eastAsia="Times New Roman"/>
        </w:rPr>
        <w:t xml:space="preserve"> </w:t>
      </w:r>
      <w:r w:rsidRPr="008E2EB9">
        <w:rPr>
          <w:rFonts w:eastAsia="Times New Roman"/>
        </w:rPr>
        <w:tab/>
      </w:r>
      <w:r w:rsidRPr="008E2EB9">
        <w:rPr>
          <w:rFonts w:eastAsia="Times New Roman"/>
        </w:rPr>
        <w:tab/>
        <w:t>4</w:t>
      </w:r>
    </w:p>
    <w:p w14:paraId="7F17CF0A" w14:textId="77777777" w:rsidR="00575022" w:rsidRPr="008E2EB9" w:rsidRDefault="00575022" w:rsidP="00B619C5">
      <w:pPr>
        <w:spacing w:line="480" w:lineRule="auto"/>
        <w:rPr>
          <w:rFonts w:eastAsia="Times New Roman"/>
        </w:rPr>
      </w:pPr>
      <w:r w:rsidRPr="008E2EB9">
        <w:rPr>
          <w:rFonts w:eastAsia="Times New Roman"/>
          <w:b/>
        </w:rPr>
        <w:t>Tables:</w:t>
      </w:r>
      <w:r w:rsidRPr="008E2EB9">
        <w:rPr>
          <w:rFonts w:eastAsia="Times New Roman"/>
        </w:rPr>
        <w:t xml:space="preserve"> </w:t>
      </w:r>
      <w:r w:rsidRPr="008E2EB9">
        <w:rPr>
          <w:rFonts w:eastAsia="Times New Roman"/>
        </w:rPr>
        <w:tab/>
      </w:r>
      <w:r w:rsidRPr="008E2EB9">
        <w:rPr>
          <w:rFonts w:eastAsia="Times New Roman"/>
        </w:rPr>
        <w:tab/>
      </w:r>
      <w:r w:rsidRPr="008E2EB9">
        <w:rPr>
          <w:rFonts w:eastAsia="Times New Roman"/>
        </w:rPr>
        <w:tab/>
        <w:t>1</w:t>
      </w:r>
    </w:p>
    <w:p w14:paraId="4F6EB7C8" w14:textId="77777777" w:rsidR="00575022" w:rsidRPr="008E2EB9" w:rsidRDefault="00575022" w:rsidP="00B619C5">
      <w:pPr>
        <w:spacing w:line="480" w:lineRule="auto"/>
        <w:rPr>
          <w:rFonts w:eastAsia="Times New Roman"/>
        </w:rPr>
      </w:pPr>
    </w:p>
    <w:p w14:paraId="658D44F4" w14:textId="77777777" w:rsidR="00575022" w:rsidRPr="00697D58" w:rsidRDefault="00575022" w:rsidP="00B619C5">
      <w:pPr>
        <w:spacing w:line="480" w:lineRule="auto"/>
      </w:pPr>
      <w:r w:rsidRPr="00697D58">
        <w:t xml:space="preserve">The manuscript includes </w:t>
      </w:r>
      <w:r>
        <w:t>an online-only supplement</w:t>
      </w:r>
      <w:r w:rsidRPr="00697D58">
        <w:t>.</w:t>
      </w:r>
    </w:p>
    <w:p w14:paraId="1563010E" w14:textId="541011A5" w:rsidR="00575022" w:rsidRPr="008E2EB9" w:rsidRDefault="00575022" w:rsidP="00B619C5">
      <w:pPr>
        <w:spacing w:line="480" w:lineRule="auto"/>
      </w:pPr>
      <w:proofErr w:type="spellStart"/>
      <w:r>
        <w:t>e</w:t>
      </w:r>
      <w:r w:rsidRPr="008E2EB9">
        <w:t>Table</w:t>
      </w:r>
      <w:proofErr w:type="spellEnd"/>
      <w:r w:rsidRPr="008E2EB9">
        <w:t xml:space="preserve"> </w:t>
      </w:r>
      <w:r w:rsidR="009E1930" w:rsidRPr="008E2EB9">
        <w:t>S</w:t>
      </w:r>
      <w:r w:rsidR="009E1930">
        <w:t>1</w:t>
      </w:r>
      <w:r w:rsidRPr="008E2EB9">
        <w:t>: Data quality procedure </w:t>
      </w:r>
    </w:p>
    <w:p w14:paraId="122C400B" w14:textId="0781CFC5" w:rsidR="00575022" w:rsidRPr="008E2EB9" w:rsidRDefault="00575022" w:rsidP="00B619C5">
      <w:pPr>
        <w:spacing w:line="480" w:lineRule="auto"/>
      </w:pPr>
      <w:proofErr w:type="spellStart"/>
      <w:r>
        <w:t>e</w:t>
      </w:r>
      <w:r w:rsidRPr="008E2EB9">
        <w:t>Table</w:t>
      </w:r>
      <w:proofErr w:type="spellEnd"/>
      <w:r w:rsidRPr="008E2EB9">
        <w:t xml:space="preserve"> </w:t>
      </w:r>
      <w:r w:rsidR="009E1930" w:rsidRPr="008E2EB9">
        <w:t>S</w:t>
      </w:r>
      <w:r w:rsidR="009E1930">
        <w:t>2</w:t>
      </w:r>
      <w:r w:rsidRPr="008E2EB9">
        <w:t>: Patient disposition per centre </w:t>
      </w:r>
    </w:p>
    <w:p w14:paraId="46A1A430" w14:textId="1A0C7077" w:rsidR="00575022" w:rsidRPr="008E2EB9" w:rsidRDefault="00575022" w:rsidP="00B619C5">
      <w:pPr>
        <w:spacing w:line="480" w:lineRule="auto"/>
      </w:pPr>
      <w:proofErr w:type="spellStart"/>
      <w:r>
        <w:t>e</w:t>
      </w:r>
      <w:r w:rsidRPr="008E2EB9">
        <w:t>Table</w:t>
      </w:r>
      <w:proofErr w:type="spellEnd"/>
      <w:r w:rsidRPr="008E2EB9">
        <w:t xml:space="preserve"> </w:t>
      </w:r>
      <w:r w:rsidR="009E1930" w:rsidRPr="008E2EB9">
        <w:t>S</w:t>
      </w:r>
      <w:r w:rsidR="009E1930">
        <w:t>3</w:t>
      </w:r>
      <w:r w:rsidRPr="008E2EB9">
        <w:t xml:space="preserve">: Characteristics of </w:t>
      </w:r>
      <w:proofErr w:type="spellStart"/>
      <w:r>
        <w:t>prematching</w:t>
      </w:r>
      <w:proofErr w:type="spellEnd"/>
      <w:r>
        <w:t xml:space="preserve">, </w:t>
      </w:r>
      <w:r w:rsidRPr="008E2EB9">
        <w:t xml:space="preserve">unmatched </w:t>
      </w:r>
      <w:r>
        <w:t xml:space="preserve">and matched </w:t>
      </w:r>
      <w:r w:rsidRPr="008E2EB9">
        <w:t>patients at baseline </w:t>
      </w:r>
    </w:p>
    <w:p w14:paraId="42249623" w14:textId="6A434C09" w:rsidR="00575022" w:rsidRDefault="00575022" w:rsidP="00B619C5">
      <w:pPr>
        <w:spacing w:line="480" w:lineRule="auto"/>
      </w:pPr>
      <w:proofErr w:type="spellStart"/>
      <w:r>
        <w:t>e</w:t>
      </w:r>
      <w:r w:rsidRPr="008E2EB9">
        <w:t>Table</w:t>
      </w:r>
      <w:proofErr w:type="spellEnd"/>
      <w:r w:rsidRPr="008E2EB9">
        <w:t xml:space="preserve"> </w:t>
      </w:r>
      <w:r w:rsidR="009E1930" w:rsidRPr="008E2EB9">
        <w:t>S</w:t>
      </w:r>
      <w:r w:rsidR="009E1930">
        <w:t>4</w:t>
      </w:r>
      <w:r w:rsidRPr="008E2EB9">
        <w:t>: Propensity scores </w:t>
      </w:r>
    </w:p>
    <w:p w14:paraId="10A0883F" w14:textId="607B6BC7" w:rsidR="00575022" w:rsidRDefault="00575022" w:rsidP="00B619C5">
      <w:pPr>
        <w:spacing w:line="480" w:lineRule="auto"/>
      </w:pPr>
      <w:proofErr w:type="spellStart"/>
      <w:r>
        <w:t>eTable</w:t>
      </w:r>
      <w:proofErr w:type="spellEnd"/>
      <w:r>
        <w:t xml:space="preserve"> </w:t>
      </w:r>
      <w:r w:rsidR="009E1930">
        <w:t>S5</w:t>
      </w:r>
      <w:r>
        <w:t xml:space="preserve">: Matching </w:t>
      </w:r>
      <w:r w:rsidR="009E1930">
        <w:t>coefficients</w:t>
      </w:r>
      <w:r>
        <w:t xml:space="preserve"> from propensity matching</w:t>
      </w:r>
    </w:p>
    <w:p w14:paraId="79978FF5" w14:textId="79E29372" w:rsidR="00575022" w:rsidRDefault="00575022" w:rsidP="00B619C5">
      <w:pPr>
        <w:spacing w:line="480" w:lineRule="auto"/>
      </w:pPr>
      <w:proofErr w:type="spellStart"/>
      <w:r>
        <w:t>eTable</w:t>
      </w:r>
      <w:proofErr w:type="spellEnd"/>
      <w:r>
        <w:t xml:space="preserve"> </w:t>
      </w:r>
      <w:r w:rsidR="009E1930">
        <w:t>S6</w:t>
      </w:r>
      <w:r>
        <w:t>: EDSS scores after conversion to SPMS</w:t>
      </w:r>
    </w:p>
    <w:p w14:paraId="467A9740" w14:textId="48ADA5DA" w:rsidR="009E1930" w:rsidRDefault="009E1930" w:rsidP="00B619C5">
      <w:pPr>
        <w:spacing w:line="480" w:lineRule="auto"/>
      </w:pPr>
      <w:proofErr w:type="spellStart"/>
      <w:r>
        <w:t>eTable</w:t>
      </w:r>
      <w:proofErr w:type="spellEnd"/>
      <w:r>
        <w:t xml:space="preserve"> S7: </w:t>
      </w:r>
      <w:r w:rsidR="0074251E">
        <w:t>Characteristics of patients presented for matching and those excluded due to data missingness</w:t>
      </w:r>
      <w:r>
        <w:t xml:space="preserve"> </w:t>
      </w:r>
    </w:p>
    <w:p w14:paraId="680945CB" w14:textId="77777777" w:rsidR="00575022" w:rsidRDefault="00575022" w:rsidP="00B619C5">
      <w:pPr>
        <w:spacing w:line="480" w:lineRule="auto"/>
      </w:pPr>
    </w:p>
    <w:p w14:paraId="46C76AE4" w14:textId="77777777" w:rsidR="00575022" w:rsidRPr="008E2EB9" w:rsidRDefault="00575022" w:rsidP="00B619C5">
      <w:pPr>
        <w:spacing w:line="480" w:lineRule="auto"/>
        <w:rPr>
          <w:rFonts w:eastAsia="Times New Roman"/>
          <w:b/>
        </w:rPr>
      </w:pPr>
      <w:r w:rsidRPr="008E2EB9">
        <w:rPr>
          <w:rFonts w:eastAsia="Times New Roman"/>
          <w:b/>
        </w:rPr>
        <w:t>Keywords</w:t>
      </w:r>
    </w:p>
    <w:p w14:paraId="6B5C871D" w14:textId="77777777" w:rsidR="00575022" w:rsidRDefault="00575022" w:rsidP="00B619C5">
      <w:pPr>
        <w:spacing w:line="480" w:lineRule="auto"/>
        <w:rPr>
          <w:rStyle w:val="Heading2Char"/>
          <w:rFonts w:ascii="Times New Roman" w:hAnsi="Times New Roman" w:cs="Times New Roman"/>
        </w:rPr>
      </w:pPr>
      <w:r w:rsidRPr="008E2EB9">
        <w:rPr>
          <w:rFonts w:eastAsia="Times New Roman"/>
        </w:rPr>
        <w:t>disease modifying therapy, secondary progressive multiple sclerosis, conversion, propensity score</w:t>
      </w:r>
      <w:r>
        <w:rPr>
          <w:rStyle w:val="Heading2Char"/>
          <w:rFonts w:ascii="Times New Roman" w:hAnsi="Times New Roman" w:cs="Times New Roman"/>
        </w:rPr>
        <w:br w:type="page"/>
      </w:r>
    </w:p>
    <w:p w14:paraId="57B85F04" w14:textId="77777777" w:rsidR="00575022" w:rsidRDefault="00575022" w:rsidP="00B619C5">
      <w:pPr>
        <w:spacing w:line="480" w:lineRule="auto"/>
        <w:rPr>
          <w:rStyle w:val="Heading2Char"/>
          <w:rFonts w:ascii="Times New Roman" w:hAnsi="Times New Roman" w:cs="Times New Roman"/>
        </w:rPr>
      </w:pPr>
      <w:r>
        <w:rPr>
          <w:rStyle w:val="Heading2Char"/>
          <w:rFonts w:ascii="Times New Roman" w:hAnsi="Times New Roman" w:cs="Times New Roman"/>
        </w:rPr>
        <w:lastRenderedPageBreak/>
        <w:t>Key points</w:t>
      </w:r>
    </w:p>
    <w:p w14:paraId="5722037A" w14:textId="77777777" w:rsidR="00575022" w:rsidRDefault="00575022" w:rsidP="00B619C5">
      <w:pPr>
        <w:spacing w:line="480" w:lineRule="auto"/>
        <w:rPr>
          <w:shd w:val="clear" w:color="auto" w:fill="FFFFFF"/>
        </w:rPr>
      </w:pPr>
      <w:r>
        <w:rPr>
          <w:b/>
          <w:shd w:val="clear" w:color="auto" w:fill="FFFFFF"/>
        </w:rPr>
        <w:t>Question:</w:t>
      </w:r>
      <w:r>
        <w:rPr>
          <w:shd w:val="clear" w:color="auto" w:fill="FFFFFF"/>
        </w:rPr>
        <w:t xml:space="preserve"> Among patients with relapsing-remitting multiple sclerosis (RRMS), what is the association between disease-modifying therapies (DMTs) and the risk of conversion to secondary progressive multiple sclerosis (SPMS)? </w:t>
      </w:r>
    </w:p>
    <w:p w14:paraId="4EEC5628" w14:textId="77777777" w:rsidR="00575022" w:rsidRDefault="00575022" w:rsidP="00B619C5">
      <w:pPr>
        <w:spacing w:line="480" w:lineRule="auto"/>
        <w:rPr>
          <w:shd w:val="clear" w:color="auto" w:fill="FFFFFF"/>
        </w:rPr>
      </w:pPr>
    </w:p>
    <w:p w14:paraId="5BB21984" w14:textId="77777777" w:rsidR="00575022" w:rsidRDefault="00575022" w:rsidP="00B619C5">
      <w:pPr>
        <w:spacing w:line="480" w:lineRule="auto"/>
        <w:rPr>
          <w:color w:val="000000" w:themeColor="text1"/>
        </w:rPr>
      </w:pPr>
      <w:r>
        <w:rPr>
          <w:b/>
          <w:shd w:val="clear" w:color="auto" w:fill="FFFFFF"/>
        </w:rPr>
        <w:t>Findings</w:t>
      </w:r>
      <w:r>
        <w:rPr>
          <w:shd w:val="clear" w:color="auto" w:fill="FFFFFF"/>
        </w:rPr>
        <w:t>: In this cohort study involving 1,555 patients with RRMS, initial treatment with fingolimod, natalizumab or alemtuzumab was associated with a lower risk of conversion to SPMS compared with ß-interferon or glatiramer acetate</w:t>
      </w:r>
      <w:r>
        <w:rPr>
          <w:color w:val="000000" w:themeColor="text1"/>
        </w:rPr>
        <w:t xml:space="preserve"> (hazard ratio </w:t>
      </w:r>
      <w:r w:rsidRPr="008E2EB9">
        <w:rPr>
          <w:color w:val="000000" w:themeColor="text1"/>
        </w:rPr>
        <w:t>0</w:t>
      </w:r>
      <w:r>
        <w:rPr>
          <w:color w:val="000000" w:themeColor="text1"/>
        </w:rPr>
        <w:t>.</w:t>
      </w:r>
      <w:r w:rsidRPr="008E2EB9">
        <w:rPr>
          <w:color w:val="000000" w:themeColor="text1"/>
        </w:rPr>
        <w:t>66</w:t>
      </w:r>
      <w:r>
        <w:rPr>
          <w:color w:val="000000" w:themeColor="text1"/>
        </w:rPr>
        <w:t>).</w:t>
      </w:r>
    </w:p>
    <w:p w14:paraId="5A89C6C0" w14:textId="77777777" w:rsidR="00575022" w:rsidRDefault="00575022" w:rsidP="00B619C5">
      <w:pPr>
        <w:spacing w:line="480" w:lineRule="auto"/>
        <w:rPr>
          <w:color w:val="000000" w:themeColor="text1"/>
        </w:rPr>
      </w:pPr>
    </w:p>
    <w:p w14:paraId="729A9FDE" w14:textId="77777777" w:rsidR="00575022" w:rsidRDefault="00575022" w:rsidP="00B619C5">
      <w:pPr>
        <w:spacing w:line="480" w:lineRule="auto"/>
        <w:rPr>
          <w:color w:val="000000" w:themeColor="text1"/>
        </w:rPr>
      </w:pPr>
      <w:r>
        <w:rPr>
          <w:b/>
          <w:color w:val="000000" w:themeColor="text1"/>
        </w:rPr>
        <w:t>Meaning</w:t>
      </w:r>
      <w:r>
        <w:rPr>
          <w:color w:val="000000" w:themeColor="text1"/>
        </w:rPr>
        <w:t xml:space="preserve">: These findings, considered along with the risks associated with these therapies, may help inform decisions regarding DMT selection for patients with RRMS. </w:t>
      </w:r>
    </w:p>
    <w:p w14:paraId="30F40BF9" w14:textId="77777777" w:rsidR="00575022" w:rsidRPr="00697D58" w:rsidRDefault="00575022" w:rsidP="00B619C5">
      <w:pPr>
        <w:spacing w:line="480" w:lineRule="auto"/>
        <w:rPr>
          <w:shd w:val="clear" w:color="auto" w:fill="FFFFFF"/>
        </w:rPr>
      </w:pPr>
    </w:p>
    <w:p w14:paraId="1D7C20E8" w14:textId="77777777" w:rsidR="00575022" w:rsidRPr="00C4579F" w:rsidRDefault="00575022" w:rsidP="00B619C5">
      <w:pPr>
        <w:spacing w:line="480" w:lineRule="auto"/>
        <w:rPr>
          <w:shd w:val="clear" w:color="auto" w:fill="FFFFFF"/>
        </w:rPr>
      </w:pPr>
    </w:p>
    <w:p w14:paraId="3E0728C4" w14:textId="77777777" w:rsidR="00575022" w:rsidRPr="008E2EB9" w:rsidRDefault="00575022" w:rsidP="00B619C5">
      <w:pPr>
        <w:spacing w:line="480" w:lineRule="auto"/>
        <w:rPr>
          <w:rStyle w:val="Heading2Char"/>
          <w:rFonts w:ascii="Times New Roman" w:hAnsi="Times New Roman" w:cs="Times New Roman"/>
        </w:rPr>
      </w:pPr>
      <w:r w:rsidRPr="00697D58">
        <w:br w:type="page"/>
      </w:r>
      <w:r w:rsidRPr="008E2EB9">
        <w:rPr>
          <w:rStyle w:val="Heading2Char"/>
          <w:rFonts w:ascii="Times New Roman" w:hAnsi="Times New Roman" w:cs="Times New Roman"/>
        </w:rPr>
        <w:lastRenderedPageBreak/>
        <w:t>Abstract</w:t>
      </w:r>
    </w:p>
    <w:p w14:paraId="33B3C1CB" w14:textId="77777777" w:rsidR="00575022" w:rsidRDefault="00575022" w:rsidP="00B619C5">
      <w:pPr>
        <w:spacing w:line="480" w:lineRule="auto"/>
        <w:rPr>
          <w:shd w:val="clear" w:color="auto" w:fill="FFFFFF"/>
        </w:rPr>
      </w:pPr>
      <w:r>
        <w:rPr>
          <w:b/>
          <w:bCs/>
          <w:shd w:val="clear" w:color="auto" w:fill="FFFFFF"/>
        </w:rPr>
        <w:t>Importance:</w:t>
      </w:r>
      <w:r w:rsidRPr="008E2EB9">
        <w:rPr>
          <w:rStyle w:val="apple-converted-space"/>
          <w:rFonts w:eastAsia="Times New Roman"/>
          <w:color w:val="000000"/>
          <w:sz w:val="18"/>
          <w:szCs w:val="18"/>
          <w:shd w:val="clear" w:color="auto" w:fill="FFFFFF"/>
        </w:rPr>
        <w:t> </w:t>
      </w:r>
      <w:r w:rsidRPr="00697D58">
        <w:t xml:space="preserve">Within two decades of onset, 80% of untreated patients with </w:t>
      </w:r>
      <w:r>
        <w:t xml:space="preserve">relapsing-remitting multiple sclerosis (RRMS) </w:t>
      </w:r>
      <w:r w:rsidRPr="00697D58">
        <w:t xml:space="preserve">convert to </w:t>
      </w:r>
      <w:r>
        <w:t xml:space="preserve">a phase of irreversible disability accrual </w:t>
      </w:r>
      <w:r w:rsidRPr="00697D58">
        <w:t xml:space="preserve">termed secondary progressive </w:t>
      </w:r>
      <w:r>
        <w:t>(SP) MS. The</w:t>
      </w:r>
      <w:r w:rsidRPr="00697D58">
        <w:rPr>
          <w:shd w:val="clear" w:color="auto" w:fill="FFFFFF"/>
        </w:rPr>
        <w:t xml:space="preserve"> </w:t>
      </w:r>
      <w:r>
        <w:rPr>
          <w:shd w:val="clear" w:color="auto" w:fill="FFFFFF"/>
        </w:rPr>
        <w:t>association between disease-modifying treatments (DMTs)</w:t>
      </w:r>
      <w:r w:rsidRPr="00697D58">
        <w:rPr>
          <w:shd w:val="clear" w:color="auto" w:fill="FFFFFF"/>
        </w:rPr>
        <w:t xml:space="preserve"> on conversion to SPMS </w:t>
      </w:r>
      <w:r>
        <w:rPr>
          <w:shd w:val="clear" w:color="auto" w:fill="FFFFFF"/>
        </w:rPr>
        <w:t>has rarely been</w:t>
      </w:r>
      <w:r w:rsidRPr="00697D58">
        <w:rPr>
          <w:shd w:val="clear" w:color="auto" w:fill="FFFFFF"/>
        </w:rPr>
        <w:t xml:space="preserve"> studied</w:t>
      </w:r>
      <w:r>
        <w:rPr>
          <w:shd w:val="clear" w:color="auto" w:fill="FFFFFF"/>
        </w:rPr>
        <w:t xml:space="preserve"> </w:t>
      </w:r>
      <w:r w:rsidRPr="00697D58">
        <w:rPr>
          <w:shd w:val="clear" w:color="auto" w:fill="FFFFFF"/>
        </w:rPr>
        <w:t xml:space="preserve">and </w:t>
      </w:r>
      <w:r>
        <w:rPr>
          <w:shd w:val="clear" w:color="auto" w:fill="FFFFFF"/>
        </w:rPr>
        <w:t>- to the best of our knowledge - never</w:t>
      </w:r>
      <w:r w:rsidRPr="00697D58">
        <w:rPr>
          <w:shd w:val="clear" w:color="auto" w:fill="FFFFFF"/>
        </w:rPr>
        <w:t xml:space="preserve"> using a validated definition. </w:t>
      </w:r>
    </w:p>
    <w:p w14:paraId="121E5361" w14:textId="77777777" w:rsidR="00575022" w:rsidRPr="00697D58" w:rsidRDefault="00575022" w:rsidP="00B619C5">
      <w:pPr>
        <w:spacing w:line="480" w:lineRule="auto"/>
        <w:rPr>
          <w:shd w:val="clear" w:color="auto" w:fill="FFFFFF"/>
        </w:rPr>
      </w:pPr>
      <w:r>
        <w:rPr>
          <w:b/>
          <w:shd w:val="clear" w:color="auto" w:fill="FFFFFF"/>
        </w:rPr>
        <w:t>Objective:</w:t>
      </w:r>
      <w:r>
        <w:rPr>
          <w:shd w:val="clear" w:color="auto" w:fill="FFFFFF"/>
        </w:rPr>
        <w:t xml:space="preserve"> </w:t>
      </w:r>
      <w:r>
        <w:rPr>
          <w:lang w:val="en-US"/>
        </w:rPr>
        <w:t>To determine the association between</w:t>
      </w:r>
      <w:r w:rsidRPr="00E32C68">
        <w:rPr>
          <w:lang w:val="en-US"/>
        </w:rPr>
        <w:t xml:space="preserve"> the use of DMTs, the t</w:t>
      </w:r>
      <w:r>
        <w:rPr>
          <w:lang w:val="en-US"/>
        </w:rPr>
        <w:t>ype of initial DMT, and the timing</w:t>
      </w:r>
      <w:r w:rsidRPr="00E32C68">
        <w:rPr>
          <w:lang w:val="en-US"/>
        </w:rPr>
        <w:t xml:space="preserve"> of DMT escalation</w:t>
      </w:r>
      <w:r>
        <w:rPr>
          <w:lang w:val="en-US"/>
        </w:rPr>
        <w:t xml:space="preserve"> </w:t>
      </w:r>
      <w:r w:rsidRPr="00E32C68">
        <w:rPr>
          <w:lang w:val="en-US"/>
        </w:rPr>
        <w:t>with the risk of conversion to SPMS</w:t>
      </w:r>
      <w:r>
        <w:rPr>
          <w:shd w:val="clear" w:color="auto" w:fill="FFFFFF"/>
        </w:rPr>
        <w:t xml:space="preserve"> u</w:t>
      </w:r>
      <w:r w:rsidRPr="00697D58">
        <w:rPr>
          <w:shd w:val="clear" w:color="auto" w:fill="FFFFFF"/>
        </w:rPr>
        <w:t xml:space="preserve">sing a </w:t>
      </w:r>
      <w:r>
        <w:rPr>
          <w:shd w:val="clear" w:color="auto" w:fill="FFFFFF"/>
        </w:rPr>
        <w:t>validated</w:t>
      </w:r>
      <w:r w:rsidRPr="00697D58">
        <w:rPr>
          <w:shd w:val="clear" w:color="auto" w:fill="FFFFFF"/>
        </w:rPr>
        <w:t xml:space="preserve"> definition</w:t>
      </w:r>
      <w:r>
        <w:rPr>
          <w:shd w:val="clear" w:color="auto" w:fill="FFFFFF"/>
        </w:rPr>
        <w:t xml:space="preserve"> of SPMS. </w:t>
      </w:r>
    </w:p>
    <w:p w14:paraId="3071606B" w14:textId="2D030E4D" w:rsidR="00575022" w:rsidRPr="00EE466D" w:rsidRDefault="00575022" w:rsidP="00B619C5">
      <w:pPr>
        <w:spacing w:line="480" w:lineRule="auto"/>
        <w:rPr>
          <w:shd w:val="clear" w:color="auto" w:fill="FFFFFF"/>
        </w:rPr>
      </w:pPr>
      <w:r>
        <w:rPr>
          <w:b/>
          <w:bCs/>
          <w:shd w:val="clear" w:color="auto" w:fill="FFFFFF"/>
        </w:rPr>
        <w:t>Design, Setting and Participants:</w:t>
      </w:r>
      <w:r w:rsidRPr="00EE466D">
        <w:rPr>
          <w:rStyle w:val="apple-converted-space"/>
          <w:rFonts w:eastAsia="Times New Roman"/>
          <w:color w:val="000000"/>
          <w:shd w:val="clear" w:color="auto" w:fill="FFFFFF"/>
        </w:rPr>
        <w:t> </w:t>
      </w:r>
      <w:r>
        <w:rPr>
          <w:shd w:val="clear" w:color="auto" w:fill="FFFFFF"/>
        </w:rPr>
        <w:t xml:space="preserve"> Cohort study with prospective data collection from </w:t>
      </w:r>
      <w:r>
        <w:t>68</w:t>
      </w:r>
      <w:r w:rsidRPr="00697D58">
        <w:t xml:space="preserve"> </w:t>
      </w:r>
      <w:r>
        <w:t xml:space="preserve">neurology </w:t>
      </w:r>
      <w:proofErr w:type="spellStart"/>
      <w:r>
        <w:t>centers</w:t>
      </w:r>
      <w:proofErr w:type="spellEnd"/>
      <w:r w:rsidRPr="00697D58">
        <w:t xml:space="preserve"> in 2</w:t>
      </w:r>
      <w:r>
        <w:t>1</w:t>
      </w:r>
      <w:r w:rsidRPr="00697D58">
        <w:t xml:space="preserve"> countries</w:t>
      </w:r>
      <w:r>
        <w:rPr>
          <w:shd w:val="clear" w:color="auto" w:fill="FFFFFF"/>
        </w:rPr>
        <w:t xml:space="preserve"> examining patients with RRMS commencing DMTs (or monitoring if untreated) between 1988-2012 with minimum 4 years’ follow-up.</w:t>
      </w:r>
      <w:r>
        <w:t xml:space="preserve"> </w:t>
      </w:r>
    </w:p>
    <w:p w14:paraId="088CBAD9" w14:textId="69486714" w:rsidR="00575022" w:rsidRDefault="00575022" w:rsidP="00B619C5">
      <w:pPr>
        <w:spacing w:line="480" w:lineRule="auto"/>
        <w:rPr>
          <w:shd w:val="clear" w:color="auto" w:fill="FFFFFF"/>
        </w:rPr>
      </w:pPr>
      <w:r>
        <w:rPr>
          <w:b/>
          <w:shd w:val="clear" w:color="auto" w:fill="FFFFFF"/>
        </w:rPr>
        <w:t xml:space="preserve">Exposure: </w:t>
      </w:r>
      <w:r w:rsidRPr="001D75E2">
        <w:rPr>
          <w:shd w:val="clear" w:color="auto" w:fill="FFFFFF"/>
        </w:rPr>
        <w:t xml:space="preserve">The use, type and timing of the following DMTs: </w:t>
      </w:r>
      <w:r>
        <w:rPr>
          <w:color w:val="000000" w:themeColor="text1"/>
        </w:rPr>
        <w:t>ß-interferon or glatiramer acetate (ß-IFN</w:t>
      </w:r>
      <w:r w:rsidR="002D1791">
        <w:rPr>
          <w:color w:val="000000" w:themeColor="text1"/>
        </w:rPr>
        <w:t>|</w:t>
      </w:r>
      <w:r>
        <w:rPr>
          <w:color w:val="000000" w:themeColor="text1"/>
        </w:rPr>
        <w:t>GA)</w:t>
      </w:r>
      <w:r w:rsidRPr="00697D58">
        <w:rPr>
          <w:shd w:val="clear" w:color="auto" w:fill="FFFFFF"/>
        </w:rPr>
        <w:t>, fingolimod, natalizumab or alemtuzumab</w:t>
      </w:r>
      <w:r>
        <w:rPr>
          <w:shd w:val="clear" w:color="auto" w:fill="FFFFFF"/>
        </w:rPr>
        <w:t>.</w:t>
      </w:r>
      <w:r w:rsidRPr="00697D58">
        <w:rPr>
          <w:shd w:val="clear" w:color="auto" w:fill="FFFFFF"/>
        </w:rPr>
        <w:t xml:space="preserve"> </w:t>
      </w:r>
    </w:p>
    <w:p w14:paraId="19E8BF5F" w14:textId="77777777" w:rsidR="00575022" w:rsidRDefault="00575022" w:rsidP="00B619C5">
      <w:pPr>
        <w:spacing w:line="480" w:lineRule="auto"/>
        <w:rPr>
          <w:shd w:val="clear" w:color="auto" w:fill="FFFFFF"/>
        </w:rPr>
      </w:pPr>
      <w:r>
        <w:rPr>
          <w:b/>
          <w:shd w:val="clear" w:color="auto" w:fill="FFFFFF"/>
        </w:rPr>
        <w:t xml:space="preserve">Main outcomes and measures: </w:t>
      </w:r>
      <w:r>
        <w:rPr>
          <w:shd w:val="clear" w:color="auto" w:fill="FFFFFF"/>
        </w:rPr>
        <w:t xml:space="preserve">Conversion to SPMS using a validated definition. </w:t>
      </w:r>
    </w:p>
    <w:p w14:paraId="11025D41" w14:textId="5ADE84FE" w:rsidR="00575022" w:rsidRPr="00E37B82" w:rsidRDefault="00575022" w:rsidP="00B619C5">
      <w:pPr>
        <w:spacing w:line="480" w:lineRule="auto"/>
        <w:rPr>
          <w:color w:val="000000" w:themeColor="text1"/>
        </w:rPr>
      </w:pPr>
      <w:r>
        <w:rPr>
          <w:b/>
          <w:bCs/>
          <w:shd w:val="clear" w:color="auto" w:fill="FFFFFF"/>
        </w:rPr>
        <w:t>Results:</w:t>
      </w:r>
      <w:r w:rsidRPr="00697D58">
        <w:rPr>
          <w:b/>
          <w:bCs/>
          <w:shd w:val="clear" w:color="auto" w:fill="FFFFFF"/>
        </w:rPr>
        <w:t xml:space="preserve"> </w:t>
      </w:r>
      <w:r w:rsidR="00AB0309">
        <w:t xml:space="preserve">Following propensity-score matching for baseline demographics, </w:t>
      </w:r>
      <w:r w:rsidR="00AB0309">
        <w:rPr>
          <w:bCs/>
          <w:shd w:val="clear" w:color="auto" w:fill="FFFFFF"/>
        </w:rPr>
        <w:t xml:space="preserve">1,555 patients were included (1,123 female, mean baseline age 35 (standard deviation 10) years, </w:t>
      </w:r>
      <w:r w:rsidR="00AB0309">
        <w:rPr>
          <w:color w:val="000000" w:themeColor="text1"/>
        </w:rPr>
        <w:t>last visit date</w:t>
      </w:r>
      <w:r w:rsidR="002C4A9A">
        <w:rPr>
          <w:color w:val="000000" w:themeColor="text1"/>
        </w:rPr>
        <w:t xml:space="preserve"> </w:t>
      </w:r>
      <w:r w:rsidR="00361947">
        <w:rPr>
          <w:color w:val="000000" w:themeColor="text1"/>
        </w:rPr>
        <w:t>14</w:t>
      </w:r>
      <w:r w:rsidR="00361947" w:rsidRPr="00AB648C">
        <w:rPr>
          <w:color w:val="000000" w:themeColor="text1"/>
          <w:vertAlign w:val="superscript"/>
        </w:rPr>
        <w:t>th</w:t>
      </w:r>
      <w:r w:rsidR="00361947">
        <w:rPr>
          <w:color w:val="000000" w:themeColor="text1"/>
        </w:rPr>
        <w:t xml:space="preserve"> February 2017. </w:t>
      </w:r>
      <w:r w:rsidRPr="00EC0E13">
        <w:rPr>
          <w:bCs/>
          <w:shd w:val="clear" w:color="auto" w:fill="FFFFFF"/>
        </w:rPr>
        <w:t xml:space="preserve">Compared to matched untreated patients, a lower hazard of conversion to SPMS was seen in </w:t>
      </w:r>
      <w:r w:rsidRPr="00360EA6">
        <w:rPr>
          <w:bCs/>
          <w:shd w:val="clear" w:color="auto" w:fill="FFFFFF"/>
        </w:rPr>
        <w:t>p</w:t>
      </w:r>
      <w:r w:rsidRPr="00E37B82">
        <w:rPr>
          <w:bCs/>
          <w:shd w:val="clear" w:color="auto" w:fill="FFFFFF"/>
        </w:rPr>
        <w:t xml:space="preserve">atients </w:t>
      </w:r>
      <w:r w:rsidRPr="006E675B">
        <w:rPr>
          <w:bCs/>
          <w:shd w:val="clear" w:color="auto" w:fill="FFFFFF"/>
        </w:rPr>
        <w:t xml:space="preserve">initially treated with </w:t>
      </w:r>
      <w:r w:rsidRPr="00D148D9">
        <w:rPr>
          <w:shd w:val="clear" w:color="auto" w:fill="FFFFFF"/>
        </w:rPr>
        <w:t>ß-IFN</w:t>
      </w:r>
      <w:r w:rsidR="002D1791">
        <w:rPr>
          <w:shd w:val="clear" w:color="auto" w:fill="FFFFFF"/>
        </w:rPr>
        <w:t>|</w:t>
      </w:r>
      <w:r w:rsidRPr="00D148D9">
        <w:rPr>
          <w:shd w:val="clear" w:color="auto" w:fill="FFFFFF"/>
        </w:rPr>
        <w:t>GA (</w:t>
      </w:r>
      <w:r w:rsidRPr="00D11016">
        <w:rPr>
          <w:shd w:val="clear" w:color="auto" w:fill="FFFFFF"/>
        </w:rPr>
        <w:t>hazard ratio (HR</w:t>
      </w:r>
      <w:r w:rsidRPr="0049083F">
        <w:rPr>
          <w:shd w:val="clear" w:color="auto" w:fill="FFFFFF"/>
        </w:rPr>
        <w:t>)</w:t>
      </w:r>
      <w:r>
        <w:rPr>
          <w:shd w:val="clear" w:color="auto" w:fill="FFFFFF"/>
        </w:rPr>
        <w:t xml:space="preserve"> </w:t>
      </w:r>
      <w:r w:rsidRPr="00373C34">
        <w:rPr>
          <w:shd w:val="clear" w:color="auto" w:fill="FFFFFF"/>
        </w:rPr>
        <w:t>0.</w:t>
      </w:r>
      <w:r>
        <w:rPr>
          <w:shd w:val="clear" w:color="auto" w:fill="FFFFFF"/>
        </w:rPr>
        <w:t>71</w:t>
      </w:r>
      <w:r w:rsidRPr="00373C34">
        <w:rPr>
          <w:shd w:val="clear" w:color="auto" w:fill="FFFFFF"/>
        </w:rPr>
        <w:t xml:space="preserve"> </w:t>
      </w:r>
      <w:r w:rsidRPr="00373C34">
        <w:rPr>
          <w:color w:val="000000" w:themeColor="text1"/>
        </w:rPr>
        <w:t xml:space="preserve">(95% CI </w:t>
      </w:r>
      <w:r w:rsidRPr="00697D58">
        <w:rPr>
          <w:color w:val="000000" w:themeColor="text1"/>
        </w:rPr>
        <w:t>0</w:t>
      </w:r>
      <w:r>
        <w:rPr>
          <w:color w:val="000000" w:themeColor="text1"/>
        </w:rPr>
        <w:t>.61</w:t>
      </w:r>
      <w:r w:rsidRPr="00697D58">
        <w:rPr>
          <w:color w:val="000000" w:themeColor="text1"/>
        </w:rPr>
        <w:t>−0</w:t>
      </w:r>
      <w:r>
        <w:rPr>
          <w:color w:val="000000" w:themeColor="text1"/>
        </w:rPr>
        <w:t>.81</w:t>
      </w:r>
      <w:r w:rsidRPr="00373C34">
        <w:rPr>
          <w:color w:val="000000" w:themeColor="text1"/>
        </w:rPr>
        <w:t>)</w:t>
      </w:r>
      <w:r w:rsidRPr="00373C34">
        <w:rPr>
          <w:shd w:val="clear" w:color="auto" w:fill="FFFFFF"/>
        </w:rPr>
        <w:t>,</w:t>
      </w:r>
      <w:r w:rsidRPr="001D75E2">
        <w:rPr>
          <w:rStyle w:val="apple-converted-space"/>
          <w:rFonts w:eastAsia="Times New Roman"/>
          <w:color w:val="000000"/>
          <w:shd w:val="clear" w:color="auto" w:fill="FFFFFF"/>
        </w:rPr>
        <w:t> </w:t>
      </w:r>
      <w:r w:rsidRPr="00E37B82">
        <w:rPr>
          <w:i/>
          <w:iCs/>
          <w:shd w:val="clear" w:color="auto" w:fill="FFFFFF"/>
        </w:rPr>
        <w:t>p</w:t>
      </w:r>
      <w:r w:rsidRPr="006E675B">
        <w:rPr>
          <w:shd w:val="clear" w:color="auto" w:fill="FFFFFF"/>
        </w:rPr>
        <w:t>&lt;0.001</w:t>
      </w:r>
      <w:r w:rsidRPr="00D148D9">
        <w:rPr>
          <w:shd w:val="clear" w:color="auto" w:fill="FFFFFF"/>
        </w:rPr>
        <w:t xml:space="preserve">, </w:t>
      </w:r>
      <w:r>
        <w:rPr>
          <w:shd w:val="clear" w:color="auto" w:fill="FFFFFF"/>
        </w:rPr>
        <w:t xml:space="preserve">5-year absolute risk (AR) 27% (58/213) vs 12% (49/407) respectively, </w:t>
      </w:r>
      <w:r w:rsidRPr="00D148D9">
        <w:rPr>
          <w:shd w:val="clear" w:color="auto" w:fill="FFFFFF"/>
        </w:rPr>
        <w:t>median follow-up 7</w:t>
      </w:r>
      <w:r w:rsidRPr="00D11016">
        <w:rPr>
          <w:shd w:val="clear" w:color="auto" w:fill="FFFFFF"/>
        </w:rPr>
        <w:t>.</w:t>
      </w:r>
      <w:r>
        <w:rPr>
          <w:shd w:val="clear" w:color="auto" w:fill="FFFFFF"/>
        </w:rPr>
        <w:t>6</w:t>
      </w:r>
      <w:r w:rsidRPr="00D11016">
        <w:rPr>
          <w:shd w:val="clear" w:color="auto" w:fill="FFFFFF"/>
        </w:rPr>
        <w:t xml:space="preserve"> (</w:t>
      </w:r>
      <w:r w:rsidRPr="00995EEB">
        <w:rPr>
          <w:shd w:val="clear" w:color="auto" w:fill="FFFFFF"/>
        </w:rPr>
        <w:t xml:space="preserve">IQR </w:t>
      </w:r>
      <w:r>
        <w:t>5.8-9.6</w:t>
      </w:r>
      <w:r w:rsidRPr="00B15DCF">
        <w:t>)</w:t>
      </w:r>
      <w:r w:rsidRPr="00E37B82">
        <w:rPr>
          <w:shd w:val="clear" w:color="auto" w:fill="FFFFFF"/>
        </w:rPr>
        <w:t xml:space="preserve"> </w:t>
      </w:r>
      <w:r w:rsidRPr="006E675B">
        <w:rPr>
          <w:shd w:val="clear" w:color="auto" w:fill="FFFFFF"/>
        </w:rPr>
        <w:t>years), fingolimod (HR 0</w:t>
      </w:r>
      <w:r w:rsidRPr="00D148D9">
        <w:rPr>
          <w:shd w:val="clear" w:color="auto" w:fill="FFFFFF"/>
        </w:rPr>
        <w:t>.37</w:t>
      </w:r>
      <w:r w:rsidRPr="00D11016">
        <w:rPr>
          <w:shd w:val="clear" w:color="auto" w:fill="FFFFFF"/>
        </w:rPr>
        <w:t xml:space="preserve"> </w:t>
      </w:r>
      <w:r w:rsidRPr="00D11016">
        <w:rPr>
          <w:color w:val="000000" w:themeColor="text1"/>
        </w:rPr>
        <w:t>(95% CI 0.22−0.62)</w:t>
      </w:r>
      <w:r w:rsidRPr="0049083F">
        <w:rPr>
          <w:shd w:val="clear" w:color="auto" w:fill="FFFFFF"/>
        </w:rPr>
        <w:t>,</w:t>
      </w:r>
      <w:r w:rsidRPr="001D75E2">
        <w:rPr>
          <w:rStyle w:val="apple-converted-space"/>
          <w:rFonts w:eastAsia="Times New Roman"/>
          <w:color w:val="000000"/>
          <w:shd w:val="clear" w:color="auto" w:fill="FFFFFF"/>
        </w:rPr>
        <w:t> </w:t>
      </w:r>
      <w:r w:rsidRPr="00E37B82">
        <w:rPr>
          <w:i/>
          <w:iCs/>
          <w:shd w:val="clear" w:color="auto" w:fill="FFFFFF"/>
        </w:rPr>
        <w:t>p</w:t>
      </w:r>
      <w:r w:rsidRPr="006E675B">
        <w:rPr>
          <w:shd w:val="clear" w:color="auto" w:fill="FFFFFF"/>
        </w:rPr>
        <w:t xml:space="preserve">&lt;0.001, </w:t>
      </w:r>
      <w:r>
        <w:rPr>
          <w:shd w:val="clear" w:color="auto" w:fill="FFFFFF"/>
        </w:rPr>
        <w:t xml:space="preserve">5-year AR 32% (56/174) vs 7% (6/85) respectively, </w:t>
      </w:r>
      <w:r w:rsidRPr="006E675B">
        <w:rPr>
          <w:shd w:val="clear" w:color="auto" w:fill="FFFFFF"/>
        </w:rPr>
        <w:t>follow-up 4.</w:t>
      </w:r>
      <w:r w:rsidRPr="00D148D9">
        <w:rPr>
          <w:shd w:val="clear" w:color="auto" w:fill="FFFFFF"/>
        </w:rPr>
        <w:t xml:space="preserve">5 (IQR </w:t>
      </w:r>
      <w:r w:rsidRPr="00D11016">
        <w:rPr>
          <w:shd w:val="clear" w:color="auto" w:fill="FFFFFF"/>
        </w:rPr>
        <w:t xml:space="preserve">4.3-5.1) years), </w:t>
      </w:r>
      <w:r w:rsidRPr="0049083F">
        <w:rPr>
          <w:shd w:val="clear" w:color="auto" w:fill="FFFFFF"/>
        </w:rPr>
        <w:t>natalizumab (</w:t>
      </w:r>
      <w:r w:rsidRPr="00373C34">
        <w:rPr>
          <w:shd w:val="clear" w:color="auto" w:fill="FFFFFF"/>
        </w:rPr>
        <w:t xml:space="preserve">HR </w:t>
      </w:r>
      <w:r w:rsidRPr="00373C34">
        <w:rPr>
          <w:color w:val="000000" w:themeColor="text1"/>
        </w:rPr>
        <w:t>0.6</w:t>
      </w:r>
      <w:r>
        <w:rPr>
          <w:color w:val="000000" w:themeColor="text1"/>
        </w:rPr>
        <w:t>1</w:t>
      </w:r>
      <w:r w:rsidRPr="00373C34">
        <w:rPr>
          <w:color w:val="000000" w:themeColor="text1"/>
        </w:rPr>
        <w:t xml:space="preserve"> (95% CI 0.4</w:t>
      </w:r>
      <w:r>
        <w:rPr>
          <w:color w:val="000000" w:themeColor="text1"/>
        </w:rPr>
        <w:t>3</w:t>
      </w:r>
      <w:r w:rsidRPr="00373C34">
        <w:rPr>
          <w:color w:val="000000" w:themeColor="text1"/>
        </w:rPr>
        <w:t>−0.8</w:t>
      </w:r>
      <w:r>
        <w:rPr>
          <w:color w:val="000000" w:themeColor="text1"/>
        </w:rPr>
        <w:t>6</w:t>
      </w:r>
      <w:r w:rsidRPr="00373C34">
        <w:rPr>
          <w:color w:val="000000" w:themeColor="text1"/>
        </w:rPr>
        <w:t>)</w:t>
      </w:r>
      <w:r w:rsidRPr="00373C34">
        <w:rPr>
          <w:shd w:val="clear" w:color="auto" w:fill="FFFFFF"/>
        </w:rPr>
        <w:t>,</w:t>
      </w:r>
      <w:r w:rsidRPr="001D75E2">
        <w:rPr>
          <w:rStyle w:val="apple-converted-space"/>
          <w:rFonts w:eastAsia="Times New Roman"/>
          <w:color w:val="000000"/>
          <w:shd w:val="clear" w:color="auto" w:fill="FFFFFF"/>
        </w:rPr>
        <w:t> </w:t>
      </w:r>
      <w:r w:rsidRPr="00E37B82">
        <w:rPr>
          <w:i/>
          <w:iCs/>
          <w:shd w:val="clear" w:color="auto" w:fill="FFFFFF"/>
        </w:rPr>
        <w:t>p</w:t>
      </w:r>
      <w:r w:rsidRPr="006E675B">
        <w:rPr>
          <w:shd w:val="clear" w:color="auto" w:fill="FFFFFF"/>
        </w:rPr>
        <w:t xml:space="preserve">=0.005, </w:t>
      </w:r>
      <w:r>
        <w:rPr>
          <w:shd w:val="clear" w:color="auto" w:fill="FFFFFF"/>
        </w:rPr>
        <w:t xml:space="preserve">5-year AR 38% (62/164) vs 19% (16/82) respectively, </w:t>
      </w:r>
      <w:r w:rsidRPr="006E675B">
        <w:rPr>
          <w:shd w:val="clear" w:color="auto" w:fill="FFFFFF"/>
        </w:rPr>
        <w:t>follow-up 4</w:t>
      </w:r>
      <w:r w:rsidRPr="00D148D9">
        <w:rPr>
          <w:shd w:val="clear" w:color="auto" w:fill="FFFFFF"/>
        </w:rPr>
        <w:t xml:space="preserve">.9 </w:t>
      </w:r>
      <w:r w:rsidRPr="00D11016">
        <w:rPr>
          <w:shd w:val="clear" w:color="auto" w:fill="FFFFFF"/>
        </w:rPr>
        <w:t xml:space="preserve">(IQR </w:t>
      </w:r>
      <w:r w:rsidRPr="001D75E2">
        <w:t>4.4-5.8</w:t>
      </w:r>
      <w:r w:rsidRPr="00E37B82">
        <w:rPr>
          <w:shd w:val="clear" w:color="auto" w:fill="FFFFFF"/>
        </w:rPr>
        <w:t xml:space="preserve">) </w:t>
      </w:r>
      <w:r w:rsidRPr="006E675B">
        <w:rPr>
          <w:shd w:val="clear" w:color="auto" w:fill="FFFFFF"/>
        </w:rPr>
        <w:t>years) and alemtuzumab (</w:t>
      </w:r>
      <w:r w:rsidRPr="006E675B">
        <w:rPr>
          <w:color w:val="000000" w:themeColor="text1"/>
        </w:rPr>
        <w:t>HR 0.</w:t>
      </w:r>
      <w:r w:rsidRPr="00D148D9">
        <w:rPr>
          <w:color w:val="000000" w:themeColor="text1"/>
        </w:rPr>
        <w:t>52</w:t>
      </w:r>
      <w:r w:rsidRPr="00D11016">
        <w:rPr>
          <w:color w:val="000000" w:themeColor="text1"/>
        </w:rPr>
        <w:t xml:space="preserve"> (95%CI 0.32−0.85)</w:t>
      </w:r>
      <w:r w:rsidRPr="00D11016">
        <w:rPr>
          <w:shd w:val="clear" w:color="auto" w:fill="FFFFFF"/>
        </w:rPr>
        <w:t>,</w:t>
      </w:r>
      <w:r w:rsidRPr="001D75E2">
        <w:rPr>
          <w:rStyle w:val="apple-converted-space"/>
          <w:rFonts w:eastAsia="Times New Roman"/>
          <w:color w:val="000000"/>
          <w:shd w:val="clear" w:color="auto" w:fill="FFFFFF"/>
        </w:rPr>
        <w:t> </w:t>
      </w:r>
      <w:r w:rsidRPr="00E37B82">
        <w:rPr>
          <w:i/>
          <w:iCs/>
          <w:shd w:val="clear" w:color="auto" w:fill="FFFFFF"/>
        </w:rPr>
        <w:t>p</w:t>
      </w:r>
      <w:r w:rsidRPr="006E675B">
        <w:rPr>
          <w:shd w:val="clear" w:color="auto" w:fill="FFFFFF"/>
        </w:rPr>
        <w:t xml:space="preserve">=0.009, </w:t>
      </w:r>
      <w:r>
        <w:rPr>
          <w:shd w:val="clear" w:color="auto" w:fill="FFFFFF"/>
        </w:rPr>
        <w:t xml:space="preserve">5-year AR 25% (23/92) vs 10% (4/44) respectively, </w:t>
      </w:r>
      <w:r w:rsidRPr="006E675B">
        <w:rPr>
          <w:shd w:val="clear" w:color="auto" w:fill="FFFFFF"/>
        </w:rPr>
        <w:t>follow-up 7</w:t>
      </w:r>
      <w:r w:rsidRPr="00D148D9">
        <w:rPr>
          <w:shd w:val="clear" w:color="auto" w:fill="FFFFFF"/>
        </w:rPr>
        <w:t xml:space="preserve">.4 </w:t>
      </w:r>
      <w:r w:rsidRPr="00D11016">
        <w:rPr>
          <w:shd w:val="clear" w:color="auto" w:fill="FFFFFF"/>
        </w:rPr>
        <w:t xml:space="preserve">(IQR </w:t>
      </w:r>
      <w:r w:rsidRPr="001D75E2">
        <w:t>6.0-8.6</w:t>
      </w:r>
      <w:r w:rsidRPr="00E37B82">
        <w:rPr>
          <w:shd w:val="clear" w:color="auto" w:fill="FFFFFF"/>
        </w:rPr>
        <w:t xml:space="preserve">) </w:t>
      </w:r>
      <w:r w:rsidRPr="006E675B">
        <w:rPr>
          <w:shd w:val="clear" w:color="auto" w:fill="FFFFFF"/>
        </w:rPr>
        <w:t>years)</w:t>
      </w:r>
      <w:r w:rsidRPr="00D11016">
        <w:rPr>
          <w:shd w:val="clear" w:color="auto" w:fill="FFFFFF"/>
        </w:rPr>
        <w:t xml:space="preserve">. </w:t>
      </w:r>
      <w:r w:rsidRPr="00D11016">
        <w:rPr>
          <w:color w:val="000000" w:themeColor="text1"/>
        </w:rPr>
        <w:t xml:space="preserve">Initial treatment with </w:t>
      </w:r>
      <w:r>
        <w:rPr>
          <w:color w:val="000000" w:themeColor="text1"/>
        </w:rPr>
        <w:t xml:space="preserve">fingolimod, alemtuzumab or natalizumab </w:t>
      </w:r>
      <w:r w:rsidRPr="00D925DD">
        <w:rPr>
          <w:color w:val="000000" w:themeColor="text1"/>
        </w:rPr>
        <w:t xml:space="preserve">was associated with a lower risk of conversion than initial treatment with </w:t>
      </w:r>
      <w:r w:rsidR="006408F9">
        <w:rPr>
          <w:color w:val="000000" w:themeColor="text1"/>
        </w:rPr>
        <w:t xml:space="preserve">ß-IFN|GA </w:t>
      </w:r>
      <w:r w:rsidRPr="00D925DD">
        <w:rPr>
          <w:color w:val="000000" w:themeColor="text1"/>
        </w:rPr>
        <w:t xml:space="preserve">(HR 0.66 </w:t>
      </w:r>
      <w:r w:rsidRPr="00D925DD">
        <w:rPr>
          <w:color w:val="454545"/>
        </w:rPr>
        <w:t>(95% CI 0.44-0.99)</w:t>
      </w:r>
      <w:r w:rsidRPr="00D925DD">
        <w:rPr>
          <w:color w:val="000000" w:themeColor="text1"/>
        </w:rPr>
        <w:t xml:space="preserve">, </w:t>
      </w:r>
      <w:r w:rsidRPr="00D925DD">
        <w:rPr>
          <w:i/>
          <w:color w:val="000000" w:themeColor="text1"/>
        </w:rPr>
        <w:t>p</w:t>
      </w:r>
      <w:r w:rsidRPr="00D925DD">
        <w:rPr>
          <w:color w:val="000000" w:themeColor="text1"/>
        </w:rPr>
        <w:t xml:space="preserve">=0.046, </w:t>
      </w:r>
      <w:r>
        <w:rPr>
          <w:shd w:val="clear" w:color="auto" w:fill="FFFFFF"/>
        </w:rPr>
        <w:t xml:space="preserve">5-year AR 7% (16/235) vs 12% (46/380) respectively, </w:t>
      </w:r>
      <w:r w:rsidRPr="00F71FD9">
        <w:rPr>
          <w:color w:val="000000" w:themeColor="text1"/>
        </w:rPr>
        <w:t xml:space="preserve">median </w:t>
      </w:r>
      <w:r w:rsidRPr="00B53CF5">
        <w:rPr>
          <w:color w:val="000000" w:themeColor="text1"/>
        </w:rPr>
        <w:lastRenderedPageBreak/>
        <w:t xml:space="preserve">follow-up 5.8 (IQR 4.7-8.0) </w:t>
      </w:r>
      <w:r w:rsidRPr="00E37B82">
        <w:rPr>
          <w:color w:val="000000" w:themeColor="text1"/>
        </w:rPr>
        <w:t xml:space="preserve">years). </w:t>
      </w:r>
      <w:r w:rsidR="00D80A9F" w:rsidRPr="00E37B82">
        <w:rPr>
          <w:color w:val="000000" w:themeColor="text1"/>
        </w:rPr>
        <w:t xml:space="preserve">The probability of conversion was lower when </w:t>
      </w:r>
      <w:r w:rsidR="006408F9">
        <w:rPr>
          <w:color w:val="000000" w:themeColor="text1"/>
        </w:rPr>
        <w:t xml:space="preserve">ß-IFN|GA </w:t>
      </w:r>
      <w:r w:rsidR="00D80A9F" w:rsidRPr="00E37B82">
        <w:rPr>
          <w:color w:val="000000" w:themeColor="text1"/>
        </w:rPr>
        <w:t>w</w:t>
      </w:r>
      <w:r w:rsidR="00D80A9F">
        <w:rPr>
          <w:color w:val="000000" w:themeColor="text1"/>
        </w:rPr>
        <w:t>as</w:t>
      </w:r>
      <w:r w:rsidR="00D80A9F" w:rsidRPr="00E37B82">
        <w:rPr>
          <w:color w:val="000000" w:themeColor="text1"/>
        </w:rPr>
        <w:t xml:space="preserve"> started within 5 years of disease onset versus later commencement (HR 0.77 (95%CI 0.6</w:t>
      </w:r>
      <w:r w:rsidR="00D80A9F">
        <w:rPr>
          <w:color w:val="000000" w:themeColor="text1"/>
        </w:rPr>
        <w:t>1</w:t>
      </w:r>
      <w:r w:rsidR="00D80A9F" w:rsidRPr="00E37B82">
        <w:rPr>
          <w:color w:val="000000" w:themeColor="text1"/>
        </w:rPr>
        <w:t xml:space="preserve">-0.98), </w:t>
      </w:r>
      <w:r w:rsidR="00D80A9F" w:rsidRPr="00E37B82">
        <w:rPr>
          <w:i/>
          <w:color w:val="000000" w:themeColor="text1"/>
        </w:rPr>
        <w:t>p</w:t>
      </w:r>
      <w:r w:rsidR="00D80A9F" w:rsidRPr="00E37B82">
        <w:rPr>
          <w:color w:val="000000" w:themeColor="text1"/>
        </w:rPr>
        <w:t xml:space="preserve">=0.03, </w:t>
      </w:r>
      <w:r w:rsidR="00D80A9F">
        <w:rPr>
          <w:shd w:val="clear" w:color="auto" w:fill="FFFFFF"/>
        </w:rPr>
        <w:t xml:space="preserve">5-year AR </w:t>
      </w:r>
      <w:r w:rsidR="00854A37">
        <w:rPr>
          <w:shd w:val="clear" w:color="auto" w:fill="FFFFFF"/>
        </w:rPr>
        <w:t>3</w:t>
      </w:r>
      <w:r w:rsidR="00D80A9F">
        <w:rPr>
          <w:shd w:val="clear" w:color="auto" w:fill="FFFFFF"/>
        </w:rPr>
        <w:t>% (</w:t>
      </w:r>
      <w:r w:rsidR="00854A37">
        <w:rPr>
          <w:shd w:val="clear" w:color="auto" w:fill="FFFFFF"/>
        </w:rPr>
        <w:t>4</w:t>
      </w:r>
      <w:r w:rsidR="00D80A9F">
        <w:rPr>
          <w:shd w:val="clear" w:color="auto" w:fill="FFFFFF"/>
        </w:rPr>
        <w:t>/</w:t>
      </w:r>
      <w:r w:rsidR="00854A37">
        <w:rPr>
          <w:shd w:val="clear" w:color="auto" w:fill="FFFFFF"/>
        </w:rPr>
        <w:t>120</w:t>
      </w:r>
      <w:r w:rsidR="00D80A9F">
        <w:rPr>
          <w:shd w:val="clear" w:color="auto" w:fill="FFFFFF"/>
        </w:rPr>
        <w:t xml:space="preserve">) vs </w:t>
      </w:r>
      <w:r w:rsidR="00854A37">
        <w:rPr>
          <w:shd w:val="clear" w:color="auto" w:fill="FFFFFF"/>
        </w:rPr>
        <w:t>6</w:t>
      </w:r>
      <w:r w:rsidR="00D80A9F">
        <w:rPr>
          <w:shd w:val="clear" w:color="auto" w:fill="FFFFFF"/>
        </w:rPr>
        <w:t>% (</w:t>
      </w:r>
      <w:r w:rsidR="00854A37">
        <w:rPr>
          <w:shd w:val="clear" w:color="auto" w:fill="FFFFFF"/>
        </w:rPr>
        <w:t>2</w:t>
      </w:r>
      <w:r w:rsidR="00D80A9F">
        <w:rPr>
          <w:shd w:val="clear" w:color="auto" w:fill="FFFFFF"/>
        </w:rPr>
        <w:t>/38) respectively</w:t>
      </w:r>
      <w:r w:rsidR="00D80A9F" w:rsidRPr="00E37B82">
        <w:rPr>
          <w:color w:val="000000" w:themeColor="text1"/>
        </w:rPr>
        <w:t xml:space="preserve"> median follow-up 13.4 (IQR </w:t>
      </w:r>
      <w:r w:rsidR="00D80A9F" w:rsidRPr="001D75E2">
        <w:t>11-18.1</w:t>
      </w:r>
      <w:r w:rsidR="00D80A9F" w:rsidRPr="00E37B82">
        <w:rPr>
          <w:color w:val="000000" w:themeColor="text1"/>
        </w:rPr>
        <w:t xml:space="preserve">) </w:t>
      </w:r>
      <w:r w:rsidR="00D80A9F" w:rsidRPr="006E675B">
        <w:rPr>
          <w:color w:val="000000" w:themeColor="text1"/>
        </w:rPr>
        <w:t>years); and</w:t>
      </w:r>
      <w:r w:rsidRPr="00E37B82">
        <w:rPr>
          <w:color w:val="000000" w:themeColor="text1"/>
        </w:rPr>
        <w:t xml:space="preserve"> </w:t>
      </w:r>
      <w:r w:rsidRPr="00D148D9">
        <w:rPr>
          <w:color w:val="000000" w:themeColor="text1"/>
        </w:rPr>
        <w:t xml:space="preserve">when patients on </w:t>
      </w:r>
      <w:r w:rsidR="006408F9">
        <w:rPr>
          <w:color w:val="000000" w:themeColor="text1"/>
        </w:rPr>
        <w:t xml:space="preserve">ß-IFN|GA </w:t>
      </w:r>
      <w:r w:rsidRPr="0049083F">
        <w:rPr>
          <w:color w:val="000000" w:themeColor="text1"/>
        </w:rPr>
        <w:t>were escalated to</w:t>
      </w:r>
      <w:r w:rsidRPr="00DD78D2">
        <w:rPr>
          <w:color w:val="000000" w:themeColor="text1"/>
        </w:rPr>
        <w:t xml:space="preserve"> </w:t>
      </w:r>
      <w:r>
        <w:rPr>
          <w:color w:val="000000" w:themeColor="text1"/>
        </w:rPr>
        <w:t>fingolimod, alemtuzumab or natalizumab</w:t>
      </w:r>
      <w:r w:rsidRPr="00D925DD">
        <w:rPr>
          <w:color w:val="000000" w:themeColor="text1"/>
        </w:rPr>
        <w:t xml:space="preserve"> within 5 years of disease onset compared to later escalation (HR 0</w:t>
      </w:r>
      <w:r w:rsidRPr="00F71FD9">
        <w:rPr>
          <w:color w:val="000000" w:themeColor="text1"/>
        </w:rPr>
        <w:t xml:space="preserve">.76 (95% CI </w:t>
      </w:r>
      <w:r w:rsidRPr="00B53CF5">
        <w:rPr>
          <w:color w:val="000000" w:themeColor="text1"/>
        </w:rPr>
        <w:t>0.6</w:t>
      </w:r>
      <w:r>
        <w:rPr>
          <w:color w:val="000000" w:themeColor="text1"/>
        </w:rPr>
        <w:t>6</w:t>
      </w:r>
      <w:r w:rsidRPr="00B53CF5">
        <w:rPr>
          <w:color w:val="000000" w:themeColor="text1"/>
        </w:rPr>
        <w:t xml:space="preserve">-0.88), </w:t>
      </w:r>
      <w:r w:rsidRPr="00B53CF5">
        <w:rPr>
          <w:i/>
          <w:color w:val="000000" w:themeColor="text1"/>
        </w:rPr>
        <w:t>p</w:t>
      </w:r>
      <w:r w:rsidRPr="00B53CF5">
        <w:rPr>
          <w:color w:val="000000" w:themeColor="text1"/>
        </w:rPr>
        <w:t xml:space="preserve">&lt;0.001, </w:t>
      </w:r>
      <w:r>
        <w:rPr>
          <w:shd w:val="clear" w:color="auto" w:fill="FFFFFF"/>
        </w:rPr>
        <w:t xml:space="preserve">5-year AR 8% (25/307) vs 14% (46/331) respectively, </w:t>
      </w:r>
      <w:r w:rsidRPr="00E37B82">
        <w:rPr>
          <w:color w:val="000000" w:themeColor="text1"/>
        </w:rPr>
        <w:t xml:space="preserve">median follow-up 5.3 (IQR 4.6-6.1) years). </w:t>
      </w:r>
    </w:p>
    <w:p w14:paraId="22C053DE" w14:textId="174FD84B" w:rsidR="00575022" w:rsidRPr="00697D58" w:rsidRDefault="00575022" w:rsidP="00B619C5">
      <w:pPr>
        <w:spacing w:line="480" w:lineRule="auto"/>
        <w:rPr>
          <w:shd w:val="clear" w:color="auto" w:fill="FFFFFF"/>
        </w:rPr>
      </w:pPr>
      <w:r>
        <w:rPr>
          <w:b/>
          <w:bCs/>
          <w:shd w:val="clear" w:color="auto" w:fill="FFFFFF"/>
        </w:rPr>
        <w:t>Conclusions and Relevance:</w:t>
      </w:r>
      <w:r w:rsidRPr="00697D58">
        <w:rPr>
          <w:b/>
          <w:bCs/>
          <w:shd w:val="clear" w:color="auto" w:fill="FFFFFF"/>
        </w:rPr>
        <w:t xml:space="preserve"> </w:t>
      </w:r>
      <w:r w:rsidRPr="001D75E2">
        <w:rPr>
          <w:bCs/>
          <w:shd w:val="clear" w:color="auto" w:fill="FFFFFF"/>
        </w:rPr>
        <w:t xml:space="preserve">Among patients with RRMS, </w:t>
      </w:r>
      <w:r>
        <w:rPr>
          <w:shd w:val="clear" w:color="auto" w:fill="FFFFFF"/>
        </w:rPr>
        <w:t xml:space="preserve">initial treatment with fingolimod, natalizumab or alemtuzumab was associated with a lower risk of conversion to SPMS compared to initial treatment with </w:t>
      </w:r>
      <w:r w:rsidR="006408F9">
        <w:rPr>
          <w:color w:val="000000" w:themeColor="text1"/>
        </w:rPr>
        <w:t xml:space="preserve">ß-IFN|GA </w:t>
      </w:r>
      <w:r>
        <w:rPr>
          <w:color w:val="000000" w:themeColor="text1"/>
        </w:rPr>
        <w:t xml:space="preserve">over a median 5.8 years of follow-up. </w:t>
      </w:r>
      <w:r>
        <w:rPr>
          <w:shd w:val="clear" w:color="auto" w:fill="FFFFFF"/>
        </w:rPr>
        <w:t xml:space="preserve"> These findings, considered along with these therapies’ risks, may help inform decisions about DMT selection. </w:t>
      </w:r>
    </w:p>
    <w:p w14:paraId="475E298A" w14:textId="77777777" w:rsidR="00575022" w:rsidRPr="00697D58" w:rsidRDefault="00575022" w:rsidP="00B619C5">
      <w:pPr>
        <w:spacing w:line="480" w:lineRule="auto"/>
        <w:rPr>
          <w:shd w:val="clear" w:color="auto" w:fill="FFFFFF"/>
        </w:rPr>
      </w:pPr>
    </w:p>
    <w:p w14:paraId="026C6E53" w14:textId="77777777" w:rsidR="00575022" w:rsidRPr="00697D58" w:rsidRDefault="00575022" w:rsidP="00B619C5">
      <w:pPr>
        <w:spacing w:line="480" w:lineRule="auto"/>
      </w:pPr>
      <w:r w:rsidRPr="00697D58">
        <w:br w:type="page"/>
      </w:r>
    </w:p>
    <w:p w14:paraId="14D11BCE" w14:textId="77777777" w:rsidR="00575022" w:rsidRPr="008E2EB9" w:rsidRDefault="00575022" w:rsidP="00B619C5">
      <w:pPr>
        <w:pStyle w:val="Heading2"/>
      </w:pPr>
      <w:r w:rsidRPr="008E2EB9">
        <w:lastRenderedPageBreak/>
        <w:t>Introduction</w:t>
      </w:r>
    </w:p>
    <w:p w14:paraId="3524636A" w14:textId="77777777" w:rsidR="00575022" w:rsidRPr="00697D58" w:rsidRDefault="00575022" w:rsidP="00B619C5">
      <w:pPr>
        <w:spacing w:line="480" w:lineRule="auto"/>
      </w:pPr>
      <w:r w:rsidRPr="00697D58">
        <w:t xml:space="preserve">Multiple sclerosis </w:t>
      </w:r>
      <w:r>
        <w:t xml:space="preserve">(MS) </w:t>
      </w:r>
      <w:r w:rsidRPr="00697D58">
        <w:t>is amongst the most common causes of disability in young</w:t>
      </w:r>
      <w:r>
        <w:t xml:space="preserve"> adults</w:t>
      </w:r>
      <w:r w:rsidRPr="00697D58">
        <w:t xml:space="preserve">. Eighty five percent of patients present with the relapsing-remitting form (RRMS) for which </w:t>
      </w:r>
      <w:r>
        <w:t>several</w:t>
      </w:r>
      <w:r w:rsidRPr="00697D58">
        <w:t xml:space="preserve"> immunomodulatory disease-modifying therapies (DMTs) reduce relapse rates and disability accumulation.</w:t>
      </w:r>
      <w:r w:rsidRPr="002C422E">
        <w:rPr>
          <w:noProof/>
          <w:vertAlign w:val="superscript"/>
        </w:rPr>
        <w:t>1-5</w:t>
      </w:r>
      <w:r w:rsidRPr="00697D58">
        <w:t xml:space="preserve"> Within two decades of onset, 80% of untreated patients with RRMS convert to a phase of </w:t>
      </w:r>
      <w:r>
        <w:t>sustained</w:t>
      </w:r>
      <w:r w:rsidRPr="00697D58">
        <w:t xml:space="preserve"> disability accrual termed secondary progressive multiple sclerosis (SPMS).</w:t>
      </w:r>
      <w:r w:rsidRPr="002C422E">
        <w:rPr>
          <w:noProof/>
          <w:vertAlign w:val="superscript"/>
        </w:rPr>
        <w:t>6</w:t>
      </w:r>
      <w:r w:rsidRPr="00697D58">
        <w:t xml:space="preserve"> </w:t>
      </w:r>
      <w:r>
        <w:t>This phase is responsible for much of the disease’s negative physical, psychological and societal effects.</w:t>
      </w:r>
    </w:p>
    <w:p w14:paraId="50069F1E" w14:textId="6D29821F" w:rsidR="00575022" w:rsidRPr="00697D58" w:rsidRDefault="00575022" w:rsidP="00B619C5">
      <w:pPr>
        <w:spacing w:line="480" w:lineRule="auto"/>
      </w:pPr>
      <w:r w:rsidRPr="00697D58">
        <w:t xml:space="preserve">Until recently no </w:t>
      </w:r>
      <w:r>
        <w:t>rigorous</w:t>
      </w:r>
      <w:r w:rsidRPr="00697D58">
        <w:t xml:space="preserve"> definition of SPMS existed, leading to varying criteria and contradictory results from one randomised trial extension</w:t>
      </w:r>
      <w:r w:rsidRPr="002C422E">
        <w:rPr>
          <w:noProof/>
          <w:vertAlign w:val="superscript"/>
        </w:rPr>
        <w:t>7</w:t>
      </w:r>
      <w:r w:rsidRPr="00697D58">
        <w:t xml:space="preserve"> and seven observational studies</w:t>
      </w:r>
      <w:r w:rsidRPr="002C422E">
        <w:rPr>
          <w:noProof/>
          <w:vertAlign w:val="superscript"/>
        </w:rPr>
        <w:t>8-14</w:t>
      </w:r>
      <w:r w:rsidRPr="00697D58">
        <w:t xml:space="preserve"> </w:t>
      </w:r>
      <w:r>
        <w:t xml:space="preserve">that </w:t>
      </w:r>
      <w:r w:rsidRPr="00697D58">
        <w:t>predominantly examin</w:t>
      </w:r>
      <w:r>
        <w:t>ed</w:t>
      </w:r>
      <w:r w:rsidRPr="00697D58">
        <w:t xml:space="preserve"> the effects of </w:t>
      </w:r>
      <w:r>
        <w:rPr>
          <w:color w:val="000000" w:themeColor="text1"/>
        </w:rPr>
        <w:t>ß-interferon or glatiramer acetate (</w:t>
      </w:r>
      <w:r w:rsidR="007A133D">
        <w:rPr>
          <w:color w:val="000000" w:themeColor="text1"/>
        </w:rPr>
        <w:t>ß-IFN|GA</w:t>
      </w:r>
      <w:r>
        <w:rPr>
          <w:color w:val="000000" w:themeColor="text1"/>
        </w:rPr>
        <w:t xml:space="preserve">) </w:t>
      </w:r>
      <w:r w:rsidRPr="00697D58">
        <w:t xml:space="preserve">on conversion to SPMS. </w:t>
      </w:r>
    </w:p>
    <w:p w14:paraId="291311EC" w14:textId="63ED9423" w:rsidR="00575022" w:rsidRDefault="00575022" w:rsidP="00B619C5">
      <w:pPr>
        <w:spacing w:line="480" w:lineRule="auto"/>
        <w:rPr>
          <w:shd w:val="clear" w:color="auto" w:fill="FFFFFF"/>
        </w:rPr>
      </w:pPr>
      <w:r w:rsidRPr="00697D58">
        <w:t xml:space="preserve">Using </w:t>
      </w:r>
      <w:r>
        <w:t>a</w:t>
      </w:r>
      <w:r w:rsidRPr="00697D58">
        <w:t xml:space="preserve"> recently-published validated definition of SPMS,</w:t>
      </w:r>
      <w:r w:rsidRPr="002C422E">
        <w:rPr>
          <w:noProof/>
          <w:vertAlign w:val="superscript"/>
        </w:rPr>
        <w:t>15</w:t>
      </w:r>
      <w:r w:rsidRPr="00697D58">
        <w:t xml:space="preserve"> </w:t>
      </w:r>
      <w:r>
        <w:t xml:space="preserve">the rate of conversion to SPMS was </w:t>
      </w:r>
      <w:r>
        <w:rPr>
          <w:shd w:val="clear" w:color="auto" w:fill="FFFFFF"/>
        </w:rPr>
        <w:t>examined between (</w:t>
      </w:r>
      <w:proofErr w:type="spellStart"/>
      <w:r>
        <w:rPr>
          <w:shd w:val="clear" w:color="auto" w:fill="FFFFFF"/>
        </w:rPr>
        <w:t>i</w:t>
      </w:r>
      <w:proofErr w:type="spellEnd"/>
      <w:r>
        <w:rPr>
          <w:shd w:val="clear" w:color="auto" w:fill="FFFFFF"/>
        </w:rPr>
        <w:t xml:space="preserve">) different DMTs and an untreated cohort, (ii) </w:t>
      </w:r>
      <w:r w:rsidRPr="008E2EB9">
        <w:rPr>
          <w:color w:val="000000" w:themeColor="text1"/>
        </w:rPr>
        <w:t xml:space="preserve">fingolimod, </w:t>
      </w:r>
      <w:r>
        <w:rPr>
          <w:color w:val="000000" w:themeColor="text1"/>
        </w:rPr>
        <w:t xml:space="preserve">alemtuzumab or </w:t>
      </w:r>
      <w:r w:rsidRPr="008E2EB9">
        <w:rPr>
          <w:color w:val="000000" w:themeColor="text1"/>
        </w:rPr>
        <w:t>natalizumab</w:t>
      </w:r>
      <w:r>
        <w:rPr>
          <w:color w:val="000000" w:themeColor="text1"/>
        </w:rPr>
        <w:t xml:space="preserve"> (</w:t>
      </w:r>
      <w:r w:rsidR="006408F9">
        <w:rPr>
          <w:color w:val="000000" w:themeColor="text1"/>
        </w:rPr>
        <w:t>F|A|N</w:t>
      </w:r>
      <w:r>
        <w:rPr>
          <w:color w:val="000000" w:themeColor="text1"/>
        </w:rPr>
        <w:t>)</w:t>
      </w:r>
      <w:r w:rsidRPr="008E2EB9">
        <w:rPr>
          <w:color w:val="000000" w:themeColor="text1"/>
        </w:rPr>
        <w:t xml:space="preserve"> </w:t>
      </w:r>
      <w:r>
        <w:rPr>
          <w:color w:val="000000" w:themeColor="text1"/>
        </w:rPr>
        <w:t xml:space="preserve">versus </w:t>
      </w:r>
      <w:r w:rsidR="007A133D">
        <w:rPr>
          <w:color w:val="000000" w:themeColor="text1"/>
        </w:rPr>
        <w:t>ß-IFN|GA</w:t>
      </w:r>
      <w:r>
        <w:rPr>
          <w:color w:val="000000" w:themeColor="text1"/>
        </w:rPr>
        <w:t xml:space="preserve">, and (iii) </w:t>
      </w:r>
      <w:r>
        <w:rPr>
          <w:shd w:val="clear" w:color="auto" w:fill="FFFFFF"/>
        </w:rPr>
        <w:t xml:space="preserve">treatment commencement or escalation within versus after 5 years of disease onset. </w:t>
      </w:r>
    </w:p>
    <w:p w14:paraId="5BA36446" w14:textId="77777777" w:rsidR="00575022" w:rsidRPr="008E2EB9" w:rsidRDefault="00575022" w:rsidP="00B619C5">
      <w:pPr>
        <w:spacing w:line="480" w:lineRule="auto"/>
        <w:rPr>
          <w:rFonts w:eastAsia="Calibri"/>
          <w:b/>
          <w:bCs/>
          <w:i/>
          <w:color w:val="000000" w:themeColor="text1"/>
          <w:sz w:val="26"/>
          <w:szCs w:val="26"/>
        </w:rPr>
      </w:pPr>
    </w:p>
    <w:p w14:paraId="264AAD98" w14:textId="77777777" w:rsidR="00575022" w:rsidRPr="008E2EB9" w:rsidRDefault="00575022" w:rsidP="00B619C5">
      <w:pPr>
        <w:pStyle w:val="Heading2"/>
      </w:pPr>
      <w:r w:rsidRPr="008E2EB9">
        <w:t>Methods</w:t>
      </w:r>
    </w:p>
    <w:p w14:paraId="19F263BB" w14:textId="77777777" w:rsidR="00575022" w:rsidRDefault="00575022" w:rsidP="00B619C5">
      <w:pPr>
        <w:spacing w:line="480" w:lineRule="auto"/>
      </w:pPr>
      <w:r w:rsidRPr="00697D58">
        <w:t>Ethical approval was granted by the Melbourne Health Human Research Ethics Committee and by each site</w:t>
      </w:r>
      <w:r>
        <w:t>’s</w:t>
      </w:r>
      <w:r w:rsidRPr="00697D58">
        <w:t xml:space="preserve"> institutional review board. </w:t>
      </w:r>
      <w:r>
        <w:t>All enrolled patients provided written or verbal consent, as per local regulations.</w:t>
      </w:r>
    </w:p>
    <w:p w14:paraId="02E8C9AA" w14:textId="77777777" w:rsidR="00575022" w:rsidRDefault="00575022" w:rsidP="00B619C5">
      <w:pPr>
        <w:spacing w:line="480" w:lineRule="auto"/>
      </w:pPr>
    </w:p>
    <w:p w14:paraId="378D323C" w14:textId="77777777" w:rsidR="00575022" w:rsidRPr="008E2EB9" w:rsidRDefault="00575022" w:rsidP="00B619C5">
      <w:pPr>
        <w:pStyle w:val="Heading3"/>
        <w:spacing w:line="480" w:lineRule="auto"/>
        <w:rPr>
          <w:rFonts w:ascii="Times New Roman" w:hAnsi="Times New Roman" w:cs="Times New Roman"/>
        </w:rPr>
      </w:pPr>
      <w:r w:rsidRPr="008E2EB9">
        <w:rPr>
          <w:rFonts w:ascii="Times New Roman" w:hAnsi="Times New Roman" w:cs="Times New Roman"/>
        </w:rPr>
        <w:t>Patients and inclusion criteria</w:t>
      </w:r>
    </w:p>
    <w:p w14:paraId="3ECCF979" w14:textId="692BB895" w:rsidR="00575022" w:rsidRPr="00697D58" w:rsidRDefault="00575022" w:rsidP="00B619C5">
      <w:pPr>
        <w:shd w:val="clear" w:color="auto" w:fill="FFFFFF"/>
        <w:spacing w:line="480" w:lineRule="auto"/>
      </w:pPr>
      <w:r w:rsidRPr="00697D58">
        <w:t>This international observational cohort study utilised prospectively-collected clinical data from three sources</w:t>
      </w:r>
      <w:r>
        <w:t xml:space="preserve"> (all accessed in February 2017)</w:t>
      </w:r>
      <w:r w:rsidRPr="00697D58">
        <w:t xml:space="preserve">. Untreated patients were selected from the neuroinflammatory service database at the University Hospital of Wales, a tertiary referral centre </w:t>
      </w:r>
      <w:r>
        <w:t>in</w:t>
      </w:r>
      <w:r w:rsidRPr="00697D58">
        <w:t xml:space="preserve"> South-East Wales. Clinical data was initially collected as part of a cross-sectional study</w:t>
      </w:r>
      <w:r w:rsidRPr="002C422E">
        <w:rPr>
          <w:noProof/>
          <w:vertAlign w:val="superscript"/>
        </w:rPr>
        <w:t>16</w:t>
      </w:r>
      <w:r w:rsidRPr="00697D58">
        <w:t xml:space="preserve"> then </w:t>
      </w:r>
      <w:r w:rsidRPr="00697D58">
        <w:lastRenderedPageBreak/>
        <w:t xml:space="preserve">through annual or semi-annual appointments. </w:t>
      </w:r>
      <w:r>
        <w:t>Treated patients</w:t>
      </w:r>
      <w:r w:rsidRPr="00697D58">
        <w:t xml:space="preserve"> were identified from </w:t>
      </w:r>
      <w:proofErr w:type="spellStart"/>
      <w:r w:rsidRPr="00697D58">
        <w:t>MSBase</w:t>
      </w:r>
      <w:proofErr w:type="spellEnd"/>
      <w:r w:rsidRPr="00697D58">
        <w:t xml:space="preserve">, an observational cohort study collecting real-world data from patients with multiple sclerosis across </w:t>
      </w:r>
      <w:r>
        <w:t>105</w:t>
      </w:r>
      <w:r w:rsidRPr="00697D58">
        <w:t xml:space="preserve"> </w:t>
      </w:r>
      <w:proofErr w:type="spellStart"/>
      <w:r w:rsidRPr="00697D58">
        <w:t>cent</w:t>
      </w:r>
      <w:r>
        <w:t>er</w:t>
      </w:r>
      <w:r w:rsidRPr="00697D58">
        <w:t>s</w:t>
      </w:r>
      <w:proofErr w:type="spellEnd"/>
      <w:r w:rsidRPr="00697D58">
        <w:t xml:space="preserve"> in 2</w:t>
      </w:r>
      <w:r>
        <w:t>9</w:t>
      </w:r>
      <w:r w:rsidRPr="00697D58">
        <w:t xml:space="preserve"> countries.</w:t>
      </w:r>
      <w:r w:rsidRPr="002C422E">
        <w:rPr>
          <w:noProof/>
          <w:vertAlign w:val="superscript"/>
        </w:rPr>
        <w:t>17</w:t>
      </w:r>
      <w:r w:rsidRPr="00697D58">
        <w:t xml:space="preserve"> </w:t>
      </w:r>
      <w:r>
        <w:t>Additional alemtuzumab-treated patients were identified from five European non-</w:t>
      </w:r>
      <w:proofErr w:type="spellStart"/>
      <w:r>
        <w:t>MSBase</w:t>
      </w:r>
      <w:proofErr w:type="spellEnd"/>
      <w:r>
        <w:t xml:space="preserve"> </w:t>
      </w:r>
      <w:proofErr w:type="spellStart"/>
      <w:r w:rsidRPr="00697D58">
        <w:t>cent</w:t>
      </w:r>
      <w:r>
        <w:t>er</w:t>
      </w:r>
      <w:r w:rsidRPr="00697D58">
        <w:t>s</w:t>
      </w:r>
      <w:proofErr w:type="spellEnd"/>
      <w:r>
        <w:t xml:space="preserve"> using alemtuzumab before it was licensed</w:t>
      </w:r>
      <w:r w:rsidRPr="002C422E">
        <w:rPr>
          <w:noProof/>
          <w:vertAlign w:val="superscript"/>
        </w:rPr>
        <w:t>18</w:t>
      </w:r>
      <w:r>
        <w:t xml:space="preserve"> (Bristol</w:t>
      </w:r>
      <w:r w:rsidRPr="00697D58">
        <w:t xml:space="preserve">, Cardiff, Swansea, Dublin and Dresden). Within </w:t>
      </w:r>
      <w:proofErr w:type="spellStart"/>
      <w:r w:rsidRPr="00697D58">
        <w:t>MSBase</w:t>
      </w:r>
      <w:proofErr w:type="spellEnd"/>
      <w:r w:rsidRPr="00697D58">
        <w:t xml:space="preserve">, </w:t>
      </w:r>
      <w:r w:rsidR="007A133D">
        <w:t>ß-IFN|GA</w:t>
      </w:r>
      <w:r w:rsidRPr="00697D58">
        <w:t>, fingolimod and natalizumab had sufficient patient</w:t>
      </w:r>
      <w:r>
        <w:t xml:space="preserve"> numbers</w:t>
      </w:r>
      <w:r w:rsidRPr="00697D58">
        <w:t xml:space="preserve"> with more than 4-years </w:t>
      </w:r>
      <w:r>
        <w:t xml:space="preserve">on-treatment </w:t>
      </w:r>
      <w:r w:rsidRPr="00697D58">
        <w:t>follow-up</w:t>
      </w:r>
      <w:r>
        <w:t xml:space="preserve"> (while </w:t>
      </w:r>
      <w:r w:rsidRPr="00697D58">
        <w:t xml:space="preserve">teriflunomide </w:t>
      </w:r>
      <w:r>
        <w:t>and</w:t>
      </w:r>
      <w:r w:rsidRPr="00697D58">
        <w:t xml:space="preserve"> dimethyl-fumarate </w:t>
      </w:r>
      <w:r>
        <w:t>did not, so they were not included).</w:t>
      </w:r>
      <w:r w:rsidRPr="00697D58">
        <w:t xml:space="preserve"> </w:t>
      </w:r>
      <w:r>
        <w:t>The</w:t>
      </w:r>
      <w:r w:rsidRPr="00697D58">
        <w:t xml:space="preserve"> 4-year minimum follow-up period represented the longest follow-up period without excluding the majority of patients in </w:t>
      </w:r>
      <w:proofErr w:type="spellStart"/>
      <w:r w:rsidRPr="00697D58">
        <w:t>MSBase</w:t>
      </w:r>
      <w:proofErr w:type="spellEnd"/>
      <w:r w:rsidRPr="00697D58">
        <w:t xml:space="preserve"> treated with natalizumab </w:t>
      </w:r>
      <w:r>
        <w:t>or</w:t>
      </w:r>
      <w:r w:rsidRPr="00697D58">
        <w:t xml:space="preserve"> fingolimod. </w:t>
      </w:r>
      <w:r>
        <w:t>D</w:t>
      </w:r>
      <w:r w:rsidRPr="00697D58">
        <w:t>ata were subject to rigorous data-quality procedures (</w:t>
      </w:r>
      <w:proofErr w:type="spellStart"/>
      <w:r>
        <w:t>e</w:t>
      </w:r>
      <w:r w:rsidRPr="00697D58">
        <w:t>Table</w:t>
      </w:r>
      <w:proofErr w:type="spellEnd"/>
      <w:r w:rsidRPr="00697D58">
        <w:t xml:space="preserve"> </w:t>
      </w:r>
      <w:r w:rsidR="009E1930" w:rsidRPr="00697D58">
        <w:t>S</w:t>
      </w:r>
      <w:r w:rsidR="009E1930">
        <w:t>1</w:t>
      </w:r>
      <w:r w:rsidRPr="00697D58">
        <w:t>).</w:t>
      </w:r>
    </w:p>
    <w:p w14:paraId="588B60FC" w14:textId="47EFF2CA" w:rsidR="00575022" w:rsidRDefault="00575022" w:rsidP="00B619C5">
      <w:pPr>
        <w:spacing w:line="480" w:lineRule="auto"/>
      </w:pPr>
      <w:r w:rsidRPr="00697D58">
        <w:t xml:space="preserve">For inclusion, patients needed to be classified as RRMS </w:t>
      </w:r>
      <w:r>
        <w:t>(clinically definite MS</w:t>
      </w:r>
      <w:r w:rsidRPr="002C422E">
        <w:rPr>
          <w:noProof/>
          <w:vertAlign w:val="superscript"/>
        </w:rPr>
        <w:t>19</w:t>
      </w:r>
      <w:r>
        <w:t>)</w:t>
      </w:r>
      <w:r w:rsidRPr="00F90494">
        <w:t xml:space="preserve"> </w:t>
      </w:r>
      <w:r w:rsidRPr="00697D58">
        <w:t xml:space="preserve">at baseline, required the </w:t>
      </w:r>
      <w:r>
        <w:t xml:space="preserve">complete </w:t>
      </w:r>
      <w:proofErr w:type="spellStart"/>
      <w:r w:rsidRPr="00697D58">
        <w:t>MSBase</w:t>
      </w:r>
      <w:proofErr w:type="spellEnd"/>
      <w:r w:rsidRPr="00697D58">
        <w:t xml:space="preserve"> minimum dataset</w:t>
      </w:r>
      <w:r>
        <w:t xml:space="preserve"> (sex, date of birth, date of clinical onset and dates of relapses)</w:t>
      </w:r>
      <w:r w:rsidRPr="00697D58">
        <w:t>,</w:t>
      </w:r>
      <w:r w:rsidRPr="002C422E">
        <w:rPr>
          <w:noProof/>
          <w:vertAlign w:val="superscript"/>
        </w:rPr>
        <w:t>20</w:t>
      </w:r>
      <w:r w:rsidRPr="00697D58">
        <w:t xml:space="preserve"> at least one Expanded Disability Status Scale</w:t>
      </w:r>
      <w:r w:rsidRPr="002C422E">
        <w:rPr>
          <w:noProof/>
          <w:vertAlign w:val="superscript"/>
        </w:rPr>
        <w:t>21</w:t>
      </w:r>
      <w:r w:rsidRPr="00697D58">
        <w:t xml:space="preserve"> (EDSS) score no more than 6 months before baseline and at least two EDSS scores after baseline</w:t>
      </w:r>
      <w:r>
        <w:t xml:space="preserve"> (one to detect disability progression and another to confirm the increase later (see definition below))</w:t>
      </w:r>
      <w:r w:rsidRPr="00697D58">
        <w:t>. Patients stopping their initial therapy within 6 months were excluded</w:t>
      </w:r>
      <w:r>
        <w:t xml:space="preserve"> (as some drugs require 6 months to exert their effect</w:t>
      </w:r>
      <w:r w:rsidRPr="002C422E">
        <w:rPr>
          <w:noProof/>
          <w:vertAlign w:val="superscript"/>
        </w:rPr>
        <w:t>22</w:t>
      </w:r>
      <w:r>
        <w:t>).</w:t>
      </w:r>
      <w:r w:rsidRPr="00697D58">
        <w:t xml:space="preserve"> </w:t>
      </w:r>
      <w:r>
        <w:t>The untreated cohort received no DMTs, even briefly. DMT dose, frequency and timing followed published protocols</w:t>
      </w:r>
      <w:r w:rsidRPr="002C422E">
        <w:rPr>
          <w:noProof/>
          <w:vertAlign w:val="superscript"/>
        </w:rPr>
        <w:t>18,23</w:t>
      </w:r>
      <w:r>
        <w:t xml:space="preserve">: alemtuzumab </w:t>
      </w:r>
      <w:r>
        <w:rPr>
          <w:lang w:val="en-US"/>
        </w:rPr>
        <w:t xml:space="preserve">(12–24 mg intravenous once per day for 5 days [cycle 1] or for 3 days [cycle 2 or more]); </w:t>
      </w:r>
      <w:r>
        <w:rPr>
          <w:color w:val="000000" w:themeColor="text1"/>
        </w:rPr>
        <w:t>ß-IFN</w:t>
      </w:r>
      <w:r>
        <w:rPr>
          <w:lang w:val="en-US"/>
        </w:rPr>
        <w:t xml:space="preserve"> (30-250 </w:t>
      </w:r>
      <w:proofErr w:type="spellStart"/>
      <w:r>
        <w:rPr>
          <w:lang w:val="en-US"/>
        </w:rPr>
        <w:t>μg</w:t>
      </w:r>
      <w:proofErr w:type="spellEnd"/>
      <w:r>
        <w:rPr>
          <w:lang w:val="en-US"/>
        </w:rPr>
        <w:t xml:space="preserve"> subcutaneous or intramuscular injections administered between every other day to every other week); glatiramer acetate (20 mg subcutaneous injection once per day); fingolimod (0·5 mg </w:t>
      </w:r>
      <w:r w:rsidRPr="00CF3BEF">
        <w:rPr>
          <w:lang w:val="en-US"/>
        </w:rPr>
        <w:t xml:space="preserve">oral once per </w:t>
      </w:r>
      <w:r w:rsidRPr="001D75E2">
        <w:rPr>
          <w:lang w:val="en-US"/>
        </w:rPr>
        <w:t xml:space="preserve">day), and natalizumab (300 </w:t>
      </w:r>
      <w:r>
        <w:rPr>
          <w:lang w:val="en-US"/>
        </w:rPr>
        <w:t>mg</w:t>
      </w:r>
      <w:r w:rsidRPr="001D75E2">
        <w:rPr>
          <w:lang w:val="en-US"/>
        </w:rPr>
        <w:t xml:space="preserve"> intravenous</w:t>
      </w:r>
      <w:r>
        <w:rPr>
          <w:lang w:val="en-US"/>
        </w:rPr>
        <w:t>ly</w:t>
      </w:r>
      <w:r w:rsidRPr="001D75E2">
        <w:rPr>
          <w:lang w:val="en-US"/>
        </w:rPr>
        <w:t xml:space="preserve"> every 4 weeks)</w:t>
      </w:r>
      <w:r>
        <w:rPr>
          <w:lang w:val="en-US"/>
        </w:rPr>
        <w:t>.</w:t>
      </w:r>
      <w:r w:rsidRPr="00CF3BEF">
        <w:t xml:space="preserve"> </w:t>
      </w:r>
      <w:r>
        <w:t xml:space="preserve">Given its administration schedule, quantifying the duration of alemtuzumab treatment effectiveness is challenging: first, </w:t>
      </w:r>
      <w:r w:rsidRPr="00697D58">
        <w:t>the published period of reduced CD4 lymphocyte count (35 months</w:t>
      </w:r>
      <w:r>
        <w:t>/</w:t>
      </w:r>
      <w:r w:rsidRPr="00697D58">
        <w:t>cycle</w:t>
      </w:r>
      <w:r w:rsidRPr="002C422E">
        <w:rPr>
          <w:noProof/>
          <w:vertAlign w:val="superscript"/>
        </w:rPr>
        <w:t>24</w:t>
      </w:r>
      <w:r w:rsidRPr="00697D58">
        <w:t xml:space="preserve">) </w:t>
      </w:r>
      <w:r>
        <w:t xml:space="preserve">was used, </w:t>
      </w:r>
      <w:r w:rsidRPr="00697D58">
        <w:t xml:space="preserve">and </w:t>
      </w:r>
      <w:r>
        <w:t>then a sensitivity analysis using</w:t>
      </w:r>
      <w:r w:rsidRPr="00697D58">
        <w:t xml:space="preserve"> the median period to </w:t>
      </w:r>
      <w:r>
        <w:t>re-treatment</w:t>
      </w:r>
      <w:r w:rsidRPr="00697D58">
        <w:t xml:space="preserve"> (7 years</w:t>
      </w:r>
      <w:r w:rsidRPr="002C422E">
        <w:rPr>
          <w:noProof/>
          <w:vertAlign w:val="superscript"/>
        </w:rPr>
        <w:t>25</w:t>
      </w:r>
      <w:r>
        <w:t>) was performed</w:t>
      </w:r>
      <w:r w:rsidRPr="00697D58">
        <w:t xml:space="preserve">. </w:t>
      </w:r>
      <w:bookmarkStart w:id="0" w:name="OLE_LINK1"/>
      <w:bookmarkStart w:id="1" w:name="OLE_LINK2"/>
      <w:r>
        <w:t>If patients received multiple DMTs, the first was used as the DMT under study (</w:t>
      </w:r>
      <w:r w:rsidRPr="008E2EB9">
        <w:t xml:space="preserve">except when comparing early versus late escalation from </w:t>
      </w:r>
      <w:r w:rsidR="006408F9">
        <w:t xml:space="preserve">ß-IFN|GA </w:t>
      </w:r>
      <w:r w:rsidRPr="008E2EB9">
        <w:t xml:space="preserve">to </w:t>
      </w:r>
      <w:r w:rsidR="006408F9">
        <w:t>F|A|N</w:t>
      </w:r>
      <w:r>
        <w:t>)</w:t>
      </w:r>
      <w:r w:rsidRPr="008E2EB9">
        <w:t>.</w:t>
      </w:r>
      <w:r w:rsidRPr="008E2EB9">
        <w:rPr>
          <w:rFonts w:eastAsia="Times New Roman"/>
          <w:color w:val="000000"/>
          <w:shd w:val="clear" w:color="auto" w:fill="FFFFFF"/>
        </w:rPr>
        <w:t xml:space="preserve"> </w:t>
      </w:r>
      <w:bookmarkEnd w:id="0"/>
      <w:bookmarkEnd w:id="1"/>
      <w:r w:rsidRPr="008E2EB9">
        <w:rPr>
          <w:rFonts w:eastAsia="Times New Roman"/>
          <w:color w:val="000000"/>
          <w:shd w:val="clear" w:color="auto" w:fill="FFFFFF"/>
        </w:rPr>
        <w:t xml:space="preserve">Patients subsequently receiving different DMTs were excluded from analyses of single drugs versus untreated </w:t>
      </w:r>
      <w:r w:rsidRPr="008E2EB9">
        <w:rPr>
          <w:rFonts w:eastAsia="Times New Roman"/>
          <w:color w:val="000000"/>
          <w:shd w:val="clear" w:color="auto" w:fill="FFFFFF"/>
        </w:rPr>
        <w:lastRenderedPageBreak/>
        <w:t>patients but were included in all other analyses</w:t>
      </w:r>
      <w:r w:rsidRPr="00697D58">
        <w:t xml:space="preserve">. </w:t>
      </w:r>
      <w:r>
        <w:t xml:space="preserve">Patients receiving therapies at any time during the study period that were unlicensed were excluded (mitoxantrone, cladribine, rituximab, ocrelizumab, </w:t>
      </w:r>
      <w:proofErr w:type="spellStart"/>
      <w:r>
        <w:t>siponimod</w:t>
      </w:r>
      <w:proofErr w:type="spellEnd"/>
      <w:r>
        <w:t xml:space="preserve"> or autologous stem-cell transplantation). Although ocrelizumab and cladribine have subsequently been licensed, there were insufficient numbers meeting the minimum 4 years’ clinical follow-up criterion within </w:t>
      </w:r>
      <w:proofErr w:type="spellStart"/>
      <w:r>
        <w:t>MSBase</w:t>
      </w:r>
      <w:proofErr w:type="spellEnd"/>
      <w:r>
        <w:t xml:space="preserve"> to examine individually.</w:t>
      </w:r>
    </w:p>
    <w:p w14:paraId="76148F11" w14:textId="3E888F25" w:rsidR="00575022" w:rsidRPr="008E2EB9" w:rsidRDefault="00575022" w:rsidP="00B619C5">
      <w:pPr>
        <w:spacing w:line="480" w:lineRule="auto"/>
        <w:rPr>
          <w:rFonts w:eastAsia="Times New Roman"/>
          <w:color w:val="000000"/>
          <w:shd w:val="clear" w:color="auto" w:fill="FFFFFF"/>
        </w:rPr>
      </w:pPr>
      <w:r>
        <w:rPr>
          <w:rFonts w:eastAsia="Times New Roman"/>
          <w:color w:val="000000"/>
          <w:shd w:val="clear" w:color="auto" w:fill="FFFFFF"/>
        </w:rPr>
        <w:t>No licensed therapies have shown greater reduction in relapse rates than natalizumab or alemtuzumab.</w:t>
      </w:r>
      <w:r w:rsidRPr="002C422E">
        <w:rPr>
          <w:rFonts w:eastAsia="Times New Roman"/>
          <w:noProof/>
          <w:color w:val="000000"/>
          <w:shd w:val="clear" w:color="auto" w:fill="FFFFFF"/>
          <w:vertAlign w:val="superscript"/>
        </w:rPr>
        <w:t>18</w:t>
      </w:r>
      <w:r>
        <w:rPr>
          <w:rFonts w:eastAsia="Times New Roman"/>
          <w:color w:val="000000"/>
          <w:shd w:val="clear" w:color="auto" w:fill="FFFFFF"/>
        </w:rPr>
        <w:t xml:space="preserve"> </w:t>
      </w:r>
      <w:r w:rsidRPr="008E2EB9">
        <w:rPr>
          <w:rFonts w:eastAsia="Times New Roman"/>
          <w:color w:val="000000"/>
          <w:shd w:val="clear" w:color="auto" w:fill="FFFFFF"/>
        </w:rPr>
        <w:t xml:space="preserve">Patients </w:t>
      </w:r>
      <w:r>
        <w:t>receiving</w:t>
      </w:r>
      <w:r w:rsidRPr="008E2EB9">
        <w:t xml:space="preserve"> natalizumab or alemtuzumab who experienced relapses or disability-progression </w:t>
      </w:r>
      <w:r>
        <w:t xml:space="preserve">in this study </w:t>
      </w:r>
      <w:r w:rsidRPr="008E2EB9">
        <w:t xml:space="preserve">were </w:t>
      </w:r>
      <w:r>
        <w:t xml:space="preserve">therefore </w:t>
      </w:r>
      <w:r w:rsidRPr="008E2EB9">
        <w:t>already at the therapeutic ceiling of treatment</w:t>
      </w:r>
      <w:r>
        <w:t>. This was</w:t>
      </w:r>
      <w:r w:rsidRPr="008E2EB9">
        <w:t xml:space="preserve"> replicated for patients </w:t>
      </w:r>
      <w:r>
        <w:t>receiving</w:t>
      </w:r>
      <w:r w:rsidRPr="008E2EB9">
        <w:t xml:space="preserve"> </w:t>
      </w:r>
      <w:r w:rsidR="006408F9">
        <w:t xml:space="preserve">ß-IFN|GA </w:t>
      </w:r>
      <w:r w:rsidRPr="008E2EB9">
        <w:t xml:space="preserve">(in all analyses) by </w:t>
      </w:r>
      <w:r w:rsidRPr="008E2EB9">
        <w:rPr>
          <w:rFonts w:eastAsia="Times New Roman"/>
          <w:color w:val="000000"/>
          <w:shd w:val="clear" w:color="auto" w:fill="FFFFFF"/>
        </w:rPr>
        <w:t xml:space="preserve">restricting inclusion to patients treated and followed-up before </w:t>
      </w:r>
      <w:r>
        <w:rPr>
          <w:rFonts w:eastAsia="Times New Roman"/>
          <w:color w:val="000000"/>
          <w:shd w:val="clear" w:color="auto" w:fill="FFFFFF"/>
        </w:rPr>
        <w:t xml:space="preserve">fingolimod, alemtuzumab or natalizumab </w:t>
      </w:r>
      <w:r w:rsidRPr="008E2EB9">
        <w:rPr>
          <w:rFonts w:eastAsia="Times New Roman"/>
          <w:color w:val="000000"/>
          <w:shd w:val="clear" w:color="auto" w:fill="FFFFFF"/>
        </w:rPr>
        <w:t xml:space="preserve">became available, preventing the exclusion of patients </w:t>
      </w:r>
      <w:r>
        <w:rPr>
          <w:rFonts w:eastAsia="Times New Roman"/>
          <w:color w:val="000000"/>
          <w:shd w:val="clear" w:color="auto" w:fill="FFFFFF"/>
        </w:rPr>
        <w:t xml:space="preserve">who might have been prescribed these more </w:t>
      </w:r>
      <w:r w:rsidRPr="008E2EB9">
        <w:rPr>
          <w:rFonts w:eastAsia="Times New Roman"/>
          <w:color w:val="000000"/>
          <w:shd w:val="clear" w:color="auto" w:fill="FFFFFF"/>
        </w:rPr>
        <w:t>potent therapies</w:t>
      </w:r>
      <w:r>
        <w:rPr>
          <w:rFonts w:eastAsia="Times New Roman"/>
          <w:color w:val="000000"/>
          <w:shd w:val="clear" w:color="auto" w:fill="FFFFFF"/>
        </w:rPr>
        <w:t xml:space="preserve"> as first-line or escalation therapy during follow-up</w:t>
      </w:r>
      <w:r w:rsidRPr="008E2EB9">
        <w:rPr>
          <w:rFonts w:eastAsia="Times New Roman"/>
          <w:color w:val="000000"/>
          <w:shd w:val="clear" w:color="auto" w:fill="FFFFFF"/>
        </w:rPr>
        <w:t>, and thereby preventing selection bias towards milder disease</w:t>
      </w:r>
      <w:r>
        <w:rPr>
          <w:rFonts w:eastAsia="Times New Roman"/>
          <w:color w:val="000000"/>
          <w:shd w:val="clear" w:color="auto" w:fill="FFFFFF"/>
        </w:rPr>
        <w:t xml:space="preserve"> among the </w:t>
      </w:r>
      <w:r w:rsidR="006408F9">
        <w:t xml:space="preserve">ß-IFN|GA </w:t>
      </w:r>
      <w:r>
        <w:t>group</w:t>
      </w:r>
      <w:r w:rsidRPr="008E2EB9">
        <w:rPr>
          <w:rFonts w:eastAsia="Times New Roman"/>
          <w:color w:val="000000"/>
          <w:shd w:val="clear" w:color="auto" w:fill="FFFFFF"/>
        </w:rPr>
        <w:t>.</w:t>
      </w:r>
      <w:r w:rsidDel="000952B8">
        <w:t xml:space="preserve"> </w:t>
      </w:r>
      <w:r>
        <w:rPr>
          <w:rFonts w:eastAsia="Times New Roman"/>
          <w:color w:val="000000"/>
          <w:shd w:val="clear" w:color="auto" w:fill="FFFFFF"/>
        </w:rPr>
        <w:t>(</w:t>
      </w:r>
      <w:r w:rsidRPr="008E2EB9">
        <w:rPr>
          <w:rFonts w:eastAsia="Times New Roman"/>
          <w:color w:val="000000"/>
          <w:shd w:val="clear" w:color="auto" w:fill="FFFFFF"/>
        </w:rPr>
        <w:t xml:space="preserve">During this period, mitoxantrone was </w:t>
      </w:r>
      <w:r>
        <w:rPr>
          <w:rFonts w:eastAsia="Times New Roman"/>
          <w:color w:val="000000"/>
          <w:shd w:val="clear" w:color="auto" w:fill="FFFFFF"/>
        </w:rPr>
        <w:t>occasionally</w:t>
      </w:r>
      <w:r w:rsidRPr="008E2EB9">
        <w:rPr>
          <w:rFonts w:eastAsia="Times New Roman"/>
          <w:color w:val="000000"/>
          <w:shd w:val="clear" w:color="auto" w:fill="FFFFFF"/>
        </w:rPr>
        <w:t xml:space="preserve"> employed as escalation therapy for particularly aggressive disease: to </w:t>
      </w:r>
      <w:r>
        <w:rPr>
          <w:rFonts w:eastAsia="Times New Roman"/>
          <w:color w:val="000000"/>
          <w:shd w:val="clear" w:color="auto" w:fill="FFFFFF"/>
        </w:rPr>
        <w:t>ensure</w:t>
      </w:r>
      <w:r w:rsidRPr="008E2EB9">
        <w:rPr>
          <w:rFonts w:eastAsia="Times New Roman"/>
          <w:color w:val="000000"/>
          <w:shd w:val="clear" w:color="auto" w:fill="FFFFFF"/>
        </w:rPr>
        <w:t xml:space="preserve"> </w:t>
      </w:r>
      <w:r>
        <w:rPr>
          <w:rFonts w:eastAsia="Times New Roman"/>
          <w:color w:val="000000"/>
          <w:shd w:val="clear" w:color="auto" w:fill="FFFFFF"/>
        </w:rPr>
        <w:t>the</w:t>
      </w:r>
      <w:r w:rsidRPr="008E2EB9">
        <w:rPr>
          <w:rFonts w:eastAsia="Times New Roman"/>
          <w:color w:val="000000"/>
          <w:shd w:val="clear" w:color="auto" w:fill="FFFFFF"/>
        </w:rPr>
        <w:t xml:space="preserve"> </w:t>
      </w:r>
      <w:r w:rsidR="006408F9">
        <w:t xml:space="preserve">ß-IFN|GA </w:t>
      </w:r>
      <w:r w:rsidRPr="008E2EB9">
        <w:rPr>
          <w:rFonts w:eastAsia="Times New Roman"/>
          <w:color w:val="000000"/>
          <w:shd w:val="clear" w:color="auto" w:fill="FFFFFF"/>
        </w:rPr>
        <w:t>cohorts were not biased towards milder disease</w:t>
      </w:r>
      <w:r>
        <w:rPr>
          <w:rFonts w:eastAsia="Times New Roman"/>
          <w:color w:val="000000"/>
          <w:shd w:val="clear" w:color="auto" w:fill="FFFFFF"/>
        </w:rPr>
        <w:t>,</w:t>
      </w:r>
      <w:r w:rsidRPr="008E2EB9">
        <w:rPr>
          <w:rFonts w:eastAsia="Times New Roman"/>
          <w:color w:val="000000"/>
          <w:shd w:val="clear" w:color="auto" w:fill="FFFFFF"/>
        </w:rPr>
        <w:t xml:space="preserve"> sensitivity analyses including these patients</w:t>
      </w:r>
      <w:r>
        <w:rPr>
          <w:rFonts w:eastAsia="Times New Roman"/>
          <w:color w:val="000000"/>
          <w:shd w:val="clear" w:color="auto" w:fill="FFFFFF"/>
        </w:rPr>
        <w:t xml:space="preserve"> were performed)</w:t>
      </w:r>
      <w:r w:rsidRPr="008E2EB9">
        <w:rPr>
          <w:rFonts w:eastAsia="Times New Roman"/>
          <w:color w:val="000000"/>
          <w:shd w:val="clear" w:color="auto" w:fill="FFFFFF"/>
        </w:rPr>
        <w:t xml:space="preserve">. </w:t>
      </w:r>
      <w:r>
        <w:rPr>
          <w:rFonts w:eastAsia="Times New Roman"/>
          <w:color w:val="000000"/>
          <w:shd w:val="clear" w:color="auto" w:fill="FFFFFF"/>
        </w:rPr>
        <w:t>Consistent with previous work,</w:t>
      </w:r>
      <w:r w:rsidRPr="002C422E">
        <w:rPr>
          <w:rFonts w:eastAsia="Times New Roman"/>
          <w:noProof/>
          <w:color w:val="000000"/>
          <w:shd w:val="clear" w:color="auto" w:fill="FFFFFF"/>
          <w:vertAlign w:val="superscript"/>
        </w:rPr>
        <w:t>18</w:t>
      </w:r>
      <w:r>
        <w:rPr>
          <w:rFonts w:eastAsia="Times New Roman"/>
          <w:color w:val="000000"/>
          <w:shd w:val="clear" w:color="auto" w:fill="FFFFFF"/>
        </w:rPr>
        <w:t xml:space="preserve"> p</w:t>
      </w:r>
      <w:r w:rsidRPr="008E2EB9">
        <w:rPr>
          <w:rFonts w:eastAsia="Times New Roman"/>
          <w:color w:val="000000"/>
          <w:shd w:val="clear" w:color="auto" w:fill="FFFFFF"/>
        </w:rPr>
        <w:t xml:space="preserve">atients participating in clinical trials were excluded as their trial treatment assignation was </w:t>
      </w:r>
      <w:r>
        <w:rPr>
          <w:rFonts w:eastAsia="Times New Roman"/>
          <w:color w:val="000000"/>
          <w:shd w:val="clear" w:color="auto" w:fill="FFFFFF"/>
        </w:rPr>
        <w:t xml:space="preserve">not documented within </w:t>
      </w:r>
      <w:proofErr w:type="spellStart"/>
      <w:r>
        <w:rPr>
          <w:rFonts w:eastAsia="Times New Roman"/>
          <w:color w:val="000000"/>
          <w:shd w:val="clear" w:color="auto" w:fill="FFFFFF"/>
        </w:rPr>
        <w:t>MSBase</w:t>
      </w:r>
      <w:proofErr w:type="spellEnd"/>
      <w:r>
        <w:rPr>
          <w:rFonts w:eastAsia="Times New Roman"/>
          <w:color w:val="000000"/>
          <w:shd w:val="clear" w:color="auto" w:fill="FFFFFF"/>
        </w:rPr>
        <w:t>,</w:t>
      </w:r>
      <w:r w:rsidRPr="008E2EB9">
        <w:rPr>
          <w:rFonts w:eastAsia="Times New Roman"/>
          <w:color w:val="000000"/>
          <w:shd w:val="clear" w:color="auto" w:fill="FFFFFF"/>
        </w:rPr>
        <w:t xml:space="preserve"> and trial EDSS frequencies often differ to clinical practice. Patients with previous stem cell transplantation were also excluded. </w:t>
      </w:r>
    </w:p>
    <w:p w14:paraId="0DC1721F" w14:textId="77777777" w:rsidR="00575022" w:rsidRPr="008E2EB9" w:rsidRDefault="00575022" w:rsidP="00B619C5">
      <w:pPr>
        <w:pStyle w:val="Heading3"/>
        <w:spacing w:line="480" w:lineRule="auto"/>
        <w:rPr>
          <w:rFonts w:ascii="Times New Roman" w:hAnsi="Times New Roman" w:cs="Times New Roman"/>
        </w:rPr>
      </w:pPr>
    </w:p>
    <w:p w14:paraId="5143B4F3" w14:textId="77777777" w:rsidR="00575022" w:rsidRPr="008E2EB9" w:rsidRDefault="00575022" w:rsidP="00B619C5">
      <w:pPr>
        <w:pStyle w:val="Heading3"/>
        <w:spacing w:line="480" w:lineRule="auto"/>
        <w:rPr>
          <w:rFonts w:ascii="Times New Roman" w:hAnsi="Times New Roman" w:cs="Times New Roman"/>
        </w:rPr>
      </w:pPr>
      <w:r>
        <w:rPr>
          <w:rFonts w:ascii="Times New Roman" w:hAnsi="Times New Roman" w:cs="Times New Roman"/>
        </w:rPr>
        <w:t>Study design</w:t>
      </w:r>
    </w:p>
    <w:p w14:paraId="2D81B621" w14:textId="47CBF11D" w:rsidR="00575022" w:rsidRPr="008E2EB9" w:rsidRDefault="00575022" w:rsidP="00B619C5">
      <w:pPr>
        <w:spacing w:line="480" w:lineRule="auto"/>
        <w:rPr>
          <w:rFonts w:eastAsia="Times New Roman"/>
          <w:color w:val="000000"/>
          <w:shd w:val="clear" w:color="auto" w:fill="FFFFFF"/>
        </w:rPr>
      </w:pPr>
      <w:r w:rsidRPr="008E2EB9">
        <w:t xml:space="preserve">To examine whether </w:t>
      </w:r>
      <w:r>
        <w:t>individual DMTs were associated with delayed or reduced conversion to SPMS</w:t>
      </w:r>
      <w:r w:rsidRPr="008E2EB9">
        <w:t xml:space="preserve">, matching and analyses were repeated four times comparing untreated patients to those </w:t>
      </w:r>
      <w:r>
        <w:t>receiving initial treatment with</w:t>
      </w:r>
      <w:r w:rsidRPr="008E2EB9">
        <w:t xml:space="preserve"> (a) </w:t>
      </w:r>
      <w:r w:rsidR="007A133D">
        <w:t>ß-IFN|GA</w:t>
      </w:r>
      <w:r w:rsidRPr="008E2EB9">
        <w:t xml:space="preserve">, (b) fingolimod, (c) natalizumab, </w:t>
      </w:r>
      <w:r>
        <w:t>or</w:t>
      </w:r>
      <w:r w:rsidRPr="008E2EB9">
        <w:t xml:space="preserve"> (d) alemtuzumab. </w:t>
      </w:r>
      <w:r w:rsidRPr="008E2EB9">
        <w:rPr>
          <w:rFonts w:eastAsia="Times New Roman"/>
          <w:color w:val="000000"/>
          <w:shd w:val="clear" w:color="auto" w:fill="FFFFFF"/>
        </w:rPr>
        <w:t xml:space="preserve">In these analyses, the date of DMT commencement acted as the baseline date for treated patients. For untreated patients, the baseline date was the visit date when clinical and demographic parameters </w:t>
      </w:r>
      <w:r>
        <w:rPr>
          <w:rFonts w:eastAsia="Times New Roman"/>
          <w:color w:val="000000"/>
          <w:shd w:val="clear" w:color="auto" w:fill="FFFFFF"/>
        </w:rPr>
        <w:lastRenderedPageBreak/>
        <w:t xml:space="preserve">(calculated at each visit and quantified using the propensity score) </w:t>
      </w:r>
      <w:r w:rsidRPr="008E2EB9">
        <w:rPr>
          <w:rFonts w:eastAsia="Times New Roman"/>
          <w:color w:val="000000"/>
          <w:shd w:val="clear" w:color="auto" w:fill="FFFFFF"/>
        </w:rPr>
        <w:t xml:space="preserve">most closely matched </w:t>
      </w:r>
      <w:r>
        <w:rPr>
          <w:rFonts w:eastAsia="Times New Roman"/>
          <w:color w:val="000000"/>
          <w:shd w:val="clear" w:color="auto" w:fill="FFFFFF"/>
        </w:rPr>
        <w:t>the corresponding baseline values</w:t>
      </w:r>
      <w:r w:rsidRPr="008E2EB9">
        <w:rPr>
          <w:rFonts w:eastAsia="Times New Roman"/>
          <w:color w:val="000000"/>
          <w:shd w:val="clear" w:color="auto" w:fill="FFFFFF"/>
        </w:rPr>
        <w:t xml:space="preserve"> of individual treated patients.</w:t>
      </w:r>
    </w:p>
    <w:p w14:paraId="6434E062" w14:textId="5AD322E6" w:rsidR="00575022" w:rsidRPr="008E2EB9" w:rsidRDefault="00575022" w:rsidP="00B619C5">
      <w:pPr>
        <w:spacing w:line="480" w:lineRule="auto"/>
      </w:pPr>
      <w:r>
        <w:t>F</w:t>
      </w:r>
      <w:r w:rsidRPr="008E2EB9">
        <w:t>ingolimod</w:t>
      </w:r>
      <w:r>
        <w:t>,</w:t>
      </w:r>
      <w:r w:rsidRPr="002C422E">
        <w:rPr>
          <w:noProof/>
          <w:vertAlign w:val="superscript"/>
        </w:rPr>
        <w:t>4</w:t>
      </w:r>
      <w:r>
        <w:t xml:space="preserve"> a</w:t>
      </w:r>
      <w:r w:rsidRPr="008E2EB9">
        <w:t>lemtuzumab</w:t>
      </w:r>
      <w:r w:rsidRPr="002C422E">
        <w:rPr>
          <w:noProof/>
          <w:vertAlign w:val="superscript"/>
        </w:rPr>
        <w:t>5</w:t>
      </w:r>
      <w:r w:rsidRPr="008E2EB9">
        <w:t xml:space="preserve"> </w:t>
      </w:r>
      <w:r>
        <w:t xml:space="preserve">and </w:t>
      </w:r>
      <w:r w:rsidRPr="008E2EB9">
        <w:t>natalizumab</w:t>
      </w:r>
      <w:r w:rsidRPr="002C422E">
        <w:rPr>
          <w:noProof/>
          <w:vertAlign w:val="superscript"/>
        </w:rPr>
        <w:t>26</w:t>
      </w:r>
      <w:r w:rsidRPr="008E2EB9">
        <w:t xml:space="preserve"> </w:t>
      </w:r>
      <w:r>
        <w:t>(</w:t>
      </w:r>
      <w:r w:rsidR="006408F9">
        <w:t>F|A|N</w:t>
      </w:r>
      <w:r>
        <w:t xml:space="preserve">) </w:t>
      </w:r>
      <w:r w:rsidRPr="008E2EB9">
        <w:t xml:space="preserve">confer greater reductions in relapse rate than </w:t>
      </w:r>
      <w:r w:rsidR="007A133D">
        <w:t>ß-IFN|GA</w:t>
      </w:r>
      <w:r w:rsidRPr="008E2EB9">
        <w:t xml:space="preserve">. To examine whether they </w:t>
      </w:r>
      <w:r w:rsidR="00B13B2B">
        <w:t>are associated with different effects</w:t>
      </w:r>
      <w:r w:rsidRPr="008E2EB9">
        <w:t xml:space="preserve"> on conversion to SPMS, </w:t>
      </w:r>
      <w:r>
        <w:t xml:space="preserve">patients receiving </w:t>
      </w:r>
      <w:r w:rsidR="006408F9">
        <w:t>F|A|N</w:t>
      </w:r>
      <w:r w:rsidRPr="008E2EB9">
        <w:t xml:space="preserve"> as their initial DMT were matched and compared to patients </w:t>
      </w:r>
      <w:r>
        <w:t xml:space="preserve">initially </w:t>
      </w:r>
      <w:r w:rsidRPr="008E2EB9">
        <w:t xml:space="preserve">treated with </w:t>
      </w:r>
      <w:r w:rsidR="007A133D">
        <w:t>ß-IFN|GA</w:t>
      </w:r>
      <w:r w:rsidRPr="008E2EB9">
        <w:t xml:space="preserve">. </w:t>
      </w:r>
    </w:p>
    <w:p w14:paraId="5B910BFB" w14:textId="46B12D2B" w:rsidR="00575022" w:rsidRPr="008E2EB9" w:rsidRDefault="00575022" w:rsidP="00B619C5">
      <w:pPr>
        <w:spacing w:line="480" w:lineRule="auto"/>
        <w:rPr>
          <w:rFonts w:eastAsia="Times New Roman"/>
          <w:color w:val="000000"/>
          <w:shd w:val="clear" w:color="auto" w:fill="FFFFFF"/>
        </w:rPr>
      </w:pPr>
      <w:r w:rsidRPr="00697D58">
        <w:t xml:space="preserve">To examine </w:t>
      </w:r>
      <w:r>
        <w:t>the association between timing of</w:t>
      </w:r>
      <w:r w:rsidRPr="00697D58">
        <w:t xml:space="preserve"> DMT commencement </w:t>
      </w:r>
      <w:r>
        <w:t xml:space="preserve">and </w:t>
      </w:r>
      <w:r w:rsidRPr="00697D58">
        <w:t>conversion</w:t>
      </w:r>
      <w:r>
        <w:t xml:space="preserve"> to SPMS,</w:t>
      </w:r>
      <w:r w:rsidRPr="00697D58">
        <w:t xml:space="preserve"> patients </w:t>
      </w:r>
      <w:r>
        <w:t xml:space="preserve">initially </w:t>
      </w:r>
      <w:r w:rsidRPr="00697D58">
        <w:t xml:space="preserve">treated with </w:t>
      </w:r>
      <w:r w:rsidR="006408F9">
        <w:t xml:space="preserve">ß-IFN|GA </w:t>
      </w:r>
      <w:r w:rsidRPr="00697D58">
        <w:t xml:space="preserve">within 5 years of </w:t>
      </w:r>
      <w:r>
        <w:t>disease onset</w:t>
      </w:r>
      <w:r w:rsidRPr="00697D58">
        <w:t xml:space="preserve"> </w:t>
      </w:r>
      <w:r>
        <w:t xml:space="preserve">were </w:t>
      </w:r>
      <w:r w:rsidRPr="00697D58">
        <w:t xml:space="preserve">matched and compared with those </w:t>
      </w:r>
      <w:r>
        <w:t xml:space="preserve">initially </w:t>
      </w:r>
      <w:r w:rsidRPr="00697D58">
        <w:t xml:space="preserve">treated after 5 years. For patients treated within 5 years, the baseline was set at DMT commencement. For all patients treated after 5 years, the baseline </w:t>
      </w:r>
      <w:r>
        <w:t xml:space="preserve">was set </w:t>
      </w:r>
      <w:r w:rsidRPr="00697D58">
        <w:t xml:space="preserve">at a visit within 5 years of symptom-onset, before therapy began, incorporating </w:t>
      </w:r>
      <w:r>
        <w:t>the</w:t>
      </w:r>
      <w:r w:rsidRPr="00697D58">
        <w:t xml:space="preserve"> period </w:t>
      </w:r>
      <w:r>
        <w:t xml:space="preserve">from baseline to treatment initiation </w:t>
      </w:r>
      <w:r w:rsidRPr="00697D58">
        <w:t xml:space="preserve">into the follow-up. </w:t>
      </w:r>
      <w:r>
        <w:t xml:space="preserve">The date of this visit was identified by extracting the matching variables at each eligible visit within 5 years of symptom-onset, then using a matching process to identify when these variables most closely matched those of a patient treated within 5 years.  </w:t>
      </w:r>
      <w:r w:rsidRPr="00697D58">
        <w:t xml:space="preserve">By handling treatment exposure as a time-dependent variable, the analyses </w:t>
      </w:r>
      <w:r>
        <w:t xml:space="preserve">accounted </w:t>
      </w:r>
      <w:r w:rsidRPr="00697D58">
        <w:t>for immortal time bias</w:t>
      </w:r>
      <w:r>
        <w:t>, including the untreated time from baseline to treatment initiation in the group treated after 5 years</w:t>
      </w:r>
      <w:r w:rsidRPr="00697D58">
        <w:t xml:space="preserve">. </w:t>
      </w:r>
      <w:r>
        <w:rPr>
          <w:rFonts w:eastAsia="Times New Roman"/>
          <w:color w:val="000000"/>
          <w:shd w:val="clear" w:color="auto" w:fill="FFFFFF"/>
        </w:rPr>
        <w:t>T</w:t>
      </w:r>
      <w:r w:rsidRPr="008E2EB9">
        <w:rPr>
          <w:rFonts w:eastAsia="Times New Roman"/>
          <w:color w:val="000000"/>
          <w:shd w:val="clear" w:color="auto" w:fill="FFFFFF"/>
        </w:rPr>
        <w:t xml:space="preserve">his technique </w:t>
      </w:r>
      <w:r>
        <w:rPr>
          <w:rFonts w:eastAsia="Times New Roman"/>
          <w:color w:val="000000"/>
          <w:shd w:val="clear" w:color="auto" w:fill="FFFFFF"/>
        </w:rPr>
        <w:t xml:space="preserve">was repeated </w:t>
      </w:r>
      <w:r w:rsidRPr="008E2EB9">
        <w:rPr>
          <w:rFonts w:eastAsia="Times New Roman"/>
          <w:color w:val="000000"/>
          <w:shd w:val="clear" w:color="auto" w:fill="FFFFFF"/>
        </w:rPr>
        <w:t xml:space="preserve">when comparing escalation from </w:t>
      </w:r>
      <w:r w:rsidR="006408F9">
        <w:rPr>
          <w:rFonts w:eastAsia="Times New Roman"/>
          <w:color w:val="000000"/>
          <w:shd w:val="clear" w:color="auto" w:fill="FFFFFF"/>
        </w:rPr>
        <w:t xml:space="preserve">ß-IFN|GA </w:t>
      </w:r>
      <w:r w:rsidRPr="008E2EB9">
        <w:rPr>
          <w:rFonts w:eastAsia="Times New Roman"/>
          <w:color w:val="000000"/>
          <w:shd w:val="clear" w:color="auto" w:fill="FFFFFF"/>
        </w:rPr>
        <w:t xml:space="preserve">to </w:t>
      </w:r>
      <w:r w:rsidR="006408F9">
        <w:rPr>
          <w:rFonts w:eastAsia="Times New Roman"/>
          <w:color w:val="000000"/>
          <w:shd w:val="clear" w:color="auto" w:fill="FFFFFF"/>
        </w:rPr>
        <w:t>F|A|N</w:t>
      </w:r>
      <w:r w:rsidRPr="008E2EB9">
        <w:rPr>
          <w:rFonts w:eastAsia="Times New Roman"/>
          <w:color w:val="000000"/>
          <w:shd w:val="clear" w:color="auto" w:fill="FFFFFF"/>
        </w:rPr>
        <w:t xml:space="preserve"> within or after 5 years of </w:t>
      </w:r>
      <w:r>
        <w:rPr>
          <w:rFonts w:eastAsia="Times New Roman"/>
          <w:color w:val="000000"/>
          <w:shd w:val="clear" w:color="auto" w:fill="FFFFFF"/>
        </w:rPr>
        <w:t>disease onset</w:t>
      </w:r>
      <w:r w:rsidRPr="008E2EB9">
        <w:rPr>
          <w:rFonts w:eastAsia="Times New Roman"/>
          <w:color w:val="000000"/>
          <w:shd w:val="clear" w:color="auto" w:fill="FFFFFF"/>
        </w:rPr>
        <w:t>.</w:t>
      </w:r>
    </w:p>
    <w:p w14:paraId="66858A1A" w14:textId="77777777" w:rsidR="00575022" w:rsidRPr="008E2EB9" w:rsidRDefault="00575022" w:rsidP="00B619C5">
      <w:pPr>
        <w:spacing w:line="480" w:lineRule="auto"/>
      </w:pPr>
    </w:p>
    <w:p w14:paraId="2C0FF332" w14:textId="77777777" w:rsidR="00575022" w:rsidRPr="008E2EB9" w:rsidRDefault="00575022" w:rsidP="00B619C5">
      <w:pPr>
        <w:pStyle w:val="Heading3"/>
        <w:spacing w:line="480" w:lineRule="auto"/>
        <w:rPr>
          <w:rFonts w:ascii="Times New Roman" w:hAnsi="Times New Roman" w:cs="Times New Roman"/>
        </w:rPr>
      </w:pPr>
      <w:r>
        <w:rPr>
          <w:rFonts w:ascii="Times New Roman" w:hAnsi="Times New Roman" w:cs="Times New Roman"/>
        </w:rPr>
        <w:t>O</w:t>
      </w:r>
      <w:r w:rsidRPr="008E2EB9">
        <w:rPr>
          <w:rFonts w:ascii="Times New Roman" w:hAnsi="Times New Roman" w:cs="Times New Roman"/>
        </w:rPr>
        <w:t>utcome</w:t>
      </w:r>
    </w:p>
    <w:p w14:paraId="7AF18047" w14:textId="161EA43D" w:rsidR="00575022" w:rsidRPr="008E2EB9" w:rsidRDefault="00575022" w:rsidP="00B619C5">
      <w:pPr>
        <w:spacing w:line="480" w:lineRule="auto"/>
        <w:rPr>
          <w:rFonts w:eastAsia="Times New Roman"/>
        </w:rPr>
      </w:pPr>
      <w:r w:rsidRPr="00697D58">
        <w:t xml:space="preserve">The outcome in all analyses was conversion to SPMS based on </w:t>
      </w:r>
      <w:r w:rsidR="00B13B2B">
        <w:t>an</w:t>
      </w:r>
      <w:r w:rsidR="00B13B2B" w:rsidRPr="00697D58">
        <w:t xml:space="preserve"> </w:t>
      </w:r>
      <w:r w:rsidRPr="00697D58">
        <w:t>objective definitio</w:t>
      </w:r>
      <w:r>
        <w:t>n</w:t>
      </w:r>
      <w:r w:rsidRPr="002C422E">
        <w:rPr>
          <w:noProof/>
          <w:vertAlign w:val="superscript"/>
        </w:rPr>
        <w:t>15</w:t>
      </w:r>
      <w:r w:rsidRPr="008E2EB9">
        <w:t xml:space="preserve"> without functional scores: </w:t>
      </w:r>
      <w:r>
        <w:t xml:space="preserve">patients required </w:t>
      </w:r>
      <w:r w:rsidRPr="008E2EB9">
        <w:t xml:space="preserve">an EDSS increase (if </w:t>
      </w:r>
      <w:r>
        <w:t xml:space="preserve">the </w:t>
      </w:r>
      <w:r w:rsidRPr="008E2EB9">
        <w:t>EDSS</w:t>
      </w:r>
      <w:r>
        <w:t xml:space="preserve"> score was </w:t>
      </w:r>
      <w:r w:rsidRPr="008E2EB9">
        <w:t>5</w:t>
      </w:r>
      <w:r>
        <w:t>.</w:t>
      </w:r>
      <w:r w:rsidRPr="008E2EB9">
        <w:t>5</w:t>
      </w:r>
      <w:r>
        <w:t xml:space="preserve"> or less,</w:t>
      </w:r>
      <w:r w:rsidRPr="008E2EB9">
        <w:t xml:space="preserve"> an increase of 1 point was required; if </w:t>
      </w:r>
      <w:r>
        <w:t xml:space="preserve">the </w:t>
      </w:r>
      <w:r w:rsidRPr="008E2EB9">
        <w:t>EDSS</w:t>
      </w:r>
      <w:r>
        <w:t xml:space="preserve"> score was over </w:t>
      </w:r>
      <w:r w:rsidRPr="008E2EB9">
        <w:t>5</w:t>
      </w:r>
      <w:r>
        <w:t>.</w:t>
      </w:r>
      <w:r w:rsidRPr="008E2EB9">
        <w:t>5 an increase of 0</w:t>
      </w:r>
      <w:r>
        <w:t>.</w:t>
      </w:r>
      <w:r w:rsidRPr="008E2EB9">
        <w:t>5 points was required)</w:t>
      </w:r>
      <w:r>
        <w:rPr>
          <w:rFonts w:eastAsia="Times New Roman"/>
        </w:rPr>
        <w:t>. This EDSS increase had to (</w:t>
      </w:r>
      <w:proofErr w:type="spellStart"/>
      <w:r>
        <w:rPr>
          <w:rFonts w:eastAsia="Times New Roman"/>
        </w:rPr>
        <w:t>i</w:t>
      </w:r>
      <w:proofErr w:type="spellEnd"/>
      <w:r>
        <w:rPr>
          <w:rFonts w:eastAsia="Times New Roman"/>
        </w:rPr>
        <w:t>) occur in</w:t>
      </w:r>
      <w:r w:rsidRPr="008E2EB9">
        <w:rPr>
          <w:rFonts w:eastAsia="Times New Roman"/>
        </w:rPr>
        <w:t xml:space="preserve"> the absence of a relapse, </w:t>
      </w:r>
      <w:r>
        <w:rPr>
          <w:rFonts w:eastAsia="Times New Roman"/>
        </w:rPr>
        <w:t>(ii) be</w:t>
      </w:r>
      <w:r w:rsidRPr="008E2EB9">
        <w:rPr>
          <w:rFonts w:eastAsia="Times New Roman"/>
        </w:rPr>
        <w:t xml:space="preserve"> confirm</w:t>
      </w:r>
      <w:r>
        <w:rPr>
          <w:rFonts w:eastAsia="Times New Roman"/>
        </w:rPr>
        <w:t>ed</w:t>
      </w:r>
      <w:r w:rsidRPr="008E2EB9">
        <w:rPr>
          <w:rFonts w:eastAsia="Times New Roman"/>
        </w:rPr>
        <w:t xml:space="preserve"> </w:t>
      </w:r>
      <w:r>
        <w:rPr>
          <w:rFonts w:eastAsia="Times New Roman"/>
        </w:rPr>
        <w:t>at subsequent appointments over at least 3</w:t>
      </w:r>
      <w:r w:rsidRPr="008E2EB9">
        <w:rPr>
          <w:rFonts w:eastAsia="Times New Roman"/>
        </w:rPr>
        <w:t xml:space="preserve"> months</w:t>
      </w:r>
      <w:r>
        <w:rPr>
          <w:rFonts w:eastAsia="Times New Roman"/>
        </w:rPr>
        <w:t>; and (iii) the resultant EDSS score had to be 4 or more</w:t>
      </w:r>
      <w:r w:rsidRPr="008E2EB9">
        <w:rPr>
          <w:rFonts w:eastAsia="Times New Roman"/>
        </w:rPr>
        <w:t>.</w:t>
      </w:r>
      <w:r w:rsidRPr="002C422E">
        <w:rPr>
          <w:rFonts w:eastAsia="Times New Roman"/>
          <w:noProof/>
          <w:vertAlign w:val="superscript"/>
        </w:rPr>
        <w:t>15</w:t>
      </w:r>
    </w:p>
    <w:p w14:paraId="1DD33010" w14:textId="77777777" w:rsidR="00575022" w:rsidRDefault="00575022" w:rsidP="00B619C5">
      <w:pPr>
        <w:spacing w:line="480" w:lineRule="auto"/>
      </w:pPr>
    </w:p>
    <w:p w14:paraId="49E78A7D" w14:textId="77777777" w:rsidR="00575022" w:rsidRPr="008E2EB9" w:rsidRDefault="00575022" w:rsidP="00B619C5">
      <w:pPr>
        <w:pStyle w:val="Heading3"/>
        <w:spacing w:line="480" w:lineRule="auto"/>
        <w:rPr>
          <w:rFonts w:ascii="Times New Roman" w:hAnsi="Times New Roman" w:cs="Times New Roman"/>
        </w:rPr>
      </w:pPr>
      <w:r w:rsidRPr="008E2EB9">
        <w:rPr>
          <w:rFonts w:ascii="Times New Roman" w:hAnsi="Times New Roman" w:cs="Times New Roman"/>
        </w:rPr>
        <w:lastRenderedPageBreak/>
        <w:t>Matching</w:t>
      </w:r>
    </w:p>
    <w:p w14:paraId="52B8AB7C" w14:textId="5F050E51" w:rsidR="00575022" w:rsidRPr="008E2EB9" w:rsidRDefault="00575022" w:rsidP="00B619C5">
      <w:pPr>
        <w:spacing w:line="480" w:lineRule="auto"/>
      </w:pPr>
      <w:r w:rsidRPr="00697D58">
        <w:t xml:space="preserve">Using the </w:t>
      </w:r>
      <w:proofErr w:type="spellStart"/>
      <w:r w:rsidRPr="00697D58">
        <w:t>MatchIt</w:t>
      </w:r>
      <w:proofErr w:type="spellEnd"/>
      <w:r w:rsidRPr="00697D58">
        <w:t xml:space="preserve"> package</w:t>
      </w:r>
      <w:r w:rsidRPr="002C422E">
        <w:rPr>
          <w:noProof/>
          <w:vertAlign w:val="superscript"/>
        </w:rPr>
        <w:t>27</w:t>
      </w:r>
      <w:r w:rsidRPr="00697D58">
        <w:t xml:space="preserve"> </w:t>
      </w:r>
      <w:r>
        <w:t xml:space="preserve">(v2.4-22) </w:t>
      </w:r>
      <w:r w:rsidRPr="00697D58">
        <w:t xml:space="preserve">the propensity of treatment </w:t>
      </w:r>
      <w:r>
        <w:t xml:space="preserve">was estimated </w:t>
      </w:r>
      <w:r w:rsidRPr="00697D58">
        <w:t xml:space="preserve">using a </w:t>
      </w:r>
      <w:r>
        <w:t>multivariable</w:t>
      </w:r>
      <w:r w:rsidRPr="00697D58">
        <w:t xml:space="preserve"> logistic regression model </w:t>
      </w:r>
      <w:r>
        <w:t>using</w:t>
      </w:r>
      <w:r w:rsidRPr="00697D58">
        <w:t xml:space="preserve"> baseline </w:t>
      </w:r>
      <w:r w:rsidRPr="008E2EB9">
        <w:rPr>
          <w:rFonts w:eastAsia="Times New Roman"/>
          <w:color w:val="000000"/>
          <w:shd w:val="clear" w:color="auto" w:fill="FFFFFF"/>
        </w:rPr>
        <w:t xml:space="preserve">age, </w:t>
      </w:r>
      <w:r>
        <w:rPr>
          <w:rFonts w:eastAsia="Times New Roman"/>
          <w:color w:val="000000"/>
          <w:shd w:val="clear" w:color="auto" w:fill="FFFFFF"/>
        </w:rPr>
        <w:t xml:space="preserve">sex, </w:t>
      </w:r>
      <w:r w:rsidRPr="008E2EB9">
        <w:rPr>
          <w:rFonts w:eastAsia="Times New Roman"/>
          <w:color w:val="000000"/>
          <w:shd w:val="clear" w:color="auto" w:fill="FFFFFF"/>
        </w:rPr>
        <w:t>annualised-relapse rate</w:t>
      </w:r>
      <w:r>
        <w:rPr>
          <w:rFonts w:eastAsia="Times New Roman"/>
          <w:color w:val="000000"/>
          <w:shd w:val="clear" w:color="auto" w:fill="FFFFFF"/>
        </w:rPr>
        <w:t xml:space="preserve"> in the year prior to baseline</w:t>
      </w:r>
      <w:r w:rsidRPr="008E2EB9">
        <w:rPr>
          <w:rFonts w:eastAsia="Times New Roman"/>
          <w:color w:val="000000"/>
          <w:shd w:val="clear" w:color="auto" w:fill="FFFFFF"/>
        </w:rPr>
        <w:t>, EDSS score and disease duration.</w:t>
      </w:r>
      <w:r w:rsidRPr="00697D58">
        <w:t xml:space="preserve"> To minimise the differen</w:t>
      </w:r>
      <w:r>
        <w:t>ce in</w:t>
      </w:r>
      <w:r w:rsidRPr="00697D58">
        <w:t xml:space="preserve"> proportions of time on therapy during follow-up </w:t>
      </w:r>
      <w:r>
        <w:t>in</w:t>
      </w:r>
      <w:r w:rsidRPr="00697D58">
        <w:t xml:space="preserve"> the </w:t>
      </w:r>
      <w:r w:rsidR="006408F9">
        <w:t xml:space="preserve">ß-IFN|GA </w:t>
      </w:r>
      <w:r>
        <w:t>versus</w:t>
      </w:r>
      <w:r w:rsidRPr="00697D58">
        <w:t xml:space="preserve"> </w:t>
      </w:r>
      <w:r w:rsidR="006408F9">
        <w:t>F|A|N</w:t>
      </w:r>
      <w:r w:rsidRPr="00697D58">
        <w:t xml:space="preserve"> </w:t>
      </w:r>
      <w:r>
        <w:t>analysis</w:t>
      </w:r>
      <w:r w:rsidRPr="00697D58">
        <w:t xml:space="preserve">, patients </w:t>
      </w:r>
      <w:r>
        <w:t xml:space="preserve">were additionally matched </w:t>
      </w:r>
      <w:r w:rsidRPr="00697D58">
        <w:t xml:space="preserve">on </w:t>
      </w:r>
      <w:r>
        <w:t>the proportion of time on therapy</w:t>
      </w:r>
      <w:r w:rsidRPr="00697D58">
        <w:t xml:space="preserve"> during the median follow-up period (first 5</w:t>
      </w:r>
      <w:r>
        <w:t>.</w:t>
      </w:r>
      <w:r w:rsidRPr="00697D58">
        <w:t xml:space="preserve">8 years). Patients in the early versus late escalation from </w:t>
      </w:r>
      <w:r w:rsidR="006408F9">
        <w:t xml:space="preserve">ß-IFN|GA </w:t>
      </w:r>
      <w:r w:rsidRPr="00697D58">
        <w:t xml:space="preserve">to </w:t>
      </w:r>
      <w:r w:rsidR="006408F9">
        <w:t>F|A|N</w:t>
      </w:r>
      <w:r w:rsidRPr="00697D58">
        <w:t xml:space="preserve"> analysis were also matched on disease duration at the time of starting </w:t>
      </w:r>
      <w:r w:rsidR="006408F9">
        <w:t xml:space="preserve">ß-IFN|GA </w:t>
      </w:r>
      <w:r w:rsidRPr="00ED00DF">
        <w:t xml:space="preserve">plus the </w:t>
      </w:r>
      <w:r w:rsidRPr="003B27ED">
        <w:t>individual therapy</w:t>
      </w:r>
      <w:r w:rsidRPr="00F424C2">
        <w:t xml:space="preserve"> they were escalated</w:t>
      </w:r>
      <w:r>
        <w:t xml:space="preserve"> to</w:t>
      </w:r>
      <w:r w:rsidRPr="0048047B">
        <w:t>.</w:t>
      </w:r>
      <w:r w:rsidRPr="00697D58">
        <w:t xml:space="preserve"> </w:t>
      </w:r>
      <w:r>
        <w:t>To increase matching precision,</w:t>
      </w:r>
      <w:r w:rsidRPr="002C422E">
        <w:rPr>
          <w:noProof/>
          <w:vertAlign w:val="superscript"/>
        </w:rPr>
        <w:t>18,28</w:t>
      </w:r>
      <w:r>
        <w:t xml:space="preserve"> p</w:t>
      </w:r>
      <w:r w:rsidRPr="00697D58">
        <w:t xml:space="preserve">atients were matched </w:t>
      </w:r>
      <w:r>
        <w:t xml:space="preserve">in a variable matching ratio (10:1 to 1:1) </w:t>
      </w:r>
      <w:r w:rsidRPr="00697D58">
        <w:t xml:space="preserve">by nearest neighbour matching </w:t>
      </w:r>
      <w:r>
        <w:t>using the optimal</w:t>
      </w:r>
      <w:r w:rsidRPr="00F13D9B">
        <w:t xml:space="preserve"> </w:t>
      </w:r>
      <w:proofErr w:type="spellStart"/>
      <w:r w:rsidRPr="00697D58">
        <w:t>caliper</w:t>
      </w:r>
      <w:proofErr w:type="spellEnd"/>
      <w:r w:rsidRPr="00697D58">
        <w:t xml:space="preserve"> </w:t>
      </w:r>
      <w:r>
        <w:t>(0.</w:t>
      </w:r>
      <w:r w:rsidRPr="00697D58">
        <w:t>1 standard deviations (SD) of the propensity score).</w:t>
      </w:r>
      <w:r w:rsidRPr="002C422E">
        <w:rPr>
          <w:noProof/>
          <w:vertAlign w:val="superscript"/>
        </w:rPr>
        <w:t>29-31</w:t>
      </w:r>
      <w:r w:rsidRPr="00697D58">
        <w:t xml:space="preserve"> </w:t>
      </w:r>
      <w:r>
        <w:t xml:space="preserve">Where treatment initiation was not used as the baseline (the late group in the early versus late </w:t>
      </w:r>
      <w:r w:rsidR="006408F9">
        <w:t xml:space="preserve">ß-IFN|GA </w:t>
      </w:r>
      <w:r>
        <w:t xml:space="preserve">and escalation analyses; and the untreated group in all untreated analyses), any visit could serve as baseline (to optimise matching). A single patient could therefore be used multiple times in one analysis </w:t>
      </w:r>
      <w:bookmarkStart w:id="2" w:name="_Hlk524188589"/>
      <w:r>
        <w:t>and across analyses</w:t>
      </w:r>
      <w:bookmarkEnd w:id="2"/>
      <w:r>
        <w:t xml:space="preserve">. To account for this, replacement was permitted in these matching models. All subsequent models were weighted to account for the variable matching ratio (see below). </w:t>
      </w:r>
      <w:r w:rsidRPr="00697D58">
        <w:t xml:space="preserve">Each patient’s follow-up was censored to the shortest of the two follow-up times from each </w:t>
      </w:r>
      <w:r>
        <w:t>set</w:t>
      </w:r>
      <w:r w:rsidRPr="00697D58">
        <w:t xml:space="preserve">, resulting in identical follow-up durations between groups. </w:t>
      </w:r>
      <w:r>
        <w:t>Set</w:t>
      </w:r>
      <w:r w:rsidRPr="00697D58">
        <w:t xml:space="preserve">s where either patient subsequently had less than two </w:t>
      </w:r>
      <w:r>
        <w:t>EDSS scores</w:t>
      </w:r>
      <w:r w:rsidRPr="00697D58">
        <w:t xml:space="preserve"> following baseline were excluded.</w:t>
      </w:r>
    </w:p>
    <w:p w14:paraId="1197983B" w14:textId="77777777" w:rsidR="00575022" w:rsidRPr="008E2EB9" w:rsidRDefault="00575022" w:rsidP="00B619C5">
      <w:pPr>
        <w:spacing w:line="480" w:lineRule="auto"/>
      </w:pPr>
    </w:p>
    <w:p w14:paraId="7FB7BD49" w14:textId="77777777" w:rsidR="00575022" w:rsidRPr="008E2EB9" w:rsidRDefault="00575022" w:rsidP="00B619C5">
      <w:pPr>
        <w:pStyle w:val="Heading3"/>
        <w:spacing w:line="480" w:lineRule="auto"/>
        <w:rPr>
          <w:rFonts w:ascii="Times New Roman" w:hAnsi="Times New Roman" w:cs="Times New Roman"/>
        </w:rPr>
      </w:pPr>
      <w:r w:rsidRPr="008E2EB9">
        <w:rPr>
          <w:rFonts w:ascii="Times New Roman" w:hAnsi="Times New Roman" w:cs="Times New Roman"/>
        </w:rPr>
        <w:t>Statistical analysis</w:t>
      </w:r>
    </w:p>
    <w:p w14:paraId="46E5A004" w14:textId="49838632" w:rsidR="00575022" w:rsidRPr="00794F1E" w:rsidRDefault="00575022" w:rsidP="00B619C5">
      <w:pPr>
        <w:spacing w:line="480" w:lineRule="auto"/>
      </w:pPr>
      <w:r w:rsidRPr="00697D58">
        <w:t xml:space="preserve">All analyses were performed using </w:t>
      </w:r>
      <w:r>
        <w:t xml:space="preserve">the survival package (v3.3.1) in </w:t>
      </w:r>
      <w:r w:rsidRPr="00697D58">
        <w:t xml:space="preserve">R. </w:t>
      </w:r>
      <w:proofErr w:type="spellStart"/>
      <w:r>
        <w:t>Setwise</w:t>
      </w:r>
      <w:proofErr w:type="spellEnd"/>
      <w:r>
        <w:t xml:space="preserve"> w</w:t>
      </w:r>
      <w:r w:rsidRPr="00697D58">
        <w:t xml:space="preserve">eighted conditional proportional hazards models (Cox) clustered for matched patient </w:t>
      </w:r>
      <w:r>
        <w:t>set</w:t>
      </w:r>
      <w:r w:rsidRPr="00697D58">
        <w:t xml:space="preserve">s </w:t>
      </w:r>
      <w:r>
        <w:t>examined</w:t>
      </w:r>
      <w:r w:rsidRPr="00697D58">
        <w:t xml:space="preserve"> the proportions of patients free from conversion to SPMS. All models were adjusted for EDSS frequency </w:t>
      </w:r>
      <w:r>
        <w:t>plus</w:t>
      </w:r>
      <w:r w:rsidRPr="00697D58">
        <w:t xml:space="preserve"> any variables showing residual imbalance following matching (as denoted by a </w:t>
      </w:r>
      <w:r>
        <w:t xml:space="preserve">standardised difference (quantified by </w:t>
      </w:r>
      <w:r w:rsidRPr="00697D58">
        <w:t>Cohen’s d value</w:t>
      </w:r>
      <w:r>
        <w:t>)</w:t>
      </w:r>
      <w:r w:rsidRPr="00697D58">
        <w:t xml:space="preserve"> </w:t>
      </w:r>
      <w:r>
        <w:t xml:space="preserve">≥ </w:t>
      </w:r>
      <w:r w:rsidRPr="00697D58">
        <w:t>0</w:t>
      </w:r>
      <w:r>
        <w:t>.</w:t>
      </w:r>
      <w:r w:rsidRPr="00697D58">
        <w:t>2</w:t>
      </w:r>
      <w:r w:rsidRPr="002C422E">
        <w:rPr>
          <w:noProof/>
          <w:vertAlign w:val="superscript"/>
        </w:rPr>
        <w:t>32</w:t>
      </w:r>
      <w:r>
        <w:t xml:space="preserve"> (which indicates less than 92% overlap between the groups</w:t>
      </w:r>
      <w:r w:rsidRPr="00697D58">
        <w:t>)</w:t>
      </w:r>
      <w:r>
        <w:t>)</w:t>
      </w:r>
      <w:r w:rsidRPr="00697D58">
        <w:t xml:space="preserve">. </w:t>
      </w:r>
      <w:bookmarkStart w:id="3" w:name="_Hlk524186917"/>
      <w:r>
        <w:t xml:space="preserve">The weights were calculated as the inverse of the number of times a patient was included in an </w:t>
      </w:r>
      <w:r>
        <w:lastRenderedPageBreak/>
        <w:t>analysis to account for the variable matching ratio</w:t>
      </w:r>
      <w:bookmarkEnd w:id="3"/>
      <w:r>
        <w:t>.</w:t>
      </w:r>
      <w:r w:rsidRPr="00697D58">
        <w:t xml:space="preserve"> The models comparing (</w:t>
      </w:r>
      <w:proofErr w:type="spellStart"/>
      <w:r w:rsidRPr="00697D58">
        <w:t>i</w:t>
      </w:r>
      <w:proofErr w:type="spellEnd"/>
      <w:r w:rsidRPr="00697D58">
        <w:t xml:space="preserve">) </w:t>
      </w:r>
      <w:r w:rsidR="006408F9">
        <w:t xml:space="preserve">ß-IFN|GA </w:t>
      </w:r>
      <w:r w:rsidRPr="00697D58">
        <w:t xml:space="preserve">with </w:t>
      </w:r>
      <w:r w:rsidR="006408F9">
        <w:t>F|A|N</w:t>
      </w:r>
      <w:r>
        <w:t>,</w:t>
      </w:r>
      <w:r w:rsidRPr="00697D58">
        <w:t xml:space="preserve"> (ii) early versus late </w:t>
      </w:r>
      <w:r w:rsidR="006408F9">
        <w:t xml:space="preserve">ß-IFN|GA </w:t>
      </w:r>
      <w:r w:rsidRPr="00697D58">
        <w:t xml:space="preserve">and (iii) early versus late escalation from </w:t>
      </w:r>
      <w:r w:rsidR="006408F9">
        <w:t xml:space="preserve">ß-IFN|GA </w:t>
      </w:r>
      <w:r w:rsidRPr="00697D58">
        <w:t xml:space="preserve">to </w:t>
      </w:r>
      <w:r w:rsidR="006408F9">
        <w:t>F|A|N</w:t>
      </w:r>
      <w:r w:rsidRPr="00697D58">
        <w:t xml:space="preserve"> were also adjusted for </w:t>
      </w:r>
      <w:r>
        <w:t>the proportion of time on therapy</w:t>
      </w:r>
      <w:r w:rsidRPr="00697D58">
        <w:t xml:space="preserve"> during the entire post-baseline </w:t>
      </w:r>
      <w:proofErr w:type="spellStart"/>
      <w:r>
        <w:t>setwise</w:t>
      </w:r>
      <w:proofErr w:type="spellEnd"/>
      <w:r w:rsidRPr="00697D58">
        <w:t>-censored follow-up. The Schoenfeld’s global test</w:t>
      </w:r>
      <w:r w:rsidRPr="002C422E">
        <w:rPr>
          <w:noProof/>
          <w:vertAlign w:val="superscript"/>
        </w:rPr>
        <w:t>33</w:t>
      </w:r>
      <w:r w:rsidRPr="00697D58">
        <w:t xml:space="preserve"> was used to detect violation of the proportional </w:t>
      </w:r>
      <w:proofErr w:type="gramStart"/>
      <w:r w:rsidRPr="00697D58">
        <w:t>hazards</w:t>
      </w:r>
      <w:proofErr w:type="gramEnd"/>
      <w:r w:rsidRPr="00697D58">
        <w:t xml:space="preserve"> assumption; when violated, </w:t>
      </w:r>
      <w:r>
        <w:t xml:space="preserve">Weibull accelerated failure time regression models </w:t>
      </w:r>
      <w:r w:rsidRPr="00697D58">
        <w:t>were used</w:t>
      </w:r>
      <w:r w:rsidRPr="0031503B">
        <w:t xml:space="preserve">. </w:t>
      </w:r>
      <w:r w:rsidRPr="001D75E2">
        <w:rPr>
          <w:rFonts w:eastAsia="Times New Roman"/>
          <w:iCs/>
          <w:color w:val="000000"/>
          <w:shd w:val="clear" w:color="auto" w:fill="FFFFFF"/>
        </w:rPr>
        <w:t xml:space="preserve">To estimate the conditional hazard ratio, robust estimation of variance based on </w:t>
      </w:r>
      <w:r>
        <w:rPr>
          <w:rFonts w:eastAsia="Times New Roman"/>
          <w:iCs/>
          <w:color w:val="000000"/>
          <w:shd w:val="clear" w:color="auto" w:fill="FFFFFF"/>
        </w:rPr>
        <w:t xml:space="preserve">the </w:t>
      </w:r>
      <w:r w:rsidRPr="001D75E2">
        <w:rPr>
          <w:rFonts w:eastAsia="Times New Roman"/>
          <w:iCs/>
          <w:color w:val="000000"/>
          <w:shd w:val="clear" w:color="auto" w:fill="FFFFFF"/>
        </w:rPr>
        <w:t>Huber sandwich estimator</w:t>
      </w:r>
      <w:r>
        <w:rPr>
          <w:rFonts w:eastAsia="Times New Roman"/>
          <w:iCs/>
          <w:color w:val="000000"/>
          <w:shd w:val="clear" w:color="auto" w:fill="FFFFFF"/>
        </w:rPr>
        <w:t xml:space="preserve"> was used</w:t>
      </w:r>
      <w:r w:rsidRPr="001D75E2">
        <w:rPr>
          <w:rFonts w:eastAsia="Times New Roman"/>
          <w:iCs/>
          <w:color w:val="000000"/>
          <w:shd w:val="clear" w:color="auto" w:fill="FFFFFF"/>
        </w:rPr>
        <w:t xml:space="preserve">. The </w:t>
      </w:r>
      <w:proofErr w:type="spellStart"/>
      <w:r w:rsidRPr="001D75E2">
        <w:rPr>
          <w:rFonts w:eastAsia="Times New Roman"/>
          <w:iCs/>
          <w:color w:val="000000"/>
          <w:shd w:val="clear" w:color="auto" w:fill="FFFFFF"/>
        </w:rPr>
        <w:t>Efron</w:t>
      </w:r>
      <w:proofErr w:type="spellEnd"/>
      <w:r w:rsidRPr="001D75E2">
        <w:rPr>
          <w:rFonts w:eastAsia="Times New Roman"/>
          <w:iCs/>
          <w:color w:val="000000"/>
          <w:shd w:val="clear" w:color="auto" w:fill="FFFFFF"/>
        </w:rPr>
        <w:t xml:space="preserve"> approximation was used to resolve tied survival times.</w:t>
      </w:r>
      <w:r>
        <w:rPr>
          <w:rFonts w:eastAsia="Times New Roman"/>
          <w:iCs/>
          <w:color w:val="000000"/>
          <w:shd w:val="clear" w:color="auto" w:fill="FFFFFF"/>
        </w:rPr>
        <w:t xml:space="preserve"> </w:t>
      </w:r>
      <w:r>
        <w:t>Graphs</w:t>
      </w:r>
      <w:r w:rsidRPr="00697D58">
        <w:t xml:space="preserve"> were censored at the latest point that each group contained at least 10 patients</w:t>
      </w:r>
      <w:r>
        <w:t xml:space="preserve"> or less than 10% of the original group, whichever came first</w:t>
      </w:r>
      <w:r w:rsidRPr="00697D58">
        <w:t xml:space="preserve">. </w:t>
      </w:r>
      <w:r>
        <w:t xml:space="preserve">The percentage of patients that had converted to SPMS are presented at 5 years and the last year before censor in the text. Two-sided significance testing was used. </w:t>
      </w:r>
      <w:r w:rsidRPr="00697D58">
        <w:t xml:space="preserve">Results were considered significant at the </w:t>
      </w:r>
      <w:r w:rsidRPr="00697D58">
        <w:rPr>
          <w:i/>
        </w:rPr>
        <w:t>p</w:t>
      </w:r>
      <w:r w:rsidRPr="00697D58">
        <w:t>&lt;0</w:t>
      </w:r>
      <w:r>
        <w:t>.</w:t>
      </w:r>
      <w:r w:rsidRPr="00697D58">
        <w:t xml:space="preserve">05 level. </w:t>
      </w:r>
      <w:r w:rsidR="00B37D0C" w:rsidRPr="00AB648C">
        <w:rPr>
          <w:rFonts w:eastAsia="Times New Roman"/>
          <w:color w:val="000000"/>
          <w:shd w:val="clear" w:color="auto" w:fill="FFFFFF"/>
        </w:rPr>
        <w:t>Because there was no adjustment for multiple comparisons, secondary analyses should be interpreted as exploratory.</w:t>
      </w:r>
    </w:p>
    <w:p w14:paraId="72389516" w14:textId="77777777" w:rsidR="00575022" w:rsidRPr="00697D58" w:rsidRDefault="00575022" w:rsidP="00B619C5">
      <w:pPr>
        <w:spacing w:line="480" w:lineRule="auto"/>
      </w:pPr>
      <w:r w:rsidRPr="00697D58">
        <w:br w:type="page"/>
      </w:r>
    </w:p>
    <w:p w14:paraId="7FBC72D0" w14:textId="77777777" w:rsidR="00575022" w:rsidRPr="008E2EB9" w:rsidRDefault="00575022" w:rsidP="00B619C5">
      <w:pPr>
        <w:pStyle w:val="Heading2"/>
      </w:pPr>
      <w:r w:rsidRPr="008E2EB9">
        <w:lastRenderedPageBreak/>
        <w:t>Results</w:t>
      </w:r>
    </w:p>
    <w:p w14:paraId="7B8D7F48" w14:textId="7B47A675" w:rsidR="00575022" w:rsidRPr="00697D58" w:rsidRDefault="00575022" w:rsidP="00B619C5">
      <w:pPr>
        <w:spacing w:line="480" w:lineRule="auto"/>
        <w:rPr>
          <w:color w:val="FF0000"/>
        </w:rPr>
      </w:pPr>
      <w:r w:rsidRPr="00697D58">
        <w:rPr>
          <w:color w:val="000000" w:themeColor="text1"/>
        </w:rPr>
        <w:t>44</w:t>
      </w:r>
      <w:r>
        <w:rPr>
          <w:color w:val="000000" w:themeColor="text1"/>
        </w:rPr>
        <w:t>,</w:t>
      </w:r>
      <w:r w:rsidRPr="00697D58">
        <w:rPr>
          <w:color w:val="000000" w:themeColor="text1"/>
        </w:rPr>
        <w:t xml:space="preserve">217 patients with multiple </w:t>
      </w:r>
      <w:r w:rsidRPr="003B27ED">
        <w:rPr>
          <w:color w:val="000000" w:themeColor="text1"/>
        </w:rPr>
        <w:t>sclerosis (1</w:t>
      </w:r>
      <w:r>
        <w:rPr>
          <w:color w:val="000000" w:themeColor="text1"/>
        </w:rPr>
        <w:t>,</w:t>
      </w:r>
      <w:r w:rsidRPr="003B27ED">
        <w:rPr>
          <w:color w:val="000000" w:themeColor="text1"/>
        </w:rPr>
        <w:t>091 from the Welsh untreated cohort; 4</w:t>
      </w:r>
      <w:r>
        <w:rPr>
          <w:color w:val="000000" w:themeColor="text1"/>
        </w:rPr>
        <w:t>3</w:t>
      </w:r>
      <w:r w:rsidRPr="003B27ED">
        <w:rPr>
          <w:color w:val="000000" w:themeColor="text1"/>
        </w:rPr>
        <w:t>,</w:t>
      </w:r>
      <w:r>
        <w:rPr>
          <w:color w:val="000000" w:themeColor="text1"/>
        </w:rPr>
        <w:t>048</w:t>
      </w:r>
      <w:r w:rsidRPr="00986FAD">
        <w:rPr>
          <w:color w:val="000000" w:themeColor="text1"/>
        </w:rPr>
        <w:t xml:space="preserve"> </w:t>
      </w:r>
      <w:r w:rsidRPr="003B27ED">
        <w:rPr>
          <w:color w:val="000000" w:themeColor="text1"/>
        </w:rPr>
        <w:t xml:space="preserve">from </w:t>
      </w:r>
      <w:proofErr w:type="spellStart"/>
      <w:r w:rsidRPr="003B27ED">
        <w:rPr>
          <w:color w:val="000000" w:themeColor="text1"/>
        </w:rPr>
        <w:t>MSBase</w:t>
      </w:r>
      <w:proofErr w:type="spellEnd"/>
      <w:r w:rsidRPr="003B27ED">
        <w:rPr>
          <w:color w:val="000000" w:themeColor="text1"/>
        </w:rPr>
        <w:t xml:space="preserve"> and </w:t>
      </w:r>
      <w:r>
        <w:rPr>
          <w:color w:val="000000" w:themeColor="text1"/>
        </w:rPr>
        <w:t>78</w:t>
      </w:r>
      <w:r w:rsidRPr="00986FAD">
        <w:rPr>
          <w:color w:val="000000" w:themeColor="text1"/>
        </w:rPr>
        <w:t xml:space="preserve"> alemtuzumab-treated patients </w:t>
      </w:r>
      <w:r>
        <w:rPr>
          <w:color w:val="000000" w:themeColor="text1"/>
        </w:rPr>
        <w:t>from non-</w:t>
      </w:r>
      <w:proofErr w:type="spellStart"/>
      <w:r>
        <w:rPr>
          <w:color w:val="000000" w:themeColor="text1"/>
        </w:rPr>
        <w:t>MSBase</w:t>
      </w:r>
      <w:proofErr w:type="spellEnd"/>
      <w:r>
        <w:rPr>
          <w:color w:val="000000" w:themeColor="text1"/>
        </w:rPr>
        <w:t xml:space="preserve"> </w:t>
      </w:r>
      <w:proofErr w:type="spellStart"/>
      <w:r>
        <w:rPr>
          <w:color w:val="000000" w:themeColor="text1"/>
        </w:rPr>
        <w:t>centers</w:t>
      </w:r>
      <w:proofErr w:type="spellEnd"/>
      <w:r>
        <w:rPr>
          <w:color w:val="000000" w:themeColor="text1"/>
        </w:rPr>
        <w:t xml:space="preserve">) </w:t>
      </w:r>
      <w:r w:rsidRPr="003B27ED">
        <w:rPr>
          <w:color w:val="000000" w:themeColor="text1"/>
        </w:rPr>
        <w:t xml:space="preserve">were assessed for eligibility (Figure 1). To avoid </w:t>
      </w:r>
      <w:r w:rsidRPr="003B27ED">
        <w:t xml:space="preserve">informed censoring bias, the </w:t>
      </w:r>
      <w:r w:rsidR="006408F9">
        <w:t xml:space="preserve">ß-IFN|GA </w:t>
      </w:r>
      <w:r w:rsidRPr="00986FAD">
        <w:t>groups were</w:t>
      </w:r>
      <w:r w:rsidRPr="003B27ED">
        <w:t xml:space="preserve"> </w:t>
      </w:r>
      <w:r w:rsidRPr="00986FAD">
        <w:t xml:space="preserve">limited to those treated and followed-up before </w:t>
      </w:r>
      <w:r w:rsidR="006408F9">
        <w:t>F|A|N</w:t>
      </w:r>
      <w:r w:rsidRPr="003B27ED">
        <w:t xml:space="preserve"> </w:t>
      </w:r>
      <w:r>
        <w:t>became</w:t>
      </w:r>
      <w:r w:rsidRPr="003B27ED">
        <w:t xml:space="preserve"> available</w:t>
      </w:r>
      <w:r w:rsidRPr="00986FAD">
        <w:t xml:space="preserve"> for escalation (baseline year 1996-1998 (Table 1))</w:t>
      </w:r>
      <w:r w:rsidRPr="003B27ED">
        <w:t xml:space="preserve">. </w:t>
      </w:r>
      <w:r>
        <w:rPr>
          <w:color w:val="000000" w:themeColor="text1"/>
        </w:rPr>
        <w:t xml:space="preserve">Following exclusion of ineligible patients (Figure 1), the matching process then matched 1,555 patients from 68 </w:t>
      </w:r>
      <w:proofErr w:type="spellStart"/>
      <w:r>
        <w:rPr>
          <w:color w:val="000000" w:themeColor="text1"/>
        </w:rPr>
        <w:t>centers</w:t>
      </w:r>
      <w:proofErr w:type="spellEnd"/>
      <w:r>
        <w:rPr>
          <w:color w:val="000000" w:themeColor="text1"/>
        </w:rPr>
        <w:t xml:space="preserve"> in 21 countries (</w:t>
      </w:r>
      <w:proofErr w:type="spellStart"/>
      <w:r>
        <w:rPr>
          <w:color w:val="000000" w:themeColor="text1"/>
        </w:rPr>
        <w:t>eTable</w:t>
      </w:r>
      <w:proofErr w:type="spellEnd"/>
      <w:r>
        <w:rPr>
          <w:color w:val="000000" w:themeColor="text1"/>
        </w:rPr>
        <w:t xml:space="preserve"> S3</w:t>
      </w:r>
      <w:r w:rsidR="00794F1E">
        <w:rPr>
          <w:color w:val="000000" w:themeColor="text1"/>
        </w:rPr>
        <w:t>)</w:t>
      </w:r>
      <w:r>
        <w:rPr>
          <w:color w:val="000000" w:themeColor="text1"/>
        </w:rPr>
        <w:t>: 230</w:t>
      </w:r>
      <w:r w:rsidRPr="003B27ED">
        <w:rPr>
          <w:color w:val="000000" w:themeColor="text1"/>
        </w:rPr>
        <w:t xml:space="preserve"> from the Welsh untreated cohort; </w:t>
      </w:r>
      <w:r>
        <w:rPr>
          <w:color w:val="000000" w:themeColor="text1"/>
        </w:rPr>
        <w:t>1,272</w:t>
      </w:r>
      <w:r w:rsidRPr="00986FAD">
        <w:rPr>
          <w:color w:val="000000" w:themeColor="text1"/>
        </w:rPr>
        <w:t xml:space="preserve"> </w:t>
      </w:r>
      <w:r w:rsidRPr="003B27ED">
        <w:rPr>
          <w:color w:val="000000" w:themeColor="text1"/>
        </w:rPr>
        <w:t xml:space="preserve">from </w:t>
      </w:r>
      <w:proofErr w:type="spellStart"/>
      <w:r w:rsidRPr="003B27ED">
        <w:rPr>
          <w:color w:val="000000" w:themeColor="text1"/>
        </w:rPr>
        <w:t>MSBase</w:t>
      </w:r>
      <w:proofErr w:type="spellEnd"/>
      <w:r w:rsidRPr="003B27ED">
        <w:rPr>
          <w:color w:val="000000" w:themeColor="text1"/>
        </w:rPr>
        <w:t xml:space="preserve"> and </w:t>
      </w:r>
      <w:r>
        <w:rPr>
          <w:color w:val="000000" w:themeColor="text1"/>
        </w:rPr>
        <w:t>53</w:t>
      </w:r>
      <w:r w:rsidRPr="00986FAD">
        <w:rPr>
          <w:color w:val="000000" w:themeColor="text1"/>
        </w:rPr>
        <w:t xml:space="preserve"> alemtuzumab-treated patients </w:t>
      </w:r>
      <w:r>
        <w:rPr>
          <w:color w:val="000000" w:themeColor="text1"/>
        </w:rPr>
        <w:t>from non-</w:t>
      </w:r>
      <w:proofErr w:type="spellStart"/>
      <w:r>
        <w:rPr>
          <w:color w:val="000000" w:themeColor="text1"/>
        </w:rPr>
        <w:t>MSBase</w:t>
      </w:r>
      <w:proofErr w:type="spellEnd"/>
      <w:r>
        <w:rPr>
          <w:color w:val="000000" w:themeColor="text1"/>
        </w:rPr>
        <w:t xml:space="preserve"> </w:t>
      </w:r>
      <w:proofErr w:type="spellStart"/>
      <w:r>
        <w:rPr>
          <w:color w:val="000000" w:themeColor="text1"/>
        </w:rPr>
        <w:t>center</w:t>
      </w:r>
      <w:r w:rsidR="00794F1E">
        <w:rPr>
          <w:color w:val="000000" w:themeColor="text1"/>
        </w:rPr>
        <w:t>s</w:t>
      </w:r>
      <w:proofErr w:type="spellEnd"/>
      <w:r>
        <w:rPr>
          <w:color w:val="000000" w:themeColor="text1"/>
        </w:rPr>
        <w:t xml:space="preserve"> </w:t>
      </w:r>
      <w:r w:rsidR="00656CCF">
        <w:rPr>
          <w:color w:val="000000" w:themeColor="text1"/>
        </w:rPr>
        <w:t>(</w:t>
      </w:r>
      <w:r w:rsidRPr="00697D58">
        <w:rPr>
          <w:color w:val="000000" w:themeColor="text1"/>
        </w:rPr>
        <w:t>Table 1</w:t>
      </w:r>
      <w:r>
        <w:rPr>
          <w:color w:val="000000" w:themeColor="text1"/>
        </w:rPr>
        <w:t>,</w:t>
      </w:r>
      <w:r w:rsidRPr="00697D58">
        <w:rPr>
          <w:color w:val="000000" w:themeColor="text1"/>
        </w:rPr>
        <w:t xml:space="preserve"> </w:t>
      </w:r>
      <w:proofErr w:type="spellStart"/>
      <w:r>
        <w:rPr>
          <w:color w:val="000000" w:themeColor="text1"/>
        </w:rPr>
        <w:t>eTables</w:t>
      </w:r>
      <w:proofErr w:type="spellEnd"/>
      <w:r w:rsidRPr="00697D58">
        <w:rPr>
          <w:color w:val="000000" w:themeColor="text1"/>
        </w:rPr>
        <w:t xml:space="preserve"> S</w:t>
      </w:r>
      <w:r w:rsidR="009E1930">
        <w:rPr>
          <w:color w:val="000000" w:themeColor="text1"/>
        </w:rPr>
        <w:t>3-4</w:t>
      </w:r>
      <w:r w:rsidRPr="00697D58">
        <w:rPr>
          <w:color w:val="000000" w:themeColor="text1"/>
        </w:rPr>
        <w:t>).</w:t>
      </w:r>
      <w:r>
        <w:rPr>
          <w:color w:val="000000" w:themeColor="text1"/>
        </w:rPr>
        <w:t xml:space="preserve"> Matching coefficients and post-</w:t>
      </w:r>
      <w:r w:rsidR="00EA4AE4">
        <w:rPr>
          <w:color w:val="000000" w:themeColor="text1"/>
        </w:rPr>
        <w:t xml:space="preserve">SPMS </w:t>
      </w:r>
      <w:r>
        <w:rPr>
          <w:color w:val="000000" w:themeColor="text1"/>
        </w:rPr>
        <w:t xml:space="preserve">EDSS scores are shown in </w:t>
      </w:r>
      <w:proofErr w:type="spellStart"/>
      <w:r>
        <w:rPr>
          <w:color w:val="000000" w:themeColor="text1"/>
        </w:rPr>
        <w:t>eTables</w:t>
      </w:r>
      <w:proofErr w:type="spellEnd"/>
      <w:r>
        <w:rPr>
          <w:color w:val="000000" w:themeColor="text1"/>
        </w:rPr>
        <w:t xml:space="preserve"> S</w:t>
      </w:r>
      <w:r w:rsidR="009E1930">
        <w:rPr>
          <w:color w:val="000000" w:themeColor="text1"/>
        </w:rPr>
        <w:t>5-6</w:t>
      </w:r>
      <w:r>
        <w:rPr>
          <w:color w:val="000000" w:themeColor="text1"/>
        </w:rPr>
        <w:t xml:space="preserve"> respectively. </w:t>
      </w:r>
      <w:r w:rsidRPr="001D75E2">
        <w:rPr>
          <w:color w:val="000000" w:themeColor="text1"/>
          <w:lang w:val="en-US"/>
        </w:rPr>
        <w:t>The assumption of proportionality was not met in 6/9 analyses (requiring Weibull accelerated failure time regression models).</w:t>
      </w:r>
    </w:p>
    <w:p w14:paraId="7E58F8BF" w14:textId="06C9E0D3" w:rsidR="00575022" w:rsidRPr="00697D58" w:rsidRDefault="00575022" w:rsidP="00B619C5">
      <w:pPr>
        <w:spacing w:line="480" w:lineRule="auto"/>
        <w:rPr>
          <w:color w:val="000000" w:themeColor="text1"/>
        </w:rPr>
      </w:pPr>
      <w:r>
        <w:rPr>
          <w:color w:val="000000" w:themeColor="text1"/>
        </w:rPr>
        <w:t xml:space="preserve">Compared with no treatment, treatment with each included therapy was associated with a significantly lower probability of converting to SPMS. For patients initially treated with </w:t>
      </w:r>
      <w:r w:rsidR="006408F9">
        <w:rPr>
          <w:color w:val="000000" w:themeColor="text1"/>
        </w:rPr>
        <w:t xml:space="preserve">ß-IFN|GA </w:t>
      </w:r>
      <w:r>
        <w:rPr>
          <w:color w:val="000000" w:themeColor="text1"/>
        </w:rPr>
        <w:t xml:space="preserve">(n=407), the </w:t>
      </w:r>
      <w:r w:rsidRPr="00697D58">
        <w:rPr>
          <w:color w:val="000000" w:themeColor="text1"/>
        </w:rPr>
        <w:t xml:space="preserve">hazard ratio (HR) </w:t>
      </w:r>
      <w:r>
        <w:rPr>
          <w:color w:val="000000" w:themeColor="text1"/>
        </w:rPr>
        <w:t xml:space="preserve">was </w:t>
      </w:r>
      <w:r w:rsidRPr="00697D58">
        <w:rPr>
          <w:color w:val="000000" w:themeColor="text1"/>
        </w:rPr>
        <w:t>0</w:t>
      </w:r>
      <w:r>
        <w:rPr>
          <w:color w:val="000000" w:themeColor="text1"/>
        </w:rPr>
        <w:t>.71</w:t>
      </w:r>
      <w:r w:rsidRPr="00697D58">
        <w:rPr>
          <w:color w:val="000000" w:themeColor="text1"/>
        </w:rPr>
        <w:t xml:space="preserve"> (95% confidence interval (CI) 0</w:t>
      </w:r>
      <w:r>
        <w:rPr>
          <w:color w:val="000000" w:themeColor="text1"/>
        </w:rPr>
        <w:t>.61</w:t>
      </w:r>
      <w:r w:rsidRPr="00697D58">
        <w:rPr>
          <w:color w:val="000000" w:themeColor="text1"/>
        </w:rPr>
        <w:t>−0</w:t>
      </w:r>
      <w:r>
        <w:rPr>
          <w:color w:val="000000" w:themeColor="text1"/>
        </w:rPr>
        <w:t>.81</w:t>
      </w:r>
      <w:r w:rsidRPr="00697D58">
        <w:rPr>
          <w:color w:val="000000" w:themeColor="text1"/>
        </w:rPr>
        <w:t>), p&lt;0</w:t>
      </w:r>
      <w:r>
        <w:rPr>
          <w:color w:val="000000" w:themeColor="text1"/>
        </w:rPr>
        <w:t>.</w:t>
      </w:r>
      <w:r w:rsidRPr="00697D58">
        <w:rPr>
          <w:color w:val="000000" w:themeColor="text1"/>
        </w:rPr>
        <w:t>001</w:t>
      </w:r>
      <w:r>
        <w:rPr>
          <w:color w:val="000000" w:themeColor="text1"/>
        </w:rPr>
        <w:t xml:space="preserve"> in comparison to untreated patients (n=213)</w:t>
      </w:r>
      <w:r w:rsidRPr="00697D58">
        <w:rPr>
          <w:color w:val="000000" w:themeColor="text1"/>
        </w:rPr>
        <w:t xml:space="preserve">; median censored follow-up </w:t>
      </w:r>
      <w:r>
        <w:rPr>
          <w:color w:val="000000" w:themeColor="text1"/>
        </w:rPr>
        <w:t>7.6</w:t>
      </w:r>
      <w:r w:rsidRPr="00697D58">
        <w:rPr>
          <w:color w:val="000000" w:themeColor="text1"/>
        </w:rPr>
        <w:t xml:space="preserve"> </w:t>
      </w:r>
      <w:r w:rsidRPr="00995EEB">
        <w:rPr>
          <w:shd w:val="clear" w:color="auto" w:fill="FFFFFF"/>
        </w:rPr>
        <w:t xml:space="preserve">(IQR </w:t>
      </w:r>
      <w:r>
        <w:t>5.8-9.6</w:t>
      </w:r>
      <w:r w:rsidRPr="00B15DCF">
        <w:t>)</w:t>
      </w:r>
      <w:r w:rsidRPr="00995EEB">
        <w:rPr>
          <w:shd w:val="clear" w:color="auto" w:fill="FFFFFF"/>
        </w:rPr>
        <w:t xml:space="preserve"> </w:t>
      </w:r>
      <w:r w:rsidRPr="00697D58">
        <w:rPr>
          <w:color w:val="000000" w:themeColor="text1"/>
        </w:rPr>
        <w:t>years</w:t>
      </w:r>
      <w:r>
        <w:rPr>
          <w:color w:val="000000" w:themeColor="text1"/>
        </w:rPr>
        <w:t>); a</w:t>
      </w:r>
      <w:r w:rsidRPr="00697D58">
        <w:rPr>
          <w:color w:val="000000" w:themeColor="text1"/>
        </w:rPr>
        <w:t>t 5 years 1</w:t>
      </w:r>
      <w:r>
        <w:rPr>
          <w:color w:val="000000" w:themeColor="text1"/>
        </w:rPr>
        <w:t>2</w:t>
      </w:r>
      <w:r w:rsidRPr="00697D58">
        <w:rPr>
          <w:color w:val="000000" w:themeColor="text1"/>
        </w:rPr>
        <w:t>% vs 2</w:t>
      </w:r>
      <w:r>
        <w:rPr>
          <w:color w:val="000000" w:themeColor="text1"/>
        </w:rPr>
        <w:t>7</w:t>
      </w:r>
      <w:r w:rsidRPr="00697D58">
        <w:rPr>
          <w:color w:val="000000" w:themeColor="text1"/>
        </w:rPr>
        <w:t xml:space="preserve">% respectively had converted, while at 11 years </w:t>
      </w:r>
      <w:r>
        <w:rPr>
          <w:color w:val="000000" w:themeColor="text1"/>
        </w:rPr>
        <w:t>47</w:t>
      </w:r>
      <w:r w:rsidRPr="00697D58">
        <w:rPr>
          <w:color w:val="000000" w:themeColor="text1"/>
        </w:rPr>
        <w:t>% vs 5</w:t>
      </w:r>
      <w:r>
        <w:rPr>
          <w:color w:val="000000" w:themeColor="text1"/>
        </w:rPr>
        <w:t>7</w:t>
      </w:r>
      <w:r w:rsidRPr="00697D58">
        <w:rPr>
          <w:color w:val="000000" w:themeColor="text1"/>
        </w:rPr>
        <w:t xml:space="preserve">% had converted (Figure 2A). </w:t>
      </w:r>
      <w:r>
        <w:rPr>
          <w:color w:val="000000" w:themeColor="text1"/>
        </w:rPr>
        <w:t>Fewer</w:t>
      </w:r>
      <w:r w:rsidRPr="00697D58">
        <w:rPr>
          <w:color w:val="000000" w:themeColor="text1"/>
        </w:rPr>
        <w:t xml:space="preserve"> patients </w:t>
      </w:r>
      <w:r>
        <w:rPr>
          <w:color w:val="000000" w:themeColor="text1"/>
        </w:rPr>
        <w:t xml:space="preserve">initially treated with fingolimod (n=85) converted </w:t>
      </w:r>
      <w:r w:rsidRPr="00697D58">
        <w:rPr>
          <w:color w:val="000000" w:themeColor="text1"/>
        </w:rPr>
        <w:t xml:space="preserve">compared to untreated patients </w:t>
      </w:r>
      <w:r>
        <w:rPr>
          <w:color w:val="000000" w:themeColor="text1"/>
        </w:rPr>
        <w:t xml:space="preserve">(n=174) </w:t>
      </w:r>
      <w:r w:rsidRPr="00697D58">
        <w:rPr>
          <w:color w:val="000000" w:themeColor="text1"/>
        </w:rPr>
        <w:t>(HR 0</w:t>
      </w:r>
      <w:r>
        <w:rPr>
          <w:color w:val="000000" w:themeColor="text1"/>
        </w:rPr>
        <w:t>.</w:t>
      </w:r>
      <w:r w:rsidRPr="00697D58">
        <w:rPr>
          <w:color w:val="000000" w:themeColor="text1"/>
        </w:rPr>
        <w:t>37 (95% CI 0</w:t>
      </w:r>
      <w:r>
        <w:rPr>
          <w:color w:val="000000" w:themeColor="text1"/>
        </w:rPr>
        <w:t>.</w:t>
      </w:r>
      <w:r w:rsidRPr="00697D58">
        <w:rPr>
          <w:color w:val="000000" w:themeColor="text1"/>
        </w:rPr>
        <w:t>22−0</w:t>
      </w:r>
      <w:r>
        <w:rPr>
          <w:color w:val="000000" w:themeColor="text1"/>
        </w:rPr>
        <w:t>.</w:t>
      </w:r>
      <w:r w:rsidRPr="00697D58">
        <w:rPr>
          <w:color w:val="000000" w:themeColor="text1"/>
        </w:rPr>
        <w:t>62), p&lt;0</w:t>
      </w:r>
      <w:r>
        <w:rPr>
          <w:color w:val="000000" w:themeColor="text1"/>
        </w:rPr>
        <w:t>.</w:t>
      </w:r>
      <w:r w:rsidRPr="00697D58">
        <w:rPr>
          <w:color w:val="000000" w:themeColor="text1"/>
        </w:rPr>
        <w:t>001; median censored follow-up 4</w:t>
      </w:r>
      <w:r>
        <w:rPr>
          <w:color w:val="000000" w:themeColor="text1"/>
        </w:rPr>
        <w:t>.</w:t>
      </w:r>
      <w:r w:rsidRPr="00697D58">
        <w:rPr>
          <w:color w:val="000000" w:themeColor="text1"/>
        </w:rPr>
        <w:t xml:space="preserve">5 </w:t>
      </w:r>
      <w:r w:rsidRPr="00995EEB">
        <w:rPr>
          <w:shd w:val="clear" w:color="auto" w:fill="FFFFFF"/>
        </w:rPr>
        <w:t>(IQR 4.3-5.1)</w:t>
      </w:r>
      <w:r>
        <w:rPr>
          <w:shd w:val="clear" w:color="auto" w:fill="FFFFFF"/>
        </w:rPr>
        <w:t xml:space="preserve"> </w:t>
      </w:r>
      <w:r w:rsidRPr="00697D58">
        <w:rPr>
          <w:color w:val="000000" w:themeColor="text1"/>
        </w:rPr>
        <w:t xml:space="preserve">years): at 5 years 7% vs 32% respectively had converted, while at 6 years 7% vs 39% had converted (Figure 2B). </w:t>
      </w:r>
      <w:r>
        <w:rPr>
          <w:color w:val="000000" w:themeColor="text1"/>
        </w:rPr>
        <w:t>Conversion</w:t>
      </w:r>
      <w:r w:rsidRPr="00697D58">
        <w:rPr>
          <w:color w:val="000000" w:themeColor="text1"/>
        </w:rPr>
        <w:t xml:space="preserve"> to SPMS was also </w:t>
      </w:r>
      <w:r>
        <w:rPr>
          <w:color w:val="000000" w:themeColor="text1"/>
        </w:rPr>
        <w:t xml:space="preserve">significantly </w:t>
      </w:r>
      <w:r w:rsidRPr="00697D58">
        <w:rPr>
          <w:color w:val="000000" w:themeColor="text1"/>
        </w:rPr>
        <w:t xml:space="preserve">lower for </w:t>
      </w:r>
      <w:r>
        <w:rPr>
          <w:color w:val="000000" w:themeColor="text1"/>
        </w:rPr>
        <w:t xml:space="preserve">patients initially treated with </w:t>
      </w:r>
      <w:r w:rsidRPr="00697D58">
        <w:rPr>
          <w:color w:val="000000" w:themeColor="text1"/>
        </w:rPr>
        <w:t>natalizumab</w:t>
      </w:r>
      <w:r>
        <w:rPr>
          <w:color w:val="000000" w:themeColor="text1"/>
        </w:rPr>
        <w:t xml:space="preserve"> (n=82) compared to untreated patients (n=164)</w:t>
      </w:r>
      <w:r w:rsidRPr="00697D58">
        <w:rPr>
          <w:color w:val="000000" w:themeColor="text1"/>
        </w:rPr>
        <w:t xml:space="preserve"> (HR 0</w:t>
      </w:r>
      <w:r>
        <w:rPr>
          <w:color w:val="000000" w:themeColor="text1"/>
        </w:rPr>
        <w:t>.</w:t>
      </w:r>
      <w:r w:rsidRPr="00697D58">
        <w:rPr>
          <w:color w:val="000000" w:themeColor="text1"/>
        </w:rPr>
        <w:t>6</w:t>
      </w:r>
      <w:r>
        <w:rPr>
          <w:color w:val="000000" w:themeColor="text1"/>
        </w:rPr>
        <w:t>1</w:t>
      </w:r>
      <w:r w:rsidRPr="00697D58">
        <w:rPr>
          <w:color w:val="000000" w:themeColor="text1"/>
        </w:rPr>
        <w:t xml:space="preserve"> (95% CI 0</w:t>
      </w:r>
      <w:r>
        <w:rPr>
          <w:color w:val="000000" w:themeColor="text1"/>
        </w:rPr>
        <w:t>.</w:t>
      </w:r>
      <w:r w:rsidRPr="00697D58">
        <w:rPr>
          <w:color w:val="000000" w:themeColor="text1"/>
        </w:rPr>
        <w:t>4</w:t>
      </w:r>
      <w:r>
        <w:rPr>
          <w:color w:val="000000" w:themeColor="text1"/>
        </w:rPr>
        <w:t>3</w:t>
      </w:r>
      <w:r w:rsidRPr="00697D58">
        <w:rPr>
          <w:color w:val="000000" w:themeColor="text1"/>
        </w:rPr>
        <w:t>−0</w:t>
      </w:r>
      <w:r>
        <w:rPr>
          <w:color w:val="000000" w:themeColor="text1"/>
        </w:rPr>
        <w:t>.</w:t>
      </w:r>
      <w:r w:rsidRPr="00697D58">
        <w:rPr>
          <w:color w:val="000000" w:themeColor="text1"/>
        </w:rPr>
        <w:t>8</w:t>
      </w:r>
      <w:r>
        <w:rPr>
          <w:color w:val="000000" w:themeColor="text1"/>
        </w:rPr>
        <w:t>6</w:t>
      </w:r>
      <w:r w:rsidRPr="00697D58">
        <w:rPr>
          <w:color w:val="000000" w:themeColor="text1"/>
        </w:rPr>
        <w:t>), p=0</w:t>
      </w:r>
      <w:r>
        <w:rPr>
          <w:color w:val="000000" w:themeColor="text1"/>
        </w:rPr>
        <w:t>.</w:t>
      </w:r>
      <w:r w:rsidRPr="00697D58">
        <w:rPr>
          <w:color w:val="000000" w:themeColor="text1"/>
        </w:rPr>
        <w:t>005;</w:t>
      </w:r>
      <w:r w:rsidRPr="00697D58">
        <w:rPr>
          <w:i/>
          <w:color w:val="000000" w:themeColor="text1"/>
        </w:rPr>
        <w:t xml:space="preserve"> </w:t>
      </w:r>
      <w:r w:rsidRPr="00697D58">
        <w:rPr>
          <w:color w:val="000000" w:themeColor="text1"/>
        </w:rPr>
        <w:t>median censored follow-up 4</w:t>
      </w:r>
      <w:r>
        <w:rPr>
          <w:color w:val="000000" w:themeColor="text1"/>
        </w:rPr>
        <w:t>.</w:t>
      </w:r>
      <w:r w:rsidRPr="00697D58">
        <w:rPr>
          <w:color w:val="000000" w:themeColor="text1"/>
        </w:rPr>
        <w:t xml:space="preserve">9 </w:t>
      </w:r>
      <w:r w:rsidRPr="00995EEB">
        <w:rPr>
          <w:shd w:val="clear" w:color="auto" w:fill="FFFFFF"/>
        </w:rPr>
        <w:t xml:space="preserve">(IQR </w:t>
      </w:r>
      <w:r w:rsidRPr="00B15DCF">
        <w:t>4.4-5.8</w:t>
      </w:r>
      <w:r w:rsidRPr="00995EEB">
        <w:rPr>
          <w:shd w:val="clear" w:color="auto" w:fill="FFFFFF"/>
        </w:rPr>
        <w:t>)</w:t>
      </w:r>
      <w:r>
        <w:rPr>
          <w:shd w:val="clear" w:color="auto" w:fill="FFFFFF"/>
        </w:rPr>
        <w:t xml:space="preserve"> </w:t>
      </w:r>
      <w:r w:rsidRPr="00697D58">
        <w:rPr>
          <w:color w:val="000000" w:themeColor="text1"/>
        </w:rPr>
        <w:t xml:space="preserve">years): at 5 years 19% vs 38% respectively had converted, while at 6 years 34% vs 48% had converted (Figure 2C). </w:t>
      </w:r>
      <w:r>
        <w:rPr>
          <w:color w:val="000000" w:themeColor="text1"/>
        </w:rPr>
        <w:t>The hazard ratio for</w:t>
      </w:r>
      <w:r w:rsidRPr="00697D58">
        <w:rPr>
          <w:color w:val="000000" w:themeColor="text1"/>
        </w:rPr>
        <w:t xml:space="preserve"> converting to SPMS </w:t>
      </w:r>
      <w:r>
        <w:rPr>
          <w:color w:val="000000" w:themeColor="text1"/>
        </w:rPr>
        <w:t>was significantly lower for</w:t>
      </w:r>
      <w:r w:rsidRPr="00697D58">
        <w:rPr>
          <w:color w:val="000000" w:themeColor="text1"/>
        </w:rPr>
        <w:t xml:space="preserve"> </w:t>
      </w:r>
      <w:r>
        <w:rPr>
          <w:color w:val="000000" w:themeColor="text1"/>
        </w:rPr>
        <w:t xml:space="preserve">patients initially treated with </w:t>
      </w:r>
      <w:r w:rsidRPr="00697D58">
        <w:rPr>
          <w:color w:val="000000" w:themeColor="text1"/>
        </w:rPr>
        <w:t>alemtuzumab</w:t>
      </w:r>
      <w:r>
        <w:rPr>
          <w:color w:val="000000" w:themeColor="text1"/>
        </w:rPr>
        <w:t xml:space="preserve"> (n=44) </w:t>
      </w:r>
      <w:r w:rsidRPr="00697D58">
        <w:rPr>
          <w:color w:val="000000" w:themeColor="text1"/>
        </w:rPr>
        <w:t xml:space="preserve">compared to untreated patients </w:t>
      </w:r>
      <w:r>
        <w:rPr>
          <w:color w:val="000000" w:themeColor="text1"/>
        </w:rPr>
        <w:t>(n=92) (</w:t>
      </w:r>
      <w:r w:rsidRPr="00697D58">
        <w:rPr>
          <w:color w:val="000000" w:themeColor="text1"/>
        </w:rPr>
        <w:t>0</w:t>
      </w:r>
      <w:r>
        <w:rPr>
          <w:color w:val="000000" w:themeColor="text1"/>
        </w:rPr>
        <w:t>.</w:t>
      </w:r>
      <w:r w:rsidRPr="00697D58">
        <w:rPr>
          <w:color w:val="000000" w:themeColor="text1"/>
        </w:rPr>
        <w:t>52 (95%CI 0</w:t>
      </w:r>
      <w:r>
        <w:rPr>
          <w:color w:val="000000" w:themeColor="text1"/>
        </w:rPr>
        <w:t>.</w:t>
      </w:r>
      <w:r w:rsidRPr="00697D58">
        <w:rPr>
          <w:color w:val="000000" w:themeColor="text1"/>
        </w:rPr>
        <w:t>32−0</w:t>
      </w:r>
      <w:r>
        <w:rPr>
          <w:color w:val="000000" w:themeColor="text1"/>
        </w:rPr>
        <w:t>.</w:t>
      </w:r>
      <w:r w:rsidRPr="00697D58">
        <w:rPr>
          <w:color w:val="000000" w:themeColor="text1"/>
        </w:rPr>
        <w:t>85), p=0</w:t>
      </w:r>
      <w:r>
        <w:rPr>
          <w:color w:val="000000" w:themeColor="text1"/>
        </w:rPr>
        <w:t>.</w:t>
      </w:r>
      <w:r w:rsidRPr="00697D58">
        <w:rPr>
          <w:color w:val="000000" w:themeColor="text1"/>
        </w:rPr>
        <w:t>009; median censored follow-up 7</w:t>
      </w:r>
      <w:r>
        <w:rPr>
          <w:color w:val="000000" w:themeColor="text1"/>
        </w:rPr>
        <w:t>.</w:t>
      </w:r>
      <w:r w:rsidRPr="00697D58">
        <w:rPr>
          <w:color w:val="000000" w:themeColor="text1"/>
        </w:rPr>
        <w:t xml:space="preserve">4 </w:t>
      </w:r>
      <w:r w:rsidRPr="00995EEB">
        <w:rPr>
          <w:shd w:val="clear" w:color="auto" w:fill="FFFFFF"/>
        </w:rPr>
        <w:t xml:space="preserve">(IQR </w:t>
      </w:r>
      <w:r w:rsidRPr="00B15DCF">
        <w:lastRenderedPageBreak/>
        <w:t>6.0-8.6</w:t>
      </w:r>
      <w:r w:rsidRPr="00995EEB">
        <w:rPr>
          <w:shd w:val="clear" w:color="auto" w:fill="FFFFFF"/>
        </w:rPr>
        <w:t>)</w:t>
      </w:r>
      <w:r>
        <w:rPr>
          <w:shd w:val="clear" w:color="auto" w:fill="FFFFFF"/>
        </w:rPr>
        <w:t xml:space="preserve"> </w:t>
      </w:r>
      <w:r w:rsidRPr="00697D58">
        <w:rPr>
          <w:color w:val="000000" w:themeColor="text1"/>
        </w:rPr>
        <w:t xml:space="preserve">years): at 5 years 10% vs 25% respectively had converted, while at 8 years 21% vs 41% had converted (Table 1, Figure 2D). </w:t>
      </w:r>
    </w:p>
    <w:p w14:paraId="364BA083" w14:textId="27FF9435" w:rsidR="00575022" w:rsidRPr="00697D58" w:rsidRDefault="00575022" w:rsidP="00B619C5">
      <w:pPr>
        <w:spacing w:line="480" w:lineRule="auto"/>
        <w:rPr>
          <w:color w:val="FF0000"/>
        </w:rPr>
      </w:pPr>
      <w:r w:rsidRPr="00697D58">
        <w:rPr>
          <w:color w:val="000000" w:themeColor="text1"/>
        </w:rPr>
        <w:t xml:space="preserve">The probability of converting to SPMS was </w:t>
      </w:r>
      <w:r>
        <w:rPr>
          <w:color w:val="000000" w:themeColor="text1"/>
        </w:rPr>
        <w:t xml:space="preserve">significantly </w:t>
      </w:r>
      <w:r w:rsidRPr="00697D58">
        <w:rPr>
          <w:color w:val="000000" w:themeColor="text1"/>
        </w:rPr>
        <w:t xml:space="preserve">lower for patients </w:t>
      </w:r>
      <w:r>
        <w:rPr>
          <w:color w:val="000000" w:themeColor="text1"/>
        </w:rPr>
        <w:t>initially receiving</w:t>
      </w:r>
      <w:r w:rsidRPr="00697D58">
        <w:rPr>
          <w:color w:val="000000" w:themeColor="text1"/>
        </w:rPr>
        <w:t xml:space="preserve"> </w:t>
      </w:r>
      <w:r w:rsidR="006408F9">
        <w:rPr>
          <w:color w:val="000000" w:themeColor="text1"/>
        </w:rPr>
        <w:t xml:space="preserve">ß-IFN|GA </w:t>
      </w:r>
      <w:r w:rsidRPr="00697D58">
        <w:rPr>
          <w:color w:val="000000" w:themeColor="text1"/>
        </w:rPr>
        <w:t xml:space="preserve">within 5 years of </w:t>
      </w:r>
      <w:r>
        <w:rPr>
          <w:color w:val="000000" w:themeColor="text1"/>
        </w:rPr>
        <w:t>disease onset</w:t>
      </w:r>
      <w:r w:rsidRPr="00697D58">
        <w:rPr>
          <w:color w:val="000000" w:themeColor="text1"/>
        </w:rPr>
        <w:t xml:space="preserve"> </w:t>
      </w:r>
      <w:r>
        <w:rPr>
          <w:color w:val="000000" w:themeColor="text1"/>
        </w:rPr>
        <w:t xml:space="preserve">(n=120) </w:t>
      </w:r>
      <w:r w:rsidRPr="00697D58">
        <w:rPr>
          <w:color w:val="000000" w:themeColor="text1"/>
        </w:rPr>
        <w:t xml:space="preserve">compared to matched patients treated </w:t>
      </w:r>
      <w:r w:rsidR="00656CCF">
        <w:rPr>
          <w:color w:val="000000" w:themeColor="text1"/>
        </w:rPr>
        <w:t xml:space="preserve">with </w:t>
      </w:r>
      <w:r w:rsidR="006408F9">
        <w:rPr>
          <w:color w:val="000000" w:themeColor="text1"/>
        </w:rPr>
        <w:t xml:space="preserve">ß-IFN|GA </w:t>
      </w:r>
      <w:r>
        <w:rPr>
          <w:color w:val="000000" w:themeColor="text1"/>
        </w:rPr>
        <w:t>later (n=38)</w:t>
      </w:r>
      <w:r w:rsidRPr="00697D58">
        <w:rPr>
          <w:color w:val="000000" w:themeColor="text1"/>
        </w:rPr>
        <w:t xml:space="preserve"> </w:t>
      </w:r>
      <w:r w:rsidRPr="008E2EB9">
        <w:rPr>
          <w:color w:val="000000" w:themeColor="text1"/>
        </w:rPr>
        <w:t>(HR 0</w:t>
      </w:r>
      <w:r>
        <w:rPr>
          <w:color w:val="000000" w:themeColor="text1"/>
        </w:rPr>
        <w:t>.77</w:t>
      </w:r>
      <w:r w:rsidRPr="008E2EB9">
        <w:rPr>
          <w:color w:val="000000" w:themeColor="text1"/>
        </w:rPr>
        <w:t xml:space="preserve"> (95%CI 0</w:t>
      </w:r>
      <w:r>
        <w:rPr>
          <w:color w:val="000000" w:themeColor="text1"/>
        </w:rPr>
        <w:t>.61</w:t>
      </w:r>
      <w:r w:rsidRPr="008E2EB9">
        <w:rPr>
          <w:color w:val="000000" w:themeColor="text1"/>
        </w:rPr>
        <w:t>-0</w:t>
      </w:r>
      <w:r>
        <w:rPr>
          <w:color w:val="000000" w:themeColor="text1"/>
        </w:rPr>
        <w:t>.98</w:t>
      </w:r>
      <w:r w:rsidRPr="008E2EB9">
        <w:rPr>
          <w:color w:val="000000" w:themeColor="text1"/>
        </w:rPr>
        <w:t>), p</w:t>
      </w:r>
      <w:r>
        <w:rPr>
          <w:color w:val="000000" w:themeColor="text1"/>
        </w:rPr>
        <w:t>=0.03</w:t>
      </w:r>
      <w:r w:rsidRPr="008E2EB9">
        <w:rPr>
          <w:color w:val="000000" w:themeColor="text1"/>
        </w:rPr>
        <w:t>)</w:t>
      </w:r>
      <w:r>
        <w:rPr>
          <w:color w:val="000000" w:themeColor="text1"/>
        </w:rPr>
        <w:t xml:space="preserve">, </w:t>
      </w:r>
      <w:r w:rsidRPr="00697D58">
        <w:rPr>
          <w:color w:val="000000" w:themeColor="text1"/>
        </w:rPr>
        <w:t xml:space="preserve">median censored follow-up </w:t>
      </w:r>
      <w:r>
        <w:rPr>
          <w:color w:val="000000" w:themeColor="text1"/>
        </w:rPr>
        <w:t xml:space="preserve">13.4 </w:t>
      </w:r>
      <w:r w:rsidRPr="00995EEB">
        <w:rPr>
          <w:color w:val="000000" w:themeColor="text1"/>
        </w:rPr>
        <w:t xml:space="preserve">(IQR </w:t>
      </w:r>
      <w:r w:rsidRPr="00B15DCF">
        <w:t>11-18.1</w:t>
      </w:r>
      <w:r w:rsidRPr="00995EEB">
        <w:rPr>
          <w:color w:val="000000" w:themeColor="text1"/>
        </w:rPr>
        <w:t xml:space="preserve">) </w:t>
      </w:r>
      <w:r w:rsidRPr="00697D58">
        <w:rPr>
          <w:color w:val="000000" w:themeColor="text1"/>
        </w:rPr>
        <w:t>years</w:t>
      </w:r>
      <w:r>
        <w:rPr>
          <w:color w:val="000000" w:themeColor="text1"/>
        </w:rPr>
        <w:t xml:space="preserve">. </w:t>
      </w:r>
      <w:r w:rsidRPr="001213BB">
        <w:rPr>
          <w:color w:val="000000" w:themeColor="text1"/>
        </w:rPr>
        <w:t xml:space="preserve">Five years after baseline </w:t>
      </w:r>
      <w:r w:rsidRPr="00986FAD">
        <w:rPr>
          <w:color w:val="000000" w:themeColor="text1"/>
        </w:rPr>
        <w:t>3</w:t>
      </w:r>
      <w:r w:rsidRPr="001213BB">
        <w:rPr>
          <w:color w:val="000000" w:themeColor="text1"/>
        </w:rPr>
        <w:t>% vs 6%, respectively, had converted to SPMS, while at 17 years 29% vs 47% had converted (Figure 3A).</w:t>
      </w:r>
      <w:r w:rsidRPr="00697D58">
        <w:rPr>
          <w:color w:val="000000" w:themeColor="text1"/>
        </w:rPr>
        <w:t xml:space="preserve"> </w:t>
      </w:r>
      <w:r w:rsidR="007A5B45">
        <w:rPr>
          <w:color w:val="000000" w:themeColor="text1"/>
        </w:rPr>
        <w:t>Including</w:t>
      </w:r>
      <w:r w:rsidRPr="00697D58">
        <w:t xml:space="preserve"> patients </w:t>
      </w:r>
      <w:r>
        <w:t>escalated</w:t>
      </w:r>
      <w:r w:rsidRPr="00697D58">
        <w:t xml:space="preserve"> to </w:t>
      </w:r>
      <w:r w:rsidRPr="001658D5">
        <w:t>mitoxantrone</w:t>
      </w:r>
      <w:r>
        <w:t xml:space="preserve"> </w:t>
      </w:r>
      <w:r w:rsidR="007A5B45">
        <w:t>did no</w:t>
      </w:r>
      <w:r w:rsidR="00C37E4C">
        <w:t>t</w:t>
      </w:r>
      <w:r w:rsidR="007A5B45">
        <w:t xml:space="preserve"> materially alter the results</w:t>
      </w:r>
      <w:r w:rsidRPr="001658D5">
        <w:t xml:space="preserve"> (HR 0</w:t>
      </w:r>
      <w:r w:rsidRPr="001658D5">
        <w:rPr>
          <w:color w:val="000000" w:themeColor="text1"/>
        </w:rPr>
        <w:t>.</w:t>
      </w:r>
      <w:r w:rsidRPr="00986FAD">
        <w:t>8</w:t>
      </w:r>
      <w:r>
        <w:t>2</w:t>
      </w:r>
      <w:r w:rsidRPr="001658D5">
        <w:t xml:space="preserve"> (95%CI 0</w:t>
      </w:r>
      <w:r w:rsidRPr="001658D5">
        <w:rPr>
          <w:color w:val="000000" w:themeColor="text1"/>
        </w:rPr>
        <w:t>.</w:t>
      </w:r>
      <w:r w:rsidRPr="00986FAD">
        <w:t>67</w:t>
      </w:r>
      <w:r w:rsidRPr="001658D5">
        <w:t>-</w:t>
      </w:r>
      <w:r>
        <w:t>1</w:t>
      </w:r>
      <w:r w:rsidRPr="001658D5">
        <w:rPr>
          <w:color w:val="000000" w:themeColor="text1"/>
        </w:rPr>
        <w:t>.</w:t>
      </w:r>
      <w:r>
        <w:t>00</w:t>
      </w:r>
      <w:r w:rsidRPr="001658D5">
        <w:t>), p=0</w:t>
      </w:r>
      <w:r w:rsidRPr="001658D5">
        <w:rPr>
          <w:color w:val="000000" w:themeColor="text1"/>
        </w:rPr>
        <w:t>.</w:t>
      </w:r>
      <w:r w:rsidR="007A5B45" w:rsidRPr="001658D5">
        <w:t>0</w:t>
      </w:r>
      <w:r w:rsidR="007A5B45">
        <w:t>5</w:t>
      </w:r>
      <w:r w:rsidRPr="001658D5">
        <w:t xml:space="preserve">). </w:t>
      </w:r>
      <w:r w:rsidRPr="001658D5">
        <w:rPr>
          <w:color w:val="000000" w:themeColor="text1"/>
        </w:rPr>
        <w:t xml:space="preserve">The probability of converting to SPMS was </w:t>
      </w:r>
      <w:r>
        <w:rPr>
          <w:color w:val="000000" w:themeColor="text1"/>
        </w:rPr>
        <w:t xml:space="preserve">significantly </w:t>
      </w:r>
      <w:r w:rsidRPr="001658D5">
        <w:rPr>
          <w:color w:val="000000" w:themeColor="text1"/>
        </w:rPr>
        <w:t>lower wh</w:t>
      </w:r>
      <w:r>
        <w:rPr>
          <w:color w:val="000000" w:themeColor="text1"/>
        </w:rPr>
        <w:t>en</w:t>
      </w:r>
      <w:r w:rsidRPr="00697D58">
        <w:rPr>
          <w:color w:val="000000" w:themeColor="text1"/>
        </w:rPr>
        <w:t xml:space="preserve"> </w:t>
      </w:r>
      <w:r>
        <w:rPr>
          <w:color w:val="000000" w:themeColor="text1"/>
        </w:rPr>
        <w:t xml:space="preserve">initial treatment with </w:t>
      </w:r>
      <w:r w:rsidR="006408F9">
        <w:rPr>
          <w:color w:val="000000" w:themeColor="text1"/>
        </w:rPr>
        <w:t xml:space="preserve">ß-IFN|GA </w:t>
      </w:r>
      <w:r>
        <w:rPr>
          <w:color w:val="000000" w:themeColor="text1"/>
        </w:rPr>
        <w:t>was</w:t>
      </w:r>
      <w:r w:rsidRPr="00697D58">
        <w:rPr>
          <w:color w:val="000000" w:themeColor="text1"/>
        </w:rPr>
        <w:t xml:space="preserve"> </w:t>
      </w:r>
      <w:r>
        <w:rPr>
          <w:color w:val="000000" w:themeColor="text1"/>
        </w:rPr>
        <w:t xml:space="preserve">commenced </w:t>
      </w:r>
      <w:r w:rsidRPr="00697D58">
        <w:rPr>
          <w:color w:val="000000" w:themeColor="text1"/>
        </w:rPr>
        <w:t xml:space="preserve">within 5 years of </w:t>
      </w:r>
      <w:r>
        <w:rPr>
          <w:color w:val="000000" w:themeColor="text1"/>
        </w:rPr>
        <w:t>disease onset</w:t>
      </w:r>
      <w:r w:rsidRPr="00697D58">
        <w:rPr>
          <w:color w:val="000000" w:themeColor="text1"/>
        </w:rPr>
        <w:t xml:space="preserve"> </w:t>
      </w:r>
      <w:r>
        <w:rPr>
          <w:color w:val="000000" w:themeColor="text1"/>
        </w:rPr>
        <w:t xml:space="preserve">(n=164) </w:t>
      </w:r>
      <w:r w:rsidRPr="00697D58">
        <w:rPr>
          <w:color w:val="000000" w:themeColor="text1"/>
        </w:rPr>
        <w:t xml:space="preserve">compared to untreated patients </w:t>
      </w:r>
      <w:r>
        <w:rPr>
          <w:color w:val="000000" w:themeColor="text1"/>
        </w:rPr>
        <w:t xml:space="preserve">(n=104) </w:t>
      </w:r>
      <w:r w:rsidRPr="00697D58">
        <w:rPr>
          <w:color w:val="000000" w:themeColor="text1"/>
        </w:rPr>
        <w:t>(</w:t>
      </w:r>
      <w:r w:rsidRPr="008E2EB9">
        <w:rPr>
          <w:color w:val="000000" w:themeColor="text1"/>
        </w:rPr>
        <w:t>HR 0</w:t>
      </w:r>
      <w:r>
        <w:rPr>
          <w:color w:val="000000" w:themeColor="text1"/>
        </w:rPr>
        <w:t>.</w:t>
      </w:r>
      <w:r w:rsidRPr="008E2EB9">
        <w:rPr>
          <w:color w:val="000000" w:themeColor="text1"/>
        </w:rPr>
        <w:t>26 (95%CI 0</w:t>
      </w:r>
      <w:r>
        <w:rPr>
          <w:color w:val="000000" w:themeColor="text1"/>
        </w:rPr>
        <w:t>.</w:t>
      </w:r>
      <w:r w:rsidRPr="008E2EB9">
        <w:rPr>
          <w:color w:val="000000" w:themeColor="text1"/>
        </w:rPr>
        <w:t>15-0</w:t>
      </w:r>
      <w:r>
        <w:rPr>
          <w:color w:val="000000" w:themeColor="text1"/>
        </w:rPr>
        <w:t>.</w:t>
      </w:r>
      <w:r w:rsidRPr="008E2EB9">
        <w:rPr>
          <w:color w:val="000000" w:themeColor="text1"/>
        </w:rPr>
        <w:t>45), p&lt;0</w:t>
      </w:r>
      <w:r>
        <w:rPr>
          <w:color w:val="000000" w:themeColor="text1"/>
        </w:rPr>
        <w:t>.</w:t>
      </w:r>
      <w:r w:rsidRPr="008E2EB9">
        <w:rPr>
          <w:color w:val="000000" w:themeColor="text1"/>
        </w:rPr>
        <w:t>001</w:t>
      </w:r>
      <w:r w:rsidRPr="00697D58">
        <w:rPr>
          <w:color w:val="000000" w:themeColor="text1"/>
        </w:rPr>
        <w:t>) with the difference increasing proportionally throughout the 1</w:t>
      </w:r>
      <w:r>
        <w:rPr>
          <w:color w:val="000000" w:themeColor="text1"/>
        </w:rPr>
        <w:t>1</w:t>
      </w:r>
      <w:r w:rsidRPr="00697D58">
        <w:rPr>
          <w:color w:val="000000" w:themeColor="text1"/>
        </w:rPr>
        <w:t xml:space="preserve"> years of follow-up (corresponding to 1</w:t>
      </w:r>
      <w:r>
        <w:rPr>
          <w:color w:val="000000" w:themeColor="text1"/>
        </w:rPr>
        <w:t>4</w:t>
      </w:r>
      <w:r w:rsidRPr="00697D58">
        <w:rPr>
          <w:color w:val="000000" w:themeColor="text1"/>
        </w:rPr>
        <w:t xml:space="preserve"> </w:t>
      </w:r>
      <w:r>
        <w:rPr>
          <w:color w:val="000000" w:themeColor="text1"/>
        </w:rPr>
        <w:t>years</w:t>
      </w:r>
      <w:r w:rsidRPr="00697D58">
        <w:rPr>
          <w:color w:val="000000" w:themeColor="text1"/>
        </w:rPr>
        <w:t xml:space="preserve"> disease duration (Figure 3B))</w:t>
      </w:r>
      <w:r w:rsidRPr="008E2EB9">
        <w:rPr>
          <w:color w:val="000000" w:themeColor="text1"/>
        </w:rPr>
        <w:t xml:space="preserve">. </w:t>
      </w:r>
      <w:r>
        <w:rPr>
          <w:color w:val="000000" w:themeColor="text1"/>
        </w:rPr>
        <w:t xml:space="preserve">In contrast, the significantly lower probability of conversion following initial treatment with </w:t>
      </w:r>
      <w:r w:rsidR="006408F9">
        <w:rPr>
          <w:color w:val="000000" w:themeColor="text1"/>
        </w:rPr>
        <w:t xml:space="preserve">ß-IFN|GA </w:t>
      </w:r>
      <w:r>
        <w:rPr>
          <w:color w:val="000000" w:themeColor="text1"/>
        </w:rPr>
        <w:t xml:space="preserve">commencing </w:t>
      </w:r>
      <w:r w:rsidRPr="00697D58">
        <w:rPr>
          <w:color w:val="000000" w:themeColor="text1"/>
        </w:rPr>
        <w:t>5</w:t>
      </w:r>
      <w:r>
        <w:rPr>
          <w:color w:val="000000" w:themeColor="text1"/>
        </w:rPr>
        <w:t>-</w:t>
      </w:r>
      <w:r w:rsidRPr="00697D58">
        <w:rPr>
          <w:color w:val="000000" w:themeColor="text1"/>
        </w:rPr>
        <w:t xml:space="preserve">10 years after </w:t>
      </w:r>
      <w:r>
        <w:rPr>
          <w:color w:val="000000" w:themeColor="text1"/>
        </w:rPr>
        <w:t>disease onset (n=95)</w:t>
      </w:r>
      <w:r w:rsidRPr="00697D58">
        <w:rPr>
          <w:color w:val="000000" w:themeColor="text1"/>
        </w:rPr>
        <w:t xml:space="preserve"> </w:t>
      </w:r>
      <w:r>
        <w:rPr>
          <w:color w:val="000000" w:themeColor="text1"/>
        </w:rPr>
        <w:t>compared</w:t>
      </w:r>
      <w:r w:rsidRPr="00697D58">
        <w:rPr>
          <w:color w:val="000000" w:themeColor="text1"/>
        </w:rPr>
        <w:t xml:space="preserve"> to untreated patients</w:t>
      </w:r>
      <w:r>
        <w:rPr>
          <w:color w:val="000000" w:themeColor="text1"/>
        </w:rPr>
        <w:t xml:space="preserve"> (n=158, </w:t>
      </w:r>
      <w:r w:rsidRPr="008E2EB9">
        <w:rPr>
          <w:color w:val="000000" w:themeColor="text1"/>
        </w:rPr>
        <w:t>HR 0</w:t>
      </w:r>
      <w:r>
        <w:rPr>
          <w:color w:val="000000" w:themeColor="text1"/>
        </w:rPr>
        <w:t>.</w:t>
      </w:r>
      <w:r w:rsidRPr="008E2EB9">
        <w:rPr>
          <w:color w:val="000000" w:themeColor="text1"/>
        </w:rPr>
        <w:t>67 (95%CI 0</w:t>
      </w:r>
      <w:r>
        <w:rPr>
          <w:color w:val="000000" w:themeColor="text1"/>
        </w:rPr>
        <w:t>.</w:t>
      </w:r>
      <w:r w:rsidRPr="008E2EB9">
        <w:rPr>
          <w:color w:val="000000" w:themeColor="text1"/>
        </w:rPr>
        <w:t>51-0</w:t>
      </w:r>
      <w:r>
        <w:rPr>
          <w:color w:val="000000" w:themeColor="text1"/>
        </w:rPr>
        <w:t>.</w:t>
      </w:r>
      <w:r w:rsidRPr="008E2EB9">
        <w:rPr>
          <w:color w:val="000000" w:themeColor="text1"/>
        </w:rPr>
        <w:t>8</w:t>
      </w:r>
      <w:r>
        <w:rPr>
          <w:color w:val="000000" w:themeColor="text1"/>
        </w:rPr>
        <w:t>7</w:t>
      </w:r>
      <w:r w:rsidRPr="008E2EB9">
        <w:rPr>
          <w:color w:val="000000" w:themeColor="text1"/>
        </w:rPr>
        <w:t>), p=0</w:t>
      </w:r>
      <w:r>
        <w:rPr>
          <w:color w:val="000000" w:themeColor="text1"/>
        </w:rPr>
        <w:t>.</w:t>
      </w:r>
      <w:r w:rsidRPr="008E2EB9">
        <w:rPr>
          <w:color w:val="000000" w:themeColor="text1"/>
        </w:rPr>
        <w:t>003</w:t>
      </w:r>
      <w:r>
        <w:rPr>
          <w:color w:val="000000" w:themeColor="text1"/>
        </w:rPr>
        <w:t xml:space="preserve">) </w:t>
      </w:r>
      <w:r w:rsidRPr="00697D58">
        <w:rPr>
          <w:color w:val="000000" w:themeColor="text1"/>
        </w:rPr>
        <w:t xml:space="preserve">waned </w:t>
      </w:r>
      <w:r>
        <w:rPr>
          <w:color w:val="000000" w:themeColor="text1"/>
        </w:rPr>
        <w:t>after</w:t>
      </w:r>
      <w:r w:rsidRPr="00697D58">
        <w:rPr>
          <w:color w:val="000000" w:themeColor="text1"/>
        </w:rPr>
        <w:t xml:space="preserve"> 5 years </w:t>
      </w:r>
      <w:r>
        <w:rPr>
          <w:color w:val="000000" w:themeColor="text1"/>
        </w:rPr>
        <w:t xml:space="preserve">of </w:t>
      </w:r>
      <w:r w:rsidRPr="00697D58">
        <w:rPr>
          <w:color w:val="000000" w:themeColor="text1"/>
        </w:rPr>
        <w:t>treatment (disease duration 11</w:t>
      </w:r>
      <w:r>
        <w:rPr>
          <w:color w:val="000000" w:themeColor="text1"/>
        </w:rPr>
        <w:t>.</w:t>
      </w:r>
      <w:r w:rsidRPr="00697D58">
        <w:rPr>
          <w:color w:val="000000" w:themeColor="text1"/>
        </w:rPr>
        <w:t>8 years) and disappeared at 7</w:t>
      </w:r>
      <w:r>
        <w:rPr>
          <w:color w:val="000000" w:themeColor="text1"/>
        </w:rPr>
        <w:t>.</w:t>
      </w:r>
      <w:r w:rsidRPr="00697D58">
        <w:rPr>
          <w:color w:val="000000" w:themeColor="text1"/>
        </w:rPr>
        <w:t>8 years (disease duration 14</w:t>
      </w:r>
      <w:r>
        <w:rPr>
          <w:color w:val="000000" w:themeColor="text1"/>
        </w:rPr>
        <w:t>.</w:t>
      </w:r>
      <w:r w:rsidRPr="00697D58">
        <w:rPr>
          <w:color w:val="000000" w:themeColor="text1"/>
        </w:rPr>
        <w:t>6 years, Figure 3C))</w:t>
      </w:r>
      <w:r w:rsidRPr="008E2EB9">
        <w:rPr>
          <w:color w:val="000000" w:themeColor="text1"/>
        </w:rPr>
        <w:t xml:space="preserve">. </w:t>
      </w:r>
      <w:r w:rsidRPr="00697D58">
        <w:rPr>
          <w:color w:val="000000" w:themeColor="text1"/>
        </w:rPr>
        <w:t xml:space="preserve">The probability of converting to SPMS was </w:t>
      </w:r>
      <w:r>
        <w:rPr>
          <w:color w:val="000000" w:themeColor="text1"/>
        </w:rPr>
        <w:t xml:space="preserve">significantly </w:t>
      </w:r>
      <w:r w:rsidRPr="00697D58">
        <w:rPr>
          <w:color w:val="000000" w:themeColor="text1"/>
        </w:rPr>
        <w:t xml:space="preserve">lower for patients escalated from </w:t>
      </w:r>
      <w:r w:rsidR="006408F9">
        <w:t xml:space="preserve">ß-IFN|GA </w:t>
      </w:r>
      <w:r w:rsidRPr="00697D58">
        <w:rPr>
          <w:color w:val="000000" w:themeColor="text1"/>
        </w:rPr>
        <w:t xml:space="preserve">to </w:t>
      </w:r>
      <w:r w:rsidR="006408F9">
        <w:rPr>
          <w:color w:val="000000" w:themeColor="text1"/>
        </w:rPr>
        <w:t>F|A|N</w:t>
      </w:r>
      <w:r w:rsidRPr="00697D58">
        <w:rPr>
          <w:color w:val="000000" w:themeColor="text1"/>
        </w:rPr>
        <w:t xml:space="preserve"> within 5 years of </w:t>
      </w:r>
      <w:r>
        <w:rPr>
          <w:color w:val="000000" w:themeColor="text1"/>
        </w:rPr>
        <w:t>disease onset</w:t>
      </w:r>
      <w:r w:rsidRPr="00697D58">
        <w:rPr>
          <w:color w:val="000000" w:themeColor="text1"/>
        </w:rPr>
        <w:t xml:space="preserve"> </w:t>
      </w:r>
      <w:r>
        <w:rPr>
          <w:color w:val="000000" w:themeColor="text1"/>
        </w:rPr>
        <w:t xml:space="preserve">(n=307) </w:t>
      </w:r>
      <w:r w:rsidRPr="00697D58">
        <w:rPr>
          <w:color w:val="000000" w:themeColor="text1"/>
        </w:rPr>
        <w:t xml:space="preserve">compared to matched patients escalated </w:t>
      </w:r>
      <w:r>
        <w:rPr>
          <w:color w:val="000000" w:themeColor="text1"/>
        </w:rPr>
        <w:t>later</w:t>
      </w:r>
      <w:r w:rsidRPr="00697D58">
        <w:rPr>
          <w:color w:val="000000" w:themeColor="text1"/>
        </w:rPr>
        <w:t xml:space="preserve"> </w:t>
      </w:r>
      <w:r>
        <w:rPr>
          <w:color w:val="000000" w:themeColor="text1"/>
        </w:rPr>
        <w:t xml:space="preserve">(n=331, </w:t>
      </w:r>
      <w:r w:rsidRPr="008E2EB9">
        <w:rPr>
          <w:color w:val="000000" w:themeColor="text1"/>
        </w:rPr>
        <w:t>HR 0</w:t>
      </w:r>
      <w:r>
        <w:rPr>
          <w:color w:val="000000" w:themeColor="text1"/>
        </w:rPr>
        <w:t>.76</w:t>
      </w:r>
      <w:r w:rsidRPr="008E2EB9">
        <w:rPr>
          <w:color w:val="000000" w:themeColor="text1"/>
        </w:rPr>
        <w:t xml:space="preserve"> (95%CI 0</w:t>
      </w:r>
      <w:r>
        <w:rPr>
          <w:color w:val="000000" w:themeColor="text1"/>
        </w:rPr>
        <w:t>.66</w:t>
      </w:r>
      <w:r w:rsidRPr="008E2EB9">
        <w:rPr>
          <w:color w:val="000000" w:themeColor="text1"/>
        </w:rPr>
        <w:t>-0</w:t>
      </w:r>
      <w:r>
        <w:rPr>
          <w:color w:val="000000" w:themeColor="text1"/>
        </w:rPr>
        <w:t>.88</w:t>
      </w:r>
      <w:r w:rsidRPr="008E2EB9">
        <w:rPr>
          <w:color w:val="000000" w:themeColor="text1"/>
        </w:rPr>
        <w:t>), p&lt;0</w:t>
      </w:r>
      <w:r>
        <w:rPr>
          <w:color w:val="000000" w:themeColor="text1"/>
        </w:rPr>
        <w:t>.</w:t>
      </w:r>
      <w:r w:rsidRPr="008E2EB9">
        <w:rPr>
          <w:color w:val="000000" w:themeColor="text1"/>
        </w:rPr>
        <w:t>001</w:t>
      </w:r>
      <w:r>
        <w:rPr>
          <w:color w:val="000000" w:themeColor="text1"/>
        </w:rPr>
        <w:t xml:space="preserve">; </w:t>
      </w:r>
      <w:r w:rsidRPr="00697D58">
        <w:rPr>
          <w:color w:val="000000" w:themeColor="text1"/>
        </w:rPr>
        <w:t xml:space="preserve">median censored follow-up </w:t>
      </w:r>
      <w:r>
        <w:rPr>
          <w:color w:val="000000" w:themeColor="text1"/>
        </w:rPr>
        <w:t>5.3</w:t>
      </w:r>
      <w:r w:rsidRPr="00697D58">
        <w:rPr>
          <w:color w:val="000000" w:themeColor="text1"/>
        </w:rPr>
        <w:t xml:space="preserve"> </w:t>
      </w:r>
      <w:r w:rsidRPr="00995EEB">
        <w:rPr>
          <w:color w:val="000000" w:themeColor="text1"/>
        </w:rPr>
        <w:t>(IQR 4.6-6.1)</w:t>
      </w:r>
      <w:r>
        <w:rPr>
          <w:color w:val="000000" w:themeColor="text1"/>
        </w:rPr>
        <w:t xml:space="preserve"> </w:t>
      </w:r>
      <w:r w:rsidRPr="00697D58">
        <w:rPr>
          <w:color w:val="000000" w:themeColor="text1"/>
        </w:rPr>
        <w:t>years</w:t>
      </w:r>
      <w:r>
        <w:rPr>
          <w:color w:val="000000" w:themeColor="text1"/>
        </w:rPr>
        <w:t>): at</w:t>
      </w:r>
      <w:r w:rsidRPr="00697D58">
        <w:rPr>
          <w:color w:val="000000" w:themeColor="text1"/>
        </w:rPr>
        <w:t xml:space="preserve"> 5 years</w:t>
      </w:r>
      <w:r>
        <w:rPr>
          <w:color w:val="000000" w:themeColor="text1"/>
        </w:rPr>
        <w:t>,</w:t>
      </w:r>
      <w:r w:rsidRPr="00697D58">
        <w:rPr>
          <w:color w:val="000000" w:themeColor="text1"/>
        </w:rPr>
        <w:t xml:space="preserve"> </w:t>
      </w:r>
      <w:r>
        <w:rPr>
          <w:color w:val="000000" w:themeColor="text1"/>
        </w:rPr>
        <w:t>8</w:t>
      </w:r>
      <w:r w:rsidRPr="00697D58">
        <w:rPr>
          <w:color w:val="000000" w:themeColor="text1"/>
        </w:rPr>
        <w:t>% vs 1</w:t>
      </w:r>
      <w:r>
        <w:rPr>
          <w:color w:val="000000" w:themeColor="text1"/>
        </w:rPr>
        <w:t>4</w:t>
      </w:r>
      <w:r w:rsidRPr="00697D58">
        <w:rPr>
          <w:color w:val="000000" w:themeColor="text1"/>
        </w:rPr>
        <w:t xml:space="preserve">% respectively had converted while at </w:t>
      </w:r>
      <w:r>
        <w:rPr>
          <w:color w:val="000000" w:themeColor="text1"/>
        </w:rPr>
        <w:t>7</w:t>
      </w:r>
      <w:r w:rsidRPr="00697D58">
        <w:rPr>
          <w:color w:val="000000" w:themeColor="text1"/>
        </w:rPr>
        <w:t xml:space="preserve"> years</w:t>
      </w:r>
      <w:r>
        <w:rPr>
          <w:color w:val="000000" w:themeColor="text1"/>
        </w:rPr>
        <w:t>,</w:t>
      </w:r>
      <w:r w:rsidRPr="00697D58">
        <w:rPr>
          <w:color w:val="000000" w:themeColor="text1"/>
        </w:rPr>
        <w:t xml:space="preserve"> 1</w:t>
      </w:r>
      <w:r>
        <w:rPr>
          <w:color w:val="000000" w:themeColor="text1"/>
        </w:rPr>
        <w:t>4</w:t>
      </w:r>
      <w:r w:rsidRPr="00697D58">
        <w:rPr>
          <w:color w:val="000000" w:themeColor="text1"/>
        </w:rPr>
        <w:t xml:space="preserve">% vs </w:t>
      </w:r>
      <w:r>
        <w:rPr>
          <w:color w:val="000000" w:themeColor="text1"/>
        </w:rPr>
        <w:t>28</w:t>
      </w:r>
      <w:r w:rsidRPr="00697D58">
        <w:rPr>
          <w:color w:val="000000" w:themeColor="text1"/>
        </w:rPr>
        <w:t xml:space="preserve">% had converted (Figure 3D). </w:t>
      </w:r>
      <w:r w:rsidRPr="00697D58">
        <w:t xml:space="preserve">This </w:t>
      </w:r>
      <w:r>
        <w:t xml:space="preserve">difference </w:t>
      </w:r>
      <w:r w:rsidRPr="001213BB">
        <w:t xml:space="preserve">persisted when the alternative (7-year) definition of </w:t>
      </w:r>
      <w:r>
        <w:t xml:space="preserve">alemtuzumab </w:t>
      </w:r>
      <w:r w:rsidRPr="001213BB">
        <w:t>treatment duration was employed</w:t>
      </w:r>
      <w:r>
        <w:t xml:space="preserve"> in a sensitivity analysis</w:t>
      </w:r>
      <w:r w:rsidRPr="001213BB">
        <w:t xml:space="preserve"> (HR 0</w:t>
      </w:r>
      <w:r w:rsidRPr="001213BB">
        <w:rPr>
          <w:color w:val="000000" w:themeColor="text1"/>
        </w:rPr>
        <w:t>.</w:t>
      </w:r>
      <w:r w:rsidRPr="00986FAD">
        <w:t>78</w:t>
      </w:r>
      <w:r w:rsidRPr="001213BB">
        <w:t xml:space="preserve"> (95%CI 0</w:t>
      </w:r>
      <w:r w:rsidRPr="001213BB">
        <w:rPr>
          <w:color w:val="000000" w:themeColor="text1"/>
        </w:rPr>
        <w:t>.</w:t>
      </w:r>
      <w:r w:rsidRPr="00986FAD">
        <w:t>67</w:t>
      </w:r>
      <w:r w:rsidRPr="001213BB">
        <w:t>-0</w:t>
      </w:r>
      <w:r w:rsidRPr="001213BB">
        <w:rPr>
          <w:color w:val="000000" w:themeColor="text1"/>
        </w:rPr>
        <w:t>.</w:t>
      </w:r>
      <w:r w:rsidRPr="00986FAD">
        <w:t>9</w:t>
      </w:r>
      <w:r>
        <w:t>1</w:t>
      </w:r>
      <w:r w:rsidRPr="001213BB">
        <w:t>), p=0</w:t>
      </w:r>
      <w:r w:rsidRPr="001213BB">
        <w:rPr>
          <w:color w:val="000000" w:themeColor="text1"/>
        </w:rPr>
        <w:t>.</w:t>
      </w:r>
      <w:r w:rsidRPr="001213BB">
        <w:t>0</w:t>
      </w:r>
      <w:r w:rsidRPr="00986FAD">
        <w:t>01</w:t>
      </w:r>
      <w:r w:rsidRPr="001213BB">
        <w:t>).</w:t>
      </w:r>
    </w:p>
    <w:p w14:paraId="0E599570" w14:textId="245E7F06" w:rsidR="00575022" w:rsidRDefault="00575022" w:rsidP="00B619C5">
      <w:pPr>
        <w:spacing w:line="480" w:lineRule="auto"/>
        <w:rPr>
          <w:rFonts w:eastAsia="Calibri"/>
          <w:b/>
          <w:bCs/>
          <w:i/>
          <w:color w:val="000000" w:themeColor="text1"/>
          <w:sz w:val="26"/>
          <w:szCs w:val="26"/>
        </w:rPr>
      </w:pPr>
      <w:r w:rsidRPr="00697D58">
        <w:t xml:space="preserve">Patients </w:t>
      </w:r>
      <w:r>
        <w:t>initially receiving</w:t>
      </w:r>
      <w:r w:rsidRPr="00697D58">
        <w:t xml:space="preserve"> </w:t>
      </w:r>
      <w:r w:rsidR="006408F9">
        <w:t>F|A|N</w:t>
      </w:r>
      <w:r w:rsidRPr="00697D58">
        <w:t xml:space="preserve"> </w:t>
      </w:r>
      <w:r>
        <w:t xml:space="preserve">(n=235) </w:t>
      </w:r>
      <w:r w:rsidRPr="00697D58">
        <w:t xml:space="preserve">had a </w:t>
      </w:r>
      <w:r>
        <w:t xml:space="preserve">significantly </w:t>
      </w:r>
      <w:r w:rsidRPr="00697D58">
        <w:t xml:space="preserve">lower risk of conversion to SPMS than matched patients </w:t>
      </w:r>
      <w:r>
        <w:t>initially receiving</w:t>
      </w:r>
      <w:r w:rsidRPr="00697D58">
        <w:t xml:space="preserve"> </w:t>
      </w:r>
      <w:r w:rsidR="006408F9">
        <w:t xml:space="preserve">ß-IFN|GA </w:t>
      </w:r>
      <w:r>
        <w:t>(n=380)</w:t>
      </w:r>
      <w:r w:rsidRPr="00697D58">
        <w:t xml:space="preserve"> (</w:t>
      </w:r>
      <w:r w:rsidRPr="00697D58">
        <w:rPr>
          <w:color w:val="454545"/>
        </w:rPr>
        <w:t>HR 0</w:t>
      </w:r>
      <w:r>
        <w:rPr>
          <w:color w:val="454545"/>
        </w:rPr>
        <w:t>.</w:t>
      </w:r>
      <w:r w:rsidRPr="00697D58">
        <w:rPr>
          <w:color w:val="454545"/>
        </w:rPr>
        <w:t>66 (95% CI 0</w:t>
      </w:r>
      <w:r>
        <w:rPr>
          <w:color w:val="454545"/>
        </w:rPr>
        <w:t>.</w:t>
      </w:r>
      <w:r w:rsidRPr="00697D58">
        <w:rPr>
          <w:color w:val="454545"/>
        </w:rPr>
        <w:t>44-0</w:t>
      </w:r>
      <w:r>
        <w:rPr>
          <w:color w:val="454545"/>
        </w:rPr>
        <w:t>.</w:t>
      </w:r>
      <w:r w:rsidRPr="00697D58">
        <w:rPr>
          <w:color w:val="454545"/>
        </w:rPr>
        <w:t>99), p=0</w:t>
      </w:r>
      <w:r>
        <w:rPr>
          <w:color w:val="454545"/>
        </w:rPr>
        <w:t>.</w:t>
      </w:r>
      <w:r w:rsidRPr="00697D58">
        <w:rPr>
          <w:color w:val="454545"/>
        </w:rPr>
        <w:t>046</w:t>
      </w:r>
      <w:r>
        <w:rPr>
          <w:color w:val="000000" w:themeColor="text1"/>
        </w:rPr>
        <w:t>;</w:t>
      </w:r>
      <w:r w:rsidRPr="00697D58">
        <w:rPr>
          <w:color w:val="000000" w:themeColor="text1"/>
        </w:rPr>
        <w:t xml:space="preserve"> median censored follow-up </w:t>
      </w:r>
      <w:r>
        <w:rPr>
          <w:color w:val="000000" w:themeColor="text1"/>
        </w:rPr>
        <w:t>5.8</w:t>
      </w:r>
      <w:r w:rsidRPr="00697D58">
        <w:rPr>
          <w:color w:val="000000" w:themeColor="text1"/>
        </w:rPr>
        <w:t xml:space="preserve"> </w:t>
      </w:r>
      <w:r w:rsidRPr="00995EEB">
        <w:rPr>
          <w:color w:val="000000" w:themeColor="text1"/>
        </w:rPr>
        <w:t>(IQR 4.7-8.0)</w:t>
      </w:r>
      <w:r>
        <w:rPr>
          <w:color w:val="000000" w:themeColor="text1"/>
        </w:rPr>
        <w:t xml:space="preserve"> </w:t>
      </w:r>
      <w:r w:rsidRPr="00697D58">
        <w:rPr>
          <w:color w:val="000000" w:themeColor="text1"/>
        </w:rPr>
        <w:t>years</w:t>
      </w:r>
      <w:r>
        <w:rPr>
          <w:color w:val="000000" w:themeColor="text1"/>
        </w:rPr>
        <w:t>). At</w:t>
      </w:r>
      <w:r w:rsidRPr="00697D58">
        <w:t xml:space="preserve"> 5 years</w:t>
      </w:r>
      <w:r>
        <w:t>,</w:t>
      </w:r>
      <w:r w:rsidRPr="00697D58">
        <w:t xml:space="preserve"> 7% vs 12% respectively had converted, while at</w:t>
      </w:r>
      <w:r w:rsidRPr="008E2EB9">
        <w:t xml:space="preserve"> </w:t>
      </w:r>
      <w:r>
        <w:t>9</w:t>
      </w:r>
      <w:r w:rsidRPr="008E2EB9">
        <w:t xml:space="preserve"> years</w:t>
      </w:r>
      <w:r>
        <w:t>,</w:t>
      </w:r>
      <w:r w:rsidRPr="008E2EB9">
        <w:t xml:space="preserve"> 1</w:t>
      </w:r>
      <w:r>
        <w:t>6</w:t>
      </w:r>
      <w:r w:rsidRPr="008E2EB9">
        <w:t xml:space="preserve">% vs </w:t>
      </w:r>
      <w:r>
        <w:t>27</w:t>
      </w:r>
      <w:r w:rsidRPr="008E2EB9">
        <w:t>% respectively had converted (</w:t>
      </w:r>
      <w:r w:rsidRPr="00697D58">
        <w:t xml:space="preserve">Figure 4). This persisted </w:t>
      </w:r>
      <w:r>
        <w:t xml:space="preserve">in sensitivity analyses </w:t>
      </w:r>
      <w:r w:rsidRPr="00697D58">
        <w:t xml:space="preserve">when the alternative (7-year) definition of </w:t>
      </w:r>
      <w:r>
        <w:t xml:space="preserve">alemtuzumab </w:t>
      </w:r>
      <w:r w:rsidRPr="00697D58">
        <w:t xml:space="preserve">treatment duration was </w:t>
      </w:r>
      <w:r>
        <w:t>used</w:t>
      </w:r>
      <w:r w:rsidRPr="00697D58">
        <w:t xml:space="preserve"> (HR 0</w:t>
      </w:r>
      <w:r>
        <w:rPr>
          <w:color w:val="000000" w:themeColor="text1"/>
        </w:rPr>
        <w:t>.</w:t>
      </w:r>
      <w:r>
        <w:t>60</w:t>
      </w:r>
      <w:r w:rsidRPr="00697D58">
        <w:t xml:space="preserve"> </w:t>
      </w:r>
      <w:r w:rsidRPr="00697D58">
        <w:lastRenderedPageBreak/>
        <w:t>(95%CI 0</w:t>
      </w:r>
      <w:r>
        <w:rPr>
          <w:color w:val="000000" w:themeColor="text1"/>
        </w:rPr>
        <w:t>.</w:t>
      </w:r>
      <w:r w:rsidRPr="00697D58">
        <w:t>39-0</w:t>
      </w:r>
      <w:r>
        <w:rPr>
          <w:color w:val="000000" w:themeColor="text1"/>
        </w:rPr>
        <w:t>.</w:t>
      </w:r>
      <w:r w:rsidRPr="00697D58">
        <w:t>90), p=0</w:t>
      </w:r>
      <w:r>
        <w:rPr>
          <w:color w:val="000000" w:themeColor="text1"/>
        </w:rPr>
        <w:t>.</w:t>
      </w:r>
      <w:r w:rsidRPr="00697D58">
        <w:t>01</w:t>
      </w:r>
      <w:r>
        <w:t>)</w:t>
      </w:r>
      <w:r w:rsidRPr="00697D58">
        <w:t xml:space="preserve">; and when patients in the </w:t>
      </w:r>
      <w:r w:rsidR="006408F9">
        <w:t xml:space="preserve">ß-IFN|GA </w:t>
      </w:r>
      <w:r w:rsidRPr="00697D58">
        <w:t xml:space="preserve">group </w:t>
      </w:r>
      <w:r>
        <w:t>escalated</w:t>
      </w:r>
      <w:r w:rsidRPr="00697D58">
        <w:t xml:space="preserve"> to mitoxantrone</w:t>
      </w:r>
      <w:r>
        <w:t xml:space="preserve"> were included</w:t>
      </w:r>
      <w:r w:rsidRPr="00697D58">
        <w:t xml:space="preserve"> (HR 0</w:t>
      </w:r>
      <w:r>
        <w:rPr>
          <w:color w:val="000000" w:themeColor="text1"/>
        </w:rPr>
        <w:t>.</w:t>
      </w:r>
      <w:r w:rsidRPr="00697D58">
        <w:t>8</w:t>
      </w:r>
      <w:r>
        <w:t>8</w:t>
      </w:r>
      <w:r w:rsidRPr="00697D58">
        <w:t xml:space="preserve"> (95%CI 0</w:t>
      </w:r>
      <w:r>
        <w:rPr>
          <w:color w:val="000000" w:themeColor="text1"/>
        </w:rPr>
        <w:t>.</w:t>
      </w:r>
      <w:r w:rsidRPr="00697D58">
        <w:t>84-0</w:t>
      </w:r>
      <w:r>
        <w:rPr>
          <w:color w:val="000000" w:themeColor="text1"/>
        </w:rPr>
        <w:t>.</w:t>
      </w:r>
      <w:r w:rsidRPr="00697D58">
        <w:t>91), p&lt;0</w:t>
      </w:r>
      <w:r>
        <w:rPr>
          <w:color w:val="000000" w:themeColor="text1"/>
        </w:rPr>
        <w:t>.</w:t>
      </w:r>
      <w:r w:rsidRPr="00697D58">
        <w:t>001).</w:t>
      </w:r>
      <w:r>
        <w:br w:type="page"/>
      </w:r>
    </w:p>
    <w:p w14:paraId="1DC6A6FB" w14:textId="77777777" w:rsidR="00575022" w:rsidRPr="008E2EB9" w:rsidRDefault="00575022" w:rsidP="00B619C5">
      <w:pPr>
        <w:pStyle w:val="Heading2"/>
      </w:pPr>
      <w:r w:rsidRPr="008E2EB9">
        <w:lastRenderedPageBreak/>
        <w:t>Discussion</w:t>
      </w:r>
    </w:p>
    <w:p w14:paraId="6900B4FC" w14:textId="00C24E73" w:rsidR="00575022" w:rsidRPr="00697D58" w:rsidRDefault="00575022" w:rsidP="00B619C5">
      <w:pPr>
        <w:spacing w:line="480" w:lineRule="auto"/>
      </w:pPr>
      <w:r>
        <w:t>In this observational cohort study that used prospectively-collected clinical data, initial treatment with</w:t>
      </w:r>
      <w:r w:rsidRPr="00697D58">
        <w:t xml:space="preserve"> fingolimod, </w:t>
      </w:r>
      <w:r>
        <w:t xml:space="preserve">alemtuzumab or </w:t>
      </w:r>
      <w:r w:rsidRPr="00697D58">
        <w:t xml:space="preserve">natalizumab </w:t>
      </w:r>
      <w:r>
        <w:t>(</w:t>
      </w:r>
      <w:r w:rsidR="006408F9">
        <w:t>F|A|N</w:t>
      </w:r>
      <w:r>
        <w:t xml:space="preserve">) was associated with a significantly lower risk of conversion to SPMS </w:t>
      </w:r>
      <w:r w:rsidRPr="00697D58">
        <w:t xml:space="preserve">compared to </w:t>
      </w:r>
      <w:r>
        <w:t>initial treatment with</w:t>
      </w:r>
      <w:r w:rsidRPr="00697D58">
        <w:t xml:space="preserve"> </w:t>
      </w:r>
      <w:r w:rsidR="007A133D">
        <w:t>ß-IFN|GA</w:t>
      </w:r>
      <w:r>
        <w:t xml:space="preserve">. </w:t>
      </w:r>
      <w:r w:rsidRPr="00697D58">
        <w:t xml:space="preserve">The risk </w:t>
      </w:r>
      <w:r>
        <w:t>of conversion was significantly lower for early compared to late treatment: either in the case of starting</w:t>
      </w:r>
      <w:r w:rsidRPr="00697D58">
        <w:t xml:space="preserve"> </w:t>
      </w:r>
      <w:r w:rsidR="006408F9">
        <w:t xml:space="preserve">ß-IFN|GA </w:t>
      </w:r>
      <w:r w:rsidRPr="00697D58">
        <w:t xml:space="preserve">within 5 years </w:t>
      </w:r>
      <w:r>
        <w:t>of disease onset</w:t>
      </w:r>
      <w:r w:rsidRPr="00697D58">
        <w:t xml:space="preserve"> </w:t>
      </w:r>
      <w:r>
        <w:t xml:space="preserve">versus later </w:t>
      </w:r>
      <w:r w:rsidRPr="001213BB">
        <w:t>commencement</w:t>
      </w:r>
      <w:r>
        <w:t xml:space="preserve">, or when escalating </w:t>
      </w:r>
      <w:r w:rsidRPr="00697D58">
        <w:t xml:space="preserve">from </w:t>
      </w:r>
      <w:r w:rsidR="006408F9">
        <w:t xml:space="preserve">ß-IFN|GA </w:t>
      </w:r>
      <w:r w:rsidRPr="00697D58">
        <w:t xml:space="preserve">to </w:t>
      </w:r>
      <w:r w:rsidR="006408F9">
        <w:t>F|A|N</w:t>
      </w:r>
      <w:r w:rsidRPr="00697D58">
        <w:t xml:space="preserve"> within 5 years </w:t>
      </w:r>
      <w:r>
        <w:t>of disease onset</w:t>
      </w:r>
      <w:r w:rsidRPr="00697D58">
        <w:t xml:space="preserve"> </w:t>
      </w:r>
      <w:r>
        <w:t>versus later escalation</w:t>
      </w:r>
      <w:r w:rsidRPr="00697D58">
        <w:t xml:space="preserve">. </w:t>
      </w:r>
    </w:p>
    <w:p w14:paraId="5B2C2487" w14:textId="5377DB1E" w:rsidR="00575022" w:rsidRDefault="00575022">
      <w:pPr>
        <w:spacing w:line="480" w:lineRule="auto"/>
      </w:pPr>
      <w:r>
        <w:t xml:space="preserve">These results suggest that initial treatment with </w:t>
      </w:r>
      <w:r w:rsidR="006408F9">
        <w:t xml:space="preserve">ß-IFN|GA </w:t>
      </w:r>
      <w:r>
        <w:t>is associated with reduced conversion to SPMS compared to untreated patients. There is no consensus in the literature</w:t>
      </w:r>
      <w:r w:rsidRPr="00697D58">
        <w:t xml:space="preserve">. Intention-to-treat analysis of the </w:t>
      </w:r>
      <w:r w:rsidR="00656CCF">
        <w:t xml:space="preserve">study conducted by </w:t>
      </w:r>
      <w:r w:rsidR="00601D16">
        <w:t xml:space="preserve">the </w:t>
      </w:r>
      <w:r w:rsidRPr="00697D58">
        <w:t>IFN</w:t>
      </w:r>
      <w:r w:rsidRPr="00697D58">
        <w:sym w:font="Symbol" w:char="F062"/>
      </w:r>
      <w:r w:rsidRPr="00697D58">
        <w:t xml:space="preserve"> Multiple Sclerosis Study Group found no difference in conversion rates between interferon and placebo 16 years later, though many placebo</w:t>
      </w:r>
      <w:r>
        <w:t>-treated</w:t>
      </w:r>
      <w:r w:rsidRPr="00697D58">
        <w:t xml:space="preserve"> patients subsequently received DMTs.</w:t>
      </w:r>
      <w:r w:rsidRPr="002C422E">
        <w:rPr>
          <w:noProof/>
          <w:vertAlign w:val="superscript"/>
        </w:rPr>
        <w:t>7</w:t>
      </w:r>
      <w:r w:rsidRPr="00697D58">
        <w:t xml:space="preserve"> Six of seven observational studies </w:t>
      </w:r>
      <w:r>
        <w:t xml:space="preserve">reported favourable </w:t>
      </w:r>
      <w:r w:rsidR="00601D16">
        <w:t xml:space="preserve">associations between </w:t>
      </w:r>
      <w:r w:rsidR="006408F9">
        <w:t xml:space="preserve">ß-IFN|GA </w:t>
      </w:r>
      <w:r w:rsidR="00601D16">
        <w:t>and</w:t>
      </w:r>
      <w:r w:rsidRPr="00697D58">
        <w:t xml:space="preserve"> SPMS conversion, both individually</w:t>
      </w:r>
      <w:r w:rsidRPr="002C422E">
        <w:rPr>
          <w:noProof/>
          <w:vertAlign w:val="superscript"/>
        </w:rPr>
        <w:t>8-13</w:t>
      </w:r>
      <w:r w:rsidRPr="00697D58">
        <w:t xml:space="preserve"> and in a meta-analysis.</w:t>
      </w:r>
      <w:r w:rsidRPr="002C422E">
        <w:rPr>
          <w:noProof/>
          <w:vertAlign w:val="superscript"/>
        </w:rPr>
        <w:t>34</w:t>
      </w:r>
      <w:r w:rsidRPr="00697D58">
        <w:t xml:space="preserve"> The remaining observational study from British Columbia – the only one to circumvent immortal time bias</w:t>
      </w:r>
      <w:r w:rsidRPr="002C422E">
        <w:rPr>
          <w:noProof/>
          <w:vertAlign w:val="superscript"/>
        </w:rPr>
        <w:t>35</w:t>
      </w:r>
      <w:r w:rsidRPr="00697D58">
        <w:t xml:space="preserve"> through treating interferon exposure as a time-dependent variable (ensuring time before interferon treatment contributed to the untreated follow-up time) – found no relationship between interferon exposure and SPMS</w:t>
      </w:r>
      <w:r>
        <w:t xml:space="preserve"> conversion</w:t>
      </w:r>
      <w:r w:rsidRPr="00697D58">
        <w:t>.</w:t>
      </w:r>
      <w:r w:rsidRPr="002C422E">
        <w:rPr>
          <w:noProof/>
          <w:vertAlign w:val="superscript"/>
        </w:rPr>
        <w:t>14</w:t>
      </w:r>
      <w:r w:rsidRPr="00697D58">
        <w:t xml:space="preserve"> These observational studies – all published before </w:t>
      </w:r>
      <w:r>
        <w:t>an</w:t>
      </w:r>
      <w:r w:rsidRPr="00697D58">
        <w:t xml:space="preserve"> objective </w:t>
      </w:r>
      <w:r>
        <w:t xml:space="preserve">SPMS </w:t>
      </w:r>
      <w:r w:rsidRPr="00697D58">
        <w:t>definition became available</w:t>
      </w:r>
      <w:r w:rsidRPr="002C422E">
        <w:rPr>
          <w:noProof/>
          <w:vertAlign w:val="superscript"/>
        </w:rPr>
        <w:t>15</w:t>
      </w:r>
      <w:r w:rsidRPr="00697D58">
        <w:t xml:space="preserve"> – have highly heterogeneous methods including variable (or inaccessible) </w:t>
      </w:r>
      <w:r>
        <w:t>SPMS definitions</w:t>
      </w:r>
      <w:r w:rsidRPr="00697D58">
        <w:t>, inconsistent exclusion of relapse-related disability-increases; and variable strategies for mitigating indication bias (arising from non-random treatment exposure), attrition bias (reflecting between-group differences in follow-up duration), detection bias (</w:t>
      </w:r>
      <w:r>
        <w:t>from</w:t>
      </w:r>
      <w:r w:rsidRPr="00697D58">
        <w:t xml:space="preserve"> differing EDSS frequency during follow-up) and immortal-time bias.</w:t>
      </w:r>
      <w:r w:rsidRPr="002C422E">
        <w:rPr>
          <w:noProof/>
          <w:vertAlign w:val="superscript"/>
        </w:rPr>
        <w:t>8-14</w:t>
      </w:r>
      <w:r w:rsidRPr="00697D58">
        <w:t xml:space="preserve"> </w:t>
      </w:r>
      <w:bookmarkStart w:id="4" w:name="_Hlk524165879"/>
      <w:bookmarkStart w:id="5" w:name="_Hlk524182164"/>
      <w:r w:rsidRPr="00697D58">
        <w:t>In observational study designs, propensity score-based estimators better reflect true differences than nonexperimental estimators, such as multivariable regression or latent variable selection models, given that an overlap exists between the compared groups.</w:t>
      </w:r>
      <w:r w:rsidRPr="002C422E">
        <w:rPr>
          <w:noProof/>
          <w:vertAlign w:val="superscript"/>
        </w:rPr>
        <w:t>36</w:t>
      </w:r>
      <w:r>
        <w:t xml:space="preserve"> In this analysis, m</w:t>
      </w:r>
      <w:r w:rsidRPr="00697D58">
        <w:t xml:space="preserve">atching </w:t>
      </w:r>
      <w:r>
        <w:t xml:space="preserve">with a </w:t>
      </w:r>
      <w:proofErr w:type="spellStart"/>
      <w:r>
        <w:t>caliper</w:t>
      </w:r>
      <w:proofErr w:type="spellEnd"/>
      <w:r>
        <w:t xml:space="preserve"> was employed, which is more robust in scenarios with restricted sample size and strong treatment-</w:t>
      </w:r>
      <w:r>
        <w:lastRenderedPageBreak/>
        <w:t>selection processes than unrestricted propensity score-based methods such as inverse probability of treatment weighting or optimal full matching</w:t>
      </w:r>
      <w:bookmarkEnd w:id="4"/>
      <w:r>
        <w:t>.</w:t>
      </w:r>
      <w:r w:rsidRPr="002C422E">
        <w:rPr>
          <w:noProof/>
          <w:vertAlign w:val="superscript"/>
        </w:rPr>
        <w:t>30,31</w:t>
      </w:r>
      <w:r>
        <w:t xml:space="preserve"> All</w:t>
      </w:r>
      <w:r w:rsidRPr="00697D58">
        <w:t xml:space="preserve"> models </w:t>
      </w:r>
      <w:r>
        <w:t xml:space="preserve">were adjusted </w:t>
      </w:r>
      <w:r w:rsidRPr="00697D58">
        <w:t xml:space="preserve">for EDSS frequency to mitigate detection bias </w:t>
      </w:r>
      <w:r>
        <w:t>and</w:t>
      </w:r>
      <w:r w:rsidRPr="00697D58">
        <w:t xml:space="preserve"> </w:t>
      </w:r>
      <w:proofErr w:type="spellStart"/>
      <w:r>
        <w:t>setwise</w:t>
      </w:r>
      <w:proofErr w:type="spellEnd"/>
      <w:r w:rsidRPr="00697D58">
        <w:t xml:space="preserve"> censoring of follow-up duration </w:t>
      </w:r>
      <w:r w:rsidR="003A7396">
        <w:t>was used</w:t>
      </w:r>
      <w:r>
        <w:t xml:space="preserve"> </w:t>
      </w:r>
      <w:r w:rsidRPr="00697D58">
        <w:t xml:space="preserve">to </w:t>
      </w:r>
      <w:r>
        <w:t>mitigate</w:t>
      </w:r>
      <w:r w:rsidRPr="00697D58">
        <w:t xml:space="preserve"> attrition bias.</w:t>
      </w:r>
      <w:bookmarkEnd w:id="5"/>
      <w:r w:rsidRPr="00697D58">
        <w:t xml:space="preserve"> </w:t>
      </w:r>
      <w:r>
        <w:t>To address the issue of</w:t>
      </w:r>
      <w:r w:rsidRPr="00697D58">
        <w:t xml:space="preserve"> immortal-time bias</w:t>
      </w:r>
      <w:r w:rsidRPr="002C422E">
        <w:rPr>
          <w:noProof/>
          <w:vertAlign w:val="superscript"/>
        </w:rPr>
        <w:t>35</w:t>
      </w:r>
      <w:r w:rsidRPr="00697D58">
        <w:t xml:space="preserve"> </w:t>
      </w:r>
      <w:r>
        <w:t xml:space="preserve">disease-modifying therapy was </w:t>
      </w:r>
      <w:r w:rsidRPr="00697D58">
        <w:t>treat</w:t>
      </w:r>
      <w:r>
        <w:t>ed</w:t>
      </w:r>
      <w:r w:rsidRPr="00697D58">
        <w:t xml:space="preserve"> as a time-dependent variable. </w:t>
      </w:r>
      <w:r w:rsidRPr="001D75E2">
        <w:t>The risk of SPMS conversion increases with disease duration,</w:t>
      </w:r>
      <w:r w:rsidRPr="002C422E">
        <w:rPr>
          <w:noProof/>
          <w:vertAlign w:val="superscript"/>
        </w:rPr>
        <w:t>6</w:t>
      </w:r>
      <w:r w:rsidRPr="001D75E2">
        <w:t xml:space="preserve"> </w:t>
      </w:r>
      <w:r w:rsidRPr="001D75E2">
        <w:rPr>
          <w:color w:val="000000" w:themeColor="text1"/>
          <w:lang w:val="en-US"/>
        </w:rPr>
        <w:t xml:space="preserve">so it should be considered in evaluations of SPMS conversion rates in different treatment scenarios (Table 1, Figure 2). For instance, subgroups with longer disease duration </w:t>
      </w:r>
      <w:r>
        <w:rPr>
          <w:color w:val="000000" w:themeColor="text1"/>
          <w:lang w:val="en-US"/>
        </w:rPr>
        <w:t xml:space="preserve">at baseline </w:t>
      </w:r>
      <w:r w:rsidRPr="001D75E2">
        <w:rPr>
          <w:color w:val="000000" w:themeColor="text1"/>
          <w:lang w:val="en-US"/>
        </w:rPr>
        <w:t>(e.g. here natalizumab) are expected to be associated with a relatively greater SPMS conversion rate than those with shorter disease duration at baseline (e.g. here alemtuzumab or fingolimod)</w:t>
      </w:r>
      <w:r>
        <w:rPr>
          <w:color w:val="000000" w:themeColor="text1"/>
          <w:lang w:val="en-US"/>
        </w:rPr>
        <w:t>.</w:t>
      </w:r>
      <w:r w:rsidRPr="00697D58">
        <w:t xml:space="preserve"> </w:t>
      </w:r>
    </w:p>
    <w:p w14:paraId="478227FC" w14:textId="77777777" w:rsidR="00575022" w:rsidRPr="000E27AF" w:rsidRDefault="00575022" w:rsidP="00B619C5"/>
    <w:p w14:paraId="6744B953" w14:textId="77777777" w:rsidR="00575022" w:rsidRPr="001D75E2" w:rsidRDefault="00575022" w:rsidP="00B619C5">
      <w:pPr>
        <w:pStyle w:val="Heading3"/>
        <w:spacing w:line="480" w:lineRule="auto"/>
        <w:rPr>
          <w:rFonts w:ascii="Times New Roman" w:hAnsi="Times New Roman" w:cs="Times New Roman"/>
        </w:rPr>
      </w:pPr>
      <w:r>
        <w:rPr>
          <w:rFonts w:ascii="Times New Roman" w:hAnsi="Times New Roman" w:cs="Times New Roman"/>
        </w:rPr>
        <w:t>Limitations</w:t>
      </w:r>
    </w:p>
    <w:p w14:paraId="528689A1" w14:textId="6F16488F" w:rsidR="00575022" w:rsidRPr="00F17676" w:rsidRDefault="00575022" w:rsidP="00B619C5">
      <w:pPr>
        <w:spacing w:line="480" w:lineRule="auto"/>
        <w:rPr>
          <w:rFonts w:eastAsia="Times New Roman"/>
          <w:color w:val="000000"/>
        </w:rPr>
      </w:pPr>
      <w:r>
        <w:t>This study has several limitations. First, given its observational design, the study is unable to ascribe causality and cannot</w:t>
      </w:r>
      <w:r w:rsidRPr="00697D58">
        <w:t xml:space="preserve"> distinguish between </w:t>
      </w:r>
      <w:r>
        <w:t>prevention and delay of conversion to</w:t>
      </w:r>
      <w:r w:rsidRPr="00697D58">
        <w:t xml:space="preserve"> SPMS. </w:t>
      </w:r>
      <w:r>
        <w:t>The</w:t>
      </w:r>
      <w:r w:rsidRPr="00697D58">
        <w:t xml:space="preserve"> longest comparison however showed a favourable </w:t>
      </w:r>
      <w:r>
        <w:t>association</w:t>
      </w:r>
      <w:r w:rsidRPr="00697D58">
        <w:t xml:space="preserve"> </w:t>
      </w:r>
      <w:r>
        <w:t xml:space="preserve">of early (versus later) </w:t>
      </w:r>
      <w:r w:rsidR="007A133D">
        <w:t>ß-IFN|GA</w:t>
      </w:r>
      <w:r>
        <w:t xml:space="preserve">, </w:t>
      </w:r>
      <w:r w:rsidRPr="00697D58">
        <w:t>enduring to the end of follow-up 1</w:t>
      </w:r>
      <w:r>
        <w:t>7</w:t>
      </w:r>
      <w:r w:rsidRPr="00697D58">
        <w:t xml:space="preserve"> years after baseline (median disease duration 2</w:t>
      </w:r>
      <w:r>
        <w:t>0</w:t>
      </w:r>
      <w:r w:rsidRPr="00697D58">
        <w:t xml:space="preserve"> years; Figure 3A). </w:t>
      </w:r>
      <w:r>
        <w:t xml:space="preserve">Second, the absence of EDSS </w:t>
      </w:r>
      <w:r w:rsidRPr="00697D58">
        <w:t xml:space="preserve">functional score subcomponents </w:t>
      </w:r>
      <w:r>
        <w:t xml:space="preserve">precluded using the SPMS definition with the highest combination of sensitivity, specificity and </w:t>
      </w:r>
      <w:r w:rsidRPr="00627A6C">
        <w:t xml:space="preserve">accuracy; </w:t>
      </w:r>
      <w:r w:rsidR="00627A6C" w:rsidRPr="00AB648C">
        <w:rPr>
          <w:rFonts w:eastAsia="Times New Roman"/>
          <w:color w:val="000000"/>
          <w:shd w:val="clear" w:color="auto" w:fill="FFFFFF"/>
        </w:rPr>
        <w:t>the definition used in this study, requiring total EDSS only, has previously been shown to be associated with a 1% loss of accuracy and 6% reduction in sensitivity</w:t>
      </w:r>
      <w:r w:rsidRPr="00627A6C">
        <w:t>.</w:t>
      </w:r>
      <w:r w:rsidRPr="002C422E">
        <w:rPr>
          <w:noProof/>
          <w:vertAlign w:val="superscript"/>
        </w:rPr>
        <w:t>15</w:t>
      </w:r>
      <w:r w:rsidRPr="00697D58">
        <w:t xml:space="preserve">  </w:t>
      </w:r>
      <w:r>
        <w:t>Third, t</w:t>
      </w:r>
      <w:r w:rsidRPr="00697D58">
        <w:t>he differing baseline demographics of each DMT cohort (Table 1) required differing matched untreated cohorts</w:t>
      </w:r>
      <w:r>
        <w:t xml:space="preserve"> with differing follow-up durations; their relative therapeutic effects should therefore not be compared</w:t>
      </w:r>
      <w:r w:rsidRPr="00697D58">
        <w:t xml:space="preserve"> </w:t>
      </w:r>
      <w:r>
        <w:t xml:space="preserve">between analyses </w:t>
      </w:r>
      <w:r w:rsidRPr="00697D58">
        <w:t xml:space="preserve">(Figures 2A-D). </w:t>
      </w:r>
      <w:r>
        <w:t>A</w:t>
      </w:r>
      <w:r w:rsidRPr="00697D58">
        <w:t xml:space="preserve"> particular</w:t>
      </w:r>
      <w:r>
        <w:t xml:space="preserve"> problem with the fingolimod/untreated comparison was the inability</w:t>
      </w:r>
      <w:r w:rsidRPr="00697D58">
        <w:t xml:space="preserve"> to eliminate informed censoring bias </w:t>
      </w:r>
      <w:r>
        <w:t>because</w:t>
      </w:r>
      <w:r w:rsidRPr="00697D58">
        <w:t xml:space="preserve"> </w:t>
      </w:r>
      <w:r>
        <w:t xml:space="preserve">fingolimod-treated patients </w:t>
      </w:r>
      <w:r w:rsidRPr="00697D58">
        <w:t>subsequently escalated to monoclonal antibod</w:t>
      </w:r>
      <w:r>
        <w:t>y treatment</w:t>
      </w:r>
      <w:r w:rsidRPr="00697D58">
        <w:t xml:space="preserve"> </w:t>
      </w:r>
      <w:r>
        <w:t>(</w:t>
      </w:r>
      <w:r w:rsidRPr="00697D58">
        <w:t>due to on-treatment disease activity</w:t>
      </w:r>
      <w:r>
        <w:t>)</w:t>
      </w:r>
      <w:r w:rsidRPr="00697D58">
        <w:t xml:space="preserve"> were excluded (Figure 2B).</w:t>
      </w:r>
      <w:commentRangeStart w:id="6"/>
      <w:commentRangeEnd w:id="6"/>
      <w:r>
        <w:t xml:space="preserve"> Suc</w:t>
      </w:r>
      <w:bookmarkStart w:id="7" w:name="_GoBack"/>
      <w:bookmarkEnd w:id="7"/>
      <w:r>
        <w:t>h</w:t>
      </w:r>
      <w:r w:rsidRPr="00697D58">
        <w:t xml:space="preserve"> informed censoring does not affect the comparison between untreated patients </w:t>
      </w:r>
      <w:r>
        <w:t xml:space="preserve">and </w:t>
      </w:r>
      <w:r w:rsidRPr="00697D58">
        <w:t xml:space="preserve">monoclonal antibodies (as </w:t>
      </w:r>
      <w:r>
        <w:t>patients cannot be escalated from these highly-effective therapies</w:t>
      </w:r>
      <w:r w:rsidRPr="002C422E">
        <w:rPr>
          <w:noProof/>
          <w:vertAlign w:val="superscript"/>
        </w:rPr>
        <w:t>18</w:t>
      </w:r>
      <w:r>
        <w:t xml:space="preserve">) </w:t>
      </w:r>
      <w:r w:rsidRPr="00697D58">
        <w:t xml:space="preserve">nor the untreated </w:t>
      </w:r>
      <w:r w:rsidRPr="00697D58">
        <w:lastRenderedPageBreak/>
        <w:t>comparison</w:t>
      </w:r>
      <w:r>
        <w:t>s</w:t>
      </w:r>
      <w:r w:rsidRPr="00697D58">
        <w:t xml:space="preserve"> with </w:t>
      </w:r>
      <w:r w:rsidR="006408F9">
        <w:t xml:space="preserve">ß-IFN|GA </w:t>
      </w:r>
      <w:r w:rsidRPr="00697D58">
        <w:t xml:space="preserve">(where the inclusion criteria ensured more potent therapies were not </w:t>
      </w:r>
      <w:r>
        <w:t xml:space="preserve">generally </w:t>
      </w:r>
      <w:r w:rsidRPr="00697D58">
        <w:t xml:space="preserve">available during the studied epoch). </w:t>
      </w:r>
      <w:r w:rsidR="00BE3157">
        <w:t xml:space="preserve">Fourth, the </w:t>
      </w:r>
      <w:r w:rsidR="006408F9">
        <w:t xml:space="preserve">ß-IFN|GA </w:t>
      </w:r>
      <w:r>
        <w:t>cohorts therefore came from an earlier period, leading to 10-11 years median difference</w:t>
      </w:r>
      <w:r w:rsidDel="0002014D">
        <w:t xml:space="preserve"> </w:t>
      </w:r>
      <w:r>
        <w:t xml:space="preserve">in the baseline dates of the </w:t>
      </w:r>
      <w:r w:rsidR="006408F9">
        <w:t xml:space="preserve">ß-IFN|GA </w:t>
      </w:r>
      <w:r>
        <w:t>versus untreated analyses, and 13 years median difference</w:t>
      </w:r>
      <w:r w:rsidDel="009513FC">
        <w:t xml:space="preserve"> </w:t>
      </w:r>
      <w:r>
        <w:t xml:space="preserve">in the </w:t>
      </w:r>
      <w:r w:rsidR="006408F9">
        <w:t xml:space="preserve">ß-IFN|GA </w:t>
      </w:r>
      <w:r>
        <w:t xml:space="preserve">versus </w:t>
      </w:r>
      <w:r w:rsidR="006408F9">
        <w:t>F|A|N</w:t>
      </w:r>
      <w:r>
        <w:t xml:space="preserve"> analysis</w:t>
      </w:r>
      <w:r w:rsidRPr="003B5B5D">
        <w:t>.</w:t>
      </w:r>
      <w:r>
        <w:t xml:space="preserve"> </w:t>
      </w:r>
      <w:r w:rsidR="00BE3157">
        <w:t xml:space="preserve">It </w:t>
      </w:r>
      <w:r>
        <w:t>is possible that unmeasured changes in care between time epochs - more specialist nurses, better symptomatic management, lower thresholds for escalating therapy for example - may have contributed to differences in SPMS conversion rates in these particular analyses.  However, all other analyses (with contemporaneous groups (</w:t>
      </w:r>
      <w:r w:rsidRPr="008E2EB9">
        <w:t>≤</w:t>
      </w:r>
      <w:r>
        <w:t xml:space="preserve">5 years difference, Table 1)) also support early and aggressive DMT use. The ability to match contemporaneous untreated patients to those commencing </w:t>
      </w:r>
      <w:r w:rsidR="006408F9">
        <w:t>F|A|N</w:t>
      </w:r>
      <w:r>
        <w:t xml:space="preserve"> (Table 1) took advantage of the United Kingdom’s lower DMT uptake rates. The generalisability </w:t>
      </w:r>
      <w:r w:rsidR="00CC54BA">
        <w:t xml:space="preserve">of the untreated group </w:t>
      </w:r>
      <w:r>
        <w:t xml:space="preserve">to other geographic regions cannot be guaranteed. </w:t>
      </w:r>
      <w:r w:rsidRPr="009D499E">
        <w:t xml:space="preserve">Fifth, </w:t>
      </w:r>
      <w:r>
        <w:t xml:space="preserve">a large number of patients were excluded due to ineligibility (Figure 1). At least 65 patients were excluded through stopping their DMT within 6 months </w:t>
      </w:r>
      <w:r>
        <w:rPr>
          <w:color w:val="000000" w:themeColor="text1"/>
          <w:lang w:val="en-US"/>
        </w:rPr>
        <w:t xml:space="preserve">due to inefficacy (Figure 1). </w:t>
      </w:r>
      <w:bookmarkStart w:id="8" w:name="_Hlk528180890"/>
      <w:r>
        <w:rPr>
          <w:color w:val="000000" w:themeColor="text1"/>
          <w:lang w:val="en-US"/>
        </w:rPr>
        <w:t xml:space="preserve">Though a modest number, their exclusion may have </w:t>
      </w:r>
      <w:r w:rsidR="000044AB">
        <w:rPr>
          <w:color w:val="000000" w:themeColor="text1"/>
          <w:lang w:val="en-US"/>
        </w:rPr>
        <w:t>biased the remaining</w:t>
      </w:r>
      <w:r>
        <w:rPr>
          <w:color w:val="000000" w:themeColor="text1"/>
          <w:lang w:val="en-US"/>
        </w:rPr>
        <w:t xml:space="preserve"> patients</w:t>
      </w:r>
      <w:r w:rsidR="000044AB">
        <w:rPr>
          <w:color w:val="000000" w:themeColor="text1"/>
          <w:lang w:val="en-US"/>
        </w:rPr>
        <w:t xml:space="preserve"> presented for matching</w:t>
      </w:r>
      <w:r>
        <w:rPr>
          <w:color w:val="000000" w:themeColor="text1"/>
          <w:lang w:val="en-US"/>
        </w:rPr>
        <w:t xml:space="preserve"> </w:t>
      </w:r>
      <w:r w:rsidR="000044AB">
        <w:rPr>
          <w:color w:val="000000" w:themeColor="text1"/>
          <w:lang w:val="en-US"/>
        </w:rPr>
        <w:t xml:space="preserve">towards </w:t>
      </w:r>
      <w:r>
        <w:rPr>
          <w:color w:val="000000" w:themeColor="text1"/>
          <w:lang w:val="en-US"/>
        </w:rPr>
        <w:t xml:space="preserve">a relatively milder disease. </w:t>
      </w:r>
      <w:r w:rsidR="006533A3">
        <w:rPr>
          <w:color w:val="000000" w:themeColor="text1"/>
          <w:lang w:val="en-US"/>
        </w:rPr>
        <w:t xml:space="preserve">Those excluded </w:t>
      </w:r>
      <w:r w:rsidR="00397115">
        <w:rPr>
          <w:color w:val="000000" w:themeColor="text1"/>
          <w:lang w:val="en-US"/>
        </w:rPr>
        <w:t>due to missing data were slightly older with higher baseline EDSS scores (</w:t>
      </w:r>
      <w:proofErr w:type="spellStart"/>
      <w:r w:rsidR="00397115">
        <w:rPr>
          <w:color w:val="000000" w:themeColor="text1"/>
          <w:lang w:val="en-US"/>
        </w:rPr>
        <w:t>eTable</w:t>
      </w:r>
      <w:proofErr w:type="spellEnd"/>
      <w:r w:rsidR="00397115">
        <w:rPr>
          <w:color w:val="000000" w:themeColor="text1"/>
          <w:lang w:val="en-US"/>
        </w:rPr>
        <w:t xml:space="preserve"> S</w:t>
      </w:r>
      <w:r w:rsidR="009E1930">
        <w:rPr>
          <w:color w:val="000000" w:themeColor="text1"/>
          <w:lang w:val="en-US"/>
        </w:rPr>
        <w:t>7</w:t>
      </w:r>
      <w:r w:rsidR="00397115">
        <w:rPr>
          <w:color w:val="000000" w:themeColor="text1"/>
          <w:lang w:val="en-US"/>
        </w:rPr>
        <w:t xml:space="preserve">). </w:t>
      </w:r>
      <w:bookmarkEnd w:id="8"/>
      <w:r>
        <w:t>While the exclusion criteria have made the results more robust, t</w:t>
      </w:r>
      <w:r>
        <w:rPr>
          <w:color w:val="000000" w:themeColor="text1"/>
          <w:lang w:val="en-US"/>
        </w:rPr>
        <w:t xml:space="preserve">he resultant unmatched cohorts are, by definition, unrepresentative of the whole unfiltered cohort. </w:t>
      </w:r>
      <w:r w:rsidR="00776A1F">
        <w:rPr>
          <w:color w:val="000000" w:themeColor="text1"/>
          <w:lang w:val="en-US"/>
        </w:rPr>
        <w:t>Despite the stringent matching criteria 63-97% of treated eligible patients were successfully matched</w:t>
      </w:r>
      <w:r>
        <w:rPr>
          <w:color w:val="000000" w:themeColor="text1"/>
          <w:lang w:val="en-US"/>
        </w:rPr>
        <w:t xml:space="preserve">, </w:t>
      </w:r>
      <w:r w:rsidR="00776A1F">
        <w:rPr>
          <w:color w:val="000000" w:themeColor="text1"/>
          <w:lang w:val="en-US"/>
        </w:rPr>
        <w:t xml:space="preserve">and </w:t>
      </w:r>
      <w:r>
        <w:rPr>
          <w:color w:val="000000" w:themeColor="text1"/>
          <w:lang w:val="en-US"/>
        </w:rPr>
        <w:t>beyond lower baseline relapse rates, the matched cohorts (Table 1) are similar to those in the original placebo-controlled phase III trials of these therapies.</w:t>
      </w:r>
      <w:r w:rsidRPr="002C422E">
        <w:rPr>
          <w:noProof/>
          <w:color w:val="000000" w:themeColor="text1"/>
          <w:vertAlign w:val="superscript"/>
          <w:lang w:val="en-US"/>
        </w:rPr>
        <w:t>1-3</w:t>
      </w:r>
      <w:r>
        <w:rPr>
          <w:color w:val="000000" w:themeColor="text1"/>
          <w:lang w:val="en-US"/>
        </w:rPr>
        <w:t xml:space="preserve"> </w:t>
      </w:r>
      <w:r>
        <w:t xml:space="preserve"> Sixth, s</w:t>
      </w:r>
      <w:r w:rsidRPr="00697D58">
        <w:t xml:space="preserve">ome factors were </w:t>
      </w:r>
      <w:r>
        <w:t>un</w:t>
      </w:r>
      <w:r w:rsidRPr="00697D58">
        <w:t xml:space="preserve">available across all cohorts (for example </w:t>
      </w:r>
      <w:r>
        <w:t>smoking status</w:t>
      </w:r>
      <w:r w:rsidR="0007346C">
        <w:t>;</w:t>
      </w:r>
      <w:r>
        <w:t xml:space="preserve"> </w:t>
      </w:r>
      <w:r w:rsidRPr="00697D58">
        <w:t>lesion number</w:t>
      </w:r>
      <w:r>
        <w:t xml:space="preserve"> or brain volume on MRI; drug adherence; or the presence of oligoclonal bands in cerebrospinal fluid</w:t>
      </w:r>
      <w:r w:rsidRPr="00697D58">
        <w:t xml:space="preserve">), precluding their inclusion in matching models. </w:t>
      </w:r>
      <w:bookmarkStart w:id="9" w:name="_Hlk524179061"/>
      <w:r>
        <w:t>If these variables differed</w:t>
      </w:r>
      <w:r w:rsidRPr="003B1617">
        <w:t xml:space="preserve"> systematically between the compared groups</w:t>
      </w:r>
      <w:r>
        <w:t xml:space="preserve">, </w:t>
      </w:r>
      <w:r w:rsidRPr="003B1617">
        <w:t xml:space="preserve">and </w:t>
      </w:r>
      <w:r>
        <w:t xml:space="preserve">are </w:t>
      </w:r>
      <w:r w:rsidRPr="003B1617">
        <w:t xml:space="preserve">associated with </w:t>
      </w:r>
      <w:r>
        <w:t>the risk of SPMS conversion,</w:t>
      </w:r>
      <w:r w:rsidRPr="003B1617">
        <w:t xml:space="preserve"> </w:t>
      </w:r>
      <w:r>
        <w:t xml:space="preserve">then they might have </w:t>
      </w:r>
      <w:r w:rsidRPr="003B1617">
        <w:t>act</w:t>
      </w:r>
      <w:r>
        <w:t>ed</w:t>
      </w:r>
      <w:r w:rsidRPr="003B1617">
        <w:t xml:space="preserve"> as confounders</w:t>
      </w:r>
      <w:bookmarkEnd w:id="9"/>
      <w:r>
        <w:t xml:space="preserve">. Through the use of an objective SPMS definition, any positive bias of outcomes by the clinician instigating the intervention or escalation should have been mitigated. </w:t>
      </w:r>
      <w:r w:rsidRPr="00697D58">
        <w:t xml:space="preserve"> </w:t>
      </w:r>
      <w:r w:rsidR="00776A1F">
        <w:t>Seventh</w:t>
      </w:r>
      <w:r>
        <w:t>, the</w:t>
      </w:r>
      <w:r w:rsidRPr="00697D58">
        <w:t xml:space="preserve"> </w:t>
      </w:r>
      <w:r w:rsidRPr="00697D58">
        <w:lastRenderedPageBreak/>
        <w:t xml:space="preserve">assessment of disability (and therefore </w:t>
      </w:r>
      <w:r>
        <w:t xml:space="preserve">SPMS </w:t>
      </w:r>
      <w:r w:rsidRPr="00697D58">
        <w:t xml:space="preserve">conversion) relied on the EDSS. Although the most widely-used </w:t>
      </w:r>
      <w:r>
        <w:t>disability</w:t>
      </w:r>
      <w:r w:rsidRPr="00697D58">
        <w:t xml:space="preserve"> measure, it has high inter-rater variability at lower scores, limited sensitivity to cognitive impairment and – at scores over 3</w:t>
      </w:r>
      <w:r>
        <w:t>.</w:t>
      </w:r>
      <w:r w:rsidRPr="00697D58">
        <w:t xml:space="preserve">5 – is </w:t>
      </w:r>
      <w:r>
        <w:t>largely determined by ambulation</w:t>
      </w:r>
      <w:r w:rsidRPr="00697D58">
        <w:t>.</w:t>
      </w:r>
      <w:r w:rsidRPr="002C422E">
        <w:rPr>
          <w:noProof/>
          <w:vertAlign w:val="superscript"/>
        </w:rPr>
        <w:t>38</w:t>
      </w:r>
      <w:r w:rsidRPr="00697D58">
        <w:t xml:space="preserve"> To mitigate inter-rater variability, this published definition of SPMS requires EDSS step 4 </w:t>
      </w:r>
      <w:r>
        <w:t xml:space="preserve">attainment </w:t>
      </w:r>
      <w:r w:rsidRPr="00697D58">
        <w:t xml:space="preserve">and confirmation of EDSS </w:t>
      </w:r>
      <w:r>
        <w:t xml:space="preserve">increases </w:t>
      </w:r>
      <w:r w:rsidRPr="00697D58">
        <w:t xml:space="preserve">on two occasions, at least 3 months apart. </w:t>
      </w:r>
      <w:r w:rsidR="00776A1F">
        <w:t>Eighth</w:t>
      </w:r>
      <w:r>
        <w:t xml:space="preserve">, the numbers of patients available in some analyses was quite small. Despite this, clinically and statistically significant differences between the groups were observed. </w:t>
      </w:r>
      <w:r w:rsidR="000836E8">
        <w:t>Ninth</w:t>
      </w:r>
      <w:r>
        <w:t xml:space="preserve">, while relatively </w:t>
      </w:r>
      <w:r w:rsidRPr="00697D58">
        <w:rPr>
          <w:rFonts w:eastAsia="Times New Roman"/>
          <w:color w:val="000000"/>
        </w:rPr>
        <w:t>few patients contribut</w:t>
      </w:r>
      <w:r>
        <w:rPr>
          <w:rFonts w:eastAsia="Times New Roman"/>
          <w:color w:val="000000"/>
        </w:rPr>
        <w:t>e</w:t>
      </w:r>
      <w:r w:rsidRPr="008E2EB9">
        <w:rPr>
          <w:rFonts w:eastAsia="Times New Roman"/>
          <w:color w:val="000000"/>
        </w:rPr>
        <w:t xml:space="preserve"> to the final periods of follow-up </w:t>
      </w:r>
      <w:r>
        <w:rPr>
          <w:rFonts w:eastAsia="Times New Roman"/>
          <w:color w:val="000000"/>
        </w:rPr>
        <w:t xml:space="preserve">in Figures 2-4, </w:t>
      </w:r>
      <w:r w:rsidRPr="008E2EB9">
        <w:rPr>
          <w:rFonts w:eastAsia="Times New Roman"/>
          <w:color w:val="000000"/>
        </w:rPr>
        <w:t xml:space="preserve">the groups </w:t>
      </w:r>
      <w:r>
        <w:rPr>
          <w:rFonts w:eastAsia="Times New Roman"/>
          <w:color w:val="000000"/>
        </w:rPr>
        <w:t xml:space="preserve">universally diverge long before this </w:t>
      </w:r>
      <w:r w:rsidRPr="00697D58">
        <w:rPr>
          <w:rFonts w:eastAsia="Times New Roman"/>
          <w:color w:val="000000"/>
        </w:rPr>
        <w:t xml:space="preserve">and </w:t>
      </w:r>
      <w:r w:rsidRPr="008E2EB9">
        <w:rPr>
          <w:rFonts w:eastAsia="Times New Roman"/>
          <w:color w:val="000000"/>
        </w:rPr>
        <w:t xml:space="preserve">the statistics are heavily weighted towards the left of each </w:t>
      </w:r>
      <w:r>
        <w:rPr>
          <w:rFonts w:eastAsia="Times New Roman"/>
          <w:color w:val="000000"/>
        </w:rPr>
        <w:t>figure</w:t>
      </w:r>
      <w:r w:rsidRPr="00F17676">
        <w:rPr>
          <w:rFonts w:eastAsia="Times New Roman"/>
          <w:color w:val="000000"/>
        </w:rPr>
        <w:t>.</w:t>
      </w:r>
      <w:bookmarkStart w:id="10" w:name="_Hlk528183967"/>
      <w:r w:rsidRPr="00F17676">
        <w:rPr>
          <w:rFonts w:eastAsia="Times New Roman"/>
          <w:color w:val="000000"/>
        </w:rPr>
        <w:t xml:space="preserve"> </w:t>
      </w:r>
      <w:r w:rsidR="000836E8">
        <w:rPr>
          <w:rFonts w:eastAsia="Times New Roman"/>
          <w:color w:val="000000"/>
        </w:rPr>
        <w:t>Tenth</w:t>
      </w:r>
      <w:r w:rsidRPr="00F17676">
        <w:rPr>
          <w:rFonts w:eastAsia="Times New Roman"/>
          <w:color w:val="000000"/>
        </w:rPr>
        <w:t xml:space="preserve">, </w:t>
      </w:r>
      <w:r>
        <w:rPr>
          <w:rFonts w:eastAsia="Times New Roman"/>
          <w:color w:val="000000"/>
        </w:rPr>
        <w:t xml:space="preserve">while death due to non-MS causes may represent a competing risk, we were unable to include this in the presented models due to incomplete reporting. </w:t>
      </w:r>
      <w:bookmarkEnd w:id="10"/>
      <w:r w:rsidR="008B302D">
        <w:rPr>
          <w:rFonts w:eastAsia="Times New Roman"/>
          <w:color w:val="000000"/>
        </w:rPr>
        <w:t>Eleventh</w:t>
      </w:r>
      <w:r>
        <w:rPr>
          <w:rFonts w:eastAsia="Times New Roman"/>
          <w:color w:val="000000"/>
        </w:rPr>
        <w:t xml:space="preserve">, </w:t>
      </w:r>
      <w:r w:rsidRPr="00EC0E13">
        <w:rPr>
          <w:rFonts w:eastAsia="Times New Roman"/>
          <w:color w:val="000000"/>
          <w:shd w:val="clear" w:color="auto" w:fill="FFFFFF"/>
        </w:rPr>
        <w:t xml:space="preserve">this study did not assess the risks associated with DMTs, and so the association </w:t>
      </w:r>
      <w:r>
        <w:rPr>
          <w:rFonts w:eastAsia="Times New Roman"/>
          <w:color w:val="000000"/>
          <w:shd w:val="clear" w:color="auto" w:fill="FFFFFF"/>
        </w:rPr>
        <w:t>between</w:t>
      </w:r>
      <w:r w:rsidRPr="00EC0E13">
        <w:rPr>
          <w:rFonts w:eastAsia="Times New Roman"/>
          <w:color w:val="000000"/>
          <w:shd w:val="clear" w:color="auto" w:fill="FFFFFF"/>
        </w:rPr>
        <w:t xml:space="preserve"> initial </w:t>
      </w:r>
      <w:r w:rsidR="006408F9">
        <w:rPr>
          <w:rFonts w:eastAsia="Times New Roman"/>
          <w:color w:val="000000"/>
          <w:shd w:val="clear" w:color="auto" w:fill="FFFFFF"/>
        </w:rPr>
        <w:t>F|A|N</w:t>
      </w:r>
      <w:r w:rsidRPr="00EC0E13">
        <w:rPr>
          <w:rFonts w:eastAsia="Times New Roman"/>
          <w:color w:val="000000"/>
          <w:shd w:val="clear" w:color="auto" w:fill="FFFFFF"/>
        </w:rPr>
        <w:t xml:space="preserve"> use </w:t>
      </w:r>
      <w:r>
        <w:rPr>
          <w:rFonts w:eastAsia="Times New Roman"/>
          <w:color w:val="000000"/>
          <w:shd w:val="clear" w:color="auto" w:fill="FFFFFF"/>
        </w:rPr>
        <w:t>and</w:t>
      </w:r>
      <w:r w:rsidRPr="00EC0E13">
        <w:rPr>
          <w:rFonts w:eastAsia="Times New Roman"/>
          <w:color w:val="000000"/>
          <w:shd w:val="clear" w:color="auto" w:fill="FFFFFF"/>
        </w:rPr>
        <w:t xml:space="preserve"> lower risk of SPMS </w:t>
      </w:r>
      <w:r>
        <w:rPr>
          <w:rFonts w:eastAsia="Times New Roman"/>
          <w:color w:val="000000"/>
          <w:shd w:val="clear" w:color="auto" w:fill="FFFFFF"/>
        </w:rPr>
        <w:t xml:space="preserve">conversion – which </w:t>
      </w:r>
      <w:r>
        <w:t>is consistent with these therapies’ greater effect on relapse rates and disability metrics</w:t>
      </w:r>
      <w:r w:rsidRPr="002C422E">
        <w:rPr>
          <w:noProof/>
          <w:vertAlign w:val="superscript"/>
        </w:rPr>
        <w:t>4,5,26</w:t>
      </w:r>
      <w:r>
        <w:t xml:space="preserve"> - </w:t>
      </w:r>
      <w:r w:rsidRPr="00EC0E13">
        <w:rPr>
          <w:rFonts w:eastAsia="Times New Roman"/>
          <w:color w:val="000000"/>
          <w:shd w:val="clear" w:color="auto" w:fill="FFFFFF"/>
        </w:rPr>
        <w:t xml:space="preserve">must be considered in light of </w:t>
      </w:r>
      <w:r>
        <w:rPr>
          <w:rFonts w:eastAsia="Times New Roman"/>
          <w:color w:val="000000"/>
          <w:shd w:val="clear" w:color="auto" w:fill="FFFFFF"/>
        </w:rPr>
        <w:t>their</w:t>
      </w:r>
      <w:r w:rsidRPr="00EC0E13">
        <w:rPr>
          <w:rFonts w:eastAsia="Times New Roman"/>
          <w:color w:val="000000"/>
          <w:shd w:val="clear" w:color="auto" w:fill="FFFFFF"/>
        </w:rPr>
        <w:t xml:space="preserve"> greater risks, administration and monitoring schedules, and initial costs during the DMT selection process.</w:t>
      </w:r>
    </w:p>
    <w:p w14:paraId="0E5AD596" w14:textId="77777777" w:rsidR="00575022" w:rsidRPr="008E2EB9" w:rsidRDefault="00575022" w:rsidP="00B619C5">
      <w:pPr>
        <w:spacing w:line="480" w:lineRule="auto"/>
      </w:pPr>
    </w:p>
    <w:p w14:paraId="4DC084C7" w14:textId="77777777" w:rsidR="00575022" w:rsidRDefault="00575022" w:rsidP="00B619C5">
      <w:pPr>
        <w:pStyle w:val="Heading3"/>
        <w:spacing w:line="480" w:lineRule="auto"/>
      </w:pPr>
      <w:r>
        <w:t>Conclusions</w:t>
      </w:r>
    </w:p>
    <w:p w14:paraId="5E242F15" w14:textId="2C1BCC26" w:rsidR="00575022" w:rsidRPr="00697D58" w:rsidRDefault="00575022" w:rsidP="00B619C5">
      <w:pPr>
        <w:spacing w:line="480" w:lineRule="auto"/>
      </w:pPr>
      <w:r w:rsidRPr="001D75E2">
        <w:rPr>
          <w:bCs/>
          <w:shd w:val="clear" w:color="auto" w:fill="FFFFFF"/>
        </w:rPr>
        <w:t xml:space="preserve">Among patients with RRMS, </w:t>
      </w:r>
      <w:r>
        <w:rPr>
          <w:shd w:val="clear" w:color="auto" w:fill="FFFFFF"/>
        </w:rPr>
        <w:t xml:space="preserve">initial treatment with fingolimod, natalizumab or alemtuzumab was associated with a lower risk of conversion to SPMS compared to initial treatment with </w:t>
      </w:r>
      <w:r w:rsidR="006408F9">
        <w:rPr>
          <w:color w:val="000000" w:themeColor="text1"/>
        </w:rPr>
        <w:t xml:space="preserve">ß-IFN|GA </w:t>
      </w:r>
      <w:r>
        <w:rPr>
          <w:color w:val="000000" w:themeColor="text1"/>
        </w:rPr>
        <w:t xml:space="preserve">over a median 5.8 years of follow-up. </w:t>
      </w:r>
      <w:r>
        <w:rPr>
          <w:shd w:val="clear" w:color="auto" w:fill="FFFFFF"/>
        </w:rPr>
        <w:t xml:space="preserve"> These findings, considered along with these therapies’ risks, may help inform decisions about DMT selection. </w:t>
      </w:r>
    </w:p>
    <w:p w14:paraId="2D2F2F0E" w14:textId="77777777" w:rsidR="00575022" w:rsidRPr="008E2EB9" w:rsidRDefault="00575022" w:rsidP="00B619C5">
      <w:pPr>
        <w:spacing w:line="480" w:lineRule="auto"/>
        <w:rPr>
          <w:rFonts w:eastAsia="Calibri"/>
          <w:b/>
          <w:bCs/>
          <w:i/>
          <w:color w:val="000000" w:themeColor="text1"/>
          <w:sz w:val="26"/>
          <w:szCs w:val="26"/>
        </w:rPr>
      </w:pPr>
      <w:r w:rsidRPr="00697D58">
        <w:br w:type="page"/>
      </w:r>
    </w:p>
    <w:p w14:paraId="062CF5F8" w14:textId="77777777" w:rsidR="00575022" w:rsidRPr="00697D58" w:rsidRDefault="00575022">
      <w:pPr>
        <w:spacing w:line="480" w:lineRule="auto"/>
      </w:pPr>
      <w:r w:rsidRPr="008E2EB9">
        <w:rPr>
          <w:rFonts w:eastAsia="Calibri"/>
          <w:b/>
          <w:bCs/>
          <w:i/>
          <w:color w:val="000000" w:themeColor="text1"/>
          <w:sz w:val="26"/>
          <w:szCs w:val="26"/>
        </w:rPr>
        <w:lastRenderedPageBreak/>
        <w:t>Acknowledgements</w:t>
      </w:r>
    </w:p>
    <w:p w14:paraId="05E4E252" w14:textId="417389D3" w:rsidR="00533E38" w:rsidRDefault="00575022" w:rsidP="00B619C5">
      <w:pPr>
        <w:spacing w:line="480" w:lineRule="auto"/>
      </w:pPr>
      <w:r w:rsidRPr="00697D58">
        <w:t xml:space="preserve">The </w:t>
      </w:r>
      <w:proofErr w:type="spellStart"/>
      <w:r w:rsidRPr="00697D58">
        <w:t>MSBase</w:t>
      </w:r>
      <w:proofErr w:type="spellEnd"/>
      <w:r w:rsidRPr="00697D58">
        <w:t xml:space="preserve"> Study co-investigators and contributors are listed </w:t>
      </w:r>
      <w:r w:rsidR="00533E38">
        <w:t>below</w:t>
      </w:r>
      <w:r w:rsidRPr="00697D58">
        <w:t xml:space="preserve">. </w:t>
      </w:r>
    </w:p>
    <w:p w14:paraId="38CB123F" w14:textId="77777777" w:rsidR="00533E38" w:rsidRPr="00AB648C" w:rsidRDefault="00533E38" w:rsidP="00533E38">
      <w:pPr>
        <w:spacing w:line="480" w:lineRule="auto"/>
        <w:rPr>
          <w:color w:val="000000"/>
          <w:lang w:val="en-US"/>
        </w:rPr>
      </w:pPr>
      <w:r w:rsidRPr="00AB648C">
        <w:rPr>
          <w:color w:val="000000"/>
          <w:lang w:val="en-US"/>
        </w:rPr>
        <w:t xml:space="preserve">From G. </w:t>
      </w:r>
      <w:proofErr w:type="spellStart"/>
      <w:r w:rsidRPr="00AB648C">
        <w:rPr>
          <w:color w:val="000000"/>
          <w:lang w:val="en-US"/>
        </w:rPr>
        <w:t>d’Annunzio</w:t>
      </w:r>
      <w:proofErr w:type="spellEnd"/>
      <w:r w:rsidRPr="00AB648C">
        <w:rPr>
          <w:color w:val="000000"/>
          <w:lang w:val="en-US"/>
        </w:rPr>
        <w:t xml:space="preserve"> University, Chieti, Italy, </w:t>
      </w:r>
      <w:proofErr w:type="spellStart"/>
      <w:r w:rsidRPr="00AB648C">
        <w:rPr>
          <w:color w:val="000000"/>
          <w:lang w:val="en-US"/>
        </w:rPr>
        <w:t>Dr</w:t>
      </w:r>
      <w:proofErr w:type="spellEnd"/>
      <w:r w:rsidRPr="00AB648C">
        <w:rPr>
          <w:color w:val="000000"/>
          <w:lang w:val="en-US"/>
        </w:rPr>
        <w:t xml:space="preserve"> Giovanna De Luca, </w:t>
      </w:r>
      <w:proofErr w:type="spellStart"/>
      <w:r w:rsidRPr="00AB648C">
        <w:rPr>
          <w:color w:val="000000"/>
          <w:lang w:val="en-US"/>
        </w:rPr>
        <w:t>Dr</w:t>
      </w:r>
      <w:proofErr w:type="spellEnd"/>
      <w:r w:rsidRPr="00AB648C">
        <w:rPr>
          <w:color w:val="000000"/>
          <w:lang w:val="en-US"/>
        </w:rPr>
        <w:t xml:space="preserve"> Valeria Di Tommaso, </w:t>
      </w:r>
      <w:proofErr w:type="spellStart"/>
      <w:r w:rsidRPr="00AB648C">
        <w:rPr>
          <w:color w:val="000000"/>
          <w:lang w:val="en-US"/>
        </w:rPr>
        <w:t>Dr</w:t>
      </w:r>
      <w:proofErr w:type="spellEnd"/>
      <w:r w:rsidRPr="00AB648C">
        <w:rPr>
          <w:color w:val="000000"/>
          <w:lang w:val="en-US"/>
        </w:rPr>
        <w:t xml:space="preserve"> Daniela </w:t>
      </w:r>
      <w:proofErr w:type="spellStart"/>
      <w:r w:rsidRPr="00AB648C">
        <w:rPr>
          <w:color w:val="000000"/>
          <w:lang w:val="en-US"/>
        </w:rPr>
        <w:t>Travaglini</w:t>
      </w:r>
      <w:proofErr w:type="spellEnd"/>
      <w:r w:rsidRPr="00AB648C">
        <w:rPr>
          <w:color w:val="000000"/>
          <w:lang w:val="en-US"/>
        </w:rPr>
        <w:t xml:space="preserve">, </w:t>
      </w:r>
      <w:proofErr w:type="spellStart"/>
      <w:r w:rsidRPr="00AB648C">
        <w:rPr>
          <w:color w:val="000000"/>
          <w:lang w:val="en-US"/>
        </w:rPr>
        <w:t>Dr</w:t>
      </w:r>
      <w:proofErr w:type="spellEnd"/>
      <w:r w:rsidRPr="00AB648C">
        <w:rPr>
          <w:color w:val="000000"/>
          <w:lang w:val="en-US"/>
        </w:rPr>
        <w:t xml:space="preserve"> Erika </w:t>
      </w:r>
      <w:proofErr w:type="spellStart"/>
      <w:r w:rsidRPr="00AB648C">
        <w:rPr>
          <w:color w:val="000000"/>
          <w:lang w:val="en-US"/>
        </w:rPr>
        <w:t>Pietrolongo</w:t>
      </w:r>
      <w:proofErr w:type="spellEnd"/>
      <w:r w:rsidRPr="00AB648C">
        <w:rPr>
          <w:color w:val="000000"/>
          <w:lang w:val="en-US"/>
        </w:rPr>
        <w:t xml:space="preserve">, </w:t>
      </w:r>
      <w:proofErr w:type="spellStart"/>
      <w:r w:rsidRPr="00AB648C">
        <w:rPr>
          <w:color w:val="000000"/>
          <w:lang w:val="en-US"/>
        </w:rPr>
        <w:t>Dr</w:t>
      </w:r>
      <w:proofErr w:type="spellEnd"/>
      <w:r w:rsidRPr="00AB648C">
        <w:rPr>
          <w:color w:val="000000"/>
          <w:lang w:val="en-US"/>
        </w:rPr>
        <w:t xml:space="preserve"> Maria di </w:t>
      </w:r>
      <w:proofErr w:type="spellStart"/>
      <w:r w:rsidRPr="00AB648C">
        <w:rPr>
          <w:color w:val="000000"/>
          <w:lang w:val="en-US"/>
        </w:rPr>
        <w:t>Ioia</w:t>
      </w:r>
      <w:proofErr w:type="spellEnd"/>
      <w:r w:rsidRPr="00AB648C">
        <w:rPr>
          <w:color w:val="000000"/>
          <w:lang w:val="en-US"/>
        </w:rPr>
        <w:t xml:space="preserve">, </w:t>
      </w:r>
      <w:proofErr w:type="spellStart"/>
      <w:r w:rsidRPr="00AB648C">
        <w:rPr>
          <w:color w:val="000000"/>
          <w:lang w:val="en-US"/>
        </w:rPr>
        <w:t>Dr</w:t>
      </w:r>
      <w:proofErr w:type="spellEnd"/>
      <w:r w:rsidRPr="00AB648C">
        <w:rPr>
          <w:color w:val="000000"/>
          <w:lang w:val="en-US"/>
        </w:rPr>
        <w:t xml:space="preserve"> Deborah Farina, </w:t>
      </w:r>
      <w:proofErr w:type="spellStart"/>
      <w:r w:rsidRPr="00AB648C">
        <w:rPr>
          <w:color w:val="000000"/>
          <w:lang w:val="en-US"/>
        </w:rPr>
        <w:t>Dr</w:t>
      </w:r>
      <w:proofErr w:type="spellEnd"/>
      <w:r w:rsidRPr="00AB648C">
        <w:rPr>
          <w:color w:val="000000"/>
          <w:lang w:val="en-US"/>
        </w:rPr>
        <w:t xml:space="preserve"> Luca </w:t>
      </w:r>
      <w:proofErr w:type="spellStart"/>
      <w:r w:rsidRPr="00AB648C">
        <w:rPr>
          <w:color w:val="000000"/>
          <w:lang w:val="en-US"/>
        </w:rPr>
        <w:t>Mancinelli</w:t>
      </w:r>
      <w:proofErr w:type="spellEnd"/>
      <w:r w:rsidRPr="00AB648C">
        <w:rPr>
          <w:color w:val="000000"/>
          <w:lang w:val="en-US"/>
        </w:rPr>
        <w:t xml:space="preserve">. </w:t>
      </w:r>
    </w:p>
    <w:p w14:paraId="6187C60A" w14:textId="77777777" w:rsidR="00533E38" w:rsidRPr="00AB648C" w:rsidRDefault="00533E38" w:rsidP="00AB648C">
      <w:pPr>
        <w:spacing w:line="480" w:lineRule="auto"/>
        <w:rPr>
          <w:color w:val="000000"/>
          <w:lang w:val="en-US"/>
        </w:rPr>
      </w:pPr>
      <w:r w:rsidRPr="00AB648C">
        <w:rPr>
          <w:color w:val="000000"/>
          <w:lang w:val="en-US"/>
        </w:rPr>
        <w:t xml:space="preserve">From Liverpool Hospital, Sydney, Australia, </w:t>
      </w:r>
      <w:proofErr w:type="spellStart"/>
      <w:r w:rsidRPr="00AB648C">
        <w:rPr>
          <w:color w:val="000000"/>
          <w:lang w:val="en-US"/>
        </w:rPr>
        <w:t>Dr</w:t>
      </w:r>
      <w:proofErr w:type="spellEnd"/>
      <w:r w:rsidRPr="00AB648C">
        <w:rPr>
          <w:color w:val="000000"/>
          <w:lang w:val="en-US"/>
        </w:rPr>
        <w:t xml:space="preserve"> Suzanne Hodgkinson. </w:t>
      </w:r>
    </w:p>
    <w:p w14:paraId="30C54E97" w14:textId="77777777" w:rsidR="00533E38" w:rsidRPr="00AB648C" w:rsidRDefault="00533E38" w:rsidP="00533E38">
      <w:pPr>
        <w:spacing w:line="480" w:lineRule="auto"/>
        <w:rPr>
          <w:color w:val="000000"/>
          <w:lang w:val="en-US"/>
        </w:rPr>
      </w:pPr>
      <w:r w:rsidRPr="00AB648C">
        <w:rPr>
          <w:color w:val="000000"/>
          <w:lang w:val="en-US"/>
        </w:rPr>
        <w:t xml:space="preserve">From Hospital </w:t>
      </w:r>
      <w:proofErr w:type="spellStart"/>
      <w:r w:rsidRPr="00AB648C">
        <w:rPr>
          <w:color w:val="000000"/>
          <w:lang w:val="en-US"/>
        </w:rPr>
        <w:t>Clinico</w:t>
      </w:r>
      <w:proofErr w:type="spellEnd"/>
      <w:r w:rsidRPr="00AB648C">
        <w:rPr>
          <w:color w:val="000000"/>
          <w:lang w:val="en-US"/>
        </w:rPr>
        <w:t xml:space="preserve"> San Carlos, Madrid, Spain, </w:t>
      </w:r>
      <w:proofErr w:type="spellStart"/>
      <w:r w:rsidRPr="00AB648C">
        <w:rPr>
          <w:color w:val="000000"/>
          <w:lang w:val="en-US"/>
        </w:rPr>
        <w:t>Dr</w:t>
      </w:r>
      <w:proofErr w:type="spellEnd"/>
      <w:r w:rsidRPr="00AB648C">
        <w:rPr>
          <w:color w:val="000000"/>
          <w:lang w:val="en-US"/>
        </w:rPr>
        <w:t xml:space="preserve"> Celia </w:t>
      </w:r>
      <w:proofErr w:type="spellStart"/>
      <w:r w:rsidRPr="00AB648C">
        <w:rPr>
          <w:color w:val="000000"/>
          <w:lang w:val="en-US"/>
        </w:rPr>
        <w:t>Oreja</w:t>
      </w:r>
      <w:proofErr w:type="spellEnd"/>
      <w:r w:rsidRPr="00AB648C">
        <w:rPr>
          <w:color w:val="000000"/>
          <w:lang w:val="en-US"/>
        </w:rPr>
        <w:t xml:space="preserve">-Guevara. </w:t>
      </w:r>
    </w:p>
    <w:p w14:paraId="1C64D258" w14:textId="77777777" w:rsidR="00533E38" w:rsidRPr="00AB648C" w:rsidRDefault="00533E38" w:rsidP="00533E38">
      <w:pPr>
        <w:spacing w:line="480" w:lineRule="auto"/>
        <w:rPr>
          <w:color w:val="000000"/>
          <w:lang w:val="en-US"/>
        </w:rPr>
      </w:pPr>
      <w:r w:rsidRPr="00AB648C">
        <w:rPr>
          <w:color w:val="000000"/>
          <w:lang w:val="en-US"/>
        </w:rPr>
        <w:t xml:space="preserve">From KTU Medial Faculty </w:t>
      </w:r>
      <w:proofErr w:type="spellStart"/>
      <w:r w:rsidRPr="00AB648C">
        <w:rPr>
          <w:color w:val="000000"/>
          <w:lang w:val="en-US"/>
        </w:rPr>
        <w:t>Farabi</w:t>
      </w:r>
      <w:proofErr w:type="spellEnd"/>
      <w:r w:rsidRPr="00AB648C">
        <w:rPr>
          <w:color w:val="000000"/>
          <w:lang w:val="en-US"/>
        </w:rPr>
        <w:t xml:space="preserve"> Hospital, Trabzon, Turkey, </w:t>
      </w:r>
      <w:proofErr w:type="spellStart"/>
      <w:r w:rsidRPr="00AB648C">
        <w:rPr>
          <w:color w:val="000000"/>
          <w:lang w:val="en-US"/>
        </w:rPr>
        <w:t>Dr</w:t>
      </w:r>
      <w:proofErr w:type="spellEnd"/>
      <w:r w:rsidRPr="00AB648C">
        <w:rPr>
          <w:color w:val="000000"/>
          <w:lang w:val="en-US"/>
        </w:rPr>
        <w:t xml:space="preserve"> </w:t>
      </w:r>
      <w:proofErr w:type="spellStart"/>
      <w:r w:rsidRPr="00AB648C">
        <w:rPr>
          <w:color w:val="000000"/>
          <w:lang w:val="en-US"/>
        </w:rPr>
        <w:t>Cavit</w:t>
      </w:r>
      <w:proofErr w:type="spellEnd"/>
      <w:r w:rsidRPr="00AB648C">
        <w:rPr>
          <w:color w:val="000000"/>
          <w:lang w:val="en-US"/>
        </w:rPr>
        <w:t xml:space="preserve"> Boz. </w:t>
      </w:r>
    </w:p>
    <w:p w14:paraId="62E64B7D" w14:textId="77777777" w:rsidR="00533E38" w:rsidRPr="00AB648C" w:rsidRDefault="00533E38" w:rsidP="00AB648C">
      <w:pPr>
        <w:spacing w:line="480" w:lineRule="auto"/>
        <w:rPr>
          <w:color w:val="000000"/>
          <w:lang w:val="en-US"/>
        </w:rPr>
      </w:pPr>
      <w:r w:rsidRPr="00AB648C">
        <w:rPr>
          <w:color w:val="000000"/>
          <w:lang w:val="en-US"/>
        </w:rPr>
        <w:t xml:space="preserve">From CSSS Saint-Jérôme, Saint-Jerome, Canada, </w:t>
      </w:r>
      <w:proofErr w:type="spellStart"/>
      <w:r w:rsidRPr="00AB648C">
        <w:rPr>
          <w:color w:val="000000"/>
          <w:lang w:val="en-US"/>
        </w:rPr>
        <w:t>Dr</w:t>
      </w:r>
      <w:proofErr w:type="spellEnd"/>
      <w:r w:rsidRPr="00AB648C">
        <w:rPr>
          <w:color w:val="000000"/>
          <w:lang w:val="en-US"/>
        </w:rPr>
        <w:t xml:space="preserve"> Julie Prevost. </w:t>
      </w:r>
    </w:p>
    <w:p w14:paraId="37EAEC3A" w14:textId="77777777" w:rsidR="00533E38" w:rsidRPr="00AB648C" w:rsidRDefault="00533E38" w:rsidP="00AB648C">
      <w:pPr>
        <w:spacing w:line="480" w:lineRule="auto"/>
        <w:rPr>
          <w:color w:val="000000"/>
          <w:lang w:val="en-US"/>
        </w:rPr>
      </w:pPr>
      <w:r w:rsidRPr="00AB648C">
        <w:rPr>
          <w:color w:val="000000"/>
          <w:lang w:val="en-US"/>
        </w:rPr>
        <w:t xml:space="preserve">From Hospital </w:t>
      </w:r>
      <w:proofErr w:type="spellStart"/>
      <w:r w:rsidRPr="00AB648C">
        <w:rPr>
          <w:color w:val="000000"/>
          <w:lang w:val="en-US"/>
        </w:rPr>
        <w:t>Universitario</w:t>
      </w:r>
      <w:proofErr w:type="spellEnd"/>
      <w:r w:rsidRPr="00AB648C">
        <w:rPr>
          <w:color w:val="000000"/>
          <w:lang w:val="en-US"/>
        </w:rPr>
        <w:t xml:space="preserve"> </w:t>
      </w:r>
      <w:proofErr w:type="spellStart"/>
      <w:r w:rsidRPr="00AB648C">
        <w:rPr>
          <w:color w:val="000000"/>
          <w:lang w:val="en-US"/>
        </w:rPr>
        <w:t>Donostia</w:t>
      </w:r>
      <w:proofErr w:type="spellEnd"/>
      <w:r w:rsidRPr="00AB648C">
        <w:rPr>
          <w:color w:val="000000"/>
          <w:lang w:val="en-US"/>
        </w:rPr>
        <w:t xml:space="preserve">, San Sebastien, Spain, </w:t>
      </w:r>
      <w:proofErr w:type="spellStart"/>
      <w:r w:rsidRPr="00AB648C">
        <w:rPr>
          <w:color w:val="000000"/>
          <w:lang w:val="en-US"/>
        </w:rPr>
        <w:t>Dr</w:t>
      </w:r>
      <w:proofErr w:type="spellEnd"/>
      <w:r w:rsidRPr="00AB648C">
        <w:rPr>
          <w:color w:val="000000"/>
          <w:lang w:val="en-US"/>
        </w:rPr>
        <w:t xml:space="preserve"> Javier </w:t>
      </w:r>
      <w:proofErr w:type="spellStart"/>
      <w:r w:rsidRPr="00AB648C">
        <w:rPr>
          <w:color w:val="000000"/>
          <w:lang w:val="en-US"/>
        </w:rPr>
        <w:t>Olascoaga</w:t>
      </w:r>
      <w:proofErr w:type="spellEnd"/>
      <w:r w:rsidRPr="00AB648C">
        <w:rPr>
          <w:color w:val="000000"/>
          <w:lang w:val="en-US"/>
        </w:rPr>
        <w:t xml:space="preserve">. </w:t>
      </w:r>
    </w:p>
    <w:p w14:paraId="4A75438A" w14:textId="77777777" w:rsidR="00533E38" w:rsidRPr="00AB648C" w:rsidRDefault="00533E38" w:rsidP="00AB648C">
      <w:pPr>
        <w:spacing w:line="480" w:lineRule="auto"/>
        <w:rPr>
          <w:color w:val="000000"/>
          <w:lang w:val="en-US"/>
        </w:rPr>
      </w:pPr>
      <w:r w:rsidRPr="00AB648C">
        <w:rPr>
          <w:color w:val="000000"/>
          <w:lang w:val="en-US"/>
        </w:rPr>
        <w:t xml:space="preserve">From Rehabilitation and MS-Centre, </w:t>
      </w:r>
      <w:proofErr w:type="spellStart"/>
      <w:r w:rsidRPr="00AB648C">
        <w:rPr>
          <w:color w:val="000000"/>
          <w:lang w:val="en-US"/>
        </w:rPr>
        <w:t>Overpelt</w:t>
      </w:r>
      <w:proofErr w:type="spellEnd"/>
      <w:r w:rsidRPr="00AB648C">
        <w:rPr>
          <w:color w:val="000000"/>
          <w:lang w:val="en-US"/>
        </w:rPr>
        <w:t xml:space="preserve"> and Hasselt University, Hasselt, Belgium, </w:t>
      </w:r>
      <w:proofErr w:type="spellStart"/>
      <w:r w:rsidRPr="00AB648C">
        <w:rPr>
          <w:color w:val="000000"/>
          <w:lang w:val="en-US"/>
        </w:rPr>
        <w:t>Dr</w:t>
      </w:r>
      <w:proofErr w:type="spellEnd"/>
      <w:r w:rsidRPr="00AB648C">
        <w:rPr>
          <w:color w:val="000000"/>
          <w:lang w:val="en-US"/>
        </w:rPr>
        <w:t xml:space="preserve"> Bart Van </w:t>
      </w:r>
      <w:proofErr w:type="spellStart"/>
      <w:r w:rsidRPr="00AB648C">
        <w:rPr>
          <w:color w:val="000000"/>
          <w:lang w:val="en-US"/>
        </w:rPr>
        <w:t>Wijmeersch</w:t>
      </w:r>
      <w:proofErr w:type="spellEnd"/>
      <w:r w:rsidRPr="00AB648C">
        <w:rPr>
          <w:color w:val="000000"/>
          <w:lang w:val="en-US"/>
        </w:rPr>
        <w:t xml:space="preserve"> </w:t>
      </w:r>
    </w:p>
    <w:p w14:paraId="0FACD024" w14:textId="77777777" w:rsidR="00533E38" w:rsidRPr="00AB648C" w:rsidRDefault="00533E38" w:rsidP="00533E38">
      <w:pPr>
        <w:spacing w:line="480" w:lineRule="auto"/>
        <w:rPr>
          <w:color w:val="000000"/>
          <w:lang w:val="en-US"/>
        </w:rPr>
      </w:pPr>
      <w:r w:rsidRPr="00AB648C">
        <w:rPr>
          <w:color w:val="000000"/>
          <w:lang w:val="en-US"/>
        </w:rPr>
        <w:t xml:space="preserve">From the Brain and Mind Centre, Sydney, Australia, </w:t>
      </w:r>
      <w:proofErr w:type="spellStart"/>
      <w:r w:rsidRPr="00AB648C">
        <w:rPr>
          <w:color w:val="000000"/>
          <w:lang w:val="en-US"/>
        </w:rPr>
        <w:t>Dr</w:t>
      </w:r>
      <w:proofErr w:type="spellEnd"/>
      <w:r w:rsidRPr="00AB648C">
        <w:rPr>
          <w:color w:val="000000"/>
          <w:lang w:val="en-US"/>
        </w:rPr>
        <w:t xml:space="preserve"> Michael Barnett. </w:t>
      </w:r>
    </w:p>
    <w:p w14:paraId="73B9A1BC" w14:textId="77777777" w:rsidR="00533E38" w:rsidRPr="00AB648C" w:rsidRDefault="00533E38" w:rsidP="00533E38">
      <w:pPr>
        <w:spacing w:line="480" w:lineRule="auto"/>
        <w:rPr>
          <w:color w:val="000000"/>
          <w:lang w:val="en-US"/>
        </w:rPr>
      </w:pPr>
      <w:r w:rsidRPr="00AB648C">
        <w:rPr>
          <w:color w:val="000000"/>
          <w:lang w:val="en-US"/>
        </w:rPr>
        <w:t xml:space="preserve">From </w:t>
      </w:r>
      <w:proofErr w:type="spellStart"/>
      <w:r w:rsidRPr="00AB648C">
        <w:rPr>
          <w:color w:val="000000"/>
          <w:lang w:val="en-US"/>
        </w:rPr>
        <w:t>Groene</w:t>
      </w:r>
      <w:proofErr w:type="spellEnd"/>
      <w:r w:rsidRPr="00AB648C">
        <w:rPr>
          <w:color w:val="000000"/>
          <w:lang w:val="en-US"/>
        </w:rPr>
        <w:t xml:space="preserve"> Hart </w:t>
      </w:r>
      <w:proofErr w:type="spellStart"/>
      <w:r w:rsidRPr="00AB648C">
        <w:rPr>
          <w:color w:val="000000"/>
          <w:lang w:val="en-US"/>
        </w:rPr>
        <w:t>Ziekenhuis</w:t>
      </w:r>
      <w:proofErr w:type="spellEnd"/>
      <w:r w:rsidRPr="00AB648C">
        <w:rPr>
          <w:color w:val="000000"/>
          <w:lang w:val="en-US"/>
        </w:rPr>
        <w:t xml:space="preserve">, Gouda, The Netherlands, </w:t>
      </w:r>
      <w:proofErr w:type="spellStart"/>
      <w:r w:rsidRPr="00AB648C">
        <w:rPr>
          <w:color w:val="000000"/>
          <w:lang w:val="en-US"/>
        </w:rPr>
        <w:t>Dr</w:t>
      </w:r>
      <w:proofErr w:type="spellEnd"/>
      <w:r w:rsidRPr="00AB648C">
        <w:rPr>
          <w:color w:val="000000"/>
          <w:lang w:val="en-US"/>
        </w:rPr>
        <w:t xml:space="preserve"> </w:t>
      </w:r>
      <w:proofErr w:type="spellStart"/>
      <w:r w:rsidRPr="00AB648C">
        <w:rPr>
          <w:color w:val="000000"/>
          <w:lang w:val="en-US"/>
        </w:rPr>
        <w:t>Freek</w:t>
      </w:r>
      <w:proofErr w:type="spellEnd"/>
      <w:r w:rsidRPr="00AB648C">
        <w:rPr>
          <w:color w:val="000000"/>
          <w:lang w:val="en-US"/>
        </w:rPr>
        <w:t xml:space="preserve"> </w:t>
      </w:r>
      <w:proofErr w:type="spellStart"/>
      <w:r w:rsidRPr="00AB648C">
        <w:rPr>
          <w:color w:val="000000"/>
          <w:lang w:val="en-US"/>
        </w:rPr>
        <w:t>Verheul</w:t>
      </w:r>
      <w:proofErr w:type="spellEnd"/>
      <w:r w:rsidRPr="00AB648C">
        <w:rPr>
          <w:color w:val="000000"/>
          <w:lang w:val="en-US"/>
        </w:rPr>
        <w:t xml:space="preserve">. </w:t>
      </w:r>
    </w:p>
    <w:p w14:paraId="337E8D07" w14:textId="77777777" w:rsidR="00533E38" w:rsidRPr="00AB648C" w:rsidRDefault="00533E38" w:rsidP="00AB648C">
      <w:pPr>
        <w:spacing w:line="480" w:lineRule="auto"/>
        <w:rPr>
          <w:color w:val="000000"/>
          <w:lang w:val="en-US"/>
        </w:rPr>
      </w:pPr>
      <w:r w:rsidRPr="00AB648C">
        <w:rPr>
          <w:color w:val="000000"/>
          <w:lang w:val="en-US"/>
        </w:rPr>
        <w:t xml:space="preserve">From Hospital </w:t>
      </w:r>
      <w:proofErr w:type="spellStart"/>
      <w:r w:rsidRPr="00AB648C">
        <w:rPr>
          <w:color w:val="000000"/>
          <w:lang w:val="en-US"/>
        </w:rPr>
        <w:t>Italiano</w:t>
      </w:r>
      <w:proofErr w:type="spellEnd"/>
      <w:r w:rsidRPr="00AB648C">
        <w:rPr>
          <w:color w:val="000000"/>
          <w:lang w:val="en-US"/>
        </w:rPr>
        <w:t xml:space="preserve">, Buenos Aires, Argentina, </w:t>
      </w:r>
      <w:proofErr w:type="spellStart"/>
      <w:r w:rsidRPr="00AB648C">
        <w:rPr>
          <w:color w:val="000000"/>
          <w:lang w:val="en-US"/>
        </w:rPr>
        <w:t>Dr</w:t>
      </w:r>
      <w:proofErr w:type="spellEnd"/>
      <w:r w:rsidRPr="00AB648C">
        <w:rPr>
          <w:color w:val="000000"/>
          <w:lang w:val="en-US"/>
        </w:rPr>
        <w:t xml:space="preserve"> Juan </w:t>
      </w:r>
      <w:proofErr w:type="spellStart"/>
      <w:r w:rsidRPr="00AB648C">
        <w:rPr>
          <w:color w:val="000000"/>
          <w:lang w:val="en-US"/>
        </w:rPr>
        <w:t>Ingacio</w:t>
      </w:r>
      <w:proofErr w:type="spellEnd"/>
      <w:r w:rsidRPr="00AB648C">
        <w:rPr>
          <w:color w:val="000000"/>
          <w:lang w:val="en-US"/>
        </w:rPr>
        <w:t xml:space="preserve"> Rojas. </w:t>
      </w:r>
    </w:p>
    <w:p w14:paraId="18F51665" w14:textId="77777777" w:rsidR="00533E38" w:rsidRPr="00AB648C" w:rsidRDefault="00533E38" w:rsidP="00533E38">
      <w:pPr>
        <w:spacing w:line="480" w:lineRule="auto"/>
        <w:rPr>
          <w:color w:val="000000"/>
          <w:lang w:val="en-US"/>
        </w:rPr>
      </w:pPr>
      <w:r w:rsidRPr="00AB648C">
        <w:rPr>
          <w:color w:val="000000"/>
          <w:lang w:val="en-US"/>
        </w:rPr>
        <w:t xml:space="preserve">From </w:t>
      </w:r>
      <w:proofErr w:type="spellStart"/>
      <w:r w:rsidRPr="00AB648C">
        <w:rPr>
          <w:color w:val="000000"/>
          <w:lang w:val="en-US"/>
        </w:rPr>
        <w:t>Azienda</w:t>
      </w:r>
      <w:proofErr w:type="spellEnd"/>
      <w:r w:rsidRPr="00AB648C">
        <w:rPr>
          <w:color w:val="000000"/>
          <w:lang w:val="en-US"/>
        </w:rPr>
        <w:t xml:space="preserve"> </w:t>
      </w:r>
      <w:proofErr w:type="spellStart"/>
      <w:r w:rsidRPr="00AB648C">
        <w:rPr>
          <w:color w:val="000000"/>
          <w:lang w:val="en-US"/>
        </w:rPr>
        <w:t>Ospedaliera</w:t>
      </w:r>
      <w:proofErr w:type="spellEnd"/>
      <w:r w:rsidRPr="00AB648C">
        <w:rPr>
          <w:color w:val="000000"/>
          <w:lang w:val="en-US"/>
        </w:rPr>
        <w:t xml:space="preserve"> di </w:t>
      </w:r>
      <w:proofErr w:type="spellStart"/>
      <w:r w:rsidRPr="00AB648C">
        <w:rPr>
          <w:color w:val="000000"/>
          <w:lang w:val="en-US"/>
        </w:rPr>
        <w:t>Rilievo</w:t>
      </w:r>
      <w:proofErr w:type="spellEnd"/>
      <w:r w:rsidRPr="00AB648C">
        <w:rPr>
          <w:color w:val="000000"/>
          <w:lang w:val="en-US"/>
        </w:rPr>
        <w:t xml:space="preserve"> Nazionale San </w:t>
      </w:r>
      <w:proofErr w:type="spellStart"/>
      <w:r w:rsidRPr="00AB648C">
        <w:rPr>
          <w:color w:val="000000"/>
          <w:lang w:val="en-US"/>
        </w:rPr>
        <w:t>Guiseppe</w:t>
      </w:r>
      <w:proofErr w:type="spellEnd"/>
      <w:r w:rsidRPr="00AB648C">
        <w:rPr>
          <w:color w:val="000000"/>
          <w:lang w:val="en-US"/>
        </w:rPr>
        <w:t xml:space="preserve">, Avellino, Italy, </w:t>
      </w:r>
      <w:proofErr w:type="spellStart"/>
      <w:r w:rsidRPr="00AB648C">
        <w:rPr>
          <w:color w:val="000000"/>
          <w:lang w:val="en-US"/>
        </w:rPr>
        <w:t>Dr</w:t>
      </w:r>
      <w:proofErr w:type="spellEnd"/>
      <w:r w:rsidRPr="00AB648C">
        <w:rPr>
          <w:color w:val="000000"/>
          <w:lang w:val="en-US"/>
        </w:rPr>
        <w:t xml:space="preserve"> Daniele </w:t>
      </w:r>
      <w:proofErr w:type="spellStart"/>
      <w:r w:rsidRPr="00AB648C">
        <w:rPr>
          <w:color w:val="000000"/>
          <w:lang w:val="en-US"/>
        </w:rPr>
        <w:t>Spitaleri</w:t>
      </w:r>
      <w:proofErr w:type="spellEnd"/>
      <w:r w:rsidRPr="00AB648C">
        <w:rPr>
          <w:color w:val="000000"/>
          <w:lang w:val="en-US"/>
        </w:rPr>
        <w:t xml:space="preserve"> </w:t>
      </w:r>
    </w:p>
    <w:p w14:paraId="0D68D3CC" w14:textId="77777777" w:rsidR="00533E38" w:rsidRPr="00AB648C" w:rsidRDefault="00533E38" w:rsidP="00AB648C">
      <w:pPr>
        <w:spacing w:line="480" w:lineRule="auto"/>
        <w:rPr>
          <w:color w:val="000000"/>
          <w:lang w:val="en-US"/>
        </w:rPr>
      </w:pPr>
      <w:r w:rsidRPr="00AB648C">
        <w:rPr>
          <w:color w:val="000000"/>
          <w:lang w:val="en-US"/>
        </w:rPr>
        <w:t xml:space="preserve">From Hospital São João, Porto, Portugal, </w:t>
      </w:r>
      <w:proofErr w:type="spellStart"/>
      <w:r w:rsidRPr="00AB648C">
        <w:rPr>
          <w:color w:val="000000"/>
          <w:lang w:val="en-US"/>
        </w:rPr>
        <w:t>Dr</w:t>
      </w:r>
      <w:proofErr w:type="spellEnd"/>
      <w:r w:rsidRPr="00AB648C">
        <w:rPr>
          <w:color w:val="000000"/>
          <w:lang w:val="en-US"/>
        </w:rPr>
        <w:t xml:space="preserve"> Maria </w:t>
      </w:r>
      <w:proofErr w:type="spellStart"/>
      <w:r w:rsidRPr="00AB648C">
        <w:rPr>
          <w:color w:val="000000"/>
          <w:lang w:val="en-US"/>
        </w:rPr>
        <w:t>Edite</w:t>
      </w:r>
      <w:proofErr w:type="spellEnd"/>
      <w:r w:rsidRPr="00AB648C">
        <w:rPr>
          <w:color w:val="000000"/>
          <w:lang w:val="en-US"/>
        </w:rPr>
        <w:t xml:space="preserve"> Rio. </w:t>
      </w:r>
    </w:p>
    <w:p w14:paraId="0991E7F1"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gramStart"/>
      <w:r w:rsidRPr="00AB648C">
        <w:rPr>
          <w:color w:val="000000"/>
          <w:lang w:val="en-US"/>
        </w:rPr>
        <w:t>The</w:t>
      </w:r>
      <w:proofErr w:type="gramEnd"/>
      <w:r w:rsidRPr="00AB648C">
        <w:rPr>
          <w:color w:val="000000"/>
          <w:lang w:val="en-US"/>
        </w:rPr>
        <w:t xml:space="preserve"> Royal Hobart Hospital, Hobart, Australia, </w:t>
      </w:r>
      <w:proofErr w:type="spellStart"/>
      <w:r w:rsidRPr="00AB648C">
        <w:rPr>
          <w:color w:val="000000"/>
          <w:lang w:val="en-US"/>
        </w:rPr>
        <w:t>Dr</w:t>
      </w:r>
      <w:proofErr w:type="spellEnd"/>
      <w:r w:rsidRPr="00AB648C">
        <w:rPr>
          <w:color w:val="000000"/>
          <w:lang w:val="en-US"/>
        </w:rPr>
        <w:t xml:space="preserve"> Bruce Taylor. </w:t>
      </w:r>
    </w:p>
    <w:p w14:paraId="3D7BD02F" w14:textId="77777777" w:rsidR="00533E38" w:rsidRPr="00AB648C" w:rsidRDefault="00533E38" w:rsidP="00AB648C">
      <w:pPr>
        <w:spacing w:line="480" w:lineRule="auto"/>
        <w:rPr>
          <w:color w:val="000000"/>
          <w:lang w:val="en-US"/>
        </w:rPr>
      </w:pPr>
      <w:r w:rsidRPr="00AB648C">
        <w:rPr>
          <w:color w:val="000000"/>
          <w:lang w:val="en-US"/>
        </w:rPr>
        <w:t xml:space="preserve">From Hospital de </w:t>
      </w:r>
      <w:proofErr w:type="spellStart"/>
      <w:r w:rsidRPr="00AB648C">
        <w:rPr>
          <w:color w:val="000000"/>
          <w:lang w:val="en-US"/>
        </w:rPr>
        <w:t>Galdakao-Usansolo</w:t>
      </w:r>
      <w:proofErr w:type="spellEnd"/>
      <w:r w:rsidRPr="00AB648C">
        <w:rPr>
          <w:color w:val="000000"/>
          <w:lang w:val="en-US"/>
        </w:rPr>
        <w:t xml:space="preserve">, </w:t>
      </w:r>
      <w:proofErr w:type="spellStart"/>
      <w:r w:rsidRPr="00AB648C">
        <w:rPr>
          <w:color w:val="000000"/>
          <w:lang w:val="en-US"/>
        </w:rPr>
        <w:t>Galdakao</w:t>
      </w:r>
      <w:proofErr w:type="spellEnd"/>
      <w:r w:rsidRPr="00AB648C">
        <w:rPr>
          <w:color w:val="000000"/>
          <w:lang w:val="en-US"/>
        </w:rPr>
        <w:t xml:space="preserve">, Spain, </w:t>
      </w:r>
      <w:proofErr w:type="spellStart"/>
      <w:r w:rsidRPr="00AB648C">
        <w:rPr>
          <w:color w:val="000000"/>
          <w:lang w:val="en-US"/>
        </w:rPr>
        <w:t>Dr</w:t>
      </w:r>
      <w:proofErr w:type="spellEnd"/>
      <w:r w:rsidRPr="00AB648C">
        <w:rPr>
          <w:color w:val="000000"/>
          <w:lang w:val="en-US"/>
        </w:rPr>
        <w:t xml:space="preserve"> Jose Luis Sanchez-</w:t>
      </w:r>
      <w:proofErr w:type="spellStart"/>
      <w:r w:rsidRPr="00AB648C">
        <w:rPr>
          <w:color w:val="000000"/>
          <w:lang w:val="en-US"/>
        </w:rPr>
        <w:t>Menoyo</w:t>
      </w:r>
      <w:proofErr w:type="spellEnd"/>
      <w:r w:rsidRPr="00AB648C">
        <w:rPr>
          <w:color w:val="000000"/>
          <w:lang w:val="en-US"/>
        </w:rPr>
        <w:t xml:space="preserve">. From Hospital Germans </w:t>
      </w:r>
      <w:proofErr w:type="spellStart"/>
      <w:r w:rsidRPr="00AB648C">
        <w:rPr>
          <w:color w:val="000000"/>
          <w:lang w:val="en-US"/>
        </w:rPr>
        <w:t>Trias</w:t>
      </w:r>
      <w:proofErr w:type="spellEnd"/>
      <w:r w:rsidRPr="00AB648C">
        <w:rPr>
          <w:color w:val="000000"/>
          <w:lang w:val="en-US"/>
        </w:rPr>
        <w:t xml:space="preserve"> I </w:t>
      </w:r>
      <w:proofErr w:type="spellStart"/>
      <w:r w:rsidRPr="00AB648C">
        <w:rPr>
          <w:color w:val="000000"/>
          <w:lang w:val="en-US"/>
        </w:rPr>
        <w:t>Pujol</w:t>
      </w:r>
      <w:proofErr w:type="spellEnd"/>
      <w:r w:rsidRPr="00AB648C">
        <w:rPr>
          <w:color w:val="000000"/>
          <w:lang w:val="en-US"/>
        </w:rPr>
        <w:t xml:space="preserve">, Badalona, Spain, </w:t>
      </w:r>
      <w:proofErr w:type="spellStart"/>
      <w:r w:rsidRPr="00AB648C">
        <w:rPr>
          <w:color w:val="000000"/>
          <w:lang w:val="en-US"/>
        </w:rPr>
        <w:t>Dr</w:t>
      </w:r>
      <w:proofErr w:type="spellEnd"/>
      <w:r w:rsidRPr="00AB648C">
        <w:rPr>
          <w:color w:val="000000"/>
          <w:lang w:val="en-US"/>
        </w:rPr>
        <w:t xml:space="preserve"> Cristina </w:t>
      </w:r>
      <w:proofErr w:type="spellStart"/>
      <w:r w:rsidRPr="00AB648C">
        <w:rPr>
          <w:color w:val="000000"/>
          <w:lang w:val="en-US"/>
        </w:rPr>
        <w:t>Ramo</w:t>
      </w:r>
      <w:proofErr w:type="spellEnd"/>
      <w:r w:rsidRPr="00AB648C">
        <w:rPr>
          <w:color w:val="000000"/>
          <w:lang w:val="en-US"/>
        </w:rPr>
        <w:t xml:space="preserve">-Tello </w:t>
      </w:r>
    </w:p>
    <w:p w14:paraId="51EE676D" w14:textId="77777777" w:rsidR="00533E38" w:rsidRPr="00AB648C" w:rsidRDefault="00533E38" w:rsidP="00533E38">
      <w:pPr>
        <w:spacing w:line="480" w:lineRule="auto"/>
        <w:rPr>
          <w:color w:val="000000"/>
          <w:lang w:val="en-US"/>
        </w:rPr>
      </w:pPr>
      <w:r w:rsidRPr="00AB648C">
        <w:rPr>
          <w:color w:val="000000"/>
          <w:lang w:val="en-US"/>
        </w:rPr>
        <w:t xml:space="preserve">From </w:t>
      </w:r>
      <w:proofErr w:type="spellStart"/>
      <w:r w:rsidRPr="00AB648C">
        <w:rPr>
          <w:color w:val="000000"/>
          <w:lang w:val="en-US"/>
        </w:rPr>
        <w:t>Ospendale</w:t>
      </w:r>
      <w:proofErr w:type="spellEnd"/>
      <w:r w:rsidRPr="00AB648C">
        <w:rPr>
          <w:color w:val="000000"/>
          <w:lang w:val="en-US"/>
        </w:rPr>
        <w:t xml:space="preserve"> P. A. </w:t>
      </w:r>
      <w:proofErr w:type="spellStart"/>
      <w:r w:rsidRPr="00AB648C">
        <w:rPr>
          <w:color w:val="000000"/>
          <w:lang w:val="en-US"/>
        </w:rPr>
        <w:t>Micone</w:t>
      </w:r>
      <w:proofErr w:type="spellEnd"/>
      <w:r w:rsidRPr="00AB648C">
        <w:rPr>
          <w:color w:val="000000"/>
          <w:lang w:val="en-US"/>
        </w:rPr>
        <w:t xml:space="preserve">, Genova, Italy, </w:t>
      </w:r>
      <w:proofErr w:type="spellStart"/>
      <w:r w:rsidRPr="00AB648C">
        <w:rPr>
          <w:color w:val="000000"/>
          <w:lang w:val="en-US"/>
        </w:rPr>
        <w:t>Dr</w:t>
      </w:r>
      <w:proofErr w:type="spellEnd"/>
      <w:r w:rsidRPr="00AB648C">
        <w:rPr>
          <w:color w:val="000000"/>
          <w:lang w:val="en-US"/>
        </w:rPr>
        <w:t xml:space="preserve"> Claudio </w:t>
      </w:r>
      <w:proofErr w:type="spellStart"/>
      <w:r w:rsidRPr="00AB648C">
        <w:rPr>
          <w:color w:val="000000"/>
          <w:lang w:val="en-US"/>
        </w:rPr>
        <w:t>Solaro</w:t>
      </w:r>
      <w:proofErr w:type="spellEnd"/>
      <w:r w:rsidRPr="00AB648C">
        <w:rPr>
          <w:color w:val="000000"/>
          <w:lang w:val="en-US"/>
        </w:rPr>
        <w:t xml:space="preserve"> </w:t>
      </w:r>
    </w:p>
    <w:p w14:paraId="42029DF5" w14:textId="77777777" w:rsidR="00533E38" w:rsidRPr="00AB648C" w:rsidRDefault="00533E38" w:rsidP="00533E38">
      <w:pPr>
        <w:spacing w:line="480" w:lineRule="auto"/>
        <w:rPr>
          <w:color w:val="000000"/>
          <w:lang w:val="en-US"/>
        </w:rPr>
      </w:pPr>
      <w:r w:rsidRPr="00AB648C">
        <w:rPr>
          <w:color w:val="000000"/>
          <w:lang w:val="en-US"/>
        </w:rPr>
        <w:t xml:space="preserve">From University of Debrecen, Debrecen, Hungary, </w:t>
      </w:r>
      <w:proofErr w:type="spellStart"/>
      <w:r w:rsidRPr="00AB648C">
        <w:rPr>
          <w:color w:val="000000"/>
          <w:lang w:val="en-US"/>
        </w:rPr>
        <w:t>Dr</w:t>
      </w:r>
      <w:proofErr w:type="spellEnd"/>
      <w:r w:rsidRPr="00AB648C">
        <w:rPr>
          <w:color w:val="000000"/>
          <w:lang w:val="en-US"/>
        </w:rPr>
        <w:t xml:space="preserve"> Tunde </w:t>
      </w:r>
      <w:proofErr w:type="spellStart"/>
      <w:r w:rsidRPr="00AB648C">
        <w:rPr>
          <w:color w:val="000000"/>
          <w:lang w:val="en-US"/>
        </w:rPr>
        <w:t>Csepany</w:t>
      </w:r>
      <w:proofErr w:type="spellEnd"/>
      <w:r w:rsidRPr="00AB648C">
        <w:rPr>
          <w:color w:val="000000"/>
          <w:lang w:val="en-US"/>
        </w:rPr>
        <w:t xml:space="preserve"> </w:t>
      </w:r>
    </w:p>
    <w:p w14:paraId="7972A647"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spellStart"/>
      <w:r w:rsidRPr="00AB648C">
        <w:rPr>
          <w:color w:val="000000"/>
          <w:lang w:val="en-US"/>
        </w:rPr>
        <w:t>Ospedali</w:t>
      </w:r>
      <w:proofErr w:type="spellEnd"/>
      <w:r w:rsidRPr="00AB648C">
        <w:rPr>
          <w:color w:val="000000"/>
          <w:lang w:val="en-US"/>
        </w:rPr>
        <w:t xml:space="preserve"> </w:t>
      </w:r>
      <w:proofErr w:type="spellStart"/>
      <w:r w:rsidRPr="00AB648C">
        <w:rPr>
          <w:color w:val="000000"/>
          <w:lang w:val="en-US"/>
        </w:rPr>
        <w:t>Riuniti</w:t>
      </w:r>
      <w:proofErr w:type="spellEnd"/>
      <w:r w:rsidRPr="00AB648C">
        <w:rPr>
          <w:color w:val="000000"/>
          <w:lang w:val="en-US"/>
        </w:rPr>
        <w:t xml:space="preserve"> di Salerno, Italy, </w:t>
      </w:r>
      <w:proofErr w:type="spellStart"/>
      <w:r w:rsidRPr="00AB648C">
        <w:rPr>
          <w:color w:val="000000"/>
          <w:lang w:val="en-US"/>
        </w:rPr>
        <w:t>Dr</w:t>
      </w:r>
      <w:proofErr w:type="spellEnd"/>
      <w:r w:rsidRPr="00AB648C">
        <w:rPr>
          <w:color w:val="000000"/>
          <w:lang w:val="en-US"/>
        </w:rPr>
        <w:t xml:space="preserve"> Gerardo </w:t>
      </w:r>
      <w:proofErr w:type="spellStart"/>
      <w:r w:rsidRPr="00AB648C">
        <w:rPr>
          <w:color w:val="000000"/>
          <w:lang w:val="en-US"/>
        </w:rPr>
        <w:t>Iuliano</w:t>
      </w:r>
      <w:proofErr w:type="spellEnd"/>
      <w:r w:rsidRPr="00AB648C">
        <w:rPr>
          <w:color w:val="000000"/>
          <w:lang w:val="en-US"/>
        </w:rPr>
        <w:t xml:space="preserve">. </w:t>
      </w:r>
    </w:p>
    <w:p w14:paraId="3E61EFAC"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gramStart"/>
      <w:r w:rsidRPr="00AB648C">
        <w:rPr>
          <w:color w:val="000000"/>
          <w:lang w:val="en-US"/>
        </w:rPr>
        <w:t>The</w:t>
      </w:r>
      <w:proofErr w:type="gramEnd"/>
      <w:r w:rsidRPr="00AB648C">
        <w:rPr>
          <w:color w:val="000000"/>
          <w:lang w:val="en-US"/>
        </w:rPr>
        <w:t xml:space="preserve"> Alfred, Melbourne, Australia, </w:t>
      </w:r>
      <w:proofErr w:type="spellStart"/>
      <w:r w:rsidRPr="00AB648C">
        <w:rPr>
          <w:color w:val="000000"/>
          <w:lang w:val="en-US"/>
        </w:rPr>
        <w:t>Dr</w:t>
      </w:r>
      <w:proofErr w:type="spellEnd"/>
      <w:r w:rsidRPr="00AB648C">
        <w:rPr>
          <w:color w:val="000000"/>
          <w:lang w:val="en-US"/>
        </w:rPr>
        <w:t xml:space="preserve"> Olga </w:t>
      </w:r>
      <w:proofErr w:type="spellStart"/>
      <w:r w:rsidRPr="00AB648C">
        <w:rPr>
          <w:color w:val="000000"/>
          <w:lang w:val="en-US"/>
        </w:rPr>
        <w:t>Skibina</w:t>
      </w:r>
      <w:proofErr w:type="spellEnd"/>
      <w:r w:rsidRPr="00AB648C">
        <w:rPr>
          <w:color w:val="000000"/>
          <w:lang w:val="en-US"/>
        </w:rPr>
        <w:t xml:space="preserve">. </w:t>
      </w:r>
    </w:p>
    <w:p w14:paraId="4E347951"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spellStart"/>
      <w:r w:rsidRPr="00AB648C">
        <w:rPr>
          <w:color w:val="000000"/>
          <w:lang w:val="en-US"/>
        </w:rPr>
        <w:t>Kommunehospitalet</w:t>
      </w:r>
      <w:proofErr w:type="spellEnd"/>
      <w:r w:rsidRPr="00AB648C">
        <w:rPr>
          <w:color w:val="000000"/>
          <w:lang w:val="en-US"/>
        </w:rPr>
        <w:t xml:space="preserve">, Arhus C, Denmark, </w:t>
      </w:r>
      <w:proofErr w:type="spellStart"/>
      <w:r w:rsidRPr="00AB648C">
        <w:rPr>
          <w:color w:val="000000"/>
          <w:lang w:val="en-US"/>
        </w:rPr>
        <w:t>Dr</w:t>
      </w:r>
      <w:proofErr w:type="spellEnd"/>
      <w:r w:rsidRPr="00AB648C">
        <w:rPr>
          <w:color w:val="000000"/>
          <w:lang w:val="en-US"/>
        </w:rPr>
        <w:t xml:space="preserve"> Thor Petersen. </w:t>
      </w:r>
    </w:p>
    <w:p w14:paraId="4E1EFE7A" w14:textId="77777777" w:rsidR="00533E38" w:rsidRPr="00AB648C" w:rsidRDefault="00533E38" w:rsidP="00533E38">
      <w:pPr>
        <w:spacing w:line="480" w:lineRule="auto"/>
        <w:rPr>
          <w:color w:val="000000"/>
          <w:lang w:val="en-US"/>
        </w:rPr>
      </w:pPr>
      <w:r w:rsidRPr="00AB648C">
        <w:rPr>
          <w:color w:val="000000"/>
          <w:lang w:val="en-US"/>
        </w:rPr>
        <w:t xml:space="preserve">From Hospital </w:t>
      </w:r>
      <w:proofErr w:type="spellStart"/>
      <w:r w:rsidRPr="00AB648C">
        <w:rPr>
          <w:color w:val="000000"/>
          <w:lang w:val="en-US"/>
        </w:rPr>
        <w:t>Universitario</w:t>
      </w:r>
      <w:proofErr w:type="spellEnd"/>
      <w:r w:rsidRPr="00AB648C">
        <w:rPr>
          <w:color w:val="000000"/>
          <w:lang w:val="en-US"/>
        </w:rPr>
        <w:t xml:space="preserve"> Virgen de </w:t>
      </w:r>
      <w:proofErr w:type="spellStart"/>
      <w:r w:rsidRPr="00AB648C">
        <w:rPr>
          <w:color w:val="000000"/>
          <w:lang w:val="en-US"/>
        </w:rPr>
        <w:t>Valme</w:t>
      </w:r>
      <w:proofErr w:type="spellEnd"/>
      <w:r w:rsidRPr="00AB648C">
        <w:rPr>
          <w:color w:val="000000"/>
          <w:lang w:val="en-US"/>
        </w:rPr>
        <w:t xml:space="preserve">, Spain, </w:t>
      </w:r>
      <w:proofErr w:type="spellStart"/>
      <w:r w:rsidRPr="00AB648C">
        <w:rPr>
          <w:color w:val="000000"/>
          <w:lang w:val="en-US"/>
        </w:rPr>
        <w:t>Dr</w:t>
      </w:r>
      <w:proofErr w:type="spellEnd"/>
      <w:r w:rsidRPr="00AB648C">
        <w:rPr>
          <w:color w:val="000000"/>
          <w:lang w:val="en-US"/>
        </w:rPr>
        <w:t xml:space="preserve"> Ricardo Fernandez Bolaños. </w:t>
      </w:r>
    </w:p>
    <w:p w14:paraId="1615774C" w14:textId="77777777" w:rsidR="00533E38" w:rsidRPr="00AB648C" w:rsidRDefault="00533E38" w:rsidP="00533E38">
      <w:pPr>
        <w:spacing w:line="480" w:lineRule="auto"/>
        <w:rPr>
          <w:color w:val="000000"/>
          <w:lang w:val="en-US"/>
        </w:rPr>
      </w:pPr>
      <w:r w:rsidRPr="00AB648C">
        <w:rPr>
          <w:color w:val="000000"/>
          <w:lang w:val="en-US"/>
        </w:rPr>
        <w:t xml:space="preserve">From </w:t>
      </w:r>
      <w:proofErr w:type="spellStart"/>
      <w:r w:rsidRPr="00AB648C">
        <w:rPr>
          <w:color w:val="000000"/>
          <w:lang w:val="en-US"/>
        </w:rPr>
        <w:t>Razi</w:t>
      </w:r>
      <w:proofErr w:type="spellEnd"/>
      <w:r w:rsidRPr="00AB648C">
        <w:rPr>
          <w:color w:val="000000"/>
          <w:lang w:val="en-US"/>
        </w:rPr>
        <w:t xml:space="preserve"> Hospital, </w:t>
      </w:r>
      <w:proofErr w:type="spellStart"/>
      <w:r w:rsidRPr="00AB648C">
        <w:rPr>
          <w:color w:val="000000"/>
          <w:lang w:val="en-US"/>
        </w:rPr>
        <w:t>Manouba</w:t>
      </w:r>
      <w:proofErr w:type="spellEnd"/>
      <w:r w:rsidRPr="00AB648C">
        <w:rPr>
          <w:color w:val="000000"/>
          <w:lang w:val="en-US"/>
        </w:rPr>
        <w:t xml:space="preserve">, Tunisia, </w:t>
      </w:r>
      <w:proofErr w:type="spellStart"/>
      <w:r w:rsidRPr="00AB648C">
        <w:rPr>
          <w:color w:val="000000"/>
          <w:lang w:val="en-US"/>
        </w:rPr>
        <w:t>Dr</w:t>
      </w:r>
      <w:proofErr w:type="spellEnd"/>
      <w:r w:rsidRPr="00AB648C">
        <w:rPr>
          <w:color w:val="000000"/>
          <w:lang w:val="en-US"/>
        </w:rPr>
        <w:t xml:space="preserve"> Youssef </w:t>
      </w:r>
      <w:proofErr w:type="spellStart"/>
      <w:r w:rsidRPr="00AB648C">
        <w:rPr>
          <w:color w:val="000000"/>
          <w:lang w:val="en-US"/>
        </w:rPr>
        <w:t>Sidhom</w:t>
      </w:r>
      <w:proofErr w:type="spellEnd"/>
      <w:r w:rsidRPr="00AB648C">
        <w:rPr>
          <w:color w:val="000000"/>
          <w:lang w:val="en-US"/>
        </w:rPr>
        <w:t xml:space="preserve"> and </w:t>
      </w:r>
      <w:proofErr w:type="spellStart"/>
      <w:r w:rsidRPr="00AB648C">
        <w:rPr>
          <w:color w:val="000000"/>
          <w:lang w:val="en-US"/>
        </w:rPr>
        <w:t>Dr</w:t>
      </w:r>
      <w:proofErr w:type="spellEnd"/>
      <w:r w:rsidRPr="00AB648C">
        <w:rPr>
          <w:color w:val="000000"/>
          <w:lang w:val="en-US"/>
        </w:rPr>
        <w:t xml:space="preserve"> </w:t>
      </w:r>
      <w:proofErr w:type="spellStart"/>
      <w:r w:rsidRPr="00AB648C">
        <w:rPr>
          <w:color w:val="000000"/>
          <w:lang w:val="en-US"/>
        </w:rPr>
        <w:t>Riadh</w:t>
      </w:r>
      <w:proofErr w:type="spellEnd"/>
      <w:r w:rsidRPr="00AB648C">
        <w:rPr>
          <w:color w:val="000000"/>
          <w:lang w:val="en-US"/>
        </w:rPr>
        <w:t xml:space="preserve"> </w:t>
      </w:r>
      <w:proofErr w:type="spellStart"/>
      <w:r w:rsidRPr="00AB648C">
        <w:rPr>
          <w:color w:val="000000"/>
          <w:lang w:val="en-US"/>
        </w:rPr>
        <w:t>Gouider</w:t>
      </w:r>
      <w:proofErr w:type="spellEnd"/>
      <w:r w:rsidRPr="00AB648C">
        <w:rPr>
          <w:color w:val="000000"/>
          <w:lang w:val="en-US"/>
        </w:rPr>
        <w:t xml:space="preserve"> </w:t>
      </w:r>
    </w:p>
    <w:p w14:paraId="508E6471" w14:textId="77777777" w:rsidR="00533E38" w:rsidRPr="00AB648C" w:rsidRDefault="00533E38" w:rsidP="00AB648C">
      <w:pPr>
        <w:spacing w:line="480" w:lineRule="auto"/>
        <w:rPr>
          <w:color w:val="000000"/>
          <w:lang w:val="en-US"/>
        </w:rPr>
      </w:pPr>
      <w:r w:rsidRPr="00AB648C">
        <w:rPr>
          <w:color w:val="000000"/>
          <w:lang w:val="en-US"/>
        </w:rPr>
        <w:lastRenderedPageBreak/>
        <w:t xml:space="preserve">From </w:t>
      </w:r>
      <w:proofErr w:type="spellStart"/>
      <w:r w:rsidRPr="00AB648C">
        <w:rPr>
          <w:color w:val="000000"/>
          <w:lang w:val="en-US"/>
        </w:rPr>
        <w:t>Westmead</w:t>
      </w:r>
      <w:proofErr w:type="spellEnd"/>
      <w:r w:rsidRPr="00AB648C">
        <w:rPr>
          <w:color w:val="000000"/>
          <w:lang w:val="en-US"/>
        </w:rPr>
        <w:t xml:space="preserve"> Hospital, Sydney, Australia, </w:t>
      </w:r>
      <w:proofErr w:type="spellStart"/>
      <w:r w:rsidRPr="00AB648C">
        <w:rPr>
          <w:color w:val="000000"/>
          <w:lang w:val="en-US"/>
        </w:rPr>
        <w:t>Dr</w:t>
      </w:r>
      <w:proofErr w:type="spellEnd"/>
      <w:r w:rsidRPr="00AB648C">
        <w:rPr>
          <w:color w:val="000000"/>
          <w:lang w:val="en-US"/>
        </w:rPr>
        <w:t xml:space="preserve"> Steve </w:t>
      </w:r>
      <w:proofErr w:type="spellStart"/>
      <w:r w:rsidRPr="00AB648C">
        <w:rPr>
          <w:color w:val="000000"/>
          <w:lang w:val="en-US"/>
        </w:rPr>
        <w:t>Vucic</w:t>
      </w:r>
      <w:proofErr w:type="spellEnd"/>
      <w:r w:rsidRPr="00AB648C">
        <w:rPr>
          <w:color w:val="000000"/>
          <w:lang w:val="en-US"/>
        </w:rPr>
        <w:t>.</w:t>
      </w:r>
    </w:p>
    <w:p w14:paraId="01B027FC" w14:textId="77777777" w:rsidR="00533E38" w:rsidRPr="00AB648C" w:rsidRDefault="00533E38" w:rsidP="00AB648C">
      <w:pPr>
        <w:spacing w:line="480" w:lineRule="auto"/>
        <w:rPr>
          <w:color w:val="000000"/>
          <w:lang w:val="en-US"/>
        </w:rPr>
      </w:pPr>
      <w:r w:rsidRPr="00AB648C">
        <w:rPr>
          <w:color w:val="000000"/>
          <w:lang w:val="en-US"/>
        </w:rPr>
        <w:t xml:space="preserve">From Austin Health, Melbourne, Australia, </w:t>
      </w:r>
      <w:proofErr w:type="spellStart"/>
      <w:r w:rsidRPr="00AB648C">
        <w:rPr>
          <w:color w:val="000000"/>
          <w:lang w:val="en-US"/>
        </w:rPr>
        <w:t>Dr</w:t>
      </w:r>
      <w:proofErr w:type="spellEnd"/>
      <w:r w:rsidRPr="00AB648C">
        <w:rPr>
          <w:color w:val="000000"/>
          <w:lang w:val="en-US"/>
        </w:rPr>
        <w:t xml:space="preserve"> Richard Macdonell. </w:t>
      </w:r>
    </w:p>
    <w:p w14:paraId="5DFA955C" w14:textId="77777777" w:rsidR="00533E38" w:rsidRPr="00AB648C" w:rsidRDefault="00533E38" w:rsidP="00AB648C">
      <w:pPr>
        <w:spacing w:line="480" w:lineRule="auto"/>
        <w:rPr>
          <w:color w:val="000000"/>
          <w:lang w:val="en-US"/>
        </w:rPr>
      </w:pPr>
      <w:r w:rsidRPr="00AB648C">
        <w:rPr>
          <w:color w:val="000000"/>
          <w:lang w:val="en-US"/>
        </w:rPr>
        <w:t xml:space="preserve">From Hospital General </w:t>
      </w:r>
      <w:proofErr w:type="spellStart"/>
      <w:r w:rsidRPr="00AB648C">
        <w:rPr>
          <w:color w:val="000000"/>
          <w:lang w:val="en-US"/>
        </w:rPr>
        <w:t>Universitario</w:t>
      </w:r>
      <w:proofErr w:type="spellEnd"/>
      <w:r w:rsidRPr="00AB648C">
        <w:rPr>
          <w:color w:val="000000"/>
          <w:lang w:val="en-US"/>
        </w:rPr>
        <w:t xml:space="preserve"> de Alicante, Alicante, Spain, </w:t>
      </w:r>
      <w:proofErr w:type="spellStart"/>
      <w:r w:rsidRPr="00AB648C">
        <w:rPr>
          <w:color w:val="000000"/>
          <w:lang w:val="en-US"/>
        </w:rPr>
        <w:t>Dr</w:t>
      </w:r>
      <w:proofErr w:type="spellEnd"/>
      <w:r w:rsidRPr="00AB648C">
        <w:rPr>
          <w:color w:val="000000"/>
          <w:lang w:val="en-US"/>
        </w:rPr>
        <w:t xml:space="preserve"> Angel Perez </w:t>
      </w:r>
      <w:proofErr w:type="spellStart"/>
      <w:r w:rsidRPr="00AB648C">
        <w:rPr>
          <w:color w:val="000000"/>
          <w:lang w:val="en-US"/>
        </w:rPr>
        <w:t>Sempere</w:t>
      </w:r>
      <w:proofErr w:type="spellEnd"/>
      <w:r w:rsidRPr="00AB648C">
        <w:rPr>
          <w:color w:val="000000"/>
          <w:lang w:val="en-US"/>
        </w:rPr>
        <w:t xml:space="preserve">. From </w:t>
      </w:r>
      <w:proofErr w:type="spellStart"/>
      <w:r w:rsidRPr="00AB648C">
        <w:rPr>
          <w:color w:val="000000"/>
          <w:lang w:val="en-US"/>
        </w:rPr>
        <w:t>Semellweis</w:t>
      </w:r>
      <w:proofErr w:type="spellEnd"/>
      <w:r w:rsidRPr="00AB648C">
        <w:rPr>
          <w:color w:val="000000"/>
          <w:lang w:val="en-US"/>
        </w:rPr>
        <w:t xml:space="preserve"> University, Budapest, Hungary, </w:t>
      </w:r>
      <w:proofErr w:type="spellStart"/>
      <w:r w:rsidRPr="00AB648C">
        <w:rPr>
          <w:color w:val="000000"/>
          <w:lang w:val="en-US"/>
        </w:rPr>
        <w:t>Dr</w:t>
      </w:r>
      <w:proofErr w:type="spellEnd"/>
      <w:r w:rsidRPr="00AB648C">
        <w:rPr>
          <w:color w:val="000000"/>
          <w:lang w:val="en-US"/>
        </w:rPr>
        <w:t xml:space="preserve"> Magdolna Simo </w:t>
      </w:r>
    </w:p>
    <w:p w14:paraId="7140C7B5" w14:textId="77777777" w:rsidR="00533E38" w:rsidRPr="00AB648C" w:rsidRDefault="00533E38" w:rsidP="00AB648C">
      <w:pPr>
        <w:spacing w:line="480" w:lineRule="auto"/>
        <w:rPr>
          <w:color w:val="000000"/>
          <w:lang w:val="en-US"/>
        </w:rPr>
      </w:pPr>
      <w:r w:rsidRPr="00AB648C">
        <w:rPr>
          <w:color w:val="000000"/>
          <w:lang w:val="en-US"/>
        </w:rPr>
        <w:t xml:space="preserve">From New York University Langone Medical Center, New York, United States, </w:t>
      </w:r>
      <w:proofErr w:type="spellStart"/>
      <w:r w:rsidRPr="00AB648C">
        <w:rPr>
          <w:color w:val="000000"/>
          <w:lang w:val="en-US"/>
        </w:rPr>
        <w:t>Dr</w:t>
      </w:r>
      <w:proofErr w:type="spellEnd"/>
      <w:r w:rsidRPr="00AB648C">
        <w:rPr>
          <w:color w:val="000000"/>
          <w:lang w:val="en-US"/>
        </w:rPr>
        <w:t xml:space="preserve"> Ilya </w:t>
      </w:r>
      <w:proofErr w:type="spellStart"/>
      <w:r w:rsidRPr="00AB648C">
        <w:rPr>
          <w:color w:val="000000"/>
          <w:lang w:val="en-US"/>
        </w:rPr>
        <w:t>Kister</w:t>
      </w:r>
      <w:proofErr w:type="spellEnd"/>
      <w:r w:rsidRPr="00AB648C">
        <w:rPr>
          <w:color w:val="000000"/>
          <w:lang w:val="en-US"/>
        </w:rPr>
        <w:t xml:space="preserve">. From St </w:t>
      </w:r>
      <w:proofErr w:type="spellStart"/>
      <w:r w:rsidRPr="00AB648C">
        <w:rPr>
          <w:color w:val="000000"/>
          <w:lang w:val="en-US"/>
        </w:rPr>
        <w:t>Vincents</w:t>
      </w:r>
      <w:proofErr w:type="spellEnd"/>
      <w:r w:rsidRPr="00AB648C">
        <w:rPr>
          <w:color w:val="000000"/>
          <w:lang w:val="en-US"/>
        </w:rPr>
        <w:t xml:space="preserve"> Hospital, Fitzroy, Melbourne, Australia, </w:t>
      </w:r>
      <w:proofErr w:type="spellStart"/>
      <w:r w:rsidRPr="00AB648C">
        <w:rPr>
          <w:color w:val="000000"/>
          <w:lang w:val="en-US"/>
        </w:rPr>
        <w:t>Dr</w:t>
      </w:r>
      <w:proofErr w:type="spellEnd"/>
      <w:r w:rsidRPr="00AB648C">
        <w:rPr>
          <w:color w:val="000000"/>
          <w:lang w:val="en-US"/>
        </w:rPr>
        <w:t xml:space="preserve"> Neil </w:t>
      </w:r>
      <w:proofErr w:type="spellStart"/>
      <w:r w:rsidRPr="00AB648C">
        <w:rPr>
          <w:color w:val="000000"/>
          <w:lang w:val="en-US"/>
        </w:rPr>
        <w:t>Shuey</w:t>
      </w:r>
      <w:proofErr w:type="spellEnd"/>
      <w:r w:rsidRPr="00AB648C">
        <w:rPr>
          <w:color w:val="000000"/>
          <w:lang w:val="en-US"/>
        </w:rPr>
        <w:t xml:space="preserve">. </w:t>
      </w:r>
    </w:p>
    <w:p w14:paraId="5D3A6110"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spellStart"/>
      <w:r w:rsidRPr="00AB648C">
        <w:rPr>
          <w:color w:val="000000"/>
          <w:lang w:val="en-US"/>
        </w:rPr>
        <w:t>Nemocnice</w:t>
      </w:r>
      <w:proofErr w:type="spellEnd"/>
      <w:r w:rsidRPr="00AB648C">
        <w:rPr>
          <w:color w:val="000000"/>
          <w:lang w:val="en-US"/>
        </w:rPr>
        <w:t xml:space="preserve"> </w:t>
      </w:r>
      <w:proofErr w:type="spellStart"/>
      <w:r w:rsidRPr="00AB648C">
        <w:rPr>
          <w:color w:val="000000"/>
          <w:lang w:val="en-US"/>
        </w:rPr>
        <w:t>Jihlava</w:t>
      </w:r>
      <w:proofErr w:type="spellEnd"/>
      <w:r w:rsidRPr="00AB648C">
        <w:rPr>
          <w:color w:val="000000"/>
          <w:lang w:val="en-US"/>
        </w:rPr>
        <w:t xml:space="preserve">, </w:t>
      </w:r>
      <w:proofErr w:type="spellStart"/>
      <w:r w:rsidRPr="00AB648C">
        <w:rPr>
          <w:color w:val="000000"/>
          <w:lang w:val="en-US"/>
        </w:rPr>
        <w:t>Jihlava</w:t>
      </w:r>
      <w:proofErr w:type="spellEnd"/>
      <w:r w:rsidRPr="00AB648C">
        <w:rPr>
          <w:color w:val="000000"/>
          <w:lang w:val="en-US"/>
        </w:rPr>
        <w:t xml:space="preserve">, Czech. Republic, </w:t>
      </w:r>
      <w:proofErr w:type="spellStart"/>
      <w:r w:rsidRPr="00AB648C">
        <w:rPr>
          <w:color w:val="000000"/>
          <w:lang w:val="en-US"/>
        </w:rPr>
        <w:t>Dr</w:t>
      </w:r>
      <w:proofErr w:type="spellEnd"/>
      <w:r w:rsidRPr="00AB648C">
        <w:rPr>
          <w:color w:val="000000"/>
          <w:lang w:val="en-US"/>
        </w:rPr>
        <w:t xml:space="preserve"> Radek </w:t>
      </w:r>
      <w:proofErr w:type="spellStart"/>
      <w:r w:rsidRPr="00AB648C">
        <w:rPr>
          <w:color w:val="000000"/>
          <w:lang w:val="en-US"/>
        </w:rPr>
        <w:t>Ampapa</w:t>
      </w:r>
      <w:proofErr w:type="spellEnd"/>
      <w:r w:rsidRPr="00AB648C">
        <w:rPr>
          <w:color w:val="000000"/>
          <w:lang w:val="en-US"/>
        </w:rPr>
        <w:t xml:space="preserve"> </w:t>
      </w:r>
    </w:p>
    <w:p w14:paraId="23AA9BD3" w14:textId="77777777" w:rsidR="00533E38" w:rsidRPr="00AB648C" w:rsidRDefault="00533E38" w:rsidP="00533E38">
      <w:pPr>
        <w:spacing w:line="480" w:lineRule="auto"/>
        <w:rPr>
          <w:color w:val="000000"/>
          <w:lang w:val="en-US"/>
        </w:rPr>
      </w:pPr>
      <w:r w:rsidRPr="00AB648C">
        <w:rPr>
          <w:color w:val="000000"/>
          <w:lang w:val="en-US"/>
        </w:rPr>
        <w:t xml:space="preserve">From Hospital </w:t>
      </w:r>
      <w:proofErr w:type="spellStart"/>
      <w:r w:rsidRPr="00AB648C">
        <w:rPr>
          <w:color w:val="000000"/>
          <w:lang w:val="en-US"/>
        </w:rPr>
        <w:t>Universitario</w:t>
      </w:r>
      <w:proofErr w:type="spellEnd"/>
      <w:r w:rsidRPr="00AB648C">
        <w:rPr>
          <w:color w:val="000000"/>
          <w:lang w:val="en-US"/>
        </w:rPr>
        <w:t xml:space="preserve"> de la Ribera, </w:t>
      </w:r>
      <w:proofErr w:type="spellStart"/>
      <w:r w:rsidRPr="00AB648C">
        <w:rPr>
          <w:color w:val="000000"/>
          <w:lang w:val="en-US"/>
        </w:rPr>
        <w:t>Alizira</w:t>
      </w:r>
      <w:proofErr w:type="spellEnd"/>
      <w:r w:rsidRPr="00AB648C">
        <w:rPr>
          <w:color w:val="000000"/>
          <w:lang w:val="en-US"/>
        </w:rPr>
        <w:t xml:space="preserve">, Spain, </w:t>
      </w:r>
      <w:proofErr w:type="spellStart"/>
      <w:r w:rsidRPr="00AB648C">
        <w:rPr>
          <w:color w:val="000000"/>
          <w:lang w:val="en-US"/>
        </w:rPr>
        <w:t>Dr</w:t>
      </w:r>
      <w:proofErr w:type="spellEnd"/>
      <w:r w:rsidRPr="00AB648C">
        <w:rPr>
          <w:color w:val="000000"/>
          <w:lang w:val="en-US"/>
        </w:rPr>
        <w:t xml:space="preserve"> Jose Andres Dominguez </w:t>
      </w:r>
    </w:p>
    <w:p w14:paraId="6328AE8A" w14:textId="77777777" w:rsidR="00533E38" w:rsidRPr="00AB648C" w:rsidRDefault="00533E38" w:rsidP="00AB648C">
      <w:pPr>
        <w:spacing w:line="480" w:lineRule="auto"/>
        <w:rPr>
          <w:color w:val="000000"/>
          <w:lang w:val="en-US"/>
        </w:rPr>
      </w:pPr>
      <w:r w:rsidRPr="00AB648C">
        <w:rPr>
          <w:color w:val="000000"/>
          <w:lang w:val="en-US"/>
        </w:rPr>
        <w:t xml:space="preserve">From University of Florence, Florence, Italy, </w:t>
      </w:r>
      <w:proofErr w:type="spellStart"/>
      <w:r w:rsidRPr="00AB648C">
        <w:rPr>
          <w:color w:val="000000"/>
          <w:lang w:val="en-US"/>
        </w:rPr>
        <w:t>Dr</w:t>
      </w:r>
      <w:proofErr w:type="spellEnd"/>
      <w:r w:rsidRPr="00AB648C">
        <w:rPr>
          <w:color w:val="000000"/>
          <w:lang w:val="en-US"/>
        </w:rPr>
        <w:t xml:space="preserve"> Maria Pia Amato. </w:t>
      </w:r>
    </w:p>
    <w:p w14:paraId="2ABCC983" w14:textId="77777777" w:rsidR="00533E38" w:rsidRPr="00AB648C" w:rsidRDefault="00533E38" w:rsidP="00533E38">
      <w:pPr>
        <w:spacing w:line="480" w:lineRule="auto"/>
        <w:rPr>
          <w:color w:val="000000"/>
          <w:lang w:val="en-US"/>
        </w:rPr>
      </w:pPr>
      <w:r w:rsidRPr="00AB648C">
        <w:rPr>
          <w:color w:val="000000"/>
          <w:lang w:val="en-US"/>
        </w:rPr>
        <w:t xml:space="preserve">From INEBA - Institute of Neuroscience Buenos Aires, Buenos Aires, Argentina, </w:t>
      </w:r>
      <w:proofErr w:type="spellStart"/>
      <w:r w:rsidRPr="00AB648C">
        <w:rPr>
          <w:color w:val="000000"/>
          <w:lang w:val="en-US"/>
        </w:rPr>
        <w:t>Dr</w:t>
      </w:r>
      <w:proofErr w:type="spellEnd"/>
      <w:r w:rsidRPr="00AB648C">
        <w:rPr>
          <w:color w:val="000000"/>
          <w:lang w:val="en-US"/>
        </w:rPr>
        <w:t xml:space="preserve"> Maria Laura </w:t>
      </w:r>
      <w:proofErr w:type="spellStart"/>
      <w:r w:rsidRPr="00AB648C">
        <w:rPr>
          <w:color w:val="000000"/>
          <w:lang w:val="en-US"/>
        </w:rPr>
        <w:t>Saladino</w:t>
      </w:r>
      <w:proofErr w:type="spellEnd"/>
      <w:r w:rsidRPr="00AB648C">
        <w:rPr>
          <w:color w:val="000000"/>
          <w:lang w:val="en-US"/>
        </w:rPr>
        <w:t xml:space="preserve">. </w:t>
      </w:r>
    </w:p>
    <w:p w14:paraId="278B7737"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gramStart"/>
      <w:r w:rsidRPr="00AB648C">
        <w:rPr>
          <w:color w:val="000000"/>
          <w:lang w:val="en-US"/>
        </w:rPr>
        <w:t>The</w:t>
      </w:r>
      <w:proofErr w:type="gramEnd"/>
      <w:r w:rsidRPr="00AB648C">
        <w:rPr>
          <w:color w:val="000000"/>
          <w:lang w:val="en-US"/>
        </w:rPr>
        <w:t xml:space="preserve"> University of Western Australia, Perth, Australia, </w:t>
      </w:r>
      <w:proofErr w:type="spellStart"/>
      <w:r w:rsidRPr="00AB648C">
        <w:rPr>
          <w:color w:val="000000"/>
          <w:lang w:val="en-US"/>
        </w:rPr>
        <w:t>Dr</w:t>
      </w:r>
      <w:proofErr w:type="spellEnd"/>
      <w:r w:rsidRPr="00AB648C">
        <w:rPr>
          <w:color w:val="000000"/>
          <w:lang w:val="en-US"/>
        </w:rPr>
        <w:t xml:space="preserve"> Allan Kermode </w:t>
      </w:r>
    </w:p>
    <w:p w14:paraId="2C693D8B" w14:textId="77777777" w:rsidR="00533E38" w:rsidRPr="00AB648C" w:rsidRDefault="00533E38" w:rsidP="00533E38">
      <w:pPr>
        <w:spacing w:line="480" w:lineRule="auto"/>
        <w:rPr>
          <w:color w:val="000000"/>
          <w:lang w:val="en-US"/>
        </w:rPr>
      </w:pPr>
      <w:r w:rsidRPr="00AB648C">
        <w:rPr>
          <w:color w:val="000000"/>
          <w:lang w:val="en-US"/>
        </w:rPr>
        <w:t xml:space="preserve">From Monash Medical Centre, Melbourne, Australia, </w:t>
      </w:r>
      <w:proofErr w:type="spellStart"/>
      <w:r w:rsidRPr="00AB648C">
        <w:rPr>
          <w:color w:val="000000"/>
          <w:lang w:val="en-US"/>
        </w:rPr>
        <w:t>Dr</w:t>
      </w:r>
      <w:proofErr w:type="spellEnd"/>
      <w:r w:rsidRPr="00AB648C">
        <w:rPr>
          <w:color w:val="000000"/>
          <w:lang w:val="en-US"/>
        </w:rPr>
        <w:t xml:space="preserve"> Ernest Butler. </w:t>
      </w:r>
    </w:p>
    <w:p w14:paraId="5C6AB8B0" w14:textId="77777777" w:rsidR="00533E38" w:rsidRPr="00AB648C" w:rsidRDefault="00533E38" w:rsidP="00AB648C">
      <w:pPr>
        <w:spacing w:line="480" w:lineRule="auto"/>
        <w:rPr>
          <w:color w:val="000000"/>
          <w:lang w:val="en-US"/>
        </w:rPr>
      </w:pPr>
      <w:r w:rsidRPr="00AB648C">
        <w:rPr>
          <w:color w:val="000000"/>
          <w:lang w:val="en-US"/>
        </w:rPr>
        <w:t xml:space="preserve">From Jewish General Hospital, Montreal, Canada, </w:t>
      </w:r>
      <w:proofErr w:type="spellStart"/>
      <w:r w:rsidRPr="00AB648C">
        <w:rPr>
          <w:color w:val="000000"/>
          <w:lang w:val="en-US"/>
        </w:rPr>
        <w:t>Dr</w:t>
      </w:r>
      <w:proofErr w:type="spellEnd"/>
      <w:r w:rsidRPr="00AB648C">
        <w:rPr>
          <w:color w:val="000000"/>
          <w:lang w:val="en-US"/>
        </w:rPr>
        <w:t xml:space="preserve"> Fraser Moore. </w:t>
      </w:r>
    </w:p>
    <w:p w14:paraId="053C24D0" w14:textId="77777777" w:rsidR="00533E38" w:rsidRPr="00AB648C" w:rsidRDefault="00533E38" w:rsidP="00533E38">
      <w:pPr>
        <w:spacing w:line="480" w:lineRule="auto"/>
        <w:rPr>
          <w:color w:val="000000"/>
          <w:lang w:val="en-US"/>
        </w:rPr>
      </w:pPr>
      <w:r w:rsidRPr="00AB648C">
        <w:rPr>
          <w:color w:val="000000"/>
          <w:lang w:val="en-US"/>
        </w:rPr>
        <w:t xml:space="preserve">From Craigavon Area Hospital, Craigavon, United Kingdom, </w:t>
      </w:r>
      <w:proofErr w:type="spellStart"/>
      <w:r w:rsidRPr="00AB648C">
        <w:rPr>
          <w:color w:val="000000"/>
          <w:lang w:val="en-US"/>
        </w:rPr>
        <w:t>Dr</w:t>
      </w:r>
      <w:proofErr w:type="spellEnd"/>
      <w:r w:rsidRPr="00AB648C">
        <w:rPr>
          <w:color w:val="000000"/>
          <w:lang w:val="en-US"/>
        </w:rPr>
        <w:t xml:space="preserve"> Stella Hughes. </w:t>
      </w:r>
    </w:p>
    <w:p w14:paraId="6F5CF01D" w14:textId="77777777" w:rsidR="00533E38" w:rsidRPr="00AB648C" w:rsidRDefault="00533E38" w:rsidP="00533E38">
      <w:pPr>
        <w:spacing w:line="480" w:lineRule="auto"/>
        <w:rPr>
          <w:color w:val="000000"/>
          <w:lang w:val="en-US"/>
        </w:rPr>
      </w:pPr>
      <w:r w:rsidRPr="00AB648C">
        <w:rPr>
          <w:color w:val="000000"/>
          <w:lang w:val="en-US"/>
        </w:rPr>
        <w:t xml:space="preserve">From Royal Victoria Hospital, Belfast, United Kingdom, </w:t>
      </w:r>
      <w:proofErr w:type="spellStart"/>
      <w:r w:rsidRPr="00AB648C">
        <w:rPr>
          <w:color w:val="000000"/>
          <w:lang w:val="en-US"/>
        </w:rPr>
        <w:t>Dr</w:t>
      </w:r>
      <w:proofErr w:type="spellEnd"/>
      <w:r w:rsidRPr="00AB648C">
        <w:rPr>
          <w:color w:val="000000"/>
          <w:lang w:val="en-US"/>
        </w:rPr>
        <w:t xml:space="preserve"> Gavin McDonnell. </w:t>
      </w:r>
    </w:p>
    <w:p w14:paraId="5B747D59" w14:textId="77777777" w:rsidR="00533E38" w:rsidRPr="00AB648C" w:rsidRDefault="00533E38" w:rsidP="00AB648C">
      <w:pPr>
        <w:spacing w:line="480" w:lineRule="auto"/>
        <w:rPr>
          <w:color w:val="000000"/>
          <w:lang w:val="en-US"/>
        </w:rPr>
      </w:pPr>
      <w:r w:rsidRPr="00AB648C">
        <w:rPr>
          <w:color w:val="000000"/>
          <w:lang w:val="en-US"/>
        </w:rPr>
        <w:t xml:space="preserve">From </w:t>
      </w:r>
      <w:proofErr w:type="spellStart"/>
      <w:r w:rsidRPr="00AB648C">
        <w:rPr>
          <w:color w:val="000000"/>
          <w:lang w:val="en-US"/>
        </w:rPr>
        <w:t>Veszprém</w:t>
      </w:r>
      <w:proofErr w:type="spellEnd"/>
      <w:r w:rsidRPr="00AB648C">
        <w:rPr>
          <w:color w:val="000000"/>
          <w:lang w:val="en-US"/>
        </w:rPr>
        <w:t xml:space="preserve"> </w:t>
      </w:r>
      <w:proofErr w:type="spellStart"/>
      <w:r w:rsidRPr="00AB648C">
        <w:rPr>
          <w:color w:val="000000"/>
          <w:lang w:val="en-US"/>
        </w:rPr>
        <w:t>Megyei</w:t>
      </w:r>
      <w:proofErr w:type="spellEnd"/>
      <w:r w:rsidRPr="00AB648C">
        <w:rPr>
          <w:color w:val="000000"/>
          <w:lang w:val="en-US"/>
        </w:rPr>
        <w:t xml:space="preserve"> </w:t>
      </w:r>
      <w:proofErr w:type="spellStart"/>
      <w:r w:rsidRPr="00AB648C">
        <w:rPr>
          <w:color w:val="000000"/>
          <w:lang w:val="en-US"/>
        </w:rPr>
        <w:t>Csolnoky</w:t>
      </w:r>
      <w:proofErr w:type="spellEnd"/>
      <w:r w:rsidRPr="00AB648C">
        <w:rPr>
          <w:color w:val="000000"/>
          <w:lang w:val="en-US"/>
        </w:rPr>
        <w:t xml:space="preserve"> Ferenc </w:t>
      </w:r>
      <w:proofErr w:type="spellStart"/>
      <w:r w:rsidRPr="00AB648C">
        <w:rPr>
          <w:color w:val="000000"/>
          <w:lang w:val="en-US"/>
        </w:rPr>
        <w:t>Kórház</w:t>
      </w:r>
      <w:proofErr w:type="spellEnd"/>
      <w:r w:rsidRPr="00AB648C">
        <w:rPr>
          <w:color w:val="000000"/>
          <w:lang w:val="en-US"/>
        </w:rPr>
        <w:t xml:space="preserve"> </w:t>
      </w:r>
      <w:proofErr w:type="spellStart"/>
      <w:r w:rsidRPr="00AB648C">
        <w:rPr>
          <w:color w:val="000000"/>
          <w:lang w:val="en-US"/>
        </w:rPr>
        <w:t>zrt</w:t>
      </w:r>
      <w:proofErr w:type="spellEnd"/>
      <w:r w:rsidRPr="00AB648C">
        <w:rPr>
          <w:color w:val="000000"/>
          <w:lang w:val="en-US"/>
        </w:rPr>
        <w:t xml:space="preserve">., Hungary, </w:t>
      </w:r>
      <w:proofErr w:type="spellStart"/>
      <w:r w:rsidRPr="00AB648C">
        <w:rPr>
          <w:color w:val="000000"/>
          <w:lang w:val="en-US"/>
        </w:rPr>
        <w:t>Dr</w:t>
      </w:r>
      <w:proofErr w:type="spellEnd"/>
      <w:r w:rsidRPr="00AB648C">
        <w:rPr>
          <w:color w:val="000000"/>
          <w:lang w:val="en-US"/>
        </w:rPr>
        <w:t xml:space="preserve"> </w:t>
      </w:r>
      <w:proofErr w:type="spellStart"/>
      <w:r w:rsidRPr="00AB648C">
        <w:rPr>
          <w:color w:val="000000"/>
          <w:lang w:val="en-US"/>
        </w:rPr>
        <w:t>Imre</w:t>
      </w:r>
      <w:proofErr w:type="spellEnd"/>
      <w:r w:rsidRPr="00AB648C">
        <w:rPr>
          <w:color w:val="000000"/>
          <w:lang w:val="en-US"/>
        </w:rPr>
        <w:t xml:space="preserve"> </w:t>
      </w:r>
      <w:proofErr w:type="spellStart"/>
      <w:r w:rsidRPr="00AB648C">
        <w:rPr>
          <w:color w:val="000000"/>
          <w:lang w:val="en-US"/>
        </w:rPr>
        <w:t>Piroska</w:t>
      </w:r>
      <w:proofErr w:type="spellEnd"/>
      <w:r w:rsidRPr="00AB648C">
        <w:rPr>
          <w:color w:val="000000"/>
          <w:lang w:val="en-US"/>
        </w:rPr>
        <w:t xml:space="preserve">. </w:t>
      </w:r>
    </w:p>
    <w:p w14:paraId="1EF9A011" w14:textId="77777777" w:rsidR="00533E38" w:rsidRPr="00AB648C" w:rsidRDefault="00533E38" w:rsidP="00AB648C">
      <w:pPr>
        <w:spacing w:line="480" w:lineRule="auto"/>
        <w:rPr>
          <w:color w:val="000000"/>
          <w:lang w:val="en-US"/>
        </w:rPr>
      </w:pPr>
      <w:r w:rsidRPr="00AB648C">
        <w:rPr>
          <w:color w:val="000000"/>
          <w:lang w:val="en-US"/>
        </w:rPr>
        <w:t xml:space="preserve">From American University of Beirut Medical </w:t>
      </w:r>
      <w:proofErr w:type="spellStart"/>
      <w:r w:rsidRPr="00AB648C">
        <w:rPr>
          <w:color w:val="000000"/>
          <w:lang w:val="en-US"/>
        </w:rPr>
        <w:t>Canter</w:t>
      </w:r>
      <w:proofErr w:type="spellEnd"/>
      <w:r w:rsidRPr="00AB648C">
        <w:rPr>
          <w:color w:val="000000"/>
          <w:lang w:val="en-US"/>
        </w:rPr>
        <w:t xml:space="preserve">, Beirut, Lebanon, </w:t>
      </w:r>
      <w:proofErr w:type="spellStart"/>
      <w:r w:rsidRPr="00AB648C">
        <w:rPr>
          <w:color w:val="000000"/>
          <w:lang w:val="en-US"/>
        </w:rPr>
        <w:t>Dr</w:t>
      </w:r>
      <w:proofErr w:type="spellEnd"/>
      <w:r w:rsidRPr="00AB648C">
        <w:rPr>
          <w:color w:val="000000"/>
          <w:lang w:val="en-US"/>
        </w:rPr>
        <w:t xml:space="preserve"> Bassem </w:t>
      </w:r>
      <w:proofErr w:type="spellStart"/>
      <w:r w:rsidRPr="00AB648C">
        <w:rPr>
          <w:color w:val="000000"/>
          <w:lang w:val="en-US"/>
        </w:rPr>
        <w:t>Yamout</w:t>
      </w:r>
      <w:proofErr w:type="spellEnd"/>
      <w:r w:rsidRPr="00AB648C">
        <w:rPr>
          <w:color w:val="000000"/>
          <w:lang w:val="en-US"/>
        </w:rPr>
        <w:t xml:space="preserve">. From </w:t>
      </w:r>
      <w:proofErr w:type="spellStart"/>
      <w:r w:rsidRPr="00AB648C">
        <w:rPr>
          <w:color w:val="000000"/>
          <w:lang w:val="en-US"/>
        </w:rPr>
        <w:t>Bakirkoy</w:t>
      </w:r>
      <w:proofErr w:type="spellEnd"/>
      <w:r w:rsidRPr="00AB648C">
        <w:rPr>
          <w:color w:val="000000"/>
          <w:lang w:val="en-US"/>
        </w:rPr>
        <w:t xml:space="preserve"> Education and Research Hospital for Psychiatric and Neurological Diseases, Istanbul, Turkey, </w:t>
      </w:r>
      <w:proofErr w:type="spellStart"/>
      <w:r w:rsidRPr="00AB648C">
        <w:rPr>
          <w:color w:val="000000"/>
          <w:lang w:val="en-US"/>
        </w:rPr>
        <w:t>Dr</w:t>
      </w:r>
      <w:proofErr w:type="spellEnd"/>
      <w:r w:rsidRPr="00AB648C">
        <w:rPr>
          <w:color w:val="000000"/>
          <w:lang w:val="en-US"/>
        </w:rPr>
        <w:t xml:space="preserve"> </w:t>
      </w:r>
      <w:proofErr w:type="spellStart"/>
      <w:r w:rsidRPr="00AB648C">
        <w:rPr>
          <w:color w:val="000000"/>
          <w:lang w:val="en-US"/>
        </w:rPr>
        <w:t>Aysun</w:t>
      </w:r>
      <w:proofErr w:type="spellEnd"/>
      <w:r w:rsidRPr="00AB648C">
        <w:rPr>
          <w:color w:val="000000"/>
          <w:lang w:val="en-US"/>
        </w:rPr>
        <w:t xml:space="preserve"> </w:t>
      </w:r>
      <w:proofErr w:type="spellStart"/>
      <w:r w:rsidRPr="00AB648C">
        <w:rPr>
          <w:color w:val="000000"/>
          <w:lang w:val="en-US"/>
        </w:rPr>
        <w:t>Soysal</w:t>
      </w:r>
      <w:proofErr w:type="spellEnd"/>
      <w:r w:rsidRPr="00AB648C">
        <w:rPr>
          <w:color w:val="000000"/>
          <w:lang w:val="en-US"/>
        </w:rPr>
        <w:t xml:space="preserve">. </w:t>
      </w:r>
    </w:p>
    <w:p w14:paraId="697E72C2" w14:textId="77777777" w:rsidR="00533E38" w:rsidRPr="00AB648C" w:rsidRDefault="00533E38" w:rsidP="00533E38">
      <w:pPr>
        <w:spacing w:line="480" w:lineRule="auto"/>
        <w:rPr>
          <w:color w:val="000000"/>
          <w:lang w:val="en-US"/>
        </w:rPr>
      </w:pPr>
      <w:r w:rsidRPr="00AB648C">
        <w:rPr>
          <w:color w:val="000000"/>
          <w:lang w:val="en-US"/>
        </w:rPr>
        <w:t xml:space="preserve">From </w:t>
      </w:r>
      <w:proofErr w:type="spellStart"/>
      <w:r w:rsidRPr="00AB648C">
        <w:rPr>
          <w:color w:val="000000"/>
          <w:lang w:val="en-US"/>
        </w:rPr>
        <w:t>Dokuz</w:t>
      </w:r>
      <w:proofErr w:type="spellEnd"/>
      <w:r w:rsidRPr="00AB648C">
        <w:rPr>
          <w:color w:val="000000"/>
          <w:lang w:val="en-US"/>
        </w:rPr>
        <w:t xml:space="preserve"> </w:t>
      </w:r>
      <w:proofErr w:type="spellStart"/>
      <w:r w:rsidRPr="00AB648C">
        <w:rPr>
          <w:color w:val="000000"/>
          <w:lang w:val="en-US"/>
        </w:rPr>
        <w:t>Eylul</w:t>
      </w:r>
      <w:proofErr w:type="spellEnd"/>
      <w:r w:rsidRPr="00AB648C">
        <w:rPr>
          <w:color w:val="000000"/>
          <w:lang w:val="en-US"/>
        </w:rPr>
        <w:t xml:space="preserve"> University, Konak/Izmir, Turkey, </w:t>
      </w:r>
      <w:proofErr w:type="spellStart"/>
      <w:r w:rsidRPr="00AB648C">
        <w:rPr>
          <w:color w:val="000000"/>
          <w:lang w:val="en-US"/>
        </w:rPr>
        <w:t>Dr</w:t>
      </w:r>
      <w:proofErr w:type="spellEnd"/>
      <w:r w:rsidRPr="00AB648C">
        <w:rPr>
          <w:color w:val="000000"/>
          <w:lang w:val="en-US"/>
        </w:rPr>
        <w:t xml:space="preserve"> Serkan </w:t>
      </w:r>
      <w:proofErr w:type="spellStart"/>
      <w:r w:rsidRPr="00AB648C">
        <w:rPr>
          <w:color w:val="000000"/>
          <w:lang w:val="en-US"/>
        </w:rPr>
        <w:t>Ozakbas</w:t>
      </w:r>
      <w:proofErr w:type="spellEnd"/>
      <w:r w:rsidRPr="00AB648C">
        <w:rPr>
          <w:color w:val="000000"/>
          <w:lang w:val="en-US"/>
        </w:rPr>
        <w:t xml:space="preserve">. </w:t>
      </w:r>
    </w:p>
    <w:p w14:paraId="33055A5D" w14:textId="77777777" w:rsidR="00533E38" w:rsidRPr="00AD0816" w:rsidRDefault="00533E38" w:rsidP="009E1930">
      <w:pPr>
        <w:spacing w:line="480" w:lineRule="auto"/>
      </w:pPr>
      <w:r w:rsidRPr="00AB648C">
        <w:rPr>
          <w:color w:val="000000"/>
          <w:lang w:val="en-US"/>
        </w:rPr>
        <w:t xml:space="preserve">From MS-Centrum Nijmegen, The Netherlands, </w:t>
      </w:r>
      <w:proofErr w:type="spellStart"/>
      <w:r w:rsidRPr="00AB648C">
        <w:rPr>
          <w:color w:val="000000"/>
          <w:lang w:val="en-US"/>
        </w:rPr>
        <w:t>Dr</w:t>
      </w:r>
      <w:proofErr w:type="spellEnd"/>
      <w:r w:rsidRPr="00AB648C">
        <w:rPr>
          <w:color w:val="000000"/>
          <w:lang w:val="en-US"/>
        </w:rPr>
        <w:t xml:space="preserve"> Cees </w:t>
      </w:r>
      <w:proofErr w:type="spellStart"/>
      <w:r w:rsidRPr="00AB648C">
        <w:rPr>
          <w:color w:val="000000"/>
          <w:lang w:val="en-US"/>
        </w:rPr>
        <w:t>Zwanikken</w:t>
      </w:r>
      <w:proofErr w:type="spellEnd"/>
      <w:r w:rsidRPr="00AB648C">
        <w:rPr>
          <w:color w:val="000000"/>
          <w:lang w:val="en-US"/>
        </w:rPr>
        <w:t>.</w:t>
      </w:r>
    </w:p>
    <w:p w14:paraId="6F686C1D" w14:textId="77777777" w:rsidR="00533E38" w:rsidRPr="00AD0816" w:rsidRDefault="00533E38" w:rsidP="003A7396">
      <w:pPr>
        <w:spacing w:line="480" w:lineRule="auto"/>
      </w:pPr>
    </w:p>
    <w:p w14:paraId="14087592" w14:textId="77777777" w:rsidR="00575022" w:rsidRPr="00AD0816" w:rsidRDefault="00575022" w:rsidP="00B619C5">
      <w:pPr>
        <w:spacing w:line="480" w:lineRule="auto"/>
        <w:rPr>
          <w:lang w:val="en-US"/>
        </w:rPr>
      </w:pPr>
      <w:r w:rsidRPr="00AD0816">
        <w:t xml:space="preserve">This study was financially supported by National Health and Medical Research Council of Australia (fellowships 1140766 and 1080518, project grants 1129189 and 1083539), the University of Melbourne (Faculty of Medicine, Dentistry and Health Sciences research fellowship) and the </w:t>
      </w:r>
      <w:proofErr w:type="spellStart"/>
      <w:r w:rsidRPr="00AD0816">
        <w:t>MSBase</w:t>
      </w:r>
      <w:proofErr w:type="spellEnd"/>
      <w:r w:rsidRPr="00AD0816">
        <w:t xml:space="preserve"> </w:t>
      </w:r>
      <w:r w:rsidRPr="00AD0816">
        <w:lastRenderedPageBreak/>
        <w:t>2017 Fellowship (recipient JWLB). The funder had no role in the design and conduct of the study; collection, management, analysis, and interpretation of the data; preparation, review or approval of the manuscript; and decision to submit the manuscript for publication.</w:t>
      </w:r>
      <w:r w:rsidRPr="00AD0816">
        <w:rPr>
          <w:lang w:val="en-US"/>
        </w:rPr>
        <w:t xml:space="preserve"> JWLB and TK had full access to all the data in the study and take responsibility for the integrity of the data</w:t>
      </w:r>
    </w:p>
    <w:p w14:paraId="23931E35" w14:textId="77777777" w:rsidR="00575022" w:rsidRPr="00AD0816" w:rsidRDefault="00575022" w:rsidP="00B619C5">
      <w:pPr>
        <w:spacing w:line="480" w:lineRule="auto"/>
      </w:pPr>
      <w:r w:rsidRPr="00AD0816">
        <w:rPr>
          <w:lang w:val="en-US"/>
        </w:rPr>
        <w:t>and the accuracy of the data analysis.</w:t>
      </w:r>
    </w:p>
    <w:p w14:paraId="5DFAAB9F" w14:textId="77777777" w:rsidR="00575022" w:rsidRPr="00AD0816" w:rsidRDefault="00575022" w:rsidP="00B619C5">
      <w:pPr>
        <w:spacing w:line="480" w:lineRule="auto"/>
      </w:pPr>
      <w:r w:rsidRPr="00AD0816">
        <w:t xml:space="preserve">Alemtuzumab studies done in Cambridge (UK) were supported by the NIHR Cambridge Biomedical Research Centre and the MS Society UK. The </w:t>
      </w:r>
      <w:proofErr w:type="spellStart"/>
      <w:r w:rsidRPr="00AD0816">
        <w:t>MSBase</w:t>
      </w:r>
      <w:proofErr w:type="spellEnd"/>
      <w:r w:rsidRPr="00AD0816">
        <w:t xml:space="preserve"> Foundation is a not-for-profit organisation that receives support from Merck, Biogen, Novartis, Bayer Schering, Sanofi Genzyme, and Teva.</w:t>
      </w:r>
    </w:p>
    <w:p w14:paraId="7496E0D4" w14:textId="77777777" w:rsidR="00575022" w:rsidRPr="00AD0816" w:rsidRDefault="00575022">
      <w:pPr>
        <w:spacing w:line="480" w:lineRule="auto"/>
      </w:pPr>
    </w:p>
    <w:p w14:paraId="5B3C1EB3" w14:textId="77777777" w:rsidR="00575022" w:rsidRPr="0080792D" w:rsidRDefault="00575022" w:rsidP="00B619C5">
      <w:pPr>
        <w:jc w:val="both"/>
        <w:rPr>
          <w:b/>
          <w:i/>
          <w:sz w:val="26"/>
          <w:szCs w:val="26"/>
        </w:rPr>
      </w:pPr>
      <w:r w:rsidRPr="008042AC">
        <w:rPr>
          <w:b/>
          <w:i/>
          <w:sz w:val="26"/>
          <w:szCs w:val="26"/>
        </w:rPr>
        <w:t>Declaration of interests</w:t>
      </w:r>
    </w:p>
    <w:p w14:paraId="2C729245"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William Brown reports travel expenses, speaker honoraria and consulting fees from Novartis, Biogen, and Sanofi Genzyme.</w:t>
      </w:r>
    </w:p>
    <w:p w14:paraId="4262215B"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Alasdair Coles reports personal fees and honoraria, consulting fees, and travel expenses for attending meetings from Genzyme; AC has a patent on the dose regime of alemtuzumab as a treatment of multiple sclerosis pending.</w:t>
      </w:r>
    </w:p>
    <w:p w14:paraId="49A6740E"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Dana </w:t>
      </w:r>
      <w:proofErr w:type="spellStart"/>
      <w:r w:rsidRPr="00986FAD">
        <w:rPr>
          <w:rFonts w:asciiTheme="minorHAnsi" w:hAnsiTheme="minorHAnsi"/>
          <w:iCs/>
          <w:color w:val="000000"/>
          <w:sz w:val="22"/>
          <w:szCs w:val="22"/>
          <w:lang w:val="en-US"/>
        </w:rPr>
        <w:t>Horakova</w:t>
      </w:r>
      <w:proofErr w:type="spellEnd"/>
      <w:r w:rsidRPr="00986FAD">
        <w:rPr>
          <w:rFonts w:asciiTheme="minorHAnsi" w:hAnsiTheme="minorHAnsi"/>
          <w:iCs/>
          <w:color w:val="000000"/>
          <w:sz w:val="22"/>
          <w:szCs w:val="22"/>
          <w:lang w:val="en-US"/>
        </w:rPr>
        <w:t xml:space="preserve"> received speaker honoraria and consulting fees from Biogen, Merck, Teva and Novartis, as well as support for research activities from Biogen and research grants from Charles University in Prague (PRVOUK-P26/LF1/4 and Czech Ministry of Health (NT13237-4/2012).</w:t>
      </w:r>
    </w:p>
    <w:p w14:paraId="11BF0851"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Eva </w:t>
      </w:r>
      <w:proofErr w:type="spellStart"/>
      <w:r w:rsidRPr="00986FAD">
        <w:rPr>
          <w:rFonts w:asciiTheme="minorHAnsi" w:hAnsiTheme="minorHAnsi"/>
          <w:iCs/>
          <w:color w:val="000000"/>
          <w:sz w:val="22"/>
          <w:szCs w:val="22"/>
          <w:lang w:val="en-US"/>
        </w:rPr>
        <w:t>Havrdova</w:t>
      </w:r>
      <w:proofErr w:type="spellEnd"/>
      <w:r w:rsidRPr="00986FAD">
        <w:rPr>
          <w:rFonts w:asciiTheme="minorHAnsi" w:hAnsiTheme="minorHAnsi"/>
          <w:iCs/>
          <w:color w:val="000000"/>
          <w:sz w:val="22"/>
          <w:szCs w:val="22"/>
          <w:lang w:val="en-US"/>
        </w:rPr>
        <w:t xml:space="preserve"> received speaker honoraria and consultant fees from Actelion, Biogen, Celgene, Merck, Novartis, Roche, Sanofi and Teva, and support for research activities from Czech Ministry of Education, project </w:t>
      </w:r>
      <w:proofErr w:type="spellStart"/>
      <w:r w:rsidRPr="00986FAD">
        <w:rPr>
          <w:rFonts w:asciiTheme="minorHAnsi" w:hAnsiTheme="minorHAnsi"/>
          <w:iCs/>
          <w:color w:val="000000"/>
          <w:sz w:val="22"/>
          <w:szCs w:val="22"/>
          <w:lang w:val="en-US"/>
        </w:rPr>
        <w:t>Progres</w:t>
      </w:r>
      <w:proofErr w:type="spellEnd"/>
      <w:r w:rsidRPr="00986FAD">
        <w:rPr>
          <w:rFonts w:asciiTheme="minorHAnsi" w:hAnsiTheme="minorHAnsi"/>
          <w:iCs/>
          <w:color w:val="000000"/>
          <w:sz w:val="22"/>
          <w:szCs w:val="22"/>
          <w:lang w:val="en-US"/>
        </w:rPr>
        <w:t xml:space="preserve"> Q27/LF1.</w:t>
      </w:r>
    </w:p>
    <w:p w14:paraId="68AECCFC"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Guillermo </w:t>
      </w:r>
      <w:proofErr w:type="spellStart"/>
      <w:r w:rsidRPr="00986FAD">
        <w:rPr>
          <w:rFonts w:asciiTheme="minorHAnsi" w:hAnsiTheme="minorHAnsi"/>
          <w:iCs/>
          <w:color w:val="000000"/>
          <w:sz w:val="22"/>
          <w:szCs w:val="22"/>
          <w:lang w:val="en-US"/>
        </w:rPr>
        <w:t>Izquierdo</w:t>
      </w:r>
      <w:proofErr w:type="spellEnd"/>
      <w:r w:rsidRPr="00986FAD">
        <w:rPr>
          <w:rFonts w:asciiTheme="minorHAnsi" w:hAnsiTheme="minorHAnsi"/>
          <w:iCs/>
          <w:color w:val="000000"/>
          <w:sz w:val="22"/>
          <w:szCs w:val="22"/>
          <w:lang w:val="en-US"/>
        </w:rPr>
        <w:t xml:space="preserve"> received speaking honoraria from Biogen, Novartis, Sanofi, Merck and Teva.</w:t>
      </w:r>
    </w:p>
    <w:p w14:paraId="14FADD48"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Alexandre Prat did not declare any competing interests.</w:t>
      </w:r>
    </w:p>
    <w:p w14:paraId="7707BEB0"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lastRenderedPageBreak/>
        <w:t xml:space="preserve">Marc Girard received consulting fees from Teva Canada Innovation, Biogen, Novartis and Genzyme Sanofi; lecture payments from Teva Canada Innovation, Novartis and </w:t>
      </w:r>
      <w:proofErr w:type="gramStart"/>
      <w:r w:rsidRPr="00986FAD">
        <w:rPr>
          <w:rFonts w:asciiTheme="minorHAnsi" w:hAnsiTheme="minorHAnsi"/>
          <w:iCs/>
          <w:color w:val="000000"/>
          <w:sz w:val="22"/>
          <w:szCs w:val="22"/>
          <w:lang w:val="en-US"/>
        </w:rPr>
        <w:t>EMD .</w:t>
      </w:r>
      <w:proofErr w:type="gramEnd"/>
      <w:r w:rsidRPr="00986FAD">
        <w:rPr>
          <w:rStyle w:val="apple-converted-space"/>
          <w:rFonts w:asciiTheme="minorHAnsi" w:hAnsiTheme="minorHAnsi"/>
          <w:iCs/>
          <w:color w:val="000000"/>
          <w:sz w:val="22"/>
          <w:szCs w:val="22"/>
          <w:lang w:val="en-US"/>
        </w:rPr>
        <w:t> </w:t>
      </w:r>
      <w:r w:rsidRPr="00986FAD">
        <w:rPr>
          <w:rFonts w:asciiTheme="minorHAnsi" w:hAnsiTheme="minorHAnsi"/>
          <w:iCs/>
          <w:color w:val="000000"/>
          <w:sz w:val="22"/>
          <w:szCs w:val="22"/>
          <w:lang w:val="en-US"/>
        </w:rPr>
        <w:t>He has also received a research grant from Canadian Institutes of Health Research.</w:t>
      </w:r>
    </w:p>
    <w:p w14:paraId="7F2B543A"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Pierre Duquette served on editorial boards and has been supported to attend meetings by EMD, Biogen, Novartis, Genzyme, and TEVA Neuroscience. He holds grants from the CIHR and the MS Society of Canada and has received funding for investigator-initiated trials from Biogen, Novartis, and Genzyme.</w:t>
      </w:r>
    </w:p>
    <w:p w14:paraId="3C4B43A9"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Maria </w:t>
      </w:r>
      <w:proofErr w:type="spellStart"/>
      <w:r w:rsidRPr="00986FAD">
        <w:rPr>
          <w:rFonts w:asciiTheme="minorHAnsi" w:hAnsiTheme="minorHAnsi"/>
          <w:iCs/>
          <w:color w:val="000000"/>
          <w:sz w:val="22"/>
          <w:szCs w:val="22"/>
          <w:lang w:val="en-US"/>
        </w:rPr>
        <w:t>Trojano</w:t>
      </w:r>
      <w:proofErr w:type="spellEnd"/>
      <w:r w:rsidRPr="00986FAD">
        <w:rPr>
          <w:rFonts w:asciiTheme="minorHAnsi" w:hAnsiTheme="minorHAnsi"/>
          <w:iCs/>
          <w:color w:val="000000"/>
          <w:sz w:val="22"/>
          <w:szCs w:val="22"/>
          <w:lang w:val="en-US"/>
        </w:rPr>
        <w:t xml:space="preserve"> received speaker honoraria from Biogen-Idec, Bayer-Schering, Sanofi Aventis, Merck, </w:t>
      </w:r>
      <w:proofErr w:type="gramStart"/>
      <w:r w:rsidRPr="00986FAD">
        <w:rPr>
          <w:rFonts w:asciiTheme="minorHAnsi" w:hAnsiTheme="minorHAnsi"/>
          <w:iCs/>
          <w:color w:val="000000"/>
          <w:sz w:val="22"/>
          <w:szCs w:val="22"/>
          <w:lang w:val="en-US"/>
        </w:rPr>
        <w:t>Teva ,</w:t>
      </w:r>
      <w:proofErr w:type="gramEnd"/>
      <w:r w:rsidRPr="00986FAD">
        <w:rPr>
          <w:rFonts w:asciiTheme="minorHAnsi" w:hAnsiTheme="minorHAnsi"/>
          <w:iCs/>
          <w:color w:val="000000"/>
          <w:sz w:val="22"/>
          <w:szCs w:val="22"/>
          <w:lang w:val="en-US"/>
        </w:rPr>
        <w:t xml:space="preserve"> Novartis and </w:t>
      </w:r>
      <w:proofErr w:type="spellStart"/>
      <w:r w:rsidRPr="00986FAD">
        <w:rPr>
          <w:rFonts w:asciiTheme="minorHAnsi" w:hAnsiTheme="minorHAnsi"/>
          <w:iCs/>
          <w:color w:val="000000"/>
          <w:sz w:val="22"/>
          <w:szCs w:val="22"/>
          <w:lang w:val="en-US"/>
        </w:rPr>
        <w:t>Almirall</w:t>
      </w:r>
      <w:proofErr w:type="spellEnd"/>
      <w:r w:rsidRPr="00986FAD">
        <w:rPr>
          <w:rFonts w:asciiTheme="minorHAnsi" w:hAnsiTheme="minorHAnsi"/>
          <w:iCs/>
          <w:color w:val="000000"/>
          <w:sz w:val="22"/>
          <w:szCs w:val="22"/>
          <w:lang w:val="en-US"/>
        </w:rPr>
        <w:t>; has received research grants for her Institution from Biogen-Idec, Merck, and Novartis.</w:t>
      </w:r>
    </w:p>
    <w:p w14:paraId="2E6F7759" w14:textId="77777777" w:rsidR="00575022" w:rsidRPr="00986FAD" w:rsidRDefault="00575022" w:rsidP="00B619C5">
      <w:pPr>
        <w:spacing w:beforeAutospacing="1" w:afterAutospacing="1" w:line="480" w:lineRule="auto"/>
        <w:rPr>
          <w:rFonts w:asciiTheme="minorHAnsi" w:hAnsiTheme="minorHAnsi"/>
          <w:color w:val="000000" w:themeColor="text1"/>
        </w:rPr>
      </w:pPr>
      <w:r w:rsidRPr="00986FAD">
        <w:rPr>
          <w:rFonts w:asciiTheme="minorHAnsi" w:hAnsiTheme="minorHAnsi"/>
          <w:iCs/>
          <w:color w:val="000000" w:themeColor="text1"/>
          <w:lang w:val="en-US"/>
        </w:rPr>
        <w:t xml:space="preserve">Alessandra </w:t>
      </w:r>
      <w:proofErr w:type="spellStart"/>
      <w:r w:rsidRPr="00986FAD">
        <w:rPr>
          <w:rFonts w:asciiTheme="minorHAnsi" w:hAnsiTheme="minorHAnsi"/>
          <w:iCs/>
          <w:color w:val="000000" w:themeColor="text1"/>
          <w:lang w:val="en-US"/>
        </w:rPr>
        <w:t>Lugaresi</w:t>
      </w:r>
      <w:proofErr w:type="spellEnd"/>
      <w:r w:rsidRPr="00986FAD">
        <w:rPr>
          <w:rFonts w:asciiTheme="minorHAnsi" w:hAnsiTheme="minorHAnsi"/>
          <w:iCs/>
          <w:color w:val="000000" w:themeColor="text1"/>
          <w:lang w:val="en-US"/>
        </w:rPr>
        <w:t xml:space="preserve"> has served as a Bayer, Biogen, Sanofi Genzyme, Merck, Novartis and Teva Advisory Board Member. She received congress and travel/accommodation expense compensations and speaker honoraria from Bayer, Biogen, Merck, Novartis, Sanofi Genzyme, Teva and Fondazione </w:t>
      </w:r>
      <w:proofErr w:type="spellStart"/>
      <w:r w:rsidRPr="00986FAD">
        <w:rPr>
          <w:rFonts w:asciiTheme="minorHAnsi" w:hAnsiTheme="minorHAnsi"/>
          <w:iCs/>
          <w:color w:val="000000" w:themeColor="text1"/>
          <w:lang w:val="en-US"/>
        </w:rPr>
        <w:t>Italiana</w:t>
      </w:r>
      <w:proofErr w:type="spellEnd"/>
      <w:r w:rsidRPr="00986FAD">
        <w:rPr>
          <w:rFonts w:asciiTheme="minorHAnsi" w:hAnsiTheme="minorHAnsi"/>
          <w:iCs/>
          <w:color w:val="000000" w:themeColor="text1"/>
          <w:lang w:val="en-US"/>
        </w:rPr>
        <w:t xml:space="preserve"> </w:t>
      </w:r>
      <w:proofErr w:type="spellStart"/>
      <w:r w:rsidRPr="00986FAD">
        <w:rPr>
          <w:rFonts w:asciiTheme="minorHAnsi" w:hAnsiTheme="minorHAnsi"/>
          <w:iCs/>
          <w:color w:val="000000" w:themeColor="text1"/>
          <w:lang w:val="en-US"/>
        </w:rPr>
        <w:t>Sclerosi</w:t>
      </w:r>
      <w:proofErr w:type="spellEnd"/>
      <w:r w:rsidRPr="00986FAD">
        <w:rPr>
          <w:rFonts w:asciiTheme="minorHAnsi" w:hAnsiTheme="minorHAnsi"/>
          <w:iCs/>
          <w:color w:val="000000" w:themeColor="text1"/>
          <w:lang w:val="en-US"/>
        </w:rPr>
        <w:t xml:space="preserve"> </w:t>
      </w:r>
      <w:proofErr w:type="spellStart"/>
      <w:r w:rsidRPr="00986FAD">
        <w:rPr>
          <w:rFonts w:asciiTheme="minorHAnsi" w:hAnsiTheme="minorHAnsi"/>
          <w:iCs/>
          <w:color w:val="000000" w:themeColor="text1"/>
          <w:lang w:val="en-US"/>
        </w:rPr>
        <w:t>Multipla</w:t>
      </w:r>
      <w:proofErr w:type="spellEnd"/>
      <w:r w:rsidRPr="00986FAD">
        <w:rPr>
          <w:rFonts w:asciiTheme="minorHAnsi" w:hAnsiTheme="minorHAnsi"/>
          <w:iCs/>
          <w:color w:val="000000" w:themeColor="text1"/>
          <w:lang w:val="en-US"/>
        </w:rPr>
        <w:t xml:space="preserve"> (FISM). Her institution received research grants from Bayer, Biogen, Merck, Novartis, Sanofi Genzyme, Teva and Fondazione </w:t>
      </w:r>
      <w:proofErr w:type="spellStart"/>
      <w:r w:rsidRPr="00986FAD">
        <w:rPr>
          <w:rFonts w:asciiTheme="minorHAnsi" w:hAnsiTheme="minorHAnsi"/>
          <w:iCs/>
          <w:color w:val="000000" w:themeColor="text1"/>
          <w:lang w:val="en-US"/>
        </w:rPr>
        <w:t>Italiana</w:t>
      </w:r>
      <w:proofErr w:type="spellEnd"/>
      <w:r w:rsidRPr="00986FAD">
        <w:rPr>
          <w:rFonts w:asciiTheme="minorHAnsi" w:hAnsiTheme="minorHAnsi"/>
          <w:iCs/>
          <w:color w:val="000000" w:themeColor="text1"/>
          <w:lang w:val="en-US"/>
        </w:rPr>
        <w:t xml:space="preserve"> </w:t>
      </w:r>
      <w:proofErr w:type="spellStart"/>
      <w:r w:rsidRPr="00986FAD">
        <w:rPr>
          <w:rFonts w:asciiTheme="minorHAnsi" w:hAnsiTheme="minorHAnsi"/>
          <w:iCs/>
          <w:color w:val="000000" w:themeColor="text1"/>
          <w:lang w:val="en-US"/>
        </w:rPr>
        <w:t>Sclerosi</w:t>
      </w:r>
      <w:proofErr w:type="spellEnd"/>
      <w:r w:rsidRPr="00986FAD">
        <w:rPr>
          <w:rFonts w:asciiTheme="minorHAnsi" w:hAnsiTheme="minorHAnsi"/>
          <w:iCs/>
          <w:color w:val="000000" w:themeColor="text1"/>
          <w:lang w:val="en-US"/>
        </w:rPr>
        <w:t xml:space="preserve"> </w:t>
      </w:r>
      <w:proofErr w:type="spellStart"/>
      <w:r w:rsidRPr="00986FAD">
        <w:rPr>
          <w:rFonts w:asciiTheme="minorHAnsi" w:hAnsiTheme="minorHAnsi"/>
          <w:iCs/>
          <w:color w:val="000000" w:themeColor="text1"/>
          <w:lang w:val="en-US"/>
        </w:rPr>
        <w:t>Multipla</w:t>
      </w:r>
      <w:proofErr w:type="spellEnd"/>
      <w:r w:rsidRPr="00986FAD">
        <w:rPr>
          <w:rFonts w:asciiTheme="minorHAnsi" w:hAnsiTheme="minorHAnsi"/>
          <w:iCs/>
          <w:color w:val="000000" w:themeColor="text1"/>
          <w:lang w:val="en-US"/>
        </w:rPr>
        <w:t xml:space="preserve"> (FISM).</w:t>
      </w:r>
    </w:p>
    <w:p w14:paraId="054259B7"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Roberto Bergamaschi received speaker honoraria from Bayer Schering, Biogen, Genzyme, Merck, Novartis, Sanofi-Aventis, Teva; research grants from Bayer Schering, Biogen, </w:t>
      </w:r>
      <w:proofErr w:type="gramStart"/>
      <w:r w:rsidRPr="00986FAD">
        <w:rPr>
          <w:rFonts w:asciiTheme="minorHAnsi" w:hAnsiTheme="minorHAnsi"/>
          <w:iCs/>
          <w:color w:val="000000"/>
          <w:sz w:val="22"/>
          <w:szCs w:val="22"/>
          <w:lang w:val="en-US"/>
        </w:rPr>
        <w:t>Merck ,</w:t>
      </w:r>
      <w:proofErr w:type="gramEnd"/>
      <w:r w:rsidRPr="00986FAD">
        <w:rPr>
          <w:rFonts w:asciiTheme="minorHAnsi" w:hAnsiTheme="minorHAnsi"/>
          <w:iCs/>
          <w:color w:val="000000"/>
          <w:sz w:val="22"/>
          <w:szCs w:val="22"/>
          <w:lang w:val="en-US"/>
        </w:rPr>
        <w:t xml:space="preserve"> Novartis, Sanofi-Aventis, Teva; congress and travel/accommodation expense compensations by </w:t>
      </w:r>
      <w:proofErr w:type="spellStart"/>
      <w:r w:rsidRPr="00986FAD">
        <w:rPr>
          <w:rFonts w:asciiTheme="minorHAnsi" w:hAnsiTheme="minorHAnsi"/>
          <w:iCs/>
          <w:color w:val="000000"/>
          <w:sz w:val="22"/>
          <w:szCs w:val="22"/>
          <w:lang w:val="en-US"/>
        </w:rPr>
        <w:t>Almirall</w:t>
      </w:r>
      <w:proofErr w:type="spellEnd"/>
      <w:r w:rsidRPr="00986FAD">
        <w:rPr>
          <w:rFonts w:asciiTheme="minorHAnsi" w:hAnsiTheme="minorHAnsi"/>
          <w:iCs/>
          <w:color w:val="000000"/>
          <w:sz w:val="22"/>
          <w:szCs w:val="22"/>
          <w:lang w:val="en-US"/>
        </w:rPr>
        <w:t>, Bayer Schering, Biogen, Genzyme, Merck , Novartis, Sanofi-Aventis, Teva.</w:t>
      </w:r>
    </w:p>
    <w:p w14:paraId="5D7886CA"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Pierre </w:t>
      </w:r>
      <w:proofErr w:type="spellStart"/>
      <w:r w:rsidRPr="00986FAD">
        <w:rPr>
          <w:rFonts w:asciiTheme="minorHAnsi" w:hAnsiTheme="minorHAnsi"/>
          <w:iCs/>
          <w:color w:val="000000"/>
          <w:sz w:val="22"/>
          <w:szCs w:val="22"/>
          <w:lang w:val="en-US"/>
        </w:rPr>
        <w:t>Grammond</w:t>
      </w:r>
      <w:proofErr w:type="spellEnd"/>
      <w:r w:rsidRPr="00986FAD">
        <w:rPr>
          <w:rFonts w:asciiTheme="minorHAnsi" w:hAnsiTheme="minorHAnsi"/>
          <w:iCs/>
          <w:color w:val="000000"/>
          <w:sz w:val="22"/>
          <w:szCs w:val="22"/>
          <w:lang w:val="en-US"/>
        </w:rPr>
        <w:t xml:space="preserve"> is a Merck, Novartis, Teva-neuroscience, Biogen and Genzyme advisory board member, consultant for </w:t>
      </w:r>
      <w:proofErr w:type="gramStart"/>
      <w:r w:rsidRPr="00986FAD">
        <w:rPr>
          <w:rFonts w:asciiTheme="minorHAnsi" w:hAnsiTheme="minorHAnsi"/>
          <w:iCs/>
          <w:color w:val="000000"/>
          <w:sz w:val="22"/>
          <w:szCs w:val="22"/>
          <w:lang w:val="en-US"/>
        </w:rPr>
        <w:t>Merck ,</w:t>
      </w:r>
      <w:proofErr w:type="gramEnd"/>
      <w:r w:rsidRPr="00986FAD">
        <w:rPr>
          <w:rFonts w:asciiTheme="minorHAnsi" w:hAnsiTheme="minorHAnsi"/>
          <w:iCs/>
          <w:color w:val="000000"/>
          <w:sz w:val="22"/>
          <w:szCs w:val="22"/>
          <w:lang w:val="en-US"/>
        </w:rPr>
        <w:t xml:space="preserve"> received payments for lectures by Merck , Teva-Neuroscience and </w:t>
      </w:r>
      <w:r w:rsidRPr="00986FAD">
        <w:rPr>
          <w:rFonts w:asciiTheme="minorHAnsi" w:hAnsiTheme="minorHAnsi"/>
          <w:iCs/>
          <w:color w:val="000000"/>
          <w:sz w:val="22"/>
          <w:szCs w:val="22"/>
          <w:lang w:val="en-US"/>
        </w:rPr>
        <w:lastRenderedPageBreak/>
        <w:t>Canadian Multiple sclerosis society, and received grants for travel from Teva-Neuroscience and Novartis.</w:t>
      </w:r>
    </w:p>
    <w:p w14:paraId="73D7CDE5" w14:textId="77777777" w:rsidR="00575022" w:rsidRPr="00986FAD" w:rsidRDefault="00575022" w:rsidP="00B619C5">
      <w:pPr>
        <w:spacing w:line="480" w:lineRule="auto"/>
        <w:rPr>
          <w:rFonts w:asciiTheme="minorHAnsi" w:eastAsia="Times New Roman" w:hAnsiTheme="minorHAnsi"/>
          <w:color w:val="000000"/>
        </w:rPr>
      </w:pPr>
      <w:proofErr w:type="spellStart"/>
      <w:r w:rsidRPr="00986FAD">
        <w:rPr>
          <w:rFonts w:asciiTheme="minorHAnsi" w:eastAsia="Times New Roman" w:hAnsiTheme="minorHAnsi"/>
          <w:iCs/>
          <w:color w:val="000000"/>
          <w:lang w:val="en-US"/>
        </w:rPr>
        <w:t>Raed</w:t>
      </w:r>
      <w:proofErr w:type="spellEnd"/>
      <w:r w:rsidRPr="00986FAD">
        <w:rPr>
          <w:rFonts w:asciiTheme="minorHAnsi" w:eastAsia="Times New Roman" w:hAnsiTheme="minorHAnsi"/>
          <w:iCs/>
          <w:color w:val="000000"/>
          <w:lang w:val="en-US"/>
        </w:rPr>
        <w:t xml:space="preserve"> </w:t>
      </w:r>
      <w:proofErr w:type="spellStart"/>
      <w:r w:rsidRPr="00986FAD">
        <w:rPr>
          <w:rFonts w:asciiTheme="minorHAnsi" w:eastAsia="Times New Roman" w:hAnsiTheme="minorHAnsi"/>
          <w:iCs/>
          <w:color w:val="000000"/>
          <w:lang w:val="en-US"/>
        </w:rPr>
        <w:t>Alroughani</w:t>
      </w:r>
      <w:proofErr w:type="spellEnd"/>
      <w:r w:rsidRPr="00986FAD">
        <w:rPr>
          <w:rFonts w:asciiTheme="minorHAnsi" w:eastAsia="Times New Roman" w:hAnsiTheme="minorHAnsi"/>
          <w:iCs/>
          <w:color w:val="000000"/>
          <w:lang w:val="en-US"/>
        </w:rPr>
        <w:t xml:space="preserve"> received speaker's </w:t>
      </w:r>
      <w:proofErr w:type="spellStart"/>
      <w:r w:rsidRPr="00986FAD">
        <w:rPr>
          <w:rFonts w:asciiTheme="minorHAnsi" w:eastAsia="Times New Roman" w:hAnsiTheme="minorHAnsi"/>
          <w:iCs/>
          <w:color w:val="000000"/>
          <w:lang w:val="en-US"/>
        </w:rPr>
        <w:t>honororia</w:t>
      </w:r>
      <w:proofErr w:type="spellEnd"/>
      <w:r w:rsidRPr="00986FAD">
        <w:rPr>
          <w:rFonts w:asciiTheme="minorHAnsi" w:eastAsia="Times New Roman" w:hAnsiTheme="minorHAnsi"/>
          <w:iCs/>
          <w:color w:val="000000"/>
          <w:lang w:val="en-US"/>
        </w:rPr>
        <w:t xml:space="preserve"> from Biogen, Bayer, Merck, GSK, Novartis, Roche &amp; Sanofi-Genzyme; served on scientific advisory board for Biogen, Bayer, Novartis, Genzyme, Merck, Novartis, Roche &amp; Sanofi-Genzyme; and received research support from Biogen, Novartis and Sanofi-Genzyme. </w:t>
      </w:r>
    </w:p>
    <w:p w14:paraId="3902B437"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Raymond </w:t>
      </w:r>
      <w:proofErr w:type="spellStart"/>
      <w:r w:rsidRPr="00986FAD">
        <w:rPr>
          <w:rFonts w:asciiTheme="minorHAnsi" w:hAnsiTheme="minorHAnsi"/>
          <w:iCs/>
          <w:color w:val="000000"/>
          <w:sz w:val="22"/>
          <w:szCs w:val="22"/>
          <w:lang w:val="en-US"/>
        </w:rPr>
        <w:t>Hupperts</w:t>
      </w:r>
      <w:proofErr w:type="spellEnd"/>
      <w:r w:rsidRPr="00986FAD">
        <w:rPr>
          <w:rFonts w:asciiTheme="minorHAnsi" w:hAnsiTheme="minorHAnsi"/>
          <w:iCs/>
          <w:color w:val="000000"/>
          <w:sz w:val="22"/>
          <w:szCs w:val="22"/>
          <w:lang w:val="en-US"/>
        </w:rPr>
        <w:t xml:space="preserve"> received honoraria as consultant on scientific advisory boards from Merck, Biogen, Genzyme-Sanofi and Teva, research funding from Merck and Biogen, and speaker honoraria from Sanofi-Genzyme and Novartis.</w:t>
      </w:r>
    </w:p>
    <w:p w14:paraId="37C87CB8"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Pamela </w:t>
      </w:r>
      <w:proofErr w:type="spellStart"/>
      <w:r w:rsidRPr="00986FAD">
        <w:rPr>
          <w:rFonts w:asciiTheme="minorHAnsi" w:hAnsiTheme="minorHAnsi"/>
          <w:iCs/>
          <w:color w:val="000000"/>
          <w:sz w:val="22"/>
          <w:szCs w:val="22"/>
          <w:lang w:val="en-US"/>
        </w:rPr>
        <w:t>McCombe</w:t>
      </w:r>
      <w:proofErr w:type="spellEnd"/>
      <w:r w:rsidRPr="00986FAD">
        <w:rPr>
          <w:rFonts w:asciiTheme="minorHAnsi" w:hAnsiTheme="minorHAnsi"/>
          <w:iCs/>
          <w:color w:val="000000"/>
          <w:sz w:val="22"/>
          <w:szCs w:val="22"/>
          <w:lang w:val="en-US"/>
        </w:rPr>
        <w:t xml:space="preserve"> did not declare any competing interests.</w:t>
      </w:r>
    </w:p>
    <w:p w14:paraId="21657769"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Vincent Van </w:t>
      </w:r>
      <w:proofErr w:type="spellStart"/>
      <w:r w:rsidRPr="00986FAD">
        <w:rPr>
          <w:rFonts w:asciiTheme="minorHAnsi" w:hAnsiTheme="minorHAnsi"/>
          <w:iCs/>
          <w:color w:val="000000"/>
          <w:sz w:val="22"/>
          <w:szCs w:val="22"/>
          <w:lang w:val="en-US"/>
        </w:rPr>
        <w:t>Pesch</w:t>
      </w:r>
      <w:proofErr w:type="spellEnd"/>
      <w:r w:rsidRPr="00986FAD">
        <w:rPr>
          <w:rFonts w:asciiTheme="minorHAnsi" w:hAnsiTheme="minorHAnsi"/>
          <w:iCs/>
          <w:color w:val="000000"/>
          <w:sz w:val="22"/>
          <w:szCs w:val="22"/>
          <w:lang w:val="en-US"/>
        </w:rPr>
        <w:t xml:space="preserve"> received travel grants from Biogen, Bayer Schering, Genzyme, Merck, Teva and Novartis Pharma. His institution receives honoraria for consultancy and lectures from Biogen, Bayer Schering, Genzyme, Merck, Roche, Teva and Novartis Pharma as well as research grants from Novartis Pharma and Bayer Schering.</w:t>
      </w:r>
    </w:p>
    <w:p w14:paraId="4CA2C572" w14:textId="77777777" w:rsidR="00575022" w:rsidRPr="00986FAD" w:rsidRDefault="00575022" w:rsidP="00B619C5">
      <w:pPr>
        <w:spacing w:line="480" w:lineRule="auto"/>
        <w:rPr>
          <w:rFonts w:asciiTheme="minorHAnsi" w:eastAsia="Times New Roman" w:hAnsiTheme="minorHAnsi"/>
        </w:rPr>
      </w:pPr>
      <w:proofErr w:type="spellStart"/>
      <w:r w:rsidRPr="00986FAD">
        <w:rPr>
          <w:rFonts w:asciiTheme="minorHAnsi" w:eastAsia="Times New Roman" w:hAnsiTheme="minorHAnsi"/>
          <w:color w:val="212121"/>
        </w:rPr>
        <w:t>Patrizia</w:t>
      </w:r>
      <w:proofErr w:type="spellEnd"/>
      <w:r w:rsidRPr="00986FAD">
        <w:rPr>
          <w:rFonts w:asciiTheme="minorHAnsi" w:eastAsia="Times New Roman" w:hAnsiTheme="minorHAnsi"/>
          <w:color w:val="212121"/>
        </w:rPr>
        <w:t xml:space="preserve"> Sola served on scientific advisory boards for Biogen Idec and TEVA, she has received funding for travel and speaker honoraria from Biogen Idec, Merck, Teva, Sanofi Genzyme, Novartis and Bayer </w:t>
      </w:r>
    </w:p>
    <w:p w14:paraId="1B7D7923"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Diana Ferraro received travel grants and/or speaker honoraria from Merck, TEVA,</w:t>
      </w:r>
      <w:r w:rsidRPr="00986FAD">
        <w:rPr>
          <w:rStyle w:val="apple-converted-space"/>
          <w:rFonts w:asciiTheme="minorHAnsi" w:hAnsiTheme="minorHAnsi"/>
          <w:iCs/>
          <w:color w:val="000000"/>
          <w:sz w:val="22"/>
          <w:szCs w:val="22"/>
          <w:lang w:val="en-US"/>
        </w:rPr>
        <w:t> </w:t>
      </w:r>
      <w:r w:rsidRPr="00986FAD">
        <w:rPr>
          <w:rFonts w:asciiTheme="minorHAnsi" w:hAnsiTheme="minorHAnsi"/>
          <w:iCs/>
          <w:color w:val="000000"/>
          <w:sz w:val="22"/>
          <w:szCs w:val="22"/>
          <w:lang w:val="en-US"/>
        </w:rPr>
        <w:t>Novartis, Biogen and Sanofi-Genzyme.</w:t>
      </w:r>
    </w:p>
    <w:p w14:paraId="379CFB92"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Francois </w:t>
      </w:r>
      <w:proofErr w:type="spellStart"/>
      <w:r w:rsidRPr="00986FAD">
        <w:rPr>
          <w:rFonts w:asciiTheme="minorHAnsi" w:hAnsiTheme="minorHAnsi"/>
          <w:iCs/>
          <w:color w:val="000000"/>
          <w:sz w:val="22"/>
          <w:szCs w:val="22"/>
          <w:lang w:val="en-US"/>
        </w:rPr>
        <w:t>Grand'Maison</w:t>
      </w:r>
      <w:proofErr w:type="spellEnd"/>
      <w:r w:rsidRPr="00986FAD">
        <w:rPr>
          <w:rFonts w:asciiTheme="minorHAnsi" w:hAnsiTheme="minorHAnsi"/>
          <w:iCs/>
          <w:color w:val="000000"/>
          <w:sz w:val="22"/>
          <w:szCs w:val="22"/>
          <w:lang w:val="en-US"/>
        </w:rPr>
        <w:t xml:space="preserve"> received honoraria or research funding from Biogen, Genzyme, Novartis, Teva Neurosciences, Mitsubishi and ONO Pharmaceuticals.</w:t>
      </w:r>
    </w:p>
    <w:p w14:paraId="1C6BF14C"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lastRenderedPageBreak/>
        <w:t>Murat Terzi received travel grants from Merck, Novartis, Bayer-Schering, Merck and Teva; has participated in clinical trials by Sanofi Aventis, Roche and Novartis.</w:t>
      </w:r>
    </w:p>
    <w:p w14:paraId="7414C19B"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Jeannette Lechner-Scott accepted travel compensation from Novartis, Biogen and Merck. Her institution receives the honoraria for talks and advisory board commitment from Bayer Health Care, Biogen, Genzyme Sanofi, Merck, Novartis and Teva, has been involved in clinical trials with Biogen, Novartis and Teva.</w:t>
      </w:r>
    </w:p>
    <w:p w14:paraId="5B543EB5" w14:textId="77777777" w:rsidR="00575022" w:rsidRPr="00986FAD" w:rsidRDefault="00575022" w:rsidP="00B619C5">
      <w:pPr>
        <w:pStyle w:val="xmsonormal"/>
        <w:spacing w:line="480" w:lineRule="auto"/>
        <w:rPr>
          <w:rFonts w:asciiTheme="minorHAnsi" w:hAnsiTheme="minorHAnsi"/>
          <w:color w:val="000000"/>
          <w:sz w:val="22"/>
          <w:szCs w:val="22"/>
        </w:rPr>
      </w:pPr>
      <w:proofErr w:type="spellStart"/>
      <w:r w:rsidRPr="00986FAD">
        <w:rPr>
          <w:rFonts w:asciiTheme="minorHAnsi" w:hAnsiTheme="minorHAnsi"/>
          <w:iCs/>
          <w:color w:val="000000"/>
          <w:sz w:val="22"/>
          <w:szCs w:val="22"/>
          <w:lang w:val="en-US"/>
        </w:rPr>
        <w:t>Schlomo</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Flechter</w:t>
      </w:r>
      <w:proofErr w:type="spellEnd"/>
      <w:r w:rsidRPr="00986FAD">
        <w:rPr>
          <w:rFonts w:asciiTheme="minorHAnsi" w:hAnsiTheme="minorHAnsi"/>
          <w:iCs/>
          <w:color w:val="000000"/>
          <w:sz w:val="22"/>
          <w:szCs w:val="22"/>
          <w:lang w:val="en-US"/>
        </w:rPr>
        <w:t xml:space="preserve"> received research funding, speaker honoraria and compensation for travel from and served as a consultant on advisory board for Bayer-Schering, Teva, Biogen, </w:t>
      </w:r>
      <w:proofErr w:type="gramStart"/>
      <w:r w:rsidRPr="00986FAD">
        <w:rPr>
          <w:rFonts w:asciiTheme="minorHAnsi" w:hAnsiTheme="minorHAnsi"/>
          <w:iCs/>
          <w:color w:val="000000"/>
          <w:sz w:val="22"/>
          <w:szCs w:val="22"/>
          <w:lang w:val="en-US"/>
        </w:rPr>
        <w:t>Merck ,</w:t>
      </w:r>
      <w:proofErr w:type="gramEnd"/>
      <w:r w:rsidRPr="00986FAD">
        <w:rPr>
          <w:rFonts w:asciiTheme="minorHAnsi" w:hAnsiTheme="minorHAnsi"/>
          <w:iCs/>
          <w:color w:val="000000"/>
          <w:sz w:val="22"/>
          <w:szCs w:val="22"/>
          <w:lang w:val="en-US"/>
        </w:rPr>
        <w:t xml:space="preserve"> Genzyme and Novartis.</w:t>
      </w:r>
    </w:p>
    <w:p w14:paraId="49F69911"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Mark </w:t>
      </w:r>
      <w:proofErr w:type="spellStart"/>
      <w:r w:rsidRPr="00986FAD">
        <w:rPr>
          <w:rFonts w:asciiTheme="minorHAnsi" w:hAnsiTheme="minorHAnsi"/>
          <w:iCs/>
          <w:color w:val="000000"/>
          <w:sz w:val="22"/>
          <w:szCs w:val="22"/>
          <w:lang w:val="en-US"/>
        </w:rPr>
        <w:t>Slee</w:t>
      </w:r>
      <w:proofErr w:type="spellEnd"/>
      <w:r w:rsidRPr="00986FAD">
        <w:rPr>
          <w:rFonts w:asciiTheme="minorHAnsi" w:hAnsiTheme="minorHAnsi"/>
          <w:iCs/>
          <w:color w:val="000000"/>
          <w:sz w:val="22"/>
          <w:szCs w:val="22"/>
          <w:lang w:val="en-US"/>
        </w:rPr>
        <w:t xml:space="preserve"> has participated in, but not received honoraria for, advisory board activity for Biogen, Merck, Bayer Schering, Sanofi Aventis and Novartis.</w:t>
      </w:r>
    </w:p>
    <w:p w14:paraId="145B0FEC"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Vahid </w:t>
      </w:r>
      <w:proofErr w:type="spellStart"/>
      <w:r w:rsidRPr="00986FAD">
        <w:rPr>
          <w:rFonts w:asciiTheme="minorHAnsi" w:hAnsiTheme="minorHAnsi"/>
          <w:iCs/>
          <w:color w:val="000000"/>
          <w:sz w:val="22"/>
          <w:szCs w:val="22"/>
          <w:lang w:val="en-US"/>
        </w:rPr>
        <w:t>Shaygannejad</w:t>
      </w:r>
      <w:proofErr w:type="spellEnd"/>
      <w:r w:rsidRPr="00986FAD">
        <w:rPr>
          <w:rFonts w:asciiTheme="minorHAnsi" w:hAnsiTheme="minorHAnsi"/>
          <w:iCs/>
          <w:color w:val="000000"/>
          <w:sz w:val="22"/>
          <w:szCs w:val="22"/>
          <w:lang w:val="en-US"/>
        </w:rPr>
        <w:t xml:space="preserve"> did not declare any competing interests.</w:t>
      </w:r>
    </w:p>
    <w:p w14:paraId="047E960C"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Eugenio Pucci served on scientific advisory boards for Merck, Genzyme and Biogen; he has received honoraria and travel grants from Sanofi Aventis, UCB, Lundbeck, Novartis, Bayer Schering, Biogen, </w:t>
      </w:r>
      <w:proofErr w:type="gramStart"/>
      <w:r w:rsidRPr="00986FAD">
        <w:rPr>
          <w:rFonts w:asciiTheme="minorHAnsi" w:hAnsiTheme="minorHAnsi"/>
          <w:iCs/>
          <w:color w:val="000000"/>
          <w:sz w:val="22"/>
          <w:szCs w:val="22"/>
          <w:lang w:val="en-US"/>
        </w:rPr>
        <w:t>Merck ,</w:t>
      </w:r>
      <w:proofErr w:type="gramEnd"/>
      <w:r w:rsidRPr="00986FAD">
        <w:rPr>
          <w:rFonts w:asciiTheme="minorHAnsi" w:hAnsiTheme="minorHAnsi"/>
          <w:iCs/>
          <w:color w:val="000000"/>
          <w:sz w:val="22"/>
          <w:szCs w:val="22"/>
          <w:lang w:val="en-US"/>
        </w:rPr>
        <w:t xml:space="preserve"> Genzyme and Teva; he has received travel grants and equipment from "</w:t>
      </w:r>
      <w:proofErr w:type="spellStart"/>
      <w:r w:rsidRPr="00986FAD">
        <w:rPr>
          <w:rFonts w:asciiTheme="minorHAnsi" w:hAnsiTheme="minorHAnsi"/>
          <w:iCs/>
          <w:color w:val="000000"/>
          <w:sz w:val="22"/>
          <w:szCs w:val="22"/>
          <w:lang w:val="en-US"/>
        </w:rPr>
        <w:t>Associazione</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Marchigiana</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Sclerosi</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Multipla</w:t>
      </w:r>
      <w:proofErr w:type="spellEnd"/>
      <w:r w:rsidRPr="00986FAD">
        <w:rPr>
          <w:rFonts w:asciiTheme="minorHAnsi" w:hAnsiTheme="minorHAnsi"/>
          <w:iCs/>
          <w:color w:val="000000"/>
          <w:sz w:val="22"/>
          <w:szCs w:val="22"/>
          <w:lang w:val="en-US"/>
        </w:rPr>
        <w:t xml:space="preserve"> e </w:t>
      </w:r>
      <w:proofErr w:type="spellStart"/>
      <w:r w:rsidRPr="00986FAD">
        <w:rPr>
          <w:rFonts w:asciiTheme="minorHAnsi" w:hAnsiTheme="minorHAnsi"/>
          <w:iCs/>
          <w:color w:val="000000"/>
          <w:sz w:val="22"/>
          <w:szCs w:val="22"/>
          <w:lang w:val="en-US"/>
        </w:rPr>
        <w:t>altre</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malattie</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neurologiche</w:t>
      </w:r>
      <w:proofErr w:type="spellEnd"/>
      <w:r w:rsidRPr="00986FAD">
        <w:rPr>
          <w:rFonts w:asciiTheme="minorHAnsi" w:hAnsiTheme="minorHAnsi"/>
          <w:iCs/>
          <w:color w:val="000000"/>
          <w:sz w:val="22"/>
          <w:szCs w:val="22"/>
          <w:lang w:val="en-US"/>
        </w:rPr>
        <w:t>".</w:t>
      </w:r>
    </w:p>
    <w:p w14:paraId="074EFE83"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Franco </w:t>
      </w:r>
      <w:proofErr w:type="spellStart"/>
      <w:r w:rsidRPr="00986FAD">
        <w:rPr>
          <w:rFonts w:asciiTheme="minorHAnsi" w:hAnsiTheme="minorHAnsi"/>
          <w:iCs/>
          <w:color w:val="000000"/>
          <w:sz w:val="22"/>
          <w:szCs w:val="22"/>
          <w:lang w:val="en-US"/>
        </w:rPr>
        <w:t>Granella</w:t>
      </w:r>
      <w:proofErr w:type="spellEnd"/>
      <w:r w:rsidRPr="00986FAD">
        <w:rPr>
          <w:rFonts w:asciiTheme="minorHAnsi" w:hAnsiTheme="minorHAnsi"/>
          <w:iCs/>
          <w:color w:val="000000"/>
          <w:sz w:val="22"/>
          <w:szCs w:val="22"/>
          <w:lang w:val="en-US"/>
        </w:rPr>
        <w:t xml:space="preserve"> served on scientific advisory boards for Biogen Idec, Novartis and Sanofi Aventis and received funding for travel and speaker honoraria from Biogen Idec, Merck, and </w:t>
      </w:r>
      <w:proofErr w:type="spellStart"/>
      <w:r w:rsidRPr="00986FAD">
        <w:rPr>
          <w:rFonts w:asciiTheme="minorHAnsi" w:hAnsiTheme="minorHAnsi"/>
          <w:iCs/>
          <w:color w:val="000000"/>
          <w:sz w:val="22"/>
          <w:szCs w:val="22"/>
          <w:lang w:val="en-US"/>
        </w:rPr>
        <w:t>Almirall</w:t>
      </w:r>
      <w:proofErr w:type="spellEnd"/>
      <w:r w:rsidRPr="00986FAD">
        <w:rPr>
          <w:rFonts w:asciiTheme="minorHAnsi" w:hAnsiTheme="minorHAnsi"/>
          <w:iCs/>
          <w:color w:val="000000"/>
          <w:sz w:val="22"/>
          <w:szCs w:val="22"/>
          <w:lang w:val="en-US"/>
        </w:rPr>
        <w:t>.</w:t>
      </w:r>
    </w:p>
    <w:p w14:paraId="7C86AB3F" w14:textId="77777777" w:rsidR="00575022" w:rsidRPr="00986FAD" w:rsidRDefault="00575022" w:rsidP="00B619C5">
      <w:pPr>
        <w:pStyle w:val="xmsonormal"/>
        <w:spacing w:line="480" w:lineRule="auto"/>
        <w:rPr>
          <w:rFonts w:asciiTheme="minorHAnsi" w:hAnsiTheme="minorHAnsi"/>
          <w:color w:val="000000"/>
          <w:sz w:val="22"/>
          <w:szCs w:val="22"/>
        </w:rPr>
      </w:pPr>
      <w:proofErr w:type="spellStart"/>
      <w:r w:rsidRPr="00986FAD">
        <w:rPr>
          <w:rFonts w:asciiTheme="minorHAnsi" w:hAnsiTheme="minorHAnsi"/>
          <w:iCs/>
          <w:color w:val="000000"/>
          <w:sz w:val="22"/>
          <w:szCs w:val="22"/>
          <w:lang w:val="en-US"/>
        </w:rPr>
        <w:t>Vilija</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Jokubaitis</w:t>
      </w:r>
      <w:proofErr w:type="spellEnd"/>
      <w:r w:rsidRPr="00986FAD">
        <w:rPr>
          <w:rFonts w:asciiTheme="minorHAnsi" w:hAnsiTheme="minorHAnsi"/>
          <w:iCs/>
          <w:color w:val="000000"/>
          <w:sz w:val="22"/>
          <w:szCs w:val="22"/>
          <w:lang w:val="en-US"/>
        </w:rPr>
        <w:t xml:space="preserve"> received conference travel support from Teva, Novartis and Merck, and speaker honoraria from Biogen.</w:t>
      </w:r>
    </w:p>
    <w:p w14:paraId="556490EA"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Mark Willis reports no competing interests.</w:t>
      </w:r>
    </w:p>
    <w:p w14:paraId="0E1832C2"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lastRenderedPageBreak/>
        <w:t>Claire Rice reports no competing interests.</w:t>
      </w:r>
    </w:p>
    <w:p w14:paraId="515FF678"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Neil Scolding reports grants from Biogen, Sanofi Genzyme, Merck Serono, Teva, and Novartis.</w:t>
      </w:r>
    </w:p>
    <w:p w14:paraId="697F4A0F"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Alastair Wilkins declares no competing interests.</w:t>
      </w:r>
    </w:p>
    <w:p w14:paraId="534913F0" w14:textId="77777777" w:rsidR="00575022" w:rsidRPr="00986FAD" w:rsidRDefault="00575022" w:rsidP="00B619C5">
      <w:pPr>
        <w:spacing w:line="480" w:lineRule="auto"/>
        <w:rPr>
          <w:rFonts w:asciiTheme="minorHAnsi" w:eastAsia="Times New Roman" w:hAnsiTheme="minorHAnsi"/>
        </w:rPr>
      </w:pPr>
      <w:r w:rsidRPr="00986FAD">
        <w:rPr>
          <w:rFonts w:asciiTheme="minorHAnsi" w:eastAsia="Times New Roman" w:hAnsiTheme="minorHAnsi"/>
          <w:iCs/>
          <w:color w:val="000000"/>
          <w:lang w:val="en-US"/>
        </w:rPr>
        <w:t>Owen R Pearson received honoraria and travel expenses from Biogen, Bayer, Genzyme, Merck, Novartis, Roche and Teva and served on advisory board for Biogen, Novartis, Merck and Roche.</w:t>
      </w:r>
    </w:p>
    <w:p w14:paraId="358ECD02" w14:textId="77777777" w:rsidR="00575022" w:rsidRPr="00986FAD" w:rsidRDefault="00575022" w:rsidP="00B619C5">
      <w:pPr>
        <w:pStyle w:val="xmsonormal"/>
        <w:spacing w:line="480" w:lineRule="auto"/>
        <w:rPr>
          <w:rFonts w:asciiTheme="minorHAnsi" w:hAnsiTheme="minorHAnsi"/>
          <w:color w:val="000000"/>
          <w:sz w:val="22"/>
          <w:szCs w:val="22"/>
        </w:rPr>
      </w:pPr>
      <w:proofErr w:type="spellStart"/>
      <w:r w:rsidRPr="00986FAD">
        <w:rPr>
          <w:rFonts w:asciiTheme="minorHAnsi" w:hAnsiTheme="minorHAnsi"/>
          <w:iCs/>
          <w:color w:val="000000"/>
          <w:sz w:val="22"/>
          <w:szCs w:val="22"/>
          <w:lang w:val="en-US"/>
        </w:rPr>
        <w:t>Tjalf</w:t>
      </w:r>
      <w:proofErr w:type="spellEnd"/>
      <w:r w:rsidRPr="00986FAD">
        <w:rPr>
          <w:rFonts w:asciiTheme="minorHAnsi" w:hAnsiTheme="minorHAnsi"/>
          <w:iCs/>
          <w:color w:val="000000"/>
          <w:sz w:val="22"/>
          <w:szCs w:val="22"/>
          <w:lang w:val="en-US"/>
        </w:rPr>
        <w:t xml:space="preserve"> </w:t>
      </w:r>
      <w:proofErr w:type="spellStart"/>
      <w:r w:rsidRPr="00986FAD">
        <w:rPr>
          <w:rFonts w:asciiTheme="minorHAnsi" w:hAnsiTheme="minorHAnsi"/>
          <w:iCs/>
          <w:color w:val="000000"/>
          <w:sz w:val="22"/>
          <w:szCs w:val="22"/>
          <w:lang w:val="en-US"/>
        </w:rPr>
        <w:t>Ziemssen</w:t>
      </w:r>
      <w:proofErr w:type="spellEnd"/>
      <w:r w:rsidRPr="00986FAD">
        <w:rPr>
          <w:rFonts w:asciiTheme="minorHAnsi" w:hAnsiTheme="minorHAnsi"/>
          <w:iCs/>
          <w:color w:val="000000"/>
          <w:sz w:val="22"/>
          <w:szCs w:val="22"/>
          <w:lang w:val="en-US"/>
        </w:rPr>
        <w:t xml:space="preserve"> reports grants from Novartis; grants and personal fees from Bayer, Biogen, Teva, Genzyme, and Novartis; and personal fees from Merck, </w:t>
      </w:r>
      <w:proofErr w:type="spellStart"/>
      <w:r w:rsidRPr="00986FAD">
        <w:rPr>
          <w:rFonts w:asciiTheme="minorHAnsi" w:hAnsiTheme="minorHAnsi"/>
          <w:iCs/>
          <w:color w:val="000000"/>
          <w:sz w:val="22"/>
          <w:szCs w:val="22"/>
          <w:lang w:val="en-US"/>
        </w:rPr>
        <w:t>Almirall</w:t>
      </w:r>
      <w:proofErr w:type="spellEnd"/>
      <w:r w:rsidRPr="00986FAD">
        <w:rPr>
          <w:rFonts w:asciiTheme="minorHAnsi" w:hAnsiTheme="minorHAnsi"/>
          <w:iCs/>
          <w:color w:val="000000"/>
          <w:sz w:val="22"/>
          <w:szCs w:val="22"/>
          <w:lang w:val="en-US"/>
        </w:rPr>
        <w:t>, GlaxoSmithKline, and Roche.</w:t>
      </w:r>
    </w:p>
    <w:p w14:paraId="425B9201"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Michael Hutchinson served on a medical advisory board for the CONFIRM study (BG00012) for Biogen; has received speaker’s honoraria from Novartis, Biogen, and Bayer Schering; and receives research support from Dystonia Ireland, the Health Research Board of Ireland, and the European Dystonia Foundation.</w:t>
      </w:r>
    </w:p>
    <w:p w14:paraId="4DFD06C1"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Katharine Harding has received one research grant from Novartis.</w:t>
      </w:r>
    </w:p>
    <w:p w14:paraId="7EF90482"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Joanne Jones reports consulting and lecture fees from Bayer Schering Pharma and lecture fees from Genzyme.</w:t>
      </w:r>
    </w:p>
    <w:p w14:paraId="322EECBC"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Christopher McGuigan has received grants and personal fees from Biogen, Novartis, Genzyme, Merck and Roche.</w:t>
      </w:r>
    </w:p>
    <w:p w14:paraId="4D3CA55D"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t xml:space="preserve">Helmut </w:t>
      </w:r>
      <w:proofErr w:type="spellStart"/>
      <w:r w:rsidRPr="00986FAD">
        <w:rPr>
          <w:rFonts w:asciiTheme="minorHAnsi" w:hAnsiTheme="minorHAnsi"/>
          <w:iCs/>
          <w:color w:val="000000"/>
          <w:sz w:val="22"/>
          <w:szCs w:val="22"/>
          <w:lang w:val="en-US"/>
        </w:rPr>
        <w:t>Butzkueven</w:t>
      </w:r>
      <w:proofErr w:type="spellEnd"/>
      <w:r w:rsidRPr="00986FAD">
        <w:rPr>
          <w:rFonts w:asciiTheme="minorHAnsi" w:hAnsiTheme="minorHAnsi"/>
          <w:iCs/>
          <w:color w:val="000000"/>
          <w:sz w:val="22"/>
          <w:szCs w:val="22"/>
          <w:lang w:val="en-US"/>
        </w:rPr>
        <w:t xml:space="preserve"> served on scientific advisory boards for Biogen, Novartis and Sanofi-Aventis and has received conference travel support from Novartis, Biogen and Sanofi Aventis. He serves on steering committees for trials conducted by Biogen and Novartis, and has received research support from Merck, Novartis and Biogen.</w:t>
      </w:r>
    </w:p>
    <w:p w14:paraId="2AA0BC0D" w14:textId="77777777" w:rsidR="00575022" w:rsidRPr="00986FAD" w:rsidRDefault="00575022" w:rsidP="00B619C5">
      <w:pPr>
        <w:pStyle w:val="xmsonormal"/>
        <w:spacing w:line="480" w:lineRule="auto"/>
        <w:rPr>
          <w:rFonts w:asciiTheme="minorHAnsi" w:hAnsiTheme="minorHAnsi"/>
          <w:color w:val="000000"/>
          <w:sz w:val="22"/>
          <w:szCs w:val="22"/>
        </w:rPr>
      </w:pPr>
      <w:r w:rsidRPr="00986FAD">
        <w:rPr>
          <w:rFonts w:asciiTheme="minorHAnsi" w:hAnsiTheme="minorHAnsi"/>
          <w:iCs/>
          <w:color w:val="000000"/>
          <w:sz w:val="22"/>
          <w:szCs w:val="22"/>
          <w:lang w:val="en-US"/>
        </w:rPr>
        <w:lastRenderedPageBreak/>
        <w:t xml:space="preserve">Tomas </w:t>
      </w:r>
      <w:proofErr w:type="spellStart"/>
      <w:r w:rsidRPr="00986FAD">
        <w:rPr>
          <w:rFonts w:asciiTheme="minorHAnsi" w:hAnsiTheme="minorHAnsi"/>
          <w:iCs/>
          <w:color w:val="000000"/>
          <w:sz w:val="22"/>
          <w:szCs w:val="22"/>
          <w:lang w:val="en-US"/>
        </w:rPr>
        <w:t>Kalincik</w:t>
      </w:r>
      <w:proofErr w:type="spellEnd"/>
      <w:r w:rsidRPr="00986FAD">
        <w:rPr>
          <w:rFonts w:asciiTheme="minorHAnsi" w:hAnsiTheme="minorHAnsi"/>
          <w:iCs/>
          <w:color w:val="000000"/>
          <w:sz w:val="22"/>
          <w:szCs w:val="22"/>
          <w:lang w:val="en-US"/>
        </w:rPr>
        <w:t xml:space="preserve"> served on scientific advisory boards for Roche, Genzyme-Sanofi, Novartis, Merck and Biogen, steering committee for Brain Atrophy Initiative by Genzyme, received conference travel support and/or speaker honoraria from WebMD Global, Novartis, Biogen, Genzyme-Sanofi, Teva, BioCSL and Merck and received research support from Biogen.</w:t>
      </w:r>
    </w:p>
    <w:p w14:paraId="735AFB56" w14:textId="77777777" w:rsidR="00575022" w:rsidRPr="00697D58" w:rsidRDefault="00575022" w:rsidP="00B619C5">
      <w:pPr>
        <w:pStyle w:val="xmsonormal"/>
        <w:spacing w:line="480" w:lineRule="auto"/>
      </w:pPr>
      <w:r w:rsidRPr="00986FAD">
        <w:rPr>
          <w:rFonts w:asciiTheme="minorHAnsi" w:hAnsiTheme="minorHAnsi"/>
          <w:iCs/>
          <w:color w:val="000000"/>
          <w:sz w:val="22"/>
          <w:szCs w:val="22"/>
          <w:lang w:val="en-US"/>
        </w:rPr>
        <w:t>Neil Robertson reports personal and institutional research grant from Genzyme and Novartis.</w:t>
      </w:r>
    </w:p>
    <w:p w14:paraId="0469106D" w14:textId="77777777" w:rsidR="00575022" w:rsidRPr="008E2EB9" w:rsidRDefault="00575022" w:rsidP="00B619C5">
      <w:pPr>
        <w:pStyle w:val="Heading2"/>
        <w:rPr>
          <w:lang w:eastAsia="en-GB"/>
        </w:rPr>
      </w:pPr>
      <w:r w:rsidRPr="008E2EB9">
        <w:rPr>
          <w:lang w:eastAsia="en-GB"/>
        </w:rPr>
        <w:t>Contributors</w:t>
      </w:r>
    </w:p>
    <w:p w14:paraId="4DA7D494" w14:textId="780A5DF0" w:rsidR="00575022" w:rsidRPr="00697D58" w:rsidRDefault="00575022" w:rsidP="00B619C5">
      <w:pPr>
        <w:spacing w:line="480" w:lineRule="auto"/>
      </w:pPr>
      <w:r w:rsidRPr="00697D58">
        <w:t>WB conceptualised and designed the study, contributed data, performed statistical analysis, interpreted the results, drafted and edited the manuscript. DH, EH, GIAP, MG, PD, MT, AL, RB, PM, VVP, PS, DF, FG’M, JL-S, SF, VS, EP, FG, VJ, MW, CR, NS, AW, OP, TZ, MH, KH, JJ &amp; CM recruited patients, contributed data, interpreted the results, and edited the manuscript. HB, AC &amp; NR recruited patients, contributed data and oversaw the study design, results interpretation and manuscript drafting.</w:t>
      </w:r>
      <w:r>
        <w:t xml:space="preserve"> </w:t>
      </w:r>
      <w:r w:rsidR="00D05538">
        <w:t xml:space="preserve">TK designed the study, </w:t>
      </w:r>
      <w:r w:rsidR="00D05538" w:rsidRPr="00697D58">
        <w:t>recruited patients, contributed data and oversaw the study design, statistical analysis, results interpretation and manuscript drafting.</w:t>
      </w:r>
    </w:p>
    <w:p w14:paraId="3A930756" w14:textId="77777777" w:rsidR="00575022" w:rsidRPr="008E2EB9" w:rsidRDefault="00575022">
      <w:pPr>
        <w:spacing w:line="480" w:lineRule="auto"/>
        <w:rPr>
          <w:rFonts w:eastAsia="Calibri"/>
          <w:b/>
          <w:bCs/>
          <w:i/>
          <w:color w:val="000000" w:themeColor="text1"/>
          <w:sz w:val="26"/>
          <w:szCs w:val="26"/>
        </w:rPr>
      </w:pPr>
      <w:r w:rsidRPr="00697D58">
        <w:br w:type="page"/>
      </w:r>
    </w:p>
    <w:p w14:paraId="358D325A" w14:textId="77777777" w:rsidR="00575022" w:rsidRPr="00582AC1" w:rsidRDefault="00575022" w:rsidP="00B619C5">
      <w:pPr>
        <w:pStyle w:val="Heading2"/>
      </w:pPr>
      <w:r w:rsidRPr="00582AC1">
        <w:lastRenderedPageBreak/>
        <w:t>References</w:t>
      </w:r>
    </w:p>
    <w:p w14:paraId="04D184CF" w14:textId="77777777" w:rsidR="00575022" w:rsidRPr="006518A2" w:rsidRDefault="00575022" w:rsidP="00B619C5">
      <w:pPr>
        <w:pStyle w:val="EndNoteBibliography"/>
        <w:ind w:left="720" w:hanging="720"/>
        <w:rPr>
          <w:noProof/>
        </w:rPr>
      </w:pPr>
      <w:r w:rsidRPr="006518A2">
        <w:rPr>
          <w:noProof/>
        </w:rPr>
        <w:t>1.</w:t>
      </w:r>
      <w:r w:rsidRPr="006518A2">
        <w:rPr>
          <w:noProof/>
        </w:rPr>
        <w:tab/>
        <w:t xml:space="preserve">Interferon beta-1b is effective in relapsing-remitting multiple sclerosis. I. Clinical results of a multicenter, randomized, double-blind, placebo-controlled trial. The IFNB Multiple Sclerosis Study Group. </w:t>
      </w:r>
      <w:r w:rsidRPr="006518A2">
        <w:rPr>
          <w:i/>
          <w:noProof/>
        </w:rPr>
        <w:t xml:space="preserve">Neurology. </w:t>
      </w:r>
      <w:r w:rsidRPr="006518A2">
        <w:rPr>
          <w:noProof/>
        </w:rPr>
        <w:t>1993;43(4):655-661.</w:t>
      </w:r>
    </w:p>
    <w:p w14:paraId="74E0B211" w14:textId="77777777" w:rsidR="00575022" w:rsidRPr="006518A2" w:rsidRDefault="00575022" w:rsidP="00B619C5">
      <w:pPr>
        <w:pStyle w:val="EndNoteBibliography"/>
        <w:ind w:left="720" w:hanging="720"/>
        <w:rPr>
          <w:noProof/>
        </w:rPr>
      </w:pPr>
      <w:r w:rsidRPr="006518A2">
        <w:rPr>
          <w:noProof/>
        </w:rPr>
        <w:t>2.</w:t>
      </w:r>
      <w:r w:rsidRPr="006518A2">
        <w:rPr>
          <w:noProof/>
        </w:rPr>
        <w:tab/>
        <w:t xml:space="preserve">Comi G, Filippi M, Wolinsky JS. European/Canadian multicenter, double-blind, randomized, placebo-controlled study of the effects of glatiramer acetate on magnetic resonance imaging--measured disease activity and burden in patients with relapsing multiple sclerosis. European/Canadian Glatiramer Acetate Study Group. </w:t>
      </w:r>
      <w:r w:rsidRPr="006518A2">
        <w:rPr>
          <w:i/>
          <w:noProof/>
        </w:rPr>
        <w:t xml:space="preserve">Annals of neurology. </w:t>
      </w:r>
      <w:r w:rsidRPr="006518A2">
        <w:rPr>
          <w:noProof/>
        </w:rPr>
        <w:t>2001;49(3):290-297.</w:t>
      </w:r>
    </w:p>
    <w:p w14:paraId="6B1C3135" w14:textId="77777777" w:rsidR="00575022" w:rsidRPr="006518A2" w:rsidRDefault="00575022" w:rsidP="00B619C5">
      <w:pPr>
        <w:pStyle w:val="EndNoteBibliography"/>
        <w:ind w:left="720" w:hanging="720"/>
        <w:rPr>
          <w:noProof/>
        </w:rPr>
      </w:pPr>
      <w:r w:rsidRPr="006518A2">
        <w:rPr>
          <w:noProof/>
        </w:rPr>
        <w:t>3.</w:t>
      </w:r>
      <w:r w:rsidRPr="006518A2">
        <w:rPr>
          <w:noProof/>
        </w:rPr>
        <w:tab/>
        <w:t xml:space="preserve">Polman CH, O'Connor PW, Havrdova E, et al. A randomized, placebo-controlled trial of natalizumab for relapsing multiple sclerosis. </w:t>
      </w:r>
      <w:r w:rsidRPr="006518A2">
        <w:rPr>
          <w:i/>
          <w:noProof/>
        </w:rPr>
        <w:t xml:space="preserve">N Engl J Med. </w:t>
      </w:r>
      <w:r w:rsidRPr="006518A2">
        <w:rPr>
          <w:noProof/>
        </w:rPr>
        <w:t>2006;354(9):899-910.</w:t>
      </w:r>
    </w:p>
    <w:p w14:paraId="3398A1FC" w14:textId="77777777" w:rsidR="00575022" w:rsidRPr="006518A2" w:rsidRDefault="00575022" w:rsidP="00B619C5">
      <w:pPr>
        <w:pStyle w:val="EndNoteBibliography"/>
        <w:ind w:left="720" w:hanging="720"/>
        <w:rPr>
          <w:noProof/>
        </w:rPr>
      </w:pPr>
      <w:r w:rsidRPr="006518A2">
        <w:rPr>
          <w:noProof/>
        </w:rPr>
        <w:t>4.</w:t>
      </w:r>
      <w:r w:rsidRPr="006518A2">
        <w:rPr>
          <w:noProof/>
        </w:rPr>
        <w:tab/>
        <w:t xml:space="preserve">Cohen JA, Barkhof F, Comi G, et al. Oral fingolimod or intramuscular interferon for relapsing multiple sclerosis. </w:t>
      </w:r>
      <w:r w:rsidRPr="006518A2">
        <w:rPr>
          <w:i/>
          <w:noProof/>
        </w:rPr>
        <w:t xml:space="preserve">N Engl J Med. </w:t>
      </w:r>
      <w:r w:rsidRPr="006518A2">
        <w:rPr>
          <w:noProof/>
        </w:rPr>
        <w:t>2010;362(5):402-415.</w:t>
      </w:r>
    </w:p>
    <w:p w14:paraId="018B1166" w14:textId="77777777" w:rsidR="00575022" w:rsidRPr="006518A2" w:rsidRDefault="00575022" w:rsidP="00B619C5">
      <w:pPr>
        <w:pStyle w:val="EndNoteBibliography"/>
        <w:ind w:left="720" w:hanging="720"/>
        <w:rPr>
          <w:noProof/>
        </w:rPr>
      </w:pPr>
      <w:r w:rsidRPr="006518A2">
        <w:rPr>
          <w:noProof/>
        </w:rPr>
        <w:t>5.</w:t>
      </w:r>
      <w:r w:rsidRPr="006518A2">
        <w:rPr>
          <w:noProof/>
        </w:rPr>
        <w:tab/>
        <w:t xml:space="preserve">Coles AJ, Compston DA, Selmaj KW, et al. Alemtuzumab vs. interferon beta-1a in early multiple sclerosis. </w:t>
      </w:r>
      <w:r w:rsidRPr="006518A2">
        <w:rPr>
          <w:i/>
          <w:noProof/>
        </w:rPr>
        <w:t xml:space="preserve">N Engl J Med. </w:t>
      </w:r>
      <w:r w:rsidRPr="006518A2">
        <w:rPr>
          <w:noProof/>
        </w:rPr>
        <w:t>2008;359(17):1786-1801.</w:t>
      </w:r>
    </w:p>
    <w:p w14:paraId="4F272928" w14:textId="77777777" w:rsidR="00575022" w:rsidRPr="006518A2" w:rsidRDefault="00575022" w:rsidP="00B619C5">
      <w:pPr>
        <w:pStyle w:val="EndNoteBibliography"/>
        <w:ind w:left="720" w:hanging="720"/>
        <w:rPr>
          <w:noProof/>
        </w:rPr>
      </w:pPr>
      <w:r w:rsidRPr="006518A2">
        <w:rPr>
          <w:noProof/>
        </w:rPr>
        <w:t>6.</w:t>
      </w:r>
      <w:r w:rsidRPr="006518A2">
        <w:rPr>
          <w:noProof/>
        </w:rPr>
        <w:tab/>
        <w:t xml:space="preserve">Weinshenker BG, Bass B, Rice GP, et al. The natural history of multiple sclerosis: a geographically based study. I. Clinical course and disability. </w:t>
      </w:r>
      <w:r w:rsidRPr="006518A2">
        <w:rPr>
          <w:i/>
          <w:noProof/>
        </w:rPr>
        <w:t xml:space="preserve">Brain : a journal of neurology. </w:t>
      </w:r>
      <w:r w:rsidRPr="006518A2">
        <w:rPr>
          <w:noProof/>
        </w:rPr>
        <w:t>1989;112 ( Pt 1):133-146.</w:t>
      </w:r>
    </w:p>
    <w:p w14:paraId="2C62B8BA" w14:textId="77777777" w:rsidR="00575022" w:rsidRPr="006518A2" w:rsidRDefault="00575022" w:rsidP="00B619C5">
      <w:pPr>
        <w:pStyle w:val="EndNoteBibliography"/>
        <w:ind w:left="720" w:hanging="720"/>
        <w:rPr>
          <w:noProof/>
        </w:rPr>
      </w:pPr>
      <w:r w:rsidRPr="006518A2">
        <w:rPr>
          <w:noProof/>
        </w:rPr>
        <w:t>7.</w:t>
      </w:r>
      <w:r w:rsidRPr="006518A2">
        <w:rPr>
          <w:noProof/>
        </w:rPr>
        <w:tab/>
        <w:t xml:space="preserve">Ebers GC, Traboulsee A, Li D, et al. Analysis of clinical outcomes according to original treatment groups 16 years after the pivotal IFNB-1b trial. </w:t>
      </w:r>
      <w:r w:rsidRPr="006518A2">
        <w:rPr>
          <w:i/>
          <w:noProof/>
        </w:rPr>
        <w:t xml:space="preserve">Journal of neurology, neurosurgery, and psychiatry. </w:t>
      </w:r>
      <w:r w:rsidRPr="006518A2">
        <w:rPr>
          <w:noProof/>
        </w:rPr>
        <w:t>2010;81(8):907-912.</w:t>
      </w:r>
    </w:p>
    <w:p w14:paraId="62558AAA" w14:textId="77777777" w:rsidR="00575022" w:rsidRPr="006518A2" w:rsidRDefault="00575022" w:rsidP="00B619C5">
      <w:pPr>
        <w:pStyle w:val="EndNoteBibliography"/>
        <w:ind w:left="720" w:hanging="720"/>
        <w:rPr>
          <w:noProof/>
        </w:rPr>
      </w:pPr>
      <w:r w:rsidRPr="006518A2">
        <w:rPr>
          <w:noProof/>
        </w:rPr>
        <w:t>8.</w:t>
      </w:r>
      <w:r w:rsidRPr="006518A2">
        <w:rPr>
          <w:noProof/>
        </w:rPr>
        <w:tab/>
        <w:t xml:space="preserve">Bergamaschi R, Quaglini S, Tavazzi E, et al. Immunomodulatory therapies delay disease progression in multiple sclerosis. </w:t>
      </w:r>
      <w:r w:rsidRPr="006518A2">
        <w:rPr>
          <w:i/>
          <w:noProof/>
        </w:rPr>
        <w:t xml:space="preserve">Multiple sclerosis (Houndmills, Basingstoke, England). </w:t>
      </w:r>
      <w:r w:rsidRPr="006518A2">
        <w:rPr>
          <w:noProof/>
        </w:rPr>
        <w:t>2016;22(13):1732-1740.</w:t>
      </w:r>
    </w:p>
    <w:p w14:paraId="06B58676" w14:textId="77777777" w:rsidR="00575022" w:rsidRPr="006518A2" w:rsidRDefault="00575022" w:rsidP="00B619C5">
      <w:pPr>
        <w:pStyle w:val="EndNoteBibliography"/>
        <w:ind w:left="720" w:hanging="720"/>
        <w:rPr>
          <w:noProof/>
        </w:rPr>
      </w:pPr>
      <w:r w:rsidRPr="006518A2">
        <w:rPr>
          <w:noProof/>
        </w:rPr>
        <w:lastRenderedPageBreak/>
        <w:t>9.</w:t>
      </w:r>
      <w:r w:rsidRPr="006518A2">
        <w:rPr>
          <w:noProof/>
        </w:rPr>
        <w:tab/>
        <w:t xml:space="preserve">Goodin DS, Jones J, Li D, et al. Establishing long-term efficacy in chronic disease: use of recursive partitioning and propensity score adjustment to estimate outcome in MS. </w:t>
      </w:r>
      <w:r w:rsidRPr="006518A2">
        <w:rPr>
          <w:i/>
          <w:noProof/>
        </w:rPr>
        <w:t xml:space="preserve">PloS one. </w:t>
      </w:r>
      <w:r w:rsidRPr="006518A2">
        <w:rPr>
          <w:noProof/>
        </w:rPr>
        <w:t>2011;6(11):e22444.</w:t>
      </w:r>
    </w:p>
    <w:p w14:paraId="7CF40327" w14:textId="77777777" w:rsidR="00575022" w:rsidRPr="006518A2" w:rsidRDefault="00575022" w:rsidP="00B619C5">
      <w:pPr>
        <w:pStyle w:val="EndNoteBibliography"/>
        <w:ind w:left="720" w:hanging="720"/>
        <w:rPr>
          <w:noProof/>
        </w:rPr>
      </w:pPr>
      <w:r w:rsidRPr="006518A2">
        <w:rPr>
          <w:noProof/>
        </w:rPr>
        <w:t>10.</w:t>
      </w:r>
      <w:r w:rsidRPr="006518A2">
        <w:rPr>
          <w:noProof/>
        </w:rPr>
        <w:tab/>
        <w:t xml:space="preserve">Tedeholm H, Lycke J, Skoog B, et al. Time to secondary progression in patients with multiple sclerosis who were treated with first generation immunomodulating drugs. </w:t>
      </w:r>
      <w:r w:rsidRPr="006518A2">
        <w:rPr>
          <w:i/>
          <w:noProof/>
        </w:rPr>
        <w:t xml:space="preserve">Multiple sclerosis (Houndmills, Basingstoke, England). </w:t>
      </w:r>
      <w:r w:rsidRPr="006518A2">
        <w:rPr>
          <w:noProof/>
        </w:rPr>
        <w:t>2013;19(6):765-774.</w:t>
      </w:r>
    </w:p>
    <w:p w14:paraId="3829E867" w14:textId="77777777" w:rsidR="00575022" w:rsidRPr="006518A2" w:rsidRDefault="00575022" w:rsidP="00B619C5">
      <w:pPr>
        <w:pStyle w:val="EndNoteBibliography"/>
        <w:ind w:left="720" w:hanging="720"/>
        <w:rPr>
          <w:noProof/>
        </w:rPr>
      </w:pPr>
      <w:r w:rsidRPr="006518A2">
        <w:rPr>
          <w:noProof/>
        </w:rPr>
        <w:t>11.</w:t>
      </w:r>
      <w:r w:rsidRPr="006518A2">
        <w:rPr>
          <w:noProof/>
        </w:rPr>
        <w:tab/>
        <w:t xml:space="preserve">Trojano M, Pellegrini F, Fuiani A, et al. New natural history of interferon-beta-treated relapsing multiple sclerosis. </w:t>
      </w:r>
      <w:r w:rsidRPr="006518A2">
        <w:rPr>
          <w:i/>
          <w:noProof/>
        </w:rPr>
        <w:t xml:space="preserve">Annals of neurology. </w:t>
      </w:r>
      <w:r w:rsidRPr="006518A2">
        <w:rPr>
          <w:noProof/>
        </w:rPr>
        <w:t>2007;61(4):300-306.</w:t>
      </w:r>
    </w:p>
    <w:p w14:paraId="3AC58D5D" w14:textId="77777777" w:rsidR="00575022" w:rsidRPr="006518A2" w:rsidRDefault="00575022" w:rsidP="00B619C5">
      <w:pPr>
        <w:pStyle w:val="EndNoteBibliography"/>
        <w:ind w:left="720" w:hanging="720"/>
        <w:rPr>
          <w:noProof/>
        </w:rPr>
      </w:pPr>
      <w:r w:rsidRPr="006518A2">
        <w:rPr>
          <w:noProof/>
        </w:rPr>
        <w:t>12.</w:t>
      </w:r>
      <w:r w:rsidRPr="006518A2">
        <w:rPr>
          <w:noProof/>
        </w:rPr>
        <w:tab/>
        <w:t xml:space="preserve">Patrucco L, Rojas JI, Cristiano E. [Long term effect of interferon-beta on disease severity in relapsing-remitting multiple sclerosis patients]. </w:t>
      </w:r>
      <w:r w:rsidRPr="006518A2">
        <w:rPr>
          <w:i/>
          <w:noProof/>
        </w:rPr>
        <w:t xml:space="preserve">Rev Neurol. </w:t>
      </w:r>
      <w:r w:rsidRPr="006518A2">
        <w:rPr>
          <w:noProof/>
        </w:rPr>
        <w:t>2010;50(9):529-532.</w:t>
      </w:r>
    </w:p>
    <w:p w14:paraId="47CCE960" w14:textId="77777777" w:rsidR="00575022" w:rsidRPr="006518A2" w:rsidRDefault="00575022" w:rsidP="00B619C5">
      <w:pPr>
        <w:pStyle w:val="EndNoteBibliography"/>
        <w:ind w:left="720" w:hanging="720"/>
        <w:rPr>
          <w:noProof/>
        </w:rPr>
      </w:pPr>
      <w:r w:rsidRPr="006518A2">
        <w:rPr>
          <w:noProof/>
        </w:rPr>
        <w:t>13.</w:t>
      </w:r>
      <w:r w:rsidRPr="006518A2">
        <w:rPr>
          <w:noProof/>
        </w:rPr>
        <w:tab/>
        <w:t xml:space="preserve">Drulovic J, Kostic J, Mesaros S, et al. Interferon-beta and disability progression in relapsing-remitting multiple sclerosis. </w:t>
      </w:r>
      <w:r w:rsidRPr="006518A2">
        <w:rPr>
          <w:i/>
          <w:noProof/>
        </w:rPr>
        <w:t xml:space="preserve">Clinical neurology and neurosurgery. </w:t>
      </w:r>
      <w:r w:rsidRPr="006518A2">
        <w:rPr>
          <w:noProof/>
        </w:rPr>
        <w:t>2013;115 Suppl 1:S65-69.</w:t>
      </w:r>
    </w:p>
    <w:p w14:paraId="1B21D162" w14:textId="77777777" w:rsidR="00575022" w:rsidRPr="006518A2" w:rsidRDefault="00575022" w:rsidP="00B619C5">
      <w:pPr>
        <w:pStyle w:val="EndNoteBibliography"/>
        <w:ind w:left="720" w:hanging="720"/>
        <w:rPr>
          <w:noProof/>
        </w:rPr>
      </w:pPr>
      <w:r w:rsidRPr="006518A2">
        <w:rPr>
          <w:noProof/>
        </w:rPr>
        <w:t>14.</w:t>
      </w:r>
      <w:r w:rsidRPr="006518A2">
        <w:rPr>
          <w:noProof/>
        </w:rPr>
        <w:tab/>
        <w:t xml:space="preserve">Zhang T, Shirani A, Zhao Y, et al. Beta-interferon exposure and onset of secondary progressive multiple sclerosis. </w:t>
      </w:r>
      <w:r w:rsidRPr="006518A2">
        <w:rPr>
          <w:i/>
          <w:noProof/>
        </w:rPr>
        <w:t xml:space="preserve">European journal of neurology : the official journal of the European Federation of Neurological Societies. </w:t>
      </w:r>
      <w:r w:rsidRPr="006518A2">
        <w:rPr>
          <w:noProof/>
        </w:rPr>
        <w:t>2015;22(6):990-1000.</w:t>
      </w:r>
    </w:p>
    <w:p w14:paraId="7B6A5758" w14:textId="77777777" w:rsidR="00575022" w:rsidRPr="006518A2" w:rsidRDefault="00575022" w:rsidP="00B619C5">
      <w:pPr>
        <w:pStyle w:val="EndNoteBibliography"/>
        <w:ind w:left="720" w:hanging="720"/>
        <w:rPr>
          <w:noProof/>
        </w:rPr>
      </w:pPr>
      <w:r w:rsidRPr="006518A2">
        <w:rPr>
          <w:noProof/>
        </w:rPr>
        <w:t>15.</w:t>
      </w:r>
      <w:r w:rsidRPr="006518A2">
        <w:rPr>
          <w:noProof/>
        </w:rPr>
        <w:tab/>
        <w:t xml:space="preserve">Lorscheider J, Buzzard K, Jokubaitis V, et al. Defining secondary progressive multiple sclerosis. </w:t>
      </w:r>
      <w:r w:rsidRPr="006518A2">
        <w:rPr>
          <w:i/>
          <w:noProof/>
        </w:rPr>
        <w:t xml:space="preserve">Brain : a journal of neurology. </w:t>
      </w:r>
      <w:r w:rsidRPr="006518A2">
        <w:rPr>
          <w:noProof/>
        </w:rPr>
        <w:t>2016;139(Pt 9):2395-2405.</w:t>
      </w:r>
    </w:p>
    <w:p w14:paraId="39A5B465" w14:textId="77777777" w:rsidR="00575022" w:rsidRPr="006518A2" w:rsidRDefault="00575022" w:rsidP="00B619C5">
      <w:pPr>
        <w:pStyle w:val="EndNoteBibliography"/>
        <w:ind w:left="720" w:hanging="720"/>
        <w:rPr>
          <w:noProof/>
        </w:rPr>
      </w:pPr>
      <w:r w:rsidRPr="006518A2">
        <w:rPr>
          <w:noProof/>
        </w:rPr>
        <w:t>16.</w:t>
      </w:r>
      <w:r w:rsidRPr="006518A2">
        <w:rPr>
          <w:noProof/>
        </w:rPr>
        <w:tab/>
        <w:t xml:space="preserve">Swingler RJ, Compston DA. The prevalence of multiple sclerosis in south east Wales. </w:t>
      </w:r>
      <w:r w:rsidRPr="006518A2">
        <w:rPr>
          <w:i/>
          <w:noProof/>
        </w:rPr>
        <w:t xml:space="preserve">Journal of neurology, neurosurgery, and psychiatry. </w:t>
      </w:r>
      <w:r w:rsidRPr="006518A2">
        <w:rPr>
          <w:noProof/>
        </w:rPr>
        <w:t>1988;51(12):1520-1524.</w:t>
      </w:r>
    </w:p>
    <w:p w14:paraId="2506500C" w14:textId="77777777" w:rsidR="00575022" w:rsidRPr="006518A2" w:rsidRDefault="00575022" w:rsidP="00B619C5">
      <w:pPr>
        <w:pStyle w:val="EndNoteBibliography"/>
        <w:ind w:left="720" w:hanging="720"/>
        <w:rPr>
          <w:noProof/>
        </w:rPr>
      </w:pPr>
      <w:r w:rsidRPr="006518A2">
        <w:rPr>
          <w:noProof/>
        </w:rPr>
        <w:t>17.</w:t>
      </w:r>
      <w:r w:rsidRPr="006518A2">
        <w:rPr>
          <w:noProof/>
        </w:rPr>
        <w:tab/>
        <w:t xml:space="preserve">Ingram G, Colley E, Ben-Shlomo Y, et al. Validity of patient-derived disability and clinical data in multiple sclerosis. </w:t>
      </w:r>
      <w:r w:rsidRPr="006518A2">
        <w:rPr>
          <w:i/>
          <w:noProof/>
        </w:rPr>
        <w:t xml:space="preserve">Multiple sclerosis (Houndmills, Basingstoke, England). </w:t>
      </w:r>
      <w:r w:rsidRPr="006518A2">
        <w:rPr>
          <w:noProof/>
        </w:rPr>
        <w:t>2010;16(4):472-479.</w:t>
      </w:r>
    </w:p>
    <w:p w14:paraId="7E39AF87" w14:textId="77777777" w:rsidR="00575022" w:rsidRPr="006518A2" w:rsidRDefault="00575022" w:rsidP="00B619C5">
      <w:pPr>
        <w:pStyle w:val="EndNoteBibliography"/>
        <w:ind w:left="720" w:hanging="720"/>
        <w:rPr>
          <w:noProof/>
        </w:rPr>
      </w:pPr>
      <w:r w:rsidRPr="006518A2">
        <w:rPr>
          <w:noProof/>
        </w:rPr>
        <w:lastRenderedPageBreak/>
        <w:t>18.</w:t>
      </w:r>
      <w:r w:rsidRPr="006518A2">
        <w:rPr>
          <w:noProof/>
        </w:rPr>
        <w:tab/>
        <w:t xml:space="preserve">Kalincik T, Brown JW, Robertson N, et al. Treatment effectiveness of alemtuzumab compared with natalizumab, fingolimod, and interferon beta in relapsing-remitting multiple sclerosis: a cohort study. </w:t>
      </w:r>
      <w:r w:rsidRPr="006518A2">
        <w:rPr>
          <w:i/>
          <w:noProof/>
        </w:rPr>
        <w:t xml:space="preserve">The Lancet Neurology. </w:t>
      </w:r>
      <w:r w:rsidRPr="006518A2">
        <w:rPr>
          <w:noProof/>
        </w:rPr>
        <w:t>2017.</w:t>
      </w:r>
    </w:p>
    <w:p w14:paraId="060FBFB7" w14:textId="77777777" w:rsidR="00575022" w:rsidRPr="006518A2" w:rsidRDefault="00575022" w:rsidP="00B619C5">
      <w:pPr>
        <w:pStyle w:val="EndNoteBibliography"/>
        <w:ind w:left="720" w:hanging="720"/>
        <w:rPr>
          <w:noProof/>
        </w:rPr>
      </w:pPr>
      <w:r w:rsidRPr="006518A2">
        <w:rPr>
          <w:noProof/>
        </w:rPr>
        <w:t>19.</w:t>
      </w:r>
      <w:r w:rsidRPr="006518A2">
        <w:rPr>
          <w:noProof/>
        </w:rPr>
        <w:tab/>
        <w:t xml:space="preserve">Poser CM, Paty DW, Scheinberg L, et al. New diagnostic criteria for multiple sclerosis: guidelines for research protocols. </w:t>
      </w:r>
      <w:r w:rsidRPr="006518A2">
        <w:rPr>
          <w:i/>
          <w:noProof/>
        </w:rPr>
        <w:t xml:space="preserve">Annals of neurology. </w:t>
      </w:r>
      <w:r w:rsidRPr="006518A2">
        <w:rPr>
          <w:noProof/>
        </w:rPr>
        <w:t>1983;13(3):227-231.</w:t>
      </w:r>
    </w:p>
    <w:p w14:paraId="253A71BA" w14:textId="77777777" w:rsidR="00575022" w:rsidRPr="006518A2" w:rsidRDefault="00575022" w:rsidP="00B619C5">
      <w:pPr>
        <w:pStyle w:val="EndNoteBibliography"/>
        <w:ind w:left="720" w:hanging="720"/>
        <w:rPr>
          <w:noProof/>
        </w:rPr>
      </w:pPr>
      <w:r w:rsidRPr="006518A2">
        <w:rPr>
          <w:noProof/>
        </w:rPr>
        <w:t>20.</w:t>
      </w:r>
      <w:r w:rsidRPr="006518A2">
        <w:rPr>
          <w:noProof/>
        </w:rPr>
        <w:tab/>
        <w:t xml:space="preserve">Butzkueven H, Chapman J, Cristiano E, et al. MSBase: an international, online registry and platform for collaborative outcomes research in multiple sclerosis. </w:t>
      </w:r>
      <w:r w:rsidRPr="006518A2">
        <w:rPr>
          <w:i/>
          <w:noProof/>
        </w:rPr>
        <w:t xml:space="preserve">Multiple sclerosis (Houndmills, Basingstoke, England). </w:t>
      </w:r>
      <w:r w:rsidRPr="006518A2">
        <w:rPr>
          <w:noProof/>
        </w:rPr>
        <w:t>2006;12(6):769-774.</w:t>
      </w:r>
    </w:p>
    <w:p w14:paraId="4E29A06C" w14:textId="77777777" w:rsidR="00575022" w:rsidRPr="006518A2" w:rsidRDefault="00575022" w:rsidP="00B619C5">
      <w:pPr>
        <w:pStyle w:val="EndNoteBibliography"/>
        <w:ind w:left="720" w:hanging="720"/>
        <w:rPr>
          <w:noProof/>
        </w:rPr>
      </w:pPr>
      <w:r w:rsidRPr="006518A2">
        <w:rPr>
          <w:noProof/>
        </w:rPr>
        <w:t>21.</w:t>
      </w:r>
      <w:r w:rsidRPr="006518A2">
        <w:rPr>
          <w:noProof/>
        </w:rPr>
        <w:tab/>
        <w:t xml:space="preserve">Kurtzke JF. Rating neurologic impairment in multiple sclerosis: an expanded disability status scale (EDSS). </w:t>
      </w:r>
      <w:r w:rsidRPr="006518A2">
        <w:rPr>
          <w:i/>
          <w:noProof/>
        </w:rPr>
        <w:t xml:space="preserve">Neurology. </w:t>
      </w:r>
      <w:r w:rsidRPr="006518A2">
        <w:rPr>
          <w:noProof/>
        </w:rPr>
        <w:t>1983;33(11):1444-1452.</w:t>
      </w:r>
    </w:p>
    <w:p w14:paraId="2DFC1D63" w14:textId="77777777" w:rsidR="00575022" w:rsidRPr="006518A2" w:rsidRDefault="00575022" w:rsidP="00B619C5">
      <w:pPr>
        <w:pStyle w:val="EndNoteBibliography"/>
        <w:ind w:left="720" w:hanging="720"/>
        <w:rPr>
          <w:noProof/>
        </w:rPr>
      </w:pPr>
      <w:r w:rsidRPr="006518A2">
        <w:rPr>
          <w:noProof/>
        </w:rPr>
        <w:t>22.</w:t>
      </w:r>
      <w:r w:rsidRPr="006518A2">
        <w:rPr>
          <w:noProof/>
        </w:rPr>
        <w:tab/>
        <w:t xml:space="preserve">Freedman MS, Selchen D, Arnold DL, et al. Treatment optimization in MS: Canadian MS Working Group updated recommendations. </w:t>
      </w:r>
      <w:r w:rsidRPr="006518A2">
        <w:rPr>
          <w:i/>
          <w:noProof/>
        </w:rPr>
        <w:t xml:space="preserve">The Canadian journal of neurological sciences Le journal canadien des sciences neurologiques. </w:t>
      </w:r>
      <w:r w:rsidRPr="006518A2">
        <w:rPr>
          <w:noProof/>
        </w:rPr>
        <w:t>2013;40(3):307-323.</w:t>
      </w:r>
    </w:p>
    <w:p w14:paraId="3C0023C0" w14:textId="77777777" w:rsidR="00575022" w:rsidRPr="006518A2" w:rsidRDefault="00575022" w:rsidP="00B619C5">
      <w:pPr>
        <w:pStyle w:val="EndNoteBibliography"/>
        <w:ind w:left="720" w:hanging="720"/>
        <w:rPr>
          <w:noProof/>
        </w:rPr>
      </w:pPr>
      <w:r w:rsidRPr="006518A2">
        <w:rPr>
          <w:noProof/>
        </w:rPr>
        <w:t>23.</w:t>
      </w:r>
      <w:r w:rsidRPr="006518A2">
        <w:rPr>
          <w:noProof/>
        </w:rPr>
        <w:tab/>
        <w:t xml:space="preserve">He A, Spelman T, Jokubaitis V, et al. Comparison of switch to fingolimod or interferon beta/glatiramer acetate in active multiple sclerosis. </w:t>
      </w:r>
      <w:r w:rsidRPr="006518A2">
        <w:rPr>
          <w:i/>
          <w:noProof/>
        </w:rPr>
        <w:t xml:space="preserve">JAMA neurology. </w:t>
      </w:r>
      <w:r w:rsidRPr="006518A2">
        <w:rPr>
          <w:noProof/>
        </w:rPr>
        <w:t>2015;72(4):405-413.</w:t>
      </w:r>
    </w:p>
    <w:p w14:paraId="6C684CD9" w14:textId="77777777" w:rsidR="00575022" w:rsidRPr="006518A2" w:rsidRDefault="00575022" w:rsidP="00B619C5">
      <w:pPr>
        <w:pStyle w:val="EndNoteBibliography"/>
        <w:ind w:left="720" w:hanging="720"/>
        <w:rPr>
          <w:noProof/>
        </w:rPr>
      </w:pPr>
      <w:r w:rsidRPr="006518A2">
        <w:rPr>
          <w:noProof/>
        </w:rPr>
        <w:t>24.</w:t>
      </w:r>
      <w:r w:rsidRPr="006518A2">
        <w:rPr>
          <w:noProof/>
        </w:rPr>
        <w:tab/>
        <w:t xml:space="preserve">Hill-Cawthorne GA, Button T, Tuohy O, et al. Long term lymphocyte reconstitution after alemtuzumab treatment of multiple sclerosis. </w:t>
      </w:r>
      <w:r w:rsidRPr="006518A2">
        <w:rPr>
          <w:i/>
          <w:noProof/>
        </w:rPr>
        <w:t xml:space="preserve">Journal of neurology, neurosurgery, and psychiatry. </w:t>
      </w:r>
      <w:r w:rsidRPr="006518A2">
        <w:rPr>
          <w:noProof/>
        </w:rPr>
        <w:t>2012;83(3):298-304.</w:t>
      </w:r>
    </w:p>
    <w:p w14:paraId="78590156" w14:textId="77777777" w:rsidR="00575022" w:rsidRPr="006518A2" w:rsidRDefault="00575022" w:rsidP="00B619C5">
      <w:pPr>
        <w:pStyle w:val="EndNoteBibliography"/>
        <w:ind w:left="720" w:hanging="720"/>
        <w:rPr>
          <w:noProof/>
        </w:rPr>
      </w:pPr>
      <w:r w:rsidRPr="006518A2">
        <w:rPr>
          <w:noProof/>
        </w:rPr>
        <w:t>25.</w:t>
      </w:r>
      <w:r w:rsidRPr="006518A2">
        <w:rPr>
          <w:noProof/>
        </w:rPr>
        <w:tab/>
        <w:t xml:space="preserve">Willis MD, Harding KE, Pickersgill TP, et al. Alemtuzumab for multiple sclerosis: Long term follow-up in a multi-centre cohort. </w:t>
      </w:r>
      <w:r w:rsidRPr="006518A2">
        <w:rPr>
          <w:i/>
          <w:noProof/>
        </w:rPr>
        <w:t xml:space="preserve">Multiple sclerosis (Houndmills, Basingstoke, England). </w:t>
      </w:r>
      <w:r w:rsidRPr="006518A2">
        <w:rPr>
          <w:noProof/>
        </w:rPr>
        <w:t>2016;22(9):1215-1223.</w:t>
      </w:r>
    </w:p>
    <w:p w14:paraId="09953EA6" w14:textId="77777777" w:rsidR="00575022" w:rsidRPr="006518A2" w:rsidRDefault="00575022" w:rsidP="00B619C5">
      <w:pPr>
        <w:pStyle w:val="EndNoteBibliography"/>
        <w:ind w:left="720" w:hanging="720"/>
        <w:rPr>
          <w:noProof/>
        </w:rPr>
      </w:pPr>
      <w:r w:rsidRPr="006518A2">
        <w:rPr>
          <w:noProof/>
        </w:rPr>
        <w:lastRenderedPageBreak/>
        <w:t>26.</w:t>
      </w:r>
      <w:r w:rsidRPr="006518A2">
        <w:rPr>
          <w:noProof/>
        </w:rPr>
        <w:tab/>
        <w:t xml:space="preserve">Spelman T, Kalincik T, Jokubaitis V, et al. Comparative efficacy of first-line natalizumab vs IFN-beta or glatiramer acetate in relapsing MS. </w:t>
      </w:r>
      <w:r w:rsidRPr="006518A2">
        <w:rPr>
          <w:i/>
          <w:noProof/>
        </w:rPr>
        <w:t xml:space="preserve">Neurol Clin Pract. </w:t>
      </w:r>
      <w:r w:rsidRPr="006518A2">
        <w:rPr>
          <w:noProof/>
        </w:rPr>
        <w:t>2016;6(2):102-115.</w:t>
      </w:r>
    </w:p>
    <w:p w14:paraId="3D912A44" w14:textId="77777777" w:rsidR="00575022" w:rsidRPr="006518A2" w:rsidRDefault="00575022" w:rsidP="00B619C5">
      <w:pPr>
        <w:pStyle w:val="EndNoteBibliography"/>
        <w:ind w:left="720" w:hanging="720"/>
        <w:rPr>
          <w:noProof/>
        </w:rPr>
      </w:pPr>
      <w:r w:rsidRPr="006518A2">
        <w:rPr>
          <w:noProof/>
        </w:rPr>
        <w:t>27.</w:t>
      </w:r>
      <w:r w:rsidRPr="006518A2">
        <w:rPr>
          <w:noProof/>
        </w:rPr>
        <w:tab/>
        <w:t xml:space="preserve">Ho DE IK, King G, Stuart EA. Matching as nonparametric preprocessing for reducing model dependence in parametric causal inference. </w:t>
      </w:r>
      <w:r w:rsidRPr="006518A2">
        <w:rPr>
          <w:i/>
          <w:noProof/>
        </w:rPr>
        <w:t xml:space="preserve">Polit Anal. </w:t>
      </w:r>
      <w:r w:rsidRPr="006518A2">
        <w:rPr>
          <w:noProof/>
        </w:rPr>
        <w:t>2007;15:199–236.</w:t>
      </w:r>
    </w:p>
    <w:p w14:paraId="050F42E1" w14:textId="77777777" w:rsidR="00575022" w:rsidRPr="006518A2" w:rsidRDefault="00575022" w:rsidP="00B619C5">
      <w:pPr>
        <w:pStyle w:val="EndNoteBibliography"/>
        <w:ind w:left="720" w:hanging="720"/>
        <w:rPr>
          <w:noProof/>
        </w:rPr>
      </w:pPr>
      <w:r w:rsidRPr="006518A2">
        <w:rPr>
          <w:noProof/>
        </w:rPr>
        <w:t>28.</w:t>
      </w:r>
      <w:r w:rsidRPr="006518A2">
        <w:rPr>
          <w:noProof/>
        </w:rPr>
        <w:tab/>
        <w:t xml:space="preserve">Rassen JA, Shelat AA, Myers J, Glynn RJ, Rothman KJ, Schneeweiss S. One-to-many propensity score matching in cohort studies. </w:t>
      </w:r>
      <w:r w:rsidRPr="006518A2">
        <w:rPr>
          <w:i/>
          <w:noProof/>
        </w:rPr>
        <w:t xml:space="preserve">Pharmacoepidemiol Drug Saf. </w:t>
      </w:r>
      <w:r w:rsidRPr="006518A2">
        <w:rPr>
          <w:noProof/>
        </w:rPr>
        <w:t>2012;21 Suppl 2:69-80.</w:t>
      </w:r>
    </w:p>
    <w:p w14:paraId="358572DA" w14:textId="77777777" w:rsidR="00575022" w:rsidRPr="006518A2" w:rsidRDefault="00575022" w:rsidP="00B619C5">
      <w:pPr>
        <w:pStyle w:val="EndNoteBibliography"/>
        <w:ind w:left="720" w:hanging="720"/>
        <w:rPr>
          <w:noProof/>
        </w:rPr>
      </w:pPr>
      <w:r w:rsidRPr="006518A2">
        <w:rPr>
          <w:noProof/>
        </w:rPr>
        <w:t>29.</w:t>
      </w:r>
      <w:r w:rsidRPr="006518A2">
        <w:rPr>
          <w:noProof/>
        </w:rPr>
        <w:tab/>
        <w:t xml:space="preserve">Austin PC. Optimal caliper widths for propensity-score matching when estimating differences in means and differences in proportions in observational studies. </w:t>
      </w:r>
      <w:r w:rsidRPr="006518A2">
        <w:rPr>
          <w:i/>
          <w:noProof/>
        </w:rPr>
        <w:t xml:space="preserve">Pharm Stat. </w:t>
      </w:r>
      <w:r w:rsidRPr="006518A2">
        <w:rPr>
          <w:noProof/>
        </w:rPr>
        <w:t>2011;10(2):150-161.</w:t>
      </w:r>
    </w:p>
    <w:p w14:paraId="5B93E91D" w14:textId="77777777" w:rsidR="00575022" w:rsidRPr="006518A2" w:rsidRDefault="00575022" w:rsidP="00B619C5">
      <w:pPr>
        <w:pStyle w:val="EndNoteBibliography"/>
        <w:ind w:left="720" w:hanging="720"/>
        <w:rPr>
          <w:noProof/>
        </w:rPr>
      </w:pPr>
      <w:r w:rsidRPr="006518A2">
        <w:rPr>
          <w:noProof/>
        </w:rPr>
        <w:t>30.</w:t>
      </w:r>
      <w:r w:rsidRPr="006518A2">
        <w:rPr>
          <w:noProof/>
        </w:rPr>
        <w:tab/>
        <w:t xml:space="preserve">Austin PC, Stuart EA. The performance of inverse probability of treatment weighting and full matching on the propensity score in the presence of model misspecification when estimating the effect of treatment on survival outcomes. </w:t>
      </w:r>
      <w:r w:rsidRPr="006518A2">
        <w:rPr>
          <w:i/>
          <w:noProof/>
        </w:rPr>
        <w:t xml:space="preserve">Statistical methods in medical research. </w:t>
      </w:r>
      <w:r w:rsidRPr="006518A2">
        <w:rPr>
          <w:noProof/>
        </w:rPr>
        <w:t>2015.</w:t>
      </w:r>
    </w:p>
    <w:p w14:paraId="5462E828" w14:textId="77777777" w:rsidR="00575022" w:rsidRPr="006518A2" w:rsidRDefault="00575022" w:rsidP="00B619C5">
      <w:pPr>
        <w:pStyle w:val="EndNoteBibliography"/>
        <w:ind w:left="720" w:hanging="720"/>
        <w:rPr>
          <w:noProof/>
        </w:rPr>
      </w:pPr>
      <w:r w:rsidRPr="006518A2">
        <w:rPr>
          <w:noProof/>
        </w:rPr>
        <w:t>31.</w:t>
      </w:r>
      <w:r w:rsidRPr="006518A2">
        <w:rPr>
          <w:noProof/>
        </w:rPr>
        <w:tab/>
        <w:t xml:space="preserve">Lunt M. Selecting an appropriate caliper can be essential for achieving good balance with propensity score matching. </w:t>
      </w:r>
      <w:r w:rsidRPr="006518A2">
        <w:rPr>
          <w:i/>
          <w:noProof/>
        </w:rPr>
        <w:t xml:space="preserve">Am J Epidemiol. </w:t>
      </w:r>
      <w:r w:rsidRPr="006518A2">
        <w:rPr>
          <w:noProof/>
        </w:rPr>
        <w:t>2014;179(2):226-235.</w:t>
      </w:r>
    </w:p>
    <w:p w14:paraId="71713293" w14:textId="77777777" w:rsidR="00575022" w:rsidRPr="006518A2" w:rsidRDefault="00575022" w:rsidP="00B619C5">
      <w:pPr>
        <w:pStyle w:val="EndNoteBibliography"/>
        <w:ind w:left="720" w:hanging="720"/>
        <w:rPr>
          <w:noProof/>
        </w:rPr>
      </w:pPr>
      <w:r w:rsidRPr="006518A2">
        <w:rPr>
          <w:noProof/>
        </w:rPr>
        <w:t>32.</w:t>
      </w:r>
      <w:r w:rsidRPr="006518A2">
        <w:rPr>
          <w:noProof/>
        </w:rPr>
        <w:tab/>
        <w:t xml:space="preserve">Cohen J. </w:t>
      </w:r>
      <w:r w:rsidRPr="006518A2">
        <w:rPr>
          <w:i/>
          <w:noProof/>
        </w:rPr>
        <w:t xml:space="preserve">Statistical power analysis for the behavioral sciences </w:t>
      </w:r>
      <w:r w:rsidRPr="006518A2">
        <w:rPr>
          <w:noProof/>
        </w:rPr>
        <w:t>2ed: Hillsdale, NJ; Erlbaum; 1988.</w:t>
      </w:r>
    </w:p>
    <w:p w14:paraId="1EAE2EC2" w14:textId="77777777" w:rsidR="00575022" w:rsidRPr="006518A2" w:rsidRDefault="00575022" w:rsidP="00B619C5">
      <w:pPr>
        <w:pStyle w:val="EndNoteBibliography"/>
        <w:ind w:left="720" w:hanging="720"/>
        <w:rPr>
          <w:noProof/>
        </w:rPr>
      </w:pPr>
      <w:r w:rsidRPr="006518A2">
        <w:rPr>
          <w:noProof/>
        </w:rPr>
        <w:t>33.</w:t>
      </w:r>
      <w:r w:rsidRPr="006518A2">
        <w:rPr>
          <w:noProof/>
        </w:rPr>
        <w:tab/>
        <w:t xml:space="preserve">Schoenfeld D. Chi-squared goodness-of-fit tests for the proportional hazards regression model. </w:t>
      </w:r>
      <w:r w:rsidRPr="006518A2">
        <w:rPr>
          <w:i/>
          <w:noProof/>
        </w:rPr>
        <w:t xml:space="preserve">Biometrika. </w:t>
      </w:r>
      <w:r w:rsidRPr="006518A2">
        <w:rPr>
          <w:noProof/>
        </w:rPr>
        <w:t>1980;67(1):145-153.</w:t>
      </w:r>
    </w:p>
    <w:p w14:paraId="1B449DF9" w14:textId="77777777" w:rsidR="00575022" w:rsidRPr="006518A2" w:rsidRDefault="00575022" w:rsidP="00B619C5">
      <w:pPr>
        <w:pStyle w:val="EndNoteBibliography"/>
        <w:ind w:left="720" w:hanging="720"/>
        <w:rPr>
          <w:noProof/>
        </w:rPr>
      </w:pPr>
      <w:r w:rsidRPr="006518A2">
        <w:rPr>
          <w:noProof/>
        </w:rPr>
        <w:t>34.</w:t>
      </w:r>
      <w:r w:rsidRPr="006518A2">
        <w:rPr>
          <w:noProof/>
        </w:rPr>
        <w:tab/>
        <w:t xml:space="preserve">Signori A, Gallo F, Bovis F, Di Tullio N, Maietta I, Sormani MP. Long-term impact of interferon or Glatiramer acetate in multiple sclerosis: A systematic review and meta-analysis. </w:t>
      </w:r>
      <w:r w:rsidRPr="006518A2">
        <w:rPr>
          <w:i/>
          <w:noProof/>
        </w:rPr>
        <w:t xml:space="preserve">Mult Scler Relat Disord. </w:t>
      </w:r>
      <w:r w:rsidRPr="006518A2">
        <w:rPr>
          <w:noProof/>
        </w:rPr>
        <w:t>2016;6:57-63.</w:t>
      </w:r>
    </w:p>
    <w:p w14:paraId="326D169A" w14:textId="77777777" w:rsidR="00575022" w:rsidRPr="006518A2" w:rsidRDefault="00575022" w:rsidP="00B619C5">
      <w:pPr>
        <w:pStyle w:val="EndNoteBibliography"/>
        <w:ind w:left="720" w:hanging="720"/>
        <w:rPr>
          <w:noProof/>
        </w:rPr>
      </w:pPr>
      <w:r w:rsidRPr="006518A2">
        <w:rPr>
          <w:noProof/>
        </w:rPr>
        <w:lastRenderedPageBreak/>
        <w:t>35.</w:t>
      </w:r>
      <w:r w:rsidRPr="006518A2">
        <w:rPr>
          <w:noProof/>
        </w:rPr>
        <w:tab/>
        <w:t xml:space="preserve">Suissa S. Immortal time bias in pharmaco-epidemiology. </w:t>
      </w:r>
      <w:r w:rsidRPr="006518A2">
        <w:rPr>
          <w:i/>
          <w:noProof/>
        </w:rPr>
        <w:t xml:space="preserve">Am J Epidemiol. </w:t>
      </w:r>
      <w:r w:rsidRPr="006518A2">
        <w:rPr>
          <w:noProof/>
        </w:rPr>
        <w:t>2008;167(4):492-499.</w:t>
      </w:r>
    </w:p>
    <w:p w14:paraId="1E08CDD1" w14:textId="77777777" w:rsidR="00575022" w:rsidRPr="006518A2" w:rsidRDefault="00575022" w:rsidP="00B619C5">
      <w:pPr>
        <w:pStyle w:val="EndNoteBibliography"/>
        <w:ind w:left="720" w:hanging="720"/>
        <w:rPr>
          <w:noProof/>
        </w:rPr>
      </w:pPr>
      <w:r w:rsidRPr="006518A2">
        <w:rPr>
          <w:noProof/>
        </w:rPr>
        <w:t>36.</w:t>
      </w:r>
      <w:r w:rsidRPr="006518A2">
        <w:rPr>
          <w:noProof/>
        </w:rPr>
        <w:tab/>
        <w:t xml:space="preserve">Dehejia RH WS. Causal effects in nonexperimental studies: Re-evaluating the evaluation of training programs. </w:t>
      </w:r>
      <w:r w:rsidRPr="006518A2">
        <w:rPr>
          <w:i/>
          <w:noProof/>
        </w:rPr>
        <w:t xml:space="preserve">Journal of the American Statistical Association. </w:t>
      </w:r>
      <w:r w:rsidRPr="006518A2">
        <w:rPr>
          <w:noProof/>
        </w:rPr>
        <w:t>1999;94:1053-1062.</w:t>
      </w:r>
    </w:p>
    <w:p w14:paraId="52CC836C" w14:textId="77777777" w:rsidR="00575022" w:rsidRPr="006518A2" w:rsidRDefault="00575022" w:rsidP="00B619C5">
      <w:pPr>
        <w:pStyle w:val="EndNoteBibliography"/>
        <w:ind w:left="720" w:hanging="720"/>
        <w:rPr>
          <w:noProof/>
        </w:rPr>
      </w:pPr>
      <w:r w:rsidRPr="006518A2">
        <w:rPr>
          <w:noProof/>
        </w:rPr>
        <w:t>37.</w:t>
      </w:r>
      <w:r w:rsidRPr="006518A2">
        <w:rPr>
          <w:noProof/>
        </w:rPr>
        <w:tab/>
        <w:t xml:space="preserve">Sormani MP, Tintore M, Rovaris M, et al. Will Rogers phenomenon in multiple sclerosis. </w:t>
      </w:r>
      <w:r w:rsidRPr="006518A2">
        <w:rPr>
          <w:i/>
          <w:noProof/>
        </w:rPr>
        <w:t xml:space="preserve">Ann Neurol. </w:t>
      </w:r>
      <w:r w:rsidRPr="006518A2">
        <w:rPr>
          <w:noProof/>
        </w:rPr>
        <w:t>2008;64(4):428-433.</w:t>
      </w:r>
    </w:p>
    <w:p w14:paraId="0ADA9E6E" w14:textId="77777777" w:rsidR="00575022" w:rsidRPr="006518A2" w:rsidRDefault="00575022" w:rsidP="00B619C5">
      <w:pPr>
        <w:pStyle w:val="EndNoteBibliography"/>
        <w:ind w:left="720" w:hanging="720"/>
        <w:rPr>
          <w:noProof/>
        </w:rPr>
      </w:pPr>
      <w:r w:rsidRPr="006518A2">
        <w:rPr>
          <w:noProof/>
        </w:rPr>
        <w:t>38.</w:t>
      </w:r>
      <w:r w:rsidRPr="006518A2">
        <w:rPr>
          <w:noProof/>
        </w:rPr>
        <w:tab/>
        <w:t xml:space="preserve">Meyer-Moock S, Feng YS, Maeurer M, Dippel FW, Kohlmann T. Systematic literature review and validity evaluation of the Expanded Disability Status Scale (EDSS) and the Multiple Sclerosis Functional Composite (MSFC) in patients with multiple sclerosis. </w:t>
      </w:r>
      <w:r w:rsidRPr="006518A2">
        <w:rPr>
          <w:i/>
          <w:noProof/>
        </w:rPr>
        <w:t xml:space="preserve">BMC neurology. </w:t>
      </w:r>
      <w:r w:rsidRPr="006518A2">
        <w:rPr>
          <w:noProof/>
        </w:rPr>
        <w:t>2014;14:58.</w:t>
      </w:r>
    </w:p>
    <w:p w14:paraId="7FFC8D6A" w14:textId="77777777" w:rsidR="00575022" w:rsidRPr="0080792D" w:rsidRDefault="00575022" w:rsidP="00B619C5">
      <w:pPr>
        <w:spacing w:line="480" w:lineRule="auto"/>
        <w:jc w:val="both"/>
      </w:pPr>
    </w:p>
    <w:p w14:paraId="16CA2933" w14:textId="77777777" w:rsidR="00575022" w:rsidRPr="0080792D" w:rsidRDefault="00575022">
      <w:r w:rsidRPr="0080792D">
        <w:br w:type="page"/>
      </w:r>
    </w:p>
    <w:p w14:paraId="649B4F95" w14:textId="77777777" w:rsidR="00575022" w:rsidRPr="008E2EB9" w:rsidRDefault="00575022" w:rsidP="00B619C5">
      <w:pPr>
        <w:pStyle w:val="Heading2"/>
      </w:pPr>
      <w:r w:rsidRPr="008E2EB9">
        <w:lastRenderedPageBreak/>
        <w:t>Legends for tables and figures</w:t>
      </w:r>
    </w:p>
    <w:p w14:paraId="354900F7" w14:textId="7CE2A1F3" w:rsidR="00575022" w:rsidRPr="00697D58" w:rsidRDefault="00575022" w:rsidP="00B619C5">
      <w:pPr>
        <w:tabs>
          <w:tab w:val="left" w:pos="7628"/>
        </w:tabs>
        <w:spacing w:line="480" w:lineRule="auto"/>
      </w:pPr>
      <w:r>
        <w:rPr>
          <w:i/>
        </w:rPr>
        <w:t>Table 1</w:t>
      </w:r>
      <w:r w:rsidRPr="00697D58">
        <w:t xml:space="preserve">: </w:t>
      </w:r>
      <w:r w:rsidRPr="00C3392D">
        <w:rPr>
          <w:b/>
        </w:rPr>
        <w:t>Baseline and follow-up characteristics of matched patient groups.</w:t>
      </w:r>
      <w:r w:rsidRPr="00697D58">
        <w:t xml:space="preserve"> </w:t>
      </w:r>
      <w:proofErr w:type="spellStart"/>
      <w:r w:rsidRPr="00C3392D">
        <w:rPr>
          <w:vertAlign w:val="superscript"/>
        </w:rPr>
        <w:t>a</w:t>
      </w:r>
      <w:r w:rsidRPr="00697D58">
        <w:rPr>
          <w:color w:val="000000" w:themeColor="text1"/>
        </w:rPr>
        <w:t>Disease</w:t>
      </w:r>
      <w:proofErr w:type="spellEnd"/>
      <w:r w:rsidRPr="00697D58">
        <w:rPr>
          <w:color w:val="000000" w:themeColor="text1"/>
        </w:rPr>
        <w:t xml:space="preserve"> duration at the time of </w:t>
      </w:r>
      <w:r w:rsidRPr="000E1D7D">
        <w:rPr>
          <w:color w:val="000000" w:themeColor="text1"/>
        </w:rPr>
        <w:t>commencing</w:t>
      </w:r>
      <w:r w:rsidRPr="000E1D7D">
        <w:rPr>
          <w:i/>
          <w:color w:val="000000" w:themeColor="text1"/>
        </w:rPr>
        <w:t xml:space="preserve"> </w:t>
      </w:r>
      <w:r w:rsidR="00E335C5">
        <w:rPr>
          <w:color w:val="000000" w:themeColor="text1"/>
        </w:rPr>
        <w:t>ß-</w:t>
      </w:r>
      <w:r w:rsidR="001F25AA">
        <w:rPr>
          <w:color w:val="000000" w:themeColor="text1"/>
        </w:rPr>
        <w:t>interferon or glatiramer acetate (</w:t>
      </w:r>
      <w:r w:rsidR="006408F9">
        <w:rPr>
          <w:color w:val="000000" w:themeColor="text1"/>
        </w:rPr>
        <w:t>ß-IFN|GA</w:t>
      </w:r>
      <w:r w:rsidR="001F25AA">
        <w:rPr>
          <w:color w:val="000000" w:themeColor="text1"/>
        </w:rPr>
        <w:t>)</w:t>
      </w:r>
      <w:r w:rsidR="006408F9">
        <w:rPr>
          <w:color w:val="000000" w:themeColor="text1"/>
        </w:rPr>
        <w:t xml:space="preserve"> </w:t>
      </w:r>
      <w:r w:rsidRPr="000E1D7D">
        <w:rPr>
          <w:color w:val="000000" w:themeColor="text1"/>
        </w:rPr>
        <w:t>in the late group was 6.8 (5.7-10.8) years</w:t>
      </w:r>
      <w:r>
        <w:rPr>
          <w:color w:val="000000" w:themeColor="text1"/>
        </w:rPr>
        <w:t xml:space="preserve"> </w:t>
      </w:r>
      <w:r w:rsidRPr="00BD6FAD">
        <w:rPr>
          <w:color w:val="000000" w:themeColor="text1"/>
        </w:rPr>
        <w:t>[me</w:t>
      </w:r>
      <w:r w:rsidR="00AB3BC0">
        <w:rPr>
          <w:color w:val="000000" w:themeColor="text1"/>
        </w:rPr>
        <w:t>dian</w:t>
      </w:r>
      <w:r w:rsidRPr="00BD6FAD">
        <w:rPr>
          <w:color w:val="000000" w:themeColor="text1"/>
        </w:rPr>
        <w:t xml:space="preserve"> (IQR)]</w:t>
      </w:r>
      <w:r w:rsidRPr="000E1D7D">
        <w:rPr>
          <w:color w:val="000000" w:themeColor="text1"/>
        </w:rPr>
        <w:t xml:space="preserve">. </w:t>
      </w:r>
      <w:proofErr w:type="spellStart"/>
      <w:r w:rsidRPr="000E1D7D">
        <w:rPr>
          <w:color w:val="000000" w:themeColor="text1"/>
          <w:vertAlign w:val="superscript"/>
        </w:rPr>
        <w:t>b</w:t>
      </w:r>
      <w:r w:rsidRPr="000E1D7D">
        <w:rPr>
          <w:color w:val="000000" w:themeColor="text1"/>
        </w:rPr>
        <w:t>Disease</w:t>
      </w:r>
      <w:proofErr w:type="spellEnd"/>
      <w:r w:rsidRPr="000E1D7D">
        <w:rPr>
          <w:color w:val="000000" w:themeColor="text1"/>
        </w:rPr>
        <w:t xml:space="preserve"> duration at the time of commencing</w:t>
      </w:r>
      <w:r w:rsidRPr="000E1D7D">
        <w:rPr>
          <w:i/>
          <w:color w:val="000000" w:themeColor="text1"/>
        </w:rPr>
        <w:t xml:space="preserve"> </w:t>
      </w:r>
      <w:r w:rsidR="001F25AA">
        <w:rPr>
          <w:color w:val="000000" w:themeColor="text1"/>
        </w:rPr>
        <w:t>fingolimod or alemtuzumab or natalizumab (</w:t>
      </w:r>
      <w:r w:rsidR="006408F9">
        <w:rPr>
          <w:color w:val="000000" w:themeColor="text1"/>
        </w:rPr>
        <w:t>F|A|N</w:t>
      </w:r>
      <w:r w:rsidR="001F25AA">
        <w:rPr>
          <w:color w:val="000000" w:themeColor="text1"/>
        </w:rPr>
        <w:t>)</w:t>
      </w:r>
      <w:r w:rsidRPr="00697D58">
        <w:rPr>
          <w:color w:val="000000" w:themeColor="text1"/>
        </w:rPr>
        <w:t xml:space="preserve"> in the late group was 7</w:t>
      </w:r>
      <w:r>
        <w:rPr>
          <w:color w:val="000000" w:themeColor="text1"/>
        </w:rPr>
        <w:t>.3</w:t>
      </w:r>
      <w:r w:rsidRPr="00697D58">
        <w:rPr>
          <w:color w:val="000000" w:themeColor="text1"/>
        </w:rPr>
        <w:t xml:space="preserve"> (6</w:t>
      </w:r>
      <w:r>
        <w:rPr>
          <w:color w:val="000000" w:themeColor="text1"/>
        </w:rPr>
        <w:t>.1</w:t>
      </w:r>
      <w:r w:rsidRPr="00697D58">
        <w:rPr>
          <w:color w:val="000000" w:themeColor="text1"/>
        </w:rPr>
        <w:t>—10</w:t>
      </w:r>
      <w:r>
        <w:rPr>
          <w:color w:val="000000" w:themeColor="text1"/>
        </w:rPr>
        <w:t>.4</w:t>
      </w:r>
      <w:r w:rsidRPr="00697D58">
        <w:rPr>
          <w:color w:val="000000" w:themeColor="text1"/>
        </w:rPr>
        <w:t>) years</w:t>
      </w:r>
      <w:r>
        <w:rPr>
          <w:color w:val="000000" w:themeColor="text1"/>
        </w:rPr>
        <w:t xml:space="preserve"> </w:t>
      </w:r>
      <w:r w:rsidRPr="00BD6FAD">
        <w:rPr>
          <w:color w:val="000000" w:themeColor="text1"/>
        </w:rPr>
        <w:t>[me</w:t>
      </w:r>
      <w:r w:rsidR="00AB3BC0">
        <w:rPr>
          <w:color w:val="000000" w:themeColor="text1"/>
        </w:rPr>
        <w:t>dian</w:t>
      </w:r>
      <w:r w:rsidRPr="00BD6FAD">
        <w:rPr>
          <w:color w:val="000000" w:themeColor="text1"/>
        </w:rPr>
        <w:t xml:space="preserve"> (IQR)]</w:t>
      </w:r>
      <w:r>
        <w:rPr>
          <w:color w:val="000000" w:themeColor="text1"/>
        </w:rPr>
        <w:t xml:space="preserve">. </w:t>
      </w:r>
      <w:r w:rsidRPr="00697D58">
        <w:t>EDSS = Expanded Disability Status Scale</w:t>
      </w:r>
      <w:r>
        <w:t xml:space="preserve">, range 0 (no disability due to MS) to 10 (death due to MS). EDSS 2 indicates minimal disability in one (of eight) functional systems (but no impairment to walking). EDSS 3.5 indicates moderate disability in one functional system plus minimal disability in several others (but no impairment to walking). </w:t>
      </w:r>
      <w:r w:rsidR="006736D3">
        <w:t xml:space="preserve">IQR = </w:t>
      </w:r>
      <w:r w:rsidR="00FD608F">
        <w:t xml:space="preserve">interquartile range. </w:t>
      </w:r>
      <w:r w:rsidR="006736D3">
        <w:t xml:space="preserve">SD = standard deviation. </w:t>
      </w:r>
      <w:r>
        <w:t>Standardized difference quantified by Cohen’s D.</w:t>
      </w:r>
    </w:p>
    <w:p w14:paraId="4CB6C48B" w14:textId="77777777" w:rsidR="00575022" w:rsidRPr="00697D58" w:rsidRDefault="00575022" w:rsidP="00B619C5">
      <w:pPr>
        <w:tabs>
          <w:tab w:val="left" w:pos="7628"/>
        </w:tabs>
        <w:spacing w:line="480" w:lineRule="auto"/>
      </w:pPr>
    </w:p>
    <w:p w14:paraId="1A9EE6E9" w14:textId="4D0CC8EB" w:rsidR="00575022" w:rsidRPr="00697D58" w:rsidRDefault="00575022" w:rsidP="00B619C5">
      <w:pPr>
        <w:tabs>
          <w:tab w:val="left" w:pos="7628"/>
        </w:tabs>
        <w:spacing w:line="480" w:lineRule="auto"/>
      </w:pPr>
      <w:r w:rsidRPr="00697D58">
        <w:rPr>
          <w:i/>
        </w:rPr>
        <w:t>Figure 1</w:t>
      </w:r>
      <w:r w:rsidRPr="00697D58">
        <w:t xml:space="preserve">: </w:t>
      </w:r>
      <w:r w:rsidRPr="00C3392D">
        <w:rPr>
          <w:b/>
        </w:rPr>
        <w:t>Study design</w:t>
      </w:r>
      <w:r w:rsidRPr="00697D58">
        <w:t xml:space="preserve"> (DMT = disease modifying therapy; </w:t>
      </w:r>
      <w:r w:rsidR="00E57C99" w:rsidRPr="00697D58">
        <w:t>EDSS = Expanded Disability Status Scale)</w:t>
      </w:r>
      <w:r w:rsidR="00E57C99">
        <w:t xml:space="preserve">; </w:t>
      </w:r>
      <w:r w:rsidRPr="00697D58">
        <w:t xml:space="preserve">RCT = randomised controlled trial; </w:t>
      </w:r>
      <w:r w:rsidR="00E57C99">
        <w:t xml:space="preserve">RRMS = relapsing-remitting multiple sclerosis; SPMS = secondary progressive multiple sclerosis; </w:t>
      </w:r>
      <w:r>
        <w:t xml:space="preserve">*Where recorded, reasons for stopping were as follows: </w:t>
      </w:r>
      <w:r>
        <w:rPr>
          <w:color w:val="000000" w:themeColor="text1"/>
          <w:lang w:val="en-US"/>
        </w:rPr>
        <w:t xml:space="preserve">341 </w:t>
      </w:r>
      <w:proofErr w:type="gramStart"/>
      <w:r>
        <w:rPr>
          <w:color w:val="000000" w:themeColor="text1"/>
          <w:lang w:val="en-US"/>
        </w:rPr>
        <w:t>due</w:t>
      </w:r>
      <w:proofErr w:type="gramEnd"/>
      <w:r>
        <w:rPr>
          <w:color w:val="000000" w:themeColor="text1"/>
          <w:lang w:val="en-US"/>
        </w:rPr>
        <w:t xml:space="preserve"> to intolerance, 65 due to inconvenience, 42 due to pregnancy (or planned pregnancy), 65 due to inefficacy (relapses, EDSS progression, MRI activity or patient perception of lack of improvement) and 15 due to non-compliance. </w:t>
      </w:r>
      <w:r>
        <w:t xml:space="preserve">**Ineligible treatments were defined as treatments not licensed for RRMS at the time of the study period (mitoxantrone, cladribine, rituximab, ocrelizumab, </w:t>
      </w:r>
      <w:proofErr w:type="spellStart"/>
      <w:r>
        <w:t>siponimod</w:t>
      </w:r>
      <w:proofErr w:type="spellEnd"/>
      <w:r>
        <w:t xml:space="preserve"> or autologous stem-cell transplantation).</w:t>
      </w:r>
    </w:p>
    <w:p w14:paraId="5D0D2706" w14:textId="77777777" w:rsidR="00575022" w:rsidRPr="00697D58" w:rsidRDefault="00575022" w:rsidP="00B619C5">
      <w:pPr>
        <w:tabs>
          <w:tab w:val="left" w:pos="7628"/>
        </w:tabs>
        <w:spacing w:line="480" w:lineRule="auto"/>
      </w:pPr>
    </w:p>
    <w:p w14:paraId="5C9EFBBA" w14:textId="607B4743" w:rsidR="00575022" w:rsidRPr="00697D58" w:rsidRDefault="00575022" w:rsidP="00B619C5">
      <w:pPr>
        <w:tabs>
          <w:tab w:val="left" w:pos="7628"/>
        </w:tabs>
        <w:spacing w:line="480" w:lineRule="auto"/>
      </w:pPr>
      <w:r w:rsidRPr="00697D58">
        <w:rPr>
          <w:i/>
        </w:rPr>
        <w:t>Figure 2</w:t>
      </w:r>
      <w:r w:rsidRPr="00697D58">
        <w:t xml:space="preserve">: </w:t>
      </w:r>
      <w:r w:rsidRPr="00C3392D">
        <w:rPr>
          <w:b/>
        </w:rPr>
        <w:t xml:space="preserve">Comparison of </w:t>
      </w:r>
      <w:r>
        <w:rPr>
          <w:b/>
        </w:rPr>
        <w:t xml:space="preserve">the </w:t>
      </w:r>
      <w:r w:rsidRPr="00C3392D">
        <w:rPr>
          <w:b/>
        </w:rPr>
        <w:t xml:space="preserve">cumulative hazard of conversion to secondary progressive multiple sclerosis (SPMS) in untreated patients versus matched patients treated with (A) </w:t>
      </w:r>
      <w:r w:rsidR="001F25AA">
        <w:rPr>
          <w:b/>
        </w:rPr>
        <w:t>ß-interferon or glatiramer acetate (</w:t>
      </w:r>
      <w:r w:rsidR="007A133D">
        <w:rPr>
          <w:b/>
        </w:rPr>
        <w:t>ß-IFN|GA</w:t>
      </w:r>
      <w:r w:rsidR="001F25AA">
        <w:rPr>
          <w:b/>
        </w:rPr>
        <w:t>)</w:t>
      </w:r>
      <w:r w:rsidRPr="00C3392D">
        <w:rPr>
          <w:b/>
        </w:rPr>
        <w:t xml:space="preserve">, </w:t>
      </w:r>
      <w:r w:rsidR="00304202">
        <w:rPr>
          <w:b/>
        </w:rPr>
        <w:t>median (</w:t>
      </w:r>
      <w:r w:rsidR="00992EEA">
        <w:rPr>
          <w:b/>
        </w:rPr>
        <w:t>interquartile range (</w:t>
      </w:r>
      <w:r w:rsidR="00304202">
        <w:rPr>
          <w:b/>
        </w:rPr>
        <w:t>IQR)</w:t>
      </w:r>
      <w:r w:rsidR="00992EEA">
        <w:rPr>
          <w:b/>
        </w:rPr>
        <w:t>)</w:t>
      </w:r>
      <w:r w:rsidR="00304202">
        <w:rPr>
          <w:b/>
        </w:rPr>
        <w:t xml:space="preserve"> follow-up 7.6 (5.8 – 9.6) years; </w:t>
      </w:r>
      <w:r w:rsidRPr="00C3392D">
        <w:rPr>
          <w:b/>
        </w:rPr>
        <w:t>(B) fingolimod</w:t>
      </w:r>
      <w:r w:rsidR="00304202">
        <w:rPr>
          <w:b/>
        </w:rPr>
        <w:t>, (median (IQR) follow-up 4.5 (4.3 – 5.1) years;</w:t>
      </w:r>
      <w:r w:rsidRPr="00C3392D">
        <w:rPr>
          <w:b/>
        </w:rPr>
        <w:t xml:space="preserve"> (C) natalizumab</w:t>
      </w:r>
      <w:r w:rsidR="00304202">
        <w:rPr>
          <w:b/>
        </w:rPr>
        <w:t>, median (IQR) follow-up 4.9 (4.4 – 5.8) years</w:t>
      </w:r>
      <w:r w:rsidR="00ED26D6">
        <w:rPr>
          <w:b/>
        </w:rPr>
        <w:t>;</w:t>
      </w:r>
      <w:r w:rsidR="00ED26D6" w:rsidRPr="00C3392D">
        <w:rPr>
          <w:b/>
        </w:rPr>
        <w:t xml:space="preserve"> </w:t>
      </w:r>
      <w:r w:rsidRPr="00C3392D">
        <w:rPr>
          <w:b/>
        </w:rPr>
        <w:t>(D) alemtuzumab</w:t>
      </w:r>
      <w:r w:rsidR="00ED26D6">
        <w:rPr>
          <w:b/>
        </w:rPr>
        <w:t>, median (IQR) follow-up 7.4 (6 – 8.6</w:t>
      </w:r>
      <w:r w:rsidR="00992EEA">
        <w:rPr>
          <w:b/>
        </w:rPr>
        <w:t>) years</w:t>
      </w:r>
      <w:r w:rsidRPr="00C3392D">
        <w:rPr>
          <w:b/>
        </w:rPr>
        <w:t>.</w:t>
      </w:r>
      <w:r w:rsidRPr="00697D58">
        <w:t xml:space="preserve"> HR = hazard ratio. CI = confidence interval.</w:t>
      </w:r>
    </w:p>
    <w:p w14:paraId="5A2BF3A6" w14:textId="77777777" w:rsidR="00575022" w:rsidRPr="00697D58" w:rsidRDefault="00575022" w:rsidP="00B619C5">
      <w:pPr>
        <w:tabs>
          <w:tab w:val="left" w:pos="7628"/>
        </w:tabs>
        <w:spacing w:line="480" w:lineRule="auto"/>
      </w:pPr>
    </w:p>
    <w:p w14:paraId="632F026A" w14:textId="17B9D8A7" w:rsidR="00575022" w:rsidRPr="00697D58" w:rsidRDefault="00575022" w:rsidP="00B619C5">
      <w:pPr>
        <w:tabs>
          <w:tab w:val="left" w:pos="7628"/>
        </w:tabs>
        <w:spacing w:line="480" w:lineRule="auto"/>
      </w:pPr>
      <w:r w:rsidRPr="00697D58">
        <w:rPr>
          <w:i/>
        </w:rPr>
        <w:t>Figure 3</w:t>
      </w:r>
      <w:r w:rsidRPr="00697D58">
        <w:t xml:space="preserve">: </w:t>
      </w:r>
      <w:r w:rsidRPr="00C3392D">
        <w:rPr>
          <w:b/>
        </w:rPr>
        <w:t xml:space="preserve">Comparison of </w:t>
      </w:r>
      <w:r>
        <w:rPr>
          <w:b/>
        </w:rPr>
        <w:t xml:space="preserve">the </w:t>
      </w:r>
      <w:r w:rsidRPr="00C3392D">
        <w:rPr>
          <w:b/>
        </w:rPr>
        <w:t xml:space="preserve">cumulative hazard of conversion to secondary progressive multiple sclerosis (SPMS) in (A) patients treated with </w:t>
      </w:r>
      <w:r w:rsidR="0017142C">
        <w:rPr>
          <w:b/>
        </w:rPr>
        <w:t>ß-interferon or glatiramer acetate</w:t>
      </w:r>
      <w:r w:rsidR="0017142C" w:rsidDel="006408F9">
        <w:rPr>
          <w:b/>
        </w:rPr>
        <w:t xml:space="preserve"> </w:t>
      </w:r>
      <w:r w:rsidR="0017142C">
        <w:rPr>
          <w:b/>
        </w:rPr>
        <w:t>(</w:t>
      </w:r>
      <w:r w:rsidR="006408F9">
        <w:rPr>
          <w:b/>
        </w:rPr>
        <w:t>ß-IFN|GA</w:t>
      </w:r>
      <w:r w:rsidR="0017142C">
        <w:rPr>
          <w:b/>
        </w:rPr>
        <w:t>)</w:t>
      </w:r>
      <w:r w:rsidR="006408F9">
        <w:rPr>
          <w:b/>
        </w:rPr>
        <w:t xml:space="preserve"> </w:t>
      </w:r>
      <w:r w:rsidRPr="00C3392D">
        <w:rPr>
          <w:b/>
        </w:rPr>
        <w:t xml:space="preserve">within 5 years of disease onset vs matched patients treated with </w:t>
      </w:r>
      <w:r w:rsidR="006408F9">
        <w:rPr>
          <w:b/>
        </w:rPr>
        <w:t xml:space="preserve">ß-IFN|GA </w:t>
      </w:r>
      <w:r w:rsidRPr="00C3392D">
        <w:rPr>
          <w:b/>
        </w:rPr>
        <w:t>after 5 years of disease onset,</w:t>
      </w:r>
      <w:r w:rsidR="000E3124">
        <w:rPr>
          <w:b/>
        </w:rPr>
        <w:t xml:space="preserve"> median</w:t>
      </w:r>
      <w:r w:rsidR="00DC7B5F">
        <w:rPr>
          <w:b/>
        </w:rPr>
        <w:t xml:space="preserve"> (interquartile range (IQR)) follow-up 13.4 (11 – 18.1) years;</w:t>
      </w:r>
      <w:r w:rsidRPr="00C3392D">
        <w:rPr>
          <w:b/>
        </w:rPr>
        <w:t xml:space="preserve"> (B) patients treated with </w:t>
      </w:r>
      <w:r w:rsidR="006408F9">
        <w:rPr>
          <w:b/>
        </w:rPr>
        <w:t xml:space="preserve">ß-IFN|GA </w:t>
      </w:r>
      <w:r w:rsidRPr="00C3392D">
        <w:rPr>
          <w:b/>
        </w:rPr>
        <w:t xml:space="preserve">within 5 years of disease onset vs matched untreated patients, </w:t>
      </w:r>
      <w:r w:rsidR="00DC7B5F">
        <w:rPr>
          <w:b/>
        </w:rPr>
        <w:t xml:space="preserve">median (IQR) follow-up 7.5 (5.7 – 9.8) years; </w:t>
      </w:r>
      <w:r w:rsidRPr="00C3392D">
        <w:rPr>
          <w:b/>
        </w:rPr>
        <w:t xml:space="preserve">(C) patients treated with </w:t>
      </w:r>
      <w:r w:rsidR="006408F9">
        <w:rPr>
          <w:b/>
        </w:rPr>
        <w:t xml:space="preserve">ß-IFN|GA </w:t>
      </w:r>
      <w:r w:rsidRPr="00C3392D">
        <w:rPr>
          <w:b/>
        </w:rPr>
        <w:t>5-10 years after disease onset vs matched untreated patients,</w:t>
      </w:r>
      <w:r w:rsidR="00DC7B5F">
        <w:rPr>
          <w:b/>
        </w:rPr>
        <w:t xml:space="preserve"> median </w:t>
      </w:r>
      <w:r w:rsidR="00304202">
        <w:rPr>
          <w:b/>
        </w:rPr>
        <w:t xml:space="preserve">(IQR) </w:t>
      </w:r>
      <w:r w:rsidR="00DC7B5F">
        <w:rPr>
          <w:b/>
        </w:rPr>
        <w:t xml:space="preserve">follow-up </w:t>
      </w:r>
      <w:r w:rsidR="00304202">
        <w:rPr>
          <w:b/>
        </w:rPr>
        <w:t>7.7 (5.8 – 9.7) years;</w:t>
      </w:r>
      <w:r w:rsidRPr="00C3392D">
        <w:rPr>
          <w:b/>
        </w:rPr>
        <w:t xml:space="preserve"> (D) patients escalated from </w:t>
      </w:r>
      <w:r w:rsidR="006408F9">
        <w:rPr>
          <w:b/>
        </w:rPr>
        <w:t xml:space="preserve">ß-IFN|GA </w:t>
      </w:r>
      <w:r w:rsidRPr="00C3392D">
        <w:rPr>
          <w:b/>
        </w:rPr>
        <w:t xml:space="preserve">to </w:t>
      </w:r>
      <w:r w:rsidR="001F25AA">
        <w:rPr>
          <w:b/>
        </w:rPr>
        <w:t>fingolimod or alemtuzumab or natalizumab (</w:t>
      </w:r>
      <w:r w:rsidR="006408F9">
        <w:rPr>
          <w:b/>
        </w:rPr>
        <w:t>F|A|N</w:t>
      </w:r>
      <w:r w:rsidR="001F25AA">
        <w:rPr>
          <w:b/>
        </w:rPr>
        <w:t>)</w:t>
      </w:r>
      <w:r w:rsidRPr="00C3392D">
        <w:rPr>
          <w:b/>
        </w:rPr>
        <w:t xml:space="preserve"> within 5 years of disease onset vs patients escalated to the same therapy after more than 5 years</w:t>
      </w:r>
      <w:r w:rsidR="00304202">
        <w:rPr>
          <w:b/>
        </w:rPr>
        <w:t>, median (IQR) follow-up 5.3 (4.6 – 6.4) years</w:t>
      </w:r>
      <w:r w:rsidRPr="00C3392D">
        <w:rPr>
          <w:b/>
        </w:rPr>
        <w:t>.</w:t>
      </w:r>
      <w:r w:rsidRPr="00697D58">
        <w:t xml:space="preserve"> HR = hazard ratio. CI = confidence interval.</w:t>
      </w:r>
    </w:p>
    <w:p w14:paraId="1D7C97EB" w14:textId="77777777" w:rsidR="00575022" w:rsidRPr="00697D58" w:rsidRDefault="00575022" w:rsidP="00B619C5">
      <w:pPr>
        <w:tabs>
          <w:tab w:val="left" w:pos="7628"/>
        </w:tabs>
        <w:spacing w:line="480" w:lineRule="auto"/>
      </w:pPr>
    </w:p>
    <w:p w14:paraId="4FDCCC11" w14:textId="11AE059F" w:rsidR="00575022" w:rsidRDefault="00575022" w:rsidP="00B619C5">
      <w:pPr>
        <w:spacing w:line="480" w:lineRule="auto"/>
        <w:rPr>
          <w:iCs/>
          <w:color w:val="000000"/>
          <w:lang w:val="en-US"/>
        </w:rPr>
      </w:pPr>
      <w:r w:rsidRPr="00697D58">
        <w:rPr>
          <w:i/>
        </w:rPr>
        <w:t>Figure 4:</w:t>
      </w:r>
      <w:r w:rsidRPr="00697D58">
        <w:t xml:space="preserve"> </w:t>
      </w:r>
      <w:r w:rsidRPr="00C3392D">
        <w:rPr>
          <w:b/>
        </w:rPr>
        <w:t xml:space="preserve">Comparison of cumulative hazard of conversion to secondary progressive multiple sclerosis (SPMS) in patients initially treated with </w:t>
      </w:r>
      <w:r w:rsidR="001F25AA">
        <w:rPr>
          <w:b/>
        </w:rPr>
        <w:t>fingolimod or alemtuzumab or natalizumab (F|A|N)</w:t>
      </w:r>
      <w:r w:rsidRPr="00C3392D">
        <w:rPr>
          <w:b/>
        </w:rPr>
        <w:t xml:space="preserve"> vs matched patients initially treated with </w:t>
      </w:r>
      <w:r w:rsidR="001F25AA">
        <w:rPr>
          <w:b/>
        </w:rPr>
        <w:t>ß-interferon or glatiramer acetate</w:t>
      </w:r>
      <w:r w:rsidR="001F25AA" w:rsidDel="006408F9">
        <w:rPr>
          <w:b/>
        </w:rPr>
        <w:t xml:space="preserve"> </w:t>
      </w:r>
      <w:r w:rsidR="001F25AA">
        <w:rPr>
          <w:b/>
        </w:rPr>
        <w:t>(</w:t>
      </w:r>
      <w:r w:rsidR="007A133D">
        <w:rPr>
          <w:b/>
        </w:rPr>
        <w:t>ß-IFN|GA</w:t>
      </w:r>
      <w:r w:rsidR="001F25AA">
        <w:rPr>
          <w:b/>
        </w:rPr>
        <w:t>)</w:t>
      </w:r>
      <w:r w:rsidR="00992EEA">
        <w:rPr>
          <w:b/>
        </w:rPr>
        <w:t>, median (interquartile range) follow-up 5.8 (4.7 – 8) years</w:t>
      </w:r>
      <w:r w:rsidRPr="00C3392D">
        <w:rPr>
          <w:b/>
        </w:rPr>
        <w:t xml:space="preserve">. </w:t>
      </w:r>
      <w:r w:rsidRPr="00697D58">
        <w:t>HR = hazard ratio. CI = confidence interval.</w:t>
      </w:r>
      <w:r w:rsidRPr="00697D58">
        <w:br w:type="page"/>
      </w:r>
      <w:r>
        <w:rPr>
          <w:iCs/>
          <w:color w:val="000000"/>
          <w:lang w:val="en-US"/>
        </w:rPr>
        <w:lastRenderedPageBreak/>
        <w:br w:type="page"/>
      </w:r>
    </w:p>
    <w:p w14:paraId="648D7CC5" w14:textId="77777777" w:rsidR="00575022" w:rsidRDefault="00575022" w:rsidP="00B619C5">
      <w:pPr>
        <w:pStyle w:val="xmsonormal"/>
        <w:spacing w:line="480" w:lineRule="auto"/>
        <w:rPr>
          <w:color w:val="000000"/>
        </w:rPr>
        <w:sectPr w:rsidR="00575022" w:rsidSect="00B619C5">
          <w:footerReference w:type="even" r:id="rId8"/>
          <w:footerReference w:type="default" r:id="rId9"/>
          <w:pgSz w:w="11906" w:h="16838"/>
          <w:pgMar w:top="1440" w:right="1440" w:bottom="1440" w:left="1440" w:header="708" w:footer="708" w:gutter="0"/>
          <w:cols w:space="708"/>
          <w:docGrid w:linePitch="360"/>
        </w:sectPr>
      </w:pPr>
    </w:p>
    <w:p w14:paraId="22F86E2E" w14:textId="77777777" w:rsidR="00575022" w:rsidRPr="00B64E08" w:rsidRDefault="00575022" w:rsidP="00B619C5">
      <w:pPr>
        <w:pStyle w:val="BodyText"/>
        <w:spacing w:before="102"/>
        <w:ind w:left="700"/>
      </w:pPr>
      <w:r>
        <w:rPr>
          <w:u w:val="single"/>
        </w:rPr>
        <w:lastRenderedPageBreak/>
        <w:t xml:space="preserve">Table 1: </w:t>
      </w:r>
    </w:p>
    <w:p w14:paraId="2FA7A1AB" w14:textId="77777777" w:rsidR="00575022" w:rsidRDefault="00575022" w:rsidP="00B619C5">
      <w:pPr>
        <w:spacing w:line="480" w:lineRule="auto"/>
        <w:jc w:val="both"/>
        <w:rPr>
          <w:b/>
          <w:sz w:val="27"/>
        </w:rPr>
      </w:pPr>
    </w:p>
    <w:tbl>
      <w:tblPr>
        <w:tblW w:w="202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15"/>
        <w:gridCol w:w="1134"/>
        <w:gridCol w:w="1134"/>
        <w:gridCol w:w="1276"/>
        <w:gridCol w:w="1134"/>
        <w:gridCol w:w="1134"/>
        <w:gridCol w:w="1275"/>
        <w:gridCol w:w="1261"/>
        <w:gridCol w:w="1113"/>
        <w:gridCol w:w="1165"/>
        <w:gridCol w:w="1417"/>
        <w:gridCol w:w="972"/>
        <w:gridCol w:w="1134"/>
        <w:gridCol w:w="1134"/>
        <w:gridCol w:w="1134"/>
        <w:gridCol w:w="1134"/>
      </w:tblGrid>
      <w:tr w:rsidR="00575022" w14:paraId="1A8DB3E9" w14:textId="77777777" w:rsidTr="00B619C5">
        <w:trPr>
          <w:trHeight w:val="478"/>
          <w:jc w:val="center"/>
        </w:trPr>
        <w:tc>
          <w:tcPr>
            <w:tcW w:w="2715" w:type="dxa"/>
          </w:tcPr>
          <w:p w14:paraId="4CF1F77C" w14:textId="77777777" w:rsidR="00575022" w:rsidRDefault="00575022" w:rsidP="00B619C5">
            <w:pPr>
              <w:pStyle w:val="TableParagraph"/>
              <w:spacing w:line="240" w:lineRule="auto"/>
              <w:jc w:val="left"/>
              <w:rPr>
                <w:rFonts w:ascii="Times New Roman"/>
                <w:sz w:val="20"/>
              </w:rPr>
            </w:pPr>
          </w:p>
          <w:p w14:paraId="79B02C21" w14:textId="77777777" w:rsidR="00575022" w:rsidRPr="00986FAD" w:rsidRDefault="00575022" w:rsidP="00B619C5">
            <w:pPr>
              <w:pStyle w:val="TableParagraph"/>
              <w:spacing w:line="240" w:lineRule="auto"/>
              <w:jc w:val="left"/>
              <w:rPr>
                <w:rFonts w:ascii="Times New Roman"/>
                <w:i/>
                <w:sz w:val="20"/>
              </w:rPr>
            </w:pPr>
          </w:p>
        </w:tc>
        <w:tc>
          <w:tcPr>
            <w:tcW w:w="1134" w:type="dxa"/>
          </w:tcPr>
          <w:p w14:paraId="7699F741" w14:textId="77777777" w:rsidR="00575022" w:rsidRDefault="00575022" w:rsidP="00B619C5">
            <w:pPr>
              <w:pStyle w:val="TableParagraph"/>
              <w:spacing w:line="224" w:lineRule="exact"/>
              <w:ind w:left="91" w:right="87"/>
              <w:rPr>
                <w:b/>
                <w:sz w:val="20"/>
              </w:rPr>
            </w:pPr>
            <w:r>
              <w:rPr>
                <w:b/>
                <w:sz w:val="20"/>
              </w:rPr>
              <w:t xml:space="preserve">Initial </w:t>
            </w:r>
          </w:p>
          <w:p w14:paraId="0BAF6FD4" w14:textId="7AAC42D6" w:rsidR="00575022" w:rsidRDefault="007A133D" w:rsidP="00B619C5">
            <w:pPr>
              <w:pStyle w:val="TableParagraph"/>
              <w:spacing w:line="224" w:lineRule="exact"/>
              <w:ind w:left="91" w:right="87"/>
              <w:rPr>
                <w:b/>
                <w:sz w:val="20"/>
              </w:rPr>
            </w:pPr>
            <w:r>
              <w:rPr>
                <w:b/>
                <w:sz w:val="20"/>
              </w:rPr>
              <w:t>ß-IFN|GA</w:t>
            </w:r>
            <w:r w:rsidR="00575022">
              <w:rPr>
                <w:b/>
                <w:sz w:val="20"/>
              </w:rPr>
              <w:t xml:space="preserve">, </w:t>
            </w:r>
          </w:p>
          <w:p w14:paraId="6461CB31" w14:textId="77777777" w:rsidR="00575022" w:rsidRPr="00A76B72" w:rsidRDefault="00575022" w:rsidP="00B619C5">
            <w:pPr>
              <w:pStyle w:val="TableParagraph"/>
              <w:spacing w:line="224" w:lineRule="exact"/>
              <w:ind w:left="91" w:right="87"/>
              <w:rPr>
                <w:b/>
                <w:sz w:val="20"/>
              </w:rPr>
            </w:pPr>
            <w:r>
              <w:rPr>
                <w:b/>
                <w:sz w:val="20"/>
              </w:rPr>
              <w:t>n=407</w:t>
            </w:r>
          </w:p>
        </w:tc>
        <w:tc>
          <w:tcPr>
            <w:tcW w:w="1134" w:type="dxa"/>
          </w:tcPr>
          <w:p w14:paraId="16BCF2F7" w14:textId="77777777" w:rsidR="00575022" w:rsidRDefault="00575022" w:rsidP="00B619C5">
            <w:pPr>
              <w:pStyle w:val="TableParagraph"/>
              <w:spacing w:line="242" w:lineRule="exact"/>
              <w:ind w:left="80" w:right="77"/>
              <w:rPr>
                <w:b/>
                <w:sz w:val="20"/>
              </w:rPr>
            </w:pPr>
            <w:r>
              <w:rPr>
                <w:b/>
                <w:sz w:val="20"/>
              </w:rPr>
              <w:t>Initial Untreated,</w:t>
            </w:r>
          </w:p>
          <w:p w14:paraId="69C1B13D" w14:textId="77777777" w:rsidR="00575022" w:rsidRPr="00A76B72" w:rsidRDefault="00575022" w:rsidP="00B619C5">
            <w:pPr>
              <w:pStyle w:val="TableParagraph"/>
              <w:spacing w:line="224" w:lineRule="exact"/>
              <w:ind w:left="80" w:right="81"/>
              <w:rPr>
                <w:b/>
                <w:sz w:val="20"/>
              </w:rPr>
            </w:pPr>
            <w:r>
              <w:rPr>
                <w:b/>
                <w:sz w:val="20"/>
              </w:rPr>
              <w:t>n=213</w:t>
            </w:r>
          </w:p>
        </w:tc>
        <w:tc>
          <w:tcPr>
            <w:tcW w:w="1276" w:type="dxa"/>
            <w:tcBorders>
              <w:right w:val="single" w:sz="18" w:space="0" w:color="000000"/>
            </w:tcBorders>
          </w:tcPr>
          <w:p w14:paraId="46B96440" w14:textId="77777777" w:rsidR="00575022" w:rsidRDefault="00575022" w:rsidP="00B619C5">
            <w:pPr>
              <w:pStyle w:val="TableParagraph"/>
              <w:spacing w:line="224" w:lineRule="exact"/>
              <w:ind w:left="32"/>
              <w:rPr>
                <w:b/>
                <w:sz w:val="20"/>
              </w:rPr>
            </w:pPr>
            <w:r w:rsidRPr="00682442">
              <w:rPr>
                <w:b/>
                <w:sz w:val="20"/>
              </w:rPr>
              <w:t>Standardized Difference</w:t>
            </w:r>
          </w:p>
        </w:tc>
        <w:tc>
          <w:tcPr>
            <w:tcW w:w="1134" w:type="dxa"/>
            <w:tcBorders>
              <w:left w:val="single" w:sz="18" w:space="0" w:color="000000"/>
            </w:tcBorders>
          </w:tcPr>
          <w:p w14:paraId="5147C517" w14:textId="77777777" w:rsidR="00575022" w:rsidRDefault="00575022" w:rsidP="00B619C5">
            <w:pPr>
              <w:pStyle w:val="TableParagraph"/>
              <w:spacing w:line="242" w:lineRule="exact"/>
              <w:ind w:left="75" w:right="77"/>
              <w:rPr>
                <w:b/>
                <w:sz w:val="20"/>
              </w:rPr>
            </w:pPr>
            <w:r>
              <w:rPr>
                <w:b/>
                <w:sz w:val="20"/>
              </w:rPr>
              <w:t xml:space="preserve">Initial </w:t>
            </w:r>
          </w:p>
          <w:p w14:paraId="4960D507" w14:textId="77777777" w:rsidR="00575022" w:rsidRDefault="00575022" w:rsidP="00B619C5">
            <w:pPr>
              <w:pStyle w:val="TableParagraph"/>
              <w:spacing w:line="242" w:lineRule="exact"/>
              <w:ind w:left="75" w:right="77"/>
              <w:rPr>
                <w:b/>
                <w:sz w:val="20"/>
              </w:rPr>
            </w:pPr>
            <w:r>
              <w:rPr>
                <w:b/>
                <w:sz w:val="20"/>
              </w:rPr>
              <w:t>Fingolimod</w:t>
            </w:r>
          </w:p>
          <w:p w14:paraId="22D946EF" w14:textId="77777777" w:rsidR="00575022" w:rsidRPr="00A76B72" w:rsidRDefault="00575022" w:rsidP="00B619C5">
            <w:pPr>
              <w:pStyle w:val="TableParagraph"/>
              <w:spacing w:line="224" w:lineRule="exact"/>
              <w:ind w:left="72" w:right="77"/>
              <w:rPr>
                <w:b/>
                <w:sz w:val="20"/>
              </w:rPr>
            </w:pPr>
            <w:r>
              <w:rPr>
                <w:b/>
                <w:sz w:val="20"/>
              </w:rPr>
              <w:t>n=85</w:t>
            </w:r>
          </w:p>
        </w:tc>
        <w:tc>
          <w:tcPr>
            <w:tcW w:w="1134" w:type="dxa"/>
          </w:tcPr>
          <w:p w14:paraId="04830D0E" w14:textId="77777777" w:rsidR="00575022" w:rsidRDefault="00575022" w:rsidP="00B619C5">
            <w:pPr>
              <w:pStyle w:val="TableParagraph"/>
              <w:spacing w:line="242" w:lineRule="exact"/>
              <w:ind w:left="80" w:right="80"/>
              <w:rPr>
                <w:b/>
                <w:sz w:val="20"/>
              </w:rPr>
            </w:pPr>
            <w:r>
              <w:rPr>
                <w:b/>
                <w:sz w:val="20"/>
              </w:rPr>
              <w:t>Untreated,</w:t>
            </w:r>
          </w:p>
          <w:p w14:paraId="3298777A" w14:textId="77777777" w:rsidR="00575022" w:rsidRPr="00986FAD" w:rsidRDefault="00575022" w:rsidP="00B619C5">
            <w:pPr>
              <w:pStyle w:val="TableParagraph"/>
              <w:spacing w:line="224" w:lineRule="exact"/>
              <w:ind w:left="80" w:right="82"/>
              <w:rPr>
                <w:i/>
                <w:sz w:val="20"/>
              </w:rPr>
            </w:pPr>
            <w:r>
              <w:rPr>
                <w:b/>
                <w:sz w:val="20"/>
              </w:rPr>
              <w:t>n=174</w:t>
            </w:r>
          </w:p>
        </w:tc>
        <w:tc>
          <w:tcPr>
            <w:tcW w:w="1275" w:type="dxa"/>
            <w:tcBorders>
              <w:right w:val="single" w:sz="18" w:space="0" w:color="000000"/>
            </w:tcBorders>
          </w:tcPr>
          <w:p w14:paraId="1E2C4F4D" w14:textId="77777777" w:rsidR="00575022" w:rsidRDefault="00575022" w:rsidP="00B619C5">
            <w:pPr>
              <w:pStyle w:val="TableParagraph"/>
              <w:spacing w:line="224" w:lineRule="exact"/>
              <w:ind w:left="29"/>
              <w:rPr>
                <w:b/>
                <w:sz w:val="20"/>
              </w:rPr>
            </w:pPr>
            <w:r w:rsidRPr="00682442">
              <w:rPr>
                <w:b/>
                <w:sz w:val="20"/>
              </w:rPr>
              <w:t>Standardized Difference</w:t>
            </w:r>
          </w:p>
        </w:tc>
        <w:tc>
          <w:tcPr>
            <w:tcW w:w="1261" w:type="dxa"/>
            <w:tcBorders>
              <w:left w:val="single" w:sz="18" w:space="0" w:color="000000"/>
            </w:tcBorders>
          </w:tcPr>
          <w:p w14:paraId="24EAF77E" w14:textId="77777777" w:rsidR="00575022" w:rsidRDefault="00575022" w:rsidP="00B619C5">
            <w:pPr>
              <w:pStyle w:val="TableParagraph"/>
              <w:spacing w:line="242" w:lineRule="exact"/>
              <w:ind w:left="73" w:right="84"/>
              <w:rPr>
                <w:b/>
                <w:sz w:val="20"/>
              </w:rPr>
            </w:pPr>
            <w:r>
              <w:rPr>
                <w:b/>
                <w:sz w:val="20"/>
              </w:rPr>
              <w:t>Initial Natalizumab</w:t>
            </w:r>
          </w:p>
          <w:p w14:paraId="6525714A" w14:textId="77777777" w:rsidR="00575022" w:rsidRPr="00986FAD" w:rsidRDefault="00575022" w:rsidP="00B619C5">
            <w:pPr>
              <w:pStyle w:val="TableParagraph"/>
              <w:spacing w:line="224" w:lineRule="exact"/>
              <w:ind w:left="64" w:right="84"/>
              <w:rPr>
                <w:i/>
                <w:sz w:val="20"/>
              </w:rPr>
            </w:pPr>
            <w:r>
              <w:rPr>
                <w:b/>
                <w:sz w:val="20"/>
              </w:rPr>
              <w:t>n=82</w:t>
            </w:r>
          </w:p>
        </w:tc>
        <w:tc>
          <w:tcPr>
            <w:tcW w:w="1113" w:type="dxa"/>
          </w:tcPr>
          <w:p w14:paraId="68781FE3" w14:textId="77777777" w:rsidR="00575022" w:rsidRDefault="00575022" w:rsidP="00B619C5">
            <w:pPr>
              <w:pStyle w:val="TableParagraph"/>
              <w:spacing w:line="242" w:lineRule="exact"/>
              <w:ind w:left="79" w:right="84"/>
              <w:rPr>
                <w:b/>
                <w:sz w:val="20"/>
              </w:rPr>
            </w:pPr>
            <w:r>
              <w:rPr>
                <w:b/>
                <w:sz w:val="20"/>
              </w:rPr>
              <w:t>Untreated</w:t>
            </w:r>
          </w:p>
          <w:p w14:paraId="636C38E8" w14:textId="77777777" w:rsidR="00575022" w:rsidRPr="00986FAD" w:rsidRDefault="00575022" w:rsidP="00B619C5">
            <w:pPr>
              <w:pStyle w:val="TableParagraph"/>
              <w:spacing w:line="224" w:lineRule="exact"/>
              <w:ind w:left="73" w:right="84"/>
              <w:rPr>
                <w:i/>
                <w:sz w:val="20"/>
              </w:rPr>
            </w:pPr>
            <w:r>
              <w:rPr>
                <w:b/>
                <w:sz w:val="20"/>
              </w:rPr>
              <w:t>n=164</w:t>
            </w:r>
          </w:p>
        </w:tc>
        <w:tc>
          <w:tcPr>
            <w:tcW w:w="1165" w:type="dxa"/>
            <w:tcBorders>
              <w:right w:val="single" w:sz="18" w:space="0" w:color="000000"/>
            </w:tcBorders>
          </w:tcPr>
          <w:p w14:paraId="49CFF645" w14:textId="77777777" w:rsidR="00575022" w:rsidRDefault="00575022" w:rsidP="00B619C5">
            <w:pPr>
              <w:pStyle w:val="TableParagraph"/>
              <w:spacing w:line="224" w:lineRule="exact"/>
              <w:ind w:left="18"/>
              <w:rPr>
                <w:b/>
                <w:sz w:val="20"/>
              </w:rPr>
            </w:pPr>
            <w:r w:rsidRPr="00682442">
              <w:rPr>
                <w:b/>
                <w:sz w:val="20"/>
              </w:rPr>
              <w:t>Standardized Difference</w:t>
            </w:r>
          </w:p>
        </w:tc>
        <w:tc>
          <w:tcPr>
            <w:tcW w:w="1417" w:type="dxa"/>
            <w:tcBorders>
              <w:left w:val="single" w:sz="18" w:space="0" w:color="000000"/>
            </w:tcBorders>
          </w:tcPr>
          <w:p w14:paraId="4A2794AD" w14:textId="77777777" w:rsidR="00575022" w:rsidRDefault="00575022" w:rsidP="00B619C5">
            <w:pPr>
              <w:pStyle w:val="TableParagraph"/>
              <w:spacing w:line="242" w:lineRule="exact"/>
              <w:ind w:left="63" w:right="85"/>
              <w:rPr>
                <w:b/>
                <w:sz w:val="20"/>
              </w:rPr>
            </w:pPr>
            <w:r>
              <w:rPr>
                <w:b/>
                <w:sz w:val="20"/>
              </w:rPr>
              <w:t>Initial Alemtuzumab</w:t>
            </w:r>
          </w:p>
          <w:p w14:paraId="6B7F81FE" w14:textId="77777777" w:rsidR="00575022" w:rsidRPr="00986FAD" w:rsidRDefault="00575022" w:rsidP="00B619C5">
            <w:pPr>
              <w:pStyle w:val="TableParagraph"/>
              <w:spacing w:line="224" w:lineRule="exact"/>
              <w:ind w:left="63" w:right="84"/>
              <w:rPr>
                <w:i/>
                <w:sz w:val="20"/>
              </w:rPr>
            </w:pPr>
            <w:r>
              <w:rPr>
                <w:b/>
                <w:sz w:val="20"/>
              </w:rPr>
              <w:t>n=44</w:t>
            </w:r>
          </w:p>
        </w:tc>
        <w:tc>
          <w:tcPr>
            <w:tcW w:w="972" w:type="dxa"/>
          </w:tcPr>
          <w:p w14:paraId="15AAE29D" w14:textId="77777777" w:rsidR="00575022" w:rsidRDefault="00575022" w:rsidP="00B619C5">
            <w:pPr>
              <w:pStyle w:val="TableParagraph"/>
              <w:spacing w:line="242" w:lineRule="exact"/>
              <w:ind w:left="75" w:right="83"/>
              <w:rPr>
                <w:b/>
                <w:sz w:val="20"/>
              </w:rPr>
            </w:pPr>
            <w:r>
              <w:rPr>
                <w:b/>
                <w:sz w:val="20"/>
              </w:rPr>
              <w:t>Untreated</w:t>
            </w:r>
          </w:p>
          <w:p w14:paraId="57C465E5" w14:textId="77777777" w:rsidR="00575022" w:rsidRPr="00A76B72" w:rsidRDefault="00575022" w:rsidP="00B619C5">
            <w:pPr>
              <w:pStyle w:val="TableParagraph"/>
              <w:spacing w:line="224" w:lineRule="exact"/>
              <w:ind w:left="70" w:right="83"/>
              <w:rPr>
                <w:b/>
                <w:sz w:val="20"/>
              </w:rPr>
            </w:pPr>
            <w:r>
              <w:rPr>
                <w:b/>
                <w:sz w:val="20"/>
              </w:rPr>
              <w:t>n=92</w:t>
            </w:r>
          </w:p>
        </w:tc>
        <w:tc>
          <w:tcPr>
            <w:tcW w:w="1134" w:type="dxa"/>
            <w:tcBorders>
              <w:right w:val="single" w:sz="18" w:space="0" w:color="000000"/>
            </w:tcBorders>
          </w:tcPr>
          <w:p w14:paraId="2485D943" w14:textId="77777777" w:rsidR="00575022" w:rsidRDefault="00575022" w:rsidP="00B619C5">
            <w:pPr>
              <w:pStyle w:val="TableParagraph"/>
              <w:spacing w:line="224" w:lineRule="exact"/>
              <w:ind w:right="1"/>
              <w:rPr>
                <w:b/>
                <w:sz w:val="20"/>
              </w:rPr>
            </w:pPr>
            <w:r w:rsidRPr="00682442">
              <w:rPr>
                <w:b/>
                <w:sz w:val="20"/>
              </w:rPr>
              <w:t>Standardized Difference</w:t>
            </w:r>
          </w:p>
        </w:tc>
        <w:tc>
          <w:tcPr>
            <w:tcW w:w="1134" w:type="dxa"/>
            <w:tcBorders>
              <w:left w:val="single" w:sz="18" w:space="0" w:color="000000"/>
            </w:tcBorders>
          </w:tcPr>
          <w:p w14:paraId="3DEC955D" w14:textId="77777777" w:rsidR="00575022" w:rsidRDefault="00575022" w:rsidP="00B619C5">
            <w:pPr>
              <w:kinsoku w:val="0"/>
              <w:overflowPunct w:val="0"/>
              <w:spacing w:before="3" w:line="235" w:lineRule="auto"/>
              <w:ind w:left="129"/>
              <w:jc w:val="center"/>
              <w:rPr>
                <w:b/>
                <w:sz w:val="20"/>
              </w:rPr>
            </w:pPr>
            <w:r>
              <w:rPr>
                <w:b/>
                <w:sz w:val="20"/>
              </w:rPr>
              <w:t xml:space="preserve">Initial </w:t>
            </w:r>
          </w:p>
          <w:p w14:paraId="382AE934" w14:textId="663E3E2D" w:rsidR="00575022" w:rsidRDefault="006408F9" w:rsidP="00B619C5">
            <w:pPr>
              <w:kinsoku w:val="0"/>
              <w:overflowPunct w:val="0"/>
              <w:spacing w:before="3" w:line="235" w:lineRule="auto"/>
              <w:ind w:left="129"/>
              <w:jc w:val="center"/>
            </w:pPr>
            <w:r>
              <w:rPr>
                <w:b/>
                <w:bCs/>
                <w:sz w:val="20"/>
                <w:szCs w:val="20"/>
              </w:rPr>
              <w:t xml:space="preserve">ß-IFN|GA </w:t>
            </w:r>
            <w:r w:rsidR="00575022" w:rsidRPr="008943EF">
              <w:rPr>
                <w:b/>
                <w:bCs/>
                <w:sz w:val="20"/>
                <w:szCs w:val="20"/>
              </w:rPr>
              <w:t>within</w:t>
            </w:r>
            <w:r w:rsidR="00575022">
              <w:rPr>
                <w:b/>
                <w:bCs/>
                <w:sz w:val="20"/>
                <w:szCs w:val="20"/>
              </w:rPr>
              <w:t xml:space="preserve"> </w:t>
            </w:r>
            <w:r w:rsidR="00575022" w:rsidRPr="008943EF">
              <w:rPr>
                <w:b/>
                <w:bCs/>
                <w:sz w:val="20"/>
                <w:szCs w:val="20"/>
              </w:rPr>
              <w:t>5y, n=1</w:t>
            </w:r>
            <w:r w:rsidR="00575022">
              <w:rPr>
                <w:b/>
                <w:bCs/>
                <w:sz w:val="20"/>
                <w:szCs w:val="20"/>
              </w:rPr>
              <w:t>20</w:t>
            </w:r>
          </w:p>
        </w:tc>
        <w:tc>
          <w:tcPr>
            <w:tcW w:w="1134" w:type="dxa"/>
          </w:tcPr>
          <w:p w14:paraId="61413041" w14:textId="77777777" w:rsidR="00575022" w:rsidRDefault="00575022" w:rsidP="00B619C5">
            <w:pPr>
              <w:kinsoku w:val="0"/>
              <w:overflowPunct w:val="0"/>
              <w:spacing w:before="3" w:line="235" w:lineRule="auto"/>
              <w:ind w:left="118" w:right="120"/>
              <w:jc w:val="center"/>
              <w:rPr>
                <w:b/>
                <w:sz w:val="20"/>
              </w:rPr>
            </w:pPr>
            <w:r>
              <w:rPr>
                <w:b/>
                <w:sz w:val="20"/>
              </w:rPr>
              <w:t>Initial</w:t>
            </w:r>
          </w:p>
          <w:p w14:paraId="1CE50894" w14:textId="7CE4259A" w:rsidR="00575022" w:rsidRPr="008943EF" w:rsidRDefault="007A133D" w:rsidP="00B619C5">
            <w:pPr>
              <w:kinsoku w:val="0"/>
              <w:overflowPunct w:val="0"/>
              <w:spacing w:before="3" w:line="235" w:lineRule="auto"/>
              <w:ind w:left="118" w:right="120"/>
              <w:rPr>
                <w:b/>
                <w:bCs/>
                <w:sz w:val="20"/>
                <w:szCs w:val="20"/>
              </w:rPr>
            </w:pPr>
            <w:r>
              <w:rPr>
                <w:b/>
                <w:bCs/>
                <w:sz w:val="20"/>
                <w:szCs w:val="20"/>
              </w:rPr>
              <w:t>ß-IFN|GA</w:t>
            </w:r>
          </w:p>
          <w:p w14:paraId="1986DCE0" w14:textId="77777777" w:rsidR="00575022" w:rsidRDefault="00575022" w:rsidP="00B619C5">
            <w:pPr>
              <w:jc w:val="center"/>
            </w:pPr>
            <w:r w:rsidRPr="008943EF">
              <w:rPr>
                <w:b/>
                <w:bCs/>
                <w:sz w:val="20"/>
                <w:szCs w:val="20"/>
              </w:rPr>
              <w:t>after 5y, n=</w:t>
            </w:r>
            <w:r>
              <w:rPr>
                <w:b/>
                <w:bCs/>
                <w:sz w:val="20"/>
                <w:szCs w:val="20"/>
              </w:rPr>
              <w:t>38</w:t>
            </w:r>
          </w:p>
        </w:tc>
        <w:tc>
          <w:tcPr>
            <w:tcW w:w="1134" w:type="dxa"/>
            <w:tcBorders>
              <w:right w:val="single" w:sz="18" w:space="0" w:color="000000"/>
            </w:tcBorders>
          </w:tcPr>
          <w:p w14:paraId="65D43F4F" w14:textId="77777777" w:rsidR="00575022" w:rsidRDefault="00575022" w:rsidP="00B619C5">
            <w:pPr>
              <w:jc w:val="center"/>
            </w:pPr>
            <w:r w:rsidRPr="00682442">
              <w:rPr>
                <w:b/>
                <w:bCs/>
                <w:sz w:val="20"/>
                <w:szCs w:val="20"/>
              </w:rPr>
              <w:t>Standardized Difference</w:t>
            </w:r>
          </w:p>
        </w:tc>
      </w:tr>
      <w:tr w:rsidR="00575022" w14:paraId="035DE191" w14:textId="77777777" w:rsidTr="00B619C5">
        <w:trPr>
          <w:trHeight w:val="320"/>
          <w:jc w:val="center"/>
        </w:trPr>
        <w:tc>
          <w:tcPr>
            <w:tcW w:w="2715" w:type="dxa"/>
          </w:tcPr>
          <w:p w14:paraId="493BAEF0" w14:textId="77777777" w:rsidR="00575022" w:rsidRDefault="00575022" w:rsidP="00B619C5">
            <w:pPr>
              <w:pStyle w:val="TableParagraph"/>
              <w:spacing w:before="74"/>
              <w:ind w:left="110"/>
              <w:jc w:val="left"/>
              <w:rPr>
                <w:b/>
                <w:sz w:val="20"/>
              </w:rPr>
            </w:pPr>
            <w:r>
              <w:rPr>
                <w:b/>
                <w:sz w:val="20"/>
              </w:rPr>
              <w:t>Age, years</w:t>
            </w:r>
          </w:p>
          <w:p w14:paraId="11B2F6FF" w14:textId="77777777" w:rsidR="00575022" w:rsidRDefault="00575022" w:rsidP="00B619C5">
            <w:pPr>
              <w:pStyle w:val="TableParagraph"/>
              <w:spacing w:before="74"/>
              <w:ind w:left="110"/>
              <w:jc w:val="left"/>
              <w:rPr>
                <w:b/>
                <w:sz w:val="20"/>
              </w:rPr>
            </w:pPr>
            <w:r>
              <w:rPr>
                <w:b/>
                <w:sz w:val="20"/>
              </w:rPr>
              <w:t xml:space="preserve">   Mean (SD)</w:t>
            </w:r>
          </w:p>
        </w:tc>
        <w:tc>
          <w:tcPr>
            <w:tcW w:w="1134" w:type="dxa"/>
          </w:tcPr>
          <w:p w14:paraId="19BA44E5" w14:textId="77777777" w:rsidR="00575022" w:rsidRDefault="00575022" w:rsidP="00B619C5">
            <w:pPr>
              <w:pStyle w:val="TableParagraph"/>
              <w:spacing w:before="74"/>
              <w:ind w:left="91" w:right="87"/>
              <w:rPr>
                <w:sz w:val="20"/>
              </w:rPr>
            </w:pPr>
            <w:r>
              <w:rPr>
                <w:sz w:val="20"/>
              </w:rPr>
              <w:t>35 (8)</w:t>
            </w:r>
          </w:p>
        </w:tc>
        <w:tc>
          <w:tcPr>
            <w:tcW w:w="1134" w:type="dxa"/>
          </w:tcPr>
          <w:p w14:paraId="19F1B7C5" w14:textId="77777777" w:rsidR="00575022" w:rsidRDefault="00575022" w:rsidP="00B619C5">
            <w:pPr>
              <w:pStyle w:val="TableParagraph"/>
              <w:spacing w:before="74"/>
              <w:ind w:left="80" w:right="80"/>
              <w:rPr>
                <w:sz w:val="20"/>
              </w:rPr>
            </w:pPr>
            <w:r>
              <w:rPr>
                <w:sz w:val="20"/>
              </w:rPr>
              <w:t>35 (8)</w:t>
            </w:r>
          </w:p>
        </w:tc>
        <w:tc>
          <w:tcPr>
            <w:tcW w:w="1276" w:type="dxa"/>
            <w:tcBorders>
              <w:right w:val="single" w:sz="18" w:space="0" w:color="000000"/>
            </w:tcBorders>
          </w:tcPr>
          <w:p w14:paraId="6923CB58" w14:textId="77777777" w:rsidR="00575022" w:rsidRDefault="00575022" w:rsidP="00B619C5">
            <w:pPr>
              <w:pStyle w:val="TableParagraph"/>
              <w:spacing w:before="72" w:line="228" w:lineRule="exact"/>
              <w:ind w:left="32"/>
              <w:rPr>
                <w:sz w:val="20"/>
              </w:rPr>
            </w:pPr>
            <w:r>
              <w:rPr>
                <w:sz w:val="20"/>
              </w:rPr>
              <w:t>0</w:t>
            </w:r>
          </w:p>
        </w:tc>
        <w:tc>
          <w:tcPr>
            <w:tcW w:w="1134" w:type="dxa"/>
            <w:tcBorders>
              <w:left w:val="single" w:sz="18" w:space="0" w:color="000000"/>
            </w:tcBorders>
          </w:tcPr>
          <w:p w14:paraId="1D3CD373" w14:textId="77777777" w:rsidR="00575022" w:rsidRDefault="00575022" w:rsidP="00B619C5">
            <w:pPr>
              <w:pStyle w:val="TableParagraph"/>
              <w:spacing w:before="74"/>
              <w:ind w:left="70" w:right="77"/>
              <w:rPr>
                <w:sz w:val="20"/>
              </w:rPr>
            </w:pPr>
            <w:r>
              <w:rPr>
                <w:sz w:val="20"/>
              </w:rPr>
              <w:t>39 (12)</w:t>
            </w:r>
          </w:p>
        </w:tc>
        <w:tc>
          <w:tcPr>
            <w:tcW w:w="1134" w:type="dxa"/>
          </w:tcPr>
          <w:p w14:paraId="4188AC82" w14:textId="77777777" w:rsidR="00575022" w:rsidRDefault="00575022" w:rsidP="00B619C5">
            <w:pPr>
              <w:pStyle w:val="TableParagraph"/>
              <w:spacing w:before="74"/>
              <w:ind w:left="80" w:right="83"/>
              <w:rPr>
                <w:sz w:val="20"/>
              </w:rPr>
            </w:pPr>
            <w:r>
              <w:rPr>
                <w:sz w:val="20"/>
              </w:rPr>
              <w:t>39 (10)</w:t>
            </w:r>
          </w:p>
        </w:tc>
        <w:tc>
          <w:tcPr>
            <w:tcW w:w="1275" w:type="dxa"/>
            <w:tcBorders>
              <w:right w:val="single" w:sz="18" w:space="0" w:color="000000"/>
            </w:tcBorders>
          </w:tcPr>
          <w:p w14:paraId="334EC6E0" w14:textId="77777777" w:rsidR="00575022" w:rsidRDefault="00575022" w:rsidP="00B619C5">
            <w:pPr>
              <w:pStyle w:val="TableParagraph"/>
              <w:spacing w:before="74"/>
              <w:ind w:left="24"/>
              <w:rPr>
                <w:sz w:val="20"/>
              </w:rPr>
            </w:pPr>
            <w:r>
              <w:rPr>
                <w:sz w:val="20"/>
              </w:rPr>
              <w:t>0</w:t>
            </w:r>
          </w:p>
        </w:tc>
        <w:tc>
          <w:tcPr>
            <w:tcW w:w="1261" w:type="dxa"/>
            <w:tcBorders>
              <w:left w:val="single" w:sz="18" w:space="0" w:color="000000"/>
            </w:tcBorders>
          </w:tcPr>
          <w:p w14:paraId="70305C6F" w14:textId="77777777" w:rsidR="00575022" w:rsidRDefault="00575022" w:rsidP="00B619C5">
            <w:pPr>
              <w:pStyle w:val="TableParagraph"/>
              <w:spacing w:before="74"/>
              <w:ind w:left="64" w:right="84"/>
              <w:rPr>
                <w:sz w:val="20"/>
              </w:rPr>
            </w:pPr>
            <w:r>
              <w:rPr>
                <w:sz w:val="20"/>
              </w:rPr>
              <w:t>39 (9)</w:t>
            </w:r>
          </w:p>
        </w:tc>
        <w:tc>
          <w:tcPr>
            <w:tcW w:w="1113" w:type="dxa"/>
          </w:tcPr>
          <w:p w14:paraId="0A56FF18" w14:textId="77777777" w:rsidR="00575022" w:rsidRDefault="00575022" w:rsidP="00B619C5">
            <w:pPr>
              <w:pStyle w:val="TableParagraph"/>
              <w:spacing w:before="74"/>
              <w:ind w:left="72" w:right="84"/>
              <w:rPr>
                <w:sz w:val="20"/>
              </w:rPr>
            </w:pPr>
            <w:r>
              <w:rPr>
                <w:sz w:val="20"/>
              </w:rPr>
              <w:t>38 (9)</w:t>
            </w:r>
          </w:p>
        </w:tc>
        <w:tc>
          <w:tcPr>
            <w:tcW w:w="1165" w:type="dxa"/>
            <w:tcBorders>
              <w:right w:val="single" w:sz="18" w:space="0" w:color="000000"/>
            </w:tcBorders>
          </w:tcPr>
          <w:p w14:paraId="4684FD6E" w14:textId="77777777" w:rsidR="00575022" w:rsidRDefault="00575022" w:rsidP="00B619C5">
            <w:pPr>
              <w:pStyle w:val="TableParagraph"/>
              <w:spacing w:before="74"/>
              <w:ind w:left="81" w:right="68"/>
              <w:rPr>
                <w:sz w:val="20"/>
              </w:rPr>
            </w:pPr>
            <w:r>
              <w:rPr>
                <w:sz w:val="20"/>
              </w:rPr>
              <w:t>0.03</w:t>
            </w:r>
          </w:p>
        </w:tc>
        <w:tc>
          <w:tcPr>
            <w:tcW w:w="1417" w:type="dxa"/>
            <w:tcBorders>
              <w:left w:val="single" w:sz="18" w:space="0" w:color="000000"/>
            </w:tcBorders>
          </w:tcPr>
          <w:p w14:paraId="76FB4A43" w14:textId="77777777" w:rsidR="00575022" w:rsidRDefault="00575022" w:rsidP="00B619C5">
            <w:pPr>
              <w:pStyle w:val="TableParagraph"/>
              <w:spacing w:before="74"/>
              <w:ind w:left="63" w:right="84"/>
              <w:rPr>
                <w:sz w:val="20"/>
              </w:rPr>
            </w:pPr>
            <w:r>
              <w:rPr>
                <w:sz w:val="20"/>
              </w:rPr>
              <w:t>35 (8)</w:t>
            </w:r>
          </w:p>
        </w:tc>
        <w:tc>
          <w:tcPr>
            <w:tcW w:w="972" w:type="dxa"/>
          </w:tcPr>
          <w:p w14:paraId="215CDC5C" w14:textId="77777777" w:rsidR="00575022" w:rsidRDefault="00575022" w:rsidP="00B619C5">
            <w:pPr>
              <w:pStyle w:val="TableParagraph"/>
              <w:spacing w:before="74"/>
              <w:ind w:left="69" w:right="83"/>
              <w:rPr>
                <w:sz w:val="20"/>
              </w:rPr>
            </w:pPr>
            <w:r>
              <w:rPr>
                <w:sz w:val="20"/>
              </w:rPr>
              <w:t>35 (7)</w:t>
            </w:r>
          </w:p>
        </w:tc>
        <w:tc>
          <w:tcPr>
            <w:tcW w:w="1134" w:type="dxa"/>
            <w:tcBorders>
              <w:right w:val="single" w:sz="18" w:space="0" w:color="000000"/>
            </w:tcBorders>
          </w:tcPr>
          <w:p w14:paraId="027E7E2E" w14:textId="77777777" w:rsidR="00575022" w:rsidRDefault="00575022" w:rsidP="00B619C5">
            <w:pPr>
              <w:pStyle w:val="TableParagraph"/>
              <w:spacing w:before="74"/>
              <w:ind w:left="79" w:right="83"/>
              <w:rPr>
                <w:sz w:val="20"/>
              </w:rPr>
            </w:pPr>
            <w:r>
              <w:rPr>
                <w:sz w:val="20"/>
              </w:rPr>
              <w:t>0.08</w:t>
            </w:r>
          </w:p>
        </w:tc>
        <w:tc>
          <w:tcPr>
            <w:tcW w:w="1134" w:type="dxa"/>
            <w:tcBorders>
              <w:left w:val="single" w:sz="18" w:space="0" w:color="000000"/>
            </w:tcBorders>
          </w:tcPr>
          <w:p w14:paraId="49BB6C7F" w14:textId="77777777" w:rsidR="00575022" w:rsidRPr="000B05BB" w:rsidRDefault="00575022" w:rsidP="00B619C5">
            <w:pPr>
              <w:pStyle w:val="TableParagraph"/>
              <w:rPr>
                <w:sz w:val="20"/>
                <w:szCs w:val="20"/>
              </w:rPr>
            </w:pPr>
            <w:r w:rsidRPr="000B05BB">
              <w:rPr>
                <w:sz w:val="20"/>
                <w:szCs w:val="20"/>
              </w:rPr>
              <w:t>30 (7)</w:t>
            </w:r>
          </w:p>
        </w:tc>
        <w:tc>
          <w:tcPr>
            <w:tcW w:w="1134" w:type="dxa"/>
          </w:tcPr>
          <w:p w14:paraId="363E3069" w14:textId="77777777" w:rsidR="00575022" w:rsidRPr="000B05BB" w:rsidRDefault="00575022" w:rsidP="00B619C5">
            <w:pPr>
              <w:pStyle w:val="TableParagraph"/>
              <w:rPr>
                <w:sz w:val="20"/>
                <w:szCs w:val="20"/>
              </w:rPr>
            </w:pPr>
            <w:r w:rsidRPr="000B05BB">
              <w:rPr>
                <w:sz w:val="20"/>
                <w:szCs w:val="20"/>
              </w:rPr>
              <w:t>31 (7)</w:t>
            </w:r>
          </w:p>
        </w:tc>
        <w:tc>
          <w:tcPr>
            <w:tcW w:w="1134" w:type="dxa"/>
            <w:tcBorders>
              <w:right w:val="single" w:sz="18" w:space="0" w:color="000000"/>
            </w:tcBorders>
          </w:tcPr>
          <w:p w14:paraId="0AD408AF" w14:textId="77777777" w:rsidR="00575022" w:rsidRPr="000B05BB" w:rsidRDefault="00575022" w:rsidP="00B619C5">
            <w:pPr>
              <w:pStyle w:val="TableParagraph"/>
              <w:rPr>
                <w:sz w:val="20"/>
                <w:szCs w:val="20"/>
              </w:rPr>
            </w:pPr>
            <w:r w:rsidRPr="000B05BB">
              <w:rPr>
                <w:sz w:val="20"/>
                <w:szCs w:val="20"/>
              </w:rPr>
              <w:t>0.14</w:t>
            </w:r>
          </w:p>
        </w:tc>
      </w:tr>
      <w:tr w:rsidR="00575022" w14:paraId="1D76C713" w14:textId="77777777" w:rsidTr="00B619C5">
        <w:trPr>
          <w:trHeight w:val="320"/>
          <w:jc w:val="center"/>
        </w:trPr>
        <w:tc>
          <w:tcPr>
            <w:tcW w:w="2715" w:type="dxa"/>
          </w:tcPr>
          <w:p w14:paraId="43A32FCC" w14:textId="77777777" w:rsidR="00575022" w:rsidRDefault="00575022" w:rsidP="00B619C5">
            <w:pPr>
              <w:pStyle w:val="TableParagraph"/>
              <w:spacing w:before="74"/>
              <w:ind w:left="110"/>
              <w:jc w:val="left"/>
              <w:rPr>
                <w:b/>
                <w:sz w:val="20"/>
              </w:rPr>
            </w:pPr>
            <w:r>
              <w:rPr>
                <w:b/>
                <w:sz w:val="20"/>
              </w:rPr>
              <w:t xml:space="preserve">Sex, </w:t>
            </w:r>
          </w:p>
          <w:p w14:paraId="666D80D2" w14:textId="77777777" w:rsidR="00575022" w:rsidRDefault="00575022" w:rsidP="00B619C5">
            <w:pPr>
              <w:pStyle w:val="TableParagraph"/>
              <w:spacing w:before="74"/>
              <w:ind w:left="110"/>
              <w:jc w:val="left"/>
              <w:rPr>
                <w:b/>
                <w:sz w:val="20"/>
              </w:rPr>
            </w:pPr>
            <w:r>
              <w:rPr>
                <w:b/>
                <w:sz w:val="20"/>
              </w:rPr>
              <w:t>Female, Number (%)</w:t>
            </w:r>
          </w:p>
          <w:p w14:paraId="11F3DEB8" w14:textId="77777777" w:rsidR="00575022" w:rsidRDefault="00575022" w:rsidP="00B619C5">
            <w:pPr>
              <w:pStyle w:val="TableParagraph"/>
              <w:spacing w:before="74"/>
              <w:ind w:left="110"/>
              <w:jc w:val="left"/>
              <w:rPr>
                <w:b/>
                <w:sz w:val="20"/>
              </w:rPr>
            </w:pPr>
            <w:r>
              <w:rPr>
                <w:b/>
                <w:sz w:val="20"/>
              </w:rPr>
              <w:t>Male, Number (%)</w:t>
            </w:r>
          </w:p>
        </w:tc>
        <w:tc>
          <w:tcPr>
            <w:tcW w:w="1134" w:type="dxa"/>
          </w:tcPr>
          <w:p w14:paraId="53B3F7EF" w14:textId="77777777" w:rsidR="00575022" w:rsidRDefault="00575022" w:rsidP="00B619C5">
            <w:pPr>
              <w:pStyle w:val="TableParagraph"/>
              <w:spacing w:before="74"/>
              <w:ind w:left="91" w:right="77"/>
              <w:rPr>
                <w:sz w:val="20"/>
              </w:rPr>
            </w:pPr>
          </w:p>
          <w:p w14:paraId="3A3B636B" w14:textId="77777777" w:rsidR="00575022" w:rsidRDefault="00575022" w:rsidP="00B619C5">
            <w:pPr>
              <w:pStyle w:val="TableParagraph"/>
              <w:spacing w:before="74"/>
              <w:ind w:left="91" w:right="77"/>
              <w:rPr>
                <w:sz w:val="20"/>
              </w:rPr>
            </w:pPr>
            <w:r>
              <w:rPr>
                <w:sz w:val="20"/>
              </w:rPr>
              <w:t>292 (72%)</w:t>
            </w:r>
          </w:p>
          <w:p w14:paraId="1361C050" w14:textId="77777777" w:rsidR="00575022" w:rsidRDefault="00575022" w:rsidP="00B619C5">
            <w:pPr>
              <w:pStyle w:val="TableParagraph"/>
              <w:spacing w:before="74"/>
              <w:ind w:left="91" w:right="77"/>
              <w:rPr>
                <w:sz w:val="20"/>
              </w:rPr>
            </w:pPr>
            <w:r>
              <w:rPr>
                <w:sz w:val="20"/>
              </w:rPr>
              <w:t>115 (28%)</w:t>
            </w:r>
          </w:p>
        </w:tc>
        <w:tc>
          <w:tcPr>
            <w:tcW w:w="1134" w:type="dxa"/>
          </w:tcPr>
          <w:p w14:paraId="281B78A2" w14:textId="77777777" w:rsidR="00575022" w:rsidRDefault="00575022" w:rsidP="00B619C5">
            <w:pPr>
              <w:pStyle w:val="TableParagraph"/>
              <w:spacing w:before="74"/>
              <w:ind w:left="80" w:right="75"/>
              <w:rPr>
                <w:sz w:val="20"/>
              </w:rPr>
            </w:pPr>
          </w:p>
          <w:p w14:paraId="40EFA1D6" w14:textId="77777777" w:rsidR="00575022" w:rsidRDefault="00575022" w:rsidP="00B619C5">
            <w:pPr>
              <w:pStyle w:val="TableParagraph"/>
              <w:spacing w:before="74"/>
              <w:ind w:left="80" w:right="75"/>
              <w:rPr>
                <w:sz w:val="20"/>
              </w:rPr>
            </w:pPr>
            <w:r>
              <w:rPr>
                <w:sz w:val="20"/>
              </w:rPr>
              <w:t>155 (73%)</w:t>
            </w:r>
          </w:p>
          <w:p w14:paraId="4420776B" w14:textId="77777777" w:rsidR="00575022" w:rsidRDefault="00575022" w:rsidP="00B619C5">
            <w:pPr>
              <w:pStyle w:val="TableParagraph"/>
              <w:spacing w:before="74"/>
              <w:ind w:left="80" w:right="75"/>
              <w:rPr>
                <w:sz w:val="20"/>
              </w:rPr>
            </w:pPr>
            <w:r>
              <w:rPr>
                <w:sz w:val="20"/>
              </w:rPr>
              <w:t>58 (27%)</w:t>
            </w:r>
          </w:p>
        </w:tc>
        <w:tc>
          <w:tcPr>
            <w:tcW w:w="1276" w:type="dxa"/>
            <w:tcBorders>
              <w:right w:val="single" w:sz="18" w:space="0" w:color="000000"/>
            </w:tcBorders>
          </w:tcPr>
          <w:p w14:paraId="2C921432" w14:textId="77777777" w:rsidR="00575022" w:rsidRDefault="00575022" w:rsidP="00B619C5">
            <w:pPr>
              <w:pStyle w:val="TableParagraph"/>
              <w:spacing w:before="74"/>
              <w:ind w:left="84" w:right="33"/>
              <w:rPr>
                <w:sz w:val="20"/>
              </w:rPr>
            </w:pPr>
          </w:p>
          <w:p w14:paraId="7B1D9136" w14:textId="77777777" w:rsidR="00575022" w:rsidRDefault="00575022" w:rsidP="00B619C5">
            <w:pPr>
              <w:pStyle w:val="TableParagraph"/>
              <w:spacing w:before="74"/>
              <w:ind w:left="84" w:right="33"/>
              <w:rPr>
                <w:sz w:val="20"/>
              </w:rPr>
            </w:pPr>
            <w:r>
              <w:rPr>
                <w:sz w:val="20"/>
              </w:rPr>
              <w:t>0.05</w:t>
            </w:r>
          </w:p>
        </w:tc>
        <w:tc>
          <w:tcPr>
            <w:tcW w:w="1134" w:type="dxa"/>
            <w:tcBorders>
              <w:left w:val="single" w:sz="18" w:space="0" w:color="000000"/>
            </w:tcBorders>
          </w:tcPr>
          <w:p w14:paraId="3858B6A9" w14:textId="77777777" w:rsidR="00575022" w:rsidRDefault="00575022" w:rsidP="00B619C5">
            <w:pPr>
              <w:pStyle w:val="TableParagraph"/>
              <w:spacing w:before="74"/>
              <w:ind w:left="69" w:right="77"/>
              <w:rPr>
                <w:sz w:val="20"/>
              </w:rPr>
            </w:pPr>
          </w:p>
          <w:p w14:paraId="3E64368E" w14:textId="77777777" w:rsidR="00575022" w:rsidRDefault="00575022" w:rsidP="00B619C5">
            <w:pPr>
              <w:pStyle w:val="TableParagraph"/>
              <w:spacing w:before="74"/>
              <w:ind w:left="69" w:right="77"/>
              <w:rPr>
                <w:sz w:val="20"/>
              </w:rPr>
            </w:pPr>
            <w:r>
              <w:rPr>
                <w:sz w:val="20"/>
              </w:rPr>
              <w:t>59 (69%)</w:t>
            </w:r>
          </w:p>
          <w:p w14:paraId="258DB22A" w14:textId="77777777" w:rsidR="00575022" w:rsidRDefault="00575022" w:rsidP="00B619C5">
            <w:pPr>
              <w:pStyle w:val="TableParagraph"/>
              <w:spacing w:before="74"/>
              <w:ind w:left="69" w:right="77"/>
              <w:rPr>
                <w:sz w:val="20"/>
              </w:rPr>
            </w:pPr>
            <w:r>
              <w:rPr>
                <w:sz w:val="20"/>
              </w:rPr>
              <w:t>26 (31%)</w:t>
            </w:r>
          </w:p>
        </w:tc>
        <w:tc>
          <w:tcPr>
            <w:tcW w:w="1134" w:type="dxa"/>
          </w:tcPr>
          <w:p w14:paraId="47F8C129" w14:textId="77777777" w:rsidR="00575022" w:rsidRDefault="00575022" w:rsidP="00B619C5">
            <w:pPr>
              <w:pStyle w:val="TableParagraph"/>
              <w:spacing w:before="74"/>
              <w:ind w:left="80" w:right="77"/>
              <w:rPr>
                <w:sz w:val="20"/>
              </w:rPr>
            </w:pPr>
          </w:p>
          <w:p w14:paraId="2D171BCF" w14:textId="77777777" w:rsidR="00575022" w:rsidRDefault="00575022" w:rsidP="00B619C5">
            <w:pPr>
              <w:pStyle w:val="TableParagraph"/>
              <w:spacing w:before="74"/>
              <w:ind w:left="80" w:right="77"/>
              <w:rPr>
                <w:sz w:val="20"/>
              </w:rPr>
            </w:pPr>
            <w:r>
              <w:rPr>
                <w:sz w:val="20"/>
              </w:rPr>
              <w:t>127 (73%)</w:t>
            </w:r>
          </w:p>
          <w:p w14:paraId="6A92ACD6" w14:textId="77777777" w:rsidR="00575022" w:rsidRDefault="00575022" w:rsidP="00B619C5">
            <w:pPr>
              <w:pStyle w:val="TableParagraph"/>
              <w:spacing w:before="74"/>
              <w:ind w:left="80" w:right="77"/>
              <w:rPr>
                <w:sz w:val="20"/>
              </w:rPr>
            </w:pPr>
            <w:r>
              <w:rPr>
                <w:sz w:val="20"/>
              </w:rPr>
              <w:t>47 (27%)</w:t>
            </w:r>
          </w:p>
        </w:tc>
        <w:tc>
          <w:tcPr>
            <w:tcW w:w="1275" w:type="dxa"/>
            <w:tcBorders>
              <w:right w:val="single" w:sz="18" w:space="0" w:color="000000"/>
            </w:tcBorders>
          </w:tcPr>
          <w:p w14:paraId="17FD8960" w14:textId="77777777" w:rsidR="00575022" w:rsidRDefault="00575022" w:rsidP="00B619C5">
            <w:pPr>
              <w:pStyle w:val="TableParagraph"/>
              <w:spacing w:before="74"/>
              <w:ind w:left="67" w:right="59"/>
              <w:rPr>
                <w:sz w:val="20"/>
              </w:rPr>
            </w:pPr>
          </w:p>
          <w:p w14:paraId="748BF679" w14:textId="77777777" w:rsidR="00575022" w:rsidRDefault="00575022" w:rsidP="00B619C5">
            <w:pPr>
              <w:pStyle w:val="TableParagraph"/>
              <w:spacing w:before="74"/>
              <w:ind w:left="67" w:right="59"/>
              <w:rPr>
                <w:sz w:val="20"/>
              </w:rPr>
            </w:pPr>
            <w:r>
              <w:rPr>
                <w:sz w:val="20"/>
              </w:rPr>
              <w:t>0.04</w:t>
            </w:r>
          </w:p>
        </w:tc>
        <w:tc>
          <w:tcPr>
            <w:tcW w:w="1261" w:type="dxa"/>
            <w:tcBorders>
              <w:left w:val="single" w:sz="18" w:space="0" w:color="000000"/>
            </w:tcBorders>
          </w:tcPr>
          <w:p w14:paraId="387B6E8D" w14:textId="77777777" w:rsidR="00575022" w:rsidRDefault="00575022" w:rsidP="00B619C5">
            <w:pPr>
              <w:pStyle w:val="TableParagraph"/>
              <w:spacing w:before="74"/>
              <w:ind w:left="68" w:right="84"/>
              <w:rPr>
                <w:sz w:val="20"/>
              </w:rPr>
            </w:pPr>
          </w:p>
          <w:p w14:paraId="724CF4F5" w14:textId="77777777" w:rsidR="00575022" w:rsidRDefault="00575022" w:rsidP="00B619C5">
            <w:pPr>
              <w:pStyle w:val="TableParagraph"/>
              <w:spacing w:before="74"/>
              <w:ind w:left="68" w:right="84"/>
              <w:rPr>
                <w:sz w:val="20"/>
              </w:rPr>
            </w:pPr>
            <w:r>
              <w:rPr>
                <w:sz w:val="20"/>
              </w:rPr>
              <w:t>54 (66%)</w:t>
            </w:r>
          </w:p>
          <w:p w14:paraId="0D5E3DC3" w14:textId="77777777" w:rsidR="00575022" w:rsidRDefault="00575022" w:rsidP="00B619C5">
            <w:pPr>
              <w:pStyle w:val="TableParagraph"/>
              <w:spacing w:before="74"/>
              <w:ind w:left="68" w:right="84"/>
              <w:rPr>
                <w:sz w:val="20"/>
              </w:rPr>
            </w:pPr>
            <w:r>
              <w:rPr>
                <w:sz w:val="20"/>
              </w:rPr>
              <w:t>28 (34%)</w:t>
            </w:r>
          </w:p>
        </w:tc>
        <w:tc>
          <w:tcPr>
            <w:tcW w:w="1113" w:type="dxa"/>
          </w:tcPr>
          <w:p w14:paraId="737424E6" w14:textId="77777777" w:rsidR="00575022" w:rsidRDefault="00575022" w:rsidP="00B619C5">
            <w:pPr>
              <w:pStyle w:val="TableParagraph"/>
              <w:spacing w:before="74"/>
              <w:ind w:left="79" w:right="81"/>
              <w:rPr>
                <w:sz w:val="20"/>
              </w:rPr>
            </w:pPr>
          </w:p>
          <w:p w14:paraId="49B87B33" w14:textId="77777777" w:rsidR="00575022" w:rsidRDefault="00575022" w:rsidP="00B619C5">
            <w:pPr>
              <w:pStyle w:val="TableParagraph"/>
              <w:spacing w:before="74"/>
              <w:ind w:left="79" w:right="81"/>
              <w:rPr>
                <w:sz w:val="20"/>
              </w:rPr>
            </w:pPr>
            <w:r>
              <w:rPr>
                <w:sz w:val="20"/>
              </w:rPr>
              <w:t>108 (66%)</w:t>
            </w:r>
          </w:p>
          <w:p w14:paraId="455B1FE1" w14:textId="77777777" w:rsidR="00575022" w:rsidRDefault="00575022" w:rsidP="00B619C5">
            <w:pPr>
              <w:pStyle w:val="TableParagraph"/>
              <w:spacing w:before="74"/>
              <w:ind w:left="79" w:right="81"/>
              <w:rPr>
                <w:sz w:val="20"/>
              </w:rPr>
            </w:pPr>
            <w:r>
              <w:rPr>
                <w:sz w:val="20"/>
              </w:rPr>
              <w:t>56 (34%)</w:t>
            </w:r>
          </w:p>
        </w:tc>
        <w:tc>
          <w:tcPr>
            <w:tcW w:w="1165" w:type="dxa"/>
            <w:tcBorders>
              <w:right w:val="single" w:sz="18" w:space="0" w:color="000000"/>
            </w:tcBorders>
          </w:tcPr>
          <w:p w14:paraId="53E2D819" w14:textId="77777777" w:rsidR="00575022" w:rsidRDefault="00575022" w:rsidP="00B619C5">
            <w:pPr>
              <w:pStyle w:val="TableParagraph"/>
              <w:spacing w:before="74"/>
              <w:ind w:left="69" w:right="69"/>
              <w:rPr>
                <w:sz w:val="20"/>
              </w:rPr>
            </w:pPr>
          </w:p>
          <w:p w14:paraId="40891D5C" w14:textId="77777777" w:rsidR="00575022" w:rsidRDefault="00575022" w:rsidP="00B619C5">
            <w:pPr>
              <w:pStyle w:val="TableParagraph"/>
              <w:spacing w:before="74"/>
              <w:ind w:left="69" w:right="69"/>
              <w:rPr>
                <w:sz w:val="20"/>
              </w:rPr>
            </w:pPr>
            <w:r>
              <w:rPr>
                <w:sz w:val="20"/>
              </w:rPr>
              <w:t>0.06</w:t>
            </w:r>
          </w:p>
        </w:tc>
        <w:tc>
          <w:tcPr>
            <w:tcW w:w="1417" w:type="dxa"/>
            <w:tcBorders>
              <w:left w:val="single" w:sz="18" w:space="0" w:color="000000"/>
            </w:tcBorders>
          </w:tcPr>
          <w:p w14:paraId="673829F0" w14:textId="77777777" w:rsidR="00575022" w:rsidRDefault="00575022" w:rsidP="00B619C5">
            <w:pPr>
              <w:pStyle w:val="TableParagraph"/>
              <w:spacing w:before="74"/>
              <w:ind w:left="62" w:right="85"/>
              <w:rPr>
                <w:sz w:val="20"/>
              </w:rPr>
            </w:pPr>
          </w:p>
          <w:p w14:paraId="70ADBC05" w14:textId="77777777" w:rsidR="00575022" w:rsidRDefault="00575022" w:rsidP="00B619C5">
            <w:pPr>
              <w:pStyle w:val="TableParagraph"/>
              <w:spacing w:before="74"/>
              <w:ind w:left="62" w:right="85"/>
              <w:rPr>
                <w:sz w:val="20"/>
              </w:rPr>
            </w:pPr>
            <w:r>
              <w:rPr>
                <w:sz w:val="20"/>
              </w:rPr>
              <w:t>30 (68%)</w:t>
            </w:r>
          </w:p>
          <w:p w14:paraId="5412F1DE" w14:textId="77777777" w:rsidR="00575022" w:rsidRDefault="00575022" w:rsidP="00B619C5">
            <w:pPr>
              <w:pStyle w:val="TableParagraph"/>
              <w:spacing w:before="74"/>
              <w:ind w:left="62" w:right="85"/>
              <w:rPr>
                <w:sz w:val="20"/>
              </w:rPr>
            </w:pPr>
            <w:r>
              <w:rPr>
                <w:sz w:val="20"/>
              </w:rPr>
              <w:t>14 (32%)</w:t>
            </w:r>
          </w:p>
        </w:tc>
        <w:tc>
          <w:tcPr>
            <w:tcW w:w="972" w:type="dxa"/>
          </w:tcPr>
          <w:p w14:paraId="75D5BAC5" w14:textId="77777777" w:rsidR="00575022" w:rsidRDefault="00575022" w:rsidP="00B619C5">
            <w:pPr>
              <w:pStyle w:val="TableParagraph"/>
              <w:spacing w:before="74"/>
              <w:ind w:left="77" w:right="83"/>
              <w:rPr>
                <w:sz w:val="20"/>
              </w:rPr>
            </w:pPr>
          </w:p>
          <w:p w14:paraId="236B11B4" w14:textId="77777777" w:rsidR="00575022" w:rsidRDefault="00575022" w:rsidP="00B619C5">
            <w:pPr>
              <w:pStyle w:val="TableParagraph"/>
              <w:spacing w:before="74"/>
              <w:ind w:left="77" w:right="83"/>
              <w:rPr>
                <w:sz w:val="20"/>
              </w:rPr>
            </w:pPr>
            <w:r>
              <w:rPr>
                <w:sz w:val="20"/>
              </w:rPr>
              <w:t>65 (71%)</w:t>
            </w:r>
          </w:p>
          <w:p w14:paraId="5D92DCDD" w14:textId="77777777" w:rsidR="00575022" w:rsidRDefault="00575022" w:rsidP="00B619C5">
            <w:pPr>
              <w:pStyle w:val="TableParagraph"/>
              <w:spacing w:before="74"/>
              <w:ind w:left="77" w:right="83"/>
              <w:rPr>
                <w:sz w:val="20"/>
              </w:rPr>
            </w:pPr>
            <w:r>
              <w:rPr>
                <w:sz w:val="20"/>
              </w:rPr>
              <w:t>27 (29%)</w:t>
            </w:r>
          </w:p>
        </w:tc>
        <w:tc>
          <w:tcPr>
            <w:tcW w:w="1134" w:type="dxa"/>
            <w:tcBorders>
              <w:right w:val="single" w:sz="18" w:space="0" w:color="000000"/>
            </w:tcBorders>
          </w:tcPr>
          <w:p w14:paraId="662FE625" w14:textId="77777777" w:rsidR="00575022" w:rsidRDefault="00575022" w:rsidP="00B619C5">
            <w:pPr>
              <w:pStyle w:val="TableParagraph"/>
              <w:spacing w:before="74"/>
              <w:ind w:left="79" w:right="83"/>
              <w:rPr>
                <w:sz w:val="20"/>
              </w:rPr>
            </w:pPr>
          </w:p>
          <w:p w14:paraId="569D0DCE" w14:textId="77777777" w:rsidR="00575022" w:rsidRDefault="00575022" w:rsidP="00B619C5">
            <w:pPr>
              <w:pStyle w:val="TableParagraph"/>
              <w:spacing w:before="74"/>
              <w:ind w:left="79" w:right="83"/>
              <w:rPr>
                <w:sz w:val="20"/>
              </w:rPr>
            </w:pPr>
            <w:r>
              <w:rPr>
                <w:sz w:val="20"/>
              </w:rPr>
              <w:t>0.04</w:t>
            </w:r>
          </w:p>
        </w:tc>
        <w:tc>
          <w:tcPr>
            <w:tcW w:w="1134" w:type="dxa"/>
            <w:tcBorders>
              <w:left w:val="single" w:sz="18" w:space="0" w:color="000000"/>
            </w:tcBorders>
          </w:tcPr>
          <w:p w14:paraId="6227750C" w14:textId="77777777" w:rsidR="00575022" w:rsidRDefault="00575022" w:rsidP="00B619C5">
            <w:pPr>
              <w:pStyle w:val="TableParagraph"/>
              <w:rPr>
                <w:sz w:val="20"/>
                <w:szCs w:val="20"/>
              </w:rPr>
            </w:pPr>
          </w:p>
          <w:p w14:paraId="1EC225B4" w14:textId="77777777" w:rsidR="00575022" w:rsidRDefault="00575022" w:rsidP="00B619C5">
            <w:pPr>
              <w:pStyle w:val="TableParagraph"/>
              <w:rPr>
                <w:sz w:val="20"/>
                <w:szCs w:val="20"/>
              </w:rPr>
            </w:pPr>
          </w:p>
          <w:p w14:paraId="192D23CA" w14:textId="77777777" w:rsidR="00575022" w:rsidRDefault="00575022" w:rsidP="00B619C5">
            <w:pPr>
              <w:pStyle w:val="TableParagraph"/>
              <w:rPr>
                <w:sz w:val="20"/>
                <w:szCs w:val="20"/>
              </w:rPr>
            </w:pPr>
            <w:r w:rsidRPr="000B05BB">
              <w:rPr>
                <w:sz w:val="20"/>
                <w:szCs w:val="20"/>
              </w:rPr>
              <w:t>88 (73%)</w:t>
            </w:r>
          </w:p>
          <w:p w14:paraId="73C2B51A" w14:textId="77777777" w:rsidR="00575022" w:rsidRPr="000B05BB" w:rsidRDefault="00575022" w:rsidP="00B619C5">
            <w:pPr>
              <w:pStyle w:val="TableParagraph"/>
              <w:rPr>
                <w:sz w:val="20"/>
                <w:szCs w:val="20"/>
              </w:rPr>
            </w:pPr>
            <w:r>
              <w:rPr>
                <w:sz w:val="20"/>
                <w:szCs w:val="20"/>
              </w:rPr>
              <w:t>32 (27%)</w:t>
            </w:r>
          </w:p>
        </w:tc>
        <w:tc>
          <w:tcPr>
            <w:tcW w:w="1134" w:type="dxa"/>
          </w:tcPr>
          <w:p w14:paraId="0FAA938B" w14:textId="77777777" w:rsidR="00575022" w:rsidRDefault="00575022" w:rsidP="00B619C5">
            <w:pPr>
              <w:pStyle w:val="TableParagraph"/>
              <w:rPr>
                <w:sz w:val="20"/>
                <w:szCs w:val="20"/>
              </w:rPr>
            </w:pPr>
          </w:p>
          <w:p w14:paraId="1DEB00F5" w14:textId="77777777" w:rsidR="00575022" w:rsidRPr="000B05BB" w:rsidRDefault="00575022" w:rsidP="00B619C5">
            <w:pPr>
              <w:pStyle w:val="TableParagraph"/>
              <w:rPr>
                <w:sz w:val="20"/>
                <w:szCs w:val="20"/>
              </w:rPr>
            </w:pPr>
          </w:p>
          <w:p w14:paraId="5B907917" w14:textId="77777777" w:rsidR="00575022" w:rsidRDefault="00575022" w:rsidP="00B619C5">
            <w:pPr>
              <w:pStyle w:val="TableParagraph"/>
              <w:rPr>
                <w:sz w:val="20"/>
                <w:szCs w:val="20"/>
              </w:rPr>
            </w:pPr>
            <w:r w:rsidRPr="000B05BB">
              <w:rPr>
                <w:sz w:val="20"/>
                <w:szCs w:val="20"/>
              </w:rPr>
              <w:t>27 (70%)</w:t>
            </w:r>
          </w:p>
          <w:p w14:paraId="50824923" w14:textId="77777777" w:rsidR="00575022" w:rsidRPr="000B05BB" w:rsidRDefault="00575022" w:rsidP="00B619C5">
            <w:pPr>
              <w:pStyle w:val="TableParagraph"/>
              <w:rPr>
                <w:sz w:val="20"/>
                <w:szCs w:val="20"/>
              </w:rPr>
            </w:pPr>
            <w:r>
              <w:rPr>
                <w:sz w:val="20"/>
                <w:szCs w:val="20"/>
              </w:rPr>
              <w:t>11 (30%)</w:t>
            </w:r>
          </w:p>
        </w:tc>
        <w:tc>
          <w:tcPr>
            <w:tcW w:w="1134" w:type="dxa"/>
            <w:tcBorders>
              <w:right w:val="single" w:sz="18" w:space="0" w:color="000000"/>
            </w:tcBorders>
          </w:tcPr>
          <w:p w14:paraId="313C9F21" w14:textId="77777777" w:rsidR="00575022" w:rsidRPr="000B05BB" w:rsidRDefault="00575022" w:rsidP="00B619C5">
            <w:pPr>
              <w:pStyle w:val="TableParagraph"/>
              <w:rPr>
                <w:sz w:val="20"/>
                <w:szCs w:val="20"/>
              </w:rPr>
            </w:pPr>
          </w:p>
          <w:p w14:paraId="7DB17F8A" w14:textId="77777777" w:rsidR="00575022" w:rsidRPr="000B05BB" w:rsidRDefault="00575022" w:rsidP="00B619C5">
            <w:pPr>
              <w:pStyle w:val="TableParagraph"/>
              <w:rPr>
                <w:sz w:val="20"/>
                <w:szCs w:val="20"/>
              </w:rPr>
            </w:pPr>
            <w:r w:rsidRPr="000B05BB">
              <w:rPr>
                <w:sz w:val="20"/>
                <w:szCs w:val="20"/>
              </w:rPr>
              <w:t>0.06</w:t>
            </w:r>
          </w:p>
        </w:tc>
      </w:tr>
      <w:tr w:rsidR="00575022" w14:paraId="1DAD95C9" w14:textId="77777777" w:rsidTr="00B619C5">
        <w:trPr>
          <w:trHeight w:val="490"/>
          <w:jc w:val="center"/>
        </w:trPr>
        <w:tc>
          <w:tcPr>
            <w:tcW w:w="2715" w:type="dxa"/>
          </w:tcPr>
          <w:p w14:paraId="70BFD3C7" w14:textId="77777777" w:rsidR="00575022" w:rsidRDefault="00575022" w:rsidP="00B619C5">
            <w:pPr>
              <w:pStyle w:val="TableParagraph"/>
              <w:spacing w:line="244" w:lineRule="exact"/>
              <w:ind w:left="110"/>
              <w:jc w:val="left"/>
              <w:rPr>
                <w:b/>
                <w:sz w:val="20"/>
              </w:rPr>
            </w:pPr>
            <w:r>
              <w:rPr>
                <w:b/>
                <w:sz w:val="20"/>
              </w:rPr>
              <w:t>Disease duration, years</w:t>
            </w:r>
          </w:p>
          <w:p w14:paraId="0A2C7C1F" w14:textId="77777777" w:rsidR="00575022" w:rsidRDefault="00575022" w:rsidP="00B619C5">
            <w:pPr>
              <w:pStyle w:val="TableParagraph"/>
              <w:spacing w:line="244" w:lineRule="exact"/>
              <w:ind w:left="110"/>
              <w:jc w:val="left"/>
              <w:rPr>
                <w:b/>
                <w:sz w:val="20"/>
              </w:rPr>
            </w:pPr>
            <w:r>
              <w:rPr>
                <w:b/>
                <w:sz w:val="20"/>
              </w:rPr>
              <w:t xml:space="preserve">   Median (IQR)</w:t>
            </w:r>
          </w:p>
        </w:tc>
        <w:tc>
          <w:tcPr>
            <w:tcW w:w="1134" w:type="dxa"/>
          </w:tcPr>
          <w:p w14:paraId="67A26A6E" w14:textId="77777777" w:rsidR="00575022" w:rsidRDefault="00575022" w:rsidP="00B619C5">
            <w:pPr>
              <w:pStyle w:val="TableParagraph"/>
              <w:spacing w:line="244" w:lineRule="exact"/>
              <w:ind w:left="91" w:right="81"/>
              <w:rPr>
                <w:sz w:val="20"/>
              </w:rPr>
            </w:pPr>
            <w:r>
              <w:rPr>
                <w:sz w:val="20"/>
              </w:rPr>
              <w:t>5.7</w:t>
            </w:r>
          </w:p>
          <w:p w14:paraId="5CD9EE80" w14:textId="77777777" w:rsidR="00575022" w:rsidRDefault="00575022" w:rsidP="00B619C5">
            <w:pPr>
              <w:pStyle w:val="TableParagraph"/>
              <w:spacing w:before="1"/>
              <w:ind w:left="91" w:right="87"/>
              <w:rPr>
                <w:sz w:val="20"/>
              </w:rPr>
            </w:pPr>
            <w:r>
              <w:rPr>
                <w:sz w:val="20"/>
              </w:rPr>
              <w:t>(3.1 - 10.5)</w:t>
            </w:r>
          </w:p>
        </w:tc>
        <w:tc>
          <w:tcPr>
            <w:tcW w:w="1134" w:type="dxa"/>
          </w:tcPr>
          <w:p w14:paraId="2F9F9DF6" w14:textId="77777777" w:rsidR="00575022" w:rsidRDefault="00575022" w:rsidP="00B619C5">
            <w:pPr>
              <w:pStyle w:val="TableParagraph"/>
              <w:spacing w:line="244" w:lineRule="exact"/>
              <w:ind w:left="80" w:right="77"/>
              <w:rPr>
                <w:sz w:val="20"/>
              </w:rPr>
            </w:pPr>
            <w:r>
              <w:rPr>
                <w:sz w:val="20"/>
              </w:rPr>
              <w:t>5.1</w:t>
            </w:r>
          </w:p>
          <w:p w14:paraId="197BAAB4" w14:textId="77777777" w:rsidR="00575022" w:rsidRDefault="00575022" w:rsidP="00B619C5">
            <w:pPr>
              <w:pStyle w:val="TableParagraph"/>
              <w:spacing w:before="1"/>
              <w:ind w:left="80" w:right="80"/>
              <w:rPr>
                <w:sz w:val="20"/>
              </w:rPr>
            </w:pPr>
            <w:r>
              <w:rPr>
                <w:sz w:val="20"/>
              </w:rPr>
              <w:t>(2 - 9.8)</w:t>
            </w:r>
          </w:p>
        </w:tc>
        <w:tc>
          <w:tcPr>
            <w:tcW w:w="1276" w:type="dxa"/>
            <w:tcBorders>
              <w:right w:val="single" w:sz="18" w:space="0" w:color="000000"/>
            </w:tcBorders>
          </w:tcPr>
          <w:p w14:paraId="3850880B" w14:textId="77777777" w:rsidR="00575022" w:rsidRDefault="00575022" w:rsidP="00B619C5">
            <w:pPr>
              <w:pStyle w:val="TableParagraph"/>
              <w:spacing w:line="244" w:lineRule="exact"/>
              <w:ind w:left="84" w:right="3"/>
              <w:rPr>
                <w:sz w:val="20"/>
              </w:rPr>
            </w:pPr>
            <w:r>
              <w:rPr>
                <w:sz w:val="20"/>
              </w:rPr>
              <w:t>0.05</w:t>
            </w:r>
          </w:p>
        </w:tc>
        <w:tc>
          <w:tcPr>
            <w:tcW w:w="1134" w:type="dxa"/>
            <w:tcBorders>
              <w:left w:val="single" w:sz="18" w:space="0" w:color="000000"/>
            </w:tcBorders>
          </w:tcPr>
          <w:p w14:paraId="047FE0DF" w14:textId="77777777" w:rsidR="00575022" w:rsidRDefault="00575022" w:rsidP="00B619C5">
            <w:pPr>
              <w:pStyle w:val="TableParagraph"/>
              <w:spacing w:line="244" w:lineRule="exact"/>
              <w:ind w:left="75" w:right="76"/>
              <w:rPr>
                <w:sz w:val="20"/>
              </w:rPr>
            </w:pPr>
            <w:r>
              <w:rPr>
                <w:sz w:val="20"/>
              </w:rPr>
              <w:t>4.9</w:t>
            </w:r>
          </w:p>
          <w:p w14:paraId="38E27A71" w14:textId="77777777" w:rsidR="00575022" w:rsidRDefault="00575022" w:rsidP="00B619C5">
            <w:pPr>
              <w:pStyle w:val="TableParagraph"/>
              <w:spacing w:before="1"/>
              <w:ind w:left="71" w:right="77"/>
              <w:rPr>
                <w:sz w:val="20"/>
              </w:rPr>
            </w:pPr>
            <w:r>
              <w:rPr>
                <w:sz w:val="20"/>
              </w:rPr>
              <w:t>(1.7 - 9.7)</w:t>
            </w:r>
          </w:p>
        </w:tc>
        <w:tc>
          <w:tcPr>
            <w:tcW w:w="1134" w:type="dxa"/>
          </w:tcPr>
          <w:p w14:paraId="63801A10" w14:textId="77777777" w:rsidR="00575022" w:rsidRDefault="00575022" w:rsidP="00B619C5">
            <w:pPr>
              <w:pStyle w:val="TableParagraph"/>
              <w:spacing w:line="244" w:lineRule="exact"/>
              <w:ind w:left="80" w:right="79"/>
              <w:rPr>
                <w:sz w:val="20"/>
              </w:rPr>
            </w:pPr>
            <w:r>
              <w:rPr>
                <w:sz w:val="20"/>
              </w:rPr>
              <w:t>5.1</w:t>
            </w:r>
          </w:p>
          <w:p w14:paraId="4474CFEC" w14:textId="77777777" w:rsidR="00575022" w:rsidRDefault="00575022" w:rsidP="00B619C5">
            <w:pPr>
              <w:pStyle w:val="TableParagraph"/>
              <w:spacing w:before="1"/>
              <w:ind w:left="80" w:right="81"/>
              <w:rPr>
                <w:sz w:val="20"/>
              </w:rPr>
            </w:pPr>
            <w:r>
              <w:rPr>
                <w:sz w:val="20"/>
              </w:rPr>
              <w:t>(2.1 - 9)</w:t>
            </w:r>
          </w:p>
        </w:tc>
        <w:tc>
          <w:tcPr>
            <w:tcW w:w="1275" w:type="dxa"/>
            <w:tcBorders>
              <w:right w:val="single" w:sz="18" w:space="0" w:color="000000"/>
            </w:tcBorders>
          </w:tcPr>
          <w:p w14:paraId="50597117" w14:textId="77777777" w:rsidR="00575022" w:rsidRDefault="00575022" w:rsidP="00B619C5">
            <w:pPr>
              <w:pStyle w:val="TableParagraph"/>
              <w:spacing w:line="244" w:lineRule="exact"/>
              <w:ind w:left="50" w:right="59"/>
              <w:rPr>
                <w:sz w:val="20"/>
              </w:rPr>
            </w:pPr>
            <w:r>
              <w:rPr>
                <w:sz w:val="20"/>
              </w:rPr>
              <w:t>0.03</w:t>
            </w:r>
          </w:p>
        </w:tc>
        <w:tc>
          <w:tcPr>
            <w:tcW w:w="1261" w:type="dxa"/>
            <w:tcBorders>
              <w:left w:val="single" w:sz="18" w:space="0" w:color="000000"/>
            </w:tcBorders>
          </w:tcPr>
          <w:p w14:paraId="12546FD3" w14:textId="77777777" w:rsidR="00575022" w:rsidRDefault="00575022" w:rsidP="00B619C5">
            <w:pPr>
              <w:pStyle w:val="TableParagraph"/>
              <w:spacing w:line="244" w:lineRule="exact"/>
              <w:ind w:left="70" w:right="84"/>
              <w:rPr>
                <w:sz w:val="20"/>
              </w:rPr>
            </w:pPr>
            <w:r>
              <w:rPr>
                <w:sz w:val="20"/>
              </w:rPr>
              <w:t>6.2</w:t>
            </w:r>
          </w:p>
          <w:p w14:paraId="4C52BDC7" w14:textId="77777777" w:rsidR="00575022" w:rsidRDefault="00575022" w:rsidP="00B619C5">
            <w:pPr>
              <w:pStyle w:val="TableParagraph"/>
              <w:spacing w:before="1"/>
              <w:ind w:left="73" w:right="47"/>
              <w:rPr>
                <w:sz w:val="20"/>
              </w:rPr>
            </w:pPr>
            <w:r>
              <w:rPr>
                <w:sz w:val="20"/>
              </w:rPr>
              <w:t>(2 - 10.5)</w:t>
            </w:r>
          </w:p>
        </w:tc>
        <w:tc>
          <w:tcPr>
            <w:tcW w:w="1113" w:type="dxa"/>
          </w:tcPr>
          <w:p w14:paraId="1D476A1D" w14:textId="77777777" w:rsidR="00575022" w:rsidRDefault="00575022" w:rsidP="00B619C5">
            <w:pPr>
              <w:pStyle w:val="TableParagraph"/>
              <w:spacing w:line="244" w:lineRule="exact"/>
              <w:ind w:left="78" w:right="84"/>
              <w:rPr>
                <w:sz w:val="20"/>
              </w:rPr>
            </w:pPr>
            <w:r>
              <w:rPr>
                <w:sz w:val="20"/>
              </w:rPr>
              <w:t>5.2</w:t>
            </w:r>
          </w:p>
          <w:p w14:paraId="57BEA6D0" w14:textId="77777777" w:rsidR="00575022" w:rsidRDefault="00575022" w:rsidP="00B619C5">
            <w:pPr>
              <w:pStyle w:val="TableParagraph"/>
              <w:spacing w:before="1"/>
              <w:ind w:left="72" w:right="84"/>
              <w:rPr>
                <w:sz w:val="20"/>
              </w:rPr>
            </w:pPr>
            <w:r>
              <w:rPr>
                <w:sz w:val="20"/>
              </w:rPr>
              <w:t>(2.3 - 8.9)</w:t>
            </w:r>
          </w:p>
        </w:tc>
        <w:tc>
          <w:tcPr>
            <w:tcW w:w="1165" w:type="dxa"/>
            <w:tcBorders>
              <w:right w:val="single" w:sz="18" w:space="0" w:color="000000"/>
            </w:tcBorders>
          </w:tcPr>
          <w:p w14:paraId="48124FF4" w14:textId="77777777" w:rsidR="00575022" w:rsidRDefault="00575022" w:rsidP="00B619C5">
            <w:pPr>
              <w:pStyle w:val="TableParagraph"/>
              <w:spacing w:line="244" w:lineRule="exact"/>
              <w:ind w:left="81" w:right="64"/>
              <w:rPr>
                <w:sz w:val="20"/>
              </w:rPr>
            </w:pPr>
            <w:r>
              <w:rPr>
                <w:sz w:val="20"/>
              </w:rPr>
              <w:t>0.15</w:t>
            </w:r>
          </w:p>
        </w:tc>
        <w:tc>
          <w:tcPr>
            <w:tcW w:w="1417" w:type="dxa"/>
            <w:tcBorders>
              <w:left w:val="single" w:sz="18" w:space="0" w:color="000000"/>
            </w:tcBorders>
          </w:tcPr>
          <w:p w14:paraId="01922E0B" w14:textId="77777777" w:rsidR="00575022" w:rsidRDefault="00575022" w:rsidP="00B619C5">
            <w:pPr>
              <w:pStyle w:val="TableParagraph"/>
              <w:spacing w:line="244" w:lineRule="exact"/>
              <w:ind w:left="63" w:right="78"/>
              <w:rPr>
                <w:sz w:val="20"/>
              </w:rPr>
            </w:pPr>
            <w:r>
              <w:rPr>
                <w:sz w:val="20"/>
              </w:rPr>
              <w:t>3.2</w:t>
            </w:r>
          </w:p>
          <w:p w14:paraId="5FFD0CC6" w14:textId="77777777" w:rsidR="00575022" w:rsidRDefault="00575022" w:rsidP="00B619C5">
            <w:pPr>
              <w:pStyle w:val="TableParagraph"/>
              <w:spacing w:before="1"/>
              <w:ind w:left="59" w:right="85"/>
              <w:rPr>
                <w:sz w:val="20"/>
              </w:rPr>
            </w:pPr>
            <w:r>
              <w:rPr>
                <w:sz w:val="20"/>
              </w:rPr>
              <w:t>(2 - 5.8)</w:t>
            </w:r>
          </w:p>
        </w:tc>
        <w:tc>
          <w:tcPr>
            <w:tcW w:w="972" w:type="dxa"/>
          </w:tcPr>
          <w:p w14:paraId="09DFEB4A" w14:textId="77777777" w:rsidR="00575022" w:rsidRDefault="00575022" w:rsidP="00B619C5">
            <w:pPr>
              <w:pStyle w:val="TableParagraph"/>
              <w:spacing w:line="244" w:lineRule="exact"/>
              <w:ind w:left="75" w:right="83"/>
              <w:rPr>
                <w:sz w:val="20"/>
              </w:rPr>
            </w:pPr>
            <w:r>
              <w:rPr>
                <w:sz w:val="20"/>
              </w:rPr>
              <w:t>3.8</w:t>
            </w:r>
          </w:p>
          <w:p w14:paraId="6E522F46" w14:textId="77777777" w:rsidR="00575022" w:rsidRDefault="00575022" w:rsidP="00B619C5">
            <w:pPr>
              <w:pStyle w:val="TableParagraph"/>
              <w:spacing w:before="1"/>
              <w:ind w:left="69" w:right="83"/>
              <w:rPr>
                <w:sz w:val="20"/>
              </w:rPr>
            </w:pPr>
            <w:r>
              <w:rPr>
                <w:sz w:val="20"/>
              </w:rPr>
              <w:t>(1.9 - 6.7)</w:t>
            </w:r>
          </w:p>
        </w:tc>
        <w:tc>
          <w:tcPr>
            <w:tcW w:w="1134" w:type="dxa"/>
            <w:tcBorders>
              <w:right w:val="single" w:sz="18" w:space="0" w:color="000000"/>
            </w:tcBorders>
          </w:tcPr>
          <w:p w14:paraId="61EC95E0" w14:textId="77777777" w:rsidR="00575022" w:rsidRDefault="00575022" w:rsidP="00B619C5">
            <w:pPr>
              <w:pStyle w:val="TableParagraph"/>
              <w:spacing w:line="244" w:lineRule="exact"/>
              <w:ind w:left="79" w:right="63"/>
              <w:rPr>
                <w:sz w:val="20"/>
              </w:rPr>
            </w:pPr>
            <w:r>
              <w:rPr>
                <w:sz w:val="20"/>
              </w:rPr>
              <w:t>0.17</w:t>
            </w:r>
          </w:p>
        </w:tc>
        <w:tc>
          <w:tcPr>
            <w:tcW w:w="1134" w:type="dxa"/>
            <w:tcBorders>
              <w:left w:val="single" w:sz="18" w:space="0" w:color="000000"/>
            </w:tcBorders>
          </w:tcPr>
          <w:p w14:paraId="4C3E9F8C" w14:textId="77777777" w:rsidR="00575022" w:rsidRPr="000B05BB" w:rsidRDefault="00575022" w:rsidP="00B619C5">
            <w:pPr>
              <w:pStyle w:val="TableParagraph"/>
              <w:rPr>
                <w:sz w:val="20"/>
                <w:szCs w:val="20"/>
              </w:rPr>
            </w:pPr>
            <w:r w:rsidRPr="000B05BB">
              <w:rPr>
                <w:sz w:val="20"/>
                <w:szCs w:val="20"/>
              </w:rPr>
              <w:t>3.2</w:t>
            </w:r>
          </w:p>
          <w:p w14:paraId="197B8A4A" w14:textId="77777777" w:rsidR="00575022" w:rsidRPr="000B05BB" w:rsidRDefault="00575022" w:rsidP="00B619C5">
            <w:pPr>
              <w:pStyle w:val="TableParagraph"/>
              <w:rPr>
                <w:sz w:val="20"/>
                <w:szCs w:val="20"/>
              </w:rPr>
            </w:pPr>
            <w:r w:rsidRPr="000B05BB">
              <w:rPr>
                <w:sz w:val="20"/>
                <w:szCs w:val="20"/>
              </w:rPr>
              <w:t>(2.1 - 4.1)</w:t>
            </w:r>
          </w:p>
        </w:tc>
        <w:tc>
          <w:tcPr>
            <w:tcW w:w="1134" w:type="dxa"/>
          </w:tcPr>
          <w:p w14:paraId="3374F6D9" w14:textId="77777777" w:rsidR="00575022" w:rsidRPr="000B05BB" w:rsidRDefault="00575022" w:rsidP="00B619C5">
            <w:pPr>
              <w:pStyle w:val="TableParagraph"/>
              <w:rPr>
                <w:sz w:val="20"/>
                <w:szCs w:val="20"/>
              </w:rPr>
            </w:pPr>
            <w:r w:rsidRPr="000B05BB">
              <w:rPr>
                <w:sz w:val="20"/>
                <w:szCs w:val="20"/>
              </w:rPr>
              <w:t>3.5</w:t>
            </w:r>
          </w:p>
          <w:p w14:paraId="292EC4FD" w14:textId="77777777" w:rsidR="00575022" w:rsidRPr="000B05BB" w:rsidRDefault="00575022" w:rsidP="00B619C5">
            <w:pPr>
              <w:pStyle w:val="TableParagraph"/>
              <w:rPr>
                <w:sz w:val="20"/>
                <w:szCs w:val="20"/>
              </w:rPr>
            </w:pPr>
            <w:r w:rsidRPr="000B05BB">
              <w:rPr>
                <w:sz w:val="20"/>
                <w:szCs w:val="20"/>
              </w:rPr>
              <w:t xml:space="preserve">(2.7 - </w:t>
            </w:r>
            <w:proofErr w:type="gramStart"/>
            <w:r w:rsidRPr="000B05BB">
              <w:rPr>
                <w:sz w:val="20"/>
                <w:szCs w:val="20"/>
              </w:rPr>
              <w:t>4.2)</w:t>
            </w:r>
            <w:r w:rsidRPr="000B05BB">
              <w:rPr>
                <w:sz w:val="20"/>
                <w:szCs w:val="20"/>
                <w:vertAlign w:val="superscript"/>
              </w:rPr>
              <w:t>a</w:t>
            </w:r>
            <w:proofErr w:type="gramEnd"/>
          </w:p>
        </w:tc>
        <w:tc>
          <w:tcPr>
            <w:tcW w:w="1134" w:type="dxa"/>
            <w:tcBorders>
              <w:right w:val="single" w:sz="18" w:space="0" w:color="000000"/>
            </w:tcBorders>
          </w:tcPr>
          <w:p w14:paraId="0247F5CE" w14:textId="77777777" w:rsidR="00575022" w:rsidRPr="000B05BB" w:rsidRDefault="00575022" w:rsidP="00B619C5">
            <w:pPr>
              <w:pStyle w:val="TableParagraph"/>
              <w:rPr>
                <w:sz w:val="20"/>
                <w:szCs w:val="20"/>
              </w:rPr>
            </w:pPr>
            <w:r w:rsidRPr="000B05BB">
              <w:rPr>
                <w:sz w:val="20"/>
                <w:szCs w:val="20"/>
              </w:rPr>
              <w:t>0.26</w:t>
            </w:r>
          </w:p>
        </w:tc>
      </w:tr>
      <w:tr w:rsidR="00575022" w14:paraId="0EEC00EB" w14:textId="77777777" w:rsidTr="00B619C5">
        <w:trPr>
          <w:trHeight w:val="320"/>
          <w:jc w:val="center"/>
        </w:trPr>
        <w:tc>
          <w:tcPr>
            <w:tcW w:w="2715" w:type="dxa"/>
          </w:tcPr>
          <w:p w14:paraId="27581179" w14:textId="77777777" w:rsidR="00575022" w:rsidRDefault="00575022" w:rsidP="00B619C5">
            <w:pPr>
              <w:pStyle w:val="TableParagraph"/>
              <w:spacing w:before="74"/>
              <w:ind w:left="110"/>
              <w:jc w:val="left"/>
              <w:rPr>
                <w:b/>
                <w:sz w:val="20"/>
              </w:rPr>
            </w:pPr>
            <w:r>
              <w:rPr>
                <w:b/>
                <w:sz w:val="20"/>
              </w:rPr>
              <w:t>Relapses in year before baseline</w:t>
            </w:r>
          </w:p>
          <w:p w14:paraId="78A30414" w14:textId="77777777" w:rsidR="00575022" w:rsidRDefault="00575022" w:rsidP="00B619C5">
            <w:pPr>
              <w:pStyle w:val="TableParagraph"/>
              <w:spacing w:before="75"/>
              <w:ind w:left="110"/>
              <w:jc w:val="left"/>
              <w:rPr>
                <w:b/>
                <w:sz w:val="20"/>
              </w:rPr>
            </w:pPr>
            <w:r>
              <w:rPr>
                <w:b/>
                <w:sz w:val="20"/>
              </w:rPr>
              <w:t xml:space="preserve">   Mean (</w:t>
            </w:r>
            <w:proofErr w:type="gramStart"/>
            <w:r>
              <w:rPr>
                <w:b/>
                <w:sz w:val="20"/>
              </w:rPr>
              <w:t xml:space="preserve">SD)   </w:t>
            </w:r>
            <w:proofErr w:type="gramEnd"/>
          </w:p>
        </w:tc>
        <w:tc>
          <w:tcPr>
            <w:tcW w:w="1134" w:type="dxa"/>
          </w:tcPr>
          <w:p w14:paraId="20E06B27" w14:textId="77777777" w:rsidR="00575022" w:rsidRDefault="00575022" w:rsidP="00B619C5">
            <w:pPr>
              <w:pStyle w:val="TableParagraph"/>
              <w:spacing w:before="75"/>
              <w:ind w:left="91" w:right="87"/>
              <w:rPr>
                <w:sz w:val="20"/>
              </w:rPr>
            </w:pPr>
            <w:r>
              <w:rPr>
                <w:sz w:val="20"/>
              </w:rPr>
              <w:t>1.1 (1)</w:t>
            </w:r>
          </w:p>
        </w:tc>
        <w:tc>
          <w:tcPr>
            <w:tcW w:w="1134" w:type="dxa"/>
          </w:tcPr>
          <w:p w14:paraId="5C7B829F" w14:textId="77777777" w:rsidR="00575022" w:rsidRDefault="00575022" w:rsidP="00B619C5">
            <w:pPr>
              <w:pStyle w:val="TableParagraph"/>
              <w:spacing w:before="75"/>
              <w:ind w:left="80" w:right="78"/>
              <w:rPr>
                <w:sz w:val="20"/>
              </w:rPr>
            </w:pPr>
            <w:r>
              <w:rPr>
                <w:sz w:val="20"/>
              </w:rPr>
              <w:t>1.1 (0.9)</w:t>
            </w:r>
          </w:p>
        </w:tc>
        <w:tc>
          <w:tcPr>
            <w:tcW w:w="1276" w:type="dxa"/>
            <w:tcBorders>
              <w:right w:val="single" w:sz="18" w:space="0" w:color="000000"/>
            </w:tcBorders>
          </w:tcPr>
          <w:p w14:paraId="094EE43C" w14:textId="77777777" w:rsidR="00575022" w:rsidRDefault="00575022" w:rsidP="00B619C5">
            <w:pPr>
              <w:pStyle w:val="TableParagraph"/>
              <w:spacing w:before="75"/>
              <w:ind w:left="70" w:right="59"/>
              <w:rPr>
                <w:sz w:val="20"/>
              </w:rPr>
            </w:pPr>
            <w:r>
              <w:rPr>
                <w:sz w:val="20"/>
              </w:rPr>
              <w:t>0</w:t>
            </w:r>
          </w:p>
        </w:tc>
        <w:tc>
          <w:tcPr>
            <w:tcW w:w="1134" w:type="dxa"/>
            <w:tcBorders>
              <w:left w:val="single" w:sz="18" w:space="0" w:color="000000"/>
            </w:tcBorders>
          </w:tcPr>
          <w:p w14:paraId="32967670" w14:textId="77777777" w:rsidR="00575022" w:rsidRDefault="00575022" w:rsidP="00B619C5">
            <w:pPr>
              <w:pStyle w:val="TableParagraph"/>
              <w:spacing w:before="75"/>
              <w:ind w:left="65" w:right="77"/>
              <w:rPr>
                <w:sz w:val="20"/>
              </w:rPr>
            </w:pPr>
            <w:r>
              <w:rPr>
                <w:sz w:val="20"/>
              </w:rPr>
              <w:t>0.9 (0.9)</w:t>
            </w:r>
          </w:p>
        </w:tc>
        <w:tc>
          <w:tcPr>
            <w:tcW w:w="1134" w:type="dxa"/>
          </w:tcPr>
          <w:p w14:paraId="514A79B5" w14:textId="77777777" w:rsidR="00575022" w:rsidRDefault="00575022" w:rsidP="00B619C5">
            <w:pPr>
              <w:pStyle w:val="TableParagraph"/>
              <w:spacing w:before="75"/>
              <w:ind w:left="80" w:right="83"/>
              <w:rPr>
                <w:sz w:val="20"/>
              </w:rPr>
            </w:pPr>
            <w:r>
              <w:rPr>
                <w:sz w:val="20"/>
              </w:rPr>
              <w:t>0.9 (1)</w:t>
            </w:r>
          </w:p>
        </w:tc>
        <w:tc>
          <w:tcPr>
            <w:tcW w:w="1275" w:type="dxa"/>
            <w:tcBorders>
              <w:right w:val="single" w:sz="18" w:space="0" w:color="000000"/>
            </w:tcBorders>
          </w:tcPr>
          <w:p w14:paraId="312BF87C" w14:textId="77777777" w:rsidR="00575022" w:rsidRDefault="00575022" w:rsidP="00B619C5">
            <w:pPr>
              <w:pStyle w:val="TableParagraph"/>
              <w:spacing w:before="75"/>
              <w:ind w:left="67" w:right="59"/>
              <w:rPr>
                <w:sz w:val="20"/>
              </w:rPr>
            </w:pPr>
            <w:r>
              <w:rPr>
                <w:sz w:val="20"/>
              </w:rPr>
              <w:t>0.02</w:t>
            </w:r>
          </w:p>
        </w:tc>
        <w:tc>
          <w:tcPr>
            <w:tcW w:w="1261" w:type="dxa"/>
            <w:tcBorders>
              <w:left w:val="single" w:sz="18" w:space="0" w:color="000000"/>
            </w:tcBorders>
          </w:tcPr>
          <w:p w14:paraId="7EE87DD1" w14:textId="77777777" w:rsidR="00575022" w:rsidRDefault="00575022" w:rsidP="00B619C5">
            <w:pPr>
              <w:pStyle w:val="TableParagraph"/>
              <w:spacing w:before="75"/>
              <w:ind w:left="64" w:right="84"/>
              <w:rPr>
                <w:sz w:val="20"/>
              </w:rPr>
            </w:pPr>
            <w:r>
              <w:rPr>
                <w:sz w:val="20"/>
              </w:rPr>
              <w:t>1.1 (1)</w:t>
            </w:r>
          </w:p>
        </w:tc>
        <w:tc>
          <w:tcPr>
            <w:tcW w:w="1113" w:type="dxa"/>
          </w:tcPr>
          <w:p w14:paraId="382FB3C9" w14:textId="77777777" w:rsidR="00575022" w:rsidRDefault="00575022" w:rsidP="00B619C5">
            <w:pPr>
              <w:pStyle w:val="TableParagraph"/>
              <w:spacing w:before="75"/>
              <w:ind w:left="72" w:right="84"/>
              <w:rPr>
                <w:sz w:val="20"/>
              </w:rPr>
            </w:pPr>
            <w:r>
              <w:rPr>
                <w:sz w:val="20"/>
              </w:rPr>
              <w:t>1.1 (1)</w:t>
            </w:r>
          </w:p>
        </w:tc>
        <w:tc>
          <w:tcPr>
            <w:tcW w:w="1165" w:type="dxa"/>
            <w:tcBorders>
              <w:right w:val="single" w:sz="18" w:space="0" w:color="000000"/>
            </w:tcBorders>
          </w:tcPr>
          <w:p w14:paraId="1910FF69" w14:textId="77777777" w:rsidR="00575022" w:rsidRDefault="00575022" w:rsidP="00B619C5">
            <w:pPr>
              <w:pStyle w:val="TableParagraph"/>
              <w:spacing w:before="75"/>
              <w:ind w:left="81" w:right="68"/>
              <w:rPr>
                <w:sz w:val="20"/>
              </w:rPr>
            </w:pPr>
            <w:r>
              <w:rPr>
                <w:sz w:val="20"/>
              </w:rPr>
              <w:t>0.01</w:t>
            </w:r>
          </w:p>
        </w:tc>
        <w:tc>
          <w:tcPr>
            <w:tcW w:w="1417" w:type="dxa"/>
            <w:tcBorders>
              <w:left w:val="single" w:sz="18" w:space="0" w:color="000000"/>
            </w:tcBorders>
          </w:tcPr>
          <w:p w14:paraId="3C232D5F" w14:textId="77777777" w:rsidR="00575022" w:rsidRDefault="00575022" w:rsidP="00B619C5">
            <w:pPr>
              <w:pStyle w:val="TableParagraph"/>
              <w:spacing w:before="75"/>
              <w:ind w:left="63" w:right="84"/>
              <w:rPr>
                <w:sz w:val="20"/>
              </w:rPr>
            </w:pPr>
            <w:r>
              <w:rPr>
                <w:sz w:val="20"/>
              </w:rPr>
              <w:t>1.3 (1)</w:t>
            </w:r>
          </w:p>
        </w:tc>
        <w:tc>
          <w:tcPr>
            <w:tcW w:w="972" w:type="dxa"/>
          </w:tcPr>
          <w:p w14:paraId="2C906144" w14:textId="77777777" w:rsidR="00575022" w:rsidRDefault="00575022" w:rsidP="00B619C5">
            <w:pPr>
              <w:pStyle w:val="TableParagraph"/>
              <w:spacing w:before="75"/>
              <w:ind w:left="69" w:right="83"/>
              <w:rPr>
                <w:sz w:val="20"/>
              </w:rPr>
            </w:pPr>
            <w:r>
              <w:rPr>
                <w:sz w:val="20"/>
              </w:rPr>
              <w:t>1.3 (1)</w:t>
            </w:r>
          </w:p>
        </w:tc>
        <w:tc>
          <w:tcPr>
            <w:tcW w:w="1134" w:type="dxa"/>
            <w:tcBorders>
              <w:right w:val="single" w:sz="18" w:space="0" w:color="000000"/>
            </w:tcBorders>
          </w:tcPr>
          <w:p w14:paraId="39F039AE" w14:textId="77777777" w:rsidR="00575022" w:rsidRDefault="00575022" w:rsidP="00B619C5">
            <w:pPr>
              <w:pStyle w:val="TableParagraph"/>
              <w:spacing w:before="75"/>
              <w:ind w:left="79" w:right="63"/>
              <w:rPr>
                <w:sz w:val="20"/>
              </w:rPr>
            </w:pPr>
            <w:r>
              <w:rPr>
                <w:sz w:val="20"/>
              </w:rPr>
              <w:t>0.03</w:t>
            </w:r>
          </w:p>
        </w:tc>
        <w:tc>
          <w:tcPr>
            <w:tcW w:w="1134" w:type="dxa"/>
            <w:tcBorders>
              <w:left w:val="single" w:sz="18" w:space="0" w:color="000000"/>
            </w:tcBorders>
          </w:tcPr>
          <w:p w14:paraId="4FE1A918" w14:textId="77777777" w:rsidR="00575022" w:rsidRPr="000B05BB" w:rsidRDefault="00575022" w:rsidP="00B619C5">
            <w:pPr>
              <w:pStyle w:val="TableParagraph"/>
              <w:rPr>
                <w:sz w:val="20"/>
                <w:szCs w:val="20"/>
              </w:rPr>
            </w:pPr>
            <w:r w:rsidRPr="000B05BB">
              <w:rPr>
                <w:sz w:val="20"/>
                <w:szCs w:val="20"/>
              </w:rPr>
              <w:t>1.0 (1.1)</w:t>
            </w:r>
          </w:p>
        </w:tc>
        <w:tc>
          <w:tcPr>
            <w:tcW w:w="1134" w:type="dxa"/>
          </w:tcPr>
          <w:p w14:paraId="1F20D23D" w14:textId="77777777" w:rsidR="00575022" w:rsidRPr="000B05BB" w:rsidRDefault="00575022" w:rsidP="00B619C5">
            <w:pPr>
              <w:pStyle w:val="TableParagraph"/>
              <w:rPr>
                <w:sz w:val="20"/>
                <w:szCs w:val="20"/>
              </w:rPr>
            </w:pPr>
            <w:r w:rsidRPr="000B05BB">
              <w:rPr>
                <w:sz w:val="20"/>
                <w:szCs w:val="20"/>
              </w:rPr>
              <w:t>1.0 (0.9)</w:t>
            </w:r>
          </w:p>
        </w:tc>
        <w:tc>
          <w:tcPr>
            <w:tcW w:w="1134" w:type="dxa"/>
            <w:tcBorders>
              <w:right w:val="single" w:sz="18" w:space="0" w:color="000000"/>
            </w:tcBorders>
          </w:tcPr>
          <w:p w14:paraId="492E43CE" w14:textId="77777777" w:rsidR="00575022" w:rsidRPr="000B05BB" w:rsidRDefault="00575022" w:rsidP="00B619C5">
            <w:pPr>
              <w:pStyle w:val="TableParagraph"/>
              <w:rPr>
                <w:sz w:val="20"/>
                <w:szCs w:val="20"/>
              </w:rPr>
            </w:pPr>
            <w:r w:rsidRPr="000B05BB">
              <w:rPr>
                <w:sz w:val="20"/>
                <w:szCs w:val="20"/>
              </w:rPr>
              <w:t>0</w:t>
            </w:r>
          </w:p>
        </w:tc>
      </w:tr>
      <w:tr w:rsidR="00575022" w14:paraId="55B4D3C2" w14:textId="77777777" w:rsidTr="00B619C5">
        <w:trPr>
          <w:trHeight w:val="489"/>
          <w:jc w:val="center"/>
        </w:trPr>
        <w:tc>
          <w:tcPr>
            <w:tcW w:w="2715" w:type="dxa"/>
          </w:tcPr>
          <w:p w14:paraId="0EEBEB00" w14:textId="77777777" w:rsidR="00575022" w:rsidRDefault="00575022" w:rsidP="00B619C5">
            <w:pPr>
              <w:pStyle w:val="TableParagraph"/>
              <w:spacing w:line="244" w:lineRule="exact"/>
              <w:ind w:left="110"/>
              <w:jc w:val="left"/>
              <w:rPr>
                <w:b/>
                <w:sz w:val="20"/>
              </w:rPr>
            </w:pPr>
            <w:r>
              <w:rPr>
                <w:b/>
                <w:sz w:val="20"/>
              </w:rPr>
              <w:t>Disability, EDSS step</w:t>
            </w:r>
          </w:p>
          <w:p w14:paraId="0BA31840" w14:textId="77777777" w:rsidR="00575022" w:rsidRDefault="00575022" w:rsidP="00B619C5">
            <w:pPr>
              <w:pStyle w:val="TableParagraph"/>
              <w:spacing w:line="244" w:lineRule="exact"/>
              <w:ind w:left="110"/>
              <w:jc w:val="left"/>
              <w:rPr>
                <w:b/>
                <w:sz w:val="20"/>
              </w:rPr>
            </w:pPr>
            <w:r>
              <w:rPr>
                <w:b/>
                <w:sz w:val="20"/>
              </w:rPr>
              <w:t xml:space="preserve">   Median (IQR)</w:t>
            </w:r>
          </w:p>
        </w:tc>
        <w:tc>
          <w:tcPr>
            <w:tcW w:w="1134" w:type="dxa"/>
          </w:tcPr>
          <w:p w14:paraId="0AE5FA0A" w14:textId="77777777" w:rsidR="00575022" w:rsidRDefault="00575022" w:rsidP="00B619C5">
            <w:pPr>
              <w:pStyle w:val="TableParagraph"/>
              <w:spacing w:line="244" w:lineRule="exact"/>
              <w:ind w:left="91" w:right="81"/>
              <w:rPr>
                <w:sz w:val="20"/>
              </w:rPr>
            </w:pPr>
            <w:r>
              <w:rPr>
                <w:sz w:val="20"/>
              </w:rPr>
              <w:t>2.5</w:t>
            </w:r>
          </w:p>
          <w:p w14:paraId="33B5FA3F" w14:textId="77777777" w:rsidR="00575022" w:rsidRDefault="00575022" w:rsidP="00B619C5">
            <w:pPr>
              <w:pStyle w:val="TableParagraph"/>
              <w:spacing w:before="1"/>
              <w:ind w:left="91" w:right="37"/>
              <w:rPr>
                <w:sz w:val="20"/>
              </w:rPr>
            </w:pPr>
            <w:r>
              <w:rPr>
                <w:sz w:val="20"/>
              </w:rPr>
              <w:t>(1.5 - 3.5)</w:t>
            </w:r>
          </w:p>
        </w:tc>
        <w:tc>
          <w:tcPr>
            <w:tcW w:w="1134" w:type="dxa"/>
          </w:tcPr>
          <w:p w14:paraId="674E0798" w14:textId="77777777" w:rsidR="00575022" w:rsidRDefault="00575022" w:rsidP="00B619C5">
            <w:pPr>
              <w:pStyle w:val="TableParagraph"/>
              <w:spacing w:line="244" w:lineRule="exact"/>
              <w:ind w:left="80" w:right="77"/>
              <w:rPr>
                <w:sz w:val="20"/>
              </w:rPr>
            </w:pPr>
            <w:r>
              <w:rPr>
                <w:sz w:val="20"/>
              </w:rPr>
              <w:t>2</w:t>
            </w:r>
          </w:p>
          <w:p w14:paraId="378641B6" w14:textId="77777777" w:rsidR="00575022" w:rsidRDefault="00575022" w:rsidP="00B619C5">
            <w:pPr>
              <w:pStyle w:val="TableParagraph"/>
              <w:spacing w:before="1"/>
              <w:ind w:left="80" w:right="80"/>
              <w:rPr>
                <w:sz w:val="20"/>
              </w:rPr>
            </w:pPr>
            <w:r>
              <w:rPr>
                <w:sz w:val="20"/>
              </w:rPr>
              <w:t>(1 - 3.5)</w:t>
            </w:r>
          </w:p>
        </w:tc>
        <w:tc>
          <w:tcPr>
            <w:tcW w:w="1276" w:type="dxa"/>
            <w:tcBorders>
              <w:right w:val="single" w:sz="18" w:space="0" w:color="000000"/>
            </w:tcBorders>
          </w:tcPr>
          <w:p w14:paraId="3493C7BF" w14:textId="77777777" w:rsidR="00575022" w:rsidRDefault="00575022" w:rsidP="00B619C5">
            <w:pPr>
              <w:pStyle w:val="TableParagraph"/>
              <w:spacing w:line="244" w:lineRule="exact"/>
              <w:ind w:left="17"/>
              <w:rPr>
                <w:sz w:val="20"/>
              </w:rPr>
            </w:pPr>
            <w:r>
              <w:rPr>
                <w:sz w:val="20"/>
              </w:rPr>
              <w:t>0.1</w:t>
            </w:r>
          </w:p>
        </w:tc>
        <w:tc>
          <w:tcPr>
            <w:tcW w:w="1134" w:type="dxa"/>
            <w:tcBorders>
              <w:left w:val="single" w:sz="18" w:space="0" w:color="000000"/>
            </w:tcBorders>
          </w:tcPr>
          <w:p w14:paraId="2462C20E" w14:textId="77777777" w:rsidR="00575022" w:rsidRDefault="00575022" w:rsidP="00B619C5">
            <w:pPr>
              <w:pStyle w:val="TableParagraph"/>
              <w:spacing w:line="244" w:lineRule="exact"/>
              <w:rPr>
                <w:sz w:val="20"/>
              </w:rPr>
            </w:pPr>
            <w:r>
              <w:rPr>
                <w:sz w:val="20"/>
              </w:rPr>
              <w:t>2</w:t>
            </w:r>
          </w:p>
          <w:p w14:paraId="7BBB5A7D" w14:textId="77777777" w:rsidR="00575022" w:rsidRDefault="00575022" w:rsidP="00B619C5">
            <w:pPr>
              <w:pStyle w:val="TableParagraph"/>
              <w:spacing w:before="1"/>
              <w:ind w:left="75" w:right="44"/>
              <w:rPr>
                <w:sz w:val="20"/>
              </w:rPr>
            </w:pPr>
            <w:r>
              <w:rPr>
                <w:sz w:val="20"/>
              </w:rPr>
              <w:t>(1 - 3.5)</w:t>
            </w:r>
          </w:p>
        </w:tc>
        <w:tc>
          <w:tcPr>
            <w:tcW w:w="1134" w:type="dxa"/>
          </w:tcPr>
          <w:p w14:paraId="5D8B7195" w14:textId="77777777" w:rsidR="00575022" w:rsidRDefault="00575022" w:rsidP="00B619C5">
            <w:pPr>
              <w:pStyle w:val="TableParagraph"/>
              <w:spacing w:line="244" w:lineRule="exact"/>
              <w:ind w:left="1"/>
              <w:rPr>
                <w:sz w:val="20"/>
              </w:rPr>
            </w:pPr>
            <w:r>
              <w:rPr>
                <w:sz w:val="20"/>
              </w:rPr>
              <w:t>2</w:t>
            </w:r>
          </w:p>
          <w:p w14:paraId="49914ADA" w14:textId="77777777" w:rsidR="00575022" w:rsidRDefault="00575022" w:rsidP="00B619C5">
            <w:pPr>
              <w:pStyle w:val="TableParagraph"/>
              <w:spacing w:before="1"/>
              <w:ind w:left="80" w:right="82"/>
              <w:rPr>
                <w:sz w:val="20"/>
              </w:rPr>
            </w:pPr>
            <w:r>
              <w:rPr>
                <w:sz w:val="20"/>
              </w:rPr>
              <w:t>(1.5 - 3.5)</w:t>
            </w:r>
          </w:p>
        </w:tc>
        <w:tc>
          <w:tcPr>
            <w:tcW w:w="1275" w:type="dxa"/>
            <w:tcBorders>
              <w:right w:val="single" w:sz="18" w:space="0" w:color="000000"/>
            </w:tcBorders>
          </w:tcPr>
          <w:p w14:paraId="65F17259" w14:textId="77777777" w:rsidR="00575022" w:rsidRDefault="00575022" w:rsidP="00B619C5">
            <w:pPr>
              <w:pStyle w:val="TableParagraph"/>
              <w:spacing w:before="1" w:line="240" w:lineRule="auto"/>
              <w:ind w:right="9"/>
              <w:rPr>
                <w:sz w:val="20"/>
              </w:rPr>
            </w:pPr>
            <w:r>
              <w:rPr>
                <w:sz w:val="20"/>
              </w:rPr>
              <w:t>0</w:t>
            </w:r>
          </w:p>
        </w:tc>
        <w:tc>
          <w:tcPr>
            <w:tcW w:w="1261" w:type="dxa"/>
            <w:tcBorders>
              <w:left w:val="single" w:sz="18" w:space="0" w:color="000000"/>
            </w:tcBorders>
          </w:tcPr>
          <w:p w14:paraId="7ABCA269" w14:textId="77777777" w:rsidR="00575022" w:rsidRDefault="00575022" w:rsidP="00B619C5">
            <w:pPr>
              <w:pStyle w:val="TableParagraph"/>
              <w:spacing w:line="244" w:lineRule="exact"/>
              <w:ind w:left="70" w:right="84"/>
              <w:rPr>
                <w:sz w:val="20"/>
              </w:rPr>
            </w:pPr>
            <w:r>
              <w:rPr>
                <w:sz w:val="20"/>
              </w:rPr>
              <w:t>2.5</w:t>
            </w:r>
          </w:p>
          <w:p w14:paraId="31AF8D6E" w14:textId="77777777" w:rsidR="00575022" w:rsidRDefault="00575022" w:rsidP="00B619C5">
            <w:pPr>
              <w:pStyle w:val="TableParagraph"/>
              <w:spacing w:before="1"/>
              <w:ind w:left="69" w:right="84"/>
              <w:rPr>
                <w:sz w:val="20"/>
              </w:rPr>
            </w:pPr>
            <w:r>
              <w:rPr>
                <w:sz w:val="20"/>
              </w:rPr>
              <w:t>(2 - 4.5)</w:t>
            </w:r>
          </w:p>
        </w:tc>
        <w:tc>
          <w:tcPr>
            <w:tcW w:w="1113" w:type="dxa"/>
          </w:tcPr>
          <w:p w14:paraId="36D19565" w14:textId="77777777" w:rsidR="00575022" w:rsidRDefault="00575022" w:rsidP="00B619C5">
            <w:pPr>
              <w:pStyle w:val="TableParagraph"/>
              <w:spacing w:line="244" w:lineRule="exact"/>
              <w:ind w:right="6"/>
              <w:rPr>
                <w:sz w:val="20"/>
              </w:rPr>
            </w:pPr>
            <w:r>
              <w:rPr>
                <w:sz w:val="20"/>
              </w:rPr>
              <w:t>3</w:t>
            </w:r>
          </w:p>
          <w:p w14:paraId="215D14C4" w14:textId="77777777" w:rsidR="00575022" w:rsidRDefault="00575022" w:rsidP="00B619C5">
            <w:pPr>
              <w:pStyle w:val="TableParagraph"/>
              <w:spacing w:before="1"/>
              <w:ind w:left="77" w:right="84"/>
              <w:rPr>
                <w:sz w:val="20"/>
              </w:rPr>
            </w:pPr>
            <w:r>
              <w:rPr>
                <w:sz w:val="20"/>
              </w:rPr>
              <w:t>(2 - 4.5)</w:t>
            </w:r>
          </w:p>
        </w:tc>
        <w:tc>
          <w:tcPr>
            <w:tcW w:w="1165" w:type="dxa"/>
            <w:tcBorders>
              <w:right w:val="single" w:sz="18" w:space="0" w:color="000000"/>
            </w:tcBorders>
          </w:tcPr>
          <w:p w14:paraId="0AF26B36" w14:textId="77777777" w:rsidR="00575022" w:rsidRDefault="00575022" w:rsidP="00B619C5">
            <w:pPr>
              <w:pStyle w:val="TableParagraph"/>
              <w:spacing w:line="236" w:lineRule="exact"/>
              <w:ind w:left="81" w:right="53"/>
              <w:rPr>
                <w:sz w:val="20"/>
              </w:rPr>
            </w:pPr>
            <w:r>
              <w:rPr>
                <w:sz w:val="20"/>
              </w:rPr>
              <w:t>0.28</w:t>
            </w:r>
          </w:p>
        </w:tc>
        <w:tc>
          <w:tcPr>
            <w:tcW w:w="1417" w:type="dxa"/>
            <w:tcBorders>
              <w:left w:val="single" w:sz="18" w:space="0" w:color="000000"/>
            </w:tcBorders>
          </w:tcPr>
          <w:p w14:paraId="1107BF73" w14:textId="77777777" w:rsidR="00575022" w:rsidRDefault="00575022" w:rsidP="00B619C5">
            <w:pPr>
              <w:pStyle w:val="TableParagraph"/>
              <w:spacing w:line="244" w:lineRule="exact"/>
              <w:ind w:left="63" w:right="78"/>
              <w:rPr>
                <w:sz w:val="20"/>
              </w:rPr>
            </w:pPr>
            <w:r>
              <w:rPr>
                <w:sz w:val="20"/>
              </w:rPr>
              <w:t>3.5</w:t>
            </w:r>
          </w:p>
          <w:p w14:paraId="71486788" w14:textId="77777777" w:rsidR="00575022" w:rsidRDefault="00575022" w:rsidP="00B619C5">
            <w:pPr>
              <w:pStyle w:val="TableParagraph"/>
              <w:spacing w:before="1"/>
              <w:ind w:left="59" w:right="85"/>
              <w:rPr>
                <w:sz w:val="20"/>
              </w:rPr>
            </w:pPr>
            <w:r>
              <w:rPr>
                <w:sz w:val="20"/>
              </w:rPr>
              <w:t>(2 - 4.5)</w:t>
            </w:r>
          </w:p>
        </w:tc>
        <w:tc>
          <w:tcPr>
            <w:tcW w:w="972" w:type="dxa"/>
          </w:tcPr>
          <w:p w14:paraId="01B8B490" w14:textId="77777777" w:rsidR="00575022" w:rsidRDefault="00575022" w:rsidP="00B619C5">
            <w:pPr>
              <w:pStyle w:val="TableParagraph"/>
              <w:spacing w:line="244" w:lineRule="exact"/>
              <w:ind w:left="75" w:right="83"/>
              <w:rPr>
                <w:sz w:val="20"/>
              </w:rPr>
            </w:pPr>
            <w:r>
              <w:rPr>
                <w:sz w:val="20"/>
              </w:rPr>
              <w:t>3.5</w:t>
            </w:r>
          </w:p>
          <w:p w14:paraId="25F39802" w14:textId="77777777" w:rsidR="00575022" w:rsidRDefault="00575022" w:rsidP="00B619C5">
            <w:pPr>
              <w:pStyle w:val="TableParagraph"/>
              <w:spacing w:before="1"/>
              <w:ind w:left="74" w:right="83"/>
              <w:rPr>
                <w:sz w:val="20"/>
              </w:rPr>
            </w:pPr>
            <w:r>
              <w:rPr>
                <w:sz w:val="20"/>
              </w:rPr>
              <w:t>(2 - 5.5)</w:t>
            </w:r>
          </w:p>
        </w:tc>
        <w:tc>
          <w:tcPr>
            <w:tcW w:w="1134" w:type="dxa"/>
            <w:tcBorders>
              <w:right w:val="single" w:sz="18" w:space="0" w:color="000000"/>
            </w:tcBorders>
          </w:tcPr>
          <w:p w14:paraId="0D1B5834" w14:textId="77777777" w:rsidR="00575022" w:rsidRDefault="00575022" w:rsidP="00B619C5">
            <w:pPr>
              <w:pStyle w:val="TableParagraph"/>
              <w:spacing w:before="1" w:line="240" w:lineRule="auto"/>
              <w:rPr>
                <w:sz w:val="20"/>
              </w:rPr>
            </w:pPr>
            <w:r>
              <w:rPr>
                <w:sz w:val="20"/>
              </w:rPr>
              <w:t>0</w:t>
            </w:r>
          </w:p>
        </w:tc>
        <w:tc>
          <w:tcPr>
            <w:tcW w:w="1134" w:type="dxa"/>
            <w:tcBorders>
              <w:left w:val="single" w:sz="18" w:space="0" w:color="000000"/>
            </w:tcBorders>
          </w:tcPr>
          <w:p w14:paraId="6D137457" w14:textId="77777777" w:rsidR="00575022" w:rsidRPr="000B05BB" w:rsidRDefault="00575022" w:rsidP="00B619C5">
            <w:pPr>
              <w:pStyle w:val="TableParagraph"/>
              <w:rPr>
                <w:sz w:val="20"/>
                <w:szCs w:val="20"/>
              </w:rPr>
            </w:pPr>
            <w:r w:rsidRPr="000B05BB">
              <w:rPr>
                <w:sz w:val="20"/>
                <w:szCs w:val="20"/>
              </w:rPr>
              <w:t>2</w:t>
            </w:r>
          </w:p>
          <w:p w14:paraId="1E632951" w14:textId="77777777" w:rsidR="00575022" w:rsidRPr="000B05BB" w:rsidRDefault="00575022" w:rsidP="00B619C5">
            <w:pPr>
              <w:pStyle w:val="TableParagraph"/>
              <w:rPr>
                <w:sz w:val="20"/>
                <w:szCs w:val="20"/>
              </w:rPr>
            </w:pPr>
            <w:r w:rsidRPr="000B05BB">
              <w:rPr>
                <w:sz w:val="20"/>
                <w:szCs w:val="20"/>
              </w:rPr>
              <w:t>(1.5 - 3)</w:t>
            </w:r>
          </w:p>
        </w:tc>
        <w:tc>
          <w:tcPr>
            <w:tcW w:w="1134" w:type="dxa"/>
          </w:tcPr>
          <w:p w14:paraId="5D34B7B4" w14:textId="77777777" w:rsidR="00575022" w:rsidRPr="000B05BB" w:rsidRDefault="00575022" w:rsidP="00B619C5">
            <w:pPr>
              <w:pStyle w:val="TableParagraph"/>
              <w:rPr>
                <w:sz w:val="20"/>
                <w:szCs w:val="20"/>
              </w:rPr>
            </w:pPr>
            <w:r w:rsidRPr="000B05BB">
              <w:rPr>
                <w:sz w:val="20"/>
                <w:szCs w:val="20"/>
              </w:rPr>
              <w:t>2</w:t>
            </w:r>
          </w:p>
          <w:p w14:paraId="4A7865D5" w14:textId="77777777" w:rsidR="00575022" w:rsidRPr="000B05BB" w:rsidRDefault="00575022" w:rsidP="00B619C5">
            <w:pPr>
              <w:pStyle w:val="TableParagraph"/>
              <w:rPr>
                <w:sz w:val="20"/>
                <w:szCs w:val="20"/>
              </w:rPr>
            </w:pPr>
            <w:r w:rsidRPr="000B05BB">
              <w:rPr>
                <w:sz w:val="20"/>
                <w:szCs w:val="20"/>
              </w:rPr>
              <w:t>(1 – 2.5)</w:t>
            </w:r>
          </w:p>
        </w:tc>
        <w:tc>
          <w:tcPr>
            <w:tcW w:w="1134" w:type="dxa"/>
            <w:tcBorders>
              <w:right w:val="single" w:sz="18" w:space="0" w:color="000000"/>
            </w:tcBorders>
          </w:tcPr>
          <w:p w14:paraId="07E7765F" w14:textId="77777777" w:rsidR="00575022" w:rsidRPr="000B05BB" w:rsidRDefault="00575022" w:rsidP="00B619C5">
            <w:pPr>
              <w:pStyle w:val="TableParagraph"/>
              <w:rPr>
                <w:sz w:val="20"/>
                <w:szCs w:val="20"/>
              </w:rPr>
            </w:pPr>
            <w:r w:rsidRPr="000B05BB">
              <w:rPr>
                <w:sz w:val="20"/>
                <w:szCs w:val="20"/>
              </w:rPr>
              <w:t>0</w:t>
            </w:r>
          </w:p>
        </w:tc>
      </w:tr>
      <w:tr w:rsidR="00575022" w:rsidRPr="008D6E1C" w14:paraId="4861AA1E" w14:textId="77777777" w:rsidTr="00B619C5">
        <w:trPr>
          <w:trHeight w:val="320"/>
          <w:jc w:val="center"/>
        </w:trPr>
        <w:tc>
          <w:tcPr>
            <w:tcW w:w="2715" w:type="dxa"/>
          </w:tcPr>
          <w:p w14:paraId="152C8AA0" w14:textId="77777777" w:rsidR="00575022" w:rsidRDefault="00575022" w:rsidP="00B619C5">
            <w:pPr>
              <w:pStyle w:val="TableParagraph"/>
              <w:spacing w:line="244" w:lineRule="exact"/>
              <w:ind w:left="110"/>
              <w:jc w:val="left"/>
              <w:rPr>
                <w:b/>
                <w:sz w:val="20"/>
              </w:rPr>
            </w:pPr>
            <w:r w:rsidRPr="008D6E1C">
              <w:rPr>
                <w:b/>
                <w:sz w:val="20"/>
              </w:rPr>
              <w:t>Baseline year of inclusion</w:t>
            </w:r>
          </w:p>
          <w:p w14:paraId="68CEEB19" w14:textId="77777777" w:rsidR="00575022" w:rsidRPr="008D6E1C" w:rsidRDefault="00575022" w:rsidP="00B619C5">
            <w:pPr>
              <w:pStyle w:val="TableParagraph"/>
              <w:spacing w:before="74"/>
              <w:ind w:left="110"/>
              <w:jc w:val="left"/>
              <w:rPr>
                <w:b/>
                <w:sz w:val="20"/>
              </w:rPr>
            </w:pPr>
            <w:r>
              <w:rPr>
                <w:b/>
                <w:sz w:val="20"/>
              </w:rPr>
              <w:t xml:space="preserve">   Median (IQR)</w:t>
            </w:r>
          </w:p>
        </w:tc>
        <w:tc>
          <w:tcPr>
            <w:tcW w:w="1134" w:type="dxa"/>
          </w:tcPr>
          <w:p w14:paraId="651E0927" w14:textId="77777777" w:rsidR="00575022" w:rsidRPr="008D6E1C" w:rsidRDefault="00575022" w:rsidP="00B619C5">
            <w:pPr>
              <w:pStyle w:val="TableParagraph"/>
              <w:spacing w:line="224" w:lineRule="exact"/>
              <w:ind w:left="91" w:right="87"/>
              <w:rPr>
                <w:sz w:val="20"/>
              </w:rPr>
            </w:pPr>
            <w:r w:rsidRPr="008D6E1C">
              <w:rPr>
                <w:sz w:val="20"/>
              </w:rPr>
              <w:t xml:space="preserve">1996 </w:t>
            </w:r>
          </w:p>
          <w:p w14:paraId="4C520CA9" w14:textId="77777777" w:rsidR="00575022" w:rsidRPr="008D6E1C" w:rsidRDefault="00575022" w:rsidP="00B619C5">
            <w:pPr>
              <w:pStyle w:val="TableParagraph"/>
              <w:spacing w:before="74"/>
              <w:ind w:left="91" w:right="87"/>
              <w:rPr>
                <w:sz w:val="20"/>
              </w:rPr>
            </w:pPr>
            <w:r w:rsidRPr="008D6E1C">
              <w:rPr>
                <w:sz w:val="20"/>
              </w:rPr>
              <w:t>(1996-7)</w:t>
            </w:r>
          </w:p>
        </w:tc>
        <w:tc>
          <w:tcPr>
            <w:tcW w:w="1134" w:type="dxa"/>
          </w:tcPr>
          <w:p w14:paraId="02BC9407" w14:textId="77777777" w:rsidR="00575022" w:rsidRPr="008D6E1C" w:rsidRDefault="00575022" w:rsidP="00B619C5">
            <w:pPr>
              <w:pStyle w:val="TableParagraph"/>
              <w:spacing w:line="224" w:lineRule="exact"/>
              <w:ind w:left="80" w:right="81"/>
              <w:rPr>
                <w:sz w:val="20"/>
              </w:rPr>
            </w:pPr>
            <w:r w:rsidRPr="008D6E1C">
              <w:rPr>
                <w:sz w:val="20"/>
              </w:rPr>
              <w:t xml:space="preserve">2007 </w:t>
            </w:r>
          </w:p>
          <w:p w14:paraId="178781D9" w14:textId="77777777" w:rsidR="00575022" w:rsidRPr="008D6E1C" w:rsidRDefault="00575022" w:rsidP="00B619C5">
            <w:pPr>
              <w:pStyle w:val="TableParagraph"/>
              <w:spacing w:before="74"/>
              <w:ind w:left="80" w:right="80"/>
              <w:rPr>
                <w:sz w:val="20"/>
              </w:rPr>
            </w:pPr>
            <w:r w:rsidRPr="008D6E1C">
              <w:rPr>
                <w:sz w:val="20"/>
              </w:rPr>
              <w:t>(2004-9)</w:t>
            </w:r>
          </w:p>
        </w:tc>
        <w:tc>
          <w:tcPr>
            <w:tcW w:w="1276" w:type="dxa"/>
            <w:tcBorders>
              <w:right w:val="single" w:sz="18" w:space="0" w:color="000000"/>
            </w:tcBorders>
          </w:tcPr>
          <w:p w14:paraId="448D293E" w14:textId="77777777" w:rsidR="00575022" w:rsidRPr="008D6E1C" w:rsidRDefault="00575022" w:rsidP="00B619C5">
            <w:pPr>
              <w:pStyle w:val="TableParagraph"/>
              <w:spacing w:before="72" w:line="228" w:lineRule="exact"/>
              <w:ind w:left="32"/>
              <w:rPr>
                <w:sz w:val="20"/>
              </w:rPr>
            </w:pPr>
            <w:r w:rsidRPr="008D6E1C">
              <w:rPr>
                <w:sz w:val="20"/>
              </w:rPr>
              <w:t>N/A</w:t>
            </w:r>
          </w:p>
        </w:tc>
        <w:tc>
          <w:tcPr>
            <w:tcW w:w="1134" w:type="dxa"/>
            <w:tcBorders>
              <w:left w:val="single" w:sz="18" w:space="0" w:color="000000"/>
            </w:tcBorders>
          </w:tcPr>
          <w:p w14:paraId="7673FDF8" w14:textId="77777777" w:rsidR="00575022" w:rsidRPr="008D6E1C" w:rsidRDefault="00575022" w:rsidP="00B619C5">
            <w:pPr>
              <w:pStyle w:val="TableParagraph"/>
              <w:spacing w:line="224" w:lineRule="exact"/>
              <w:ind w:left="72" w:right="77"/>
              <w:rPr>
                <w:sz w:val="20"/>
              </w:rPr>
            </w:pPr>
            <w:r w:rsidRPr="008D6E1C">
              <w:rPr>
                <w:sz w:val="20"/>
              </w:rPr>
              <w:t xml:space="preserve">2011 </w:t>
            </w:r>
          </w:p>
          <w:p w14:paraId="5AE31A1D" w14:textId="77777777" w:rsidR="00575022" w:rsidRPr="008D6E1C" w:rsidRDefault="00575022" w:rsidP="00B619C5">
            <w:pPr>
              <w:pStyle w:val="TableParagraph"/>
              <w:spacing w:before="74"/>
              <w:ind w:left="70" w:right="77"/>
              <w:rPr>
                <w:sz w:val="20"/>
              </w:rPr>
            </w:pPr>
            <w:r w:rsidRPr="008D6E1C">
              <w:rPr>
                <w:sz w:val="20"/>
              </w:rPr>
              <w:t>(2011-2)</w:t>
            </w:r>
          </w:p>
        </w:tc>
        <w:tc>
          <w:tcPr>
            <w:tcW w:w="1134" w:type="dxa"/>
          </w:tcPr>
          <w:p w14:paraId="556DB0A9" w14:textId="77777777" w:rsidR="00575022" w:rsidRPr="008D6E1C" w:rsidRDefault="00575022" w:rsidP="00B619C5">
            <w:pPr>
              <w:pStyle w:val="TableParagraph"/>
              <w:spacing w:line="224" w:lineRule="exact"/>
              <w:ind w:left="80" w:right="82"/>
              <w:rPr>
                <w:sz w:val="20"/>
              </w:rPr>
            </w:pPr>
            <w:r w:rsidRPr="008D6E1C">
              <w:rPr>
                <w:sz w:val="20"/>
              </w:rPr>
              <w:t xml:space="preserve">2007 </w:t>
            </w:r>
          </w:p>
          <w:p w14:paraId="6C1F3356" w14:textId="77777777" w:rsidR="00575022" w:rsidRPr="008D6E1C" w:rsidRDefault="00575022" w:rsidP="00B619C5">
            <w:pPr>
              <w:pStyle w:val="TableParagraph"/>
              <w:spacing w:before="74"/>
              <w:ind w:left="80" w:right="83"/>
              <w:rPr>
                <w:sz w:val="20"/>
              </w:rPr>
            </w:pPr>
            <w:r w:rsidRPr="008D6E1C">
              <w:rPr>
                <w:sz w:val="20"/>
              </w:rPr>
              <w:t>(2007-9)</w:t>
            </w:r>
          </w:p>
        </w:tc>
        <w:tc>
          <w:tcPr>
            <w:tcW w:w="1275" w:type="dxa"/>
            <w:tcBorders>
              <w:right w:val="single" w:sz="18" w:space="0" w:color="000000"/>
            </w:tcBorders>
          </w:tcPr>
          <w:p w14:paraId="04015252" w14:textId="77777777" w:rsidR="00575022" w:rsidRPr="008D6E1C" w:rsidRDefault="00575022" w:rsidP="00B619C5">
            <w:pPr>
              <w:pStyle w:val="TableParagraph"/>
              <w:spacing w:before="74"/>
              <w:ind w:left="24"/>
              <w:rPr>
                <w:sz w:val="20"/>
              </w:rPr>
            </w:pPr>
            <w:r w:rsidRPr="008D6E1C">
              <w:rPr>
                <w:sz w:val="20"/>
              </w:rPr>
              <w:t>N/A</w:t>
            </w:r>
          </w:p>
        </w:tc>
        <w:tc>
          <w:tcPr>
            <w:tcW w:w="1261" w:type="dxa"/>
            <w:tcBorders>
              <w:left w:val="single" w:sz="18" w:space="0" w:color="000000"/>
            </w:tcBorders>
          </w:tcPr>
          <w:p w14:paraId="41BFD2CE" w14:textId="77777777" w:rsidR="00575022" w:rsidRPr="008D6E1C" w:rsidRDefault="00575022" w:rsidP="00B619C5">
            <w:pPr>
              <w:pStyle w:val="TableParagraph"/>
              <w:spacing w:line="224" w:lineRule="exact"/>
              <w:ind w:left="64" w:right="84"/>
              <w:rPr>
                <w:sz w:val="20"/>
              </w:rPr>
            </w:pPr>
            <w:r w:rsidRPr="008D6E1C">
              <w:rPr>
                <w:sz w:val="20"/>
              </w:rPr>
              <w:t xml:space="preserve">2010 </w:t>
            </w:r>
          </w:p>
          <w:p w14:paraId="7706F975" w14:textId="77777777" w:rsidR="00575022" w:rsidRPr="008D6E1C" w:rsidRDefault="00575022" w:rsidP="00B619C5">
            <w:pPr>
              <w:pStyle w:val="TableParagraph"/>
              <w:spacing w:before="74"/>
              <w:ind w:left="64" w:right="84"/>
              <w:rPr>
                <w:sz w:val="20"/>
              </w:rPr>
            </w:pPr>
            <w:r w:rsidRPr="008D6E1C">
              <w:rPr>
                <w:sz w:val="20"/>
              </w:rPr>
              <w:t>(2009-11)</w:t>
            </w:r>
          </w:p>
        </w:tc>
        <w:tc>
          <w:tcPr>
            <w:tcW w:w="1113" w:type="dxa"/>
          </w:tcPr>
          <w:p w14:paraId="619CE86D" w14:textId="77777777" w:rsidR="00575022" w:rsidRPr="008D6E1C" w:rsidRDefault="00575022" w:rsidP="00B619C5">
            <w:pPr>
              <w:pStyle w:val="TableParagraph"/>
              <w:spacing w:line="224" w:lineRule="exact"/>
              <w:ind w:left="73" w:right="84"/>
              <w:rPr>
                <w:sz w:val="20"/>
              </w:rPr>
            </w:pPr>
            <w:r w:rsidRPr="008D6E1C">
              <w:rPr>
                <w:sz w:val="20"/>
              </w:rPr>
              <w:t xml:space="preserve">2006 </w:t>
            </w:r>
          </w:p>
          <w:p w14:paraId="5B8D7F3A" w14:textId="77777777" w:rsidR="00575022" w:rsidRPr="008D6E1C" w:rsidRDefault="00575022" w:rsidP="00B619C5">
            <w:pPr>
              <w:pStyle w:val="TableParagraph"/>
              <w:spacing w:before="74"/>
              <w:ind w:left="72" w:right="84"/>
              <w:rPr>
                <w:sz w:val="20"/>
              </w:rPr>
            </w:pPr>
            <w:r w:rsidRPr="008D6E1C">
              <w:rPr>
                <w:sz w:val="20"/>
              </w:rPr>
              <w:t>(2005-8)</w:t>
            </w:r>
          </w:p>
        </w:tc>
        <w:tc>
          <w:tcPr>
            <w:tcW w:w="1165" w:type="dxa"/>
            <w:tcBorders>
              <w:right w:val="single" w:sz="18" w:space="0" w:color="000000"/>
            </w:tcBorders>
          </w:tcPr>
          <w:p w14:paraId="5E56C7E8" w14:textId="77777777" w:rsidR="00575022" w:rsidRPr="008D6E1C" w:rsidRDefault="00575022" w:rsidP="00B619C5">
            <w:pPr>
              <w:pStyle w:val="TableParagraph"/>
              <w:spacing w:before="74"/>
              <w:ind w:left="81" w:right="68"/>
              <w:rPr>
                <w:sz w:val="20"/>
              </w:rPr>
            </w:pPr>
            <w:r w:rsidRPr="008D6E1C">
              <w:rPr>
                <w:sz w:val="20"/>
              </w:rPr>
              <w:t>N/A</w:t>
            </w:r>
          </w:p>
        </w:tc>
        <w:tc>
          <w:tcPr>
            <w:tcW w:w="1417" w:type="dxa"/>
            <w:tcBorders>
              <w:left w:val="single" w:sz="18" w:space="0" w:color="000000"/>
            </w:tcBorders>
          </w:tcPr>
          <w:p w14:paraId="42400871" w14:textId="77777777" w:rsidR="00575022" w:rsidRPr="008D6E1C" w:rsidRDefault="00575022" w:rsidP="00B619C5">
            <w:pPr>
              <w:pStyle w:val="TableParagraph"/>
              <w:spacing w:line="224" w:lineRule="exact"/>
              <w:ind w:left="63" w:right="84"/>
              <w:rPr>
                <w:sz w:val="20"/>
              </w:rPr>
            </w:pPr>
            <w:r w:rsidRPr="008D6E1C">
              <w:rPr>
                <w:sz w:val="20"/>
              </w:rPr>
              <w:t xml:space="preserve">2006 </w:t>
            </w:r>
          </w:p>
          <w:p w14:paraId="2D90A5E0" w14:textId="77777777" w:rsidR="00575022" w:rsidRPr="008D6E1C" w:rsidRDefault="00575022" w:rsidP="00B619C5">
            <w:pPr>
              <w:pStyle w:val="TableParagraph"/>
              <w:spacing w:before="74"/>
              <w:ind w:left="63" w:right="84"/>
              <w:rPr>
                <w:sz w:val="20"/>
              </w:rPr>
            </w:pPr>
            <w:r w:rsidRPr="008D6E1C">
              <w:rPr>
                <w:sz w:val="20"/>
              </w:rPr>
              <w:t>(2003-6)</w:t>
            </w:r>
          </w:p>
        </w:tc>
        <w:tc>
          <w:tcPr>
            <w:tcW w:w="972" w:type="dxa"/>
          </w:tcPr>
          <w:p w14:paraId="21385F83" w14:textId="77777777" w:rsidR="00575022" w:rsidRPr="008D6E1C" w:rsidRDefault="00575022" w:rsidP="00B619C5">
            <w:pPr>
              <w:pStyle w:val="TableParagraph"/>
              <w:spacing w:line="224" w:lineRule="exact"/>
              <w:ind w:left="70" w:right="83"/>
              <w:rPr>
                <w:sz w:val="20"/>
              </w:rPr>
            </w:pPr>
            <w:r w:rsidRPr="008D6E1C">
              <w:rPr>
                <w:sz w:val="20"/>
              </w:rPr>
              <w:t>2006</w:t>
            </w:r>
          </w:p>
          <w:p w14:paraId="0AB4F5F7" w14:textId="77777777" w:rsidR="00575022" w:rsidRPr="008D6E1C" w:rsidRDefault="00575022" w:rsidP="00B619C5">
            <w:pPr>
              <w:pStyle w:val="TableParagraph"/>
              <w:spacing w:before="74"/>
              <w:ind w:left="69" w:right="83"/>
              <w:rPr>
                <w:sz w:val="20"/>
              </w:rPr>
            </w:pPr>
            <w:r w:rsidRPr="008D6E1C">
              <w:rPr>
                <w:sz w:val="20"/>
              </w:rPr>
              <w:t>(2005-8)</w:t>
            </w:r>
          </w:p>
        </w:tc>
        <w:tc>
          <w:tcPr>
            <w:tcW w:w="1134" w:type="dxa"/>
            <w:tcBorders>
              <w:right w:val="single" w:sz="18" w:space="0" w:color="000000"/>
            </w:tcBorders>
          </w:tcPr>
          <w:p w14:paraId="5B4CC23F" w14:textId="77777777" w:rsidR="00575022" w:rsidRPr="008D6E1C" w:rsidRDefault="00575022" w:rsidP="00B619C5">
            <w:pPr>
              <w:pStyle w:val="TableParagraph"/>
              <w:spacing w:before="74"/>
              <w:ind w:left="79" w:right="83"/>
              <w:rPr>
                <w:sz w:val="20"/>
              </w:rPr>
            </w:pPr>
            <w:r w:rsidRPr="008D6E1C">
              <w:rPr>
                <w:sz w:val="20"/>
              </w:rPr>
              <w:t>N/A</w:t>
            </w:r>
          </w:p>
        </w:tc>
        <w:tc>
          <w:tcPr>
            <w:tcW w:w="1134" w:type="dxa"/>
            <w:tcBorders>
              <w:left w:val="single" w:sz="18" w:space="0" w:color="000000"/>
            </w:tcBorders>
          </w:tcPr>
          <w:p w14:paraId="2AC4C999" w14:textId="77777777" w:rsidR="00575022" w:rsidRPr="000B05BB" w:rsidRDefault="00575022" w:rsidP="00B619C5">
            <w:pPr>
              <w:pStyle w:val="TableParagraph"/>
              <w:rPr>
                <w:bCs/>
                <w:sz w:val="20"/>
                <w:szCs w:val="20"/>
              </w:rPr>
            </w:pPr>
            <w:r w:rsidRPr="000B05BB">
              <w:rPr>
                <w:bCs/>
                <w:sz w:val="20"/>
                <w:szCs w:val="20"/>
              </w:rPr>
              <w:t>1996</w:t>
            </w:r>
          </w:p>
          <w:p w14:paraId="5A76BCD6" w14:textId="77777777" w:rsidR="00575022" w:rsidRPr="000B05BB" w:rsidRDefault="00575022" w:rsidP="00B619C5">
            <w:pPr>
              <w:pStyle w:val="TableParagraph"/>
              <w:rPr>
                <w:sz w:val="20"/>
                <w:szCs w:val="20"/>
              </w:rPr>
            </w:pPr>
            <w:r w:rsidRPr="000B05BB">
              <w:rPr>
                <w:bCs/>
                <w:sz w:val="20"/>
                <w:szCs w:val="20"/>
              </w:rPr>
              <w:t>(1995-7)</w:t>
            </w:r>
          </w:p>
        </w:tc>
        <w:tc>
          <w:tcPr>
            <w:tcW w:w="1134" w:type="dxa"/>
          </w:tcPr>
          <w:p w14:paraId="183737CF" w14:textId="77777777" w:rsidR="00575022" w:rsidRPr="000B05BB" w:rsidRDefault="00575022" w:rsidP="00B619C5">
            <w:pPr>
              <w:pStyle w:val="TableParagraph"/>
              <w:rPr>
                <w:bCs/>
                <w:sz w:val="20"/>
                <w:szCs w:val="20"/>
              </w:rPr>
            </w:pPr>
            <w:r w:rsidRPr="000B05BB">
              <w:rPr>
                <w:bCs/>
                <w:sz w:val="20"/>
                <w:szCs w:val="20"/>
              </w:rPr>
              <w:t>1992</w:t>
            </w:r>
          </w:p>
          <w:p w14:paraId="1964C06A" w14:textId="77777777" w:rsidR="00575022" w:rsidRPr="000B05BB" w:rsidRDefault="00575022" w:rsidP="00B619C5">
            <w:pPr>
              <w:pStyle w:val="TableParagraph"/>
              <w:rPr>
                <w:sz w:val="20"/>
                <w:szCs w:val="20"/>
              </w:rPr>
            </w:pPr>
            <w:r w:rsidRPr="000B05BB">
              <w:rPr>
                <w:bCs/>
                <w:sz w:val="20"/>
                <w:szCs w:val="20"/>
              </w:rPr>
              <w:t>(1988-94)</w:t>
            </w:r>
          </w:p>
        </w:tc>
        <w:tc>
          <w:tcPr>
            <w:tcW w:w="1134" w:type="dxa"/>
            <w:tcBorders>
              <w:right w:val="single" w:sz="18" w:space="0" w:color="000000"/>
            </w:tcBorders>
          </w:tcPr>
          <w:p w14:paraId="49366F89" w14:textId="77777777" w:rsidR="00575022" w:rsidRPr="000B05BB" w:rsidRDefault="00575022" w:rsidP="00B619C5">
            <w:pPr>
              <w:pStyle w:val="TableParagraph"/>
              <w:rPr>
                <w:sz w:val="20"/>
                <w:szCs w:val="20"/>
              </w:rPr>
            </w:pPr>
            <w:r w:rsidRPr="000B05BB">
              <w:rPr>
                <w:sz w:val="20"/>
                <w:szCs w:val="20"/>
              </w:rPr>
              <w:t>N/A</w:t>
            </w:r>
          </w:p>
        </w:tc>
      </w:tr>
      <w:tr w:rsidR="00575022" w14:paraId="0D541F29" w14:textId="77777777" w:rsidTr="00B619C5">
        <w:trPr>
          <w:trHeight w:val="490"/>
          <w:jc w:val="center"/>
        </w:trPr>
        <w:tc>
          <w:tcPr>
            <w:tcW w:w="2715" w:type="dxa"/>
          </w:tcPr>
          <w:p w14:paraId="65C82873" w14:textId="77777777" w:rsidR="00575022" w:rsidRDefault="00575022" w:rsidP="00B619C5">
            <w:pPr>
              <w:pStyle w:val="TableParagraph"/>
              <w:spacing w:line="244" w:lineRule="exact"/>
              <w:ind w:left="110"/>
              <w:jc w:val="left"/>
              <w:rPr>
                <w:b/>
                <w:sz w:val="20"/>
              </w:rPr>
            </w:pPr>
            <w:r>
              <w:rPr>
                <w:b/>
                <w:sz w:val="20"/>
              </w:rPr>
              <w:t xml:space="preserve">Length of </w:t>
            </w:r>
            <w:proofErr w:type="spellStart"/>
            <w:r>
              <w:rPr>
                <w:b/>
                <w:sz w:val="20"/>
              </w:rPr>
              <w:t>setwise</w:t>
            </w:r>
            <w:proofErr w:type="spellEnd"/>
            <w:r>
              <w:rPr>
                <w:b/>
                <w:sz w:val="20"/>
              </w:rPr>
              <w:t>-censored follow-up, years</w:t>
            </w:r>
          </w:p>
          <w:p w14:paraId="4AC49EAA" w14:textId="77777777" w:rsidR="00575022" w:rsidRDefault="00575022" w:rsidP="00B619C5">
            <w:pPr>
              <w:pStyle w:val="TableParagraph"/>
              <w:spacing w:line="244" w:lineRule="exact"/>
              <w:ind w:left="110"/>
              <w:jc w:val="left"/>
              <w:rPr>
                <w:b/>
                <w:sz w:val="20"/>
              </w:rPr>
            </w:pPr>
            <w:r>
              <w:rPr>
                <w:b/>
                <w:sz w:val="20"/>
              </w:rPr>
              <w:t xml:space="preserve">   Median (IQR)</w:t>
            </w:r>
          </w:p>
        </w:tc>
        <w:tc>
          <w:tcPr>
            <w:tcW w:w="1134" w:type="dxa"/>
          </w:tcPr>
          <w:p w14:paraId="7407C642" w14:textId="77777777" w:rsidR="00575022" w:rsidRDefault="00575022" w:rsidP="00B619C5">
            <w:pPr>
              <w:pStyle w:val="TableParagraph"/>
              <w:spacing w:line="244" w:lineRule="exact"/>
              <w:ind w:left="91" w:right="81"/>
              <w:rPr>
                <w:sz w:val="20"/>
              </w:rPr>
            </w:pPr>
            <w:r>
              <w:rPr>
                <w:sz w:val="20"/>
              </w:rPr>
              <w:t>7.6</w:t>
            </w:r>
          </w:p>
          <w:p w14:paraId="694DBE65" w14:textId="77777777" w:rsidR="00575022" w:rsidRDefault="00575022" w:rsidP="00B619C5">
            <w:pPr>
              <w:pStyle w:val="TableParagraph"/>
              <w:spacing w:before="1"/>
              <w:ind w:left="91" w:right="87"/>
              <w:rPr>
                <w:sz w:val="20"/>
              </w:rPr>
            </w:pPr>
            <w:r>
              <w:rPr>
                <w:sz w:val="20"/>
              </w:rPr>
              <w:t>(5.8 - 9.6)</w:t>
            </w:r>
          </w:p>
        </w:tc>
        <w:tc>
          <w:tcPr>
            <w:tcW w:w="1134" w:type="dxa"/>
          </w:tcPr>
          <w:p w14:paraId="668E2299" w14:textId="77777777" w:rsidR="00575022" w:rsidRDefault="00575022" w:rsidP="00B619C5">
            <w:pPr>
              <w:pStyle w:val="TableParagraph"/>
              <w:spacing w:line="244" w:lineRule="exact"/>
              <w:ind w:left="80" w:right="77"/>
              <w:rPr>
                <w:sz w:val="20"/>
              </w:rPr>
            </w:pPr>
            <w:r>
              <w:rPr>
                <w:sz w:val="20"/>
              </w:rPr>
              <w:t>7.6</w:t>
            </w:r>
          </w:p>
          <w:p w14:paraId="75D235B9" w14:textId="77777777" w:rsidR="00575022" w:rsidRDefault="00575022" w:rsidP="00B619C5">
            <w:pPr>
              <w:pStyle w:val="TableParagraph"/>
              <w:spacing w:before="1"/>
              <w:ind w:left="80" w:right="80"/>
              <w:rPr>
                <w:sz w:val="20"/>
              </w:rPr>
            </w:pPr>
            <w:r>
              <w:rPr>
                <w:sz w:val="20"/>
              </w:rPr>
              <w:t>(5.8 - 9.6)</w:t>
            </w:r>
          </w:p>
        </w:tc>
        <w:tc>
          <w:tcPr>
            <w:tcW w:w="1276" w:type="dxa"/>
            <w:tcBorders>
              <w:right w:val="single" w:sz="18" w:space="0" w:color="000000"/>
            </w:tcBorders>
          </w:tcPr>
          <w:p w14:paraId="1C63FADD" w14:textId="77777777" w:rsidR="00575022" w:rsidRDefault="00575022" w:rsidP="00B619C5">
            <w:pPr>
              <w:pStyle w:val="TableParagraph"/>
              <w:spacing w:line="244" w:lineRule="exact"/>
              <w:ind w:left="28"/>
              <w:rPr>
                <w:sz w:val="20"/>
              </w:rPr>
            </w:pPr>
            <w:r>
              <w:rPr>
                <w:sz w:val="20"/>
              </w:rPr>
              <w:t>0</w:t>
            </w:r>
          </w:p>
        </w:tc>
        <w:tc>
          <w:tcPr>
            <w:tcW w:w="1134" w:type="dxa"/>
            <w:tcBorders>
              <w:left w:val="single" w:sz="18" w:space="0" w:color="000000"/>
            </w:tcBorders>
          </w:tcPr>
          <w:p w14:paraId="429B9F1E" w14:textId="77777777" w:rsidR="00575022" w:rsidRDefault="00575022" w:rsidP="00B619C5">
            <w:pPr>
              <w:pStyle w:val="TableParagraph"/>
              <w:spacing w:line="244" w:lineRule="exact"/>
              <w:ind w:left="75" w:right="76"/>
              <w:rPr>
                <w:sz w:val="20"/>
              </w:rPr>
            </w:pPr>
            <w:r>
              <w:rPr>
                <w:sz w:val="20"/>
              </w:rPr>
              <w:t>4.5</w:t>
            </w:r>
          </w:p>
          <w:p w14:paraId="67340987" w14:textId="77777777" w:rsidR="00575022" w:rsidRDefault="00575022" w:rsidP="00B619C5">
            <w:pPr>
              <w:pStyle w:val="TableParagraph"/>
              <w:spacing w:before="1"/>
              <w:ind w:left="71" w:right="77"/>
              <w:rPr>
                <w:sz w:val="20"/>
              </w:rPr>
            </w:pPr>
            <w:r>
              <w:rPr>
                <w:sz w:val="20"/>
              </w:rPr>
              <w:t>(4.3 - 5.1)</w:t>
            </w:r>
          </w:p>
        </w:tc>
        <w:tc>
          <w:tcPr>
            <w:tcW w:w="1134" w:type="dxa"/>
          </w:tcPr>
          <w:p w14:paraId="525E72C2" w14:textId="77777777" w:rsidR="00575022" w:rsidRDefault="00575022" w:rsidP="00B619C5">
            <w:pPr>
              <w:pStyle w:val="TableParagraph"/>
              <w:spacing w:line="244" w:lineRule="exact"/>
              <w:ind w:left="80" w:right="79"/>
              <w:rPr>
                <w:sz w:val="20"/>
              </w:rPr>
            </w:pPr>
            <w:r>
              <w:rPr>
                <w:sz w:val="20"/>
              </w:rPr>
              <w:t>4.5</w:t>
            </w:r>
          </w:p>
          <w:p w14:paraId="0C6559D7" w14:textId="77777777" w:rsidR="00575022" w:rsidRDefault="00575022" w:rsidP="00B619C5">
            <w:pPr>
              <w:pStyle w:val="TableParagraph"/>
              <w:spacing w:before="1"/>
              <w:ind w:left="80" w:right="82"/>
              <w:rPr>
                <w:sz w:val="20"/>
              </w:rPr>
            </w:pPr>
            <w:r>
              <w:rPr>
                <w:sz w:val="20"/>
              </w:rPr>
              <w:t>(4.3 - 5.1)</w:t>
            </w:r>
          </w:p>
        </w:tc>
        <w:tc>
          <w:tcPr>
            <w:tcW w:w="1275" w:type="dxa"/>
            <w:tcBorders>
              <w:right w:val="single" w:sz="18" w:space="0" w:color="000000"/>
            </w:tcBorders>
          </w:tcPr>
          <w:p w14:paraId="27344D05" w14:textId="77777777" w:rsidR="00575022" w:rsidRDefault="00575022" w:rsidP="00B619C5">
            <w:pPr>
              <w:pStyle w:val="TableParagraph"/>
              <w:spacing w:line="244" w:lineRule="exact"/>
              <w:ind w:left="24"/>
              <w:rPr>
                <w:sz w:val="20"/>
              </w:rPr>
            </w:pPr>
            <w:r>
              <w:rPr>
                <w:sz w:val="20"/>
              </w:rPr>
              <w:t>0</w:t>
            </w:r>
          </w:p>
        </w:tc>
        <w:tc>
          <w:tcPr>
            <w:tcW w:w="1261" w:type="dxa"/>
            <w:tcBorders>
              <w:left w:val="single" w:sz="18" w:space="0" w:color="000000"/>
            </w:tcBorders>
          </w:tcPr>
          <w:p w14:paraId="1C7B9056" w14:textId="77777777" w:rsidR="00575022" w:rsidRDefault="00575022" w:rsidP="00B619C5">
            <w:pPr>
              <w:pStyle w:val="TableParagraph"/>
              <w:spacing w:line="244" w:lineRule="exact"/>
              <w:ind w:left="70" w:right="84"/>
              <w:rPr>
                <w:sz w:val="20"/>
              </w:rPr>
            </w:pPr>
            <w:r>
              <w:rPr>
                <w:sz w:val="20"/>
              </w:rPr>
              <w:t>4.9</w:t>
            </w:r>
          </w:p>
          <w:p w14:paraId="4B5CECB6" w14:textId="77777777" w:rsidR="00575022" w:rsidRDefault="00575022" w:rsidP="00B619C5">
            <w:pPr>
              <w:pStyle w:val="TableParagraph"/>
              <w:spacing w:before="1"/>
              <w:ind w:left="63" w:right="84"/>
              <w:rPr>
                <w:sz w:val="20"/>
              </w:rPr>
            </w:pPr>
            <w:r>
              <w:rPr>
                <w:sz w:val="20"/>
              </w:rPr>
              <w:t>(4.4 - 5.8)</w:t>
            </w:r>
          </w:p>
        </w:tc>
        <w:tc>
          <w:tcPr>
            <w:tcW w:w="1113" w:type="dxa"/>
          </w:tcPr>
          <w:p w14:paraId="46F1E82B" w14:textId="77777777" w:rsidR="00575022" w:rsidRDefault="00575022" w:rsidP="00B619C5">
            <w:pPr>
              <w:pStyle w:val="TableParagraph"/>
              <w:spacing w:line="244" w:lineRule="exact"/>
              <w:ind w:left="78" w:right="84"/>
              <w:rPr>
                <w:sz w:val="20"/>
              </w:rPr>
            </w:pPr>
            <w:r>
              <w:rPr>
                <w:sz w:val="20"/>
              </w:rPr>
              <w:t>4.9</w:t>
            </w:r>
          </w:p>
          <w:p w14:paraId="4964A298" w14:textId="77777777" w:rsidR="00575022" w:rsidRDefault="00575022" w:rsidP="00B619C5">
            <w:pPr>
              <w:pStyle w:val="TableParagraph"/>
              <w:spacing w:before="1"/>
              <w:ind w:left="72" w:right="84"/>
              <w:rPr>
                <w:sz w:val="20"/>
              </w:rPr>
            </w:pPr>
            <w:r>
              <w:rPr>
                <w:sz w:val="20"/>
              </w:rPr>
              <w:t>(4.4 - 5.8)</w:t>
            </w:r>
          </w:p>
        </w:tc>
        <w:tc>
          <w:tcPr>
            <w:tcW w:w="1165" w:type="dxa"/>
            <w:tcBorders>
              <w:right w:val="single" w:sz="18" w:space="0" w:color="000000"/>
            </w:tcBorders>
          </w:tcPr>
          <w:p w14:paraId="34BE8D6B" w14:textId="77777777" w:rsidR="00575022" w:rsidRDefault="00575022" w:rsidP="00B619C5">
            <w:pPr>
              <w:pStyle w:val="TableParagraph"/>
              <w:spacing w:line="244" w:lineRule="exact"/>
              <w:ind w:left="14"/>
              <w:rPr>
                <w:sz w:val="20"/>
              </w:rPr>
            </w:pPr>
            <w:r>
              <w:rPr>
                <w:sz w:val="20"/>
              </w:rPr>
              <w:t>0</w:t>
            </w:r>
          </w:p>
        </w:tc>
        <w:tc>
          <w:tcPr>
            <w:tcW w:w="1417" w:type="dxa"/>
            <w:tcBorders>
              <w:left w:val="single" w:sz="18" w:space="0" w:color="000000"/>
            </w:tcBorders>
          </w:tcPr>
          <w:p w14:paraId="0D440071" w14:textId="77777777" w:rsidR="00575022" w:rsidRDefault="00575022" w:rsidP="00B619C5">
            <w:pPr>
              <w:pStyle w:val="TableParagraph"/>
              <w:spacing w:line="244" w:lineRule="exact"/>
              <w:ind w:left="63" w:right="78"/>
              <w:rPr>
                <w:sz w:val="20"/>
              </w:rPr>
            </w:pPr>
            <w:r>
              <w:rPr>
                <w:sz w:val="20"/>
              </w:rPr>
              <w:t>7.4</w:t>
            </w:r>
          </w:p>
          <w:p w14:paraId="04D195DE" w14:textId="77777777" w:rsidR="00575022" w:rsidRDefault="00575022" w:rsidP="00B619C5">
            <w:pPr>
              <w:pStyle w:val="TableParagraph"/>
              <w:spacing w:before="1"/>
              <w:ind w:left="59" w:right="85"/>
              <w:rPr>
                <w:sz w:val="20"/>
              </w:rPr>
            </w:pPr>
            <w:r>
              <w:rPr>
                <w:sz w:val="20"/>
              </w:rPr>
              <w:t>(6 - 8.6)</w:t>
            </w:r>
          </w:p>
        </w:tc>
        <w:tc>
          <w:tcPr>
            <w:tcW w:w="972" w:type="dxa"/>
          </w:tcPr>
          <w:p w14:paraId="776F1C91" w14:textId="77777777" w:rsidR="00575022" w:rsidRDefault="00575022" w:rsidP="00B619C5">
            <w:pPr>
              <w:pStyle w:val="TableParagraph"/>
              <w:spacing w:line="244" w:lineRule="exact"/>
              <w:ind w:left="75" w:right="83"/>
              <w:rPr>
                <w:sz w:val="20"/>
              </w:rPr>
            </w:pPr>
            <w:r>
              <w:rPr>
                <w:sz w:val="20"/>
              </w:rPr>
              <w:t>7.4</w:t>
            </w:r>
          </w:p>
          <w:p w14:paraId="7CA7EC58" w14:textId="77777777" w:rsidR="00575022" w:rsidRDefault="00575022" w:rsidP="00B619C5">
            <w:pPr>
              <w:pStyle w:val="TableParagraph"/>
              <w:spacing w:before="1"/>
              <w:ind w:left="74" w:right="83"/>
              <w:rPr>
                <w:sz w:val="20"/>
              </w:rPr>
            </w:pPr>
            <w:r>
              <w:rPr>
                <w:sz w:val="20"/>
              </w:rPr>
              <w:t>(6 - 8.6)</w:t>
            </w:r>
          </w:p>
        </w:tc>
        <w:tc>
          <w:tcPr>
            <w:tcW w:w="1134" w:type="dxa"/>
            <w:tcBorders>
              <w:right w:val="single" w:sz="18" w:space="0" w:color="000000"/>
            </w:tcBorders>
          </w:tcPr>
          <w:p w14:paraId="5122EDF8" w14:textId="77777777" w:rsidR="00575022" w:rsidRDefault="00575022" w:rsidP="00B619C5">
            <w:pPr>
              <w:pStyle w:val="TableParagraph"/>
              <w:spacing w:line="244" w:lineRule="exact"/>
              <w:ind w:right="4"/>
              <w:rPr>
                <w:sz w:val="20"/>
              </w:rPr>
            </w:pPr>
            <w:r>
              <w:rPr>
                <w:sz w:val="20"/>
              </w:rPr>
              <w:t>0</w:t>
            </w:r>
          </w:p>
        </w:tc>
        <w:tc>
          <w:tcPr>
            <w:tcW w:w="1134" w:type="dxa"/>
            <w:tcBorders>
              <w:left w:val="single" w:sz="18" w:space="0" w:color="000000"/>
            </w:tcBorders>
          </w:tcPr>
          <w:p w14:paraId="441022A1" w14:textId="77777777" w:rsidR="00575022" w:rsidRPr="000B05BB" w:rsidRDefault="00575022" w:rsidP="00B619C5">
            <w:pPr>
              <w:pStyle w:val="TableParagraph"/>
              <w:rPr>
                <w:sz w:val="20"/>
                <w:szCs w:val="20"/>
              </w:rPr>
            </w:pPr>
            <w:r w:rsidRPr="000B05BB">
              <w:rPr>
                <w:sz w:val="20"/>
                <w:szCs w:val="20"/>
              </w:rPr>
              <w:t>13.4</w:t>
            </w:r>
          </w:p>
          <w:p w14:paraId="3A0D44AB" w14:textId="77777777" w:rsidR="00575022" w:rsidRPr="000B05BB" w:rsidRDefault="00575022" w:rsidP="00B619C5">
            <w:pPr>
              <w:pStyle w:val="TableParagraph"/>
              <w:rPr>
                <w:sz w:val="20"/>
                <w:szCs w:val="20"/>
              </w:rPr>
            </w:pPr>
            <w:r w:rsidRPr="000B05BB">
              <w:rPr>
                <w:sz w:val="20"/>
                <w:szCs w:val="20"/>
              </w:rPr>
              <w:t>(11 - 18.1)</w:t>
            </w:r>
          </w:p>
        </w:tc>
        <w:tc>
          <w:tcPr>
            <w:tcW w:w="1134" w:type="dxa"/>
          </w:tcPr>
          <w:p w14:paraId="2A102738" w14:textId="77777777" w:rsidR="00575022" w:rsidRPr="000B05BB" w:rsidRDefault="00575022" w:rsidP="00B619C5">
            <w:pPr>
              <w:pStyle w:val="TableParagraph"/>
              <w:rPr>
                <w:sz w:val="20"/>
                <w:szCs w:val="20"/>
              </w:rPr>
            </w:pPr>
            <w:r w:rsidRPr="000B05BB">
              <w:rPr>
                <w:sz w:val="20"/>
                <w:szCs w:val="20"/>
              </w:rPr>
              <w:t>13.4</w:t>
            </w:r>
          </w:p>
          <w:p w14:paraId="48BD53AE" w14:textId="77777777" w:rsidR="00575022" w:rsidRPr="000B05BB" w:rsidRDefault="00575022" w:rsidP="00B619C5">
            <w:pPr>
              <w:pStyle w:val="TableParagraph"/>
              <w:rPr>
                <w:sz w:val="20"/>
                <w:szCs w:val="20"/>
              </w:rPr>
            </w:pPr>
            <w:r w:rsidRPr="000B05BB">
              <w:rPr>
                <w:sz w:val="20"/>
                <w:szCs w:val="20"/>
              </w:rPr>
              <w:t>(11 - 18.1)</w:t>
            </w:r>
          </w:p>
        </w:tc>
        <w:tc>
          <w:tcPr>
            <w:tcW w:w="1134" w:type="dxa"/>
            <w:tcBorders>
              <w:right w:val="single" w:sz="18" w:space="0" w:color="000000"/>
            </w:tcBorders>
          </w:tcPr>
          <w:p w14:paraId="224006DD" w14:textId="77777777" w:rsidR="00575022" w:rsidRPr="000B05BB" w:rsidRDefault="00575022" w:rsidP="00B619C5">
            <w:pPr>
              <w:pStyle w:val="TableParagraph"/>
              <w:rPr>
                <w:sz w:val="20"/>
                <w:szCs w:val="20"/>
              </w:rPr>
            </w:pPr>
            <w:r w:rsidRPr="000B05BB">
              <w:rPr>
                <w:sz w:val="20"/>
                <w:szCs w:val="20"/>
              </w:rPr>
              <w:t>0</w:t>
            </w:r>
          </w:p>
        </w:tc>
      </w:tr>
      <w:tr w:rsidR="00575022" w14:paraId="510BEB27" w14:textId="77777777" w:rsidTr="00B619C5">
        <w:trPr>
          <w:trHeight w:val="485"/>
          <w:jc w:val="center"/>
        </w:trPr>
        <w:tc>
          <w:tcPr>
            <w:tcW w:w="2715" w:type="dxa"/>
          </w:tcPr>
          <w:p w14:paraId="6F3C1752" w14:textId="77777777" w:rsidR="00575022" w:rsidRDefault="00575022" w:rsidP="00B619C5">
            <w:pPr>
              <w:pStyle w:val="TableParagraph"/>
              <w:spacing w:line="244" w:lineRule="exact"/>
              <w:ind w:left="110"/>
              <w:jc w:val="left"/>
              <w:rPr>
                <w:b/>
                <w:sz w:val="20"/>
              </w:rPr>
            </w:pPr>
            <w:r>
              <w:rPr>
                <w:b/>
                <w:sz w:val="20"/>
              </w:rPr>
              <w:t>EDSS frequency during follow up, per year</w:t>
            </w:r>
          </w:p>
          <w:p w14:paraId="6F57A42A" w14:textId="77777777" w:rsidR="00575022" w:rsidRDefault="00575022" w:rsidP="00B619C5">
            <w:pPr>
              <w:pStyle w:val="TableParagraph"/>
              <w:spacing w:line="239" w:lineRule="exact"/>
              <w:ind w:left="110"/>
              <w:jc w:val="left"/>
              <w:rPr>
                <w:b/>
                <w:sz w:val="20"/>
              </w:rPr>
            </w:pPr>
            <w:r>
              <w:rPr>
                <w:b/>
                <w:sz w:val="20"/>
              </w:rPr>
              <w:t xml:space="preserve">   Median (IQR)</w:t>
            </w:r>
          </w:p>
        </w:tc>
        <w:tc>
          <w:tcPr>
            <w:tcW w:w="1134" w:type="dxa"/>
          </w:tcPr>
          <w:p w14:paraId="1041D75F" w14:textId="77777777" w:rsidR="00575022" w:rsidRDefault="00575022" w:rsidP="00B619C5">
            <w:pPr>
              <w:pStyle w:val="TableParagraph"/>
              <w:spacing w:line="239" w:lineRule="exact"/>
              <w:ind w:left="91" w:right="81"/>
              <w:rPr>
                <w:sz w:val="20"/>
              </w:rPr>
            </w:pPr>
            <w:r>
              <w:rPr>
                <w:sz w:val="20"/>
              </w:rPr>
              <w:t>2</w:t>
            </w:r>
          </w:p>
          <w:p w14:paraId="48F01195" w14:textId="77777777" w:rsidR="00575022" w:rsidRDefault="00575022" w:rsidP="00B619C5">
            <w:pPr>
              <w:pStyle w:val="TableParagraph"/>
              <w:spacing w:before="1"/>
              <w:ind w:left="91" w:right="83"/>
              <w:rPr>
                <w:sz w:val="20"/>
              </w:rPr>
            </w:pPr>
            <w:r>
              <w:rPr>
                <w:sz w:val="20"/>
              </w:rPr>
              <w:t>(1 – 3.2)</w:t>
            </w:r>
          </w:p>
        </w:tc>
        <w:tc>
          <w:tcPr>
            <w:tcW w:w="1134" w:type="dxa"/>
          </w:tcPr>
          <w:p w14:paraId="3CDF5234" w14:textId="77777777" w:rsidR="00575022" w:rsidRDefault="00575022" w:rsidP="00B619C5">
            <w:pPr>
              <w:pStyle w:val="TableParagraph"/>
              <w:spacing w:line="239" w:lineRule="exact"/>
              <w:ind w:left="80" w:right="77"/>
              <w:rPr>
                <w:sz w:val="20"/>
              </w:rPr>
            </w:pPr>
            <w:r>
              <w:rPr>
                <w:sz w:val="20"/>
              </w:rPr>
              <w:t>1</w:t>
            </w:r>
          </w:p>
          <w:p w14:paraId="5E615CE5" w14:textId="77777777" w:rsidR="00575022" w:rsidRDefault="00575022" w:rsidP="00B619C5">
            <w:pPr>
              <w:pStyle w:val="TableParagraph"/>
              <w:spacing w:before="1"/>
              <w:ind w:left="80" w:right="80"/>
              <w:rPr>
                <w:sz w:val="20"/>
              </w:rPr>
            </w:pPr>
            <w:r>
              <w:rPr>
                <w:sz w:val="20"/>
              </w:rPr>
              <w:t>(0.7 - 1.5)</w:t>
            </w:r>
          </w:p>
        </w:tc>
        <w:tc>
          <w:tcPr>
            <w:tcW w:w="1276" w:type="dxa"/>
            <w:tcBorders>
              <w:right w:val="single" w:sz="18" w:space="0" w:color="000000"/>
            </w:tcBorders>
          </w:tcPr>
          <w:p w14:paraId="5835AC62" w14:textId="77777777" w:rsidR="00575022" w:rsidRDefault="00575022" w:rsidP="00B619C5">
            <w:pPr>
              <w:pStyle w:val="TableParagraph"/>
              <w:spacing w:line="239" w:lineRule="exact"/>
              <w:ind w:left="84" w:right="54"/>
              <w:rPr>
                <w:sz w:val="20"/>
              </w:rPr>
            </w:pPr>
            <w:r>
              <w:rPr>
                <w:sz w:val="20"/>
              </w:rPr>
              <w:t>0.75</w:t>
            </w:r>
          </w:p>
        </w:tc>
        <w:tc>
          <w:tcPr>
            <w:tcW w:w="1134" w:type="dxa"/>
            <w:tcBorders>
              <w:left w:val="single" w:sz="18" w:space="0" w:color="000000"/>
            </w:tcBorders>
          </w:tcPr>
          <w:p w14:paraId="1E231AB9" w14:textId="77777777" w:rsidR="00575022" w:rsidRDefault="00575022" w:rsidP="00B619C5">
            <w:pPr>
              <w:pStyle w:val="TableParagraph"/>
              <w:spacing w:line="239" w:lineRule="exact"/>
              <w:ind w:left="75" w:right="76"/>
              <w:rPr>
                <w:sz w:val="20"/>
              </w:rPr>
            </w:pPr>
            <w:r>
              <w:rPr>
                <w:sz w:val="20"/>
              </w:rPr>
              <w:t>1.6</w:t>
            </w:r>
          </w:p>
          <w:p w14:paraId="43C4ECFF" w14:textId="77777777" w:rsidR="00575022" w:rsidRDefault="00575022" w:rsidP="00B619C5">
            <w:pPr>
              <w:pStyle w:val="TableParagraph"/>
              <w:spacing w:before="1"/>
              <w:ind w:left="71" w:right="77"/>
              <w:rPr>
                <w:sz w:val="20"/>
              </w:rPr>
            </w:pPr>
            <w:r>
              <w:rPr>
                <w:sz w:val="20"/>
              </w:rPr>
              <w:t>(1.1 - 2.6)</w:t>
            </w:r>
          </w:p>
        </w:tc>
        <w:tc>
          <w:tcPr>
            <w:tcW w:w="1134" w:type="dxa"/>
          </w:tcPr>
          <w:p w14:paraId="74C4B88B" w14:textId="77777777" w:rsidR="00575022" w:rsidRDefault="00575022" w:rsidP="00B619C5">
            <w:pPr>
              <w:pStyle w:val="TableParagraph"/>
              <w:spacing w:line="239" w:lineRule="exact"/>
              <w:ind w:left="1"/>
              <w:rPr>
                <w:sz w:val="20"/>
              </w:rPr>
            </w:pPr>
            <w:r>
              <w:rPr>
                <w:sz w:val="20"/>
              </w:rPr>
              <w:t>1</w:t>
            </w:r>
          </w:p>
          <w:p w14:paraId="39E89865" w14:textId="77777777" w:rsidR="00575022" w:rsidRDefault="00575022" w:rsidP="00B619C5">
            <w:pPr>
              <w:pStyle w:val="TableParagraph"/>
              <w:spacing w:before="1"/>
              <w:ind w:left="80" w:right="82"/>
              <w:rPr>
                <w:sz w:val="20"/>
              </w:rPr>
            </w:pPr>
            <w:r>
              <w:rPr>
                <w:sz w:val="20"/>
              </w:rPr>
              <w:t>(0.7 - 1.5)</w:t>
            </w:r>
          </w:p>
        </w:tc>
        <w:tc>
          <w:tcPr>
            <w:tcW w:w="1275" w:type="dxa"/>
            <w:tcBorders>
              <w:right w:val="single" w:sz="18" w:space="0" w:color="000000"/>
            </w:tcBorders>
          </w:tcPr>
          <w:p w14:paraId="2B2B23C0" w14:textId="77777777" w:rsidR="00575022" w:rsidRDefault="00575022" w:rsidP="00B619C5">
            <w:pPr>
              <w:pStyle w:val="TableParagraph"/>
              <w:spacing w:line="239" w:lineRule="exact"/>
              <w:ind w:left="84" w:right="56"/>
              <w:rPr>
                <w:sz w:val="20"/>
              </w:rPr>
            </w:pPr>
            <w:r>
              <w:rPr>
                <w:sz w:val="20"/>
              </w:rPr>
              <w:t>0.58</w:t>
            </w:r>
          </w:p>
        </w:tc>
        <w:tc>
          <w:tcPr>
            <w:tcW w:w="1261" w:type="dxa"/>
            <w:tcBorders>
              <w:left w:val="single" w:sz="18" w:space="0" w:color="000000"/>
            </w:tcBorders>
          </w:tcPr>
          <w:p w14:paraId="3107340C" w14:textId="77777777" w:rsidR="00575022" w:rsidRDefault="00575022" w:rsidP="00B619C5">
            <w:pPr>
              <w:pStyle w:val="TableParagraph"/>
              <w:spacing w:line="239" w:lineRule="exact"/>
              <w:ind w:left="70" w:right="84"/>
              <w:rPr>
                <w:sz w:val="20"/>
              </w:rPr>
            </w:pPr>
            <w:r>
              <w:rPr>
                <w:sz w:val="20"/>
              </w:rPr>
              <w:t>1.9</w:t>
            </w:r>
          </w:p>
          <w:p w14:paraId="7C648C25" w14:textId="77777777" w:rsidR="00575022" w:rsidRDefault="00575022" w:rsidP="00B619C5">
            <w:pPr>
              <w:pStyle w:val="TableParagraph"/>
              <w:spacing w:before="1"/>
              <w:ind w:left="63" w:right="84"/>
              <w:rPr>
                <w:sz w:val="20"/>
              </w:rPr>
            </w:pPr>
            <w:r>
              <w:rPr>
                <w:sz w:val="20"/>
              </w:rPr>
              <w:t>(1.3 - 2.9)</w:t>
            </w:r>
          </w:p>
        </w:tc>
        <w:tc>
          <w:tcPr>
            <w:tcW w:w="1113" w:type="dxa"/>
          </w:tcPr>
          <w:p w14:paraId="386154D6" w14:textId="77777777" w:rsidR="00575022" w:rsidRDefault="00575022" w:rsidP="00B619C5">
            <w:pPr>
              <w:pStyle w:val="TableParagraph"/>
              <w:spacing w:line="239" w:lineRule="exact"/>
              <w:ind w:left="78" w:right="84"/>
              <w:rPr>
                <w:sz w:val="20"/>
              </w:rPr>
            </w:pPr>
            <w:r>
              <w:rPr>
                <w:sz w:val="20"/>
              </w:rPr>
              <w:t>1.2</w:t>
            </w:r>
          </w:p>
          <w:p w14:paraId="09007714" w14:textId="77777777" w:rsidR="00575022" w:rsidRDefault="00575022" w:rsidP="00B619C5">
            <w:pPr>
              <w:pStyle w:val="TableParagraph"/>
              <w:spacing w:before="1"/>
              <w:ind w:left="72" w:right="84"/>
              <w:rPr>
                <w:sz w:val="20"/>
              </w:rPr>
            </w:pPr>
            <w:r>
              <w:rPr>
                <w:sz w:val="20"/>
              </w:rPr>
              <w:t>(0.7 - 1.8)</w:t>
            </w:r>
          </w:p>
        </w:tc>
        <w:tc>
          <w:tcPr>
            <w:tcW w:w="1165" w:type="dxa"/>
            <w:tcBorders>
              <w:right w:val="single" w:sz="18" w:space="0" w:color="000000"/>
            </w:tcBorders>
          </w:tcPr>
          <w:p w14:paraId="71E4EBDE" w14:textId="77777777" w:rsidR="00575022" w:rsidRDefault="00575022" w:rsidP="00B619C5">
            <w:pPr>
              <w:pStyle w:val="TableParagraph"/>
              <w:spacing w:line="239" w:lineRule="exact"/>
              <w:ind w:left="81" w:right="64"/>
              <w:rPr>
                <w:sz w:val="20"/>
              </w:rPr>
            </w:pPr>
            <w:r>
              <w:rPr>
                <w:sz w:val="20"/>
              </w:rPr>
              <w:t>0.55</w:t>
            </w:r>
          </w:p>
        </w:tc>
        <w:tc>
          <w:tcPr>
            <w:tcW w:w="1417" w:type="dxa"/>
            <w:tcBorders>
              <w:left w:val="single" w:sz="18" w:space="0" w:color="000000"/>
            </w:tcBorders>
          </w:tcPr>
          <w:p w14:paraId="763986ED" w14:textId="77777777" w:rsidR="00575022" w:rsidRDefault="00575022" w:rsidP="00B619C5">
            <w:pPr>
              <w:pStyle w:val="TableParagraph"/>
              <w:spacing w:line="239" w:lineRule="exact"/>
              <w:ind w:left="63" w:right="78"/>
              <w:rPr>
                <w:sz w:val="20"/>
              </w:rPr>
            </w:pPr>
            <w:r>
              <w:rPr>
                <w:sz w:val="20"/>
              </w:rPr>
              <w:t>1.1</w:t>
            </w:r>
          </w:p>
          <w:p w14:paraId="17FA25DD" w14:textId="77777777" w:rsidR="00575022" w:rsidRDefault="00575022" w:rsidP="00B619C5">
            <w:pPr>
              <w:pStyle w:val="TableParagraph"/>
              <w:spacing w:before="1"/>
              <w:ind w:left="63" w:right="85"/>
              <w:rPr>
                <w:sz w:val="20"/>
              </w:rPr>
            </w:pPr>
            <w:r>
              <w:rPr>
                <w:sz w:val="20"/>
              </w:rPr>
              <w:t>(0.9 - 1.5)</w:t>
            </w:r>
          </w:p>
        </w:tc>
        <w:tc>
          <w:tcPr>
            <w:tcW w:w="972" w:type="dxa"/>
          </w:tcPr>
          <w:p w14:paraId="728B5B2F" w14:textId="77777777" w:rsidR="00575022" w:rsidRDefault="00575022" w:rsidP="00B619C5">
            <w:pPr>
              <w:pStyle w:val="TableParagraph"/>
              <w:spacing w:line="239" w:lineRule="exact"/>
              <w:ind w:left="75" w:right="83"/>
              <w:rPr>
                <w:sz w:val="20"/>
              </w:rPr>
            </w:pPr>
            <w:r>
              <w:rPr>
                <w:sz w:val="20"/>
              </w:rPr>
              <w:t>1.2</w:t>
            </w:r>
          </w:p>
          <w:p w14:paraId="67361A59" w14:textId="77777777" w:rsidR="00575022" w:rsidRDefault="00575022" w:rsidP="00B619C5">
            <w:pPr>
              <w:pStyle w:val="TableParagraph"/>
              <w:spacing w:before="1"/>
              <w:ind w:left="69" w:right="83"/>
              <w:rPr>
                <w:sz w:val="20"/>
              </w:rPr>
            </w:pPr>
            <w:r>
              <w:rPr>
                <w:sz w:val="20"/>
              </w:rPr>
              <w:t>(0.9 - 1.9)</w:t>
            </w:r>
          </w:p>
        </w:tc>
        <w:tc>
          <w:tcPr>
            <w:tcW w:w="1134" w:type="dxa"/>
            <w:tcBorders>
              <w:right w:val="single" w:sz="18" w:space="0" w:color="000000"/>
            </w:tcBorders>
          </w:tcPr>
          <w:p w14:paraId="219DC756" w14:textId="77777777" w:rsidR="00575022" w:rsidRDefault="00575022" w:rsidP="00B619C5">
            <w:pPr>
              <w:pStyle w:val="TableParagraph"/>
              <w:spacing w:line="239" w:lineRule="exact"/>
              <w:ind w:left="65" w:right="86"/>
              <w:rPr>
                <w:sz w:val="20"/>
              </w:rPr>
            </w:pPr>
            <w:r>
              <w:rPr>
                <w:sz w:val="20"/>
              </w:rPr>
              <w:t>0.11</w:t>
            </w:r>
          </w:p>
        </w:tc>
        <w:tc>
          <w:tcPr>
            <w:tcW w:w="1134" w:type="dxa"/>
            <w:tcBorders>
              <w:left w:val="single" w:sz="18" w:space="0" w:color="000000"/>
            </w:tcBorders>
          </w:tcPr>
          <w:p w14:paraId="3CF50383" w14:textId="77777777" w:rsidR="00575022" w:rsidRPr="000B05BB" w:rsidRDefault="00575022" w:rsidP="00B619C5">
            <w:pPr>
              <w:pStyle w:val="TableParagraph"/>
              <w:rPr>
                <w:sz w:val="20"/>
                <w:szCs w:val="20"/>
              </w:rPr>
            </w:pPr>
            <w:r w:rsidRPr="000B05BB">
              <w:rPr>
                <w:sz w:val="20"/>
                <w:szCs w:val="20"/>
              </w:rPr>
              <w:t>1.8</w:t>
            </w:r>
          </w:p>
          <w:p w14:paraId="1E948731" w14:textId="77777777" w:rsidR="00575022" w:rsidRPr="000B05BB" w:rsidRDefault="00575022" w:rsidP="00B619C5">
            <w:pPr>
              <w:pStyle w:val="TableParagraph"/>
              <w:rPr>
                <w:sz w:val="20"/>
                <w:szCs w:val="20"/>
              </w:rPr>
            </w:pPr>
            <w:r w:rsidRPr="000B05BB">
              <w:rPr>
                <w:sz w:val="20"/>
                <w:szCs w:val="20"/>
              </w:rPr>
              <w:t>(1.1 - 2.6)</w:t>
            </w:r>
          </w:p>
        </w:tc>
        <w:tc>
          <w:tcPr>
            <w:tcW w:w="1134" w:type="dxa"/>
          </w:tcPr>
          <w:p w14:paraId="43132B08" w14:textId="77777777" w:rsidR="00575022" w:rsidRPr="000B05BB" w:rsidRDefault="00575022" w:rsidP="00B619C5">
            <w:pPr>
              <w:pStyle w:val="TableParagraph"/>
              <w:rPr>
                <w:sz w:val="20"/>
                <w:szCs w:val="20"/>
              </w:rPr>
            </w:pPr>
            <w:r w:rsidRPr="000B05BB">
              <w:rPr>
                <w:sz w:val="20"/>
                <w:szCs w:val="20"/>
              </w:rPr>
              <w:t>1.4</w:t>
            </w:r>
          </w:p>
          <w:p w14:paraId="5166AFA4" w14:textId="77777777" w:rsidR="00575022" w:rsidRPr="000B05BB" w:rsidRDefault="00575022" w:rsidP="00B619C5">
            <w:pPr>
              <w:pStyle w:val="TableParagraph"/>
              <w:rPr>
                <w:sz w:val="20"/>
                <w:szCs w:val="20"/>
              </w:rPr>
            </w:pPr>
            <w:r w:rsidRPr="000B05BB">
              <w:rPr>
                <w:sz w:val="20"/>
                <w:szCs w:val="20"/>
              </w:rPr>
              <w:t>(0.9 - 2.1)</w:t>
            </w:r>
          </w:p>
        </w:tc>
        <w:tc>
          <w:tcPr>
            <w:tcW w:w="1134" w:type="dxa"/>
            <w:tcBorders>
              <w:right w:val="single" w:sz="18" w:space="0" w:color="000000"/>
            </w:tcBorders>
          </w:tcPr>
          <w:p w14:paraId="6B6D0955" w14:textId="77777777" w:rsidR="00575022" w:rsidRPr="000B05BB" w:rsidRDefault="00575022" w:rsidP="00B619C5">
            <w:pPr>
              <w:pStyle w:val="TableParagraph"/>
              <w:rPr>
                <w:sz w:val="20"/>
                <w:szCs w:val="20"/>
              </w:rPr>
            </w:pPr>
            <w:r w:rsidRPr="000B05BB">
              <w:rPr>
                <w:sz w:val="20"/>
                <w:szCs w:val="20"/>
              </w:rPr>
              <w:t>0.41</w:t>
            </w:r>
          </w:p>
        </w:tc>
      </w:tr>
      <w:tr w:rsidR="00575022" w14:paraId="698AF5C9" w14:textId="77777777" w:rsidTr="00B619C5">
        <w:trPr>
          <w:trHeight w:val="490"/>
          <w:jc w:val="center"/>
        </w:trPr>
        <w:tc>
          <w:tcPr>
            <w:tcW w:w="2715" w:type="dxa"/>
          </w:tcPr>
          <w:p w14:paraId="514918F3" w14:textId="77777777" w:rsidR="00575022" w:rsidRDefault="00575022" w:rsidP="00B619C5">
            <w:pPr>
              <w:pStyle w:val="TableParagraph"/>
              <w:spacing w:line="244" w:lineRule="exact"/>
              <w:ind w:left="110"/>
              <w:jc w:val="left"/>
              <w:rPr>
                <w:b/>
                <w:sz w:val="20"/>
              </w:rPr>
            </w:pPr>
            <w:r>
              <w:rPr>
                <w:b/>
                <w:sz w:val="20"/>
              </w:rPr>
              <w:t>Proportion of time on therapy before censor or SPMS</w:t>
            </w:r>
          </w:p>
          <w:p w14:paraId="7C4EFDB0" w14:textId="77777777" w:rsidR="00575022" w:rsidRDefault="00575022" w:rsidP="00B619C5">
            <w:pPr>
              <w:pStyle w:val="TableParagraph"/>
              <w:spacing w:line="244" w:lineRule="exact"/>
              <w:ind w:left="110"/>
              <w:jc w:val="left"/>
              <w:rPr>
                <w:b/>
                <w:sz w:val="20"/>
              </w:rPr>
            </w:pPr>
            <w:r>
              <w:rPr>
                <w:b/>
                <w:sz w:val="20"/>
              </w:rPr>
              <w:t xml:space="preserve">   Median (IQR)</w:t>
            </w:r>
          </w:p>
        </w:tc>
        <w:tc>
          <w:tcPr>
            <w:tcW w:w="1134" w:type="dxa"/>
          </w:tcPr>
          <w:p w14:paraId="7D6739DA" w14:textId="77777777" w:rsidR="00575022" w:rsidRDefault="00575022" w:rsidP="00B619C5">
            <w:pPr>
              <w:pStyle w:val="TableParagraph"/>
              <w:spacing w:line="244" w:lineRule="exact"/>
              <w:ind w:left="10"/>
              <w:rPr>
                <w:sz w:val="20"/>
              </w:rPr>
            </w:pPr>
            <w:r>
              <w:rPr>
                <w:sz w:val="20"/>
              </w:rPr>
              <w:t>1</w:t>
            </w:r>
          </w:p>
          <w:p w14:paraId="7C235634" w14:textId="77777777" w:rsidR="00575022" w:rsidRDefault="00575022" w:rsidP="00B619C5">
            <w:pPr>
              <w:pStyle w:val="TableParagraph"/>
              <w:spacing w:before="1"/>
              <w:ind w:left="91" w:right="83"/>
              <w:rPr>
                <w:sz w:val="20"/>
              </w:rPr>
            </w:pPr>
            <w:r>
              <w:rPr>
                <w:sz w:val="20"/>
              </w:rPr>
              <w:t>(0.9 - 1)</w:t>
            </w:r>
          </w:p>
        </w:tc>
        <w:tc>
          <w:tcPr>
            <w:tcW w:w="1134" w:type="dxa"/>
          </w:tcPr>
          <w:p w14:paraId="72AF0C63" w14:textId="77777777" w:rsidR="00575022" w:rsidRDefault="00575022" w:rsidP="00B619C5">
            <w:pPr>
              <w:pStyle w:val="TableParagraph"/>
              <w:spacing w:line="244" w:lineRule="exact"/>
              <w:ind w:left="80" w:right="78"/>
              <w:rPr>
                <w:sz w:val="20"/>
              </w:rPr>
            </w:pPr>
            <w:r>
              <w:rPr>
                <w:sz w:val="20"/>
              </w:rPr>
              <w:t>N/A</w:t>
            </w:r>
          </w:p>
        </w:tc>
        <w:tc>
          <w:tcPr>
            <w:tcW w:w="1276" w:type="dxa"/>
            <w:tcBorders>
              <w:right w:val="single" w:sz="18" w:space="0" w:color="000000"/>
            </w:tcBorders>
          </w:tcPr>
          <w:p w14:paraId="407B29C7" w14:textId="77777777" w:rsidR="00575022" w:rsidRDefault="00575022" w:rsidP="00B619C5">
            <w:pPr>
              <w:pStyle w:val="TableParagraph"/>
              <w:spacing w:line="244" w:lineRule="exact"/>
              <w:ind w:left="84" w:right="57"/>
              <w:rPr>
                <w:sz w:val="20"/>
              </w:rPr>
            </w:pPr>
            <w:r>
              <w:rPr>
                <w:sz w:val="20"/>
              </w:rPr>
              <w:t>N/A</w:t>
            </w:r>
          </w:p>
        </w:tc>
        <w:tc>
          <w:tcPr>
            <w:tcW w:w="1134" w:type="dxa"/>
            <w:tcBorders>
              <w:left w:val="single" w:sz="18" w:space="0" w:color="000000"/>
            </w:tcBorders>
          </w:tcPr>
          <w:p w14:paraId="4FFE7BDA" w14:textId="77777777" w:rsidR="00575022" w:rsidRDefault="00575022" w:rsidP="00B619C5">
            <w:pPr>
              <w:pStyle w:val="TableParagraph"/>
              <w:spacing w:line="244" w:lineRule="exact"/>
              <w:rPr>
                <w:sz w:val="20"/>
              </w:rPr>
            </w:pPr>
            <w:r>
              <w:rPr>
                <w:sz w:val="20"/>
              </w:rPr>
              <w:t>1</w:t>
            </w:r>
          </w:p>
          <w:p w14:paraId="70E23BC0" w14:textId="77777777" w:rsidR="00575022" w:rsidRDefault="00575022" w:rsidP="00B619C5">
            <w:pPr>
              <w:pStyle w:val="TableParagraph"/>
              <w:spacing w:before="1"/>
              <w:ind w:left="64" w:right="77"/>
              <w:rPr>
                <w:sz w:val="20"/>
              </w:rPr>
            </w:pPr>
            <w:r>
              <w:rPr>
                <w:sz w:val="20"/>
              </w:rPr>
              <w:t>(1 - 1)</w:t>
            </w:r>
          </w:p>
        </w:tc>
        <w:tc>
          <w:tcPr>
            <w:tcW w:w="1134" w:type="dxa"/>
          </w:tcPr>
          <w:p w14:paraId="321B219F" w14:textId="77777777" w:rsidR="00575022" w:rsidRDefault="00575022" w:rsidP="00B619C5">
            <w:pPr>
              <w:pStyle w:val="TableParagraph"/>
              <w:spacing w:line="244" w:lineRule="exact"/>
              <w:ind w:left="80" w:right="80"/>
              <w:rPr>
                <w:sz w:val="20"/>
              </w:rPr>
            </w:pPr>
            <w:r>
              <w:rPr>
                <w:sz w:val="20"/>
              </w:rPr>
              <w:t>N/A</w:t>
            </w:r>
          </w:p>
        </w:tc>
        <w:tc>
          <w:tcPr>
            <w:tcW w:w="1275" w:type="dxa"/>
            <w:tcBorders>
              <w:right w:val="single" w:sz="18" w:space="0" w:color="000000"/>
            </w:tcBorders>
          </w:tcPr>
          <w:p w14:paraId="55E5A7C1" w14:textId="77777777" w:rsidR="00575022" w:rsidRDefault="00575022" w:rsidP="00B619C5">
            <w:pPr>
              <w:pStyle w:val="TableParagraph"/>
              <w:spacing w:line="244" w:lineRule="exact"/>
              <w:ind w:left="83" w:right="59"/>
              <w:rPr>
                <w:sz w:val="20"/>
              </w:rPr>
            </w:pPr>
            <w:r>
              <w:rPr>
                <w:sz w:val="20"/>
              </w:rPr>
              <w:t>N/A</w:t>
            </w:r>
          </w:p>
        </w:tc>
        <w:tc>
          <w:tcPr>
            <w:tcW w:w="1261" w:type="dxa"/>
            <w:tcBorders>
              <w:left w:val="single" w:sz="18" w:space="0" w:color="000000"/>
            </w:tcBorders>
          </w:tcPr>
          <w:p w14:paraId="66616C88" w14:textId="77777777" w:rsidR="00575022" w:rsidRDefault="00575022" w:rsidP="00B619C5">
            <w:pPr>
              <w:pStyle w:val="TableParagraph"/>
              <w:spacing w:line="244" w:lineRule="exact"/>
              <w:ind w:right="15"/>
              <w:rPr>
                <w:sz w:val="20"/>
              </w:rPr>
            </w:pPr>
            <w:r>
              <w:rPr>
                <w:sz w:val="20"/>
              </w:rPr>
              <w:t>1</w:t>
            </w:r>
          </w:p>
          <w:p w14:paraId="428D79F1" w14:textId="77777777" w:rsidR="00575022" w:rsidRDefault="00575022" w:rsidP="00B619C5">
            <w:pPr>
              <w:pStyle w:val="TableParagraph"/>
              <w:spacing w:before="1"/>
              <w:ind w:left="67" w:right="84"/>
              <w:rPr>
                <w:sz w:val="20"/>
              </w:rPr>
            </w:pPr>
            <w:r>
              <w:rPr>
                <w:sz w:val="20"/>
              </w:rPr>
              <w:t>(1 - 1)</w:t>
            </w:r>
          </w:p>
        </w:tc>
        <w:tc>
          <w:tcPr>
            <w:tcW w:w="1113" w:type="dxa"/>
          </w:tcPr>
          <w:p w14:paraId="488BF8E7" w14:textId="77777777" w:rsidR="00575022" w:rsidRDefault="00575022" w:rsidP="00B619C5">
            <w:pPr>
              <w:pStyle w:val="TableParagraph"/>
              <w:spacing w:line="244" w:lineRule="exact"/>
              <w:ind w:left="77" w:right="84"/>
              <w:rPr>
                <w:sz w:val="20"/>
              </w:rPr>
            </w:pPr>
            <w:r>
              <w:rPr>
                <w:sz w:val="20"/>
              </w:rPr>
              <w:t>N/A</w:t>
            </w:r>
          </w:p>
        </w:tc>
        <w:tc>
          <w:tcPr>
            <w:tcW w:w="1165" w:type="dxa"/>
            <w:tcBorders>
              <w:right w:val="single" w:sz="18" w:space="0" w:color="000000"/>
            </w:tcBorders>
          </w:tcPr>
          <w:p w14:paraId="3CD89467" w14:textId="77777777" w:rsidR="00575022" w:rsidRDefault="00575022" w:rsidP="00B619C5">
            <w:pPr>
              <w:pStyle w:val="TableParagraph"/>
              <w:spacing w:line="244" w:lineRule="exact"/>
              <w:ind w:left="81" w:right="68"/>
              <w:rPr>
                <w:sz w:val="20"/>
              </w:rPr>
            </w:pPr>
            <w:r>
              <w:rPr>
                <w:sz w:val="20"/>
              </w:rPr>
              <w:t>N/A</w:t>
            </w:r>
          </w:p>
        </w:tc>
        <w:tc>
          <w:tcPr>
            <w:tcW w:w="1417" w:type="dxa"/>
            <w:tcBorders>
              <w:left w:val="single" w:sz="18" w:space="0" w:color="000000"/>
            </w:tcBorders>
          </w:tcPr>
          <w:p w14:paraId="5BC20F21" w14:textId="77777777" w:rsidR="00575022" w:rsidRDefault="00575022" w:rsidP="00B619C5">
            <w:pPr>
              <w:pStyle w:val="TableParagraph"/>
              <w:spacing w:line="244" w:lineRule="exact"/>
              <w:ind w:left="63" w:right="78"/>
              <w:rPr>
                <w:sz w:val="20"/>
              </w:rPr>
            </w:pPr>
            <w:r>
              <w:rPr>
                <w:sz w:val="20"/>
              </w:rPr>
              <w:t>0.8</w:t>
            </w:r>
          </w:p>
          <w:p w14:paraId="3ECB4B6A" w14:textId="77777777" w:rsidR="00575022" w:rsidRDefault="00575022" w:rsidP="00B619C5">
            <w:pPr>
              <w:pStyle w:val="TableParagraph"/>
              <w:spacing w:before="1"/>
              <w:ind w:left="57" w:right="85"/>
              <w:rPr>
                <w:sz w:val="20"/>
              </w:rPr>
            </w:pPr>
            <w:r>
              <w:rPr>
                <w:sz w:val="20"/>
              </w:rPr>
              <w:t>(0.6 - 1)</w:t>
            </w:r>
          </w:p>
        </w:tc>
        <w:tc>
          <w:tcPr>
            <w:tcW w:w="972" w:type="dxa"/>
          </w:tcPr>
          <w:p w14:paraId="181906F7" w14:textId="77777777" w:rsidR="00575022" w:rsidRDefault="00575022" w:rsidP="00B619C5">
            <w:pPr>
              <w:pStyle w:val="TableParagraph"/>
              <w:spacing w:line="244" w:lineRule="exact"/>
              <w:ind w:left="74" w:right="83"/>
              <w:rPr>
                <w:sz w:val="20"/>
              </w:rPr>
            </w:pPr>
            <w:r>
              <w:rPr>
                <w:sz w:val="20"/>
              </w:rPr>
              <w:t>N/A</w:t>
            </w:r>
          </w:p>
        </w:tc>
        <w:tc>
          <w:tcPr>
            <w:tcW w:w="1134" w:type="dxa"/>
            <w:tcBorders>
              <w:right w:val="single" w:sz="18" w:space="0" w:color="000000"/>
            </w:tcBorders>
          </w:tcPr>
          <w:p w14:paraId="132CE2F6" w14:textId="77777777" w:rsidR="00575022" w:rsidRDefault="00575022" w:rsidP="00B619C5">
            <w:pPr>
              <w:pStyle w:val="TableParagraph"/>
              <w:spacing w:line="244" w:lineRule="exact"/>
              <w:ind w:left="79" w:right="84"/>
              <w:rPr>
                <w:sz w:val="20"/>
              </w:rPr>
            </w:pPr>
            <w:r>
              <w:rPr>
                <w:sz w:val="20"/>
              </w:rPr>
              <w:t>N/A</w:t>
            </w:r>
          </w:p>
        </w:tc>
        <w:tc>
          <w:tcPr>
            <w:tcW w:w="1134" w:type="dxa"/>
            <w:tcBorders>
              <w:left w:val="single" w:sz="18" w:space="0" w:color="000000"/>
            </w:tcBorders>
          </w:tcPr>
          <w:p w14:paraId="3C0BB7CE" w14:textId="77777777" w:rsidR="00575022" w:rsidRPr="000B05BB" w:rsidRDefault="00575022" w:rsidP="00B619C5">
            <w:pPr>
              <w:pStyle w:val="TableParagraph"/>
              <w:rPr>
                <w:sz w:val="20"/>
                <w:szCs w:val="20"/>
              </w:rPr>
            </w:pPr>
            <w:r w:rsidRPr="000B05BB">
              <w:rPr>
                <w:sz w:val="20"/>
                <w:szCs w:val="20"/>
              </w:rPr>
              <w:t>1</w:t>
            </w:r>
          </w:p>
          <w:p w14:paraId="28973BC5" w14:textId="77777777" w:rsidR="00575022" w:rsidRPr="000B05BB" w:rsidRDefault="00575022" w:rsidP="00B619C5">
            <w:pPr>
              <w:pStyle w:val="TableParagraph"/>
              <w:rPr>
                <w:sz w:val="20"/>
                <w:szCs w:val="20"/>
              </w:rPr>
            </w:pPr>
            <w:r w:rsidRPr="000B05BB">
              <w:rPr>
                <w:sz w:val="20"/>
                <w:szCs w:val="20"/>
              </w:rPr>
              <w:t>(0.8 - 1)</w:t>
            </w:r>
          </w:p>
        </w:tc>
        <w:tc>
          <w:tcPr>
            <w:tcW w:w="1134" w:type="dxa"/>
          </w:tcPr>
          <w:p w14:paraId="4CDCB78D" w14:textId="77777777" w:rsidR="00575022" w:rsidRPr="000B05BB" w:rsidRDefault="00575022" w:rsidP="00B619C5">
            <w:pPr>
              <w:pStyle w:val="TableParagraph"/>
              <w:rPr>
                <w:sz w:val="20"/>
                <w:szCs w:val="20"/>
              </w:rPr>
            </w:pPr>
            <w:r w:rsidRPr="000B05BB">
              <w:rPr>
                <w:sz w:val="20"/>
                <w:szCs w:val="20"/>
              </w:rPr>
              <w:t>0.6</w:t>
            </w:r>
          </w:p>
          <w:p w14:paraId="4A7A84E6" w14:textId="77777777" w:rsidR="00575022" w:rsidRPr="000B05BB" w:rsidRDefault="00575022" w:rsidP="00B619C5">
            <w:pPr>
              <w:pStyle w:val="TableParagraph"/>
              <w:rPr>
                <w:sz w:val="20"/>
                <w:szCs w:val="20"/>
              </w:rPr>
            </w:pPr>
            <w:r w:rsidRPr="000B05BB">
              <w:rPr>
                <w:sz w:val="20"/>
                <w:szCs w:val="20"/>
              </w:rPr>
              <w:t>(0.4 – 0.7)</w:t>
            </w:r>
          </w:p>
        </w:tc>
        <w:tc>
          <w:tcPr>
            <w:tcW w:w="1134" w:type="dxa"/>
            <w:tcBorders>
              <w:right w:val="single" w:sz="18" w:space="0" w:color="000000"/>
            </w:tcBorders>
          </w:tcPr>
          <w:p w14:paraId="59493BE0" w14:textId="77777777" w:rsidR="00575022" w:rsidRPr="000B05BB" w:rsidRDefault="00575022" w:rsidP="00B619C5">
            <w:pPr>
              <w:pStyle w:val="TableParagraph"/>
              <w:rPr>
                <w:sz w:val="20"/>
                <w:szCs w:val="20"/>
              </w:rPr>
            </w:pPr>
            <w:r w:rsidRPr="000B05BB">
              <w:rPr>
                <w:sz w:val="20"/>
                <w:szCs w:val="20"/>
              </w:rPr>
              <w:t>1.62</w:t>
            </w:r>
          </w:p>
        </w:tc>
      </w:tr>
    </w:tbl>
    <w:p w14:paraId="13041210" w14:textId="77777777" w:rsidR="00575022" w:rsidRDefault="00575022" w:rsidP="00B619C5">
      <w:pPr>
        <w:spacing w:line="480" w:lineRule="auto"/>
        <w:jc w:val="both"/>
      </w:pPr>
    </w:p>
    <w:p w14:paraId="1E35B4D3" w14:textId="77777777" w:rsidR="00575022" w:rsidRDefault="00575022" w:rsidP="00B619C5">
      <w:pPr>
        <w:spacing w:line="480" w:lineRule="auto"/>
        <w:jc w:val="both"/>
      </w:pPr>
    </w:p>
    <w:p w14:paraId="0D66C14C" w14:textId="77777777" w:rsidR="00575022" w:rsidRDefault="00575022" w:rsidP="00B619C5">
      <w:pPr>
        <w:spacing w:line="480" w:lineRule="auto"/>
        <w:jc w:val="both"/>
      </w:pPr>
    </w:p>
    <w:p w14:paraId="3A122E64" w14:textId="77777777" w:rsidR="00575022" w:rsidRDefault="00575022" w:rsidP="00B619C5">
      <w:pPr>
        <w:spacing w:line="480" w:lineRule="auto"/>
        <w:jc w:val="both"/>
      </w:pPr>
    </w:p>
    <w:p w14:paraId="668A8B7E" w14:textId="77777777" w:rsidR="00575022" w:rsidRDefault="00575022" w:rsidP="00B619C5">
      <w:pPr>
        <w:spacing w:line="480" w:lineRule="auto"/>
        <w:jc w:val="both"/>
      </w:pPr>
    </w:p>
    <w:p w14:paraId="6C164074" w14:textId="77777777" w:rsidR="003B7B86" w:rsidRDefault="003B7B86">
      <w:pPr>
        <w:autoSpaceDE/>
        <w:autoSpaceDN/>
        <w:adjustRightInd/>
        <w:spacing w:after="160" w:line="259" w:lineRule="auto"/>
      </w:pPr>
      <w:r>
        <w:br w:type="page"/>
      </w:r>
    </w:p>
    <w:p w14:paraId="2CB3A09F" w14:textId="77777777" w:rsidR="00575022" w:rsidRDefault="00575022" w:rsidP="00B619C5">
      <w:pPr>
        <w:spacing w:line="480" w:lineRule="auto"/>
        <w:jc w:val="both"/>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685"/>
        <w:gridCol w:w="1148"/>
        <w:gridCol w:w="1086"/>
        <w:gridCol w:w="1379"/>
        <w:gridCol w:w="1078"/>
        <w:gridCol w:w="866"/>
        <w:gridCol w:w="1379"/>
        <w:gridCol w:w="1402"/>
        <w:gridCol w:w="1422"/>
        <w:gridCol w:w="1350"/>
        <w:gridCol w:w="1153"/>
        <w:gridCol w:w="1419"/>
        <w:gridCol w:w="1379"/>
      </w:tblGrid>
      <w:tr w:rsidR="00575022" w14:paraId="35F889AD" w14:textId="77777777" w:rsidTr="00B619C5">
        <w:trPr>
          <w:trHeight w:val="320"/>
          <w:jc w:val="center"/>
        </w:trPr>
        <w:tc>
          <w:tcPr>
            <w:tcW w:w="2686" w:type="dxa"/>
          </w:tcPr>
          <w:p w14:paraId="0225BE9F" w14:textId="77777777" w:rsidR="00575022" w:rsidRDefault="00575022" w:rsidP="00B619C5">
            <w:pPr>
              <w:pStyle w:val="TableParagraph"/>
              <w:spacing w:before="74"/>
              <w:ind w:left="110"/>
              <w:jc w:val="left"/>
              <w:rPr>
                <w:b/>
                <w:sz w:val="20"/>
              </w:rPr>
            </w:pPr>
          </w:p>
        </w:tc>
        <w:tc>
          <w:tcPr>
            <w:tcW w:w="0" w:type="auto"/>
          </w:tcPr>
          <w:p w14:paraId="7D0E787B" w14:textId="77777777" w:rsidR="00575022" w:rsidRDefault="00575022" w:rsidP="00B619C5">
            <w:pPr>
              <w:kinsoku w:val="0"/>
              <w:overflowPunct w:val="0"/>
              <w:spacing w:before="3" w:line="235" w:lineRule="auto"/>
              <w:ind w:left="112"/>
              <w:jc w:val="center"/>
              <w:rPr>
                <w:b/>
                <w:sz w:val="20"/>
              </w:rPr>
            </w:pPr>
            <w:r>
              <w:rPr>
                <w:b/>
                <w:sz w:val="20"/>
              </w:rPr>
              <w:t>Initial</w:t>
            </w:r>
          </w:p>
          <w:p w14:paraId="2F30F2A9" w14:textId="6A44A3CF" w:rsidR="00575022" w:rsidRPr="008943EF" w:rsidRDefault="006408F9" w:rsidP="00B619C5">
            <w:pPr>
              <w:kinsoku w:val="0"/>
              <w:overflowPunct w:val="0"/>
              <w:spacing w:before="3" w:line="235" w:lineRule="auto"/>
              <w:ind w:left="112"/>
              <w:jc w:val="center"/>
              <w:rPr>
                <w:b/>
                <w:bCs/>
                <w:sz w:val="20"/>
                <w:szCs w:val="20"/>
              </w:rPr>
            </w:pPr>
            <w:r>
              <w:rPr>
                <w:b/>
                <w:bCs/>
                <w:sz w:val="20"/>
                <w:szCs w:val="20"/>
              </w:rPr>
              <w:t xml:space="preserve">ß-IFN|GA </w:t>
            </w:r>
            <w:r w:rsidR="00575022" w:rsidRPr="008943EF">
              <w:rPr>
                <w:b/>
                <w:bCs/>
                <w:sz w:val="20"/>
                <w:szCs w:val="20"/>
              </w:rPr>
              <w:t>within</w:t>
            </w:r>
          </w:p>
          <w:p w14:paraId="03D9FE10" w14:textId="77777777" w:rsidR="00575022" w:rsidRDefault="00575022" w:rsidP="00B619C5">
            <w:pPr>
              <w:jc w:val="center"/>
            </w:pPr>
            <w:r w:rsidRPr="008943EF">
              <w:rPr>
                <w:b/>
                <w:bCs/>
                <w:sz w:val="20"/>
                <w:szCs w:val="20"/>
              </w:rPr>
              <w:t>5y, n=164</w:t>
            </w:r>
          </w:p>
        </w:tc>
        <w:tc>
          <w:tcPr>
            <w:tcW w:w="0" w:type="auto"/>
          </w:tcPr>
          <w:p w14:paraId="5CF455EC" w14:textId="77777777" w:rsidR="00575022" w:rsidRDefault="00575022" w:rsidP="00B619C5">
            <w:pPr>
              <w:jc w:val="center"/>
            </w:pPr>
            <w:r w:rsidRPr="008943EF">
              <w:rPr>
                <w:b/>
                <w:bCs/>
                <w:sz w:val="20"/>
                <w:szCs w:val="20"/>
              </w:rPr>
              <w:t>Untreated, n=104</w:t>
            </w:r>
          </w:p>
        </w:tc>
        <w:tc>
          <w:tcPr>
            <w:tcW w:w="0" w:type="auto"/>
          </w:tcPr>
          <w:p w14:paraId="24911BB9" w14:textId="77777777" w:rsidR="00575022" w:rsidRDefault="00575022" w:rsidP="00B619C5">
            <w:pPr>
              <w:jc w:val="center"/>
            </w:pPr>
            <w:r w:rsidRPr="00682442">
              <w:rPr>
                <w:b/>
                <w:bCs/>
                <w:sz w:val="20"/>
                <w:szCs w:val="20"/>
              </w:rPr>
              <w:t>Standardized Difference</w:t>
            </w:r>
          </w:p>
        </w:tc>
        <w:tc>
          <w:tcPr>
            <w:tcW w:w="0" w:type="auto"/>
          </w:tcPr>
          <w:p w14:paraId="6DE14BA4" w14:textId="77777777" w:rsidR="00575022" w:rsidRDefault="00575022" w:rsidP="00B619C5">
            <w:pPr>
              <w:kinsoku w:val="0"/>
              <w:overflowPunct w:val="0"/>
              <w:spacing w:before="3" w:line="235" w:lineRule="auto"/>
              <w:ind w:left="198" w:right="197"/>
              <w:jc w:val="center"/>
              <w:rPr>
                <w:b/>
                <w:sz w:val="20"/>
              </w:rPr>
            </w:pPr>
            <w:r>
              <w:rPr>
                <w:b/>
                <w:sz w:val="20"/>
              </w:rPr>
              <w:t>Initial</w:t>
            </w:r>
          </w:p>
          <w:p w14:paraId="771FBEB2" w14:textId="664D367B" w:rsidR="00575022" w:rsidRPr="008943EF" w:rsidRDefault="007A133D" w:rsidP="00B619C5">
            <w:pPr>
              <w:kinsoku w:val="0"/>
              <w:overflowPunct w:val="0"/>
              <w:spacing w:before="3" w:line="235" w:lineRule="auto"/>
              <w:ind w:left="198" w:right="197"/>
              <w:jc w:val="center"/>
              <w:rPr>
                <w:b/>
                <w:bCs/>
                <w:sz w:val="20"/>
                <w:szCs w:val="20"/>
              </w:rPr>
            </w:pPr>
            <w:r>
              <w:rPr>
                <w:b/>
                <w:bCs/>
                <w:sz w:val="20"/>
                <w:szCs w:val="20"/>
              </w:rPr>
              <w:t>ß-IFN|GA</w:t>
            </w:r>
          </w:p>
          <w:p w14:paraId="17E3B711" w14:textId="77777777" w:rsidR="00575022" w:rsidRDefault="00575022" w:rsidP="00B619C5">
            <w:pPr>
              <w:jc w:val="center"/>
            </w:pPr>
            <w:r w:rsidRPr="008943EF">
              <w:rPr>
                <w:b/>
                <w:bCs/>
                <w:sz w:val="20"/>
                <w:szCs w:val="20"/>
              </w:rPr>
              <w:t>5-10y, n=95</w:t>
            </w:r>
          </w:p>
        </w:tc>
        <w:tc>
          <w:tcPr>
            <w:tcW w:w="0" w:type="auto"/>
          </w:tcPr>
          <w:p w14:paraId="15F2B928" w14:textId="77777777" w:rsidR="00575022" w:rsidRDefault="00575022" w:rsidP="00B619C5">
            <w:pPr>
              <w:kinsoku w:val="0"/>
              <w:overflowPunct w:val="0"/>
              <w:spacing w:before="3" w:line="235" w:lineRule="auto"/>
              <w:jc w:val="center"/>
              <w:rPr>
                <w:b/>
                <w:bCs/>
                <w:sz w:val="20"/>
                <w:szCs w:val="20"/>
              </w:rPr>
            </w:pPr>
            <w:r>
              <w:rPr>
                <w:b/>
                <w:bCs/>
                <w:sz w:val="20"/>
                <w:szCs w:val="20"/>
              </w:rPr>
              <w:t>Untreated</w:t>
            </w:r>
          </w:p>
          <w:p w14:paraId="1BB5ECEE" w14:textId="77777777" w:rsidR="00575022" w:rsidRDefault="00575022" w:rsidP="00B619C5">
            <w:pPr>
              <w:kinsoku w:val="0"/>
              <w:overflowPunct w:val="0"/>
              <w:spacing w:before="3" w:line="235" w:lineRule="auto"/>
              <w:ind w:left="321" w:hanging="195"/>
              <w:jc w:val="center"/>
              <w:rPr>
                <w:b/>
                <w:bCs/>
                <w:sz w:val="20"/>
                <w:szCs w:val="20"/>
              </w:rPr>
            </w:pPr>
            <w:r w:rsidRPr="008943EF">
              <w:rPr>
                <w:b/>
                <w:bCs/>
                <w:sz w:val="20"/>
                <w:szCs w:val="20"/>
              </w:rPr>
              <w:t>n=158</w:t>
            </w:r>
          </w:p>
          <w:p w14:paraId="2D4F1F2F" w14:textId="77777777" w:rsidR="00575022" w:rsidRDefault="00575022" w:rsidP="00B619C5">
            <w:pPr>
              <w:jc w:val="center"/>
            </w:pPr>
          </w:p>
        </w:tc>
        <w:tc>
          <w:tcPr>
            <w:tcW w:w="0" w:type="auto"/>
          </w:tcPr>
          <w:p w14:paraId="4F6C14CE" w14:textId="77777777" w:rsidR="00575022" w:rsidRDefault="00575022" w:rsidP="00B619C5">
            <w:pPr>
              <w:jc w:val="center"/>
            </w:pPr>
            <w:r w:rsidRPr="00682442">
              <w:rPr>
                <w:b/>
                <w:bCs/>
                <w:sz w:val="20"/>
                <w:szCs w:val="20"/>
              </w:rPr>
              <w:t>Standardized Difference</w:t>
            </w:r>
          </w:p>
        </w:tc>
        <w:tc>
          <w:tcPr>
            <w:tcW w:w="0" w:type="auto"/>
          </w:tcPr>
          <w:p w14:paraId="00670EA9" w14:textId="3B2FF74F" w:rsidR="00575022" w:rsidRPr="008943EF" w:rsidRDefault="00575022" w:rsidP="00B619C5">
            <w:pPr>
              <w:kinsoku w:val="0"/>
              <w:overflowPunct w:val="0"/>
              <w:spacing w:before="3" w:line="235" w:lineRule="auto"/>
              <w:ind w:left="150" w:right="157"/>
              <w:jc w:val="center"/>
              <w:rPr>
                <w:b/>
                <w:bCs/>
                <w:sz w:val="20"/>
                <w:szCs w:val="20"/>
              </w:rPr>
            </w:pPr>
            <w:r w:rsidRPr="008943EF">
              <w:rPr>
                <w:b/>
                <w:bCs/>
                <w:sz w:val="20"/>
                <w:szCs w:val="20"/>
              </w:rPr>
              <w:t xml:space="preserve">Escalation to </w:t>
            </w:r>
            <w:r w:rsidR="006408F9">
              <w:rPr>
                <w:b/>
                <w:bCs/>
                <w:sz w:val="20"/>
                <w:szCs w:val="20"/>
              </w:rPr>
              <w:t>F|A|N</w:t>
            </w:r>
          </w:p>
          <w:p w14:paraId="0CAA2B7C" w14:textId="77777777" w:rsidR="00575022" w:rsidRDefault="00575022" w:rsidP="00B619C5">
            <w:pPr>
              <w:jc w:val="center"/>
              <w:rPr>
                <w:b/>
                <w:bCs/>
                <w:sz w:val="20"/>
                <w:szCs w:val="20"/>
              </w:rPr>
            </w:pPr>
            <w:r w:rsidRPr="008943EF">
              <w:rPr>
                <w:b/>
                <w:bCs/>
                <w:sz w:val="20"/>
                <w:szCs w:val="20"/>
              </w:rPr>
              <w:t xml:space="preserve">within 5y, </w:t>
            </w:r>
          </w:p>
          <w:p w14:paraId="7752EF77" w14:textId="77777777" w:rsidR="00575022" w:rsidRPr="008943EF" w:rsidRDefault="00575022" w:rsidP="00B619C5">
            <w:pPr>
              <w:jc w:val="center"/>
              <w:rPr>
                <w:b/>
                <w:bCs/>
                <w:sz w:val="20"/>
                <w:szCs w:val="20"/>
              </w:rPr>
            </w:pPr>
            <w:r w:rsidRPr="008943EF">
              <w:rPr>
                <w:b/>
                <w:bCs/>
                <w:sz w:val="20"/>
                <w:szCs w:val="20"/>
              </w:rPr>
              <w:t>n=3</w:t>
            </w:r>
            <w:r>
              <w:rPr>
                <w:b/>
                <w:bCs/>
                <w:sz w:val="20"/>
                <w:szCs w:val="20"/>
              </w:rPr>
              <w:t>07</w:t>
            </w:r>
          </w:p>
        </w:tc>
        <w:tc>
          <w:tcPr>
            <w:tcW w:w="0" w:type="auto"/>
          </w:tcPr>
          <w:p w14:paraId="43B99205" w14:textId="3A2F5762" w:rsidR="00575022" w:rsidRPr="008943EF" w:rsidRDefault="00575022" w:rsidP="00B619C5">
            <w:pPr>
              <w:kinsoku w:val="0"/>
              <w:overflowPunct w:val="0"/>
              <w:spacing w:before="3" w:line="235" w:lineRule="auto"/>
              <w:ind w:left="166" w:right="161"/>
              <w:jc w:val="center"/>
              <w:rPr>
                <w:b/>
                <w:bCs/>
                <w:sz w:val="20"/>
                <w:szCs w:val="20"/>
              </w:rPr>
            </w:pPr>
            <w:r w:rsidRPr="008943EF">
              <w:rPr>
                <w:b/>
                <w:bCs/>
                <w:sz w:val="20"/>
                <w:szCs w:val="20"/>
              </w:rPr>
              <w:t xml:space="preserve">Escalation to </w:t>
            </w:r>
            <w:r w:rsidR="006408F9">
              <w:rPr>
                <w:b/>
                <w:bCs/>
                <w:sz w:val="20"/>
                <w:szCs w:val="20"/>
              </w:rPr>
              <w:t>F|A|N</w:t>
            </w:r>
          </w:p>
          <w:p w14:paraId="4123A6CD" w14:textId="77777777" w:rsidR="00575022" w:rsidRDefault="00575022" w:rsidP="00B619C5">
            <w:pPr>
              <w:jc w:val="center"/>
              <w:rPr>
                <w:b/>
                <w:bCs/>
                <w:sz w:val="20"/>
                <w:szCs w:val="20"/>
              </w:rPr>
            </w:pPr>
            <w:r w:rsidRPr="008943EF">
              <w:rPr>
                <w:b/>
                <w:bCs/>
                <w:sz w:val="20"/>
                <w:szCs w:val="20"/>
              </w:rPr>
              <w:t xml:space="preserve">after 5y, </w:t>
            </w:r>
          </w:p>
          <w:p w14:paraId="0FC2F046" w14:textId="77777777" w:rsidR="00575022" w:rsidRPr="008943EF" w:rsidRDefault="00575022" w:rsidP="00B619C5">
            <w:pPr>
              <w:jc w:val="center"/>
              <w:rPr>
                <w:b/>
                <w:bCs/>
                <w:sz w:val="20"/>
                <w:szCs w:val="20"/>
              </w:rPr>
            </w:pPr>
            <w:r w:rsidRPr="008943EF">
              <w:rPr>
                <w:b/>
                <w:bCs/>
                <w:sz w:val="20"/>
                <w:szCs w:val="20"/>
              </w:rPr>
              <w:t>n=</w:t>
            </w:r>
            <w:r>
              <w:rPr>
                <w:b/>
                <w:bCs/>
                <w:sz w:val="20"/>
                <w:szCs w:val="20"/>
              </w:rPr>
              <w:t>331</w:t>
            </w:r>
          </w:p>
        </w:tc>
        <w:tc>
          <w:tcPr>
            <w:tcW w:w="1350" w:type="dxa"/>
          </w:tcPr>
          <w:p w14:paraId="44887330" w14:textId="77777777" w:rsidR="00575022" w:rsidRPr="008943EF" w:rsidRDefault="00575022" w:rsidP="00B619C5">
            <w:pPr>
              <w:jc w:val="center"/>
              <w:rPr>
                <w:b/>
                <w:bCs/>
                <w:sz w:val="20"/>
                <w:szCs w:val="20"/>
              </w:rPr>
            </w:pPr>
            <w:r w:rsidRPr="00682442">
              <w:rPr>
                <w:b/>
                <w:bCs/>
                <w:sz w:val="20"/>
                <w:szCs w:val="20"/>
              </w:rPr>
              <w:t>Standardized Difference</w:t>
            </w:r>
          </w:p>
        </w:tc>
        <w:tc>
          <w:tcPr>
            <w:tcW w:w="1153" w:type="dxa"/>
          </w:tcPr>
          <w:p w14:paraId="41B7D666" w14:textId="45382198" w:rsidR="00575022" w:rsidRPr="008943EF" w:rsidRDefault="00575022" w:rsidP="00B619C5">
            <w:pPr>
              <w:kinsoku w:val="0"/>
              <w:overflowPunct w:val="0"/>
              <w:spacing w:before="3" w:line="235" w:lineRule="auto"/>
              <w:ind w:left="133" w:right="134"/>
              <w:jc w:val="center"/>
              <w:rPr>
                <w:b/>
                <w:bCs/>
                <w:sz w:val="20"/>
                <w:szCs w:val="20"/>
              </w:rPr>
            </w:pPr>
            <w:r>
              <w:rPr>
                <w:b/>
                <w:sz w:val="20"/>
              </w:rPr>
              <w:t xml:space="preserve">Initial </w:t>
            </w:r>
            <w:r w:rsidR="006408F9">
              <w:rPr>
                <w:b/>
                <w:bCs/>
                <w:sz w:val="20"/>
                <w:szCs w:val="20"/>
              </w:rPr>
              <w:t>F|A|N</w:t>
            </w:r>
            <w:r w:rsidRPr="008943EF">
              <w:rPr>
                <w:b/>
                <w:bCs/>
                <w:sz w:val="20"/>
                <w:szCs w:val="20"/>
              </w:rPr>
              <w:t>,</w:t>
            </w:r>
          </w:p>
          <w:p w14:paraId="44A8D85A" w14:textId="77777777" w:rsidR="00575022" w:rsidRPr="008943EF" w:rsidRDefault="00575022" w:rsidP="00B619C5">
            <w:pPr>
              <w:jc w:val="center"/>
              <w:rPr>
                <w:b/>
                <w:bCs/>
                <w:sz w:val="20"/>
                <w:szCs w:val="20"/>
              </w:rPr>
            </w:pPr>
            <w:r w:rsidRPr="008943EF">
              <w:rPr>
                <w:b/>
                <w:bCs/>
                <w:sz w:val="20"/>
                <w:szCs w:val="20"/>
              </w:rPr>
              <w:t>n=235</w:t>
            </w:r>
          </w:p>
        </w:tc>
        <w:tc>
          <w:tcPr>
            <w:tcW w:w="0" w:type="auto"/>
          </w:tcPr>
          <w:p w14:paraId="1C80D19C" w14:textId="77777777" w:rsidR="00575022" w:rsidRDefault="00575022" w:rsidP="00B619C5">
            <w:pPr>
              <w:kinsoku w:val="0"/>
              <w:overflowPunct w:val="0"/>
              <w:spacing w:before="3" w:line="235" w:lineRule="auto"/>
              <w:ind w:left="349" w:right="336" w:hanging="2"/>
              <w:jc w:val="center"/>
              <w:rPr>
                <w:b/>
                <w:sz w:val="20"/>
              </w:rPr>
            </w:pPr>
            <w:r>
              <w:rPr>
                <w:b/>
                <w:sz w:val="20"/>
              </w:rPr>
              <w:t>Initial</w:t>
            </w:r>
          </w:p>
          <w:p w14:paraId="14F60A24" w14:textId="156D99A4" w:rsidR="00575022" w:rsidRPr="008943EF" w:rsidRDefault="007A133D" w:rsidP="00B619C5">
            <w:pPr>
              <w:kinsoku w:val="0"/>
              <w:overflowPunct w:val="0"/>
              <w:spacing w:before="3" w:line="235" w:lineRule="auto"/>
              <w:ind w:left="349" w:right="336" w:hanging="2"/>
              <w:jc w:val="center"/>
              <w:rPr>
                <w:b/>
                <w:bCs/>
                <w:spacing w:val="-1"/>
                <w:sz w:val="20"/>
                <w:szCs w:val="20"/>
              </w:rPr>
            </w:pPr>
            <w:r>
              <w:rPr>
                <w:b/>
                <w:bCs/>
                <w:sz w:val="20"/>
                <w:szCs w:val="20"/>
              </w:rPr>
              <w:t>ß-IFN|GA</w:t>
            </w:r>
            <w:r w:rsidR="00575022" w:rsidRPr="008943EF">
              <w:rPr>
                <w:b/>
                <w:bCs/>
                <w:spacing w:val="-1"/>
                <w:sz w:val="20"/>
                <w:szCs w:val="20"/>
              </w:rPr>
              <w:t>,</w:t>
            </w:r>
          </w:p>
          <w:p w14:paraId="3DEFD0F5" w14:textId="77777777" w:rsidR="00575022" w:rsidRPr="008943EF" w:rsidRDefault="00575022" w:rsidP="00B619C5">
            <w:pPr>
              <w:jc w:val="center"/>
              <w:rPr>
                <w:b/>
                <w:bCs/>
                <w:sz w:val="20"/>
                <w:szCs w:val="20"/>
              </w:rPr>
            </w:pPr>
            <w:r w:rsidRPr="008943EF">
              <w:rPr>
                <w:b/>
                <w:bCs/>
                <w:sz w:val="20"/>
                <w:szCs w:val="20"/>
              </w:rPr>
              <w:t>n=380</w:t>
            </w:r>
          </w:p>
        </w:tc>
        <w:tc>
          <w:tcPr>
            <w:tcW w:w="0" w:type="auto"/>
          </w:tcPr>
          <w:p w14:paraId="34302497" w14:textId="77777777" w:rsidR="00575022" w:rsidRPr="008943EF" w:rsidRDefault="00575022" w:rsidP="00B619C5">
            <w:pPr>
              <w:jc w:val="center"/>
              <w:rPr>
                <w:b/>
                <w:bCs/>
                <w:sz w:val="20"/>
                <w:szCs w:val="20"/>
              </w:rPr>
            </w:pPr>
            <w:r w:rsidRPr="00682442">
              <w:rPr>
                <w:b/>
                <w:bCs/>
                <w:sz w:val="20"/>
                <w:szCs w:val="20"/>
              </w:rPr>
              <w:t>Standardized Difference</w:t>
            </w:r>
          </w:p>
        </w:tc>
      </w:tr>
      <w:tr w:rsidR="00575022" w14:paraId="3B33ECD3" w14:textId="77777777" w:rsidTr="00B619C5">
        <w:trPr>
          <w:trHeight w:val="320"/>
          <w:jc w:val="center"/>
        </w:trPr>
        <w:tc>
          <w:tcPr>
            <w:tcW w:w="2686" w:type="dxa"/>
          </w:tcPr>
          <w:p w14:paraId="1AC67D01" w14:textId="77777777" w:rsidR="00575022" w:rsidRDefault="00575022" w:rsidP="00B619C5">
            <w:pPr>
              <w:pStyle w:val="TableParagraph"/>
              <w:spacing w:before="74"/>
              <w:ind w:left="110"/>
              <w:jc w:val="left"/>
              <w:rPr>
                <w:b/>
                <w:sz w:val="20"/>
              </w:rPr>
            </w:pPr>
            <w:r>
              <w:rPr>
                <w:b/>
                <w:sz w:val="20"/>
              </w:rPr>
              <w:t>Age, years</w:t>
            </w:r>
          </w:p>
          <w:p w14:paraId="4BB649F5" w14:textId="77777777" w:rsidR="00575022" w:rsidRDefault="00575022" w:rsidP="00B619C5">
            <w:pPr>
              <w:pStyle w:val="TableParagraph"/>
              <w:spacing w:before="74"/>
              <w:ind w:left="110"/>
              <w:jc w:val="left"/>
              <w:rPr>
                <w:b/>
                <w:sz w:val="20"/>
              </w:rPr>
            </w:pPr>
            <w:r>
              <w:rPr>
                <w:b/>
                <w:sz w:val="20"/>
              </w:rPr>
              <w:t xml:space="preserve">   Mean (SD)</w:t>
            </w:r>
          </w:p>
        </w:tc>
        <w:tc>
          <w:tcPr>
            <w:tcW w:w="0" w:type="auto"/>
          </w:tcPr>
          <w:p w14:paraId="2B40177E" w14:textId="77777777" w:rsidR="00575022" w:rsidRDefault="00575022" w:rsidP="00B619C5">
            <w:pPr>
              <w:jc w:val="center"/>
            </w:pPr>
            <w:r w:rsidRPr="008943EF">
              <w:rPr>
                <w:sz w:val="20"/>
                <w:szCs w:val="20"/>
              </w:rPr>
              <w:t>33 (8)</w:t>
            </w:r>
          </w:p>
        </w:tc>
        <w:tc>
          <w:tcPr>
            <w:tcW w:w="0" w:type="auto"/>
          </w:tcPr>
          <w:p w14:paraId="54D20E4B" w14:textId="77777777" w:rsidR="00575022" w:rsidRDefault="00575022" w:rsidP="00B619C5">
            <w:pPr>
              <w:jc w:val="center"/>
            </w:pPr>
            <w:r w:rsidRPr="008943EF">
              <w:rPr>
                <w:sz w:val="20"/>
                <w:szCs w:val="20"/>
              </w:rPr>
              <w:t>33 (7)</w:t>
            </w:r>
          </w:p>
        </w:tc>
        <w:tc>
          <w:tcPr>
            <w:tcW w:w="0" w:type="auto"/>
          </w:tcPr>
          <w:p w14:paraId="197B4511" w14:textId="77777777" w:rsidR="00575022" w:rsidRDefault="00575022" w:rsidP="00B619C5">
            <w:pPr>
              <w:jc w:val="center"/>
            </w:pPr>
            <w:r w:rsidRPr="008943EF">
              <w:rPr>
                <w:sz w:val="20"/>
                <w:szCs w:val="20"/>
              </w:rPr>
              <w:t>0.02</w:t>
            </w:r>
          </w:p>
        </w:tc>
        <w:tc>
          <w:tcPr>
            <w:tcW w:w="0" w:type="auto"/>
          </w:tcPr>
          <w:p w14:paraId="29154D48" w14:textId="77777777" w:rsidR="00575022" w:rsidRDefault="00575022" w:rsidP="00B619C5">
            <w:pPr>
              <w:jc w:val="center"/>
            </w:pPr>
            <w:r w:rsidRPr="008943EF">
              <w:rPr>
                <w:sz w:val="20"/>
                <w:szCs w:val="20"/>
              </w:rPr>
              <w:t>37 (7)</w:t>
            </w:r>
          </w:p>
        </w:tc>
        <w:tc>
          <w:tcPr>
            <w:tcW w:w="0" w:type="auto"/>
          </w:tcPr>
          <w:p w14:paraId="31428E29" w14:textId="77777777" w:rsidR="00575022" w:rsidRDefault="00575022" w:rsidP="00B619C5">
            <w:pPr>
              <w:jc w:val="center"/>
            </w:pPr>
            <w:r w:rsidRPr="008943EF">
              <w:rPr>
                <w:sz w:val="20"/>
                <w:szCs w:val="20"/>
              </w:rPr>
              <w:t>36 (8)</w:t>
            </w:r>
          </w:p>
        </w:tc>
        <w:tc>
          <w:tcPr>
            <w:tcW w:w="0" w:type="auto"/>
          </w:tcPr>
          <w:p w14:paraId="61548DEA" w14:textId="77777777" w:rsidR="00575022" w:rsidRDefault="00575022" w:rsidP="00B619C5">
            <w:pPr>
              <w:jc w:val="center"/>
            </w:pPr>
            <w:r w:rsidRPr="008943EF">
              <w:rPr>
                <w:sz w:val="20"/>
                <w:szCs w:val="20"/>
              </w:rPr>
              <w:t>0.08</w:t>
            </w:r>
          </w:p>
        </w:tc>
        <w:tc>
          <w:tcPr>
            <w:tcW w:w="0" w:type="auto"/>
          </w:tcPr>
          <w:p w14:paraId="03D52DBE" w14:textId="77777777" w:rsidR="00575022" w:rsidRPr="008943EF" w:rsidRDefault="00575022" w:rsidP="00B619C5">
            <w:pPr>
              <w:jc w:val="center"/>
              <w:rPr>
                <w:sz w:val="20"/>
                <w:szCs w:val="20"/>
              </w:rPr>
            </w:pPr>
            <w:r w:rsidRPr="008943EF">
              <w:rPr>
                <w:sz w:val="20"/>
                <w:szCs w:val="20"/>
              </w:rPr>
              <w:t>33 (</w:t>
            </w:r>
            <w:r>
              <w:rPr>
                <w:sz w:val="20"/>
                <w:szCs w:val="20"/>
              </w:rPr>
              <w:t>9</w:t>
            </w:r>
            <w:r w:rsidRPr="008943EF">
              <w:rPr>
                <w:sz w:val="20"/>
                <w:szCs w:val="20"/>
              </w:rPr>
              <w:t>)</w:t>
            </w:r>
          </w:p>
        </w:tc>
        <w:tc>
          <w:tcPr>
            <w:tcW w:w="0" w:type="auto"/>
          </w:tcPr>
          <w:p w14:paraId="24487C6F" w14:textId="77777777" w:rsidR="00575022" w:rsidRPr="008943EF" w:rsidRDefault="00575022" w:rsidP="00B619C5">
            <w:pPr>
              <w:jc w:val="center"/>
              <w:rPr>
                <w:sz w:val="20"/>
                <w:szCs w:val="20"/>
              </w:rPr>
            </w:pPr>
            <w:r w:rsidRPr="008943EF">
              <w:rPr>
                <w:sz w:val="20"/>
                <w:szCs w:val="20"/>
              </w:rPr>
              <w:t>3</w:t>
            </w:r>
            <w:r>
              <w:rPr>
                <w:sz w:val="20"/>
                <w:szCs w:val="20"/>
              </w:rPr>
              <w:t>2</w:t>
            </w:r>
            <w:r w:rsidRPr="008943EF">
              <w:rPr>
                <w:sz w:val="20"/>
                <w:szCs w:val="20"/>
              </w:rPr>
              <w:t xml:space="preserve"> (</w:t>
            </w:r>
            <w:r>
              <w:rPr>
                <w:sz w:val="20"/>
                <w:szCs w:val="20"/>
              </w:rPr>
              <w:t>8</w:t>
            </w:r>
            <w:r w:rsidRPr="008943EF">
              <w:rPr>
                <w:sz w:val="20"/>
                <w:szCs w:val="20"/>
              </w:rPr>
              <w:t>)</w:t>
            </w:r>
          </w:p>
        </w:tc>
        <w:tc>
          <w:tcPr>
            <w:tcW w:w="1350" w:type="dxa"/>
          </w:tcPr>
          <w:p w14:paraId="0BDA80D3" w14:textId="77777777" w:rsidR="00575022" w:rsidRPr="008943EF" w:rsidRDefault="00575022" w:rsidP="00B619C5">
            <w:pPr>
              <w:jc w:val="center"/>
              <w:rPr>
                <w:sz w:val="20"/>
                <w:szCs w:val="20"/>
              </w:rPr>
            </w:pPr>
            <w:r w:rsidRPr="008943EF">
              <w:rPr>
                <w:sz w:val="20"/>
                <w:szCs w:val="20"/>
              </w:rPr>
              <w:t>0.03</w:t>
            </w:r>
          </w:p>
        </w:tc>
        <w:tc>
          <w:tcPr>
            <w:tcW w:w="1153" w:type="dxa"/>
          </w:tcPr>
          <w:p w14:paraId="588CD19A" w14:textId="77777777" w:rsidR="00575022" w:rsidRPr="008943EF" w:rsidRDefault="00575022" w:rsidP="00B619C5">
            <w:pPr>
              <w:jc w:val="center"/>
              <w:rPr>
                <w:sz w:val="20"/>
                <w:szCs w:val="20"/>
              </w:rPr>
            </w:pPr>
            <w:r w:rsidRPr="008943EF">
              <w:rPr>
                <w:sz w:val="20"/>
                <w:szCs w:val="20"/>
              </w:rPr>
              <w:t>34 (11)</w:t>
            </w:r>
          </w:p>
        </w:tc>
        <w:tc>
          <w:tcPr>
            <w:tcW w:w="0" w:type="auto"/>
          </w:tcPr>
          <w:p w14:paraId="2D51EE91" w14:textId="77777777" w:rsidR="00575022" w:rsidRPr="008943EF" w:rsidRDefault="00575022" w:rsidP="00B619C5">
            <w:pPr>
              <w:jc w:val="center"/>
              <w:rPr>
                <w:sz w:val="20"/>
                <w:szCs w:val="20"/>
              </w:rPr>
            </w:pPr>
            <w:r w:rsidRPr="008943EF">
              <w:rPr>
                <w:sz w:val="20"/>
                <w:szCs w:val="20"/>
              </w:rPr>
              <w:t>34 (9)</w:t>
            </w:r>
          </w:p>
        </w:tc>
        <w:tc>
          <w:tcPr>
            <w:tcW w:w="0" w:type="auto"/>
          </w:tcPr>
          <w:p w14:paraId="3B3A008D" w14:textId="77777777" w:rsidR="00575022" w:rsidRPr="008943EF" w:rsidRDefault="00575022" w:rsidP="00B619C5">
            <w:pPr>
              <w:jc w:val="center"/>
              <w:rPr>
                <w:sz w:val="20"/>
                <w:szCs w:val="20"/>
              </w:rPr>
            </w:pPr>
            <w:r w:rsidRPr="008943EF">
              <w:rPr>
                <w:sz w:val="20"/>
                <w:szCs w:val="20"/>
              </w:rPr>
              <w:t>0.06</w:t>
            </w:r>
          </w:p>
        </w:tc>
      </w:tr>
      <w:tr w:rsidR="00575022" w14:paraId="2FABF366" w14:textId="77777777" w:rsidTr="00B619C5">
        <w:trPr>
          <w:trHeight w:val="490"/>
          <w:jc w:val="center"/>
        </w:trPr>
        <w:tc>
          <w:tcPr>
            <w:tcW w:w="2686" w:type="dxa"/>
          </w:tcPr>
          <w:p w14:paraId="52113F0E" w14:textId="77777777" w:rsidR="00575022" w:rsidRDefault="00575022" w:rsidP="00B619C5">
            <w:pPr>
              <w:pStyle w:val="TableParagraph"/>
              <w:spacing w:before="74"/>
              <w:ind w:left="110"/>
              <w:jc w:val="left"/>
              <w:rPr>
                <w:b/>
                <w:sz w:val="20"/>
              </w:rPr>
            </w:pPr>
            <w:r>
              <w:rPr>
                <w:b/>
                <w:sz w:val="20"/>
              </w:rPr>
              <w:t xml:space="preserve">Sex, </w:t>
            </w:r>
          </w:p>
          <w:p w14:paraId="7AACE535" w14:textId="77777777" w:rsidR="00575022" w:rsidRDefault="00575022" w:rsidP="00B619C5">
            <w:pPr>
              <w:pStyle w:val="TableParagraph"/>
              <w:spacing w:before="74"/>
              <w:ind w:left="110"/>
              <w:jc w:val="left"/>
              <w:rPr>
                <w:b/>
                <w:sz w:val="20"/>
              </w:rPr>
            </w:pPr>
            <w:r>
              <w:rPr>
                <w:b/>
                <w:sz w:val="20"/>
              </w:rPr>
              <w:t>Female, Number (%)</w:t>
            </w:r>
          </w:p>
          <w:p w14:paraId="55E21C63" w14:textId="77777777" w:rsidR="00575022" w:rsidRDefault="00575022" w:rsidP="00B619C5">
            <w:pPr>
              <w:pStyle w:val="TableParagraph"/>
              <w:spacing w:line="244" w:lineRule="exact"/>
              <w:ind w:left="110"/>
              <w:jc w:val="left"/>
              <w:rPr>
                <w:b/>
                <w:sz w:val="20"/>
              </w:rPr>
            </w:pPr>
            <w:r>
              <w:rPr>
                <w:b/>
                <w:sz w:val="20"/>
              </w:rPr>
              <w:t>Male, Number (%)</w:t>
            </w:r>
          </w:p>
        </w:tc>
        <w:tc>
          <w:tcPr>
            <w:tcW w:w="0" w:type="auto"/>
          </w:tcPr>
          <w:p w14:paraId="5E67DECD" w14:textId="77777777" w:rsidR="00575022" w:rsidRDefault="00575022" w:rsidP="00B619C5">
            <w:pPr>
              <w:jc w:val="center"/>
              <w:rPr>
                <w:sz w:val="20"/>
                <w:szCs w:val="20"/>
              </w:rPr>
            </w:pPr>
          </w:p>
          <w:p w14:paraId="51DB3A55" w14:textId="77777777" w:rsidR="00575022" w:rsidRDefault="00575022" w:rsidP="00B619C5">
            <w:pPr>
              <w:jc w:val="center"/>
              <w:rPr>
                <w:sz w:val="20"/>
                <w:szCs w:val="20"/>
              </w:rPr>
            </w:pPr>
            <w:r w:rsidRPr="008943EF">
              <w:rPr>
                <w:sz w:val="20"/>
                <w:szCs w:val="20"/>
              </w:rPr>
              <w:t>113 (69%)</w:t>
            </w:r>
          </w:p>
          <w:p w14:paraId="6259C33E" w14:textId="77777777" w:rsidR="00575022" w:rsidRDefault="00575022" w:rsidP="00B619C5">
            <w:pPr>
              <w:jc w:val="center"/>
            </w:pPr>
            <w:r>
              <w:t>51 (31%)</w:t>
            </w:r>
          </w:p>
        </w:tc>
        <w:tc>
          <w:tcPr>
            <w:tcW w:w="0" w:type="auto"/>
          </w:tcPr>
          <w:p w14:paraId="28A3FEBC" w14:textId="77777777" w:rsidR="00575022" w:rsidRDefault="00575022" w:rsidP="00B619C5">
            <w:pPr>
              <w:jc w:val="center"/>
              <w:rPr>
                <w:sz w:val="20"/>
                <w:szCs w:val="20"/>
              </w:rPr>
            </w:pPr>
          </w:p>
          <w:p w14:paraId="36704AA3" w14:textId="77777777" w:rsidR="00575022" w:rsidRDefault="00575022" w:rsidP="00B619C5">
            <w:pPr>
              <w:jc w:val="center"/>
              <w:rPr>
                <w:sz w:val="20"/>
                <w:szCs w:val="20"/>
              </w:rPr>
            </w:pPr>
            <w:r w:rsidRPr="008943EF">
              <w:rPr>
                <w:sz w:val="20"/>
                <w:szCs w:val="20"/>
              </w:rPr>
              <w:t>76 (73%)</w:t>
            </w:r>
          </w:p>
          <w:p w14:paraId="0CEC2EFA" w14:textId="77777777" w:rsidR="00575022" w:rsidRDefault="00575022" w:rsidP="00B619C5">
            <w:pPr>
              <w:jc w:val="center"/>
            </w:pPr>
            <w:r>
              <w:t>28 (27%)</w:t>
            </w:r>
          </w:p>
        </w:tc>
        <w:tc>
          <w:tcPr>
            <w:tcW w:w="0" w:type="auto"/>
          </w:tcPr>
          <w:p w14:paraId="5BD2E58A" w14:textId="77777777" w:rsidR="00575022" w:rsidRDefault="00575022" w:rsidP="00B619C5">
            <w:pPr>
              <w:jc w:val="center"/>
              <w:rPr>
                <w:sz w:val="20"/>
                <w:szCs w:val="20"/>
              </w:rPr>
            </w:pPr>
          </w:p>
          <w:p w14:paraId="44BCCC3A" w14:textId="77777777" w:rsidR="00575022" w:rsidRDefault="00575022" w:rsidP="00B619C5">
            <w:pPr>
              <w:jc w:val="center"/>
            </w:pPr>
            <w:r w:rsidRPr="008943EF">
              <w:rPr>
                <w:sz w:val="20"/>
                <w:szCs w:val="20"/>
              </w:rPr>
              <w:t>0.07</w:t>
            </w:r>
          </w:p>
        </w:tc>
        <w:tc>
          <w:tcPr>
            <w:tcW w:w="0" w:type="auto"/>
          </w:tcPr>
          <w:p w14:paraId="19F3B8E5" w14:textId="77777777" w:rsidR="00575022" w:rsidRDefault="00575022" w:rsidP="00B619C5">
            <w:pPr>
              <w:jc w:val="center"/>
              <w:rPr>
                <w:sz w:val="20"/>
                <w:szCs w:val="20"/>
              </w:rPr>
            </w:pPr>
          </w:p>
          <w:p w14:paraId="3608EB47" w14:textId="77777777" w:rsidR="00575022" w:rsidRDefault="00575022" w:rsidP="00B619C5">
            <w:pPr>
              <w:jc w:val="center"/>
              <w:rPr>
                <w:sz w:val="20"/>
                <w:szCs w:val="20"/>
              </w:rPr>
            </w:pPr>
            <w:r w:rsidRPr="008943EF">
              <w:rPr>
                <w:sz w:val="20"/>
                <w:szCs w:val="20"/>
              </w:rPr>
              <w:t>66 (69%)</w:t>
            </w:r>
          </w:p>
          <w:p w14:paraId="0F36E494" w14:textId="77777777" w:rsidR="00575022" w:rsidRDefault="00575022" w:rsidP="00B619C5">
            <w:pPr>
              <w:jc w:val="center"/>
            </w:pPr>
            <w:r>
              <w:t>29 (31%)</w:t>
            </w:r>
          </w:p>
        </w:tc>
        <w:tc>
          <w:tcPr>
            <w:tcW w:w="0" w:type="auto"/>
          </w:tcPr>
          <w:p w14:paraId="47EBB6D1" w14:textId="77777777" w:rsidR="00575022" w:rsidRDefault="00575022" w:rsidP="00B619C5">
            <w:pPr>
              <w:jc w:val="center"/>
              <w:rPr>
                <w:sz w:val="20"/>
                <w:szCs w:val="20"/>
              </w:rPr>
            </w:pPr>
          </w:p>
          <w:p w14:paraId="38D13A7B" w14:textId="77777777" w:rsidR="00575022" w:rsidRDefault="00575022" w:rsidP="00B619C5">
            <w:pPr>
              <w:jc w:val="center"/>
              <w:rPr>
                <w:sz w:val="20"/>
                <w:szCs w:val="20"/>
              </w:rPr>
            </w:pPr>
            <w:r w:rsidRPr="008943EF">
              <w:rPr>
                <w:sz w:val="20"/>
                <w:szCs w:val="20"/>
              </w:rPr>
              <w:t>111 (70%)</w:t>
            </w:r>
          </w:p>
          <w:p w14:paraId="4DBD5042" w14:textId="77777777" w:rsidR="00575022" w:rsidRDefault="00575022" w:rsidP="00B619C5">
            <w:pPr>
              <w:jc w:val="center"/>
            </w:pPr>
            <w:r>
              <w:t>47 (30%)</w:t>
            </w:r>
          </w:p>
        </w:tc>
        <w:tc>
          <w:tcPr>
            <w:tcW w:w="0" w:type="auto"/>
          </w:tcPr>
          <w:p w14:paraId="72BCCA11" w14:textId="77777777" w:rsidR="00575022" w:rsidRDefault="00575022" w:rsidP="00B619C5">
            <w:pPr>
              <w:jc w:val="center"/>
              <w:rPr>
                <w:sz w:val="20"/>
                <w:szCs w:val="20"/>
              </w:rPr>
            </w:pPr>
          </w:p>
          <w:p w14:paraId="4FA0E310" w14:textId="77777777" w:rsidR="00575022" w:rsidRDefault="00575022" w:rsidP="00B619C5">
            <w:pPr>
              <w:jc w:val="center"/>
            </w:pPr>
            <w:r w:rsidRPr="008943EF">
              <w:rPr>
                <w:sz w:val="20"/>
                <w:szCs w:val="20"/>
              </w:rPr>
              <w:t>0.02</w:t>
            </w:r>
          </w:p>
        </w:tc>
        <w:tc>
          <w:tcPr>
            <w:tcW w:w="0" w:type="auto"/>
          </w:tcPr>
          <w:p w14:paraId="6A33C470" w14:textId="77777777" w:rsidR="00575022" w:rsidRDefault="00575022" w:rsidP="00B619C5">
            <w:pPr>
              <w:jc w:val="center"/>
              <w:rPr>
                <w:sz w:val="20"/>
                <w:szCs w:val="20"/>
              </w:rPr>
            </w:pPr>
          </w:p>
          <w:p w14:paraId="5F03DE8B" w14:textId="77777777" w:rsidR="00575022" w:rsidRDefault="00575022" w:rsidP="00B619C5">
            <w:pPr>
              <w:jc w:val="center"/>
              <w:rPr>
                <w:sz w:val="20"/>
                <w:szCs w:val="20"/>
              </w:rPr>
            </w:pPr>
            <w:r>
              <w:rPr>
                <w:sz w:val="20"/>
                <w:szCs w:val="20"/>
              </w:rPr>
              <w:t xml:space="preserve"> </w:t>
            </w:r>
            <w:r w:rsidRPr="008943EF">
              <w:rPr>
                <w:sz w:val="20"/>
                <w:szCs w:val="20"/>
              </w:rPr>
              <w:t>2</w:t>
            </w:r>
            <w:r>
              <w:rPr>
                <w:sz w:val="20"/>
                <w:szCs w:val="20"/>
              </w:rPr>
              <w:t>18</w:t>
            </w:r>
            <w:r w:rsidRPr="008943EF">
              <w:rPr>
                <w:sz w:val="20"/>
                <w:szCs w:val="20"/>
              </w:rPr>
              <w:t xml:space="preserve"> (71%)</w:t>
            </w:r>
          </w:p>
          <w:p w14:paraId="327D5CE1" w14:textId="77777777" w:rsidR="00575022" w:rsidRPr="008943EF" w:rsidRDefault="00575022" w:rsidP="00B619C5">
            <w:pPr>
              <w:jc w:val="center"/>
              <w:rPr>
                <w:sz w:val="20"/>
                <w:szCs w:val="20"/>
              </w:rPr>
            </w:pPr>
            <w:r>
              <w:rPr>
                <w:sz w:val="20"/>
                <w:szCs w:val="20"/>
              </w:rPr>
              <w:t>89 (29%)</w:t>
            </w:r>
          </w:p>
        </w:tc>
        <w:tc>
          <w:tcPr>
            <w:tcW w:w="0" w:type="auto"/>
          </w:tcPr>
          <w:p w14:paraId="0E60EA2D" w14:textId="77777777" w:rsidR="00575022" w:rsidRDefault="00575022" w:rsidP="00B619C5">
            <w:pPr>
              <w:jc w:val="center"/>
              <w:rPr>
                <w:sz w:val="20"/>
                <w:szCs w:val="20"/>
              </w:rPr>
            </w:pPr>
          </w:p>
          <w:p w14:paraId="370469EF" w14:textId="77777777" w:rsidR="00575022" w:rsidRDefault="00575022" w:rsidP="00B619C5">
            <w:pPr>
              <w:jc w:val="center"/>
              <w:rPr>
                <w:sz w:val="20"/>
                <w:szCs w:val="20"/>
              </w:rPr>
            </w:pPr>
            <w:r w:rsidRPr="008943EF">
              <w:rPr>
                <w:sz w:val="20"/>
                <w:szCs w:val="20"/>
              </w:rPr>
              <w:t>2</w:t>
            </w:r>
            <w:r>
              <w:rPr>
                <w:sz w:val="20"/>
                <w:szCs w:val="20"/>
              </w:rPr>
              <w:t>33</w:t>
            </w:r>
            <w:r w:rsidRPr="008943EF">
              <w:rPr>
                <w:sz w:val="20"/>
                <w:szCs w:val="20"/>
              </w:rPr>
              <w:t xml:space="preserve"> (7</w:t>
            </w:r>
            <w:r>
              <w:rPr>
                <w:sz w:val="20"/>
                <w:szCs w:val="20"/>
              </w:rPr>
              <w:t>0</w:t>
            </w:r>
            <w:r w:rsidRPr="008943EF">
              <w:rPr>
                <w:sz w:val="20"/>
                <w:szCs w:val="20"/>
              </w:rPr>
              <w:t>%)</w:t>
            </w:r>
          </w:p>
          <w:p w14:paraId="3F60C865" w14:textId="77777777" w:rsidR="00575022" w:rsidRPr="008943EF" w:rsidRDefault="00575022" w:rsidP="00B619C5">
            <w:pPr>
              <w:jc w:val="center"/>
              <w:rPr>
                <w:sz w:val="20"/>
                <w:szCs w:val="20"/>
              </w:rPr>
            </w:pPr>
            <w:r>
              <w:rPr>
                <w:sz w:val="20"/>
                <w:szCs w:val="20"/>
              </w:rPr>
              <w:t>98 (30%)</w:t>
            </w:r>
          </w:p>
        </w:tc>
        <w:tc>
          <w:tcPr>
            <w:tcW w:w="1350" w:type="dxa"/>
          </w:tcPr>
          <w:p w14:paraId="7EF4AAF9" w14:textId="77777777" w:rsidR="00575022" w:rsidRDefault="00575022" w:rsidP="00B619C5">
            <w:pPr>
              <w:jc w:val="center"/>
              <w:rPr>
                <w:sz w:val="20"/>
                <w:szCs w:val="20"/>
              </w:rPr>
            </w:pPr>
          </w:p>
          <w:p w14:paraId="0B4FFBF6" w14:textId="77777777" w:rsidR="00575022" w:rsidRPr="008943EF" w:rsidRDefault="00575022" w:rsidP="00B619C5">
            <w:pPr>
              <w:jc w:val="center"/>
              <w:rPr>
                <w:sz w:val="20"/>
                <w:szCs w:val="20"/>
              </w:rPr>
            </w:pPr>
            <w:r w:rsidRPr="008943EF">
              <w:rPr>
                <w:sz w:val="20"/>
                <w:szCs w:val="20"/>
              </w:rPr>
              <w:t>0.0</w:t>
            </w:r>
            <w:r>
              <w:rPr>
                <w:sz w:val="20"/>
                <w:szCs w:val="20"/>
              </w:rPr>
              <w:t>9</w:t>
            </w:r>
          </w:p>
        </w:tc>
        <w:tc>
          <w:tcPr>
            <w:tcW w:w="1153" w:type="dxa"/>
          </w:tcPr>
          <w:p w14:paraId="1681B641" w14:textId="77777777" w:rsidR="00575022" w:rsidRDefault="00575022" w:rsidP="00B619C5">
            <w:pPr>
              <w:jc w:val="center"/>
              <w:rPr>
                <w:sz w:val="20"/>
                <w:szCs w:val="20"/>
              </w:rPr>
            </w:pPr>
          </w:p>
          <w:p w14:paraId="0939A3B3" w14:textId="77777777" w:rsidR="00575022" w:rsidRDefault="00575022" w:rsidP="00B619C5">
            <w:pPr>
              <w:jc w:val="center"/>
              <w:rPr>
                <w:sz w:val="20"/>
                <w:szCs w:val="20"/>
              </w:rPr>
            </w:pPr>
            <w:r w:rsidRPr="008943EF">
              <w:rPr>
                <w:sz w:val="20"/>
                <w:szCs w:val="20"/>
              </w:rPr>
              <w:t>162 (69%)</w:t>
            </w:r>
          </w:p>
          <w:p w14:paraId="0349B377" w14:textId="77777777" w:rsidR="00575022" w:rsidRPr="008943EF" w:rsidRDefault="00575022" w:rsidP="00B619C5">
            <w:pPr>
              <w:jc w:val="center"/>
              <w:rPr>
                <w:sz w:val="20"/>
                <w:szCs w:val="20"/>
              </w:rPr>
            </w:pPr>
            <w:r>
              <w:rPr>
                <w:sz w:val="20"/>
                <w:szCs w:val="20"/>
              </w:rPr>
              <w:t>73 (31%)</w:t>
            </w:r>
          </w:p>
        </w:tc>
        <w:tc>
          <w:tcPr>
            <w:tcW w:w="0" w:type="auto"/>
          </w:tcPr>
          <w:p w14:paraId="3D76A0DE" w14:textId="77777777" w:rsidR="00575022" w:rsidRDefault="00575022" w:rsidP="00B619C5">
            <w:pPr>
              <w:jc w:val="center"/>
              <w:rPr>
                <w:sz w:val="20"/>
                <w:szCs w:val="20"/>
              </w:rPr>
            </w:pPr>
          </w:p>
          <w:p w14:paraId="0B0626D1" w14:textId="77777777" w:rsidR="00575022" w:rsidRDefault="00575022" w:rsidP="00B619C5">
            <w:pPr>
              <w:jc w:val="center"/>
              <w:rPr>
                <w:sz w:val="20"/>
                <w:szCs w:val="20"/>
              </w:rPr>
            </w:pPr>
            <w:r w:rsidRPr="008943EF">
              <w:rPr>
                <w:sz w:val="20"/>
                <w:szCs w:val="20"/>
              </w:rPr>
              <w:t>267 (70%)</w:t>
            </w:r>
          </w:p>
          <w:p w14:paraId="060BD2F5" w14:textId="77777777" w:rsidR="00575022" w:rsidRPr="008943EF" w:rsidRDefault="00575022" w:rsidP="00B619C5">
            <w:pPr>
              <w:jc w:val="center"/>
              <w:rPr>
                <w:sz w:val="20"/>
                <w:szCs w:val="20"/>
              </w:rPr>
            </w:pPr>
            <w:r>
              <w:rPr>
                <w:sz w:val="20"/>
                <w:szCs w:val="20"/>
              </w:rPr>
              <w:t>113 (30%)</w:t>
            </w:r>
          </w:p>
        </w:tc>
        <w:tc>
          <w:tcPr>
            <w:tcW w:w="0" w:type="auto"/>
          </w:tcPr>
          <w:p w14:paraId="0EA8A8DE" w14:textId="77777777" w:rsidR="00575022" w:rsidRDefault="00575022" w:rsidP="00B619C5">
            <w:pPr>
              <w:jc w:val="center"/>
              <w:rPr>
                <w:sz w:val="20"/>
                <w:szCs w:val="20"/>
              </w:rPr>
            </w:pPr>
          </w:p>
          <w:p w14:paraId="77631866" w14:textId="77777777" w:rsidR="00575022" w:rsidRPr="008943EF" w:rsidRDefault="00575022" w:rsidP="00B619C5">
            <w:pPr>
              <w:jc w:val="center"/>
              <w:rPr>
                <w:sz w:val="20"/>
                <w:szCs w:val="20"/>
              </w:rPr>
            </w:pPr>
            <w:r w:rsidRPr="008943EF">
              <w:rPr>
                <w:sz w:val="20"/>
                <w:szCs w:val="20"/>
              </w:rPr>
              <w:t>0.01</w:t>
            </w:r>
          </w:p>
        </w:tc>
      </w:tr>
      <w:tr w:rsidR="00575022" w14:paraId="50222D63" w14:textId="77777777" w:rsidTr="00B619C5">
        <w:trPr>
          <w:trHeight w:val="320"/>
          <w:jc w:val="center"/>
        </w:trPr>
        <w:tc>
          <w:tcPr>
            <w:tcW w:w="2686" w:type="dxa"/>
          </w:tcPr>
          <w:p w14:paraId="72A54AB9" w14:textId="77777777" w:rsidR="00575022" w:rsidRDefault="00575022" w:rsidP="00B619C5">
            <w:pPr>
              <w:pStyle w:val="TableParagraph"/>
              <w:spacing w:line="244" w:lineRule="exact"/>
              <w:ind w:left="110"/>
              <w:jc w:val="left"/>
              <w:rPr>
                <w:b/>
                <w:sz w:val="20"/>
              </w:rPr>
            </w:pPr>
            <w:r>
              <w:rPr>
                <w:b/>
                <w:sz w:val="20"/>
              </w:rPr>
              <w:t xml:space="preserve"> Disease duration, years</w:t>
            </w:r>
          </w:p>
          <w:p w14:paraId="4A307DAA" w14:textId="77777777" w:rsidR="00575022" w:rsidRDefault="00575022" w:rsidP="00B619C5">
            <w:pPr>
              <w:pStyle w:val="TableParagraph"/>
              <w:spacing w:before="75"/>
              <w:ind w:left="110"/>
              <w:jc w:val="left"/>
              <w:rPr>
                <w:b/>
                <w:sz w:val="20"/>
              </w:rPr>
            </w:pPr>
            <w:r>
              <w:rPr>
                <w:b/>
                <w:sz w:val="20"/>
              </w:rPr>
              <w:t xml:space="preserve">   Median (IQR)</w:t>
            </w:r>
          </w:p>
        </w:tc>
        <w:tc>
          <w:tcPr>
            <w:tcW w:w="0" w:type="auto"/>
          </w:tcPr>
          <w:p w14:paraId="4151B04F" w14:textId="77777777" w:rsidR="00575022" w:rsidRPr="008943EF" w:rsidRDefault="00575022" w:rsidP="00B619C5">
            <w:pPr>
              <w:kinsoku w:val="0"/>
              <w:overflowPunct w:val="0"/>
              <w:spacing w:line="244" w:lineRule="exact"/>
              <w:ind w:right="15"/>
              <w:jc w:val="center"/>
              <w:rPr>
                <w:sz w:val="20"/>
                <w:szCs w:val="20"/>
              </w:rPr>
            </w:pPr>
            <w:r w:rsidRPr="008943EF">
              <w:rPr>
                <w:sz w:val="20"/>
                <w:szCs w:val="20"/>
              </w:rPr>
              <w:t>3</w:t>
            </w:r>
          </w:p>
          <w:p w14:paraId="75E5A076" w14:textId="77777777" w:rsidR="00575022" w:rsidRDefault="00575022" w:rsidP="00B619C5">
            <w:pPr>
              <w:jc w:val="center"/>
            </w:pPr>
            <w:r w:rsidRPr="008943EF">
              <w:rPr>
                <w:sz w:val="20"/>
                <w:szCs w:val="20"/>
              </w:rPr>
              <w:t>(2.1 - 4)</w:t>
            </w:r>
          </w:p>
        </w:tc>
        <w:tc>
          <w:tcPr>
            <w:tcW w:w="0" w:type="auto"/>
          </w:tcPr>
          <w:p w14:paraId="0549BFF0" w14:textId="77777777" w:rsidR="00575022" w:rsidRPr="008943EF" w:rsidRDefault="00575022" w:rsidP="00B619C5">
            <w:pPr>
              <w:kinsoku w:val="0"/>
              <w:overflowPunct w:val="0"/>
              <w:spacing w:line="244" w:lineRule="exact"/>
              <w:ind w:left="167" w:right="122"/>
              <w:jc w:val="center"/>
              <w:rPr>
                <w:sz w:val="20"/>
                <w:szCs w:val="20"/>
              </w:rPr>
            </w:pPr>
            <w:r w:rsidRPr="008943EF">
              <w:rPr>
                <w:sz w:val="20"/>
                <w:szCs w:val="20"/>
              </w:rPr>
              <w:t>2.1</w:t>
            </w:r>
          </w:p>
          <w:p w14:paraId="79551168" w14:textId="77777777" w:rsidR="00575022" w:rsidRDefault="00575022" w:rsidP="00B619C5">
            <w:pPr>
              <w:jc w:val="center"/>
            </w:pPr>
            <w:r w:rsidRPr="008943EF">
              <w:rPr>
                <w:sz w:val="20"/>
                <w:szCs w:val="20"/>
              </w:rPr>
              <w:t>(1 - 3.5)</w:t>
            </w:r>
          </w:p>
        </w:tc>
        <w:tc>
          <w:tcPr>
            <w:tcW w:w="0" w:type="auto"/>
          </w:tcPr>
          <w:p w14:paraId="4F89BDF6" w14:textId="77777777" w:rsidR="00575022" w:rsidRDefault="00575022" w:rsidP="00B619C5">
            <w:pPr>
              <w:jc w:val="center"/>
            </w:pPr>
            <w:r w:rsidRPr="00986FAD">
              <w:rPr>
                <w:sz w:val="20"/>
                <w:szCs w:val="20"/>
              </w:rPr>
              <w:t>0.5</w:t>
            </w:r>
          </w:p>
        </w:tc>
        <w:tc>
          <w:tcPr>
            <w:tcW w:w="0" w:type="auto"/>
          </w:tcPr>
          <w:p w14:paraId="724977E1" w14:textId="77777777" w:rsidR="00575022" w:rsidRPr="008943EF" w:rsidRDefault="00575022" w:rsidP="00B619C5">
            <w:pPr>
              <w:kinsoku w:val="0"/>
              <w:overflowPunct w:val="0"/>
              <w:spacing w:line="244" w:lineRule="exact"/>
              <w:ind w:left="197" w:right="213"/>
              <w:jc w:val="center"/>
              <w:rPr>
                <w:sz w:val="20"/>
                <w:szCs w:val="20"/>
              </w:rPr>
            </w:pPr>
            <w:r w:rsidRPr="008943EF">
              <w:rPr>
                <w:sz w:val="20"/>
                <w:szCs w:val="20"/>
              </w:rPr>
              <w:t>6.8</w:t>
            </w:r>
          </w:p>
          <w:p w14:paraId="0788FA10" w14:textId="77777777" w:rsidR="00575022" w:rsidRDefault="00575022" w:rsidP="00B619C5">
            <w:pPr>
              <w:jc w:val="center"/>
            </w:pPr>
            <w:r w:rsidRPr="008943EF">
              <w:rPr>
                <w:sz w:val="20"/>
                <w:szCs w:val="20"/>
              </w:rPr>
              <w:t>(5.9 - 8.3)</w:t>
            </w:r>
          </w:p>
        </w:tc>
        <w:tc>
          <w:tcPr>
            <w:tcW w:w="0" w:type="auto"/>
          </w:tcPr>
          <w:p w14:paraId="2CEDED17" w14:textId="77777777" w:rsidR="00575022" w:rsidRPr="008943EF" w:rsidRDefault="00575022" w:rsidP="00B619C5">
            <w:pPr>
              <w:kinsoku w:val="0"/>
              <w:overflowPunct w:val="0"/>
              <w:spacing w:line="244" w:lineRule="exact"/>
              <w:ind w:left="148" w:right="152"/>
              <w:jc w:val="center"/>
              <w:rPr>
                <w:sz w:val="20"/>
                <w:szCs w:val="20"/>
              </w:rPr>
            </w:pPr>
            <w:r w:rsidRPr="008943EF">
              <w:rPr>
                <w:sz w:val="20"/>
                <w:szCs w:val="20"/>
              </w:rPr>
              <w:t>5.3</w:t>
            </w:r>
          </w:p>
          <w:p w14:paraId="3EAD4474" w14:textId="77777777" w:rsidR="00575022" w:rsidRDefault="00575022" w:rsidP="00B619C5">
            <w:pPr>
              <w:jc w:val="center"/>
            </w:pPr>
            <w:r w:rsidRPr="008943EF">
              <w:rPr>
                <w:sz w:val="20"/>
                <w:szCs w:val="20"/>
              </w:rPr>
              <w:t>(2.1 - 10)</w:t>
            </w:r>
          </w:p>
        </w:tc>
        <w:tc>
          <w:tcPr>
            <w:tcW w:w="0" w:type="auto"/>
          </w:tcPr>
          <w:p w14:paraId="1827D95B" w14:textId="77777777" w:rsidR="00575022" w:rsidRDefault="00575022" w:rsidP="00B619C5">
            <w:pPr>
              <w:jc w:val="center"/>
            </w:pPr>
            <w:r w:rsidRPr="008943EF">
              <w:rPr>
                <w:sz w:val="20"/>
                <w:szCs w:val="20"/>
              </w:rPr>
              <w:t>0.31</w:t>
            </w:r>
          </w:p>
        </w:tc>
        <w:tc>
          <w:tcPr>
            <w:tcW w:w="0" w:type="auto"/>
          </w:tcPr>
          <w:p w14:paraId="4BCA28E9" w14:textId="77777777" w:rsidR="00575022" w:rsidRDefault="00575022" w:rsidP="00B619C5">
            <w:pPr>
              <w:jc w:val="center"/>
              <w:rPr>
                <w:sz w:val="20"/>
                <w:szCs w:val="20"/>
              </w:rPr>
            </w:pPr>
            <w:r w:rsidRPr="008943EF">
              <w:rPr>
                <w:sz w:val="20"/>
                <w:szCs w:val="20"/>
              </w:rPr>
              <w:t>3</w:t>
            </w:r>
            <w:r>
              <w:rPr>
                <w:sz w:val="20"/>
                <w:szCs w:val="20"/>
              </w:rPr>
              <w:t xml:space="preserve"> </w:t>
            </w:r>
          </w:p>
          <w:p w14:paraId="25905CF8" w14:textId="77777777" w:rsidR="00575022" w:rsidRPr="008943EF" w:rsidRDefault="00575022" w:rsidP="00B619C5">
            <w:pPr>
              <w:jc w:val="center"/>
              <w:rPr>
                <w:sz w:val="20"/>
                <w:szCs w:val="20"/>
              </w:rPr>
            </w:pPr>
            <w:r w:rsidRPr="008943EF">
              <w:rPr>
                <w:sz w:val="20"/>
                <w:szCs w:val="20"/>
              </w:rPr>
              <w:t>(2.1 - 4)</w:t>
            </w:r>
          </w:p>
        </w:tc>
        <w:tc>
          <w:tcPr>
            <w:tcW w:w="0" w:type="auto"/>
          </w:tcPr>
          <w:p w14:paraId="2E4B6645" w14:textId="77777777" w:rsidR="00575022" w:rsidRDefault="00575022" w:rsidP="00B619C5">
            <w:pPr>
              <w:jc w:val="center"/>
              <w:rPr>
                <w:sz w:val="20"/>
                <w:szCs w:val="20"/>
              </w:rPr>
            </w:pPr>
            <w:r>
              <w:rPr>
                <w:sz w:val="20"/>
                <w:szCs w:val="20"/>
              </w:rPr>
              <w:t>3</w:t>
            </w:r>
            <w:r w:rsidRPr="008943EF">
              <w:rPr>
                <w:sz w:val="20"/>
                <w:szCs w:val="20"/>
              </w:rPr>
              <w:t>.</w:t>
            </w:r>
            <w:r>
              <w:rPr>
                <w:sz w:val="20"/>
                <w:szCs w:val="20"/>
              </w:rPr>
              <w:t xml:space="preserve">5 </w:t>
            </w:r>
          </w:p>
          <w:p w14:paraId="1D9F262E" w14:textId="77777777" w:rsidR="00575022" w:rsidRPr="008943EF" w:rsidRDefault="00575022" w:rsidP="00B619C5">
            <w:pPr>
              <w:jc w:val="center"/>
              <w:rPr>
                <w:sz w:val="20"/>
                <w:szCs w:val="20"/>
              </w:rPr>
            </w:pPr>
            <w:r w:rsidRPr="008943EF">
              <w:rPr>
                <w:sz w:val="20"/>
                <w:szCs w:val="20"/>
              </w:rPr>
              <w:t>(</w:t>
            </w:r>
            <w:r>
              <w:rPr>
                <w:sz w:val="20"/>
                <w:szCs w:val="20"/>
              </w:rPr>
              <w:t>2</w:t>
            </w:r>
            <w:r w:rsidRPr="008943EF">
              <w:rPr>
                <w:sz w:val="20"/>
                <w:szCs w:val="20"/>
              </w:rPr>
              <w:t xml:space="preserve">.5 - </w:t>
            </w:r>
            <w:proofErr w:type="gramStart"/>
            <w:r w:rsidRPr="008943EF">
              <w:rPr>
                <w:sz w:val="20"/>
                <w:szCs w:val="20"/>
              </w:rPr>
              <w:t>4.</w:t>
            </w:r>
            <w:r>
              <w:rPr>
                <w:sz w:val="20"/>
                <w:szCs w:val="20"/>
              </w:rPr>
              <w:t>3</w:t>
            </w:r>
            <w:r w:rsidRPr="008943EF">
              <w:rPr>
                <w:sz w:val="20"/>
                <w:szCs w:val="20"/>
              </w:rPr>
              <w:t>)</w:t>
            </w:r>
            <w:r w:rsidRPr="00C3392D">
              <w:rPr>
                <w:sz w:val="20"/>
                <w:szCs w:val="20"/>
                <w:vertAlign w:val="superscript"/>
              </w:rPr>
              <w:t>b</w:t>
            </w:r>
            <w:proofErr w:type="gramEnd"/>
          </w:p>
        </w:tc>
        <w:tc>
          <w:tcPr>
            <w:tcW w:w="1350" w:type="dxa"/>
          </w:tcPr>
          <w:p w14:paraId="7D8886A1" w14:textId="77777777" w:rsidR="00575022" w:rsidRPr="008943EF" w:rsidRDefault="00575022" w:rsidP="00B619C5">
            <w:pPr>
              <w:jc w:val="center"/>
              <w:rPr>
                <w:sz w:val="20"/>
                <w:szCs w:val="20"/>
              </w:rPr>
            </w:pPr>
            <w:r w:rsidRPr="008943EF">
              <w:rPr>
                <w:sz w:val="20"/>
                <w:szCs w:val="20"/>
              </w:rPr>
              <w:t>0.</w:t>
            </w:r>
            <w:r>
              <w:rPr>
                <w:sz w:val="20"/>
                <w:szCs w:val="20"/>
              </w:rPr>
              <w:t>41</w:t>
            </w:r>
          </w:p>
        </w:tc>
        <w:tc>
          <w:tcPr>
            <w:tcW w:w="1153" w:type="dxa"/>
          </w:tcPr>
          <w:p w14:paraId="79A1B91C" w14:textId="77777777" w:rsidR="00575022" w:rsidRDefault="00575022" w:rsidP="00B619C5">
            <w:pPr>
              <w:jc w:val="center"/>
              <w:rPr>
                <w:sz w:val="20"/>
                <w:szCs w:val="20"/>
              </w:rPr>
            </w:pPr>
            <w:r w:rsidRPr="008943EF">
              <w:rPr>
                <w:sz w:val="20"/>
                <w:szCs w:val="20"/>
              </w:rPr>
              <w:t>6.5</w:t>
            </w:r>
          </w:p>
          <w:p w14:paraId="4C47534B" w14:textId="77777777" w:rsidR="00575022" w:rsidRPr="008943EF" w:rsidRDefault="00575022" w:rsidP="00B619C5">
            <w:pPr>
              <w:jc w:val="center"/>
              <w:rPr>
                <w:sz w:val="20"/>
                <w:szCs w:val="20"/>
              </w:rPr>
            </w:pPr>
            <w:r w:rsidRPr="008943EF">
              <w:rPr>
                <w:sz w:val="20"/>
                <w:szCs w:val="20"/>
              </w:rPr>
              <w:t>(2.1 - 12)</w:t>
            </w:r>
          </w:p>
        </w:tc>
        <w:tc>
          <w:tcPr>
            <w:tcW w:w="0" w:type="auto"/>
          </w:tcPr>
          <w:p w14:paraId="67534247" w14:textId="77777777" w:rsidR="00575022" w:rsidRDefault="00575022" w:rsidP="00B619C5">
            <w:pPr>
              <w:jc w:val="center"/>
              <w:rPr>
                <w:sz w:val="20"/>
                <w:szCs w:val="20"/>
              </w:rPr>
            </w:pPr>
            <w:r w:rsidRPr="008943EF">
              <w:rPr>
                <w:sz w:val="20"/>
                <w:szCs w:val="20"/>
              </w:rPr>
              <w:t>5.1</w:t>
            </w:r>
          </w:p>
          <w:p w14:paraId="00229C6D" w14:textId="77777777" w:rsidR="00575022" w:rsidRPr="008943EF" w:rsidRDefault="00575022" w:rsidP="00B619C5">
            <w:pPr>
              <w:jc w:val="center"/>
              <w:rPr>
                <w:sz w:val="20"/>
                <w:szCs w:val="20"/>
              </w:rPr>
            </w:pPr>
            <w:r w:rsidRPr="008943EF">
              <w:rPr>
                <w:sz w:val="20"/>
                <w:szCs w:val="20"/>
              </w:rPr>
              <w:t>(2.7 - 9.6)</w:t>
            </w:r>
          </w:p>
        </w:tc>
        <w:tc>
          <w:tcPr>
            <w:tcW w:w="0" w:type="auto"/>
          </w:tcPr>
          <w:p w14:paraId="4AD7B406" w14:textId="77777777" w:rsidR="00575022" w:rsidRPr="008943EF" w:rsidRDefault="00575022" w:rsidP="00B619C5">
            <w:pPr>
              <w:jc w:val="center"/>
              <w:rPr>
                <w:sz w:val="20"/>
                <w:szCs w:val="20"/>
              </w:rPr>
            </w:pPr>
            <w:r w:rsidRPr="008943EF">
              <w:rPr>
                <w:sz w:val="20"/>
                <w:szCs w:val="20"/>
              </w:rPr>
              <w:t>0.2</w:t>
            </w:r>
          </w:p>
        </w:tc>
      </w:tr>
      <w:tr w:rsidR="00575022" w14:paraId="7A1B3307" w14:textId="77777777" w:rsidTr="00B619C5">
        <w:trPr>
          <w:trHeight w:val="489"/>
          <w:jc w:val="center"/>
        </w:trPr>
        <w:tc>
          <w:tcPr>
            <w:tcW w:w="2686" w:type="dxa"/>
          </w:tcPr>
          <w:p w14:paraId="4A3403B5" w14:textId="77777777" w:rsidR="00575022" w:rsidRDefault="00575022" w:rsidP="00B619C5">
            <w:pPr>
              <w:pStyle w:val="TableParagraph"/>
              <w:spacing w:before="74"/>
              <w:ind w:left="110"/>
              <w:jc w:val="left"/>
              <w:rPr>
                <w:b/>
                <w:sz w:val="20"/>
              </w:rPr>
            </w:pPr>
            <w:r>
              <w:rPr>
                <w:b/>
                <w:sz w:val="20"/>
              </w:rPr>
              <w:t>Relapses in year before baseline</w:t>
            </w:r>
          </w:p>
          <w:p w14:paraId="487F214D" w14:textId="77777777" w:rsidR="00575022" w:rsidRDefault="00575022" w:rsidP="00B619C5">
            <w:pPr>
              <w:pStyle w:val="TableParagraph"/>
              <w:spacing w:line="244" w:lineRule="exact"/>
              <w:ind w:left="110"/>
              <w:jc w:val="left"/>
              <w:rPr>
                <w:b/>
                <w:sz w:val="20"/>
              </w:rPr>
            </w:pPr>
            <w:r>
              <w:rPr>
                <w:b/>
                <w:sz w:val="20"/>
              </w:rPr>
              <w:t xml:space="preserve">   Mean (</w:t>
            </w:r>
            <w:proofErr w:type="gramStart"/>
            <w:r>
              <w:rPr>
                <w:b/>
                <w:sz w:val="20"/>
              </w:rPr>
              <w:t xml:space="preserve">SD)   </w:t>
            </w:r>
            <w:proofErr w:type="gramEnd"/>
          </w:p>
        </w:tc>
        <w:tc>
          <w:tcPr>
            <w:tcW w:w="0" w:type="auto"/>
          </w:tcPr>
          <w:p w14:paraId="502D6C0D" w14:textId="77777777" w:rsidR="00575022" w:rsidRDefault="00575022" w:rsidP="00B619C5">
            <w:pPr>
              <w:jc w:val="center"/>
            </w:pPr>
            <w:r w:rsidRPr="008943EF">
              <w:rPr>
                <w:sz w:val="20"/>
                <w:szCs w:val="20"/>
              </w:rPr>
              <w:t>1.3 (1)</w:t>
            </w:r>
          </w:p>
        </w:tc>
        <w:tc>
          <w:tcPr>
            <w:tcW w:w="0" w:type="auto"/>
          </w:tcPr>
          <w:p w14:paraId="799709D5" w14:textId="77777777" w:rsidR="00575022" w:rsidRDefault="00575022" w:rsidP="00B619C5">
            <w:pPr>
              <w:jc w:val="center"/>
            </w:pPr>
            <w:r w:rsidRPr="008943EF">
              <w:rPr>
                <w:sz w:val="20"/>
                <w:szCs w:val="20"/>
              </w:rPr>
              <w:t>1.2 (1)</w:t>
            </w:r>
          </w:p>
        </w:tc>
        <w:tc>
          <w:tcPr>
            <w:tcW w:w="0" w:type="auto"/>
          </w:tcPr>
          <w:p w14:paraId="32612BC9" w14:textId="77777777" w:rsidR="00575022" w:rsidRDefault="00575022" w:rsidP="00B619C5">
            <w:pPr>
              <w:jc w:val="center"/>
            </w:pPr>
            <w:r w:rsidRPr="008943EF">
              <w:rPr>
                <w:sz w:val="20"/>
                <w:szCs w:val="20"/>
              </w:rPr>
              <w:t>0.06</w:t>
            </w:r>
          </w:p>
        </w:tc>
        <w:tc>
          <w:tcPr>
            <w:tcW w:w="0" w:type="auto"/>
          </w:tcPr>
          <w:p w14:paraId="54D99E27" w14:textId="77777777" w:rsidR="00575022" w:rsidRDefault="00575022" w:rsidP="00B619C5">
            <w:pPr>
              <w:jc w:val="center"/>
            </w:pPr>
            <w:r w:rsidRPr="008943EF">
              <w:rPr>
                <w:sz w:val="20"/>
                <w:szCs w:val="20"/>
              </w:rPr>
              <w:t>1.1 (1)</w:t>
            </w:r>
          </w:p>
        </w:tc>
        <w:tc>
          <w:tcPr>
            <w:tcW w:w="0" w:type="auto"/>
          </w:tcPr>
          <w:p w14:paraId="3B9519BB" w14:textId="77777777" w:rsidR="00575022" w:rsidRDefault="00575022" w:rsidP="00B619C5">
            <w:pPr>
              <w:jc w:val="center"/>
            </w:pPr>
            <w:r w:rsidRPr="008943EF">
              <w:rPr>
                <w:sz w:val="20"/>
                <w:szCs w:val="20"/>
              </w:rPr>
              <w:t>0.9 (0.9)</w:t>
            </w:r>
          </w:p>
        </w:tc>
        <w:tc>
          <w:tcPr>
            <w:tcW w:w="0" w:type="auto"/>
          </w:tcPr>
          <w:p w14:paraId="6208F36C" w14:textId="77777777" w:rsidR="00575022" w:rsidRDefault="00575022" w:rsidP="00B619C5">
            <w:pPr>
              <w:jc w:val="center"/>
            </w:pPr>
            <w:r w:rsidRPr="008943EF">
              <w:rPr>
                <w:sz w:val="20"/>
                <w:szCs w:val="20"/>
              </w:rPr>
              <w:t>0.18</w:t>
            </w:r>
          </w:p>
        </w:tc>
        <w:tc>
          <w:tcPr>
            <w:tcW w:w="0" w:type="auto"/>
          </w:tcPr>
          <w:p w14:paraId="0C6F63EF" w14:textId="77777777" w:rsidR="00575022" w:rsidRPr="008943EF" w:rsidRDefault="00575022" w:rsidP="00B619C5">
            <w:pPr>
              <w:jc w:val="center"/>
              <w:rPr>
                <w:sz w:val="20"/>
                <w:szCs w:val="20"/>
              </w:rPr>
            </w:pPr>
            <w:r>
              <w:rPr>
                <w:sz w:val="20"/>
                <w:szCs w:val="20"/>
              </w:rPr>
              <w:t xml:space="preserve">  </w:t>
            </w:r>
            <w:r w:rsidRPr="008943EF">
              <w:rPr>
                <w:sz w:val="20"/>
                <w:szCs w:val="20"/>
              </w:rPr>
              <w:t>1 (1.1)</w:t>
            </w:r>
          </w:p>
        </w:tc>
        <w:tc>
          <w:tcPr>
            <w:tcW w:w="0" w:type="auto"/>
          </w:tcPr>
          <w:p w14:paraId="2859784E" w14:textId="77777777" w:rsidR="00575022" w:rsidRPr="008943EF" w:rsidRDefault="00575022" w:rsidP="00B619C5">
            <w:pPr>
              <w:jc w:val="center"/>
              <w:rPr>
                <w:sz w:val="20"/>
                <w:szCs w:val="20"/>
              </w:rPr>
            </w:pPr>
            <w:r>
              <w:rPr>
                <w:sz w:val="20"/>
                <w:szCs w:val="20"/>
              </w:rPr>
              <w:t xml:space="preserve"> </w:t>
            </w:r>
            <w:r w:rsidRPr="008943EF">
              <w:rPr>
                <w:sz w:val="20"/>
                <w:szCs w:val="20"/>
              </w:rPr>
              <w:t>1 (1)</w:t>
            </w:r>
          </w:p>
        </w:tc>
        <w:tc>
          <w:tcPr>
            <w:tcW w:w="1350" w:type="dxa"/>
          </w:tcPr>
          <w:p w14:paraId="0B690FD2" w14:textId="77777777" w:rsidR="00575022" w:rsidRPr="008943EF" w:rsidRDefault="00575022" w:rsidP="00B619C5">
            <w:pPr>
              <w:jc w:val="center"/>
              <w:rPr>
                <w:sz w:val="20"/>
                <w:szCs w:val="20"/>
              </w:rPr>
            </w:pPr>
            <w:r>
              <w:rPr>
                <w:sz w:val="20"/>
                <w:szCs w:val="20"/>
              </w:rPr>
              <w:t xml:space="preserve"> </w:t>
            </w:r>
            <w:r w:rsidRPr="008943EF">
              <w:rPr>
                <w:sz w:val="20"/>
                <w:szCs w:val="20"/>
              </w:rPr>
              <w:t>0</w:t>
            </w:r>
          </w:p>
        </w:tc>
        <w:tc>
          <w:tcPr>
            <w:tcW w:w="1153" w:type="dxa"/>
          </w:tcPr>
          <w:p w14:paraId="5890A9B4" w14:textId="77777777" w:rsidR="00575022" w:rsidRPr="008943EF" w:rsidRDefault="00575022" w:rsidP="00B619C5">
            <w:pPr>
              <w:jc w:val="center"/>
              <w:rPr>
                <w:sz w:val="20"/>
                <w:szCs w:val="20"/>
              </w:rPr>
            </w:pPr>
            <w:r w:rsidRPr="008943EF">
              <w:rPr>
                <w:sz w:val="20"/>
                <w:szCs w:val="20"/>
              </w:rPr>
              <w:t>1.2 (1.1)</w:t>
            </w:r>
          </w:p>
        </w:tc>
        <w:tc>
          <w:tcPr>
            <w:tcW w:w="0" w:type="auto"/>
          </w:tcPr>
          <w:p w14:paraId="40CB43FE" w14:textId="77777777" w:rsidR="00575022" w:rsidRPr="008943EF" w:rsidRDefault="00575022" w:rsidP="00B619C5">
            <w:pPr>
              <w:jc w:val="center"/>
              <w:rPr>
                <w:sz w:val="20"/>
                <w:szCs w:val="20"/>
              </w:rPr>
            </w:pPr>
            <w:r w:rsidRPr="008943EF">
              <w:rPr>
                <w:sz w:val="20"/>
                <w:szCs w:val="20"/>
              </w:rPr>
              <w:t>1.3 (1.1)</w:t>
            </w:r>
          </w:p>
        </w:tc>
        <w:tc>
          <w:tcPr>
            <w:tcW w:w="0" w:type="auto"/>
          </w:tcPr>
          <w:p w14:paraId="50FC4CCD" w14:textId="77777777" w:rsidR="00575022" w:rsidRPr="008943EF" w:rsidRDefault="00575022" w:rsidP="00B619C5">
            <w:pPr>
              <w:jc w:val="center"/>
              <w:rPr>
                <w:sz w:val="20"/>
                <w:szCs w:val="20"/>
              </w:rPr>
            </w:pPr>
            <w:r w:rsidRPr="008943EF">
              <w:rPr>
                <w:sz w:val="20"/>
                <w:szCs w:val="20"/>
              </w:rPr>
              <w:t>0.1</w:t>
            </w:r>
          </w:p>
        </w:tc>
      </w:tr>
      <w:tr w:rsidR="00575022" w:rsidRPr="008D6E1C" w14:paraId="58FA30FE" w14:textId="77777777" w:rsidTr="00B619C5">
        <w:trPr>
          <w:trHeight w:val="320"/>
          <w:jc w:val="center"/>
        </w:trPr>
        <w:tc>
          <w:tcPr>
            <w:tcW w:w="2686" w:type="dxa"/>
          </w:tcPr>
          <w:p w14:paraId="00819C97" w14:textId="77777777" w:rsidR="00575022" w:rsidRDefault="00575022" w:rsidP="00B619C5">
            <w:pPr>
              <w:pStyle w:val="TableParagraph"/>
              <w:spacing w:line="244" w:lineRule="exact"/>
              <w:ind w:left="110"/>
              <w:jc w:val="left"/>
              <w:rPr>
                <w:b/>
                <w:sz w:val="20"/>
              </w:rPr>
            </w:pPr>
            <w:r>
              <w:rPr>
                <w:b/>
                <w:sz w:val="20"/>
              </w:rPr>
              <w:t>Disability, EDSS step</w:t>
            </w:r>
          </w:p>
          <w:p w14:paraId="076108E0" w14:textId="77777777" w:rsidR="00575022" w:rsidRPr="008D6E1C" w:rsidRDefault="00575022" w:rsidP="00B619C5">
            <w:pPr>
              <w:pStyle w:val="TableParagraph"/>
              <w:spacing w:before="74"/>
              <w:ind w:left="110"/>
              <w:jc w:val="left"/>
              <w:rPr>
                <w:b/>
                <w:sz w:val="20"/>
              </w:rPr>
            </w:pPr>
            <w:r>
              <w:rPr>
                <w:b/>
                <w:sz w:val="20"/>
              </w:rPr>
              <w:t xml:space="preserve">   Median (IQR)</w:t>
            </w:r>
          </w:p>
        </w:tc>
        <w:tc>
          <w:tcPr>
            <w:tcW w:w="0" w:type="auto"/>
          </w:tcPr>
          <w:p w14:paraId="309E3FCF" w14:textId="77777777" w:rsidR="00575022" w:rsidRPr="008943EF" w:rsidRDefault="00575022" w:rsidP="00B619C5">
            <w:pPr>
              <w:kinsoku w:val="0"/>
              <w:overflowPunct w:val="0"/>
              <w:spacing w:line="244" w:lineRule="exact"/>
              <w:ind w:right="15"/>
              <w:jc w:val="center"/>
              <w:rPr>
                <w:sz w:val="20"/>
                <w:szCs w:val="20"/>
              </w:rPr>
            </w:pPr>
            <w:r w:rsidRPr="008943EF">
              <w:rPr>
                <w:sz w:val="20"/>
                <w:szCs w:val="20"/>
              </w:rPr>
              <w:t>2</w:t>
            </w:r>
          </w:p>
          <w:p w14:paraId="4202C3A6" w14:textId="77777777" w:rsidR="00575022" w:rsidRDefault="00575022" w:rsidP="00B619C5">
            <w:pPr>
              <w:jc w:val="center"/>
            </w:pPr>
            <w:r w:rsidRPr="008943EF">
              <w:rPr>
                <w:sz w:val="20"/>
                <w:szCs w:val="20"/>
              </w:rPr>
              <w:t>(1 - 3)</w:t>
            </w:r>
          </w:p>
        </w:tc>
        <w:tc>
          <w:tcPr>
            <w:tcW w:w="0" w:type="auto"/>
          </w:tcPr>
          <w:p w14:paraId="7F189885" w14:textId="77777777" w:rsidR="00575022" w:rsidRPr="008943EF" w:rsidRDefault="00575022" w:rsidP="00B619C5">
            <w:pPr>
              <w:kinsoku w:val="0"/>
              <w:overflowPunct w:val="0"/>
              <w:spacing w:line="244" w:lineRule="exact"/>
              <w:jc w:val="center"/>
              <w:rPr>
                <w:sz w:val="20"/>
                <w:szCs w:val="20"/>
              </w:rPr>
            </w:pPr>
            <w:r w:rsidRPr="008943EF">
              <w:rPr>
                <w:sz w:val="20"/>
                <w:szCs w:val="20"/>
              </w:rPr>
              <w:t>2</w:t>
            </w:r>
          </w:p>
          <w:p w14:paraId="6DA02D56" w14:textId="77777777" w:rsidR="00575022" w:rsidRDefault="00575022" w:rsidP="00B619C5">
            <w:pPr>
              <w:jc w:val="center"/>
            </w:pPr>
            <w:r w:rsidRPr="008943EF">
              <w:rPr>
                <w:sz w:val="20"/>
                <w:szCs w:val="20"/>
              </w:rPr>
              <w:t>(1 - 3)</w:t>
            </w:r>
          </w:p>
        </w:tc>
        <w:tc>
          <w:tcPr>
            <w:tcW w:w="0" w:type="auto"/>
          </w:tcPr>
          <w:p w14:paraId="34F8225F" w14:textId="77777777" w:rsidR="00575022" w:rsidRDefault="00575022" w:rsidP="00B619C5">
            <w:pPr>
              <w:jc w:val="center"/>
            </w:pPr>
            <w:r w:rsidRPr="008943EF">
              <w:rPr>
                <w:sz w:val="20"/>
                <w:szCs w:val="20"/>
              </w:rPr>
              <w:t>0</w:t>
            </w:r>
          </w:p>
        </w:tc>
        <w:tc>
          <w:tcPr>
            <w:tcW w:w="0" w:type="auto"/>
          </w:tcPr>
          <w:p w14:paraId="2E4B602B" w14:textId="77777777" w:rsidR="00575022" w:rsidRPr="008943EF" w:rsidRDefault="00575022" w:rsidP="00B619C5">
            <w:pPr>
              <w:kinsoku w:val="0"/>
              <w:overflowPunct w:val="0"/>
              <w:spacing w:line="244" w:lineRule="exact"/>
              <w:ind w:left="197" w:right="213"/>
              <w:jc w:val="center"/>
              <w:rPr>
                <w:sz w:val="20"/>
                <w:szCs w:val="20"/>
              </w:rPr>
            </w:pPr>
            <w:r w:rsidRPr="008943EF">
              <w:rPr>
                <w:sz w:val="20"/>
                <w:szCs w:val="20"/>
              </w:rPr>
              <w:t>2.5</w:t>
            </w:r>
          </w:p>
          <w:p w14:paraId="1CB51A4E" w14:textId="77777777" w:rsidR="00575022" w:rsidRDefault="00575022" w:rsidP="00B619C5">
            <w:pPr>
              <w:jc w:val="center"/>
            </w:pPr>
            <w:r w:rsidRPr="008943EF">
              <w:rPr>
                <w:sz w:val="20"/>
                <w:szCs w:val="20"/>
              </w:rPr>
              <w:t>(1.5 - 3.5)</w:t>
            </w:r>
          </w:p>
        </w:tc>
        <w:tc>
          <w:tcPr>
            <w:tcW w:w="0" w:type="auto"/>
          </w:tcPr>
          <w:p w14:paraId="6ABEDD27" w14:textId="77777777" w:rsidR="00575022" w:rsidRPr="008943EF" w:rsidRDefault="00575022" w:rsidP="00B619C5">
            <w:pPr>
              <w:kinsoku w:val="0"/>
              <w:overflowPunct w:val="0"/>
              <w:spacing w:line="244" w:lineRule="exact"/>
              <w:ind w:left="148" w:right="152"/>
              <w:jc w:val="center"/>
              <w:rPr>
                <w:sz w:val="20"/>
                <w:szCs w:val="20"/>
              </w:rPr>
            </w:pPr>
            <w:r w:rsidRPr="008943EF">
              <w:rPr>
                <w:sz w:val="20"/>
                <w:szCs w:val="20"/>
              </w:rPr>
              <w:t>2.5</w:t>
            </w:r>
          </w:p>
          <w:p w14:paraId="37371190" w14:textId="77777777" w:rsidR="00575022" w:rsidRDefault="00575022" w:rsidP="00B619C5">
            <w:pPr>
              <w:jc w:val="center"/>
            </w:pPr>
            <w:r w:rsidRPr="008943EF">
              <w:rPr>
                <w:sz w:val="20"/>
                <w:szCs w:val="20"/>
              </w:rPr>
              <w:t>(1.5 - 3.5)</w:t>
            </w:r>
          </w:p>
        </w:tc>
        <w:tc>
          <w:tcPr>
            <w:tcW w:w="0" w:type="auto"/>
          </w:tcPr>
          <w:p w14:paraId="56A98678" w14:textId="77777777" w:rsidR="00575022" w:rsidRDefault="00575022" w:rsidP="00B619C5">
            <w:pPr>
              <w:jc w:val="center"/>
            </w:pPr>
            <w:r w:rsidRPr="008943EF">
              <w:rPr>
                <w:sz w:val="20"/>
                <w:szCs w:val="20"/>
              </w:rPr>
              <w:t>0</w:t>
            </w:r>
          </w:p>
        </w:tc>
        <w:tc>
          <w:tcPr>
            <w:tcW w:w="0" w:type="auto"/>
          </w:tcPr>
          <w:p w14:paraId="40989C89" w14:textId="77777777" w:rsidR="00575022" w:rsidRDefault="00575022" w:rsidP="00B619C5">
            <w:pPr>
              <w:jc w:val="center"/>
              <w:rPr>
                <w:sz w:val="20"/>
                <w:szCs w:val="20"/>
              </w:rPr>
            </w:pPr>
            <w:r w:rsidRPr="008943EF">
              <w:rPr>
                <w:sz w:val="20"/>
                <w:szCs w:val="20"/>
              </w:rPr>
              <w:t>2</w:t>
            </w:r>
            <w:r>
              <w:rPr>
                <w:sz w:val="20"/>
                <w:szCs w:val="20"/>
              </w:rPr>
              <w:t xml:space="preserve"> </w:t>
            </w:r>
          </w:p>
          <w:p w14:paraId="39B9FFAC" w14:textId="77777777" w:rsidR="00575022" w:rsidRPr="008943EF" w:rsidRDefault="00575022" w:rsidP="00B619C5">
            <w:pPr>
              <w:jc w:val="center"/>
              <w:rPr>
                <w:sz w:val="20"/>
                <w:szCs w:val="20"/>
              </w:rPr>
            </w:pPr>
            <w:r w:rsidRPr="008943EF">
              <w:rPr>
                <w:sz w:val="20"/>
                <w:szCs w:val="20"/>
              </w:rPr>
              <w:t>(1.5 - 3.5)</w:t>
            </w:r>
          </w:p>
        </w:tc>
        <w:tc>
          <w:tcPr>
            <w:tcW w:w="0" w:type="auto"/>
          </w:tcPr>
          <w:p w14:paraId="2F924366" w14:textId="77777777" w:rsidR="00575022" w:rsidRDefault="00575022" w:rsidP="00B619C5">
            <w:pPr>
              <w:jc w:val="center"/>
              <w:rPr>
                <w:sz w:val="20"/>
                <w:szCs w:val="20"/>
              </w:rPr>
            </w:pPr>
            <w:r w:rsidRPr="008943EF">
              <w:rPr>
                <w:sz w:val="20"/>
                <w:szCs w:val="20"/>
              </w:rPr>
              <w:t>2</w:t>
            </w:r>
          </w:p>
          <w:p w14:paraId="193078B3" w14:textId="77777777" w:rsidR="00575022" w:rsidRPr="008943EF" w:rsidRDefault="00575022" w:rsidP="00B619C5">
            <w:pPr>
              <w:jc w:val="center"/>
              <w:rPr>
                <w:sz w:val="20"/>
                <w:szCs w:val="20"/>
              </w:rPr>
            </w:pPr>
            <w:r w:rsidRPr="008943EF">
              <w:rPr>
                <w:sz w:val="20"/>
                <w:szCs w:val="20"/>
              </w:rPr>
              <w:t>(1.</w:t>
            </w:r>
            <w:r>
              <w:rPr>
                <w:sz w:val="20"/>
                <w:szCs w:val="20"/>
              </w:rPr>
              <w:t>1</w:t>
            </w:r>
            <w:r w:rsidRPr="008943EF">
              <w:rPr>
                <w:sz w:val="20"/>
                <w:szCs w:val="20"/>
              </w:rPr>
              <w:t xml:space="preserve"> - 3</w:t>
            </w:r>
            <w:r>
              <w:rPr>
                <w:sz w:val="20"/>
                <w:szCs w:val="20"/>
              </w:rPr>
              <w:t>.0</w:t>
            </w:r>
            <w:r w:rsidRPr="008943EF">
              <w:rPr>
                <w:sz w:val="20"/>
                <w:szCs w:val="20"/>
              </w:rPr>
              <w:t>)</w:t>
            </w:r>
          </w:p>
        </w:tc>
        <w:tc>
          <w:tcPr>
            <w:tcW w:w="1350" w:type="dxa"/>
          </w:tcPr>
          <w:p w14:paraId="739319EE" w14:textId="77777777" w:rsidR="00575022" w:rsidRPr="008943EF" w:rsidRDefault="00575022" w:rsidP="00B619C5">
            <w:pPr>
              <w:jc w:val="center"/>
              <w:rPr>
                <w:sz w:val="20"/>
                <w:szCs w:val="20"/>
              </w:rPr>
            </w:pPr>
            <w:r w:rsidRPr="008943EF">
              <w:rPr>
                <w:sz w:val="20"/>
                <w:szCs w:val="20"/>
              </w:rPr>
              <w:t>0</w:t>
            </w:r>
          </w:p>
        </w:tc>
        <w:tc>
          <w:tcPr>
            <w:tcW w:w="1153" w:type="dxa"/>
          </w:tcPr>
          <w:p w14:paraId="6D56B46C" w14:textId="77777777" w:rsidR="00575022" w:rsidRDefault="00575022" w:rsidP="00B619C5">
            <w:pPr>
              <w:jc w:val="center"/>
              <w:rPr>
                <w:sz w:val="20"/>
                <w:szCs w:val="20"/>
              </w:rPr>
            </w:pPr>
            <w:r w:rsidRPr="008943EF">
              <w:rPr>
                <w:sz w:val="20"/>
                <w:szCs w:val="20"/>
              </w:rPr>
              <w:t>2</w:t>
            </w:r>
          </w:p>
          <w:p w14:paraId="325481E8" w14:textId="77777777" w:rsidR="00575022" w:rsidRPr="008943EF" w:rsidRDefault="00575022" w:rsidP="00B619C5">
            <w:pPr>
              <w:jc w:val="center"/>
              <w:rPr>
                <w:sz w:val="20"/>
                <w:szCs w:val="20"/>
              </w:rPr>
            </w:pPr>
            <w:r w:rsidRPr="008943EF">
              <w:rPr>
                <w:sz w:val="20"/>
                <w:szCs w:val="20"/>
              </w:rPr>
              <w:t>(1.5 - 3)</w:t>
            </w:r>
          </w:p>
        </w:tc>
        <w:tc>
          <w:tcPr>
            <w:tcW w:w="0" w:type="auto"/>
          </w:tcPr>
          <w:p w14:paraId="6F085FB2" w14:textId="77777777" w:rsidR="00575022" w:rsidRDefault="00575022" w:rsidP="00B619C5">
            <w:pPr>
              <w:jc w:val="center"/>
              <w:rPr>
                <w:sz w:val="20"/>
                <w:szCs w:val="20"/>
              </w:rPr>
            </w:pPr>
            <w:r w:rsidRPr="008943EF">
              <w:rPr>
                <w:sz w:val="20"/>
                <w:szCs w:val="20"/>
              </w:rPr>
              <w:t>2</w:t>
            </w:r>
          </w:p>
          <w:p w14:paraId="2F4C1545" w14:textId="77777777" w:rsidR="00575022" w:rsidRPr="008943EF" w:rsidRDefault="00575022" w:rsidP="00B619C5">
            <w:pPr>
              <w:jc w:val="center"/>
              <w:rPr>
                <w:sz w:val="20"/>
                <w:szCs w:val="20"/>
              </w:rPr>
            </w:pPr>
            <w:r w:rsidRPr="008943EF">
              <w:rPr>
                <w:sz w:val="20"/>
                <w:szCs w:val="20"/>
              </w:rPr>
              <w:t>(1.5 - 3.5)</w:t>
            </w:r>
          </w:p>
        </w:tc>
        <w:tc>
          <w:tcPr>
            <w:tcW w:w="0" w:type="auto"/>
          </w:tcPr>
          <w:p w14:paraId="14D8B73C" w14:textId="77777777" w:rsidR="00575022" w:rsidRPr="008943EF" w:rsidRDefault="00575022" w:rsidP="00B619C5">
            <w:pPr>
              <w:jc w:val="center"/>
              <w:rPr>
                <w:sz w:val="20"/>
                <w:szCs w:val="20"/>
              </w:rPr>
            </w:pPr>
            <w:r w:rsidRPr="008943EF">
              <w:rPr>
                <w:sz w:val="20"/>
                <w:szCs w:val="20"/>
              </w:rPr>
              <w:t>0.02</w:t>
            </w:r>
          </w:p>
        </w:tc>
      </w:tr>
      <w:tr w:rsidR="00575022" w14:paraId="2B8053B6" w14:textId="77777777" w:rsidTr="00B619C5">
        <w:trPr>
          <w:trHeight w:val="490"/>
          <w:jc w:val="center"/>
        </w:trPr>
        <w:tc>
          <w:tcPr>
            <w:tcW w:w="2686" w:type="dxa"/>
          </w:tcPr>
          <w:p w14:paraId="113662F5" w14:textId="77777777" w:rsidR="00575022" w:rsidRDefault="00575022" w:rsidP="00B619C5">
            <w:pPr>
              <w:pStyle w:val="TableParagraph"/>
              <w:spacing w:line="244" w:lineRule="exact"/>
              <w:ind w:left="110"/>
              <w:jc w:val="left"/>
              <w:rPr>
                <w:b/>
                <w:sz w:val="20"/>
              </w:rPr>
            </w:pPr>
            <w:r w:rsidRPr="008D6E1C">
              <w:rPr>
                <w:b/>
                <w:sz w:val="20"/>
              </w:rPr>
              <w:t>Baseline year of inclusion</w:t>
            </w:r>
          </w:p>
          <w:p w14:paraId="6E7F0CF2" w14:textId="77777777" w:rsidR="00575022" w:rsidRDefault="00575022" w:rsidP="00B619C5">
            <w:pPr>
              <w:pStyle w:val="TableParagraph"/>
              <w:spacing w:line="244" w:lineRule="exact"/>
              <w:ind w:left="110"/>
              <w:jc w:val="left"/>
              <w:rPr>
                <w:b/>
                <w:sz w:val="20"/>
              </w:rPr>
            </w:pPr>
            <w:r>
              <w:rPr>
                <w:b/>
                <w:sz w:val="20"/>
              </w:rPr>
              <w:t xml:space="preserve">   Median (IQR)</w:t>
            </w:r>
          </w:p>
        </w:tc>
        <w:tc>
          <w:tcPr>
            <w:tcW w:w="0" w:type="auto"/>
          </w:tcPr>
          <w:p w14:paraId="1B2085BF" w14:textId="77777777" w:rsidR="00575022" w:rsidRPr="008D6E1C" w:rsidRDefault="00575022" w:rsidP="00B619C5">
            <w:pPr>
              <w:kinsoku w:val="0"/>
              <w:overflowPunct w:val="0"/>
              <w:spacing w:before="3" w:line="225" w:lineRule="exact"/>
              <w:rPr>
                <w:bCs/>
                <w:sz w:val="20"/>
                <w:szCs w:val="20"/>
              </w:rPr>
            </w:pPr>
            <w:r>
              <w:rPr>
                <w:bCs/>
                <w:sz w:val="20"/>
                <w:szCs w:val="20"/>
              </w:rPr>
              <w:t xml:space="preserve">       </w:t>
            </w:r>
            <w:r w:rsidRPr="008D6E1C">
              <w:rPr>
                <w:bCs/>
                <w:sz w:val="20"/>
                <w:szCs w:val="20"/>
              </w:rPr>
              <w:t>1996</w:t>
            </w:r>
          </w:p>
          <w:p w14:paraId="49B79E2B" w14:textId="77777777" w:rsidR="00575022" w:rsidRPr="008D6E1C" w:rsidRDefault="00575022" w:rsidP="00B619C5">
            <w:pPr>
              <w:jc w:val="center"/>
            </w:pPr>
            <w:r w:rsidRPr="008D6E1C">
              <w:rPr>
                <w:bCs/>
                <w:sz w:val="20"/>
                <w:szCs w:val="20"/>
              </w:rPr>
              <w:t>(1995-7)</w:t>
            </w:r>
          </w:p>
        </w:tc>
        <w:tc>
          <w:tcPr>
            <w:tcW w:w="0" w:type="auto"/>
          </w:tcPr>
          <w:p w14:paraId="243BB0CA" w14:textId="77777777" w:rsidR="00575022" w:rsidRPr="008D6E1C" w:rsidRDefault="00575022" w:rsidP="00B619C5">
            <w:pPr>
              <w:kinsoku w:val="0"/>
              <w:overflowPunct w:val="0"/>
              <w:spacing w:before="3" w:line="235" w:lineRule="auto"/>
              <w:ind w:left="322" w:hanging="195"/>
              <w:jc w:val="center"/>
              <w:rPr>
                <w:bCs/>
                <w:sz w:val="20"/>
                <w:szCs w:val="20"/>
              </w:rPr>
            </w:pPr>
            <w:r w:rsidRPr="008D6E1C">
              <w:rPr>
                <w:bCs/>
                <w:sz w:val="20"/>
                <w:szCs w:val="20"/>
              </w:rPr>
              <w:t>2006</w:t>
            </w:r>
          </w:p>
          <w:p w14:paraId="20F9EEB5" w14:textId="77777777" w:rsidR="00575022" w:rsidRPr="008D6E1C" w:rsidRDefault="00575022" w:rsidP="00B619C5">
            <w:pPr>
              <w:jc w:val="center"/>
            </w:pPr>
            <w:r w:rsidRPr="008D6E1C">
              <w:rPr>
                <w:bCs/>
                <w:sz w:val="20"/>
                <w:szCs w:val="20"/>
              </w:rPr>
              <w:t>(2005-8)</w:t>
            </w:r>
          </w:p>
        </w:tc>
        <w:tc>
          <w:tcPr>
            <w:tcW w:w="0" w:type="auto"/>
          </w:tcPr>
          <w:p w14:paraId="2F474782" w14:textId="77777777" w:rsidR="00575022" w:rsidRPr="008D6E1C" w:rsidRDefault="00575022" w:rsidP="00B619C5">
            <w:pPr>
              <w:jc w:val="center"/>
            </w:pPr>
            <w:r>
              <w:rPr>
                <w:sz w:val="20"/>
                <w:szCs w:val="20"/>
              </w:rPr>
              <w:t>N/A</w:t>
            </w:r>
          </w:p>
        </w:tc>
        <w:tc>
          <w:tcPr>
            <w:tcW w:w="0" w:type="auto"/>
          </w:tcPr>
          <w:p w14:paraId="5C8F1114" w14:textId="77777777" w:rsidR="00575022" w:rsidRPr="008D6E1C" w:rsidRDefault="00575022" w:rsidP="00B619C5">
            <w:pPr>
              <w:kinsoku w:val="0"/>
              <w:overflowPunct w:val="0"/>
              <w:spacing w:before="3" w:line="225" w:lineRule="exact"/>
              <w:ind w:left="404"/>
              <w:rPr>
                <w:bCs/>
                <w:sz w:val="20"/>
                <w:szCs w:val="20"/>
              </w:rPr>
            </w:pPr>
            <w:r w:rsidRPr="008D6E1C">
              <w:rPr>
                <w:bCs/>
                <w:sz w:val="20"/>
                <w:szCs w:val="20"/>
              </w:rPr>
              <w:t>1996</w:t>
            </w:r>
          </w:p>
          <w:p w14:paraId="778F17B6" w14:textId="77777777" w:rsidR="00575022" w:rsidRPr="008D6E1C" w:rsidRDefault="00575022" w:rsidP="00B619C5">
            <w:pPr>
              <w:jc w:val="center"/>
            </w:pPr>
            <w:r w:rsidRPr="008D6E1C">
              <w:rPr>
                <w:bCs/>
                <w:sz w:val="20"/>
                <w:szCs w:val="20"/>
              </w:rPr>
              <w:t>(1995-7)</w:t>
            </w:r>
          </w:p>
        </w:tc>
        <w:tc>
          <w:tcPr>
            <w:tcW w:w="0" w:type="auto"/>
          </w:tcPr>
          <w:p w14:paraId="478D8D17" w14:textId="77777777" w:rsidR="00575022" w:rsidRPr="008D6E1C" w:rsidRDefault="00575022" w:rsidP="00B619C5">
            <w:pPr>
              <w:kinsoku w:val="0"/>
              <w:overflowPunct w:val="0"/>
              <w:spacing w:before="3" w:line="235" w:lineRule="auto"/>
              <w:ind w:left="322" w:hanging="195"/>
              <w:jc w:val="center"/>
              <w:rPr>
                <w:bCs/>
                <w:sz w:val="20"/>
                <w:szCs w:val="20"/>
              </w:rPr>
            </w:pPr>
            <w:r w:rsidRPr="008D6E1C">
              <w:rPr>
                <w:bCs/>
                <w:sz w:val="20"/>
                <w:szCs w:val="20"/>
              </w:rPr>
              <w:t>2006</w:t>
            </w:r>
          </w:p>
          <w:p w14:paraId="1C6A7B75" w14:textId="77777777" w:rsidR="00575022" w:rsidRPr="008D6E1C" w:rsidRDefault="00575022" w:rsidP="00B619C5">
            <w:pPr>
              <w:jc w:val="center"/>
            </w:pPr>
            <w:r w:rsidRPr="008D6E1C">
              <w:rPr>
                <w:bCs/>
                <w:sz w:val="20"/>
                <w:szCs w:val="20"/>
              </w:rPr>
              <w:t>(2004-8)</w:t>
            </w:r>
          </w:p>
        </w:tc>
        <w:tc>
          <w:tcPr>
            <w:tcW w:w="0" w:type="auto"/>
          </w:tcPr>
          <w:p w14:paraId="3C0EF1A6" w14:textId="77777777" w:rsidR="00575022" w:rsidRPr="008D6E1C" w:rsidRDefault="00575022" w:rsidP="00B619C5">
            <w:pPr>
              <w:jc w:val="center"/>
            </w:pPr>
            <w:r>
              <w:rPr>
                <w:sz w:val="20"/>
                <w:szCs w:val="20"/>
              </w:rPr>
              <w:t>N/A</w:t>
            </w:r>
          </w:p>
        </w:tc>
        <w:tc>
          <w:tcPr>
            <w:tcW w:w="0" w:type="auto"/>
          </w:tcPr>
          <w:p w14:paraId="24594559" w14:textId="77777777" w:rsidR="00575022" w:rsidRDefault="00575022" w:rsidP="00B619C5">
            <w:pPr>
              <w:kinsoku w:val="0"/>
              <w:overflowPunct w:val="0"/>
              <w:spacing w:before="3" w:line="225" w:lineRule="exact"/>
              <w:ind w:left="147" w:right="157"/>
              <w:jc w:val="center"/>
              <w:rPr>
                <w:bCs/>
                <w:sz w:val="20"/>
                <w:szCs w:val="20"/>
              </w:rPr>
            </w:pPr>
            <w:r w:rsidRPr="008E18A6">
              <w:rPr>
                <w:bCs/>
                <w:sz w:val="20"/>
                <w:szCs w:val="20"/>
              </w:rPr>
              <w:t>2010</w:t>
            </w:r>
            <w:r>
              <w:rPr>
                <w:bCs/>
                <w:sz w:val="20"/>
                <w:szCs w:val="20"/>
              </w:rPr>
              <w:t xml:space="preserve">  </w:t>
            </w:r>
          </w:p>
          <w:p w14:paraId="0FC62B38" w14:textId="77777777" w:rsidR="00575022" w:rsidRPr="008E18A6" w:rsidRDefault="00575022" w:rsidP="00B619C5">
            <w:pPr>
              <w:kinsoku w:val="0"/>
              <w:overflowPunct w:val="0"/>
              <w:spacing w:before="3" w:line="225" w:lineRule="exact"/>
              <w:ind w:left="147" w:right="157"/>
              <w:jc w:val="center"/>
              <w:rPr>
                <w:bCs/>
                <w:sz w:val="20"/>
                <w:szCs w:val="20"/>
              </w:rPr>
            </w:pPr>
            <w:r w:rsidRPr="008E18A6">
              <w:rPr>
                <w:bCs/>
                <w:sz w:val="20"/>
                <w:szCs w:val="20"/>
              </w:rPr>
              <w:t>(2009-11)</w:t>
            </w:r>
          </w:p>
          <w:p w14:paraId="4074CC8D" w14:textId="77777777" w:rsidR="00575022" w:rsidRDefault="00575022" w:rsidP="00B619C5">
            <w:pPr>
              <w:jc w:val="center"/>
              <w:rPr>
                <w:sz w:val="20"/>
                <w:szCs w:val="20"/>
              </w:rPr>
            </w:pPr>
          </w:p>
        </w:tc>
        <w:tc>
          <w:tcPr>
            <w:tcW w:w="0" w:type="auto"/>
          </w:tcPr>
          <w:p w14:paraId="5BD80274" w14:textId="77777777" w:rsidR="00575022" w:rsidRDefault="00575022" w:rsidP="00B619C5">
            <w:pPr>
              <w:kinsoku w:val="0"/>
              <w:overflowPunct w:val="0"/>
              <w:spacing w:before="3" w:line="225" w:lineRule="exact"/>
              <w:ind w:left="161" w:right="161"/>
              <w:jc w:val="center"/>
              <w:rPr>
                <w:bCs/>
                <w:sz w:val="20"/>
                <w:szCs w:val="20"/>
              </w:rPr>
            </w:pPr>
            <w:r w:rsidRPr="008E18A6">
              <w:rPr>
                <w:bCs/>
                <w:sz w:val="20"/>
                <w:szCs w:val="20"/>
              </w:rPr>
              <w:t>2005</w:t>
            </w:r>
            <w:r>
              <w:rPr>
                <w:bCs/>
                <w:sz w:val="20"/>
                <w:szCs w:val="20"/>
              </w:rPr>
              <w:t xml:space="preserve"> </w:t>
            </w:r>
          </w:p>
          <w:p w14:paraId="08E3160D" w14:textId="77777777" w:rsidR="00575022" w:rsidRPr="008E18A6" w:rsidRDefault="00575022" w:rsidP="00B619C5">
            <w:pPr>
              <w:kinsoku w:val="0"/>
              <w:overflowPunct w:val="0"/>
              <w:spacing w:before="3" w:line="225" w:lineRule="exact"/>
              <w:ind w:left="161" w:right="161"/>
              <w:jc w:val="center"/>
              <w:rPr>
                <w:bCs/>
                <w:sz w:val="20"/>
                <w:szCs w:val="20"/>
              </w:rPr>
            </w:pPr>
            <w:r>
              <w:rPr>
                <w:bCs/>
                <w:sz w:val="20"/>
                <w:szCs w:val="20"/>
              </w:rPr>
              <w:t>(</w:t>
            </w:r>
            <w:r w:rsidRPr="008E18A6">
              <w:rPr>
                <w:bCs/>
                <w:sz w:val="20"/>
                <w:szCs w:val="20"/>
              </w:rPr>
              <w:t>2003-7)</w:t>
            </w:r>
          </w:p>
          <w:p w14:paraId="0AD1B882" w14:textId="77777777" w:rsidR="00575022" w:rsidRDefault="00575022" w:rsidP="00B619C5">
            <w:pPr>
              <w:jc w:val="center"/>
              <w:rPr>
                <w:sz w:val="20"/>
                <w:szCs w:val="20"/>
              </w:rPr>
            </w:pPr>
          </w:p>
        </w:tc>
        <w:tc>
          <w:tcPr>
            <w:tcW w:w="1350" w:type="dxa"/>
          </w:tcPr>
          <w:p w14:paraId="2AA00727" w14:textId="77777777" w:rsidR="00575022" w:rsidRDefault="00575022" w:rsidP="00B619C5">
            <w:pPr>
              <w:jc w:val="center"/>
              <w:rPr>
                <w:sz w:val="20"/>
                <w:szCs w:val="20"/>
              </w:rPr>
            </w:pPr>
            <w:r w:rsidRPr="008E18A6">
              <w:rPr>
                <w:sz w:val="20"/>
                <w:szCs w:val="20"/>
              </w:rPr>
              <w:t>N/A</w:t>
            </w:r>
          </w:p>
        </w:tc>
        <w:tc>
          <w:tcPr>
            <w:tcW w:w="1153" w:type="dxa"/>
          </w:tcPr>
          <w:p w14:paraId="583F3849" w14:textId="77777777" w:rsidR="00575022" w:rsidRDefault="00575022" w:rsidP="00B619C5">
            <w:pPr>
              <w:kinsoku w:val="0"/>
              <w:overflowPunct w:val="0"/>
              <w:spacing w:before="3" w:line="225" w:lineRule="exact"/>
              <w:ind w:left="126" w:right="134"/>
              <w:jc w:val="center"/>
              <w:rPr>
                <w:bCs/>
                <w:sz w:val="20"/>
                <w:szCs w:val="20"/>
              </w:rPr>
            </w:pPr>
            <w:r w:rsidRPr="008E18A6">
              <w:rPr>
                <w:bCs/>
                <w:sz w:val="20"/>
                <w:szCs w:val="20"/>
              </w:rPr>
              <w:t>2009</w:t>
            </w:r>
          </w:p>
          <w:p w14:paraId="0C5F2F8D" w14:textId="77777777" w:rsidR="00575022" w:rsidRPr="008E18A6" w:rsidRDefault="00575022" w:rsidP="00B619C5">
            <w:pPr>
              <w:kinsoku w:val="0"/>
              <w:overflowPunct w:val="0"/>
              <w:spacing w:before="3" w:line="225" w:lineRule="exact"/>
              <w:ind w:left="126" w:right="134"/>
              <w:jc w:val="center"/>
              <w:rPr>
                <w:bCs/>
                <w:sz w:val="20"/>
                <w:szCs w:val="20"/>
              </w:rPr>
            </w:pPr>
            <w:r w:rsidRPr="008E18A6">
              <w:rPr>
                <w:bCs/>
                <w:sz w:val="20"/>
                <w:szCs w:val="20"/>
              </w:rPr>
              <w:t>(2008-11)</w:t>
            </w:r>
          </w:p>
          <w:p w14:paraId="3AAFDE55" w14:textId="77777777" w:rsidR="00575022" w:rsidRDefault="00575022" w:rsidP="00B619C5">
            <w:pPr>
              <w:jc w:val="center"/>
              <w:rPr>
                <w:sz w:val="20"/>
                <w:szCs w:val="20"/>
              </w:rPr>
            </w:pPr>
          </w:p>
        </w:tc>
        <w:tc>
          <w:tcPr>
            <w:tcW w:w="0" w:type="auto"/>
          </w:tcPr>
          <w:p w14:paraId="07F13FDE" w14:textId="77777777" w:rsidR="00575022" w:rsidRDefault="00575022" w:rsidP="00B619C5">
            <w:pPr>
              <w:jc w:val="center"/>
              <w:rPr>
                <w:bCs/>
                <w:sz w:val="20"/>
                <w:szCs w:val="20"/>
              </w:rPr>
            </w:pPr>
            <w:r w:rsidRPr="008E18A6">
              <w:rPr>
                <w:bCs/>
                <w:sz w:val="20"/>
                <w:szCs w:val="20"/>
              </w:rPr>
              <w:t>1996</w:t>
            </w:r>
            <w:r>
              <w:rPr>
                <w:bCs/>
                <w:sz w:val="20"/>
                <w:szCs w:val="20"/>
              </w:rPr>
              <w:t xml:space="preserve">  </w:t>
            </w:r>
          </w:p>
          <w:p w14:paraId="4D2BEB15" w14:textId="77777777" w:rsidR="00575022" w:rsidRDefault="00575022" w:rsidP="00B619C5">
            <w:pPr>
              <w:jc w:val="center"/>
              <w:rPr>
                <w:sz w:val="20"/>
                <w:szCs w:val="20"/>
              </w:rPr>
            </w:pPr>
            <w:r w:rsidRPr="008E18A6">
              <w:rPr>
                <w:bCs/>
                <w:sz w:val="20"/>
                <w:szCs w:val="20"/>
              </w:rPr>
              <w:t>(1996-7)</w:t>
            </w:r>
          </w:p>
        </w:tc>
        <w:tc>
          <w:tcPr>
            <w:tcW w:w="0" w:type="auto"/>
          </w:tcPr>
          <w:p w14:paraId="28E670C1" w14:textId="77777777" w:rsidR="00575022" w:rsidRDefault="00575022" w:rsidP="00B619C5">
            <w:pPr>
              <w:jc w:val="center"/>
              <w:rPr>
                <w:sz w:val="20"/>
                <w:szCs w:val="20"/>
              </w:rPr>
            </w:pPr>
            <w:r w:rsidRPr="008E18A6">
              <w:rPr>
                <w:sz w:val="20"/>
                <w:szCs w:val="20"/>
              </w:rPr>
              <w:t>N/A</w:t>
            </w:r>
          </w:p>
        </w:tc>
      </w:tr>
      <w:tr w:rsidR="00575022" w14:paraId="1EB790C6" w14:textId="77777777" w:rsidTr="00B619C5">
        <w:trPr>
          <w:trHeight w:val="485"/>
          <w:jc w:val="center"/>
        </w:trPr>
        <w:tc>
          <w:tcPr>
            <w:tcW w:w="2686" w:type="dxa"/>
          </w:tcPr>
          <w:p w14:paraId="75183E69" w14:textId="77777777" w:rsidR="00575022" w:rsidRDefault="00575022" w:rsidP="00B619C5">
            <w:pPr>
              <w:pStyle w:val="TableParagraph"/>
              <w:spacing w:line="244" w:lineRule="exact"/>
              <w:ind w:left="110"/>
              <w:jc w:val="left"/>
              <w:rPr>
                <w:b/>
                <w:sz w:val="20"/>
              </w:rPr>
            </w:pPr>
            <w:r>
              <w:rPr>
                <w:b/>
                <w:sz w:val="20"/>
              </w:rPr>
              <w:t xml:space="preserve">Length of </w:t>
            </w:r>
            <w:proofErr w:type="spellStart"/>
            <w:r>
              <w:rPr>
                <w:b/>
                <w:sz w:val="20"/>
              </w:rPr>
              <w:t>setwise</w:t>
            </w:r>
            <w:proofErr w:type="spellEnd"/>
            <w:r>
              <w:rPr>
                <w:b/>
                <w:sz w:val="20"/>
              </w:rPr>
              <w:t>-censored follow-up, years</w:t>
            </w:r>
          </w:p>
          <w:p w14:paraId="3E1F456B" w14:textId="77777777" w:rsidR="00575022" w:rsidRDefault="00575022" w:rsidP="00B619C5">
            <w:pPr>
              <w:pStyle w:val="TableParagraph"/>
              <w:spacing w:line="239" w:lineRule="exact"/>
              <w:ind w:left="110"/>
              <w:jc w:val="left"/>
              <w:rPr>
                <w:b/>
                <w:sz w:val="20"/>
              </w:rPr>
            </w:pPr>
            <w:r>
              <w:rPr>
                <w:b/>
                <w:sz w:val="20"/>
              </w:rPr>
              <w:t xml:space="preserve">   Median (IQR)</w:t>
            </w:r>
          </w:p>
        </w:tc>
        <w:tc>
          <w:tcPr>
            <w:tcW w:w="0" w:type="auto"/>
          </w:tcPr>
          <w:p w14:paraId="50B6FCB3" w14:textId="77777777" w:rsidR="00575022" w:rsidRPr="008943EF" w:rsidRDefault="00575022" w:rsidP="00B619C5">
            <w:pPr>
              <w:kinsoku w:val="0"/>
              <w:overflowPunct w:val="0"/>
              <w:spacing w:line="242" w:lineRule="exact"/>
              <w:ind w:left="360" w:right="375"/>
              <w:jc w:val="center"/>
              <w:rPr>
                <w:sz w:val="20"/>
                <w:szCs w:val="20"/>
              </w:rPr>
            </w:pPr>
            <w:r w:rsidRPr="008943EF">
              <w:rPr>
                <w:sz w:val="20"/>
                <w:szCs w:val="20"/>
              </w:rPr>
              <w:t>7.5</w:t>
            </w:r>
          </w:p>
          <w:p w14:paraId="17094F46" w14:textId="77777777" w:rsidR="00575022" w:rsidRDefault="00575022" w:rsidP="00B619C5">
            <w:pPr>
              <w:jc w:val="center"/>
            </w:pPr>
            <w:r w:rsidRPr="008943EF">
              <w:rPr>
                <w:sz w:val="20"/>
                <w:szCs w:val="20"/>
              </w:rPr>
              <w:t>(5.7 - 9.8)</w:t>
            </w:r>
          </w:p>
        </w:tc>
        <w:tc>
          <w:tcPr>
            <w:tcW w:w="0" w:type="auto"/>
          </w:tcPr>
          <w:p w14:paraId="5B32E7A7" w14:textId="77777777" w:rsidR="00575022" w:rsidRPr="008943EF" w:rsidRDefault="00575022" w:rsidP="00B619C5">
            <w:pPr>
              <w:kinsoku w:val="0"/>
              <w:overflowPunct w:val="0"/>
              <w:spacing w:line="242" w:lineRule="exact"/>
              <w:ind w:left="167" w:right="167"/>
              <w:jc w:val="center"/>
              <w:rPr>
                <w:sz w:val="20"/>
                <w:szCs w:val="20"/>
              </w:rPr>
            </w:pPr>
            <w:r w:rsidRPr="008943EF">
              <w:rPr>
                <w:sz w:val="20"/>
                <w:szCs w:val="20"/>
              </w:rPr>
              <w:t>7.5</w:t>
            </w:r>
          </w:p>
          <w:p w14:paraId="4AEDC67D" w14:textId="77777777" w:rsidR="00575022" w:rsidRDefault="00575022" w:rsidP="00B619C5">
            <w:pPr>
              <w:jc w:val="center"/>
            </w:pPr>
            <w:r w:rsidRPr="008943EF">
              <w:rPr>
                <w:sz w:val="20"/>
                <w:szCs w:val="20"/>
              </w:rPr>
              <w:t>(5.7 - 9.8)</w:t>
            </w:r>
          </w:p>
        </w:tc>
        <w:tc>
          <w:tcPr>
            <w:tcW w:w="0" w:type="auto"/>
          </w:tcPr>
          <w:p w14:paraId="1EE47491" w14:textId="77777777" w:rsidR="00575022" w:rsidRDefault="00575022" w:rsidP="00B619C5">
            <w:pPr>
              <w:jc w:val="center"/>
            </w:pPr>
            <w:r w:rsidRPr="008943EF">
              <w:rPr>
                <w:sz w:val="20"/>
                <w:szCs w:val="20"/>
              </w:rPr>
              <w:t>0</w:t>
            </w:r>
          </w:p>
        </w:tc>
        <w:tc>
          <w:tcPr>
            <w:tcW w:w="0" w:type="auto"/>
          </w:tcPr>
          <w:p w14:paraId="3D589945" w14:textId="77777777" w:rsidR="00575022" w:rsidRPr="008943EF" w:rsidRDefault="00575022" w:rsidP="00B619C5">
            <w:pPr>
              <w:kinsoku w:val="0"/>
              <w:overflowPunct w:val="0"/>
              <w:spacing w:line="242" w:lineRule="exact"/>
              <w:ind w:left="197" w:right="213"/>
              <w:jc w:val="center"/>
              <w:rPr>
                <w:sz w:val="20"/>
                <w:szCs w:val="20"/>
              </w:rPr>
            </w:pPr>
            <w:r w:rsidRPr="008943EF">
              <w:rPr>
                <w:sz w:val="20"/>
                <w:szCs w:val="20"/>
              </w:rPr>
              <w:t>7.7</w:t>
            </w:r>
          </w:p>
          <w:p w14:paraId="0AFCC78F" w14:textId="77777777" w:rsidR="00575022" w:rsidRDefault="00575022" w:rsidP="00B619C5">
            <w:pPr>
              <w:jc w:val="center"/>
            </w:pPr>
            <w:r w:rsidRPr="008943EF">
              <w:rPr>
                <w:sz w:val="20"/>
                <w:szCs w:val="20"/>
              </w:rPr>
              <w:t>(5.8 - 9.7)</w:t>
            </w:r>
          </w:p>
        </w:tc>
        <w:tc>
          <w:tcPr>
            <w:tcW w:w="0" w:type="auto"/>
          </w:tcPr>
          <w:p w14:paraId="1E80641C" w14:textId="77777777" w:rsidR="00575022" w:rsidRPr="008943EF" w:rsidRDefault="00575022" w:rsidP="00B619C5">
            <w:pPr>
              <w:kinsoku w:val="0"/>
              <w:overflowPunct w:val="0"/>
              <w:spacing w:line="242" w:lineRule="exact"/>
              <w:ind w:left="148" w:right="152"/>
              <w:jc w:val="center"/>
              <w:rPr>
                <w:sz w:val="20"/>
                <w:szCs w:val="20"/>
              </w:rPr>
            </w:pPr>
            <w:r w:rsidRPr="008943EF">
              <w:rPr>
                <w:sz w:val="20"/>
                <w:szCs w:val="20"/>
              </w:rPr>
              <w:t>7.7</w:t>
            </w:r>
          </w:p>
          <w:p w14:paraId="3E8D51A0" w14:textId="77777777" w:rsidR="00575022" w:rsidRDefault="00575022" w:rsidP="00B619C5">
            <w:pPr>
              <w:jc w:val="center"/>
            </w:pPr>
            <w:r w:rsidRPr="008943EF">
              <w:rPr>
                <w:sz w:val="20"/>
                <w:szCs w:val="20"/>
              </w:rPr>
              <w:t>(5.8 - 9.7)</w:t>
            </w:r>
          </w:p>
        </w:tc>
        <w:tc>
          <w:tcPr>
            <w:tcW w:w="0" w:type="auto"/>
          </w:tcPr>
          <w:p w14:paraId="4E813D97" w14:textId="77777777" w:rsidR="00575022" w:rsidRDefault="00575022" w:rsidP="00B619C5">
            <w:pPr>
              <w:jc w:val="center"/>
            </w:pPr>
            <w:r w:rsidRPr="008943EF">
              <w:rPr>
                <w:sz w:val="20"/>
                <w:szCs w:val="20"/>
              </w:rPr>
              <w:t>0</w:t>
            </w:r>
          </w:p>
        </w:tc>
        <w:tc>
          <w:tcPr>
            <w:tcW w:w="0" w:type="auto"/>
          </w:tcPr>
          <w:p w14:paraId="4F24BB39" w14:textId="77777777" w:rsidR="00575022" w:rsidRDefault="00575022" w:rsidP="00B619C5">
            <w:pPr>
              <w:jc w:val="center"/>
              <w:rPr>
                <w:sz w:val="20"/>
                <w:szCs w:val="20"/>
              </w:rPr>
            </w:pPr>
            <w:r w:rsidRPr="008943EF">
              <w:rPr>
                <w:sz w:val="20"/>
                <w:szCs w:val="20"/>
              </w:rPr>
              <w:t>5.3</w:t>
            </w:r>
            <w:r>
              <w:rPr>
                <w:sz w:val="20"/>
                <w:szCs w:val="20"/>
              </w:rPr>
              <w:t xml:space="preserve"> </w:t>
            </w:r>
          </w:p>
          <w:p w14:paraId="4F2F4CBA" w14:textId="77777777" w:rsidR="00575022" w:rsidRPr="008943EF" w:rsidRDefault="00575022" w:rsidP="00B619C5">
            <w:pPr>
              <w:jc w:val="center"/>
              <w:rPr>
                <w:sz w:val="20"/>
                <w:szCs w:val="20"/>
              </w:rPr>
            </w:pPr>
            <w:r w:rsidRPr="008943EF">
              <w:rPr>
                <w:sz w:val="20"/>
                <w:szCs w:val="20"/>
              </w:rPr>
              <w:t>(4.6 - 6.4)</w:t>
            </w:r>
          </w:p>
        </w:tc>
        <w:tc>
          <w:tcPr>
            <w:tcW w:w="0" w:type="auto"/>
          </w:tcPr>
          <w:p w14:paraId="649F5F4C" w14:textId="77777777" w:rsidR="00575022" w:rsidRDefault="00575022" w:rsidP="00B619C5">
            <w:pPr>
              <w:jc w:val="center"/>
              <w:rPr>
                <w:sz w:val="20"/>
                <w:szCs w:val="20"/>
              </w:rPr>
            </w:pPr>
            <w:r w:rsidRPr="008943EF">
              <w:rPr>
                <w:sz w:val="20"/>
                <w:szCs w:val="20"/>
              </w:rPr>
              <w:t>5.3</w:t>
            </w:r>
          </w:p>
          <w:p w14:paraId="5117DDBF" w14:textId="77777777" w:rsidR="00575022" w:rsidRPr="008943EF" w:rsidRDefault="00575022" w:rsidP="00B619C5">
            <w:pPr>
              <w:jc w:val="center"/>
              <w:rPr>
                <w:sz w:val="20"/>
                <w:szCs w:val="20"/>
              </w:rPr>
            </w:pPr>
            <w:r w:rsidRPr="008943EF">
              <w:rPr>
                <w:sz w:val="20"/>
                <w:szCs w:val="20"/>
              </w:rPr>
              <w:t>(4.6 - 6.4)</w:t>
            </w:r>
          </w:p>
        </w:tc>
        <w:tc>
          <w:tcPr>
            <w:tcW w:w="1350" w:type="dxa"/>
          </w:tcPr>
          <w:p w14:paraId="1BA2BAE3" w14:textId="77777777" w:rsidR="00575022" w:rsidRPr="008943EF" w:rsidRDefault="00575022" w:rsidP="00B619C5">
            <w:pPr>
              <w:jc w:val="center"/>
              <w:rPr>
                <w:sz w:val="20"/>
                <w:szCs w:val="20"/>
              </w:rPr>
            </w:pPr>
            <w:r w:rsidRPr="008943EF">
              <w:rPr>
                <w:sz w:val="20"/>
                <w:szCs w:val="20"/>
              </w:rPr>
              <w:t>0</w:t>
            </w:r>
          </w:p>
        </w:tc>
        <w:tc>
          <w:tcPr>
            <w:tcW w:w="1153" w:type="dxa"/>
          </w:tcPr>
          <w:p w14:paraId="4CE8496A" w14:textId="77777777" w:rsidR="00575022" w:rsidRDefault="00575022" w:rsidP="00B619C5">
            <w:pPr>
              <w:jc w:val="center"/>
              <w:rPr>
                <w:sz w:val="20"/>
                <w:szCs w:val="20"/>
              </w:rPr>
            </w:pPr>
            <w:r w:rsidRPr="008943EF">
              <w:rPr>
                <w:sz w:val="20"/>
                <w:szCs w:val="20"/>
              </w:rPr>
              <w:t>5.8</w:t>
            </w:r>
          </w:p>
          <w:p w14:paraId="06555522" w14:textId="77777777" w:rsidR="00575022" w:rsidRPr="008943EF" w:rsidRDefault="00575022" w:rsidP="00B619C5">
            <w:pPr>
              <w:jc w:val="center"/>
              <w:rPr>
                <w:sz w:val="20"/>
                <w:szCs w:val="20"/>
              </w:rPr>
            </w:pPr>
            <w:r w:rsidRPr="008943EF">
              <w:rPr>
                <w:sz w:val="20"/>
                <w:szCs w:val="20"/>
              </w:rPr>
              <w:t>(4.7 - 8)</w:t>
            </w:r>
          </w:p>
        </w:tc>
        <w:tc>
          <w:tcPr>
            <w:tcW w:w="0" w:type="auto"/>
          </w:tcPr>
          <w:p w14:paraId="12AFA2DD" w14:textId="77777777" w:rsidR="00575022" w:rsidRDefault="00575022" w:rsidP="00B619C5">
            <w:pPr>
              <w:jc w:val="center"/>
              <w:rPr>
                <w:sz w:val="20"/>
                <w:szCs w:val="20"/>
              </w:rPr>
            </w:pPr>
            <w:r w:rsidRPr="008943EF">
              <w:rPr>
                <w:sz w:val="20"/>
                <w:szCs w:val="20"/>
              </w:rPr>
              <w:t>5.8</w:t>
            </w:r>
          </w:p>
          <w:p w14:paraId="7707C3E3" w14:textId="77777777" w:rsidR="00575022" w:rsidRPr="008943EF" w:rsidRDefault="00575022" w:rsidP="00B619C5">
            <w:pPr>
              <w:jc w:val="center"/>
              <w:rPr>
                <w:sz w:val="20"/>
                <w:szCs w:val="20"/>
              </w:rPr>
            </w:pPr>
            <w:r w:rsidRPr="008943EF">
              <w:rPr>
                <w:sz w:val="20"/>
                <w:szCs w:val="20"/>
              </w:rPr>
              <w:t>(4.7 - 8)</w:t>
            </w:r>
          </w:p>
        </w:tc>
        <w:tc>
          <w:tcPr>
            <w:tcW w:w="0" w:type="auto"/>
          </w:tcPr>
          <w:p w14:paraId="7FF2BFDD" w14:textId="77777777" w:rsidR="00575022" w:rsidRPr="008943EF" w:rsidRDefault="00575022" w:rsidP="00B619C5">
            <w:pPr>
              <w:jc w:val="center"/>
              <w:rPr>
                <w:sz w:val="20"/>
                <w:szCs w:val="20"/>
              </w:rPr>
            </w:pPr>
            <w:r w:rsidRPr="008943EF">
              <w:rPr>
                <w:sz w:val="20"/>
                <w:szCs w:val="20"/>
              </w:rPr>
              <w:t>0</w:t>
            </w:r>
          </w:p>
        </w:tc>
      </w:tr>
      <w:tr w:rsidR="00575022" w14:paraId="4CB66331" w14:textId="77777777" w:rsidTr="00B619C5">
        <w:trPr>
          <w:trHeight w:val="490"/>
          <w:jc w:val="center"/>
        </w:trPr>
        <w:tc>
          <w:tcPr>
            <w:tcW w:w="2686" w:type="dxa"/>
          </w:tcPr>
          <w:p w14:paraId="0339CFC7" w14:textId="77777777" w:rsidR="00575022" w:rsidRDefault="00575022" w:rsidP="00B619C5">
            <w:pPr>
              <w:pStyle w:val="TableParagraph"/>
              <w:spacing w:line="244" w:lineRule="exact"/>
              <w:ind w:left="110"/>
              <w:jc w:val="left"/>
              <w:rPr>
                <w:b/>
                <w:sz w:val="20"/>
              </w:rPr>
            </w:pPr>
            <w:r>
              <w:rPr>
                <w:b/>
                <w:sz w:val="20"/>
              </w:rPr>
              <w:t>EDSS frequency during follow up, per year</w:t>
            </w:r>
          </w:p>
          <w:p w14:paraId="5BE4C295" w14:textId="77777777" w:rsidR="00575022" w:rsidRDefault="00575022" w:rsidP="00B619C5">
            <w:pPr>
              <w:pStyle w:val="TableParagraph"/>
              <w:spacing w:line="244" w:lineRule="exact"/>
              <w:ind w:left="110"/>
              <w:jc w:val="left"/>
              <w:rPr>
                <w:b/>
                <w:sz w:val="20"/>
              </w:rPr>
            </w:pPr>
            <w:r>
              <w:rPr>
                <w:b/>
                <w:sz w:val="20"/>
              </w:rPr>
              <w:t xml:space="preserve">   Median (IQR)</w:t>
            </w:r>
          </w:p>
        </w:tc>
        <w:tc>
          <w:tcPr>
            <w:tcW w:w="0" w:type="auto"/>
          </w:tcPr>
          <w:p w14:paraId="7209BE4C" w14:textId="77777777" w:rsidR="00575022" w:rsidRPr="008943EF" w:rsidRDefault="00575022" w:rsidP="00B619C5">
            <w:pPr>
              <w:kinsoku w:val="0"/>
              <w:overflowPunct w:val="0"/>
              <w:spacing w:line="244" w:lineRule="exact"/>
              <w:ind w:left="361" w:right="375"/>
              <w:jc w:val="center"/>
              <w:rPr>
                <w:sz w:val="20"/>
                <w:szCs w:val="20"/>
              </w:rPr>
            </w:pPr>
            <w:r w:rsidRPr="008943EF">
              <w:rPr>
                <w:sz w:val="20"/>
                <w:szCs w:val="20"/>
              </w:rPr>
              <w:t>2.4</w:t>
            </w:r>
          </w:p>
          <w:p w14:paraId="7AD6573A" w14:textId="77777777" w:rsidR="00575022" w:rsidRDefault="00575022" w:rsidP="00B619C5">
            <w:pPr>
              <w:jc w:val="center"/>
            </w:pPr>
            <w:r w:rsidRPr="008943EF">
              <w:rPr>
                <w:sz w:val="20"/>
                <w:szCs w:val="20"/>
              </w:rPr>
              <w:t>(1.3 - 3.3)</w:t>
            </w:r>
          </w:p>
        </w:tc>
        <w:tc>
          <w:tcPr>
            <w:tcW w:w="0" w:type="auto"/>
          </w:tcPr>
          <w:p w14:paraId="0BDD4263" w14:textId="77777777" w:rsidR="00575022" w:rsidRPr="008943EF" w:rsidRDefault="00575022" w:rsidP="00B619C5">
            <w:pPr>
              <w:kinsoku w:val="0"/>
              <w:overflowPunct w:val="0"/>
              <w:spacing w:line="244" w:lineRule="exact"/>
              <w:ind w:right="56"/>
              <w:jc w:val="center"/>
              <w:rPr>
                <w:sz w:val="20"/>
                <w:szCs w:val="20"/>
              </w:rPr>
            </w:pPr>
            <w:r w:rsidRPr="008943EF">
              <w:rPr>
                <w:sz w:val="20"/>
                <w:szCs w:val="20"/>
              </w:rPr>
              <w:t>1</w:t>
            </w:r>
          </w:p>
          <w:p w14:paraId="42487C3F" w14:textId="77777777" w:rsidR="00575022" w:rsidRDefault="00575022" w:rsidP="00B619C5">
            <w:pPr>
              <w:jc w:val="center"/>
            </w:pPr>
            <w:r w:rsidRPr="008943EF">
              <w:rPr>
                <w:sz w:val="20"/>
                <w:szCs w:val="20"/>
              </w:rPr>
              <w:t>(0.8 - 1.4)</w:t>
            </w:r>
          </w:p>
        </w:tc>
        <w:tc>
          <w:tcPr>
            <w:tcW w:w="0" w:type="auto"/>
          </w:tcPr>
          <w:p w14:paraId="71D36423" w14:textId="77777777" w:rsidR="00575022" w:rsidRDefault="00575022" w:rsidP="00B619C5">
            <w:pPr>
              <w:jc w:val="center"/>
            </w:pPr>
            <w:r w:rsidRPr="008943EF">
              <w:rPr>
                <w:sz w:val="20"/>
                <w:szCs w:val="20"/>
              </w:rPr>
              <w:t>1.37</w:t>
            </w:r>
          </w:p>
        </w:tc>
        <w:tc>
          <w:tcPr>
            <w:tcW w:w="0" w:type="auto"/>
          </w:tcPr>
          <w:p w14:paraId="55B57818" w14:textId="77777777" w:rsidR="00575022" w:rsidRPr="008943EF" w:rsidRDefault="00575022" w:rsidP="00B619C5">
            <w:pPr>
              <w:kinsoku w:val="0"/>
              <w:overflowPunct w:val="0"/>
              <w:spacing w:line="244" w:lineRule="exact"/>
              <w:ind w:left="197" w:right="213"/>
              <w:jc w:val="center"/>
              <w:rPr>
                <w:sz w:val="20"/>
                <w:szCs w:val="20"/>
              </w:rPr>
            </w:pPr>
            <w:r w:rsidRPr="008943EF">
              <w:rPr>
                <w:sz w:val="20"/>
                <w:szCs w:val="20"/>
              </w:rPr>
              <w:t>1.7</w:t>
            </w:r>
          </w:p>
          <w:p w14:paraId="2DCD016B" w14:textId="77777777" w:rsidR="00575022" w:rsidRDefault="00575022" w:rsidP="00B619C5">
            <w:pPr>
              <w:jc w:val="center"/>
            </w:pPr>
            <w:r w:rsidRPr="008943EF">
              <w:rPr>
                <w:sz w:val="20"/>
                <w:szCs w:val="20"/>
              </w:rPr>
              <w:t>(0.8 - 2.9)</w:t>
            </w:r>
          </w:p>
        </w:tc>
        <w:tc>
          <w:tcPr>
            <w:tcW w:w="0" w:type="auto"/>
          </w:tcPr>
          <w:p w14:paraId="2CBC3166" w14:textId="77777777" w:rsidR="00575022" w:rsidRPr="008943EF" w:rsidRDefault="00575022" w:rsidP="00B619C5">
            <w:pPr>
              <w:kinsoku w:val="0"/>
              <w:overflowPunct w:val="0"/>
              <w:spacing w:line="244" w:lineRule="exact"/>
              <w:ind w:right="4"/>
              <w:jc w:val="center"/>
              <w:rPr>
                <w:sz w:val="20"/>
                <w:szCs w:val="20"/>
              </w:rPr>
            </w:pPr>
            <w:r w:rsidRPr="008943EF">
              <w:rPr>
                <w:sz w:val="20"/>
                <w:szCs w:val="20"/>
              </w:rPr>
              <w:t>1</w:t>
            </w:r>
          </w:p>
          <w:p w14:paraId="4ABFF37D" w14:textId="77777777" w:rsidR="00575022" w:rsidRDefault="00575022" w:rsidP="00B619C5">
            <w:pPr>
              <w:jc w:val="center"/>
            </w:pPr>
            <w:r w:rsidRPr="008943EF">
              <w:rPr>
                <w:sz w:val="20"/>
                <w:szCs w:val="20"/>
              </w:rPr>
              <w:t>(0.7 - 1.4)</w:t>
            </w:r>
          </w:p>
        </w:tc>
        <w:tc>
          <w:tcPr>
            <w:tcW w:w="0" w:type="auto"/>
          </w:tcPr>
          <w:p w14:paraId="40ECEFA8" w14:textId="77777777" w:rsidR="00575022" w:rsidRDefault="00575022" w:rsidP="00B619C5">
            <w:pPr>
              <w:jc w:val="center"/>
            </w:pPr>
            <w:r w:rsidRPr="008943EF">
              <w:rPr>
                <w:sz w:val="20"/>
                <w:szCs w:val="20"/>
              </w:rPr>
              <w:t>0.61</w:t>
            </w:r>
          </w:p>
        </w:tc>
        <w:tc>
          <w:tcPr>
            <w:tcW w:w="0" w:type="auto"/>
          </w:tcPr>
          <w:p w14:paraId="5CB2D36D" w14:textId="77777777" w:rsidR="00575022" w:rsidRDefault="00575022" w:rsidP="00B619C5">
            <w:pPr>
              <w:kinsoku w:val="0"/>
              <w:overflowPunct w:val="0"/>
              <w:spacing w:line="244" w:lineRule="exact"/>
              <w:ind w:left="150" w:right="154"/>
              <w:jc w:val="center"/>
              <w:rPr>
                <w:sz w:val="20"/>
                <w:szCs w:val="20"/>
              </w:rPr>
            </w:pPr>
            <w:r w:rsidRPr="008943EF">
              <w:rPr>
                <w:sz w:val="20"/>
                <w:szCs w:val="20"/>
              </w:rPr>
              <w:t>2.3</w:t>
            </w:r>
          </w:p>
          <w:p w14:paraId="5365DCCE" w14:textId="77777777" w:rsidR="00575022" w:rsidRPr="008943EF" w:rsidRDefault="00575022" w:rsidP="00B619C5">
            <w:pPr>
              <w:kinsoku w:val="0"/>
              <w:overflowPunct w:val="0"/>
              <w:spacing w:line="244" w:lineRule="exact"/>
              <w:ind w:left="150" w:right="154"/>
              <w:jc w:val="center"/>
              <w:rPr>
                <w:sz w:val="20"/>
                <w:szCs w:val="20"/>
              </w:rPr>
            </w:pPr>
            <w:r w:rsidRPr="008943EF">
              <w:rPr>
                <w:sz w:val="20"/>
                <w:szCs w:val="20"/>
              </w:rPr>
              <w:t>(1.5 - 3.</w:t>
            </w:r>
            <w:r>
              <w:rPr>
                <w:sz w:val="20"/>
                <w:szCs w:val="20"/>
              </w:rPr>
              <w:t>4</w:t>
            </w:r>
            <w:r w:rsidRPr="008943EF">
              <w:rPr>
                <w:sz w:val="20"/>
                <w:szCs w:val="20"/>
              </w:rPr>
              <w:t>)</w:t>
            </w:r>
          </w:p>
          <w:p w14:paraId="05D4AD5F" w14:textId="77777777" w:rsidR="00575022" w:rsidRPr="008943EF" w:rsidRDefault="00575022" w:rsidP="00B619C5">
            <w:pPr>
              <w:jc w:val="center"/>
              <w:rPr>
                <w:sz w:val="20"/>
                <w:szCs w:val="20"/>
              </w:rPr>
            </w:pPr>
          </w:p>
        </w:tc>
        <w:tc>
          <w:tcPr>
            <w:tcW w:w="0" w:type="auto"/>
          </w:tcPr>
          <w:p w14:paraId="4B0BC384" w14:textId="77777777" w:rsidR="00575022" w:rsidRDefault="00575022" w:rsidP="00B619C5">
            <w:pPr>
              <w:kinsoku w:val="0"/>
              <w:overflowPunct w:val="0"/>
              <w:spacing w:line="244" w:lineRule="exact"/>
              <w:ind w:left="166" w:right="161"/>
              <w:jc w:val="center"/>
              <w:rPr>
                <w:sz w:val="20"/>
                <w:szCs w:val="20"/>
              </w:rPr>
            </w:pPr>
            <w:r w:rsidRPr="008943EF">
              <w:rPr>
                <w:sz w:val="20"/>
                <w:szCs w:val="20"/>
              </w:rPr>
              <w:t>2</w:t>
            </w:r>
          </w:p>
          <w:p w14:paraId="1D588D06" w14:textId="77777777" w:rsidR="00575022" w:rsidRPr="008943EF" w:rsidRDefault="00575022" w:rsidP="00B619C5">
            <w:pPr>
              <w:kinsoku w:val="0"/>
              <w:overflowPunct w:val="0"/>
              <w:spacing w:line="244" w:lineRule="exact"/>
              <w:ind w:left="166" w:right="161"/>
              <w:jc w:val="center"/>
              <w:rPr>
                <w:sz w:val="20"/>
                <w:szCs w:val="20"/>
              </w:rPr>
            </w:pPr>
            <w:r w:rsidRPr="008943EF">
              <w:rPr>
                <w:sz w:val="20"/>
                <w:szCs w:val="20"/>
              </w:rPr>
              <w:t>(1.</w:t>
            </w:r>
            <w:r>
              <w:rPr>
                <w:sz w:val="20"/>
                <w:szCs w:val="20"/>
              </w:rPr>
              <w:t>3</w:t>
            </w:r>
            <w:r w:rsidRPr="008943EF">
              <w:rPr>
                <w:sz w:val="20"/>
                <w:szCs w:val="20"/>
              </w:rPr>
              <w:t xml:space="preserve"> - </w:t>
            </w:r>
            <w:r>
              <w:rPr>
                <w:sz w:val="20"/>
                <w:szCs w:val="20"/>
              </w:rPr>
              <w:t>3</w:t>
            </w:r>
            <w:r w:rsidRPr="008943EF">
              <w:rPr>
                <w:sz w:val="20"/>
                <w:szCs w:val="20"/>
              </w:rPr>
              <w:t>.</w:t>
            </w:r>
            <w:r>
              <w:rPr>
                <w:sz w:val="20"/>
                <w:szCs w:val="20"/>
              </w:rPr>
              <w:t>3</w:t>
            </w:r>
            <w:r w:rsidRPr="008943EF">
              <w:rPr>
                <w:sz w:val="20"/>
                <w:szCs w:val="20"/>
              </w:rPr>
              <w:t>)</w:t>
            </w:r>
          </w:p>
          <w:p w14:paraId="6926F27F" w14:textId="77777777" w:rsidR="00575022" w:rsidRPr="008943EF" w:rsidRDefault="00575022" w:rsidP="00B619C5">
            <w:pPr>
              <w:jc w:val="center"/>
              <w:rPr>
                <w:sz w:val="20"/>
                <w:szCs w:val="20"/>
              </w:rPr>
            </w:pPr>
          </w:p>
        </w:tc>
        <w:tc>
          <w:tcPr>
            <w:tcW w:w="1350" w:type="dxa"/>
          </w:tcPr>
          <w:p w14:paraId="1631F1BE" w14:textId="77777777" w:rsidR="00575022" w:rsidRPr="008943EF" w:rsidRDefault="00575022" w:rsidP="00B619C5">
            <w:pPr>
              <w:jc w:val="center"/>
              <w:rPr>
                <w:sz w:val="20"/>
                <w:szCs w:val="20"/>
              </w:rPr>
            </w:pPr>
            <w:r w:rsidRPr="008943EF">
              <w:rPr>
                <w:sz w:val="20"/>
                <w:szCs w:val="20"/>
              </w:rPr>
              <w:t>0.17</w:t>
            </w:r>
          </w:p>
        </w:tc>
        <w:tc>
          <w:tcPr>
            <w:tcW w:w="1153" w:type="dxa"/>
          </w:tcPr>
          <w:p w14:paraId="1513C651" w14:textId="77777777" w:rsidR="00575022" w:rsidRDefault="00575022" w:rsidP="00B619C5">
            <w:pPr>
              <w:kinsoku w:val="0"/>
              <w:overflowPunct w:val="0"/>
              <w:spacing w:before="7" w:line="242" w:lineRule="exact"/>
              <w:ind w:left="78" w:right="134"/>
              <w:jc w:val="center"/>
              <w:rPr>
                <w:sz w:val="20"/>
                <w:szCs w:val="20"/>
              </w:rPr>
            </w:pPr>
            <w:r w:rsidRPr="008943EF">
              <w:rPr>
                <w:sz w:val="20"/>
                <w:szCs w:val="20"/>
              </w:rPr>
              <w:t>1.8</w:t>
            </w:r>
          </w:p>
          <w:p w14:paraId="32ABBF0F" w14:textId="77777777" w:rsidR="00575022" w:rsidRPr="008943EF" w:rsidRDefault="00575022" w:rsidP="00B619C5">
            <w:pPr>
              <w:kinsoku w:val="0"/>
              <w:overflowPunct w:val="0"/>
              <w:spacing w:before="7" w:line="242" w:lineRule="exact"/>
              <w:ind w:left="78" w:right="134"/>
              <w:jc w:val="center"/>
              <w:rPr>
                <w:sz w:val="20"/>
                <w:szCs w:val="20"/>
              </w:rPr>
            </w:pPr>
            <w:r w:rsidRPr="008943EF">
              <w:rPr>
                <w:sz w:val="20"/>
                <w:szCs w:val="20"/>
              </w:rPr>
              <w:t>(1.2 - 2.8)</w:t>
            </w:r>
          </w:p>
          <w:p w14:paraId="01CD6DAE" w14:textId="77777777" w:rsidR="00575022" w:rsidRPr="008943EF" w:rsidRDefault="00575022" w:rsidP="00B619C5">
            <w:pPr>
              <w:jc w:val="center"/>
              <w:rPr>
                <w:sz w:val="20"/>
                <w:szCs w:val="20"/>
              </w:rPr>
            </w:pPr>
          </w:p>
        </w:tc>
        <w:tc>
          <w:tcPr>
            <w:tcW w:w="0" w:type="auto"/>
          </w:tcPr>
          <w:p w14:paraId="40F56DC6" w14:textId="77777777" w:rsidR="00575022" w:rsidRDefault="00575022" w:rsidP="00B619C5">
            <w:pPr>
              <w:kinsoku w:val="0"/>
              <w:overflowPunct w:val="0"/>
              <w:spacing w:line="244" w:lineRule="exact"/>
              <w:ind w:left="352" w:right="340"/>
              <w:jc w:val="center"/>
              <w:rPr>
                <w:sz w:val="20"/>
                <w:szCs w:val="20"/>
              </w:rPr>
            </w:pPr>
            <w:r w:rsidRPr="008943EF">
              <w:rPr>
                <w:sz w:val="20"/>
                <w:szCs w:val="20"/>
              </w:rPr>
              <w:t>2.2</w:t>
            </w:r>
          </w:p>
          <w:p w14:paraId="22811C4D" w14:textId="77777777" w:rsidR="00575022" w:rsidRPr="008943EF" w:rsidRDefault="00575022" w:rsidP="00B619C5">
            <w:pPr>
              <w:kinsoku w:val="0"/>
              <w:overflowPunct w:val="0"/>
              <w:spacing w:line="244" w:lineRule="exact"/>
              <w:ind w:left="352" w:right="340"/>
              <w:jc w:val="center"/>
              <w:rPr>
                <w:sz w:val="20"/>
                <w:szCs w:val="20"/>
              </w:rPr>
            </w:pPr>
            <w:r w:rsidRPr="008943EF">
              <w:rPr>
                <w:sz w:val="20"/>
                <w:szCs w:val="20"/>
              </w:rPr>
              <w:t>(1.1 - 3.5)</w:t>
            </w:r>
          </w:p>
          <w:p w14:paraId="4E277882" w14:textId="77777777" w:rsidR="00575022" w:rsidRPr="008943EF" w:rsidRDefault="00575022" w:rsidP="00B619C5">
            <w:pPr>
              <w:jc w:val="center"/>
              <w:rPr>
                <w:sz w:val="20"/>
                <w:szCs w:val="20"/>
              </w:rPr>
            </w:pPr>
          </w:p>
        </w:tc>
        <w:tc>
          <w:tcPr>
            <w:tcW w:w="0" w:type="auto"/>
          </w:tcPr>
          <w:p w14:paraId="5B46F874" w14:textId="77777777" w:rsidR="00575022" w:rsidRPr="008943EF" w:rsidRDefault="00575022" w:rsidP="00B619C5">
            <w:pPr>
              <w:jc w:val="center"/>
              <w:rPr>
                <w:sz w:val="20"/>
                <w:szCs w:val="20"/>
              </w:rPr>
            </w:pPr>
            <w:r w:rsidRPr="008943EF">
              <w:rPr>
                <w:sz w:val="20"/>
                <w:szCs w:val="20"/>
              </w:rPr>
              <w:t>0.3</w:t>
            </w:r>
          </w:p>
        </w:tc>
      </w:tr>
      <w:tr w:rsidR="00575022" w14:paraId="1617E577" w14:textId="77777777" w:rsidTr="00B619C5">
        <w:trPr>
          <w:trHeight w:val="490"/>
          <w:jc w:val="center"/>
        </w:trPr>
        <w:tc>
          <w:tcPr>
            <w:tcW w:w="2686" w:type="dxa"/>
          </w:tcPr>
          <w:p w14:paraId="0C081B9B" w14:textId="77777777" w:rsidR="00575022" w:rsidRDefault="00575022" w:rsidP="00B619C5">
            <w:pPr>
              <w:pStyle w:val="TableParagraph"/>
              <w:spacing w:line="244" w:lineRule="exact"/>
              <w:ind w:left="110"/>
              <w:jc w:val="left"/>
              <w:rPr>
                <w:b/>
                <w:sz w:val="20"/>
              </w:rPr>
            </w:pPr>
            <w:r>
              <w:rPr>
                <w:b/>
                <w:sz w:val="20"/>
              </w:rPr>
              <w:t>Proportion of time on therapy before censor or SPMS</w:t>
            </w:r>
          </w:p>
          <w:p w14:paraId="2E17C3C1" w14:textId="77777777" w:rsidR="00575022" w:rsidRDefault="00575022" w:rsidP="00B619C5">
            <w:pPr>
              <w:pStyle w:val="TableParagraph"/>
              <w:spacing w:line="244" w:lineRule="exact"/>
              <w:ind w:left="110"/>
              <w:jc w:val="left"/>
              <w:rPr>
                <w:b/>
                <w:sz w:val="20"/>
              </w:rPr>
            </w:pPr>
            <w:r>
              <w:rPr>
                <w:b/>
                <w:sz w:val="20"/>
              </w:rPr>
              <w:t xml:space="preserve">   Median (IQR)</w:t>
            </w:r>
          </w:p>
        </w:tc>
        <w:tc>
          <w:tcPr>
            <w:tcW w:w="0" w:type="auto"/>
          </w:tcPr>
          <w:p w14:paraId="60BD90AA" w14:textId="77777777" w:rsidR="00575022" w:rsidRPr="008943EF" w:rsidRDefault="00575022" w:rsidP="00B619C5">
            <w:pPr>
              <w:kinsoku w:val="0"/>
              <w:overflowPunct w:val="0"/>
              <w:spacing w:line="244" w:lineRule="exact"/>
              <w:ind w:right="15"/>
              <w:jc w:val="center"/>
              <w:rPr>
                <w:sz w:val="20"/>
                <w:szCs w:val="20"/>
              </w:rPr>
            </w:pPr>
            <w:r w:rsidRPr="008943EF">
              <w:rPr>
                <w:sz w:val="20"/>
                <w:szCs w:val="20"/>
              </w:rPr>
              <w:t>1</w:t>
            </w:r>
          </w:p>
          <w:p w14:paraId="6363A385" w14:textId="77777777" w:rsidR="00575022" w:rsidRDefault="00575022" w:rsidP="00B619C5">
            <w:pPr>
              <w:jc w:val="center"/>
            </w:pPr>
            <w:r w:rsidRPr="008943EF">
              <w:rPr>
                <w:sz w:val="20"/>
                <w:szCs w:val="20"/>
              </w:rPr>
              <w:t>(0.6 - 1)</w:t>
            </w:r>
          </w:p>
        </w:tc>
        <w:tc>
          <w:tcPr>
            <w:tcW w:w="0" w:type="auto"/>
          </w:tcPr>
          <w:p w14:paraId="00851663" w14:textId="77777777" w:rsidR="00575022" w:rsidRDefault="00575022" w:rsidP="00B619C5">
            <w:pPr>
              <w:jc w:val="center"/>
            </w:pPr>
            <w:r w:rsidRPr="008943EF">
              <w:rPr>
                <w:sz w:val="20"/>
                <w:szCs w:val="20"/>
              </w:rPr>
              <w:t>N/A</w:t>
            </w:r>
          </w:p>
        </w:tc>
        <w:tc>
          <w:tcPr>
            <w:tcW w:w="0" w:type="auto"/>
          </w:tcPr>
          <w:p w14:paraId="0CB88B1E" w14:textId="77777777" w:rsidR="00575022" w:rsidRDefault="00575022" w:rsidP="00B619C5">
            <w:pPr>
              <w:jc w:val="center"/>
            </w:pPr>
            <w:r w:rsidRPr="008943EF">
              <w:rPr>
                <w:sz w:val="20"/>
                <w:szCs w:val="20"/>
              </w:rPr>
              <w:t>N/A</w:t>
            </w:r>
          </w:p>
        </w:tc>
        <w:tc>
          <w:tcPr>
            <w:tcW w:w="0" w:type="auto"/>
          </w:tcPr>
          <w:p w14:paraId="1EBDA564" w14:textId="77777777" w:rsidR="00575022" w:rsidRPr="008943EF" w:rsidRDefault="00575022" w:rsidP="00B619C5">
            <w:pPr>
              <w:kinsoku w:val="0"/>
              <w:overflowPunct w:val="0"/>
              <w:spacing w:line="244" w:lineRule="exact"/>
              <w:ind w:right="16"/>
              <w:jc w:val="center"/>
              <w:rPr>
                <w:sz w:val="20"/>
                <w:szCs w:val="20"/>
              </w:rPr>
            </w:pPr>
            <w:r w:rsidRPr="008943EF">
              <w:rPr>
                <w:sz w:val="20"/>
                <w:szCs w:val="20"/>
              </w:rPr>
              <w:t>1</w:t>
            </w:r>
          </w:p>
          <w:p w14:paraId="6C7EA1BD" w14:textId="77777777" w:rsidR="00575022" w:rsidRDefault="00575022" w:rsidP="00B619C5">
            <w:pPr>
              <w:jc w:val="center"/>
            </w:pPr>
            <w:r w:rsidRPr="008943EF">
              <w:rPr>
                <w:sz w:val="20"/>
                <w:szCs w:val="20"/>
              </w:rPr>
              <w:t>(0.9 - 1)</w:t>
            </w:r>
          </w:p>
        </w:tc>
        <w:tc>
          <w:tcPr>
            <w:tcW w:w="0" w:type="auto"/>
          </w:tcPr>
          <w:p w14:paraId="510FBEE4" w14:textId="77777777" w:rsidR="00575022" w:rsidRDefault="00575022" w:rsidP="00B619C5">
            <w:pPr>
              <w:jc w:val="center"/>
            </w:pPr>
            <w:r w:rsidRPr="008943EF">
              <w:rPr>
                <w:sz w:val="20"/>
                <w:szCs w:val="20"/>
              </w:rPr>
              <w:t>N/A</w:t>
            </w:r>
          </w:p>
        </w:tc>
        <w:tc>
          <w:tcPr>
            <w:tcW w:w="0" w:type="auto"/>
          </w:tcPr>
          <w:p w14:paraId="641B105C" w14:textId="77777777" w:rsidR="00575022" w:rsidRDefault="00575022" w:rsidP="00B619C5">
            <w:pPr>
              <w:jc w:val="center"/>
            </w:pPr>
            <w:r w:rsidRPr="008943EF">
              <w:rPr>
                <w:sz w:val="20"/>
                <w:szCs w:val="20"/>
              </w:rPr>
              <w:t>N/A</w:t>
            </w:r>
          </w:p>
        </w:tc>
        <w:tc>
          <w:tcPr>
            <w:tcW w:w="0" w:type="auto"/>
          </w:tcPr>
          <w:p w14:paraId="7D4F89F6" w14:textId="77777777" w:rsidR="00575022" w:rsidRPr="008943EF" w:rsidRDefault="00575022" w:rsidP="00B619C5">
            <w:pPr>
              <w:jc w:val="center"/>
              <w:rPr>
                <w:sz w:val="20"/>
                <w:szCs w:val="20"/>
              </w:rPr>
            </w:pPr>
            <w:r w:rsidRPr="008943EF">
              <w:rPr>
                <w:sz w:val="20"/>
                <w:szCs w:val="20"/>
              </w:rPr>
              <w:t>1(0.9 - 1)</w:t>
            </w:r>
          </w:p>
        </w:tc>
        <w:tc>
          <w:tcPr>
            <w:tcW w:w="0" w:type="auto"/>
          </w:tcPr>
          <w:p w14:paraId="6F6C9BD3" w14:textId="77777777" w:rsidR="00575022" w:rsidRDefault="00575022" w:rsidP="00B619C5">
            <w:pPr>
              <w:jc w:val="center"/>
              <w:rPr>
                <w:sz w:val="20"/>
                <w:szCs w:val="20"/>
              </w:rPr>
            </w:pPr>
            <w:r w:rsidRPr="008943EF">
              <w:rPr>
                <w:sz w:val="20"/>
                <w:szCs w:val="20"/>
              </w:rPr>
              <w:t>0.9</w:t>
            </w:r>
          </w:p>
          <w:p w14:paraId="34A2D86D" w14:textId="77777777" w:rsidR="00575022" w:rsidRPr="008943EF" w:rsidRDefault="00575022" w:rsidP="00B619C5">
            <w:pPr>
              <w:jc w:val="center"/>
              <w:rPr>
                <w:sz w:val="20"/>
                <w:szCs w:val="20"/>
              </w:rPr>
            </w:pPr>
            <w:r w:rsidRPr="008943EF">
              <w:rPr>
                <w:sz w:val="20"/>
                <w:szCs w:val="20"/>
              </w:rPr>
              <w:t>(0.7 - 1)</w:t>
            </w:r>
          </w:p>
        </w:tc>
        <w:tc>
          <w:tcPr>
            <w:tcW w:w="1350" w:type="dxa"/>
          </w:tcPr>
          <w:p w14:paraId="6655A14A" w14:textId="77777777" w:rsidR="00575022" w:rsidRPr="008943EF" w:rsidRDefault="00575022" w:rsidP="00B619C5">
            <w:pPr>
              <w:jc w:val="center"/>
              <w:rPr>
                <w:sz w:val="20"/>
                <w:szCs w:val="20"/>
              </w:rPr>
            </w:pPr>
            <w:r w:rsidRPr="008943EF">
              <w:rPr>
                <w:sz w:val="20"/>
                <w:szCs w:val="20"/>
              </w:rPr>
              <w:t>0.5</w:t>
            </w:r>
            <w:r>
              <w:rPr>
                <w:sz w:val="20"/>
                <w:szCs w:val="20"/>
              </w:rPr>
              <w:t>4</w:t>
            </w:r>
          </w:p>
        </w:tc>
        <w:tc>
          <w:tcPr>
            <w:tcW w:w="1153" w:type="dxa"/>
          </w:tcPr>
          <w:p w14:paraId="7E198FF6" w14:textId="77777777" w:rsidR="00575022" w:rsidRDefault="00575022" w:rsidP="00B619C5">
            <w:pPr>
              <w:jc w:val="center"/>
              <w:rPr>
                <w:sz w:val="20"/>
                <w:szCs w:val="20"/>
              </w:rPr>
            </w:pPr>
            <w:r w:rsidRPr="008943EF">
              <w:rPr>
                <w:sz w:val="20"/>
                <w:szCs w:val="20"/>
              </w:rPr>
              <w:t>1</w:t>
            </w:r>
          </w:p>
          <w:p w14:paraId="35B4C8C7" w14:textId="77777777" w:rsidR="00575022" w:rsidRPr="008943EF" w:rsidRDefault="00575022" w:rsidP="00B619C5">
            <w:pPr>
              <w:jc w:val="center"/>
              <w:rPr>
                <w:sz w:val="20"/>
                <w:szCs w:val="20"/>
              </w:rPr>
            </w:pPr>
            <w:r w:rsidRPr="008943EF">
              <w:rPr>
                <w:sz w:val="20"/>
                <w:szCs w:val="20"/>
              </w:rPr>
              <w:t>(1 - 1)</w:t>
            </w:r>
          </w:p>
        </w:tc>
        <w:tc>
          <w:tcPr>
            <w:tcW w:w="0" w:type="auto"/>
          </w:tcPr>
          <w:p w14:paraId="7387503C" w14:textId="77777777" w:rsidR="00575022" w:rsidRDefault="00575022" w:rsidP="00B619C5">
            <w:pPr>
              <w:jc w:val="center"/>
              <w:rPr>
                <w:sz w:val="20"/>
                <w:szCs w:val="20"/>
              </w:rPr>
            </w:pPr>
            <w:r w:rsidRPr="008943EF">
              <w:rPr>
                <w:sz w:val="20"/>
                <w:szCs w:val="20"/>
              </w:rPr>
              <w:t>1</w:t>
            </w:r>
          </w:p>
          <w:p w14:paraId="291DF4C0" w14:textId="77777777" w:rsidR="00575022" w:rsidRPr="008943EF" w:rsidRDefault="00575022" w:rsidP="00B619C5">
            <w:pPr>
              <w:jc w:val="center"/>
              <w:rPr>
                <w:sz w:val="20"/>
                <w:szCs w:val="20"/>
              </w:rPr>
            </w:pPr>
            <w:r w:rsidRPr="008943EF">
              <w:rPr>
                <w:sz w:val="20"/>
                <w:szCs w:val="20"/>
              </w:rPr>
              <w:t>(0.9 - 1)</w:t>
            </w:r>
          </w:p>
        </w:tc>
        <w:tc>
          <w:tcPr>
            <w:tcW w:w="0" w:type="auto"/>
          </w:tcPr>
          <w:p w14:paraId="7D433367" w14:textId="77777777" w:rsidR="00575022" w:rsidRPr="008943EF" w:rsidRDefault="00575022" w:rsidP="00B619C5">
            <w:pPr>
              <w:jc w:val="center"/>
              <w:rPr>
                <w:sz w:val="20"/>
                <w:szCs w:val="20"/>
              </w:rPr>
            </w:pPr>
            <w:r w:rsidRPr="008943EF">
              <w:rPr>
                <w:sz w:val="20"/>
                <w:szCs w:val="20"/>
              </w:rPr>
              <w:t>0</w:t>
            </w:r>
          </w:p>
        </w:tc>
      </w:tr>
    </w:tbl>
    <w:p w14:paraId="2DCAC133" w14:textId="77777777" w:rsidR="00575022" w:rsidRPr="0080792D" w:rsidRDefault="00575022" w:rsidP="00B619C5">
      <w:pPr>
        <w:spacing w:line="480" w:lineRule="auto"/>
        <w:jc w:val="both"/>
      </w:pPr>
    </w:p>
    <w:p w14:paraId="5662997E" w14:textId="77777777" w:rsidR="00C81869" w:rsidRDefault="00C81869"/>
    <w:sectPr w:rsidR="00C81869" w:rsidSect="00B619C5">
      <w:pgSz w:w="20636" w:h="14570" w:orient="landscape" w:code="12"/>
      <w:pgMar w:top="1440" w:right="1440" w:bottom="1440" w:left="1440" w:header="720" w:footer="720" w:gutter="0"/>
      <w:lnNumType w:countBy="2"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856B0C" w14:textId="77777777" w:rsidR="00045CD2" w:rsidRDefault="00045CD2">
      <w:r>
        <w:separator/>
      </w:r>
    </w:p>
  </w:endnote>
  <w:endnote w:type="continuationSeparator" w:id="0">
    <w:p w14:paraId="2A4EAA3B" w14:textId="77777777" w:rsidR="00045CD2" w:rsidRDefault="00045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Rounded MT Bold">
    <w:panose1 w:val="020F0704030504030204"/>
    <w:charset w:val="4D"/>
    <w:family w:val="swiss"/>
    <w:pitch w:val="variable"/>
    <w:sig w:usb0="00000003" w:usb1="00000000" w:usb2="00000000" w:usb3="00000000" w:csb0="00000001" w:csb1="00000000"/>
  </w:font>
  <w:font w:name="Times">
    <w:panose1 w:val="0200050000000000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Segoe UI">
    <w:altName w:val="Calibri"/>
    <w:panose1 w:val="020B0604020202020204"/>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3ADC1C" w14:textId="77777777" w:rsidR="00C37E4C" w:rsidRDefault="00C37E4C" w:rsidP="00B619C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1ABE77" w14:textId="77777777" w:rsidR="00C37E4C" w:rsidRDefault="00C37E4C" w:rsidP="00B619C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1AD233" w14:textId="77777777" w:rsidR="00C37E4C" w:rsidRDefault="00C37E4C" w:rsidP="00B619C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w:t>
    </w:r>
    <w:r>
      <w:rPr>
        <w:rStyle w:val="PageNumber"/>
      </w:rPr>
      <w:fldChar w:fldCharType="end"/>
    </w:r>
  </w:p>
  <w:p w14:paraId="76FECFEE" w14:textId="77777777" w:rsidR="00C37E4C" w:rsidRDefault="00C37E4C" w:rsidP="00B619C5">
    <w:pPr>
      <w:pStyle w:val="Footer"/>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B7B914" w14:textId="77777777" w:rsidR="00045CD2" w:rsidRDefault="00045CD2">
      <w:r>
        <w:separator/>
      </w:r>
    </w:p>
  </w:footnote>
  <w:footnote w:type="continuationSeparator" w:id="0">
    <w:p w14:paraId="577CE5EB" w14:textId="77777777" w:rsidR="00045CD2" w:rsidRDefault="00045C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CC05C4"/>
    <w:multiLevelType w:val="hybridMultilevel"/>
    <w:tmpl w:val="79CC0D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E9B6FF5"/>
    <w:multiLevelType w:val="hybridMultilevel"/>
    <w:tmpl w:val="CB5C3D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9028E9"/>
    <w:multiLevelType w:val="hybridMultilevel"/>
    <w:tmpl w:val="4A7032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A581928"/>
    <w:multiLevelType w:val="hybridMultilevel"/>
    <w:tmpl w:val="A266AC7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D912C1E"/>
    <w:multiLevelType w:val="hybridMultilevel"/>
    <w:tmpl w:val="4AC86A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575022"/>
    <w:rsid w:val="000044AB"/>
    <w:rsid w:val="00031FE0"/>
    <w:rsid w:val="00045CD2"/>
    <w:rsid w:val="0007346C"/>
    <w:rsid w:val="000836E8"/>
    <w:rsid w:val="000E3124"/>
    <w:rsid w:val="00136AB7"/>
    <w:rsid w:val="0017142C"/>
    <w:rsid w:val="001F25AA"/>
    <w:rsid w:val="00210E61"/>
    <w:rsid w:val="00244EBC"/>
    <w:rsid w:val="00276997"/>
    <w:rsid w:val="002C4A9A"/>
    <w:rsid w:val="002D1791"/>
    <w:rsid w:val="002D43FC"/>
    <w:rsid w:val="00304202"/>
    <w:rsid w:val="00361947"/>
    <w:rsid w:val="00384C27"/>
    <w:rsid w:val="00397115"/>
    <w:rsid w:val="003A7396"/>
    <w:rsid w:val="003B7B86"/>
    <w:rsid w:val="003C29A0"/>
    <w:rsid w:val="003D63D3"/>
    <w:rsid w:val="004A2A8B"/>
    <w:rsid w:val="00533E38"/>
    <w:rsid w:val="00575022"/>
    <w:rsid w:val="005F48D8"/>
    <w:rsid w:val="00601D16"/>
    <w:rsid w:val="00627A6C"/>
    <w:rsid w:val="0063267C"/>
    <w:rsid w:val="006408F9"/>
    <w:rsid w:val="006533A3"/>
    <w:rsid w:val="00656CCF"/>
    <w:rsid w:val="006736D3"/>
    <w:rsid w:val="00694DF3"/>
    <w:rsid w:val="006A3163"/>
    <w:rsid w:val="006C18F6"/>
    <w:rsid w:val="0074251E"/>
    <w:rsid w:val="00776A1F"/>
    <w:rsid w:val="00794F1E"/>
    <w:rsid w:val="007A133D"/>
    <w:rsid w:val="007A5B45"/>
    <w:rsid w:val="007C3D58"/>
    <w:rsid w:val="007E310F"/>
    <w:rsid w:val="0082118B"/>
    <w:rsid w:val="00851072"/>
    <w:rsid w:val="008543E2"/>
    <w:rsid w:val="00854A37"/>
    <w:rsid w:val="008B302D"/>
    <w:rsid w:val="008F0933"/>
    <w:rsid w:val="00992EEA"/>
    <w:rsid w:val="009B6F3A"/>
    <w:rsid w:val="009E1930"/>
    <w:rsid w:val="00A456EA"/>
    <w:rsid w:val="00A75888"/>
    <w:rsid w:val="00A82C7F"/>
    <w:rsid w:val="00AB0309"/>
    <w:rsid w:val="00AB3BC0"/>
    <w:rsid w:val="00AB648C"/>
    <w:rsid w:val="00AD0816"/>
    <w:rsid w:val="00B13B2B"/>
    <w:rsid w:val="00B32453"/>
    <w:rsid w:val="00B36871"/>
    <w:rsid w:val="00B37D0C"/>
    <w:rsid w:val="00B619C5"/>
    <w:rsid w:val="00B65361"/>
    <w:rsid w:val="00BA5F2D"/>
    <w:rsid w:val="00BC6E99"/>
    <w:rsid w:val="00BE2D3E"/>
    <w:rsid w:val="00BE3157"/>
    <w:rsid w:val="00C237AD"/>
    <w:rsid w:val="00C247A9"/>
    <w:rsid w:val="00C26BB7"/>
    <w:rsid w:val="00C37E4C"/>
    <w:rsid w:val="00C44A37"/>
    <w:rsid w:val="00C81869"/>
    <w:rsid w:val="00C84BA1"/>
    <w:rsid w:val="00C91D11"/>
    <w:rsid w:val="00CC54BA"/>
    <w:rsid w:val="00D00493"/>
    <w:rsid w:val="00D05538"/>
    <w:rsid w:val="00D80A9F"/>
    <w:rsid w:val="00D835ED"/>
    <w:rsid w:val="00D86173"/>
    <w:rsid w:val="00DA619E"/>
    <w:rsid w:val="00DC7B5F"/>
    <w:rsid w:val="00E335C5"/>
    <w:rsid w:val="00E57C99"/>
    <w:rsid w:val="00E65456"/>
    <w:rsid w:val="00EA4AE4"/>
    <w:rsid w:val="00ED26D6"/>
    <w:rsid w:val="00FA0974"/>
    <w:rsid w:val="00FD5B65"/>
    <w:rsid w:val="00FD608F"/>
    <w:rsid w:val="00FE035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F1799"/>
  <w15:chartTrackingRefBased/>
  <w15:docId w15:val="{08DEF93B-345F-3E45-B395-292F84838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575022"/>
    <w:pPr>
      <w:autoSpaceDE w:val="0"/>
      <w:autoSpaceDN w:val="0"/>
      <w:adjustRightInd w:val="0"/>
      <w:spacing w:after="0" w:line="240" w:lineRule="auto"/>
    </w:pPr>
    <w:rPr>
      <w:rFonts w:ascii="Calibri" w:hAnsi="Calibri" w:cs="Calibri"/>
      <w:lang w:val="en-GB"/>
    </w:rPr>
  </w:style>
  <w:style w:type="paragraph" w:styleId="Heading1">
    <w:name w:val="heading 1"/>
    <w:basedOn w:val="Normal"/>
    <w:next w:val="Normal"/>
    <w:link w:val="Heading1Char"/>
    <w:uiPriority w:val="9"/>
    <w:qFormat/>
    <w:rsid w:val="00575022"/>
    <w:pPr>
      <w:keepNext/>
      <w:keepLines/>
      <w:autoSpaceDE/>
      <w:autoSpaceDN/>
      <w:adjustRightInd/>
      <w:spacing w:before="240"/>
      <w:outlineLvl w:val="0"/>
    </w:pPr>
    <w:rPr>
      <w:rFonts w:asciiTheme="majorHAnsi" w:eastAsiaTheme="majorEastAsia" w:hAnsiTheme="majorHAnsi" w:cstheme="majorBidi"/>
      <w:b/>
      <w:color w:val="000000" w:themeColor="text1"/>
      <w:sz w:val="32"/>
      <w:szCs w:val="32"/>
      <w:u w:val="single"/>
    </w:rPr>
  </w:style>
  <w:style w:type="paragraph" w:styleId="Heading2">
    <w:name w:val="heading 2"/>
    <w:basedOn w:val="Normal"/>
    <w:next w:val="Normal"/>
    <w:link w:val="Heading2Char"/>
    <w:autoRedefine/>
    <w:uiPriority w:val="9"/>
    <w:unhideWhenUsed/>
    <w:qFormat/>
    <w:rsid w:val="00575022"/>
    <w:pPr>
      <w:keepNext/>
      <w:keepLines/>
      <w:autoSpaceDE/>
      <w:autoSpaceDN/>
      <w:adjustRightInd/>
      <w:spacing w:before="40" w:line="480" w:lineRule="auto"/>
      <w:outlineLvl w:val="1"/>
    </w:pPr>
    <w:rPr>
      <w:rFonts w:eastAsia="Calibri"/>
      <w:b/>
      <w:bCs/>
      <w:i/>
      <w:color w:val="000000" w:themeColor="text1"/>
      <w:sz w:val="26"/>
      <w:szCs w:val="26"/>
    </w:rPr>
  </w:style>
  <w:style w:type="paragraph" w:styleId="Heading3">
    <w:name w:val="heading 3"/>
    <w:basedOn w:val="Normal"/>
    <w:next w:val="Normal"/>
    <w:link w:val="Heading3Char"/>
    <w:uiPriority w:val="9"/>
    <w:unhideWhenUsed/>
    <w:qFormat/>
    <w:rsid w:val="00575022"/>
    <w:pPr>
      <w:keepNext/>
      <w:keepLines/>
      <w:autoSpaceDE/>
      <w:autoSpaceDN/>
      <w:adjustRightInd/>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5022"/>
    <w:rPr>
      <w:rFonts w:asciiTheme="majorHAnsi" w:eastAsiaTheme="majorEastAsia" w:hAnsiTheme="majorHAnsi" w:cstheme="majorBidi"/>
      <w:b/>
      <w:color w:val="000000" w:themeColor="text1"/>
      <w:sz w:val="32"/>
      <w:szCs w:val="32"/>
      <w:u w:val="single"/>
      <w:lang w:val="en-GB"/>
    </w:rPr>
  </w:style>
  <w:style w:type="character" w:customStyle="1" w:styleId="Heading2Char">
    <w:name w:val="Heading 2 Char"/>
    <w:basedOn w:val="DefaultParagraphFont"/>
    <w:link w:val="Heading2"/>
    <w:uiPriority w:val="9"/>
    <w:rsid w:val="00575022"/>
    <w:rPr>
      <w:rFonts w:ascii="Calibri" w:eastAsia="Calibri" w:hAnsi="Calibri" w:cs="Calibri"/>
      <w:b/>
      <w:bCs/>
      <w:i/>
      <w:color w:val="000000" w:themeColor="text1"/>
      <w:sz w:val="26"/>
      <w:szCs w:val="26"/>
      <w:lang w:val="en-GB"/>
    </w:rPr>
  </w:style>
  <w:style w:type="character" w:customStyle="1" w:styleId="Heading3Char">
    <w:name w:val="Heading 3 Char"/>
    <w:basedOn w:val="DefaultParagraphFont"/>
    <w:link w:val="Heading3"/>
    <w:uiPriority w:val="9"/>
    <w:rsid w:val="00575022"/>
    <w:rPr>
      <w:rFonts w:asciiTheme="majorHAnsi" w:eastAsiaTheme="majorEastAsia" w:hAnsiTheme="majorHAnsi" w:cstheme="majorBidi"/>
      <w:color w:val="1F3763" w:themeColor="accent1" w:themeShade="7F"/>
      <w:sz w:val="24"/>
      <w:szCs w:val="24"/>
      <w:lang w:val="en-GB"/>
    </w:rPr>
  </w:style>
  <w:style w:type="paragraph" w:styleId="Title">
    <w:name w:val="Title"/>
    <w:basedOn w:val="Normal"/>
    <w:next w:val="Normal"/>
    <w:link w:val="TitleChar"/>
    <w:autoRedefine/>
    <w:uiPriority w:val="10"/>
    <w:qFormat/>
    <w:rsid w:val="00575022"/>
    <w:pPr>
      <w:autoSpaceDE/>
      <w:autoSpaceDN/>
      <w:adjustRightInd/>
      <w:contextualSpacing/>
    </w:pPr>
    <w:rPr>
      <w:rFonts w:ascii="Arial Rounded MT Bold" w:eastAsiaTheme="majorEastAsia" w:hAnsi="Arial Rounded MT Bold" w:cstheme="majorBidi"/>
      <w:spacing w:val="-10"/>
      <w:kern w:val="28"/>
      <w:sz w:val="56"/>
      <w:szCs w:val="56"/>
    </w:rPr>
  </w:style>
  <w:style w:type="character" w:customStyle="1" w:styleId="TitleChar">
    <w:name w:val="Title Char"/>
    <w:basedOn w:val="DefaultParagraphFont"/>
    <w:link w:val="Title"/>
    <w:uiPriority w:val="10"/>
    <w:rsid w:val="00575022"/>
    <w:rPr>
      <w:rFonts w:ascii="Arial Rounded MT Bold" w:eastAsiaTheme="majorEastAsia" w:hAnsi="Arial Rounded MT Bold" w:cstheme="majorBidi"/>
      <w:spacing w:val="-10"/>
      <w:kern w:val="28"/>
      <w:sz w:val="56"/>
      <w:szCs w:val="56"/>
      <w:lang w:val="en-GB"/>
    </w:rPr>
  </w:style>
  <w:style w:type="paragraph" w:customStyle="1" w:styleId="EndNoteBibliographyTitle">
    <w:name w:val="EndNote Bibliography Title"/>
    <w:basedOn w:val="Normal"/>
    <w:rsid w:val="00575022"/>
    <w:pPr>
      <w:autoSpaceDE/>
      <w:autoSpaceDN/>
      <w:adjustRightInd/>
      <w:jc w:val="center"/>
    </w:pPr>
    <w:rPr>
      <w:sz w:val="24"/>
      <w:szCs w:val="24"/>
      <w:lang w:val="en-US"/>
    </w:rPr>
  </w:style>
  <w:style w:type="paragraph" w:customStyle="1" w:styleId="EndNoteBibliography">
    <w:name w:val="EndNote Bibliography"/>
    <w:basedOn w:val="Normal"/>
    <w:rsid w:val="00575022"/>
    <w:pPr>
      <w:autoSpaceDE/>
      <w:autoSpaceDN/>
      <w:adjustRightInd/>
      <w:spacing w:line="480" w:lineRule="auto"/>
    </w:pPr>
    <w:rPr>
      <w:sz w:val="24"/>
      <w:szCs w:val="24"/>
      <w:lang w:val="en-US"/>
    </w:rPr>
  </w:style>
  <w:style w:type="paragraph" w:customStyle="1" w:styleId="p1">
    <w:name w:val="p1"/>
    <w:basedOn w:val="Normal"/>
    <w:rsid w:val="00575022"/>
    <w:pPr>
      <w:autoSpaceDE/>
      <w:autoSpaceDN/>
      <w:adjustRightInd/>
    </w:pPr>
    <w:rPr>
      <w:rFonts w:ascii="Times" w:hAnsi="Times" w:cs="Times New Roman"/>
      <w:sz w:val="14"/>
      <w:szCs w:val="14"/>
      <w:lang w:eastAsia="en-GB"/>
    </w:rPr>
  </w:style>
  <w:style w:type="character" w:customStyle="1" w:styleId="s1">
    <w:name w:val="s1"/>
    <w:basedOn w:val="DefaultParagraphFont"/>
    <w:rsid w:val="00575022"/>
    <w:rPr>
      <w:rFonts w:ascii="Times" w:hAnsi="Times" w:hint="default"/>
      <w:sz w:val="7"/>
      <w:szCs w:val="7"/>
    </w:rPr>
  </w:style>
  <w:style w:type="paragraph" w:styleId="ListParagraph">
    <w:name w:val="List Paragraph"/>
    <w:basedOn w:val="Normal"/>
    <w:link w:val="ListParagraphChar"/>
    <w:uiPriority w:val="34"/>
    <w:qFormat/>
    <w:rsid w:val="00575022"/>
    <w:pPr>
      <w:autoSpaceDE/>
      <w:autoSpaceDN/>
      <w:adjustRightInd/>
      <w:ind w:left="720"/>
      <w:contextualSpacing/>
    </w:pPr>
    <w:rPr>
      <w:rFonts w:asciiTheme="minorHAnsi" w:hAnsiTheme="minorHAnsi" w:cstheme="minorBidi"/>
      <w:sz w:val="24"/>
      <w:szCs w:val="24"/>
    </w:rPr>
  </w:style>
  <w:style w:type="paragraph" w:customStyle="1" w:styleId="p2">
    <w:name w:val="p2"/>
    <w:basedOn w:val="Normal"/>
    <w:rsid w:val="00575022"/>
    <w:pPr>
      <w:autoSpaceDE/>
      <w:autoSpaceDN/>
      <w:adjustRightInd/>
    </w:pPr>
    <w:rPr>
      <w:rFonts w:ascii="Helvetica Neue" w:hAnsi="Helvetica Neue" w:cs="Times New Roman"/>
      <w:color w:val="454545"/>
      <w:sz w:val="18"/>
      <w:szCs w:val="18"/>
      <w:lang w:eastAsia="en-GB"/>
    </w:rPr>
  </w:style>
  <w:style w:type="character" w:customStyle="1" w:styleId="apple-converted-space">
    <w:name w:val="apple-converted-space"/>
    <w:basedOn w:val="DefaultParagraphFont"/>
    <w:rsid w:val="00575022"/>
  </w:style>
  <w:style w:type="character" w:styleId="CommentReference">
    <w:name w:val="annotation reference"/>
    <w:basedOn w:val="DefaultParagraphFont"/>
    <w:uiPriority w:val="99"/>
    <w:semiHidden/>
    <w:unhideWhenUsed/>
    <w:rsid w:val="00575022"/>
    <w:rPr>
      <w:sz w:val="16"/>
      <w:szCs w:val="16"/>
    </w:rPr>
  </w:style>
  <w:style w:type="paragraph" w:styleId="CommentText">
    <w:name w:val="annotation text"/>
    <w:basedOn w:val="Normal"/>
    <w:link w:val="CommentTextChar"/>
    <w:uiPriority w:val="99"/>
    <w:semiHidden/>
    <w:unhideWhenUsed/>
    <w:rsid w:val="00575022"/>
    <w:pPr>
      <w:autoSpaceDE/>
      <w:autoSpaceDN/>
      <w:adjustRightInd/>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75022"/>
    <w:rPr>
      <w:sz w:val="20"/>
      <w:szCs w:val="20"/>
      <w:lang w:val="en-GB"/>
    </w:rPr>
  </w:style>
  <w:style w:type="paragraph" w:styleId="CommentSubject">
    <w:name w:val="annotation subject"/>
    <w:basedOn w:val="CommentText"/>
    <w:next w:val="CommentText"/>
    <w:link w:val="CommentSubjectChar"/>
    <w:uiPriority w:val="99"/>
    <w:semiHidden/>
    <w:unhideWhenUsed/>
    <w:rsid w:val="00575022"/>
    <w:rPr>
      <w:b/>
      <w:bCs/>
    </w:rPr>
  </w:style>
  <w:style w:type="character" w:customStyle="1" w:styleId="CommentSubjectChar">
    <w:name w:val="Comment Subject Char"/>
    <w:basedOn w:val="CommentTextChar"/>
    <w:link w:val="CommentSubject"/>
    <w:uiPriority w:val="99"/>
    <w:semiHidden/>
    <w:rsid w:val="00575022"/>
    <w:rPr>
      <w:b/>
      <w:bCs/>
      <w:sz w:val="20"/>
      <w:szCs w:val="20"/>
      <w:lang w:val="en-GB"/>
    </w:rPr>
  </w:style>
  <w:style w:type="paragraph" w:styleId="BalloonText">
    <w:name w:val="Balloon Text"/>
    <w:basedOn w:val="Normal"/>
    <w:link w:val="BalloonTextChar"/>
    <w:uiPriority w:val="99"/>
    <w:semiHidden/>
    <w:unhideWhenUsed/>
    <w:rsid w:val="005750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022"/>
    <w:rPr>
      <w:rFonts w:ascii="Segoe UI" w:hAnsi="Segoe UI" w:cs="Segoe UI"/>
      <w:sz w:val="18"/>
      <w:szCs w:val="18"/>
      <w:lang w:val="en-GB"/>
    </w:rPr>
  </w:style>
  <w:style w:type="paragraph" w:styleId="Revision">
    <w:name w:val="Revision"/>
    <w:hidden/>
    <w:uiPriority w:val="99"/>
    <w:semiHidden/>
    <w:rsid w:val="00575022"/>
    <w:pPr>
      <w:spacing w:after="0" w:line="240" w:lineRule="auto"/>
    </w:pPr>
    <w:rPr>
      <w:sz w:val="24"/>
      <w:szCs w:val="24"/>
      <w:lang w:val="en-GB"/>
    </w:rPr>
  </w:style>
  <w:style w:type="paragraph" w:styleId="NoSpacing">
    <w:name w:val="No Spacing"/>
    <w:uiPriority w:val="1"/>
    <w:qFormat/>
    <w:rsid w:val="00575022"/>
    <w:pPr>
      <w:spacing w:after="0" w:line="240" w:lineRule="auto"/>
    </w:pPr>
    <w:rPr>
      <w:sz w:val="24"/>
      <w:szCs w:val="24"/>
      <w:lang w:val="en-GB"/>
    </w:rPr>
  </w:style>
  <w:style w:type="character" w:styleId="Hyperlink">
    <w:name w:val="Hyperlink"/>
    <w:basedOn w:val="DefaultParagraphFont"/>
    <w:uiPriority w:val="99"/>
    <w:unhideWhenUsed/>
    <w:rsid w:val="00575022"/>
    <w:rPr>
      <w:color w:val="0563C1" w:themeColor="hyperlink"/>
      <w:u w:val="single"/>
    </w:rPr>
  </w:style>
  <w:style w:type="paragraph" w:styleId="Header">
    <w:name w:val="header"/>
    <w:basedOn w:val="Normal"/>
    <w:link w:val="HeaderChar"/>
    <w:uiPriority w:val="99"/>
    <w:unhideWhenUsed/>
    <w:rsid w:val="00575022"/>
    <w:pPr>
      <w:tabs>
        <w:tab w:val="center" w:pos="4513"/>
        <w:tab w:val="right" w:pos="9026"/>
      </w:tabs>
      <w:autoSpaceDE/>
      <w:autoSpaceDN/>
      <w:adjustRightInd/>
    </w:pPr>
    <w:rPr>
      <w:rFonts w:asciiTheme="minorHAnsi" w:hAnsiTheme="minorHAnsi" w:cstheme="minorBidi"/>
      <w:sz w:val="24"/>
      <w:szCs w:val="24"/>
    </w:rPr>
  </w:style>
  <w:style w:type="character" w:customStyle="1" w:styleId="HeaderChar">
    <w:name w:val="Header Char"/>
    <w:basedOn w:val="DefaultParagraphFont"/>
    <w:link w:val="Header"/>
    <w:uiPriority w:val="99"/>
    <w:rsid w:val="00575022"/>
    <w:rPr>
      <w:sz w:val="24"/>
      <w:szCs w:val="24"/>
      <w:lang w:val="en-GB"/>
    </w:rPr>
  </w:style>
  <w:style w:type="paragraph" w:styleId="Footer">
    <w:name w:val="footer"/>
    <w:basedOn w:val="Normal"/>
    <w:link w:val="FooterChar"/>
    <w:uiPriority w:val="99"/>
    <w:unhideWhenUsed/>
    <w:rsid w:val="00575022"/>
    <w:pPr>
      <w:tabs>
        <w:tab w:val="center" w:pos="4513"/>
        <w:tab w:val="right" w:pos="9026"/>
      </w:tabs>
      <w:autoSpaceDE/>
      <w:autoSpaceDN/>
      <w:adjustRightInd/>
    </w:pPr>
    <w:rPr>
      <w:rFonts w:asciiTheme="minorHAnsi" w:hAnsiTheme="minorHAnsi" w:cstheme="minorBidi"/>
      <w:sz w:val="24"/>
      <w:szCs w:val="24"/>
    </w:rPr>
  </w:style>
  <w:style w:type="character" w:customStyle="1" w:styleId="FooterChar">
    <w:name w:val="Footer Char"/>
    <w:basedOn w:val="DefaultParagraphFont"/>
    <w:link w:val="Footer"/>
    <w:uiPriority w:val="99"/>
    <w:rsid w:val="00575022"/>
    <w:rPr>
      <w:sz w:val="24"/>
      <w:szCs w:val="24"/>
      <w:lang w:val="en-GB"/>
    </w:rPr>
  </w:style>
  <w:style w:type="character" w:styleId="PageNumber">
    <w:name w:val="page number"/>
    <w:basedOn w:val="DefaultParagraphFont"/>
    <w:uiPriority w:val="99"/>
    <w:semiHidden/>
    <w:unhideWhenUsed/>
    <w:rsid w:val="00575022"/>
  </w:style>
  <w:style w:type="paragraph" w:customStyle="1" w:styleId="xmsonormal">
    <w:name w:val="xmsonormal"/>
    <w:basedOn w:val="Normal"/>
    <w:rsid w:val="00575022"/>
    <w:pPr>
      <w:autoSpaceDE/>
      <w:autoSpaceDN/>
      <w:adjustRightInd/>
      <w:spacing w:before="100" w:beforeAutospacing="1" w:after="100" w:afterAutospacing="1"/>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75022"/>
    <w:pPr>
      <w:widowControl w:val="0"/>
      <w:adjustRightInd/>
    </w:pPr>
    <w:rPr>
      <w:rFonts w:eastAsia="Calibri"/>
      <w:b/>
      <w:bCs/>
      <w:sz w:val="24"/>
      <w:szCs w:val="24"/>
      <w:lang w:val="en-US" w:bidi="en-US"/>
    </w:rPr>
  </w:style>
  <w:style w:type="character" w:customStyle="1" w:styleId="BodyTextChar">
    <w:name w:val="Body Text Char"/>
    <w:basedOn w:val="DefaultParagraphFont"/>
    <w:link w:val="BodyText"/>
    <w:uiPriority w:val="1"/>
    <w:rsid w:val="00575022"/>
    <w:rPr>
      <w:rFonts w:ascii="Calibri" w:eastAsia="Calibri" w:hAnsi="Calibri" w:cs="Calibri"/>
      <w:b/>
      <w:bCs/>
      <w:sz w:val="24"/>
      <w:szCs w:val="24"/>
      <w:lang w:val="en-US" w:bidi="en-US"/>
    </w:rPr>
  </w:style>
  <w:style w:type="paragraph" w:customStyle="1" w:styleId="TableParagraph">
    <w:name w:val="Table Paragraph"/>
    <w:basedOn w:val="Normal"/>
    <w:uiPriority w:val="1"/>
    <w:qFormat/>
    <w:rsid w:val="00575022"/>
    <w:pPr>
      <w:widowControl w:val="0"/>
      <w:adjustRightInd/>
      <w:spacing w:line="225" w:lineRule="exact"/>
      <w:jc w:val="center"/>
    </w:pPr>
    <w:rPr>
      <w:rFonts w:eastAsia="Calibri"/>
      <w:lang w:val="en-US" w:bidi="en-US"/>
    </w:rPr>
  </w:style>
  <w:style w:type="paragraph" w:styleId="NormalWeb">
    <w:name w:val="Normal (Web)"/>
    <w:basedOn w:val="Normal"/>
    <w:uiPriority w:val="99"/>
    <w:semiHidden/>
    <w:unhideWhenUsed/>
    <w:rsid w:val="00575022"/>
    <w:pPr>
      <w:autoSpaceDE/>
      <w:autoSpaceDN/>
      <w:adjustRightInd/>
      <w:spacing w:before="100" w:beforeAutospacing="1" w:after="100" w:afterAutospacing="1"/>
    </w:pPr>
    <w:rPr>
      <w:rFonts w:ascii="Times New Roman" w:eastAsiaTheme="minorEastAsia" w:hAnsi="Times New Roman" w:cs="Times New Roman"/>
      <w:sz w:val="24"/>
      <w:szCs w:val="24"/>
      <w:lang w:eastAsia="en-GB"/>
    </w:rPr>
  </w:style>
  <w:style w:type="paragraph" w:customStyle="1" w:styleId="Default">
    <w:name w:val="Default"/>
    <w:rsid w:val="00575022"/>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LineNumber">
    <w:name w:val="line number"/>
    <w:basedOn w:val="DefaultParagraphFont"/>
    <w:uiPriority w:val="99"/>
    <w:semiHidden/>
    <w:unhideWhenUsed/>
    <w:rsid w:val="00575022"/>
  </w:style>
  <w:style w:type="character" w:customStyle="1" w:styleId="ListParagraphChar">
    <w:name w:val="List Paragraph Char"/>
    <w:basedOn w:val="DefaultParagraphFont"/>
    <w:link w:val="ListParagraph"/>
    <w:uiPriority w:val="34"/>
    <w:rsid w:val="00575022"/>
    <w:rPr>
      <w:sz w:val="24"/>
      <w:szCs w:val="24"/>
      <w:lang w:val="en-GB"/>
    </w:rPr>
  </w:style>
  <w:style w:type="character" w:styleId="Strong">
    <w:name w:val="Strong"/>
    <w:basedOn w:val="DefaultParagraphFont"/>
    <w:uiPriority w:val="22"/>
    <w:qFormat/>
    <w:rsid w:val="00854A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omas.kalincik@unimelb.edu.a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38</Pages>
  <Words>9404</Words>
  <Characters>53609</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Kalincik</dc:creator>
  <cp:keywords/>
  <dc:description/>
  <cp:lastModifiedBy>Will Brown</cp:lastModifiedBy>
  <cp:revision>3</cp:revision>
  <dcterms:created xsi:type="dcterms:W3CDTF">2018-11-26T08:23:00Z</dcterms:created>
  <dcterms:modified xsi:type="dcterms:W3CDTF">2018-11-26T08:49:00Z</dcterms:modified>
</cp:coreProperties>
</file>