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149557" w14:textId="301AF75B" w:rsidR="00F66CC0" w:rsidRPr="00B6133E" w:rsidRDefault="002A21CB" w:rsidP="00B6133E">
      <w:pPr>
        <w:pStyle w:val="Overskrift2"/>
      </w:pPr>
      <w:r w:rsidRPr="00B6133E">
        <w:t>A multiple myeloma classification system that associates normal</w:t>
      </w:r>
      <w:r w:rsidR="00DA0CBA" w:rsidRPr="00B6133E">
        <w:t xml:space="preserve"> </w:t>
      </w:r>
      <w:r w:rsidRPr="00B6133E">
        <w:t xml:space="preserve">B-cell subset phenotypes with prognosis </w:t>
      </w:r>
    </w:p>
    <w:p w14:paraId="0CB1E188" w14:textId="12567883" w:rsidR="00F66CC0" w:rsidRPr="00B6133E" w:rsidRDefault="00E96658" w:rsidP="00826CA4">
      <w:pPr>
        <w:pStyle w:val="Overskrift3"/>
        <w:rPr>
          <w:rFonts w:ascii="Times New Roman" w:hAnsi="Times New Roman" w:cs="Times New Roman"/>
        </w:rPr>
      </w:pPr>
      <w:r w:rsidRPr="00B6133E">
        <w:rPr>
          <w:rFonts w:ascii="Times New Roman" w:hAnsi="Times New Roman" w:cs="Times New Roman"/>
        </w:rPr>
        <w:t>Authors</w:t>
      </w:r>
      <w:r w:rsidR="005C7502" w:rsidRPr="00B6133E">
        <w:rPr>
          <w:rFonts w:ascii="Times New Roman" w:hAnsi="Times New Roman" w:cs="Times New Roman"/>
        </w:rPr>
        <w:t>:</w:t>
      </w:r>
      <w:r w:rsidR="001775E1" w:rsidRPr="00B6133E">
        <w:rPr>
          <w:rFonts w:ascii="Times New Roman" w:hAnsi="Times New Roman" w:cs="Times New Roman"/>
        </w:rPr>
        <w:t xml:space="preserve"> </w:t>
      </w:r>
    </w:p>
    <w:p w14:paraId="1F25D75B" w14:textId="6D4F67B9" w:rsidR="00BE59FA" w:rsidRPr="00B6133E" w:rsidRDefault="008F5373" w:rsidP="00467F4D">
      <w:pPr>
        <w:spacing w:before="0" w:after="0" w:line="480" w:lineRule="auto"/>
        <w:rPr>
          <w:rFonts w:ascii="Times New Roman" w:hAnsi="Times New Roman" w:cs="Times New Roman"/>
          <w:lang w:val="en-US"/>
        </w:rPr>
      </w:pPr>
      <w:r w:rsidRPr="00B6133E">
        <w:rPr>
          <w:rFonts w:ascii="Times New Roman" w:hAnsi="Times New Roman" w:cs="Times New Roman"/>
          <w:lang w:val="en-US"/>
        </w:rPr>
        <w:t>*</w:t>
      </w:r>
      <w:r w:rsidR="00A27ED4" w:rsidRPr="00B6133E">
        <w:rPr>
          <w:rFonts w:ascii="Times New Roman" w:hAnsi="Times New Roman" w:cs="Times New Roman"/>
          <w:lang w:val="en-US"/>
        </w:rPr>
        <w:t>Julie Støve Bødker</w:t>
      </w:r>
      <w:r w:rsidR="00A27ED4" w:rsidRPr="00B6133E">
        <w:rPr>
          <w:rFonts w:ascii="Times New Roman" w:hAnsi="Times New Roman" w:cs="Times New Roman"/>
          <w:vertAlign w:val="superscript"/>
          <w:lang w:val="en-US"/>
        </w:rPr>
        <w:t>1</w:t>
      </w:r>
      <w:r w:rsidR="00A27ED4" w:rsidRPr="00B6133E">
        <w:rPr>
          <w:rFonts w:ascii="Times New Roman" w:hAnsi="Times New Roman" w:cs="Times New Roman"/>
          <w:lang w:val="en-US"/>
        </w:rPr>
        <w:t xml:space="preserve">; </w:t>
      </w:r>
      <w:r w:rsidRPr="00B6133E">
        <w:rPr>
          <w:rFonts w:ascii="Times New Roman" w:hAnsi="Times New Roman" w:cs="Times New Roman"/>
          <w:lang w:val="en-US"/>
        </w:rPr>
        <w:t>*Rasmus Froberg Brøndum</w:t>
      </w:r>
      <w:r w:rsidRPr="00B6133E">
        <w:rPr>
          <w:rFonts w:ascii="Times New Roman" w:hAnsi="Times New Roman" w:cs="Times New Roman"/>
          <w:vertAlign w:val="superscript"/>
          <w:lang w:val="en-US"/>
        </w:rPr>
        <w:t>1</w:t>
      </w:r>
      <w:r w:rsidRPr="00B6133E">
        <w:rPr>
          <w:rFonts w:ascii="Times New Roman" w:hAnsi="Times New Roman" w:cs="Times New Roman"/>
          <w:lang w:val="en-US"/>
        </w:rPr>
        <w:t>; *</w:t>
      </w:r>
      <w:r w:rsidR="00A27ED4" w:rsidRPr="00B6133E">
        <w:rPr>
          <w:rFonts w:ascii="Times New Roman" w:hAnsi="Times New Roman" w:cs="Times New Roman"/>
          <w:lang w:val="en-US"/>
        </w:rPr>
        <w:t>Alexander Schmitz</w:t>
      </w:r>
      <w:r w:rsidR="00A27ED4" w:rsidRPr="00B6133E">
        <w:rPr>
          <w:rFonts w:ascii="Times New Roman" w:hAnsi="Times New Roman" w:cs="Times New Roman"/>
          <w:vertAlign w:val="superscript"/>
          <w:lang w:val="en-US"/>
        </w:rPr>
        <w:t>1</w:t>
      </w:r>
      <w:r w:rsidR="00A27ED4" w:rsidRPr="00B6133E">
        <w:rPr>
          <w:rFonts w:ascii="Times New Roman" w:hAnsi="Times New Roman" w:cs="Times New Roman"/>
          <w:lang w:val="en-US"/>
        </w:rPr>
        <w:t xml:space="preserve">; </w:t>
      </w:r>
      <w:r w:rsidR="0006100F" w:rsidRPr="00B6133E">
        <w:rPr>
          <w:rFonts w:ascii="Times New Roman" w:hAnsi="Times New Roman" w:cs="Times New Roman"/>
          <w:lang w:val="en-US"/>
        </w:rPr>
        <w:t>Anna Amanda Schönherz</w:t>
      </w:r>
      <w:r w:rsidR="0006100F" w:rsidRPr="00B6133E">
        <w:rPr>
          <w:rFonts w:ascii="Times New Roman" w:hAnsi="Times New Roman" w:cs="Times New Roman"/>
          <w:vertAlign w:val="superscript"/>
          <w:lang w:val="en-US"/>
        </w:rPr>
        <w:t>1</w:t>
      </w:r>
      <w:r w:rsidR="00362823" w:rsidRPr="00B6133E">
        <w:rPr>
          <w:rFonts w:ascii="Times New Roman" w:hAnsi="Times New Roman" w:cs="Times New Roman"/>
          <w:vertAlign w:val="superscript"/>
          <w:lang w:val="en-US"/>
        </w:rPr>
        <w:t>2</w:t>
      </w:r>
      <w:r w:rsidR="0006100F" w:rsidRPr="00B6133E">
        <w:rPr>
          <w:rFonts w:ascii="Times New Roman" w:hAnsi="Times New Roman" w:cs="Times New Roman"/>
          <w:lang w:val="en-US"/>
        </w:rPr>
        <w:t>;</w:t>
      </w:r>
      <w:r w:rsidR="00346F73" w:rsidRPr="00B6133E">
        <w:rPr>
          <w:rFonts w:ascii="Times New Roman" w:hAnsi="Times New Roman" w:cs="Times New Roman"/>
          <w:lang w:val="en-US"/>
        </w:rPr>
        <w:t xml:space="preserve"> Ditte Starberg Jespersen</w:t>
      </w:r>
      <w:r w:rsidR="00346F73" w:rsidRPr="00B6133E">
        <w:rPr>
          <w:rFonts w:ascii="Times New Roman" w:hAnsi="Times New Roman" w:cs="Times New Roman"/>
          <w:vertAlign w:val="superscript"/>
          <w:lang w:val="en-US"/>
        </w:rPr>
        <w:t>1</w:t>
      </w:r>
      <w:r w:rsidR="00346F73" w:rsidRPr="00B6133E">
        <w:rPr>
          <w:rFonts w:ascii="Times New Roman" w:hAnsi="Times New Roman" w:cs="Times New Roman"/>
          <w:lang w:val="en-US"/>
        </w:rPr>
        <w:t xml:space="preserve">; </w:t>
      </w:r>
      <w:r w:rsidR="00143D97" w:rsidRPr="00B6133E">
        <w:rPr>
          <w:rFonts w:ascii="Times New Roman" w:hAnsi="Times New Roman" w:cs="Times New Roman"/>
          <w:lang w:val="en-US"/>
        </w:rPr>
        <w:t>Mads Sønderkær</w:t>
      </w:r>
      <w:r w:rsidR="00143D97" w:rsidRPr="00B6133E">
        <w:rPr>
          <w:rFonts w:ascii="Times New Roman" w:hAnsi="Times New Roman" w:cs="Times New Roman"/>
          <w:vertAlign w:val="superscript"/>
          <w:lang w:val="en-US"/>
        </w:rPr>
        <w:t>1</w:t>
      </w:r>
      <w:r w:rsidR="00143D97" w:rsidRPr="00B6133E">
        <w:rPr>
          <w:rFonts w:ascii="Times New Roman" w:hAnsi="Times New Roman" w:cs="Times New Roman"/>
          <w:lang w:val="en-US"/>
        </w:rPr>
        <w:t xml:space="preserve">; </w:t>
      </w:r>
      <w:r w:rsidR="00A74217" w:rsidRPr="00B6133E">
        <w:rPr>
          <w:rFonts w:ascii="Times New Roman" w:hAnsi="Times New Roman" w:cs="Times New Roman"/>
          <w:lang w:val="en-US"/>
        </w:rPr>
        <w:t>Charles Vesteghem</w:t>
      </w:r>
      <w:r w:rsidR="00A74217" w:rsidRPr="00B6133E">
        <w:rPr>
          <w:rFonts w:ascii="Times New Roman" w:hAnsi="Times New Roman" w:cs="Times New Roman"/>
          <w:vertAlign w:val="superscript"/>
          <w:lang w:val="en-US"/>
        </w:rPr>
        <w:t>1</w:t>
      </w:r>
      <w:r w:rsidR="00362823" w:rsidRPr="00B6133E">
        <w:rPr>
          <w:rFonts w:ascii="Times New Roman" w:hAnsi="Times New Roman" w:cs="Times New Roman"/>
          <w:vertAlign w:val="superscript"/>
          <w:lang w:val="en-US"/>
        </w:rPr>
        <w:t>2</w:t>
      </w:r>
      <w:r w:rsidR="00A74217" w:rsidRPr="00B6133E">
        <w:rPr>
          <w:rFonts w:ascii="Times New Roman" w:hAnsi="Times New Roman" w:cs="Times New Roman"/>
          <w:lang w:val="en-US"/>
        </w:rPr>
        <w:t xml:space="preserve">; </w:t>
      </w:r>
      <w:r w:rsidR="0006100F" w:rsidRPr="00B6133E">
        <w:rPr>
          <w:rFonts w:ascii="Times New Roman" w:hAnsi="Times New Roman" w:cs="Times New Roman"/>
          <w:lang w:val="en-US"/>
        </w:rPr>
        <w:t>Hanne Due</w:t>
      </w:r>
      <w:r w:rsidR="0006100F" w:rsidRPr="00B6133E">
        <w:rPr>
          <w:rFonts w:ascii="Times New Roman" w:hAnsi="Times New Roman" w:cs="Times New Roman"/>
          <w:vertAlign w:val="superscript"/>
          <w:lang w:val="en-US"/>
        </w:rPr>
        <w:t>1</w:t>
      </w:r>
      <w:r w:rsidR="0006100F" w:rsidRPr="00B6133E">
        <w:rPr>
          <w:rFonts w:ascii="Times New Roman" w:hAnsi="Times New Roman" w:cs="Times New Roman"/>
          <w:lang w:val="en-US"/>
        </w:rPr>
        <w:t xml:space="preserve">; </w:t>
      </w:r>
      <w:r w:rsidR="00143D97" w:rsidRPr="00B6133E">
        <w:rPr>
          <w:rFonts w:ascii="Times New Roman" w:hAnsi="Times New Roman" w:cs="Times New Roman"/>
          <w:lang w:val="en-US"/>
        </w:rPr>
        <w:t>Caroline Holm Nørgaard</w:t>
      </w:r>
      <w:r w:rsidR="00143D97" w:rsidRPr="00B6133E">
        <w:rPr>
          <w:rFonts w:ascii="Times New Roman" w:hAnsi="Times New Roman" w:cs="Times New Roman"/>
          <w:vertAlign w:val="superscript"/>
          <w:lang w:val="en-US"/>
        </w:rPr>
        <w:t>1</w:t>
      </w:r>
      <w:r w:rsidR="00143D97" w:rsidRPr="00B6133E">
        <w:rPr>
          <w:rFonts w:ascii="Times New Roman" w:hAnsi="Times New Roman" w:cs="Times New Roman"/>
          <w:lang w:val="en-US"/>
        </w:rPr>
        <w:t xml:space="preserve">; </w:t>
      </w:r>
      <w:r w:rsidR="00A27ED4" w:rsidRPr="00B6133E">
        <w:rPr>
          <w:rFonts w:ascii="Times New Roman" w:hAnsi="Times New Roman" w:cs="Times New Roman"/>
          <w:lang w:val="en-US"/>
        </w:rPr>
        <w:t>Martin Perez-Andres</w:t>
      </w:r>
      <w:r w:rsidR="00A27ED4" w:rsidRPr="00B6133E">
        <w:rPr>
          <w:rFonts w:ascii="Times New Roman" w:hAnsi="Times New Roman" w:cs="Times New Roman"/>
          <w:vertAlign w:val="superscript"/>
          <w:lang w:val="en-US"/>
        </w:rPr>
        <w:t>1,2</w:t>
      </w:r>
      <w:r w:rsidR="00A27ED4" w:rsidRPr="00B6133E">
        <w:rPr>
          <w:rFonts w:ascii="Times New Roman" w:hAnsi="Times New Roman" w:cs="Times New Roman"/>
          <w:lang w:val="en-US"/>
        </w:rPr>
        <w:t>; Mehmet Kemal Samur</w:t>
      </w:r>
      <w:r w:rsidR="00A27ED4" w:rsidRPr="00B6133E">
        <w:rPr>
          <w:rFonts w:ascii="Times New Roman" w:hAnsi="Times New Roman" w:cs="Times New Roman"/>
          <w:vertAlign w:val="superscript"/>
          <w:lang w:val="en-US"/>
        </w:rPr>
        <w:t>3</w:t>
      </w:r>
      <w:r w:rsidR="00A27ED4" w:rsidRPr="00B6133E">
        <w:rPr>
          <w:rFonts w:ascii="Times New Roman" w:hAnsi="Times New Roman" w:cs="Times New Roman"/>
          <w:lang w:val="en-US"/>
        </w:rPr>
        <w:t>; F</w:t>
      </w:r>
      <w:bookmarkStart w:id="0" w:name="_GoBack"/>
      <w:bookmarkEnd w:id="0"/>
      <w:r w:rsidR="00A27ED4" w:rsidRPr="00B6133E">
        <w:rPr>
          <w:rFonts w:ascii="Times New Roman" w:hAnsi="Times New Roman" w:cs="Times New Roman"/>
          <w:lang w:val="en-US"/>
        </w:rPr>
        <w:t>aith Davies</w:t>
      </w:r>
      <w:r w:rsidR="00362823" w:rsidRPr="00B6133E">
        <w:rPr>
          <w:rStyle w:val="Overskrift3Tegn"/>
          <w:rFonts w:ascii="Times New Roman" w:hAnsi="Times New Roman" w:cs="Times New Roman"/>
          <w:b w:val="0"/>
          <w:vertAlign w:val="superscript"/>
        </w:rPr>
        <w:t>4</w:t>
      </w:r>
      <w:r w:rsidR="00F27672" w:rsidRPr="00B6133E">
        <w:rPr>
          <w:rFonts w:ascii="Times New Roman" w:hAnsi="Times New Roman" w:cs="Times New Roman"/>
          <w:lang w:val="en-US"/>
        </w:rPr>
        <w:t>;</w:t>
      </w:r>
      <w:r w:rsidR="00A27ED4" w:rsidRPr="00B6133E">
        <w:rPr>
          <w:rFonts w:ascii="Times New Roman" w:hAnsi="Times New Roman" w:cs="Times New Roman"/>
          <w:lang w:val="en-US"/>
        </w:rPr>
        <w:t xml:space="preserve"> </w:t>
      </w:r>
      <w:r w:rsidR="00BF0198" w:rsidRPr="00B6133E">
        <w:rPr>
          <w:rFonts w:ascii="Times New Roman" w:hAnsi="Times New Roman" w:cs="Times New Roman"/>
          <w:lang w:val="en-US"/>
        </w:rPr>
        <w:t>Brian Walker</w:t>
      </w:r>
      <w:r w:rsidR="00BF0198" w:rsidRPr="00B6133E">
        <w:rPr>
          <w:rFonts w:ascii="Times New Roman" w:hAnsi="Times New Roman" w:cs="Times New Roman"/>
          <w:vertAlign w:val="superscript"/>
          <w:lang w:val="en-US"/>
        </w:rPr>
        <w:t>4</w:t>
      </w:r>
      <w:r w:rsidR="00BF0198" w:rsidRPr="00B6133E">
        <w:rPr>
          <w:rFonts w:ascii="Times New Roman" w:hAnsi="Times New Roman" w:cs="Times New Roman"/>
          <w:lang w:val="en-US"/>
        </w:rPr>
        <w:t xml:space="preserve">; </w:t>
      </w:r>
      <w:r w:rsidR="00A27ED4" w:rsidRPr="00B6133E">
        <w:rPr>
          <w:rFonts w:ascii="Times New Roman" w:hAnsi="Times New Roman" w:cs="Times New Roman"/>
          <w:lang w:val="en-US"/>
        </w:rPr>
        <w:t>Charlotte Pawlyn</w:t>
      </w:r>
      <w:r w:rsidR="00A27ED4" w:rsidRPr="00B6133E">
        <w:rPr>
          <w:rStyle w:val="Overskrift3Tegn"/>
          <w:rFonts w:ascii="Times New Roman" w:hAnsi="Times New Roman" w:cs="Times New Roman"/>
          <w:vertAlign w:val="superscript"/>
        </w:rPr>
        <w:t>5</w:t>
      </w:r>
      <w:r w:rsidR="00F27672" w:rsidRPr="00B6133E">
        <w:rPr>
          <w:rFonts w:ascii="Times New Roman" w:hAnsi="Times New Roman" w:cs="Times New Roman"/>
          <w:lang w:val="en-US"/>
        </w:rPr>
        <w:t>;</w:t>
      </w:r>
      <w:r w:rsidR="00A27ED4" w:rsidRPr="00B6133E">
        <w:rPr>
          <w:rFonts w:ascii="Times New Roman" w:hAnsi="Times New Roman" w:cs="Times New Roman"/>
          <w:lang w:val="en-US"/>
        </w:rPr>
        <w:t xml:space="preserve"> Martin Kaiser</w:t>
      </w:r>
      <w:r w:rsidR="00A27ED4" w:rsidRPr="00B6133E">
        <w:rPr>
          <w:rStyle w:val="Overskrift3Tegn"/>
          <w:rFonts w:ascii="Times New Roman" w:hAnsi="Times New Roman" w:cs="Times New Roman"/>
          <w:vertAlign w:val="superscript"/>
        </w:rPr>
        <w:t>5</w:t>
      </w:r>
      <w:r w:rsidR="00F27672" w:rsidRPr="00B6133E">
        <w:rPr>
          <w:rFonts w:ascii="Times New Roman" w:hAnsi="Times New Roman" w:cs="Times New Roman"/>
          <w:lang w:val="en-US"/>
        </w:rPr>
        <w:t>;</w:t>
      </w:r>
      <w:r w:rsidR="00A27ED4" w:rsidRPr="00B6133E">
        <w:rPr>
          <w:rFonts w:ascii="Times New Roman" w:hAnsi="Times New Roman" w:cs="Times New Roman"/>
          <w:lang w:val="en-US"/>
        </w:rPr>
        <w:t xml:space="preserve"> David Johnson</w:t>
      </w:r>
      <w:r w:rsidR="00A27ED4" w:rsidRPr="00B6133E">
        <w:rPr>
          <w:rStyle w:val="Overskrift3Tegn"/>
          <w:rFonts w:ascii="Times New Roman" w:hAnsi="Times New Roman" w:cs="Times New Roman"/>
          <w:b w:val="0"/>
          <w:vertAlign w:val="superscript"/>
        </w:rPr>
        <w:t>5</w:t>
      </w:r>
      <w:r w:rsidR="00A27ED4" w:rsidRPr="00B6133E">
        <w:rPr>
          <w:rStyle w:val="Overskrift3Tegn"/>
          <w:rFonts w:ascii="Times New Roman" w:hAnsi="Times New Roman" w:cs="Times New Roman"/>
          <w:b w:val="0"/>
        </w:rPr>
        <w:t>; Uta Bertsch</w:t>
      </w:r>
      <w:r w:rsidR="00A27ED4" w:rsidRPr="00B6133E">
        <w:rPr>
          <w:rFonts w:ascii="Times New Roman" w:hAnsi="Times New Roman" w:cs="Times New Roman"/>
          <w:b/>
          <w:vertAlign w:val="superscript"/>
          <w:lang w:val="en-US"/>
        </w:rPr>
        <w:t>6</w:t>
      </w:r>
      <w:r w:rsidR="00A27ED4" w:rsidRPr="00B6133E">
        <w:rPr>
          <w:rFonts w:ascii="Times New Roman" w:hAnsi="Times New Roman" w:cs="Times New Roman"/>
          <w:lang w:val="en-US"/>
        </w:rPr>
        <w:t>; Annemiek Broyl</w:t>
      </w:r>
      <w:r w:rsidR="00A27ED4" w:rsidRPr="00B6133E">
        <w:rPr>
          <w:rFonts w:ascii="Times New Roman" w:hAnsi="Times New Roman" w:cs="Times New Roman"/>
          <w:vertAlign w:val="superscript"/>
          <w:lang w:val="en-US"/>
        </w:rPr>
        <w:t>7</w:t>
      </w:r>
      <w:r w:rsidR="00A27ED4" w:rsidRPr="00B6133E">
        <w:rPr>
          <w:rFonts w:ascii="Times New Roman" w:hAnsi="Times New Roman" w:cs="Times New Roman"/>
          <w:lang w:val="en-US"/>
        </w:rPr>
        <w:t>; Mark van Duin</w:t>
      </w:r>
      <w:r w:rsidR="00A27ED4" w:rsidRPr="00B6133E">
        <w:rPr>
          <w:rFonts w:ascii="Times New Roman" w:hAnsi="Times New Roman" w:cs="Times New Roman"/>
          <w:vertAlign w:val="superscript"/>
          <w:lang w:val="en-US"/>
        </w:rPr>
        <w:t>7</w:t>
      </w:r>
      <w:r w:rsidR="00A27ED4" w:rsidRPr="00B6133E">
        <w:rPr>
          <w:rFonts w:ascii="Times New Roman" w:hAnsi="Times New Roman" w:cs="Times New Roman"/>
          <w:lang w:val="en-US"/>
        </w:rPr>
        <w:t>; Rajen Shah</w:t>
      </w:r>
      <w:r w:rsidR="00A27ED4" w:rsidRPr="00B6133E">
        <w:rPr>
          <w:rFonts w:ascii="Times New Roman" w:hAnsi="Times New Roman" w:cs="Times New Roman"/>
          <w:vertAlign w:val="superscript"/>
          <w:lang w:val="en-US"/>
        </w:rPr>
        <w:t>8</w:t>
      </w:r>
      <w:r w:rsidR="00A27ED4" w:rsidRPr="00B6133E">
        <w:rPr>
          <w:rFonts w:ascii="Times New Roman" w:hAnsi="Times New Roman" w:cs="Times New Roman"/>
          <w:lang w:val="en-US"/>
        </w:rPr>
        <w:t>; Preben Johansen</w:t>
      </w:r>
      <w:r w:rsidR="00A27ED4" w:rsidRPr="00B6133E">
        <w:rPr>
          <w:rFonts w:ascii="Times New Roman" w:hAnsi="Times New Roman" w:cs="Times New Roman"/>
          <w:vertAlign w:val="superscript"/>
          <w:lang w:val="en-US"/>
        </w:rPr>
        <w:t>9</w:t>
      </w:r>
      <w:r w:rsidR="00A27ED4" w:rsidRPr="00B6133E">
        <w:rPr>
          <w:rFonts w:ascii="Times New Roman" w:hAnsi="Times New Roman" w:cs="Times New Roman"/>
          <w:lang w:val="en-US"/>
        </w:rPr>
        <w:t xml:space="preserve">; </w:t>
      </w:r>
      <w:r w:rsidR="00CD463A" w:rsidRPr="00B6133E">
        <w:rPr>
          <w:rFonts w:ascii="Times New Roman" w:hAnsi="Times New Roman" w:cs="Times New Roman"/>
          <w:lang w:val="en-US"/>
        </w:rPr>
        <w:t>Martin Agge Nørgaard</w:t>
      </w:r>
      <w:r w:rsidR="00CD463A" w:rsidRPr="00B6133E">
        <w:rPr>
          <w:rFonts w:ascii="Times New Roman" w:hAnsi="Times New Roman" w:cs="Times New Roman"/>
          <w:vertAlign w:val="superscript"/>
          <w:lang w:val="en-US"/>
        </w:rPr>
        <w:t>10</w:t>
      </w:r>
      <w:r w:rsidR="00CD463A" w:rsidRPr="00B6133E">
        <w:rPr>
          <w:rFonts w:ascii="Times New Roman" w:hAnsi="Times New Roman" w:cs="Times New Roman"/>
          <w:lang w:val="en-US"/>
        </w:rPr>
        <w:t xml:space="preserve">; </w:t>
      </w:r>
      <w:r w:rsidR="00A27ED4" w:rsidRPr="00B6133E">
        <w:rPr>
          <w:rFonts w:ascii="Times New Roman" w:hAnsi="Times New Roman" w:cs="Times New Roman"/>
          <w:lang w:val="en-US"/>
        </w:rPr>
        <w:t xml:space="preserve">Richard </w:t>
      </w:r>
      <w:r w:rsidR="006B092E">
        <w:rPr>
          <w:rFonts w:ascii="Times New Roman" w:hAnsi="Times New Roman" w:cs="Times New Roman"/>
          <w:lang w:val="en-US"/>
        </w:rPr>
        <w:t xml:space="preserve">J. </w:t>
      </w:r>
      <w:r w:rsidR="00A27ED4" w:rsidRPr="00B6133E">
        <w:rPr>
          <w:rFonts w:ascii="Times New Roman" w:hAnsi="Times New Roman" w:cs="Times New Roman"/>
          <w:lang w:val="en-US"/>
        </w:rPr>
        <w:t>Samworth</w:t>
      </w:r>
      <w:r w:rsidR="00A27ED4" w:rsidRPr="00B6133E">
        <w:rPr>
          <w:rFonts w:ascii="Times New Roman" w:hAnsi="Times New Roman" w:cs="Times New Roman"/>
          <w:vertAlign w:val="superscript"/>
          <w:lang w:val="en-US"/>
        </w:rPr>
        <w:t>8</w:t>
      </w:r>
      <w:r w:rsidR="00A27ED4" w:rsidRPr="00B6133E">
        <w:rPr>
          <w:rFonts w:ascii="Times New Roman" w:hAnsi="Times New Roman" w:cs="Times New Roman"/>
          <w:lang w:val="en-US"/>
        </w:rPr>
        <w:t>; Pieter Sonneveld</w:t>
      </w:r>
      <w:r w:rsidR="00A27ED4" w:rsidRPr="00B6133E">
        <w:rPr>
          <w:rFonts w:ascii="Times New Roman" w:hAnsi="Times New Roman" w:cs="Times New Roman"/>
          <w:vertAlign w:val="superscript"/>
          <w:lang w:val="en-US"/>
        </w:rPr>
        <w:t>7</w:t>
      </w:r>
      <w:r w:rsidR="00A27ED4" w:rsidRPr="00B6133E">
        <w:rPr>
          <w:rFonts w:ascii="Times New Roman" w:hAnsi="Times New Roman" w:cs="Times New Roman"/>
          <w:lang w:val="en-US"/>
        </w:rPr>
        <w:t>; Hartmut Goldschmidt</w:t>
      </w:r>
      <w:r w:rsidR="00A27ED4" w:rsidRPr="00B6133E">
        <w:rPr>
          <w:rFonts w:ascii="Times New Roman" w:hAnsi="Times New Roman" w:cs="Times New Roman"/>
          <w:vertAlign w:val="superscript"/>
          <w:lang w:val="en-US"/>
        </w:rPr>
        <w:t>6</w:t>
      </w:r>
      <w:r w:rsidR="00A27ED4" w:rsidRPr="00B6133E">
        <w:rPr>
          <w:rFonts w:ascii="Times New Roman" w:hAnsi="Times New Roman" w:cs="Times New Roman"/>
          <w:lang w:val="en-US"/>
        </w:rPr>
        <w:t>; Gareth J</w:t>
      </w:r>
      <w:r w:rsidR="00362823" w:rsidRPr="00B6133E">
        <w:rPr>
          <w:rFonts w:ascii="Times New Roman" w:hAnsi="Times New Roman" w:cs="Times New Roman"/>
          <w:lang w:val="en-US"/>
        </w:rPr>
        <w:t>.</w:t>
      </w:r>
      <w:r w:rsidR="00A27ED4" w:rsidRPr="00B6133E">
        <w:rPr>
          <w:rFonts w:ascii="Times New Roman" w:hAnsi="Times New Roman" w:cs="Times New Roman"/>
          <w:lang w:val="en-US"/>
        </w:rPr>
        <w:t xml:space="preserve"> Morgan</w:t>
      </w:r>
      <w:r w:rsidR="00A27ED4" w:rsidRPr="00B6133E">
        <w:rPr>
          <w:rFonts w:ascii="Times New Roman" w:hAnsi="Times New Roman" w:cs="Times New Roman"/>
          <w:vertAlign w:val="superscript"/>
          <w:lang w:val="en-US"/>
        </w:rPr>
        <w:t>4</w:t>
      </w:r>
      <w:r w:rsidR="00A27ED4" w:rsidRPr="00B6133E">
        <w:rPr>
          <w:rFonts w:ascii="Times New Roman" w:hAnsi="Times New Roman" w:cs="Times New Roman"/>
          <w:lang w:val="en-US"/>
        </w:rPr>
        <w:t>; Alberto Orfao</w:t>
      </w:r>
      <w:r w:rsidR="00A27ED4" w:rsidRPr="00B6133E">
        <w:rPr>
          <w:rFonts w:ascii="Times New Roman" w:hAnsi="Times New Roman" w:cs="Times New Roman"/>
          <w:vertAlign w:val="superscript"/>
          <w:lang w:val="en-US"/>
        </w:rPr>
        <w:t>2</w:t>
      </w:r>
      <w:r w:rsidR="00A27ED4" w:rsidRPr="00B6133E">
        <w:rPr>
          <w:rFonts w:ascii="Times New Roman" w:hAnsi="Times New Roman" w:cs="Times New Roman"/>
          <w:lang w:val="en-US"/>
        </w:rPr>
        <w:t>; Nikhil Munshi</w:t>
      </w:r>
      <w:r w:rsidR="00A27ED4" w:rsidRPr="00B6133E">
        <w:rPr>
          <w:rFonts w:ascii="Times New Roman" w:hAnsi="Times New Roman" w:cs="Times New Roman"/>
          <w:vertAlign w:val="superscript"/>
          <w:lang w:val="en-US"/>
        </w:rPr>
        <w:t>3</w:t>
      </w:r>
      <w:r w:rsidR="00A27ED4" w:rsidRPr="00B6133E">
        <w:rPr>
          <w:rFonts w:ascii="Times New Roman" w:hAnsi="Times New Roman" w:cs="Times New Roman"/>
          <w:lang w:val="en-US"/>
        </w:rPr>
        <w:t>;</w:t>
      </w:r>
      <w:r w:rsidR="007026D6" w:rsidRPr="00B6133E">
        <w:rPr>
          <w:rFonts w:ascii="Times New Roman" w:hAnsi="Times New Roman" w:cs="Times New Roman"/>
          <w:lang w:val="en-US"/>
        </w:rPr>
        <w:t xml:space="preserve"> Tarec El-Galaly</w:t>
      </w:r>
      <w:r w:rsidR="007026D6" w:rsidRPr="00B6133E">
        <w:rPr>
          <w:rFonts w:ascii="Times New Roman" w:hAnsi="Times New Roman" w:cs="Times New Roman"/>
          <w:vertAlign w:val="superscript"/>
          <w:lang w:val="en-US"/>
        </w:rPr>
        <w:t>1,1</w:t>
      </w:r>
      <w:r w:rsidR="00CD463A" w:rsidRPr="00B6133E">
        <w:rPr>
          <w:rFonts w:ascii="Times New Roman" w:hAnsi="Times New Roman" w:cs="Times New Roman"/>
          <w:vertAlign w:val="superscript"/>
          <w:lang w:val="en-US"/>
        </w:rPr>
        <w:t>1</w:t>
      </w:r>
      <w:r w:rsidR="00362823" w:rsidRPr="00B6133E">
        <w:rPr>
          <w:rFonts w:ascii="Times New Roman" w:hAnsi="Times New Roman" w:cs="Times New Roman"/>
          <w:vertAlign w:val="superscript"/>
          <w:lang w:val="en-US"/>
        </w:rPr>
        <w:t>,12</w:t>
      </w:r>
      <w:r w:rsidR="007026D6" w:rsidRPr="00B6133E">
        <w:rPr>
          <w:rFonts w:ascii="Times New Roman" w:hAnsi="Times New Roman" w:cs="Times New Roman"/>
          <w:lang w:val="en-US"/>
        </w:rPr>
        <w:t>;</w:t>
      </w:r>
      <w:r w:rsidR="001775E1" w:rsidRPr="00B6133E">
        <w:rPr>
          <w:rFonts w:ascii="Times New Roman" w:hAnsi="Times New Roman" w:cs="Times New Roman"/>
          <w:lang w:val="en-US"/>
        </w:rPr>
        <w:t xml:space="preserve"> </w:t>
      </w:r>
      <w:r w:rsidR="00A27ED4" w:rsidRPr="00B6133E">
        <w:rPr>
          <w:rFonts w:ascii="Times New Roman" w:hAnsi="Times New Roman" w:cs="Times New Roman"/>
          <w:lang w:val="en-US"/>
        </w:rPr>
        <w:t>*</w:t>
      </w:r>
      <w:r w:rsidRPr="00B6133E">
        <w:rPr>
          <w:rFonts w:ascii="Times New Roman" w:hAnsi="Times New Roman" w:cs="Times New Roman"/>
          <w:lang w:val="en-US"/>
        </w:rPr>
        <w:t>*</w:t>
      </w:r>
      <w:r w:rsidR="00A27ED4" w:rsidRPr="00B6133E">
        <w:rPr>
          <w:rFonts w:ascii="Times New Roman" w:hAnsi="Times New Roman" w:cs="Times New Roman"/>
          <w:lang w:val="en-US"/>
        </w:rPr>
        <w:t>Karen Dybkær</w:t>
      </w:r>
      <w:r w:rsidR="00A27ED4" w:rsidRPr="00B6133E">
        <w:rPr>
          <w:rFonts w:ascii="Times New Roman" w:hAnsi="Times New Roman" w:cs="Times New Roman"/>
          <w:vertAlign w:val="superscript"/>
          <w:lang w:val="en-US"/>
        </w:rPr>
        <w:t>1,1</w:t>
      </w:r>
      <w:r w:rsidR="00CD463A" w:rsidRPr="00B6133E">
        <w:rPr>
          <w:rFonts w:ascii="Times New Roman" w:hAnsi="Times New Roman" w:cs="Times New Roman"/>
          <w:vertAlign w:val="superscript"/>
          <w:lang w:val="en-US"/>
        </w:rPr>
        <w:t>1</w:t>
      </w:r>
      <w:r w:rsidR="00362823" w:rsidRPr="00B6133E">
        <w:rPr>
          <w:rFonts w:ascii="Times New Roman" w:hAnsi="Times New Roman" w:cs="Times New Roman"/>
          <w:vertAlign w:val="superscript"/>
          <w:lang w:val="en-US"/>
        </w:rPr>
        <w:t>,12</w:t>
      </w:r>
      <w:r w:rsidR="00F27672" w:rsidRPr="00B6133E">
        <w:rPr>
          <w:rFonts w:ascii="Times New Roman" w:hAnsi="Times New Roman" w:cs="Times New Roman"/>
          <w:lang w:val="en-US"/>
        </w:rPr>
        <w:t>;</w:t>
      </w:r>
      <w:r w:rsidR="00A27ED4" w:rsidRPr="00B6133E">
        <w:rPr>
          <w:rFonts w:ascii="Times New Roman" w:hAnsi="Times New Roman" w:cs="Times New Roman"/>
          <w:lang w:val="en-US"/>
        </w:rPr>
        <w:t xml:space="preserve"> and</w:t>
      </w:r>
      <w:r w:rsidR="001775E1" w:rsidRPr="00B6133E">
        <w:rPr>
          <w:rFonts w:ascii="Times New Roman" w:hAnsi="Times New Roman" w:cs="Times New Roman"/>
          <w:lang w:val="en-US"/>
        </w:rPr>
        <w:t xml:space="preserve"> </w:t>
      </w:r>
      <w:r w:rsidR="00A27ED4" w:rsidRPr="00B6133E">
        <w:rPr>
          <w:rFonts w:ascii="Times New Roman" w:hAnsi="Times New Roman" w:cs="Times New Roman"/>
          <w:lang w:val="en-US"/>
        </w:rPr>
        <w:t>*</w:t>
      </w:r>
      <w:r w:rsidRPr="00B6133E">
        <w:rPr>
          <w:rFonts w:ascii="Times New Roman" w:hAnsi="Times New Roman" w:cs="Times New Roman"/>
          <w:lang w:val="en-US"/>
        </w:rPr>
        <w:t>*</w:t>
      </w:r>
      <w:r w:rsidR="00A27ED4" w:rsidRPr="00B6133E">
        <w:rPr>
          <w:rFonts w:ascii="Times New Roman" w:hAnsi="Times New Roman" w:cs="Times New Roman"/>
          <w:lang w:val="en-US"/>
        </w:rPr>
        <w:t>Martin Bøgsted</w:t>
      </w:r>
      <w:r w:rsidR="00A27ED4" w:rsidRPr="00B6133E">
        <w:rPr>
          <w:rFonts w:ascii="Times New Roman" w:hAnsi="Times New Roman" w:cs="Times New Roman"/>
          <w:vertAlign w:val="superscript"/>
          <w:lang w:val="en-US"/>
        </w:rPr>
        <w:t>1,1</w:t>
      </w:r>
      <w:r w:rsidR="00CD463A" w:rsidRPr="00B6133E">
        <w:rPr>
          <w:rFonts w:ascii="Times New Roman" w:hAnsi="Times New Roman" w:cs="Times New Roman"/>
          <w:vertAlign w:val="superscript"/>
          <w:lang w:val="en-US"/>
        </w:rPr>
        <w:t>1</w:t>
      </w:r>
      <w:r w:rsidR="00362823" w:rsidRPr="00B6133E">
        <w:rPr>
          <w:rFonts w:ascii="Times New Roman" w:hAnsi="Times New Roman" w:cs="Times New Roman"/>
          <w:vertAlign w:val="superscript"/>
          <w:lang w:val="en-US"/>
        </w:rPr>
        <w:t>,12</w:t>
      </w:r>
      <w:r w:rsidR="001775E1" w:rsidRPr="00B6133E">
        <w:rPr>
          <w:rFonts w:ascii="Times New Roman" w:hAnsi="Times New Roman" w:cs="Times New Roman"/>
          <w:lang w:val="en-US"/>
        </w:rPr>
        <w:t xml:space="preserve"> </w:t>
      </w:r>
      <w:r w:rsidRPr="00B6133E">
        <w:rPr>
          <w:rFonts w:ascii="Times New Roman" w:hAnsi="Times New Roman" w:cs="Times New Roman"/>
          <w:lang w:val="en-US"/>
        </w:rPr>
        <w:t xml:space="preserve">*Shared first authorship </w:t>
      </w:r>
      <w:r w:rsidR="00A27ED4" w:rsidRPr="00B6133E">
        <w:rPr>
          <w:rFonts w:ascii="Times New Roman" w:hAnsi="Times New Roman" w:cs="Times New Roman"/>
          <w:lang w:val="en-US"/>
        </w:rPr>
        <w:t>*</w:t>
      </w:r>
      <w:r w:rsidRPr="00B6133E">
        <w:rPr>
          <w:rFonts w:ascii="Times New Roman" w:hAnsi="Times New Roman" w:cs="Times New Roman"/>
          <w:lang w:val="en-US"/>
        </w:rPr>
        <w:t>*</w:t>
      </w:r>
      <w:r w:rsidR="00A27ED4" w:rsidRPr="00B6133E">
        <w:rPr>
          <w:rFonts w:ascii="Times New Roman" w:hAnsi="Times New Roman" w:cs="Times New Roman"/>
          <w:lang w:val="en-US"/>
        </w:rPr>
        <w:t>Shared senior authorship.</w:t>
      </w:r>
      <w:r w:rsidR="00F27672" w:rsidRPr="00B6133E">
        <w:rPr>
          <w:rFonts w:ascii="Times New Roman" w:hAnsi="Times New Roman" w:cs="Times New Roman"/>
          <w:lang w:val="en-US"/>
        </w:rPr>
        <w:t xml:space="preserve"> </w:t>
      </w:r>
    </w:p>
    <w:p w14:paraId="09C37356" w14:textId="77777777" w:rsidR="00F66CC0" w:rsidRPr="00B6133E" w:rsidRDefault="0043281F" w:rsidP="00826CA4">
      <w:pPr>
        <w:pStyle w:val="Overskrift3"/>
        <w:rPr>
          <w:rFonts w:ascii="Times New Roman" w:hAnsi="Times New Roman" w:cs="Times New Roman"/>
        </w:rPr>
      </w:pPr>
      <w:r w:rsidRPr="00B6133E">
        <w:rPr>
          <w:rFonts w:ascii="Times New Roman" w:hAnsi="Times New Roman" w:cs="Times New Roman"/>
        </w:rPr>
        <w:t>Affiliation</w:t>
      </w:r>
      <w:r w:rsidR="00311E26" w:rsidRPr="00B6133E">
        <w:rPr>
          <w:rFonts w:ascii="Times New Roman" w:hAnsi="Times New Roman" w:cs="Times New Roman"/>
        </w:rPr>
        <w:t>s</w:t>
      </w:r>
      <w:r w:rsidR="005C7502" w:rsidRPr="00B6133E">
        <w:rPr>
          <w:rFonts w:ascii="Times New Roman" w:hAnsi="Times New Roman" w:cs="Times New Roman"/>
        </w:rPr>
        <w:t>:</w:t>
      </w:r>
      <w:r w:rsidR="00D872DE" w:rsidRPr="00B6133E">
        <w:rPr>
          <w:rFonts w:ascii="Times New Roman" w:hAnsi="Times New Roman" w:cs="Times New Roman"/>
        </w:rPr>
        <w:t xml:space="preserve"> </w:t>
      </w:r>
    </w:p>
    <w:p w14:paraId="2A2C6357" w14:textId="068EA363" w:rsidR="008C74AF" w:rsidRPr="00B6133E" w:rsidRDefault="00A27ED4" w:rsidP="003D7F39">
      <w:pPr>
        <w:spacing w:before="0" w:after="0" w:line="480" w:lineRule="auto"/>
        <w:rPr>
          <w:rFonts w:ascii="Times New Roman" w:hAnsi="Times New Roman" w:cs="Times New Roman"/>
          <w:lang w:val="en-US"/>
        </w:rPr>
      </w:pPr>
      <w:r w:rsidRPr="00B6133E">
        <w:rPr>
          <w:rFonts w:ascii="Times New Roman" w:hAnsi="Times New Roman" w:cs="Times New Roman"/>
          <w:vertAlign w:val="superscript"/>
          <w:lang w:val="en-US"/>
        </w:rPr>
        <w:t>1</w:t>
      </w:r>
      <w:r w:rsidRPr="00B6133E">
        <w:rPr>
          <w:rFonts w:ascii="Times New Roman" w:hAnsi="Times New Roman" w:cs="Times New Roman"/>
          <w:lang w:val="en-US"/>
        </w:rPr>
        <w:t xml:space="preserve">Department of </w:t>
      </w:r>
      <w:proofErr w:type="spellStart"/>
      <w:r w:rsidRPr="00B6133E">
        <w:rPr>
          <w:rFonts w:ascii="Times New Roman" w:hAnsi="Times New Roman" w:cs="Times New Roman"/>
          <w:lang w:val="en-US"/>
        </w:rPr>
        <w:t>H</w:t>
      </w:r>
      <w:r w:rsidR="00362823" w:rsidRPr="00B6133E">
        <w:rPr>
          <w:rFonts w:ascii="Times New Roman" w:hAnsi="Times New Roman" w:cs="Times New Roman"/>
          <w:lang w:val="en-US"/>
        </w:rPr>
        <w:t>a</w:t>
      </w:r>
      <w:r w:rsidRPr="00B6133E">
        <w:rPr>
          <w:rFonts w:ascii="Times New Roman" w:hAnsi="Times New Roman" w:cs="Times New Roman"/>
          <w:lang w:val="en-US"/>
        </w:rPr>
        <w:t>ematology</w:t>
      </w:r>
      <w:proofErr w:type="spellEnd"/>
      <w:r w:rsidRPr="00B6133E">
        <w:rPr>
          <w:rFonts w:ascii="Times New Roman" w:hAnsi="Times New Roman" w:cs="Times New Roman"/>
          <w:lang w:val="en-US"/>
        </w:rPr>
        <w:t xml:space="preserve">, Aalborg University Hospital, </w:t>
      </w:r>
      <w:r w:rsidR="00362823" w:rsidRPr="00B6133E">
        <w:rPr>
          <w:rFonts w:ascii="Times New Roman" w:hAnsi="Times New Roman" w:cs="Times New Roman"/>
          <w:lang w:val="en-US"/>
        </w:rPr>
        <w:t xml:space="preserve">Aalborg, </w:t>
      </w:r>
      <w:r w:rsidRPr="00B6133E">
        <w:rPr>
          <w:rFonts w:ascii="Times New Roman" w:hAnsi="Times New Roman" w:cs="Times New Roman"/>
          <w:lang w:val="en-US"/>
        </w:rPr>
        <w:t>Denmark</w:t>
      </w:r>
      <w:r w:rsidR="00F27672" w:rsidRPr="00B6133E">
        <w:rPr>
          <w:rFonts w:ascii="Times New Roman" w:hAnsi="Times New Roman" w:cs="Times New Roman"/>
          <w:lang w:val="en-US"/>
        </w:rPr>
        <w:t>;</w:t>
      </w:r>
      <w:r w:rsidRPr="00B6133E">
        <w:rPr>
          <w:rFonts w:ascii="Times New Roman" w:hAnsi="Times New Roman" w:cs="Times New Roman"/>
          <w:vertAlign w:val="superscript"/>
          <w:lang w:val="en-US"/>
        </w:rPr>
        <w:t xml:space="preserve"> 2</w:t>
      </w:r>
      <w:r w:rsidR="00220F14" w:rsidRPr="00B6133E">
        <w:rPr>
          <w:rFonts w:ascii="Times New Roman" w:hAnsi="Times New Roman" w:cs="Times New Roman"/>
          <w:lang w:val="en-US"/>
        </w:rPr>
        <w:t>Institute of Biomedical Research of Salamanca, University</w:t>
      </w:r>
      <w:r w:rsidR="00CD463A" w:rsidRPr="00B6133E">
        <w:rPr>
          <w:rFonts w:ascii="Times New Roman" w:hAnsi="Times New Roman" w:cs="Times New Roman"/>
          <w:lang w:val="en-US"/>
        </w:rPr>
        <w:t xml:space="preserve"> of Salamanca, Salamanca, Spain</w:t>
      </w:r>
      <w:r w:rsidRPr="00B6133E">
        <w:rPr>
          <w:rFonts w:ascii="Times New Roman" w:hAnsi="Times New Roman" w:cs="Times New Roman"/>
          <w:lang w:val="en-US"/>
        </w:rPr>
        <w:t xml:space="preserve">; Dana Farber Cancer Institute, Harvard Medical School, Boston, </w:t>
      </w:r>
      <w:r w:rsidR="00362823" w:rsidRPr="00B6133E">
        <w:rPr>
          <w:rFonts w:ascii="Times New Roman" w:hAnsi="Times New Roman" w:cs="Times New Roman"/>
          <w:lang w:val="en-US"/>
        </w:rPr>
        <w:t>Massachusetts</w:t>
      </w:r>
      <w:r w:rsidRPr="00B6133E">
        <w:rPr>
          <w:rFonts w:ascii="Times New Roman" w:hAnsi="Times New Roman" w:cs="Times New Roman"/>
          <w:lang w:val="en-US"/>
        </w:rPr>
        <w:t>, USA;</w:t>
      </w:r>
      <w:r w:rsidRPr="00B6133E">
        <w:rPr>
          <w:rStyle w:val="Overskrift3Tegn"/>
          <w:rFonts w:ascii="Times New Roman" w:hAnsi="Times New Roman" w:cs="Times New Roman"/>
          <w:lang w:val="en-GB"/>
        </w:rPr>
        <w:t xml:space="preserve"> </w:t>
      </w:r>
      <w:r w:rsidRPr="00B6133E">
        <w:rPr>
          <w:rStyle w:val="Overskrift3Tegn"/>
          <w:rFonts w:ascii="Times New Roman" w:hAnsi="Times New Roman" w:cs="Times New Roman"/>
          <w:b w:val="0"/>
          <w:vertAlign w:val="superscript"/>
          <w:lang w:val="en-GB"/>
        </w:rPr>
        <w:t>4</w:t>
      </w:r>
      <w:r w:rsidR="00362823" w:rsidRPr="00B6133E">
        <w:rPr>
          <w:rStyle w:val="Overskrift3Tegn"/>
          <w:rFonts w:ascii="Times New Roman" w:hAnsi="Times New Roman" w:cs="Times New Roman"/>
          <w:b w:val="0"/>
          <w:lang w:val="en-GB"/>
        </w:rPr>
        <w:t>UAMS M</w:t>
      </w:r>
      <w:r w:rsidRPr="00B6133E">
        <w:rPr>
          <w:rStyle w:val="Overskrift3Tegn"/>
          <w:rFonts w:ascii="Times New Roman" w:hAnsi="Times New Roman" w:cs="Times New Roman"/>
          <w:b w:val="0"/>
          <w:lang w:val="en-GB"/>
        </w:rPr>
        <w:t xml:space="preserve">yeloma Institute, University of Arkansas for Medical Sciences, Little Rock, Arkansas, USA; </w:t>
      </w:r>
      <w:r w:rsidRPr="00B6133E">
        <w:rPr>
          <w:rStyle w:val="Overskrift3Tegn"/>
          <w:rFonts w:ascii="Times New Roman" w:hAnsi="Times New Roman" w:cs="Times New Roman"/>
          <w:b w:val="0"/>
          <w:vertAlign w:val="superscript"/>
          <w:lang w:val="en-GB"/>
        </w:rPr>
        <w:t>5</w:t>
      </w:r>
      <w:r w:rsidRPr="00B6133E">
        <w:rPr>
          <w:rStyle w:val="Overskrift3Tegn"/>
          <w:rFonts w:ascii="Times New Roman" w:hAnsi="Times New Roman" w:cs="Times New Roman"/>
          <w:b w:val="0"/>
          <w:lang w:val="en-GB"/>
        </w:rPr>
        <w:t xml:space="preserve">Division of Molecular Pathology, Institute of Cancer Research, London, United Kingdom; </w:t>
      </w:r>
      <w:r w:rsidRPr="00B6133E">
        <w:rPr>
          <w:rStyle w:val="Overskrift3Tegn"/>
          <w:rFonts w:ascii="Times New Roman" w:hAnsi="Times New Roman" w:cs="Times New Roman"/>
          <w:b w:val="0"/>
          <w:vertAlign w:val="superscript"/>
          <w:lang w:val="en-GB"/>
        </w:rPr>
        <w:t>6</w:t>
      </w:r>
      <w:r w:rsidRPr="00B6133E">
        <w:rPr>
          <w:rStyle w:val="Overskrift3Tegn"/>
          <w:rFonts w:ascii="Times New Roman" w:hAnsi="Times New Roman" w:cs="Times New Roman"/>
          <w:b w:val="0"/>
          <w:lang w:val="en-GB"/>
        </w:rPr>
        <w:t xml:space="preserve">National </w:t>
      </w:r>
      <w:proofErr w:type="spellStart"/>
      <w:r w:rsidRPr="00B6133E">
        <w:rPr>
          <w:rStyle w:val="Overskrift3Tegn"/>
          <w:rFonts w:ascii="Times New Roman" w:hAnsi="Times New Roman" w:cs="Times New Roman"/>
          <w:b w:val="0"/>
          <w:lang w:val="en-GB"/>
        </w:rPr>
        <w:t>Center</w:t>
      </w:r>
      <w:proofErr w:type="spellEnd"/>
      <w:r w:rsidRPr="00B6133E">
        <w:rPr>
          <w:rStyle w:val="Overskrift3Tegn"/>
          <w:rFonts w:ascii="Times New Roman" w:hAnsi="Times New Roman" w:cs="Times New Roman"/>
          <w:b w:val="0"/>
          <w:lang w:val="en-GB"/>
        </w:rPr>
        <w:t xml:space="preserve"> for </w:t>
      </w:r>
      <w:proofErr w:type="spellStart"/>
      <w:r w:rsidRPr="00B6133E">
        <w:rPr>
          <w:rStyle w:val="Overskrift3Tegn"/>
          <w:rFonts w:ascii="Times New Roman" w:hAnsi="Times New Roman" w:cs="Times New Roman"/>
          <w:b w:val="0"/>
          <w:lang w:val="en-GB"/>
        </w:rPr>
        <w:t>Tumor</w:t>
      </w:r>
      <w:proofErr w:type="spellEnd"/>
      <w:r w:rsidRPr="00B6133E">
        <w:rPr>
          <w:rStyle w:val="Overskrift3Tegn"/>
          <w:rFonts w:ascii="Times New Roman" w:hAnsi="Times New Roman" w:cs="Times New Roman"/>
          <w:b w:val="0"/>
          <w:lang w:val="en-GB"/>
        </w:rPr>
        <w:t xml:space="preserve"> Diseases, University of Heidelberg, Heidelberg, Germany</w:t>
      </w:r>
      <w:r w:rsidR="00F27672" w:rsidRPr="00B6133E">
        <w:rPr>
          <w:rFonts w:ascii="Times New Roman" w:hAnsi="Times New Roman" w:cs="Times New Roman"/>
          <w:b/>
          <w:lang w:val="en-US"/>
        </w:rPr>
        <w:t>;</w:t>
      </w:r>
      <w:r w:rsidRPr="00B6133E">
        <w:rPr>
          <w:rFonts w:ascii="Times New Roman" w:hAnsi="Times New Roman" w:cs="Times New Roman"/>
          <w:b/>
          <w:lang w:val="en-US"/>
        </w:rPr>
        <w:t xml:space="preserve"> </w:t>
      </w:r>
      <w:r w:rsidRPr="00B6133E">
        <w:rPr>
          <w:rFonts w:ascii="Times New Roman" w:hAnsi="Times New Roman" w:cs="Times New Roman"/>
          <w:vertAlign w:val="superscript"/>
          <w:lang w:val="en-US"/>
        </w:rPr>
        <w:t>7</w:t>
      </w:r>
      <w:r w:rsidRPr="00B6133E">
        <w:rPr>
          <w:rFonts w:ascii="Times New Roman" w:hAnsi="Times New Roman" w:cs="Times New Roman"/>
          <w:lang w:val="en-US"/>
        </w:rPr>
        <w:t xml:space="preserve">Department of </w:t>
      </w:r>
      <w:proofErr w:type="spellStart"/>
      <w:r w:rsidRPr="00B6133E">
        <w:rPr>
          <w:rFonts w:ascii="Times New Roman" w:hAnsi="Times New Roman" w:cs="Times New Roman"/>
          <w:lang w:val="en-US"/>
        </w:rPr>
        <w:t>H</w:t>
      </w:r>
      <w:r w:rsidR="00362823" w:rsidRPr="00B6133E">
        <w:rPr>
          <w:rFonts w:ascii="Times New Roman" w:hAnsi="Times New Roman" w:cs="Times New Roman"/>
          <w:lang w:val="en-US"/>
        </w:rPr>
        <w:t>a</w:t>
      </w:r>
      <w:r w:rsidRPr="00B6133E">
        <w:rPr>
          <w:rFonts w:ascii="Times New Roman" w:hAnsi="Times New Roman" w:cs="Times New Roman"/>
          <w:lang w:val="en-US"/>
        </w:rPr>
        <w:t>ematology</w:t>
      </w:r>
      <w:proofErr w:type="spellEnd"/>
      <w:r w:rsidRPr="00B6133E">
        <w:rPr>
          <w:rFonts w:ascii="Times New Roman" w:hAnsi="Times New Roman" w:cs="Times New Roman"/>
          <w:lang w:val="en-US"/>
        </w:rPr>
        <w:t xml:space="preserve">, Erasmus MC, Rotterdam, Netherlands; </w:t>
      </w:r>
      <w:r w:rsidRPr="00B6133E">
        <w:rPr>
          <w:rFonts w:ascii="Times New Roman" w:hAnsi="Times New Roman" w:cs="Times New Roman"/>
          <w:vertAlign w:val="superscript"/>
          <w:lang w:val="en-US"/>
        </w:rPr>
        <w:t>8</w:t>
      </w:r>
      <w:r w:rsidRPr="00B6133E">
        <w:rPr>
          <w:rFonts w:ascii="Times New Roman" w:hAnsi="Times New Roman" w:cs="Times New Roman"/>
          <w:lang w:val="en-US"/>
        </w:rPr>
        <w:t xml:space="preserve">Centre for Mathematical Sciences, University of Cambridge, </w:t>
      </w:r>
      <w:r w:rsidR="00362823" w:rsidRPr="00B6133E">
        <w:rPr>
          <w:rFonts w:ascii="Times New Roman" w:hAnsi="Times New Roman" w:cs="Times New Roman"/>
          <w:lang w:val="en-US"/>
        </w:rPr>
        <w:t xml:space="preserve">Cambridge, </w:t>
      </w:r>
      <w:r w:rsidRPr="00B6133E">
        <w:rPr>
          <w:rFonts w:ascii="Times New Roman" w:hAnsi="Times New Roman" w:cs="Times New Roman"/>
          <w:lang w:val="en-US"/>
        </w:rPr>
        <w:t xml:space="preserve">United Kingdom; </w:t>
      </w:r>
      <w:r w:rsidRPr="00B6133E">
        <w:rPr>
          <w:rFonts w:ascii="Times New Roman" w:hAnsi="Times New Roman" w:cs="Times New Roman"/>
          <w:vertAlign w:val="superscript"/>
          <w:lang w:val="en-US"/>
        </w:rPr>
        <w:t>9</w:t>
      </w:r>
      <w:r w:rsidRPr="00B6133E">
        <w:rPr>
          <w:rFonts w:ascii="Times New Roman" w:hAnsi="Times New Roman" w:cs="Times New Roman"/>
          <w:lang w:val="en-US"/>
        </w:rPr>
        <w:t xml:space="preserve">Department of </w:t>
      </w:r>
      <w:proofErr w:type="spellStart"/>
      <w:r w:rsidR="00280E88" w:rsidRPr="00B6133E">
        <w:rPr>
          <w:rFonts w:ascii="Times New Roman" w:hAnsi="Times New Roman" w:cs="Times New Roman"/>
          <w:lang w:val="en-US"/>
        </w:rPr>
        <w:t>Haematopathology</w:t>
      </w:r>
      <w:proofErr w:type="spellEnd"/>
      <w:r w:rsidRPr="00B6133E">
        <w:rPr>
          <w:rFonts w:ascii="Times New Roman" w:hAnsi="Times New Roman" w:cs="Times New Roman"/>
          <w:lang w:val="en-US"/>
        </w:rPr>
        <w:t xml:space="preserve">, Aalborg University Hospital, </w:t>
      </w:r>
      <w:r w:rsidR="00362823" w:rsidRPr="00B6133E">
        <w:rPr>
          <w:rFonts w:ascii="Times New Roman" w:hAnsi="Times New Roman" w:cs="Times New Roman"/>
          <w:lang w:val="en-US"/>
        </w:rPr>
        <w:t xml:space="preserve">Aalborg, </w:t>
      </w:r>
      <w:r w:rsidRPr="00B6133E">
        <w:rPr>
          <w:rFonts w:ascii="Times New Roman" w:hAnsi="Times New Roman" w:cs="Times New Roman"/>
          <w:lang w:val="en-US"/>
        </w:rPr>
        <w:t>Denmark;</w:t>
      </w:r>
      <w:r w:rsidR="00CD463A" w:rsidRPr="00B6133E">
        <w:rPr>
          <w:rFonts w:ascii="Times New Roman" w:hAnsi="Times New Roman" w:cs="Times New Roman"/>
          <w:lang w:val="en-US"/>
        </w:rPr>
        <w:t xml:space="preserve"> </w:t>
      </w:r>
      <w:r w:rsidR="00CD463A" w:rsidRPr="00B6133E">
        <w:rPr>
          <w:rFonts w:ascii="Times New Roman" w:hAnsi="Times New Roman" w:cs="Times New Roman"/>
          <w:vertAlign w:val="superscript"/>
          <w:lang w:val="en-US"/>
        </w:rPr>
        <w:t>10</w:t>
      </w:r>
      <w:r w:rsidR="00CD463A" w:rsidRPr="00B6133E">
        <w:rPr>
          <w:rFonts w:ascii="Times New Roman" w:hAnsi="Times New Roman" w:cs="Times New Roman"/>
          <w:lang w:val="en-US"/>
        </w:rPr>
        <w:t>Department of Cardiothoracic Surgery, Aalborg University Hospital, Denmark;</w:t>
      </w:r>
      <w:r w:rsidR="00CD463A" w:rsidRPr="00B6133E">
        <w:rPr>
          <w:rFonts w:ascii="Times New Roman" w:hAnsi="Times New Roman" w:cs="Times New Roman"/>
          <w:vertAlign w:val="superscript"/>
          <w:lang w:val="en-US"/>
        </w:rPr>
        <w:t xml:space="preserve"> </w:t>
      </w:r>
      <w:r w:rsidRPr="00B6133E">
        <w:rPr>
          <w:rFonts w:ascii="Times New Roman" w:hAnsi="Times New Roman" w:cs="Times New Roman"/>
          <w:vertAlign w:val="superscript"/>
          <w:lang w:val="en-US"/>
        </w:rPr>
        <w:t>1</w:t>
      </w:r>
      <w:r w:rsidR="00CD463A" w:rsidRPr="00B6133E">
        <w:rPr>
          <w:rFonts w:ascii="Times New Roman" w:hAnsi="Times New Roman" w:cs="Times New Roman"/>
          <w:vertAlign w:val="superscript"/>
          <w:lang w:val="en-US"/>
        </w:rPr>
        <w:t>1</w:t>
      </w:r>
      <w:r w:rsidRPr="00B6133E">
        <w:rPr>
          <w:rFonts w:ascii="Times New Roman" w:hAnsi="Times New Roman" w:cs="Times New Roman"/>
          <w:lang w:val="en-US"/>
        </w:rPr>
        <w:t xml:space="preserve">Clinical Cancer Research Center, Aalborg University Hospital, </w:t>
      </w:r>
      <w:r w:rsidR="00362823" w:rsidRPr="00B6133E">
        <w:rPr>
          <w:rFonts w:ascii="Times New Roman" w:hAnsi="Times New Roman" w:cs="Times New Roman"/>
          <w:lang w:val="en-US"/>
        </w:rPr>
        <w:t xml:space="preserve">Aalborg, </w:t>
      </w:r>
      <w:r w:rsidRPr="00B6133E">
        <w:rPr>
          <w:rFonts w:ascii="Times New Roman" w:hAnsi="Times New Roman" w:cs="Times New Roman"/>
          <w:lang w:val="en-US"/>
        </w:rPr>
        <w:t>Denmark</w:t>
      </w:r>
      <w:r w:rsidR="00362823" w:rsidRPr="00B6133E">
        <w:rPr>
          <w:rFonts w:ascii="Times New Roman" w:hAnsi="Times New Roman" w:cs="Times New Roman"/>
          <w:lang w:val="en-US"/>
        </w:rPr>
        <w:t>,</w:t>
      </w:r>
      <w:r w:rsidRPr="00B6133E">
        <w:rPr>
          <w:rFonts w:ascii="Times New Roman" w:hAnsi="Times New Roman" w:cs="Times New Roman"/>
          <w:lang w:val="en-US"/>
        </w:rPr>
        <w:t xml:space="preserve"> </w:t>
      </w:r>
      <w:r w:rsidR="00362823" w:rsidRPr="00B6133E">
        <w:rPr>
          <w:rFonts w:ascii="Times New Roman" w:hAnsi="Times New Roman" w:cs="Times New Roman"/>
          <w:lang w:val="en-US"/>
        </w:rPr>
        <w:t xml:space="preserve"> </w:t>
      </w:r>
      <w:r w:rsidR="00362823" w:rsidRPr="00B6133E">
        <w:rPr>
          <w:rFonts w:ascii="Times New Roman" w:hAnsi="Times New Roman" w:cs="Times New Roman"/>
          <w:vertAlign w:val="superscript"/>
          <w:lang w:val="en-US"/>
        </w:rPr>
        <w:t>12</w:t>
      </w:r>
      <w:r w:rsidRPr="00B6133E">
        <w:rPr>
          <w:rFonts w:ascii="Times New Roman" w:hAnsi="Times New Roman" w:cs="Times New Roman"/>
          <w:lang w:val="en-US"/>
        </w:rPr>
        <w:t>Department of Clinical Medicine, Aalborg University, Denmark.</w:t>
      </w:r>
    </w:p>
    <w:p w14:paraId="776036AA" w14:textId="77777777" w:rsidR="00B6133E" w:rsidRDefault="00B6133E" w:rsidP="003D4413">
      <w:pPr>
        <w:spacing w:line="480" w:lineRule="auto"/>
        <w:jc w:val="left"/>
        <w:rPr>
          <w:rFonts w:ascii="Times New Roman" w:hAnsi="Times New Roman" w:cs="Times New Roman"/>
          <w:b/>
          <w:bCs/>
          <w:lang w:val="en-US"/>
        </w:rPr>
      </w:pPr>
    </w:p>
    <w:p w14:paraId="4974E122" w14:textId="31CDFBCC" w:rsidR="003D4413" w:rsidRPr="00B6133E" w:rsidRDefault="001E2406" w:rsidP="003D4413">
      <w:pPr>
        <w:spacing w:line="480" w:lineRule="auto"/>
        <w:jc w:val="left"/>
        <w:rPr>
          <w:rFonts w:ascii="Times New Roman" w:hAnsi="Times New Roman" w:cs="Times New Roman"/>
          <w:lang w:val="en-US"/>
        </w:rPr>
      </w:pPr>
      <w:r w:rsidRPr="00B6133E">
        <w:rPr>
          <w:rFonts w:ascii="Times New Roman" w:hAnsi="Times New Roman" w:cs="Times New Roman"/>
          <w:b/>
          <w:bCs/>
          <w:lang w:val="en-US"/>
        </w:rPr>
        <w:lastRenderedPageBreak/>
        <w:t>Running title</w:t>
      </w:r>
      <w:r w:rsidR="003D4413" w:rsidRPr="00B6133E">
        <w:rPr>
          <w:rFonts w:ascii="Times New Roman" w:hAnsi="Times New Roman" w:cs="Times New Roman"/>
          <w:b/>
          <w:bCs/>
          <w:lang w:val="en-US"/>
        </w:rPr>
        <w:t xml:space="preserve">: </w:t>
      </w:r>
      <w:r w:rsidR="003D4413" w:rsidRPr="00B6133E">
        <w:rPr>
          <w:rFonts w:ascii="Times New Roman" w:hAnsi="Times New Roman" w:cs="Times New Roman"/>
          <w:lang w:val="en-US"/>
        </w:rPr>
        <w:t>B-cell subset phenotype classification of MM</w:t>
      </w:r>
    </w:p>
    <w:p w14:paraId="23EDAEE5" w14:textId="72223273" w:rsidR="003D4413" w:rsidRPr="00B6133E" w:rsidRDefault="003D4413" w:rsidP="003D4413">
      <w:pPr>
        <w:spacing w:line="480" w:lineRule="auto"/>
        <w:jc w:val="left"/>
        <w:rPr>
          <w:rFonts w:ascii="Times New Roman" w:hAnsi="Times New Roman" w:cs="Times New Roman"/>
          <w:lang w:val="en-US"/>
        </w:rPr>
      </w:pPr>
      <w:r w:rsidRPr="00B6133E">
        <w:rPr>
          <w:rFonts w:ascii="Times New Roman" w:hAnsi="Times New Roman" w:cs="Times New Roman"/>
          <w:b/>
          <w:lang w:val="en-US"/>
        </w:rPr>
        <w:t xml:space="preserve">Word counts: </w:t>
      </w:r>
      <w:r w:rsidRPr="00B6133E">
        <w:rPr>
          <w:rFonts w:ascii="Times New Roman" w:hAnsi="Times New Roman" w:cs="Times New Roman"/>
          <w:lang w:val="en-US"/>
        </w:rPr>
        <w:t>Text</w:t>
      </w:r>
      <w:r w:rsidRPr="008239AB">
        <w:rPr>
          <w:rFonts w:ascii="Times New Roman" w:hAnsi="Times New Roman" w:cs="Times New Roman"/>
          <w:lang w:val="en-US"/>
        </w:rPr>
        <w:t xml:space="preserve">: </w:t>
      </w:r>
      <w:r w:rsidR="008F62A5">
        <w:rPr>
          <w:rFonts w:ascii="Times New Roman" w:hAnsi="Times New Roman" w:cs="Times New Roman"/>
          <w:lang w:val="en-US"/>
        </w:rPr>
        <w:t>4</w:t>
      </w:r>
      <w:r w:rsidR="00155C4A">
        <w:rPr>
          <w:rFonts w:ascii="Times New Roman" w:hAnsi="Times New Roman" w:cs="Times New Roman"/>
          <w:lang w:val="en-US"/>
        </w:rPr>
        <w:t>890</w:t>
      </w:r>
      <w:r w:rsidRPr="008239AB">
        <w:rPr>
          <w:rFonts w:ascii="Times New Roman" w:hAnsi="Times New Roman" w:cs="Times New Roman"/>
          <w:lang w:val="en-US"/>
        </w:rPr>
        <w:t>.</w:t>
      </w:r>
      <w:r w:rsidRPr="00B6133E">
        <w:rPr>
          <w:rFonts w:ascii="Times New Roman" w:hAnsi="Times New Roman" w:cs="Times New Roman"/>
          <w:b/>
          <w:lang w:val="en-US"/>
        </w:rPr>
        <w:t xml:space="preserve"> </w:t>
      </w:r>
      <w:r w:rsidR="00C35E1C">
        <w:rPr>
          <w:rFonts w:ascii="Times New Roman" w:hAnsi="Times New Roman" w:cs="Times New Roman"/>
          <w:lang w:val="en-US"/>
        </w:rPr>
        <w:t>Abstract: 250</w:t>
      </w:r>
      <w:r w:rsidRPr="00B6133E">
        <w:rPr>
          <w:rFonts w:ascii="Times New Roman" w:hAnsi="Times New Roman" w:cs="Times New Roman"/>
          <w:lang w:val="en-US"/>
        </w:rPr>
        <w:t xml:space="preserve">. </w:t>
      </w:r>
    </w:p>
    <w:p w14:paraId="705B3CFD" w14:textId="77777777" w:rsidR="003D4413" w:rsidRPr="00B6133E" w:rsidRDefault="003D4413" w:rsidP="003D4413">
      <w:pPr>
        <w:spacing w:line="480" w:lineRule="auto"/>
        <w:jc w:val="left"/>
        <w:rPr>
          <w:rFonts w:ascii="Times New Roman" w:hAnsi="Times New Roman" w:cs="Times New Roman"/>
          <w:lang w:val="en-US"/>
        </w:rPr>
      </w:pPr>
      <w:r w:rsidRPr="00B6133E">
        <w:rPr>
          <w:rFonts w:ascii="Times New Roman" w:hAnsi="Times New Roman" w:cs="Times New Roman"/>
          <w:b/>
          <w:lang w:val="en-US"/>
        </w:rPr>
        <w:t xml:space="preserve">Figures and tables: </w:t>
      </w:r>
      <w:r w:rsidRPr="00B6133E">
        <w:rPr>
          <w:rFonts w:ascii="Times New Roman" w:hAnsi="Times New Roman" w:cs="Times New Roman"/>
          <w:lang w:val="en-US"/>
        </w:rPr>
        <w:t>3 and 2</w:t>
      </w:r>
    </w:p>
    <w:p w14:paraId="773F9FC8" w14:textId="77777777" w:rsidR="003D4413" w:rsidRPr="00B6133E" w:rsidRDefault="003D4413" w:rsidP="003D4413">
      <w:pPr>
        <w:spacing w:line="480" w:lineRule="auto"/>
        <w:jc w:val="left"/>
        <w:rPr>
          <w:rFonts w:ascii="Times New Roman" w:hAnsi="Times New Roman" w:cs="Times New Roman"/>
          <w:b/>
          <w:lang w:val="en-US"/>
        </w:rPr>
      </w:pPr>
      <w:r w:rsidRPr="00B6133E">
        <w:rPr>
          <w:rFonts w:ascii="Times New Roman" w:hAnsi="Times New Roman" w:cs="Times New Roman"/>
          <w:b/>
          <w:lang w:val="en-US"/>
        </w:rPr>
        <w:t xml:space="preserve">Reference counts: </w:t>
      </w:r>
      <w:r w:rsidRPr="00B6133E">
        <w:rPr>
          <w:rFonts w:ascii="Times New Roman" w:hAnsi="Times New Roman" w:cs="Times New Roman"/>
          <w:lang w:val="en-US"/>
        </w:rPr>
        <w:t>82</w:t>
      </w:r>
    </w:p>
    <w:p w14:paraId="5EE1AED2" w14:textId="77777777" w:rsidR="003D4413" w:rsidRPr="00B6133E" w:rsidRDefault="003D4413" w:rsidP="003D4413">
      <w:pPr>
        <w:pStyle w:val="Overskrift3"/>
        <w:rPr>
          <w:rFonts w:ascii="Times New Roman" w:hAnsi="Times New Roman" w:cs="Times New Roman"/>
        </w:rPr>
      </w:pPr>
    </w:p>
    <w:p w14:paraId="12FC8F2D" w14:textId="77777777" w:rsidR="003D4413" w:rsidRPr="00B6133E" w:rsidRDefault="003D4413" w:rsidP="003D4413">
      <w:pPr>
        <w:rPr>
          <w:rFonts w:ascii="Times New Roman" w:hAnsi="Times New Roman" w:cs="Times New Roman"/>
          <w:b/>
          <w:lang w:val="en-US"/>
        </w:rPr>
      </w:pPr>
      <w:r w:rsidRPr="00B6133E">
        <w:rPr>
          <w:rFonts w:ascii="Times New Roman" w:hAnsi="Times New Roman" w:cs="Times New Roman"/>
          <w:b/>
          <w:lang w:val="en-US"/>
        </w:rPr>
        <w:t>Corresponding Author</w:t>
      </w:r>
    </w:p>
    <w:p w14:paraId="6215AD81" w14:textId="6D65A93E" w:rsidR="003D4413" w:rsidRPr="00B6133E" w:rsidRDefault="003D4413" w:rsidP="003D4413">
      <w:pPr>
        <w:spacing w:line="480" w:lineRule="auto"/>
        <w:jc w:val="left"/>
        <w:rPr>
          <w:rStyle w:val="Hyperlink"/>
          <w:rFonts w:ascii="Times New Roman" w:hAnsi="Times New Roman" w:cs="Times New Roman"/>
        </w:rPr>
      </w:pPr>
      <w:r w:rsidRPr="00B6133E">
        <w:rPr>
          <w:rFonts w:ascii="Times New Roman" w:hAnsi="Times New Roman" w:cs="Times New Roman"/>
          <w:lang w:val="en-US"/>
        </w:rPr>
        <w:t>Martin Bøgsted</w:t>
      </w:r>
      <w:r w:rsidRPr="00B6133E">
        <w:rPr>
          <w:rFonts w:ascii="Times New Roman" w:hAnsi="Times New Roman" w:cs="Times New Roman"/>
          <w:bCs/>
          <w:lang w:val="en-US"/>
        </w:rPr>
        <w:br/>
        <w:t>Department of Clinical Medicine</w:t>
      </w:r>
      <w:r w:rsidRPr="00B6133E">
        <w:rPr>
          <w:rFonts w:ascii="Times New Roman" w:hAnsi="Times New Roman" w:cs="Times New Roman"/>
          <w:bCs/>
          <w:lang w:val="en-US"/>
        </w:rPr>
        <w:br/>
        <w:t>Aalborg University</w:t>
      </w:r>
      <w:r w:rsidRPr="00B6133E">
        <w:rPr>
          <w:rFonts w:ascii="Times New Roman" w:hAnsi="Times New Roman" w:cs="Times New Roman"/>
          <w:bCs/>
          <w:lang w:val="en-US"/>
        </w:rPr>
        <w:br/>
      </w:r>
      <w:proofErr w:type="spellStart"/>
      <w:r w:rsidRPr="00B6133E">
        <w:rPr>
          <w:rFonts w:ascii="Times New Roman" w:hAnsi="Times New Roman" w:cs="Times New Roman"/>
          <w:lang w:val="en-US"/>
        </w:rPr>
        <w:t>Sdr</w:t>
      </w:r>
      <w:proofErr w:type="spellEnd"/>
      <w:r w:rsidRPr="00B6133E">
        <w:rPr>
          <w:rFonts w:ascii="Times New Roman" w:hAnsi="Times New Roman" w:cs="Times New Roman"/>
          <w:lang w:val="en-US"/>
        </w:rPr>
        <w:t xml:space="preserve">. </w:t>
      </w:r>
      <w:r w:rsidRPr="00B6133E">
        <w:rPr>
          <w:rFonts w:ascii="Times New Roman" w:hAnsi="Times New Roman" w:cs="Times New Roman"/>
        </w:rPr>
        <w:t xml:space="preserve">Skovvej 15, DK-9000 Aalborg, Denmark; </w:t>
      </w:r>
      <w:r w:rsidRPr="00B6133E">
        <w:rPr>
          <w:rFonts w:ascii="Times New Roman" w:hAnsi="Times New Roman" w:cs="Times New Roman"/>
        </w:rPr>
        <w:br/>
        <w:t xml:space="preserve">E-mail: </w:t>
      </w:r>
      <w:hyperlink r:id="rId8" w:history="1">
        <w:r w:rsidRPr="00B6133E">
          <w:rPr>
            <w:rStyle w:val="Hyperlink"/>
            <w:rFonts w:ascii="Times New Roman" w:hAnsi="Times New Roman" w:cs="Times New Roman"/>
          </w:rPr>
          <w:t>martin.boegsted@rn.dk</w:t>
        </w:r>
      </w:hyperlink>
    </w:p>
    <w:p w14:paraId="56F6AD32" w14:textId="13F7257A" w:rsidR="003D4413" w:rsidRPr="00B6133E" w:rsidRDefault="00672E42" w:rsidP="00672E42">
      <w:pPr>
        <w:rPr>
          <w:rFonts w:ascii="Times New Roman" w:hAnsi="Times New Roman" w:cs="Times New Roman"/>
        </w:rPr>
      </w:pPr>
      <w:r w:rsidRPr="00B6133E">
        <w:rPr>
          <w:rFonts w:ascii="Times New Roman" w:hAnsi="Times New Roman" w:cs="Times New Roman"/>
        </w:rPr>
        <w:t>Tel.: +45 5092 5639</w:t>
      </w:r>
    </w:p>
    <w:p w14:paraId="0B658500" w14:textId="77777777" w:rsidR="00672E42" w:rsidRPr="00B6133E" w:rsidRDefault="00672E42" w:rsidP="003D4413">
      <w:pPr>
        <w:spacing w:line="480" w:lineRule="auto"/>
        <w:jc w:val="left"/>
        <w:rPr>
          <w:rFonts w:ascii="Times New Roman" w:hAnsi="Times New Roman" w:cs="Times New Roman"/>
          <w:b/>
        </w:rPr>
      </w:pPr>
    </w:p>
    <w:p w14:paraId="505F32CD" w14:textId="77777777" w:rsidR="003D4413" w:rsidRPr="00B6133E" w:rsidRDefault="003D4413" w:rsidP="003D4413">
      <w:pPr>
        <w:spacing w:line="480" w:lineRule="auto"/>
        <w:jc w:val="left"/>
        <w:rPr>
          <w:rFonts w:ascii="Times New Roman" w:hAnsi="Times New Roman" w:cs="Times New Roman"/>
        </w:rPr>
      </w:pPr>
      <w:r w:rsidRPr="00B6133E">
        <w:rPr>
          <w:rFonts w:ascii="Times New Roman" w:hAnsi="Times New Roman" w:cs="Times New Roman"/>
          <w:b/>
        </w:rPr>
        <w:t>Key points</w:t>
      </w:r>
    </w:p>
    <w:p w14:paraId="6F2CC1EE" w14:textId="77777777" w:rsidR="003D4413" w:rsidRPr="00B6133E" w:rsidRDefault="003D4413" w:rsidP="003D4413">
      <w:pPr>
        <w:pStyle w:val="Opstilling-punkttegn"/>
        <w:spacing w:line="480" w:lineRule="auto"/>
        <w:rPr>
          <w:rFonts w:ascii="Times New Roman" w:hAnsi="Times New Roman" w:cs="Times New Roman"/>
          <w:lang w:val="en-US"/>
        </w:rPr>
      </w:pPr>
      <w:r w:rsidRPr="00B6133E">
        <w:rPr>
          <w:rFonts w:ascii="Times New Roman" w:hAnsi="Times New Roman" w:cs="Times New Roman"/>
          <w:lang w:val="en-US"/>
        </w:rPr>
        <w:t>We have identified hierarchal subtype differences in myeloma cells at diagnosis.</w:t>
      </w:r>
    </w:p>
    <w:p w14:paraId="4EF7F056" w14:textId="76C16293" w:rsidR="003D7F39" w:rsidRPr="00B6133E" w:rsidRDefault="0081333A" w:rsidP="003D4413">
      <w:pPr>
        <w:pStyle w:val="Opstilling-punkttegn"/>
        <w:rPr>
          <w:rFonts w:ascii="Times New Roman" w:hAnsi="Times New Roman" w:cs="Times New Roman"/>
          <w:lang w:val="en-GB"/>
        </w:rPr>
      </w:pPr>
      <w:r>
        <w:rPr>
          <w:rFonts w:ascii="Times New Roman" w:hAnsi="Times New Roman" w:cs="Times New Roman"/>
          <w:lang w:val="en-US"/>
        </w:rPr>
        <w:t>The prognostic impact</w:t>
      </w:r>
      <w:r w:rsidR="003D4413" w:rsidRPr="00B6133E">
        <w:rPr>
          <w:rFonts w:ascii="Times New Roman" w:hAnsi="Times New Roman" w:cs="Times New Roman"/>
          <w:lang w:val="en-US"/>
        </w:rPr>
        <w:t xml:space="preserve"> support</w:t>
      </w:r>
      <w:r>
        <w:rPr>
          <w:rFonts w:ascii="Times New Roman" w:hAnsi="Times New Roman" w:cs="Times New Roman"/>
          <w:lang w:val="en-US"/>
        </w:rPr>
        <w:t>s</w:t>
      </w:r>
      <w:r w:rsidR="003D4413" w:rsidRPr="00B6133E">
        <w:rPr>
          <w:rFonts w:ascii="Times New Roman" w:hAnsi="Times New Roman" w:cs="Times New Roman"/>
          <w:lang w:val="en-US"/>
        </w:rPr>
        <w:t xml:space="preserve"> an acquired B-cell trait and phenotypic plasticity as a </w:t>
      </w:r>
      <w:proofErr w:type="spellStart"/>
      <w:r w:rsidR="003D4413" w:rsidRPr="00B6133E">
        <w:rPr>
          <w:rFonts w:ascii="Times New Roman" w:hAnsi="Times New Roman" w:cs="Times New Roman"/>
          <w:lang w:val="en-US"/>
        </w:rPr>
        <w:t>pathogenetic</w:t>
      </w:r>
      <w:proofErr w:type="spellEnd"/>
      <w:r w:rsidR="003D4413" w:rsidRPr="00B6133E">
        <w:rPr>
          <w:rFonts w:ascii="Times New Roman" w:hAnsi="Times New Roman" w:cs="Times New Roman"/>
          <w:lang w:val="en-US"/>
        </w:rPr>
        <w:t xml:space="preserve"> hallmark of MM.</w:t>
      </w:r>
      <w:r w:rsidR="003D7F39" w:rsidRPr="00B6133E">
        <w:rPr>
          <w:rFonts w:ascii="Times New Roman" w:hAnsi="Times New Roman" w:cs="Times New Roman"/>
          <w:lang w:val="en-GB"/>
        </w:rPr>
        <w:br w:type="page"/>
      </w:r>
    </w:p>
    <w:p w14:paraId="19FAF1E1" w14:textId="77777777" w:rsidR="00F754D3" w:rsidRPr="00B6133E" w:rsidRDefault="00F754D3" w:rsidP="00B6133E">
      <w:pPr>
        <w:pStyle w:val="Overskrift2"/>
      </w:pPr>
      <w:r w:rsidRPr="00B6133E">
        <w:lastRenderedPageBreak/>
        <w:t>Abstract</w:t>
      </w:r>
      <w:r w:rsidR="00B212AF" w:rsidRPr="00B6133E">
        <w:t xml:space="preserve"> </w:t>
      </w:r>
    </w:p>
    <w:p w14:paraId="05EFA9A7" w14:textId="6DDAAA5B" w:rsidR="00F77CCF" w:rsidRPr="00B6133E" w:rsidRDefault="00E74EA9">
      <w:pPr>
        <w:spacing w:line="480" w:lineRule="auto"/>
        <w:rPr>
          <w:rFonts w:ascii="Times New Roman" w:hAnsi="Times New Roman" w:cs="Times New Roman"/>
          <w:lang w:val="en-GB"/>
        </w:rPr>
      </w:pPr>
      <w:r w:rsidRPr="00B6133E">
        <w:rPr>
          <w:rFonts w:ascii="Times New Roman" w:hAnsi="Times New Roman" w:cs="Times New Roman"/>
          <w:lang w:val="en-GB"/>
        </w:rPr>
        <w:t>Despite the recent progress in treatment of multiple m</w:t>
      </w:r>
      <w:r w:rsidR="004D6C97" w:rsidRPr="00B6133E">
        <w:rPr>
          <w:rFonts w:ascii="Times New Roman" w:hAnsi="Times New Roman" w:cs="Times New Roman"/>
          <w:color w:val="000000"/>
          <w:lang w:val="en-GB" w:eastAsia="en-US"/>
        </w:rPr>
        <w:t>yelom</w:t>
      </w:r>
      <w:r w:rsidRPr="00B6133E">
        <w:rPr>
          <w:rFonts w:ascii="Times New Roman" w:hAnsi="Times New Roman" w:cs="Times New Roman"/>
          <w:color w:val="000000"/>
          <w:lang w:val="en-GB" w:eastAsia="en-US"/>
        </w:rPr>
        <w:t>a it is still</w:t>
      </w:r>
      <w:r w:rsidRPr="00B6133E">
        <w:rPr>
          <w:rFonts w:ascii="Times New Roman" w:hAnsi="Times New Roman" w:cs="Times New Roman"/>
          <w:lang w:val="en-GB"/>
        </w:rPr>
        <w:t xml:space="preserve"> </w:t>
      </w:r>
      <w:r w:rsidRPr="00B6133E">
        <w:rPr>
          <w:rFonts w:ascii="Times New Roman" w:hAnsi="Times New Roman" w:cs="Times New Roman"/>
          <w:color w:val="000000"/>
          <w:lang w:val="en-GB" w:eastAsia="en-US"/>
        </w:rPr>
        <w:t xml:space="preserve">an </w:t>
      </w:r>
      <w:proofErr w:type="spellStart"/>
      <w:r w:rsidRPr="00B6133E">
        <w:rPr>
          <w:rFonts w:ascii="Times New Roman" w:hAnsi="Times New Roman" w:cs="Times New Roman"/>
          <w:color w:val="000000"/>
          <w:lang w:val="en-GB" w:eastAsia="en-US"/>
        </w:rPr>
        <w:t>uncurable</w:t>
      </w:r>
      <w:proofErr w:type="spellEnd"/>
      <w:r w:rsidRPr="00B6133E">
        <w:rPr>
          <w:rFonts w:ascii="Times New Roman" w:hAnsi="Times New Roman" w:cs="Times New Roman"/>
          <w:color w:val="000000"/>
          <w:lang w:val="en-GB" w:eastAsia="en-US"/>
        </w:rPr>
        <w:t xml:space="preserve"> </w:t>
      </w:r>
      <w:r w:rsidRPr="00B6133E">
        <w:rPr>
          <w:rFonts w:ascii="Times New Roman" w:hAnsi="Times New Roman" w:cs="Times New Roman"/>
          <w:lang w:val="en-GB"/>
        </w:rPr>
        <w:t xml:space="preserve">malignant </w:t>
      </w:r>
      <w:r w:rsidRPr="00B6133E">
        <w:rPr>
          <w:rFonts w:ascii="Times New Roman" w:hAnsi="Times New Roman" w:cs="Times New Roman"/>
          <w:color w:val="000000"/>
          <w:lang w:val="en-GB" w:eastAsia="en-US"/>
        </w:rPr>
        <w:t>disease</w:t>
      </w:r>
      <w:r w:rsidRPr="00B6133E">
        <w:rPr>
          <w:rFonts w:ascii="Times New Roman" w:hAnsi="Times New Roman" w:cs="Times New Roman"/>
          <w:lang w:val="en-GB"/>
        </w:rPr>
        <w:t xml:space="preserve"> and </w:t>
      </w:r>
      <w:r w:rsidR="009018DF">
        <w:rPr>
          <w:rFonts w:ascii="Times New Roman" w:hAnsi="Times New Roman" w:cs="Times New Roman"/>
          <w:lang w:val="en-GB"/>
        </w:rPr>
        <w:t xml:space="preserve">we are </w:t>
      </w:r>
      <w:r w:rsidRPr="00B6133E">
        <w:rPr>
          <w:rFonts w:ascii="Times New Roman" w:hAnsi="Times New Roman" w:cs="Times New Roman"/>
          <w:lang w:val="en-GB"/>
        </w:rPr>
        <w:t xml:space="preserve">therefore in need of new </w:t>
      </w:r>
      <w:r w:rsidRPr="009018DF">
        <w:rPr>
          <w:rFonts w:ascii="Times New Roman" w:hAnsi="Times New Roman" w:cs="Times New Roman"/>
          <w:lang w:val="en-GB"/>
        </w:rPr>
        <w:t>risk</w:t>
      </w:r>
      <w:r w:rsidRPr="00B6133E">
        <w:rPr>
          <w:rFonts w:ascii="Times New Roman" w:hAnsi="Times New Roman" w:cs="Times New Roman"/>
          <w:color w:val="000000"/>
          <w:lang w:val="en-GB" w:eastAsia="en-US"/>
        </w:rPr>
        <w:t xml:space="preserve"> stratification </w:t>
      </w:r>
      <w:r w:rsidRPr="00B6133E">
        <w:rPr>
          <w:rFonts w:ascii="Times New Roman" w:hAnsi="Times New Roman" w:cs="Times New Roman"/>
          <w:lang w:val="en-GB"/>
        </w:rPr>
        <w:t xml:space="preserve">tools </w:t>
      </w:r>
      <w:r w:rsidRPr="00B6133E">
        <w:rPr>
          <w:rFonts w:ascii="Times New Roman" w:hAnsi="Times New Roman" w:cs="Times New Roman"/>
          <w:color w:val="000000"/>
          <w:lang w:val="en-GB" w:eastAsia="en-US"/>
        </w:rPr>
        <w:t xml:space="preserve">that </w:t>
      </w:r>
      <w:r w:rsidR="00272893" w:rsidRPr="00B6133E">
        <w:rPr>
          <w:rFonts w:ascii="Times New Roman" w:hAnsi="Times New Roman" w:cs="Times New Roman"/>
          <w:lang w:val="en-GB"/>
        </w:rPr>
        <w:t xml:space="preserve">can </w:t>
      </w:r>
      <w:r w:rsidRPr="00B6133E">
        <w:rPr>
          <w:rFonts w:ascii="Times New Roman" w:hAnsi="Times New Roman" w:cs="Times New Roman"/>
          <w:color w:val="000000"/>
          <w:lang w:val="en-GB" w:eastAsia="en-US"/>
        </w:rPr>
        <w:t xml:space="preserve">help </w:t>
      </w:r>
      <w:r w:rsidR="009018DF">
        <w:rPr>
          <w:rFonts w:ascii="Times New Roman" w:hAnsi="Times New Roman" w:cs="Times New Roman"/>
          <w:color w:val="000000"/>
          <w:lang w:val="en-GB" w:eastAsia="en-US"/>
        </w:rPr>
        <w:t xml:space="preserve">us </w:t>
      </w:r>
      <w:r w:rsidRPr="00B6133E">
        <w:rPr>
          <w:rFonts w:ascii="Times New Roman" w:hAnsi="Times New Roman" w:cs="Times New Roman"/>
          <w:color w:val="000000"/>
          <w:lang w:val="en-GB" w:eastAsia="en-US"/>
        </w:rPr>
        <w:t xml:space="preserve">to </w:t>
      </w:r>
      <w:r w:rsidRPr="00B6133E">
        <w:rPr>
          <w:rFonts w:ascii="Times New Roman" w:hAnsi="Times New Roman" w:cs="Times New Roman"/>
          <w:lang w:val="en-GB"/>
        </w:rPr>
        <w:t>understand the disease and optimize</w:t>
      </w:r>
      <w:r w:rsidRPr="00B6133E">
        <w:rPr>
          <w:rFonts w:ascii="Times New Roman" w:hAnsi="Times New Roman" w:cs="Times New Roman"/>
          <w:color w:val="000000"/>
          <w:lang w:val="en-GB" w:eastAsia="en-US"/>
        </w:rPr>
        <w:t xml:space="preserve"> therapy</w:t>
      </w:r>
      <w:r w:rsidRPr="00B6133E">
        <w:rPr>
          <w:rFonts w:ascii="Times New Roman" w:hAnsi="Times New Roman" w:cs="Times New Roman"/>
          <w:lang w:val="en-GB"/>
        </w:rPr>
        <w:t>.</w:t>
      </w:r>
      <w:r w:rsidRPr="00B6133E">
        <w:rPr>
          <w:rFonts w:ascii="Times New Roman" w:hAnsi="Times New Roman" w:cs="Times New Roman"/>
          <w:color w:val="000000"/>
          <w:lang w:val="en-GB" w:eastAsia="en-US"/>
        </w:rPr>
        <w:t xml:space="preserve"> </w:t>
      </w:r>
      <w:r w:rsidR="006800D8" w:rsidRPr="00B6133E">
        <w:rPr>
          <w:rFonts w:ascii="Times New Roman" w:hAnsi="Times New Roman" w:cs="Times New Roman"/>
          <w:lang w:val="en-US"/>
        </w:rPr>
        <w:t>Here w</w:t>
      </w:r>
      <w:r w:rsidR="00213205" w:rsidRPr="00B6133E">
        <w:rPr>
          <w:rFonts w:ascii="Times New Roman" w:hAnsi="Times New Roman" w:cs="Times New Roman"/>
          <w:lang w:val="en-US"/>
        </w:rPr>
        <w:t>e</w:t>
      </w:r>
      <w:r w:rsidR="005065AB" w:rsidRPr="00B6133E">
        <w:rPr>
          <w:rFonts w:ascii="Times New Roman" w:hAnsi="Times New Roman" w:cs="Times New Roman"/>
          <w:lang w:val="en-US"/>
        </w:rPr>
        <w:t xml:space="preserve"> propose a</w:t>
      </w:r>
      <w:r w:rsidR="008B7298" w:rsidRPr="00B6133E">
        <w:rPr>
          <w:rFonts w:ascii="Times New Roman" w:hAnsi="Times New Roman" w:cs="Times New Roman"/>
          <w:lang w:val="en-US"/>
        </w:rPr>
        <w:t xml:space="preserve"> </w:t>
      </w:r>
      <w:r w:rsidR="00642A98" w:rsidRPr="00B6133E">
        <w:rPr>
          <w:rFonts w:ascii="Times New Roman" w:hAnsi="Times New Roman" w:cs="Times New Roman"/>
          <w:lang w:val="en-US"/>
        </w:rPr>
        <w:t xml:space="preserve">new </w:t>
      </w:r>
      <w:r w:rsidR="001A050B" w:rsidRPr="00B6133E">
        <w:rPr>
          <w:rFonts w:ascii="Times New Roman" w:hAnsi="Times New Roman" w:cs="Times New Roman"/>
          <w:lang w:val="en-US"/>
        </w:rPr>
        <w:t xml:space="preserve">subtyping of myeloma plasma cells </w:t>
      </w:r>
      <w:r w:rsidR="0066785D" w:rsidRPr="00B6133E">
        <w:rPr>
          <w:rFonts w:ascii="Times New Roman" w:hAnsi="Times New Roman" w:cs="Times New Roman"/>
          <w:lang w:val="en-US"/>
        </w:rPr>
        <w:t>from diagnostic samples,</w:t>
      </w:r>
      <w:r w:rsidR="008B7298" w:rsidRPr="00B6133E">
        <w:rPr>
          <w:rFonts w:ascii="Times New Roman" w:hAnsi="Times New Roman" w:cs="Times New Roman"/>
          <w:lang w:val="en-US"/>
        </w:rPr>
        <w:t xml:space="preserve"> </w:t>
      </w:r>
      <w:r w:rsidR="0056769A" w:rsidRPr="00B6133E">
        <w:rPr>
          <w:rFonts w:ascii="Times New Roman" w:hAnsi="Times New Roman" w:cs="Times New Roman"/>
          <w:lang w:val="en-US"/>
        </w:rPr>
        <w:t xml:space="preserve">assigned </w:t>
      </w:r>
      <w:r w:rsidR="0037216F" w:rsidRPr="00B6133E">
        <w:rPr>
          <w:rFonts w:ascii="Times New Roman" w:hAnsi="Times New Roman" w:cs="Times New Roman"/>
          <w:lang w:val="en-US"/>
        </w:rPr>
        <w:t>by</w:t>
      </w:r>
      <w:r w:rsidR="008B7298" w:rsidRPr="00B6133E">
        <w:rPr>
          <w:rFonts w:ascii="Times New Roman" w:hAnsi="Times New Roman" w:cs="Times New Roman"/>
          <w:lang w:val="en-US"/>
        </w:rPr>
        <w:t xml:space="preserve"> </w:t>
      </w:r>
      <w:r w:rsidR="0056769A" w:rsidRPr="00B6133E">
        <w:rPr>
          <w:rFonts w:ascii="Times New Roman" w:hAnsi="Times New Roman" w:cs="Times New Roman"/>
          <w:lang w:val="en-US"/>
        </w:rPr>
        <w:t xml:space="preserve">normal </w:t>
      </w:r>
      <w:r w:rsidR="008B7298" w:rsidRPr="00B6133E">
        <w:rPr>
          <w:rFonts w:ascii="Times New Roman" w:hAnsi="Times New Roman" w:cs="Times New Roman"/>
          <w:lang w:val="en-US"/>
        </w:rPr>
        <w:t>B-cell subset</w:t>
      </w:r>
      <w:r w:rsidR="00CE124D" w:rsidRPr="00B6133E">
        <w:rPr>
          <w:rFonts w:ascii="Times New Roman" w:hAnsi="Times New Roman" w:cs="Times New Roman"/>
          <w:lang w:val="en-US"/>
        </w:rPr>
        <w:t xml:space="preserve"> </w:t>
      </w:r>
      <w:r w:rsidR="008B7298" w:rsidRPr="00B6133E">
        <w:rPr>
          <w:rFonts w:ascii="Times New Roman" w:hAnsi="Times New Roman" w:cs="Times New Roman"/>
          <w:lang w:val="en-US"/>
        </w:rPr>
        <w:t xml:space="preserve">associated </w:t>
      </w:r>
      <w:r w:rsidR="008B7298" w:rsidRPr="00B6133E">
        <w:rPr>
          <w:rFonts w:ascii="Times New Roman" w:hAnsi="Times New Roman" w:cs="Times New Roman"/>
          <w:u w:val="single"/>
          <w:lang w:val="en-US"/>
        </w:rPr>
        <w:t>g</w:t>
      </w:r>
      <w:r w:rsidR="008B7298" w:rsidRPr="00B6133E">
        <w:rPr>
          <w:rFonts w:ascii="Times New Roman" w:hAnsi="Times New Roman" w:cs="Times New Roman"/>
          <w:lang w:val="en-US"/>
        </w:rPr>
        <w:t>ene signatures (</w:t>
      </w:r>
      <w:r w:rsidR="00E23C84" w:rsidRPr="00B6133E">
        <w:rPr>
          <w:rFonts w:ascii="Times New Roman" w:hAnsi="Times New Roman" w:cs="Times New Roman"/>
          <w:lang w:val="en-US"/>
        </w:rPr>
        <w:t>BAGS</w:t>
      </w:r>
      <w:r w:rsidR="008B7298" w:rsidRPr="00B6133E">
        <w:rPr>
          <w:rFonts w:ascii="Times New Roman" w:hAnsi="Times New Roman" w:cs="Times New Roman"/>
          <w:lang w:val="en-US"/>
        </w:rPr>
        <w:t>)</w:t>
      </w:r>
      <w:r w:rsidR="001A050B" w:rsidRPr="00B6133E">
        <w:rPr>
          <w:rFonts w:ascii="Times New Roman" w:hAnsi="Times New Roman" w:cs="Times New Roman"/>
          <w:lang w:val="en-US"/>
        </w:rPr>
        <w:t xml:space="preserve">. </w:t>
      </w:r>
    </w:p>
    <w:p w14:paraId="762B484D" w14:textId="3DE4C86C" w:rsidR="0001159E" w:rsidRPr="00B6133E" w:rsidRDefault="00213205" w:rsidP="00633382">
      <w:pPr>
        <w:spacing w:line="480" w:lineRule="auto"/>
        <w:rPr>
          <w:rFonts w:ascii="Times New Roman" w:hAnsi="Times New Roman" w:cs="Times New Roman"/>
          <w:lang w:val="en-GB"/>
        </w:rPr>
      </w:pPr>
      <w:r w:rsidRPr="00B6133E">
        <w:rPr>
          <w:rFonts w:ascii="Times New Roman" w:hAnsi="Times New Roman" w:cs="Times New Roman"/>
          <w:lang w:val="en-GB"/>
        </w:rPr>
        <w:t>For this purpose</w:t>
      </w:r>
      <w:r w:rsidR="007026D6" w:rsidRPr="00B6133E">
        <w:rPr>
          <w:rFonts w:ascii="Times New Roman" w:hAnsi="Times New Roman" w:cs="Times New Roman"/>
          <w:lang w:val="en-GB"/>
        </w:rPr>
        <w:t>, w</w:t>
      </w:r>
      <w:r w:rsidR="007C63EE" w:rsidRPr="00B6133E">
        <w:rPr>
          <w:rFonts w:ascii="Times New Roman" w:hAnsi="Times New Roman" w:cs="Times New Roman"/>
          <w:lang w:val="en-GB"/>
        </w:rPr>
        <w:t xml:space="preserve">e combined </w:t>
      </w:r>
      <w:r w:rsidR="00384603" w:rsidRPr="00B6133E">
        <w:rPr>
          <w:rFonts w:ascii="Times New Roman" w:hAnsi="Times New Roman" w:cs="Times New Roman"/>
          <w:lang w:val="en-US"/>
        </w:rPr>
        <w:t xml:space="preserve">fluorescence-activated cell sorting </w:t>
      </w:r>
      <w:r w:rsidR="007C63EE" w:rsidRPr="00B6133E">
        <w:rPr>
          <w:rFonts w:ascii="Times New Roman" w:hAnsi="Times New Roman" w:cs="Times New Roman"/>
          <w:lang w:val="en-GB"/>
        </w:rPr>
        <w:t xml:space="preserve"> and </w:t>
      </w:r>
      <w:r w:rsidR="00384603" w:rsidRPr="00B6133E">
        <w:rPr>
          <w:rFonts w:ascii="Times New Roman" w:hAnsi="Times New Roman" w:cs="Times New Roman"/>
          <w:lang w:val="en-GB"/>
        </w:rPr>
        <w:t>gene expression profiles</w:t>
      </w:r>
      <w:r w:rsidR="009F2A85" w:rsidRPr="00B6133E">
        <w:rPr>
          <w:rFonts w:ascii="Times New Roman" w:hAnsi="Times New Roman" w:cs="Times New Roman"/>
          <w:lang w:val="en-GB"/>
        </w:rPr>
        <w:t xml:space="preserve"> from normal </w:t>
      </w:r>
      <w:r w:rsidR="0056769A" w:rsidRPr="00B6133E">
        <w:rPr>
          <w:rFonts w:ascii="Times New Roman" w:hAnsi="Times New Roman" w:cs="Times New Roman"/>
          <w:lang w:val="en-GB"/>
        </w:rPr>
        <w:t>bone marrow</w:t>
      </w:r>
      <w:r w:rsidR="00384603" w:rsidRPr="00B6133E">
        <w:rPr>
          <w:rFonts w:ascii="Times New Roman" w:hAnsi="Times New Roman" w:cs="Times New Roman"/>
          <w:lang w:val="en-GB"/>
        </w:rPr>
        <w:t xml:space="preserve"> </w:t>
      </w:r>
      <w:proofErr w:type="spellStart"/>
      <w:r w:rsidR="003F6486" w:rsidRPr="00B6133E">
        <w:rPr>
          <w:rFonts w:ascii="Times New Roman" w:hAnsi="Times New Roman" w:cs="Times New Roman"/>
          <w:lang w:val="en-GB"/>
        </w:rPr>
        <w:t>PreBI</w:t>
      </w:r>
      <w:proofErr w:type="spellEnd"/>
      <w:r w:rsidR="003F6486" w:rsidRPr="00B6133E">
        <w:rPr>
          <w:rFonts w:ascii="Times New Roman" w:hAnsi="Times New Roman" w:cs="Times New Roman"/>
          <w:lang w:val="en-GB"/>
        </w:rPr>
        <w:t xml:space="preserve">, </w:t>
      </w:r>
      <w:proofErr w:type="spellStart"/>
      <w:r w:rsidR="003F6486" w:rsidRPr="00B6133E">
        <w:rPr>
          <w:rFonts w:ascii="Times New Roman" w:hAnsi="Times New Roman" w:cs="Times New Roman"/>
          <w:lang w:val="en-GB"/>
        </w:rPr>
        <w:t>PreB</w:t>
      </w:r>
      <w:r w:rsidR="007500D8" w:rsidRPr="00B6133E">
        <w:rPr>
          <w:rFonts w:ascii="Times New Roman" w:hAnsi="Times New Roman" w:cs="Times New Roman"/>
          <w:lang w:val="en-GB"/>
        </w:rPr>
        <w:t>II</w:t>
      </w:r>
      <w:proofErr w:type="spellEnd"/>
      <w:r w:rsidR="007500D8" w:rsidRPr="00B6133E">
        <w:rPr>
          <w:rFonts w:ascii="Times New Roman" w:hAnsi="Times New Roman" w:cs="Times New Roman"/>
          <w:lang w:val="en-GB"/>
        </w:rPr>
        <w:t xml:space="preserve">, immature, </w:t>
      </w:r>
      <w:r w:rsidR="0088594B" w:rsidRPr="00B6133E">
        <w:rPr>
          <w:rFonts w:ascii="Times New Roman" w:hAnsi="Times New Roman" w:cs="Times New Roman"/>
          <w:lang w:val="en-GB"/>
        </w:rPr>
        <w:t>naïve</w:t>
      </w:r>
      <w:r w:rsidR="007500D8" w:rsidRPr="00B6133E">
        <w:rPr>
          <w:rFonts w:ascii="Times New Roman" w:hAnsi="Times New Roman" w:cs="Times New Roman"/>
          <w:lang w:val="en-GB"/>
        </w:rPr>
        <w:t>, memory</w:t>
      </w:r>
      <w:r w:rsidR="009950D3" w:rsidRPr="00B6133E">
        <w:rPr>
          <w:rFonts w:ascii="Times New Roman" w:hAnsi="Times New Roman" w:cs="Times New Roman"/>
          <w:lang w:val="en-GB"/>
        </w:rPr>
        <w:t>,</w:t>
      </w:r>
      <w:r w:rsidR="007500D8" w:rsidRPr="00B6133E">
        <w:rPr>
          <w:rFonts w:ascii="Times New Roman" w:hAnsi="Times New Roman" w:cs="Times New Roman"/>
          <w:lang w:val="en-GB"/>
        </w:rPr>
        <w:t xml:space="preserve"> and </w:t>
      </w:r>
      <w:r w:rsidR="00384603" w:rsidRPr="00B6133E">
        <w:rPr>
          <w:rFonts w:ascii="Times New Roman" w:hAnsi="Times New Roman" w:cs="Times New Roman"/>
          <w:lang w:val="en-GB"/>
        </w:rPr>
        <w:t xml:space="preserve">plasma cell </w:t>
      </w:r>
      <w:r w:rsidR="00847536" w:rsidRPr="00B6133E">
        <w:rPr>
          <w:rFonts w:ascii="Times New Roman" w:hAnsi="Times New Roman" w:cs="Times New Roman"/>
          <w:lang w:val="en-GB"/>
        </w:rPr>
        <w:t>subsets</w:t>
      </w:r>
      <w:r w:rsidR="0056769A" w:rsidRPr="00B6133E">
        <w:rPr>
          <w:rFonts w:ascii="Times New Roman" w:hAnsi="Times New Roman" w:cs="Times New Roman"/>
          <w:lang w:val="en-GB"/>
        </w:rPr>
        <w:t xml:space="preserve"> to generate BAGS for assignment of </w:t>
      </w:r>
      <w:r w:rsidR="00622F5C" w:rsidRPr="00B6133E">
        <w:rPr>
          <w:rFonts w:ascii="Times New Roman" w:hAnsi="Times New Roman" w:cs="Times New Roman"/>
          <w:lang w:val="en-GB"/>
        </w:rPr>
        <w:t xml:space="preserve">normal </w:t>
      </w:r>
      <w:r w:rsidR="00384603" w:rsidRPr="00B6133E">
        <w:rPr>
          <w:rFonts w:ascii="Times New Roman" w:hAnsi="Times New Roman" w:cs="Times New Roman"/>
          <w:lang w:val="en-GB"/>
        </w:rPr>
        <w:t>bone marrow</w:t>
      </w:r>
      <w:r w:rsidR="00622F5C" w:rsidRPr="00B6133E">
        <w:rPr>
          <w:rFonts w:ascii="Times New Roman" w:hAnsi="Times New Roman" w:cs="Times New Roman"/>
          <w:lang w:val="en-GB"/>
        </w:rPr>
        <w:t xml:space="preserve"> </w:t>
      </w:r>
      <w:r w:rsidR="0056769A" w:rsidRPr="00B6133E">
        <w:rPr>
          <w:rFonts w:ascii="Times New Roman" w:hAnsi="Times New Roman" w:cs="Times New Roman"/>
          <w:lang w:val="en-GB"/>
        </w:rPr>
        <w:t>subtypes</w:t>
      </w:r>
      <w:r w:rsidR="006800D8" w:rsidRPr="00B6133E">
        <w:rPr>
          <w:rFonts w:ascii="Times New Roman" w:hAnsi="Times New Roman" w:cs="Times New Roman"/>
          <w:lang w:val="en-GB"/>
        </w:rPr>
        <w:t xml:space="preserve"> in diagnostic samples</w:t>
      </w:r>
      <w:r w:rsidR="007500D8" w:rsidRPr="00B6133E">
        <w:rPr>
          <w:rFonts w:ascii="Times New Roman" w:hAnsi="Times New Roman" w:cs="Times New Roman"/>
          <w:lang w:val="en-GB"/>
        </w:rPr>
        <w:t>.</w:t>
      </w:r>
      <w:r w:rsidR="00F23932" w:rsidRPr="00B6133E">
        <w:rPr>
          <w:rFonts w:ascii="Times New Roman" w:hAnsi="Times New Roman" w:cs="Times New Roman"/>
          <w:lang w:val="en-GB"/>
        </w:rPr>
        <w:t xml:space="preserve"> </w:t>
      </w:r>
      <w:r w:rsidR="00050CD4" w:rsidRPr="00B6133E">
        <w:rPr>
          <w:rFonts w:ascii="Times New Roman" w:hAnsi="Times New Roman" w:cs="Times New Roman"/>
          <w:lang w:val="en-GB"/>
        </w:rPr>
        <w:t xml:space="preserve">The impact of </w:t>
      </w:r>
      <w:r w:rsidR="006800D8" w:rsidRPr="00B6133E">
        <w:rPr>
          <w:rFonts w:ascii="Times New Roman" w:hAnsi="Times New Roman" w:cs="Times New Roman"/>
          <w:lang w:val="en-GB"/>
        </w:rPr>
        <w:t xml:space="preserve">the subtypes </w:t>
      </w:r>
      <w:r w:rsidR="00050CD4" w:rsidRPr="00B6133E">
        <w:rPr>
          <w:rFonts w:ascii="Times New Roman" w:hAnsi="Times New Roman" w:cs="Times New Roman"/>
          <w:lang w:val="en-GB"/>
        </w:rPr>
        <w:t xml:space="preserve">was </w:t>
      </w:r>
      <w:proofErr w:type="spellStart"/>
      <w:r w:rsidR="00050CD4" w:rsidRPr="00B6133E">
        <w:rPr>
          <w:rFonts w:ascii="Times New Roman" w:hAnsi="Times New Roman" w:cs="Times New Roman"/>
          <w:lang w:val="en-GB"/>
        </w:rPr>
        <w:t>analyzed</w:t>
      </w:r>
      <w:proofErr w:type="spellEnd"/>
      <w:r w:rsidR="003F6486" w:rsidRPr="00B6133E">
        <w:rPr>
          <w:rFonts w:ascii="Times New Roman" w:hAnsi="Times New Roman" w:cs="Times New Roman"/>
          <w:lang w:val="en-GB"/>
        </w:rPr>
        <w:t xml:space="preserve"> </w:t>
      </w:r>
      <w:r w:rsidR="00050CD4" w:rsidRPr="00B6133E">
        <w:rPr>
          <w:rFonts w:ascii="Times New Roman" w:hAnsi="Times New Roman" w:cs="Times New Roman"/>
          <w:lang w:val="en-GB"/>
        </w:rPr>
        <w:t xml:space="preserve">in </w:t>
      </w:r>
      <w:r w:rsidR="00B80836" w:rsidRPr="00B6133E">
        <w:rPr>
          <w:rFonts w:ascii="Times New Roman" w:hAnsi="Times New Roman" w:cs="Times New Roman"/>
          <w:lang w:val="en-GB"/>
        </w:rPr>
        <w:t>eight</w:t>
      </w:r>
      <w:r w:rsidR="0047108A" w:rsidRPr="00B6133E">
        <w:rPr>
          <w:rFonts w:ascii="Times New Roman" w:hAnsi="Times New Roman" w:cs="Times New Roman"/>
          <w:lang w:val="en-GB"/>
        </w:rPr>
        <w:t xml:space="preserve"> available data set</w:t>
      </w:r>
      <w:r w:rsidR="00CB514A" w:rsidRPr="00B6133E">
        <w:rPr>
          <w:rFonts w:ascii="Times New Roman" w:hAnsi="Times New Roman" w:cs="Times New Roman"/>
          <w:lang w:val="en-GB"/>
        </w:rPr>
        <w:t>s</w:t>
      </w:r>
      <w:r w:rsidR="0047108A" w:rsidRPr="00B6133E">
        <w:rPr>
          <w:rFonts w:ascii="Times New Roman" w:hAnsi="Times New Roman" w:cs="Times New Roman"/>
          <w:lang w:val="en-GB"/>
        </w:rPr>
        <w:t xml:space="preserve"> from </w:t>
      </w:r>
      <w:r w:rsidR="00A10057" w:rsidRPr="00B6133E">
        <w:rPr>
          <w:rFonts w:ascii="Times New Roman" w:hAnsi="Times New Roman" w:cs="Times New Roman"/>
          <w:lang w:val="en-GB"/>
        </w:rPr>
        <w:t>1772</w:t>
      </w:r>
      <w:r w:rsidR="007A7F72" w:rsidRPr="00B6133E">
        <w:rPr>
          <w:rFonts w:ascii="Times New Roman" w:hAnsi="Times New Roman" w:cs="Times New Roman"/>
          <w:lang w:val="en-GB"/>
        </w:rPr>
        <w:t xml:space="preserve"> </w:t>
      </w:r>
      <w:r w:rsidR="007F7AB5" w:rsidRPr="00B6133E">
        <w:rPr>
          <w:rFonts w:ascii="Times New Roman" w:hAnsi="Times New Roman" w:cs="Times New Roman"/>
          <w:lang w:val="en-GB"/>
        </w:rPr>
        <w:t>patient</w:t>
      </w:r>
      <w:r w:rsidR="003F2F4D" w:rsidRPr="00B6133E">
        <w:rPr>
          <w:rFonts w:ascii="Times New Roman" w:hAnsi="Times New Roman" w:cs="Times New Roman"/>
          <w:lang w:val="en-GB"/>
        </w:rPr>
        <w:t>s</w:t>
      </w:r>
      <w:r w:rsidR="007F7AB5" w:rsidRPr="00B6133E">
        <w:rPr>
          <w:rFonts w:ascii="Times New Roman" w:hAnsi="Times New Roman" w:cs="Times New Roman"/>
          <w:lang w:val="en-GB"/>
        </w:rPr>
        <w:t>’</w:t>
      </w:r>
      <w:r w:rsidR="003F2F4D" w:rsidRPr="00B6133E">
        <w:rPr>
          <w:rFonts w:ascii="Times New Roman" w:hAnsi="Times New Roman" w:cs="Times New Roman"/>
          <w:lang w:val="en-GB"/>
        </w:rPr>
        <w:t xml:space="preserve"> myeloma </w:t>
      </w:r>
      <w:r w:rsidR="0047108A" w:rsidRPr="00B6133E">
        <w:rPr>
          <w:rFonts w:ascii="Times New Roman" w:hAnsi="Times New Roman" w:cs="Times New Roman"/>
          <w:lang w:val="en-GB"/>
        </w:rPr>
        <w:t xml:space="preserve">plasma cell </w:t>
      </w:r>
      <w:r w:rsidR="00B80836" w:rsidRPr="00B6133E">
        <w:rPr>
          <w:rFonts w:ascii="Times New Roman" w:hAnsi="Times New Roman" w:cs="Times New Roman"/>
          <w:lang w:val="en-GB"/>
        </w:rPr>
        <w:t>samples.</w:t>
      </w:r>
      <w:r w:rsidR="00AB2187" w:rsidRPr="00B6133E">
        <w:rPr>
          <w:rFonts w:ascii="Times New Roman" w:hAnsi="Times New Roman" w:cs="Times New Roman"/>
          <w:lang w:val="en-GB"/>
        </w:rPr>
        <w:t xml:space="preserve"> </w:t>
      </w:r>
    </w:p>
    <w:p w14:paraId="1F1FD861" w14:textId="057029BC" w:rsidR="006800D8" w:rsidRPr="00B6133E" w:rsidRDefault="0001159E" w:rsidP="00633382">
      <w:pPr>
        <w:spacing w:line="480" w:lineRule="auto"/>
        <w:rPr>
          <w:rFonts w:ascii="Times New Roman" w:hAnsi="Times New Roman" w:cs="Times New Roman"/>
          <w:lang w:val="en-GB"/>
        </w:rPr>
      </w:pPr>
      <w:r w:rsidRPr="00B6133E">
        <w:rPr>
          <w:rFonts w:ascii="Times New Roman" w:hAnsi="Times New Roman" w:cs="Times New Roman"/>
          <w:lang w:val="en-GB"/>
        </w:rPr>
        <w:t>The result</w:t>
      </w:r>
      <w:r w:rsidR="00985008" w:rsidRPr="00B6133E">
        <w:rPr>
          <w:rFonts w:ascii="Times New Roman" w:hAnsi="Times New Roman" w:cs="Times New Roman"/>
          <w:lang w:val="en-GB"/>
        </w:rPr>
        <w:t>ing</w:t>
      </w:r>
      <w:r w:rsidRPr="00B6133E">
        <w:rPr>
          <w:rFonts w:ascii="Times New Roman" w:hAnsi="Times New Roman" w:cs="Times New Roman"/>
          <w:lang w:val="en-GB"/>
        </w:rPr>
        <w:t xml:space="preserve"> </w:t>
      </w:r>
      <w:proofErr w:type="spellStart"/>
      <w:r w:rsidRPr="00B6133E">
        <w:rPr>
          <w:rFonts w:ascii="Times New Roman" w:hAnsi="Times New Roman" w:cs="Times New Roman"/>
          <w:lang w:val="en-GB"/>
        </w:rPr>
        <w:t>tumor</w:t>
      </w:r>
      <w:proofErr w:type="spellEnd"/>
      <w:r w:rsidRPr="00B6133E">
        <w:rPr>
          <w:rFonts w:ascii="Times New Roman" w:hAnsi="Times New Roman" w:cs="Times New Roman"/>
          <w:lang w:val="en-GB"/>
        </w:rPr>
        <w:t xml:space="preserve"> assignments in available clinical datasets exhibited similar BAGS subtype frequencies in four cohorts </w:t>
      </w:r>
      <w:r w:rsidR="0047108A" w:rsidRPr="00B6133E">
        <w:rPr>
          <w:rFonts w:ascii="Times New Roman" w:hAnsi="Times New Roman" w:cs="Times New Roman"/>
          <w:lang w:val="en-GB"/>
        </w:rPr>
        <w:t xml:space="preserve">from </w:t>
      </w:r>
      <w:r w:rsidR="0047108A" w:rsidRPr="00B6133E">
        <w:rPr>
          <w:rFonts w:ascii="Times New Roman" w:hAnsi="Times New Roman" w:cs="Times New Roman"/>
          <w:i/>
          <w:lang w:val="en-GB"/>
        </w:rPr>
        <w:t>de novo</w:t>
      </w:r>
      <w:r w:rsidR="0047108A" w:rsidRPr="00B6133E">
        <w:rPr>
          <w:rFonts w:ascii="Times New Roman" w:hAnsi="Times New Roman" w:cs="Times New Roman"/>
          <w:lang w:val="en-GB"/>
        </w:rPr>
        <w:t xml:space="preserve"> multiple myeloma patients </w:t>
      </w:r>
      <w:r w:rsidRPr="00B6133E">
        <w:rPr>
          <w:rFonts w:ascii="Times New Roman" w:hAnsi="Times New Roman" w:cs="Times New Roman"/>
          <w:lang w:val="en-GB"/>
        </w:rPr>
        <w:t xml:space="preserve">across </w:t>
      </w:r>
      <w:r w:rsidR="00B80836" w:rsidRPr="00B6133E">
        <w:rPr>
          <w:rFonts w:ascii="Times New Roman" w:hAnsi="Times New Roman" w:cs="Times New Roman"/>
          <w:lang w:val="en-GB"/>
        </w:rPr>
        <w:t xml:space="preserve">1296 </w:t>
      </w:r>
      <w:r w:rsidRPr="00B6133E">
        <w:rPr>
          <w:rFonts w:ascii="Times New Roman" w:hAnsi="Times New Roman" w:cs="Times New Roman"/>
          <w:lang w:val="en-GB"/>
        </w:rPr>
        <w:t xml:space="preserve">individual cases. </w:t>
      </w:r>
      <w:r w:rsidR="0080045B" w:rsidRPr="00B6133E">
        <w:rPr>
          <w:rFonts w:ascii="Times New Roman" w:hAnsi="Times New Roman" w:cs="Times New Roman"/>
          <w:lang w:val="en-GB"/>
        </w:rPr>
        <w:t>The BAGS subtypes were significantly associated with</w:t>
      </w:r>
      <w:r w:rsidR="00233230" w:rsidRPr="00B6133E">
        <w:rPr>
          <w:rFonts w:ascii="Times New Roman" w:hAnsi="Times New Roman" w:cs="Times New Roman"/>
          <w:lang w:val="en-GB"/>
        </w:rPr>
        <w:t xml:space="preserve"> progression</w:t>
      </w:r>
      <w:r w:rsidR="00A72224" w:rsidRPr="00B6133E">
        <w:rPr>
          <w:rFonts w:ascii="Times New Roman" w:hAnsi="Times New Roman" w:cs="Times New Roman"/>
          <w:lang w:val="en-GB"/>
        </w:rPr>
        <w:t>-</w:t>
      </w:r>
      <w:r w:rsidR="00233230" w:rsidRPr="00B6133E">
        <w:rPr>
          <w:rFonts w:ascii="Times New Roman" w:hAnsi="Times New Roman" w:cs="Times New Roman"/>
          <w:lang w:val="en-GB"/>
        </w:rPr>
        <w:t xml:space="preserve">free and overall survival </w:t>
      </w:r>
      <w:r w:rsidR="00050CD4" w:rsidRPr="00B6133E">
        <w:rPr>
          <w:rFonts w:ascii="Times New Roman" w:hAnsi="Times New Roman" w:cs="Times New Roman"/>
          <w:lang w:val="en-GB"/>
        </w:rPr>
        <w:t>in a</w:t>
      </w:r>
      <w:r w:rsidR="0080045B" w:rsidRPr="00B6133E">
        <w:rPr>
          <w:rFonts w:ascii="Times New Roman" w:hAnsi="Times New Roman" w:cs="Times New Roman"/>
          <w:lang w:val="en-GB"/>
        </w:rPr>
        <w:t xml:space="preserve"> </w:t>
      </w:r>
      <w:r w:rsidR="00DC62A8" w:rsidRPr="00B6133E">
        <w:rPr>
          <w:rFonts w:ascii="Times New Roman" w:hAnsi="Times New Roman" w:cs="Times New Roman"/>
          <w:lang w:val="en-GB"/>
        </w:rPr>
        <w:t>meta-analysis</w:t>
      </w:r>
      <w:r w:rsidR="0080045B" w:rsidRPr="00B6133E">
        <w:rPr>
          <w:rFonts w:ascii="Times New Roman" w:hAnsi="Times New Roman" w:cs="Times New Roman"/>
          <w:lang w:val="en-GB"/>
        </w:rPr>
        <w:t xml:space="preserve"> of </w:t>
      </w:r>
      <w:r w:rsidR="004A592D" w:rsidRPr="00B6133E">
        <w:rPr>
          <w:rFonts w:ascii="Times New Roman" w:hAnsi="Times New Roman" w:cs="Times New Roman"/>
          <w:lang w:val="en-GB"/>
        </w:rPr>
        <w:t xml:space="preserve">916 </w:t>
      </w:r>
      <w:r w:rsidR="00A72224" w:rsidRPr="00B6133E">
        <w:rPr>
          <w:rFonts w:ascii="Times New Roman" w:hAnsi="Times New Roman" w:cs="Times New Roman"/>
          <w:lang w:val="en-GB"/>
        </w:rPr>
        <w:t>patients</w:t>
      </w:r>
      <w:r w:rsidR="0047108A" w:rsidRPr="00B6133E">
        <w:rPr>
          <w:rFonts w:ascii="Times New Roman" w:hAnsi="Times New Roman" w:cs="Times New Roman"/>
          <w:lang w:val="en-GB"/>
        </w:rPr>
        <w:t xml:space="preserve"> from three prospective </w:t>
      </w:r>
      <w:r w:rsidR="00297472" w:rsidRPr="00B6133E">
        <w:rPr>
          <w:rFonts w:ascii="Times New Roman" w:hAnsi="Times New Roman" w:cs="Times New Roman"/>
          <w:lang w:val="en-GB"/>
        </w:rPr>
        <w:t xml:space="preserve">clinical </w:t>
      </w:r>
      <w:r w:rsidR="0047108A" w:rsidRPr="00B6133E">
        <w:rPr>
          <w:rFonts w:ascii="Times New Roman" w:hAnsi="Times New Roman" w:cs="Times New Roman"/>
          <w:lang w:val="en-GB"/>
        </w:rPr>
        <w:t>trial</w:t>
      </w:r>
      <w:r w:rsidR="00297472" w:rsidRPr="00B6133E">
        <w:rPr>
          <w:rFonts w:ascii="Times New Roman" w:hAnsi="Times New Roman" w:cs="Times New Roman"/>
          <w:lang w:val="en-GB"/>
        </w:rPr>
        <w:t>s</w:t>
      </w:r>
      <w:r w:rsidR="0080045B" w:rsidRPr="00B6133E">
        <w:rPr>
          <w:rFonts w:ascii="Times New Roman" w:hAnsi="Times New Roman" w:cs="Times New Roman"/>
          <w:lang w:val="en-GB"/>
        </w:rPr>
        <w:t xml:space="preserve">. The major impact was observed within the </w:t>
      </w:r>
      <w:proofErr w:type="spellStart"/>
      <w:r w:rsidR="0080045B" w:rsidRPr="00B6133E">
        <w:rPr>
          <w:rFonts w:ascii="Times New Roman" w:hAnsi="Times New Roman" w:cs="Times New Roman"/>
          <w:lang w:val="en-GB"/>
        </w:rPr>
        <w:t>PreBII</w:t>
      </w:r>
      <w:proofErr w:type="spellEnd"/>
      <w:r w:rsidR="0080045B" w:rsidRPr="00B6133E">
        <w:rPr>
          <w:rFonts w:ascii="Times New Roman" w:hAnsi="Times New Roman" w:cs="Times New Roman"/>
          <w:lang w:val="en-GB"/>
        </w:rPr>
        <w:t xml:space="preserve"> and </w:t>
      </w:r>
      <w:r w:rsidR="00384603" w:rsidRPr="00B6133E">
        <w:rPr>
          <w:rFonts w:ascii="Times New Roman" w:hAnsi="Times New Roman" w:cs="Times New Roman"/>
          <w:lang w:val="en-GB"/>
        </w:rPr>
        <w:t xml:space="preserve">memory </w:t>
      </w:r>
      <w:r w:rsidR="0080045B" w:rsidRPr="00B6133E">
        <w:rPr>
          <w:rFonts w:ascii="Times New Roman" w:hAnsi="Times New Roman" w:cs="Times New Roman"/>
          <w:lang w:val="en-GB"/>
        </w:rPr>
        <w:t>subtypes</w:t>
      </w:r>
      <w:r w:rsidR="00A72224" w:rsidRPr="00B6133E">
        <w:rPr>
          <w:rFonts w:ascii="Times New Roman" w:hAnsi="Times New Roman" w:cs="Times New Roman"/>
          <w:lang w:val="en-GB"/>
        </w:rPr>
        <w:t>,</w:t>
      </w:r>
      <w:r w:rsidR="0080045B" w:rsidRPr="00B6133E">
        <w:rPr>
          <w:rFonts w:ascii="Times New Roman" w:hAnsi="Times New Roman" w:cs="Times New Roman"/>
          <w:lang w:val="en-GB"/>
        </w:rPr>
        <w:t xml:space="preserve"> </w:t>
      </w:r>
      <w:r w:rsidR="00A72224" w:rsidRPr="00B6133E">
        <w:rPr>
          <w:rFonts w:ascii="Times New Roman" w:hAnsi="Times New Roman" w:cs="Times New Roman"/>
          <w:lang w:val="en-GB"/>
        </w:rPr>
        <w:t>which had</w:t>
      </w:r>
      <w:r w:rsidR="0080045B" w:rsidRPr="00B6133E">
        <w:rPr>
          <w:rFonts w:ascii="Times New Roman" w:hAnsi="Times New Roman" w:cs="Times New Roman"/>
          <w:lang w:val="en-GB"/>
        </w:rPr>
        <w:t xml:space="preserve"> </w:t>
      </w:r>
      <w:r w:rsidR="00A72224" w:rsidRPr="00B6133E">
        <w:rPr>
          <w:rFonts w:ascii="Times New Roman" w:hAnsi="Times New Roman" w:cs="Times New Roman"/>
          <w:lang w:val="en-GB"/>
        </w:rPr>
        <w:t xml:space="preserve">a </w:t>
      </w:r>
      <w:r w:rsidR="0080045B" w:rsidRPr="00B6133E">
        <w:rPr>
          <w:rFonts w:ascii="Times New Roman" w:hAnsi="Times New Roman" w:cs="Times New Roman"/>
          <w:lang w:val="en-GB"/>
        </w:rPr>
        <w:t>significant</w:t>
      </w:r>
      <w:r w:rsidR="00A72224" w:rsidRPr="00B6133E">
        <w:rPr>
          <w:rFonts w:ascii="Times New Roman" w:hAnsi="Times New Roman" w:cs="Times New Roman"/>
          <w:lang w:val="en-GB"/>
        </w:rPr>
        <w:t>ly</w:t>
      </w:r>
      <w:r w:rsidR="0080045B" w:rsidRPr="00B6133E">
        <w:rPr>
          <w:rFonts w:ascii="Times New Roman" w:hAnsi="Times New Roman" w:cs="Times New Roman"/>
          <w:lang w:val="en-GB"/>
        </w:rPr>
        <w:t xml:space="preserve"> inferior prognosis compared to </w:t>
      </w:r>
      <w:r w:rsidR="00384603" w:rsidRPr="00B6133E">
        <w:rPr>
          <w:rFonts w:ascii="Times New Roman" w:hAnsi="Times New Roman" w:cs="Times New Roman"/>
          <w:lang w:val="en-GB"/>
        </w:rPr>
        <w:t>other</w:t>
      </w:r>
      <w:r w:rsidR="0080045B" w:rsidRPr="00B6133E">
        <w:rPr>
          <w:rFonts w:ascii="Times New Roman" w:hAnsi="Times New Roman" w:cs="Times New Roman"/>
          <w:lang w:val="en-GB"/>
        </w:rPr>
        <w:t xml:space="preserve"> subtypes. </w:t>
      </w:r>
      <w:r w:rsidR="00F6683A" w:rsidRPr="00B6133E">
        <w:rPr>
          <w:rFonts w:ascii="Times New Roman" w:hAnsi="Times New Roman" w:cs="Times New Roman"/>
          <w:lang w:val="en-GB"/>
        </w:rPr>
        <w:t>A multi</w:t>
      </w:r>
      <w:r w:rsidR="00740C71" w:rsidRPr="00B6133E">
        <w:rPr>
          <w:rFonts w:ascii="Times New Roman" w:hAnsi="Times New Roman" w:cs="Times New Roman"/>
          <w:lang w:val="en-GB"/>
        </w:rPr>
        <w:t>ple</w:t>
      </w:r>
      <w:r w:rsidR="00F6683A" w:rsidRPr="00B6133E">
        <w:rPr>
          <w:rFonts w:ascii="Times New Roman" w:hAnsi="Times New Roman" w:cs="Times New Roman"/>
          <w:lang w:val="en-GB"/>
        </w:rPr>
        <w:t xml:space="preserve"> </w:t>
      </w:r>
      <w:r w:rsidR="0080045B" w:rsidRPr="00B6133E">
        <w:rPr>
          <w:rFonts w:ascii="Times New Roman" w:hAnsi="Times New Roman" w:cs="Times New Roman"/>
          <w:lang w:val="en-GB"/>
        </w:rPr>
        <w:t xml:space="preserve">Cox proportional hazard analysis </w:t>
      </w:r>
      <w:r w:rsidR="002B0B48" w:rsidRPr="00B6133E">
        <w:rPr>
          <w:rFonts w:ascii="Times New Roman" w:hAnsi="Times New Roman" w:cs="Times New Roman"/>
          <w:lang w:val="en-GB"/>
        </w:rPr>
        <w:t>documented</w:t>
      </w:r>
      <w:r w:rsidR="0080045B" w:rsidRPr="00B6133E">
        <w:rPr>
          <w:rFonts w:ascii="Times New Roman" w:hAnsi="Times New Roman" w:cs="Times New Roman"/>
          <w:lang w:val="en-GB"/>
        </w:rPr>
        <w:t xml:space="preserve"> th</w:t>
      </w:r>
      <w:r w:rsidR="00384603" w:rsidRPr="00B6133E">
        <w:rPr>
          <w:rFonts w:ascii="Times New Roman" w:hAnsi="Times New Roman" w:cs="Times New Roman"/>
          <w:lang w:val="en-GB"/>
        </w:rPr>
        <w:t>at</w:t>
      </w:r>
      <w:r w:rsidR="0080045B" w:rsidRPr="00B6133E">
        <w:rPr>
          <w:rFonts w:ascii="Times New Roman" w:hAnsi="Times New Roman" w:cs="Times New Roman"/>
          <w:lang w:val="en-GB"/>
        </w:rPr>
        <w:t xml:space="preserve"> BAGS subtypes added significant</w:t>
      </w:r>
      <w:r w:rsidR="00A72224" w:rsidRPr="00B6133E">
        <w:rPr>
          <w:rFonts w:ascii="Times New Roman" w:hAnsi="Times New Roman" w:cs="Times New Roman"/>
          <w:lang w:val="en-GB"/>
        </w:rPr>
        <w:t>,</w:t>
      </w:r>
      <w:r w:rsidR="0080045B" w:rsidRPr="00B6133E">
        <w:rPr>
          <w:rFonts w:ascii="Times New Roman" w:hAnsi="Times New Roman" w:cs="Times New Roman"/>
          <w:lang w:val="en-GB"/>
        </w:rPr>
        <w:t xml:space="preserve"> independent prognostic information to the TC</w:t>
      </w:r>
      <w:r w:rsidR="001775E1" w:rsidRPr="00B6133E">
        <w:rPr>
          <w:rFonts w:ascii="Times New Roman" w:hAnsi="Times New Roman" w:cs="Times New Roman"/>
          <w:lang w:val="en-GB"/>
        </w:rPr>
        <w:t xml:space="preserve"> </w:t>
      </w:r>
      <w:r w:rsidR="0080045B" w:rsidRPr="00B6133E">
        <w:rPr>
          <w:rFonts w:ascii="Times New Roman" w:hAnsi="Times New Roman" w:cs="Times New Roman"/>
          <w:lang w:val="en-GB"/>
        </w:rPr>
        <w:t>classification.</w:t>
      </w:r>
      <w:r w:rsidR="00705E52" w:rsidRPr="00B6133E">
        <w:rPr>
          <w:rFonts w:ascii="Times New Roman" w:hAnsi="Times New Roman" w:cs="Times New Roman"/>
          <w:lang w:val="en-GB"/>
        </w:rPr>
        <w:t xml:space="preserve"> BAGS subtype analysis</w:t>
      </w:r>
      <w:r w:rsidR="005D715F" w:rsidRPr="00B6133E">
        <w:rPr>
          <w:rFonts w:ascii="Times New Roman" w:hAnsi="Times New Roman" w:cs="Times New Roman"/>
          <w:lang w:val="en-GB"/>
        </w:rPr>
        <w:t xml:space="preserve"> of patient cases</w:t>
      </w:r>
      <w:r w:rsidR="00705E52" w:rsidRPr="00B6133E">
        <w:rPr>
          <w:rFonts w:ascii="Times New Roman" w:hAnsi="Times New Roman" w:cs="Times New Roman"/>
          <w:lang w:val="en-GB"/>
        </w:rPr>
        <w:t xml:space="preserve"> identified</w:t>
      </w:r>
      <w:r w:rsidR="005D715F" w:rsidRPr="00B6133E">
        <w:rPr>
          <w:rFonts w:ascii="Times New Roman" w:hAnsi="Times New Roman" w:cs="Times New Roman"/>
          <w:lang w:val="en-GB"/>
        </w:rPr>
        <w:t xml:space="preserve"> </w:t>
      </w:r>
      <w:proofErr w:type="spellStart"/>
      <w:r w:rsidR="005D715F" w:rsidRPr="00B6133E">
        <w:rPr>
          <w:rFonts w:ascii="Times New Roman" w:hAnsi="Times New Roman" w:cs="Times New Roman"/>
          <w:lang w:val="en-GB"/>
        </w:rPr>
        <w:t>transcriptonal</w:t>
      </w:r>
      <w:proofErr w:type="spellEnd"/>
      <w:r w:rsidR="006B4DAA" w:rsidRPr="00B6133E">
        <w:rPr>
          <w:rFonts w:ascii="Times New Roman" w:hAnsi="Times New Roman" w:cs="Times New Roman"/>
          <w:lang w:val="en-GB"/>
        </w:rPr>
        <w:t xml:space="preserve"> dif</w:t>
      </w:r>
      <w:r w:rsidR="00705E52" w:rsidRPr="00B6133E">
        <w:rPr>
          <w:rFonts w:ascii="Times New Roman" w:hAnsi="Times New Roman" w:cs="Times New Roman"/>
          <w:lang w:val="en-GB"/>
        </w:rPr>
        <w:t>ferences</w:t>
      </w:r>
      <w:r w:rsidR="005D715F" w:rsidRPr="00B6133E">
        <w:rPr>
          <w:rFonts w:ascii="Times New Roman" w:hAnsi="Times New Roman" w:cs="Times New Roman"/>
          <w:lang w:val="en-GB"/>
        </w:rPr>
        <w:t xml:space="preserve">, including a number of </w:t>
      </w:r>
      <w:r w:rsidR="00705E52" w:rsidRPr="00B6133E">
        <w:rPr>
          <w:rFonts w:ascii="Times New Roman" w:hAnsi="Times New Roman" w:cs="Times New Roman"/>
          <w:lang w:val="en-GB"/>
        </w:rPr>
        <w:t>differentially spliced genes</w:t>
      </w:r>
      <w:r w:rsidR="006B4DAA" w:rsidRPr="00B6133E">
        <w:rPr>
          <w:rFonts w:ascii="Times New Roman" w:hAnsi="Times New Roman" w:cs="Times New Roman"/>
          <w:lang w:val="en-GB"/>
        </w:rPr>
        <w:t>.</w:t>
      </w:r>
      <w:r w:rsidR="00C07622" w:rsidRPr="00B6133E">
        <w:rPr>
          <w:rFonts w:ascii="Times New Roman" w:hAnsi="Times New Roman" w:cs="Times New Roman"/>
          <w:lang w:val="en-GB"/>
        </w:rPr>
        <w:t xml:space="preserve"> </w:t>
      </w:r>
    </w:p>
    <w:p w14:paraId="5BF8576A" w14:textId="2403CBCB" w:rsidR="001F4E2E" w:rsidRPr="00B6133E" w:rsidRDefault="00EA0267" w:rsidP="00633382">
      <w:pPr>
        <w:spacing w:line="480" w:lineRule="auto"/>
        <w:rPr>
          <w:rFonts w:ascii="Times New Roman" w:hAnsi="Times New Roman" w:cs="Times New Roman"/>
          <w:lang w:val="en-US"/>
        </w:rPr>
      </w:pPr>
      <w:r w:rsidRPr="00B6133E">
        <w:rPr>
          <w:rFonts w:ascii="Times New Roman" w:hAnsi="Times New Roman" w:cs="Times New Roman"/>
          <w:lang w:val="en-GB"/>
        </w:rPr>
        <w:t xml:space="preserve">We </w:t>
      </w:r>
      <w:r w:rsidR="0004197E" w:rsidRPr="00B6133E">
        <w:rPr>
          <w:rFonts w:ascii="Times New Roman" w:hAnsi="Times New Roman" w:cs="Times New Roman"/>
          <w:lang w:val="en-GB"/>
        </w:rPr>
        <w:t>identified</w:t>
      </w:r>
      <w:r w:rsidR="004C3F9B" w:rsidRPr="00B6133E">
        <w:rPr>
          <w:rFonts w:ascii="Times New Roman" w:hAnsi="Times New Roman" w:cs="Times New Roman"/>
          <w:lang w:val="en-GB"/>
        </w:rPr>
        <w:t xml:space="preserve"> </w:t>
      </w:r>
      <w:r w:rsidR="00B10181" w:rsidRPr="00B6133E">
        <w:rPr>
          <w:rFonts w:ascii="Times New Roman" w:hAnsi="Times New Roman" w:cs="Times New Roman"/>
          <w:lang w:val="en-GB"/>
        </w:rPr>
        <w:t xml:space="preserve">subtype </w:t>
      </w:r>
      <w:r w:rsidR="004C3F9B" w:rsidRPr="00B6133E">
        <w:rPr>
          <w:rFonts w:ascii="Times New Roman" w:hAnsi="Times New Roman" w:cs="Times New Roman"/>
          <w:lang w:val="en-GB"/>
        </w:rPr>
        <w:t>d</w:t>
      </w:r>
      <w:r w:rsidR="00514A8D" w:rsidRPr="00B6133E">
        <w:rPr>
          <w:rFonts w:ascii="Times New Roman" w:hAnsi="Times New Roman" w:cs="Times New Roman"/>
          <w:lang w:val="en-GB"/>
        </w:rPr>
        <w:t xml:space="preserve">ifferences in myeloma </w:t>
      </w:r>
      <w:r w:rsidR="008D7A7D" w:rsidRPr="00B6133E">
        <w:rPr>
          <w:rFonts w:ascii="Times New Roman" w:hAnsi="Times New Roman" w:cs="Times New Roman"/>
          <w:lang w:val="en-GB"/>
        </w:rPr>
        <w:t>at diagnosis</w:t>
      </w:r>
      <w:r w:rsidR="00A72224" w:rsidRPr="00B6133E">
        <w:rPr>
          <w:rFonts w:ascii="Times New Roman" w:hAnsi="Times New Roman" w:cs="Times New Roman"/>
          <w:lang w:val="en-GB"/>
        </w:rPr>
        <w:t>,</w:t>
      </w:r>
      <w:r w:rsidRPr="00B6133E">
        <w:rPr>
          <w:rFonts w:ascii="Times New Roman" w:hAnsi="Times New Roman" w:cs="Times New Roman"/>
          <w:lang w:val="en-GB"/>
        </w:rPr>
        <w:t xml:space="preserve"> with prognostic impact</w:t>
      </w:r>
      <w:r w:rsidR="00E74EA9" w:rsidRPr="00B6133E">
        <w:rPr>
          <w:rFonts w:ascii="Times New Roman" w:hAnsi="Times New Roman" w:cs="Times New Roman"/>
          <w:lang w:val="en-GB"/>
        </w:rPr>
        <w:t xml:space="preserve"> and predictive potential</w:t>
      </w:r>
      <w:r w:rsidR="00A72224" w:rsidRPr="00B6133E">
        <w:rPr>
          <w:rFonts w:ascii="Times New Roman" w:hAnsi="Times New Roman" w:cs="Times New Roman"/>
          <w:lang w:val="en-GB"/>
        </w:rPr>
        <w:t>,</w:t>
      </w:r>
      <w:r w:rsidRPr="00B6133E">
        <w:rPr>
          <w:rFonts w:ascii="Times New Roman" w:hAnsi="Times New Roman" w:cs="Times New Roman"/>
          <w:lang w:val="en-GB"/>
        </w:rPr>
        <w:t xml:space="preserve"> support</w:t>
      </w:r>
      <w:r w:rsidR="00A72224" w:rsidRPr="00B6133E">
        <w:rPr>
          <w:rFonts w:ascii="Times New Roman" w:hAnsi="Times New Roman" w:cs="Times New Roman"/>
          <w:lang w:val="en-GB"/>
        </w:rPr>
        <w:t>ing</w:t>
      </w:r>
      <w:r w:rsidRPr="00B6133E">
        <w:rPr>
          <w:rFonts w:ascii="Times New Roman" w:hAnsi="Times New Roman" w:cs="Times New Roman"/>
          <w:lang w:val="en-GB"/>
        </w:rPr>
        <w:t xml:space="preserve"> </w:t>
      </w:r>
      <w:r w:rsidR="00B16893" w:rsidRPr="00B6133E">
        <w:rPr>
          <w:rFonts w:ascii="Times New Roman" w:hAnsi="Times New Roman" w:cs="Times New Roman"/>
          <w:lang w:val="en-GB"/>
        </w:rPr>
        <w:t xml:space="preserve">an </w:t>
      </w:r>
      <w:r w:rsidR="003804D3" w:rsidRPr="00B6133E">
        <w:rPr>
          <w:rFonts w:ascii="Times New Roman" w:hAnsi="Times New Roman" w:cs="Times New Roman"/>
          <w:lang w:val="en-GB"/>
        </w:rPr>
        <w:t xml:space="preserve">acquired B-cell </w:t>
      </w:r>
      <w:r w:rsidR="00B16893" w:rsidRPr="00B6133E">
        <w:rPr>
          <w:rFonts w:ascii="Times New Roman" w:hAnsi="Times New Roman" w:cs="Times New Roman"/>
          <w:lang w:val="en-GB"/>
        </w:rPr>
        <w:t>trait</w:t>
      </w:r>
      <w:r w:rsidR="003804D3" w:rsidRPr="00B6133E">
        <w:rPr>
          <w:rFonts w:ascii="Times New Roman" w:hAnsi="Times New Roman" w:cs="Times New Roman"/>
          <w:lang w:val="en-GB"/>
        </w:rPr>
        <w:t xml:space="preserve"> </w:t>
      </w:r>
      <w:r w:rsidR="00B16893" w:rsidRPr="00B6133E">
        <w:rPr>
          <w:rFonts w:ascii="Times New Roman" w:hAnsi="Times New Roman" w:cs="Times New Roman"/>
          <w:lang w:val="en-GB"/>
        </w:rPr>
        <w:t>and</w:t>
      </w:r>
      <w:r w:rsidRPr="00B6133E">
        <w:rPr>
          <w:rFonts w:ascii="Times New Roman" w:hAnsi="Times New Roman" w:cs="Times New Roman"/>
          <w:lang w:val="en-GB"/>
        </w:rPr>
        <w:t xml:space="preserve"> </w:t>
      </w:r>
      <w:r w:rsidR="003804D3" w:rsidRPr="00B6133E">
        <w:rPr>
          <w:rFonts w:ascii="Times New Roman" w:hAnsi="Times New Roman" w:cs="Times New Roman"/>
          <w:lang w:val="en-GB"/>
        </w:rPr>
        <w:t xml:space="preserve">phenotypic plasticity as a </w:t>
      </w:r>
      <w:proofErr w:type="spellStart"/>
      <w:r w:rsidR="00EA33B8" w:rsidRPr="00B6133E">
        <w:rPr>
          <w:rFonts w:ascii="Times New Roman" w:hAnsi="Times New Roman" w:cs="Times New Roman"/>
          <w:lang w:val="en-GB"/>
        </w:rPr>
        <w:t>pathogenetic</w:t>
      </w:r>
      <w:proofErr w:type="spellEnd"/>
      <w:r w:rsidR="00EA33B8" w:rsidRPr="00B6133E">
        <w:rPr>
          <w:rFonts w:ascii="Times New Roman" w:hAnsi="Times New Roman" w:cs="Times New Roman"/>
          <w:lang w:val="en-GB"/>
        </w:rPr>
        <w:t xml:space="preserve"> </w:t>
      </w:r>
      <w:r w:rsidR="003804D3" w:rsidRPr="00B6133E">
        <w:rPr>
          <w:rFonts w:ascii="Times New Roman" w:hAnsi="Times New Roman" w:cs="Times New Roman"/>
          <w:lang w:val="en-GB"/>
        </w:rPr>
        <w:t>hallmark</w:t>
      </w:r>
      <w:r w:rsidR="002B0B48" w:rsidRPr="00B6133E">
        <w:rPr>
          <w:rFonts w:ascii="Times New Roman" w:hAnsi="Times New Roman" w:cs="Times New Roman"/>
          <w:lang w:val="en-GB"/>
        </w:rPr>
        <w:t xml:space="preserve"> </w:t>
      </w:r>
      <w:r w:rsidR="00A72224" w:rsidRPr="00B6133E">
        <w:rPr>
          <w:rFonts w:ascii="Times New Roman" w:hAnsi="Times New Roman" w:cs="Times New Roman"/>
          <w:lang w:val="en-GB"/>
        </w:rPr>
        <w:t xml:space="preserve">of </w:t>
      </w:r>
      <w:r w:rsidR="005A5400" w:rsidRPr="00B6133E">
        <w:rPr>
          <w:rFonts w:ascii="Times New Roman" w:hAnsi="Times New Roman" w:cs="Times New Roman"/>
          <w:lang w:val="en-US"/>
        </w:rPr>
        <w:t>multiple myeloma</w:t>
      </w:r>
      <w:r w:rsidRPr="00B6133E">
        <w:rPr>
          <w:rFonts w:ascii="Times New Roman" w:hAnsi="Times New Roman" w:cs="Times New Roman"/>
          <w:lang w:val="en-GB"/>
        </w:rPr>
        <w:t>.</w:t>
      </w:r>
      <w:bookmarkStart w:id="1" w:name="_Toc298746767"/>
      <w:r w:rsidR="001F4E2E" w:rsidRPr="00B6133E">
        <w:rPr>
          <w:rFonts w:ascii="Times New Roman" w:hAnsi="Times New Roman" w:cs="Times New Roman"/>
          <w:lang w:val="en-US"/>
        </w:rPr>
        <w:br w:type="page"/>
      </w:r>
    </w:p>
    <w:p w14:paraId="613E5446" w14:textId="77777777" w:rsidR="00E66D3B" w:rsidRPr="00B6133E" w:rsidRDefault="00E66D3B" w:rsidP="00B6133E">
      <w:pPr>
        <w:pStyle w:val="Overskrift2"/>
      </w:pPr>
      <w:r w:rsidRPr="00B6133E">
        <w:lastRenderedPageBreak/>
        <w:t>introduction</w:t>
      </w:r>
    </w:p>
    <w:p w14:paraId="41682565" w14:textId="147649B2" w:rsidR="000A15F4" w:rsidRPr="00B6133E" w:rsidRDefault="000A15F4" w:rsidP="000A15F4">
      <w:pPr>
        <w:spacing w:before="0" w:after="0" w:line="480" w:lineRule="auto"/>
        <w:rPr>
          <w:rFonts w:ascii="Times New Roman" w:hAnsi="Times New Roman" w:cs="Times New Roman"/>
          <w:lang w:val="en-US"/>
        </w:rPr>
      </w:pPr>
      <w:r w:rsidRPr="00B6133E">
        <w:rPr>
          <w:rFonts w:ascii="Times New Roman" w:hAnsi="Times New Roman" w:cs="Times New Roman"/>
          <w:lang w:val="en-US"/>
        </w:rPr>
        <w:t xml:space="preserve">Despite the extensive insight into </w:t>
      </w:r>
      <w:r w:rsidR="007E425C" w:rsidRPr="00B6133E">
        <w:rPr>
          <w:rFonts w:ascii="Times New Roman" w:hAnsi="Times New Roman" w:cs="Times New Roman"/>
          <w:lang w:val="en-US"/>
        </w:rPr>
        <w:t>multiple myeloma (</w:t>
      </w:r>
      <w:r w:rsidRPr="00B6133E">
        <w:rPr>
          <w:rFonts w:ascii="Times New Roman" w:hAnsi="Times New Roman" w:cs="Times New Roman"/>
          <w:lang w:val="en-US"/>
        </w:rPr>
        <w:t>MM</w:t>
      </w:r>
      <w:r w:rsidR="007E425C" w:rsidRPr="00B6133E">
        <w:rPr>
          <w:rFonts w:ascii="Times New Roman" w:hAnsi="Times New Roman" w:cs="Times New Roman"/>
          <w:lang w:val="en-US"/>
        </w:rPr>
        <w:t>)</w:t>
      </w:r>
      <w:r w:rsidRPr="00B6133E">
        <w:rPr>
          <w:rFonts w:ascii="Times New Roman" w:hAnsi="Times New Roman" w:cs="Times New Roman"/>
          <w:lang w:val="en-US"/>
        </w:rPr>
        <w:t xml:space="preserve"> pathogenesis</w:t>
      </w:r>
      <w:r w:rsidR="00483EFD" w:rsidRPr="00B6133E">
        <w:rPr>
          <w:rFonts w:ascii="Times New Roman" w:hAnsi="Times New Roman" w:cs="Times New Roman"/>
          <w:lang w:val="en-US"/>
        </w:rPr>
        <w:t>,</w:t>
      </w:r>
      <w:r w:rsidRPr="00B6133E">
        <w:rPr>
          <w:rFonts w:ascii="Times New Roman" w:hAnsi="Times New Roman" w:cs="Times New Roman"/>
          <w:lang w:val="en-US"/>
        </w:rPr>
        <w:t xml:space="preserve"> as outlined in the WHO classification</w:t>
      </w:r>
      <w:r w:rsidR="00CE7844"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{"citationItems":[{"id":"ITEM-1","itemData":{"DOI":"10.1182/blood-2011-01-293050","ISSN":"1528-0020","PMID":"21300984","abstract":"The World Health Organization classification of lymphoid neoplasms updated in 2008 represents a worldwide consensus on the diagnosis of these tumors and is based on the recognition of distinct diseases, using a multidisciplinary approach. The updated classification refined the definitions of well-recognized diseases, identified new entities and variants, and incorporated emerging concepts in the understanding of lymphoid neoplasms. However, some questions were unresolved, such as the extent to which specific genetic or molecular alterations define certain tumors, and the status of provisional entities, categories for which the World Health Organization working groups felt there was insufficient evidence to recognize as distinct diseases at this time. In addition, since its publication, new findings and ideas have been generated. This review summarizes the scientific rationale for the classification, emphasizing changes that have had an effect on practice guidelines. The authors address the criteria and significance of early or precursor lesions and the identification of certain lymphoid neoplasms largely associated with particular age groups, such as children and the elderly. The issue of borderline categories having overlapping features with large B-cell lymphomas, as well as several provisional entities, is reviewed. These new observations chart a course for future research in the field.","author":[{"dropping-particle":"","family":"Campo","given":"Elias","non-dropping-particle":"","parse-names":false,"suffix":""},{"dropping-particle":"","family":"Swerdlow","given":"Steven H","non-dropping-particle":"","parse-names":false,"suffix":""},{"dropping-particle":"","family":"Harris","given":"Nancy L","non-dropping-particle":"","parse-names":false,"suffix":""},{"dropping-particle":"","family":"Pileri","given":"Stefano","non-dropping-particle":"","parse-names":false,"suffix":""},{"dropping-particle":"","family":"Stein","given":"Harald","non-dropping-particle":"","parse-names":false,"suffix":""},{"dropping-particle":"","family":"Jaffe","given":"Elaine S","non-dropping-particle":"","parse-names":false,"suffix":""}],"container-title":"Blood","id":"ITEM-1","issue":"19","issued":{"date-parts":[["2011","5","12"]]},"page":"5019-32","title":"The 2008 WHO classification of lymphoid neoplasms and beyond : evolving concepts and practical applications","type":"article-journal","volume":"117"},"uris":["http://www.mendeley.com/documents/?uuid=ba475239-e9f8-47a0-9829-0bdea7ef09cb"]},{"id":"ITEM-2","itemData":{"DOI":"10.1182/blood-2016-01-643569.The","ISBN":"3014808040","ISSN":"0006-4971","PMID":"26980727","abstract":"A revision of the nearly 8-year-old World Health Organization classification of the lymphoid neoplasms and the accompanying monograph is being published. It reflects a consensus among hematopa- thologists, geneticists, and clinicians regarding both updates to current entities as well as the addition of a limited number of new provisional entities. The revision clarifies the diagnosis and management of lesions at the very early stages of lymphomagenesis, refines the diagnostic criteria for some entities, details the expanding genetic/molecular landscape of numerous lymphoid neoplasms and their clinical correlates, and refers to investigations leading to more targeted therapeutic strategies. The major changes are reviewed with an emphasis onthe most important advances in our understanding that impact our diagnostic approach, clinical expectations, and therapeutic strategies for the lymphoid neoplasms.","author":[{"dropping-particle":"","family":"Swerdlow","given":"Steven H","non-dropping-particle":"","parse-names":false,"suffix":""},{"dropping-particle":"","family":"Campo","given":"Elias","non-dropping-particle":"","parse-names":false,"suffix":""},{"dropping-particle":"","family":"Pileri","given":"Stefano A","non-dropping-particle":"","parse-names":false,"suffix":""},{"dropping-particle":"","family":"Harris","given":"Nancy Lee","non-dropping-particle":"","parse-names":false,"suffix":""},{"dropping-particle":"","family":"Stein","given":"Harald","non-dropping-particle":"","parse-names":false,"suffix":""},{"dropping-particle":"","family":"Siebert","given":"Reiner","non-dropping-particle":"","parse-names":false,"suffix":""},{"dropping-particle":"","family":"Advani","given":"Ranjana","non-dropping-particle":"","parse-names":false,"suffix":""},{"dropping-particle":"","family":"Ghielmini","given":"Michele","non-dropping-particle":"","parse-names":false,"suffix":""},{"dropping-particle":"","family":"Salles","given":"Gilles A","non-dropping-particle":"","parse-names":false,"suffix":""},{"dropping-particle":"","family":"Zelenetz","given":"Andrew D","non-dropping-particle":"","parse-names":false,"suffix":""},{"dropping-particle":"","family":"Jaffe","given":"Elaine S","non-dropping-particle":"","parse-names":false,"suffix":""}],"container-title":"Blood","id":"ITEM-2","issue":"20","issued":{"date-parts":[["2016"]]},"page":"2375-2391","title":"The 2016 revision of the World Health Organization classi fi cation of lymphoid neoplasms","type":"article-journal","volume":"127"},"uris":["http://www.mendeley.com/documents/?uuid=83f1420c-cb3c-4dd2-974b-6e13e5f3cbdf"]}],"mendeley":{"formattedCitation":"&lt;sup&gt;1,2&lt;/sup&gt;","plainTextFormattedCitation":"1,2","previouslyFormattedCitation":"&lt;sup&gt;1,2&lt;/sup&gt;"},"properties":{"noteIndex":0},"schema":"https://github.com/citation-style-language/schema/raw/master/csl-citation.json"}</w:instrText>
      </w:r>
      <w:r w:rsidR="00CE7844" w:rsidRPr="00B6133E">
        <w:rPr>
          <w:rFonts w:ascii="Times New Roman" w:hAnsi="Times New Roman" w:cs="Times New Roman"/>
          <w:lang w:val="en-US"/>
        </w:rPr>
        <w:fldChar w:fldCharType="separate"/>
      </w:r>
      <w:r w:rsidR="000330A7" w:rsidRPr="00B6133E">
        <w:rPr>
          <w:rFonts w:ascii="Times New Roman" w:hAnsi="Times New Roman" w:cs="Times New Roman"/>
          <w:noProof/>
          <w:vertAlign w:val="superscript"/>
          <w:lang w:val="en-US"/>
        </w:rPr>
        <w:t>1,2</w:t>
      </w:r>
      <w:r w:rsidR="00CE7844" w:rsidRPr="00B6133E">
        <w:rPr>
          <w:rFonts w:ascii="Times New Roman" w:hAnsi="Times New Roman" w:cs="Times New Roman"/>
          <w:lang w:val="en-US"/>
        </w:rPr>
        <w:fldChar w:fldCharType="end"/>
      </w:r>
      <w:r w:rsidR="00483EFD" w:rsidRPr="00B6133E">
        <w:rPr>
          <w:rFonts w:ascii="Times New Roman" w:hAnsi="Times New Roman" w:cs="Times New Roman"/>
          <w:lang w:val="en-US"/>
        </w:rPr>
        <w:t xml:space="preserve">, </w:t>
      </w:r>
      <w:r w:rsidR="00893726" w:rsidRPr="00B6133E">
        <w:rPr>
          <w:rFonts w:ascii="Times New Roman" w:hAnsi="Times New Roman" w:cs="Times New Roman"/>
          <w:lang w:val="en-US"/>
        </w:rPr>
        <w:t xml:space="preserve">a number of </w:t>
      </w:r>
      <w:r w:rsidRPr="00B6133E">
        <w:rPr>
          <w:rFonts w:ascii="Times New Roman" w:hAnsi="Times New Roman" w:cs="Times New Roman"/>
          <w:lang w:val="en-US"/>
        </w:rPr>
        <w:t xml:space="preserve">questions remain unanswered </w:t>
      </w:r>
      <w:r w:rsidR="00893726" w:rsidRPr="00B6133E">
        <w:rPr>
          <w:rFonts w:ascii="Times New Roman" w:hAnsi="Times New Roman" w:cs="Times New Roman"/>
          <w:lang w:val="en-US"/>
        </w:rPr>
        <w:t xml:space="preserve">regarding </w:t>
      </w:r>
      <w:r w:rsidRPr="00B6133E">
        <w:rPr>
          <w:rFonts w:ascii="Times New Roman" w:hAnsi="Times New Roman" w:cs="Times New Roman"/>
          <w:lang w:val="en-US"/>
        </w:rPr>
        <w:t>the origin</w:t>
      </w:r>
      <w:r w:rsidR="00CB514A" w:rsidRPr="00B6133E">
        <w:rPr>
          <w:rFonts w:ascii="Times New Roman" w:hAnsi="Times New Roman" w:cs="Times New Roman"/>
          <w:lang w:val="en-US"/>
        </w:rPr>
        <w:t xml:space="preserve"> and</w:t>
      </w:r>
      <w:r w:rsidRPr="00B6133E">
        <w:rPr>
          <w:rFonts w:ascii="Times New Roman" w:hAnsi="Times New Roman" w:cs="Times New Roman"/>
          <w:lang w:val="en-US"/>
        </w:rPr>
        <w:t xml:space="preserve"> initiation</w:t>
      </w:r>
      <w:r w:rsidR="00CB514A" w:rsidRPr="00B6133E">
        <w:rPr>
          <w:rFonts w:ascii="Times New Roman" w:hAnsi="Times New Roman" w:cs="Times New Roman"/>
          <w:lang w:val="en-US"/>
        </w:rPr>
        <w:t xml:space="preserve"> of the </w:t>
      </w:r>
      <w:r w:rsidR="00893726" w:rsidRPr="00B6133E">
        <w:rPr>
          <w:rFonts w:ascii="Times New Roman" w:hAnsi="Times New Roman" w:cs="Times New Roman"/>
          <w:lang w:val="en-US"/>
        </w:rPr>
        <w:t>developing</w:t>
      </w:r>
      <w:r w:rsidRPr="00B6133E">
        <w:rPr>
          <w:rFonts w:ascii="Times New Roman" w:hAnsi="Times New Roman" w:cs="Times New Roman"/>
          <w:lang w:val="en-US"/>
        </w:rPr>
        <w:t xml:space="preserve"> myeloma </w:t>
      </w:r>
      <w:r w:rsidR="00893726" w:rsidRPr="00B6133E">
        <w:rPr>
          <w:rFonts w:ascii="Times New Roman" w:hAnsi="Times New Roman" w:cs="Times New Roman"/>
          <w:lang w:val="en-US"/>
        </w:rPr>
        <w:t>cells</w:t>
      </w:r>
      <w:r w:rsidRPr="00B6133E">
        <w:rPr>
          <w:rFonts w:ascii="Times New Roman" w:hAnsi="Times New Roman" w:cs="Times New Roman"/>
          <w:lang w:val="en-US"/>
        </w:rPr>
        <w:t>, including its association with the normal B-cell hierarchy in the bone marrow (BM)</w:t>
      </w:r>
      <w:r w:rsidR="00CE7844"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{"citationItems":[{"id":"ITEM-1","itemData":{"ISSN":"1357-0560","PMID":"9789216","abstract":"In an attempt to optimise stem cell graft evaluation we have developed a method of quantifying the number of cells in a phenotypically defined population of cells, expressing a gene of interest by combining an RT-PCR method working on whole single cells with flow cytometry. The clinical potential is illustrated by two examples. First, the phenotypes of clonal cells in the bone marrow (BM) of a patient with multiple myeloma (MM), were determined by sorting cells phenotypically defined by their expression of surface antigens and then performing RT-PCR on the individual sorted cells using the rearranged immunoglobulin heavy chain (IgH) gene as clonal marker. All plasma cells with the phenotype CD38++/CD45RA- expressed the clonal marker, whereas it could not be detected in plasma cells with the phenotype CD38++/CD45RA+. A minor population of clonal cells with the CD38+/CD45RA- phenotype was found. Second, the number of committed (CD34+/CD38+) and non-committed (CD34+/CD38-) stem cells, expressing the chimeric fusion gene p210 BCR/ABL in the autograft from a patient with chronic myeloid leukemia (CML), was determined. The number of cells expressing BCR/ABL mRNA was nearly equal in the CD34+/CD38+ and CD34+/CD38- compartment (8.1 and 8.5%). The method presented can easily be applied to determine the phenotype of malignant cells, where a unique mRNA species exist. Furthermore, the method allows one to predict the outcome of antibody mediated purging experiment.","author":[{"dropping-particle":"","family":"Rasmussen","given":"T","non-dropping-particle":"","parse-names":false,"suffix":""},{"dropping-particle":"","family":"Honoré","given":"L","non-dropping-particle":"","parse-names":false,"suffix":""},{"dropping-particle":"","family":"Johnsen","given":"H E","non-dropping-particle":"","parse-names":false,"suffix":""}],"container-title":"Medical oncology (Northwood, London, England)","id":"ITEM-1","issue":"2","issued":{"date-parts":[["1998","7"]]},"page":"96-102","title":"Identification and characterisation of malignant cells using RT-PCR on single flow-sorted cells.","type":"article-journal","volume":"15"},"uris":["http://www.mendeley.com/documents/?uuid=bce6efb8-f39e-3685-b12b-1c204bd3c5a2"]},{"id":"ITEM-2","itemData":{"DOI":"10.3324/haematol.2010.024778","ISSN":"03906078","PMID":"20511669","abstract":"BACKGROUND: Several laboratories have shown that cells with a memory B-cell phenotype can have the same clonotype as multiple myeloma tumor cells.$\\$n$\\$nDESIGN AND METHODS: The aim of this study was to determine whether some memory B cells have the same genetic alterations as their corresponding multiple myeloma malignant plasma cells. The methodology included sorting multiple myeloma or memory B cells into RNA stabilizing medium for generation of subset-specific polymerase chain reaction complementary DNA libraries from one or 100 cells.$\\$n$\\$nRESULTS: Cells with the phenotype of tumor plasma cells (CD38(++)CD19(-)CD45(-/+)CD56(-/+/++)) or memory B cells (CD38(-)/CD19(+)/CD27(+)) were isolated by flow activated cell sorting. In samples from all four patients with multiple myeloma and from two of the three with monoclonal gammopathy of undetermined significance, we identified memory B cells expressing multiple myeloma-specific oncogenes (FGFR3; IGH-MMSET; CCND1 high) dysregulated by an IGH translocation in the respective tumor plasma cells. By contrast, in seven patients with multiple myeloma, each of whom had tumor plasma cells with a K-RAS61 mutation, a total of 32,400 memory B cells were analyzed using a sensitive allele-specific, competitive blocker polymerase chain reaction assay, but no K-RAS mutations were identified.$\\$n$\\$nCONCLUSIONS: The increased expression of a specific \"early\" oncogene of multiple myeloma (monoclonal gammopathy of undetermined significance) in some memory B cells suggests that dysregulation of the oncogene occurs in a precursor B-cell that can generate memory B cells and transformed plasma cells. However, if memory B cells lack \"late\" oncogene (K-RAS) mutations but express the \"early\" oncogene, they cannot be involved in maintaining the multiple myeloma tumor, but presumably represent a clonotypic remnant that is only partially transformed.","author":[{"dropping-particle":"","family":"Rasmussen","given":"Thomas","non-dropping-particle":"","parse-names":false,"suffix":""},{"dropping-particle":"","family":"Haaber","given":"Jacob","non-dropping-particle":"","parse-names":false,"suffix":""},{"dropping-particle":"","family":"Dahl","given":"Inger Marie","non-dropping-particle":"","parse-names":false,"suffix":""},{"dropping-particle":"","family":"Knudsen","given":"Lene M","non-dropping-particle":"","parse-names":false,"suffix":""},{"dropping-particle":"","family":"Kerndrup","given":"Gitte B","non-dropping-particle":"","parse-names":false,"suffix":""},{"dropping-particle":"","family":"Lodahl","given":"Marianne","non-dropping-particle":"","parse-names":false,"suffix":""},{"dropping-particle":"","family":"Johnsen","given":"Hans E","non-dropping-particle":"","parse-names":false,"suffix":""},{"dropping-particle":"","family":"Kuehl","given":"Michael","non-dropping-particle":"","parse-names":false,"suffix":""}],"container-title":"Haematologica","id":"ITEM-2","issue":"10","issued":{"date-parts":[["2010"]]},"page":"1730-1737","title":"Identification of translocation products but not K-RAS mutations in memory B cells from patients with multiple myeloma","type":"article-journal","volume":"95"},"uris":["http://www.mendeley.com/documents/?uuid=1fb0ed90-14c1-48d1-97f6-4384d52197ed"]},{"id":"ITEM-3","itemData":{"DOI":"10.1038/leu.2012.140","ISSN":"1476-5551","PMID":"22733078","abstract":"Multiple myeloma is a hematological neoplasm characterized by the accumulation of clonal plasma cells in the bone marrow. Its frequent relapse following achievement of clinical remissions implicates the existence of therapy-resistant myeloma-initiating cells. To date, results on the identity of myeloma-initiating cells have differed. Here, we prospectively identified a myeloma-initiating population by fractionating and transplanting patient bone marrow cells into human bone-bearing immunocompromised mice. Xenotransplantation of fractionated CD138(+)/CD38(high) cells from 40% of patients (8/20) led to a repopulation of CD19(+)CD38(low) or CD138(+)CD38(+) B-lineage cells in human bone grafts; and these grafts were clonally derived from patient myeloma cells. Meanwhile, CD19(+)CD38(low) xenografts were detected in human bone-bearing mice transplanted with CD19(+)CD38(low/-) B cells from 8 of 22 samples but were not clonally related to patient myeloma cells. Further fractionation and xenotransplantation of CD138(+)CD38(high) cells demonstrated that (CD45(low/-) or CD19(-)) CD38(high)/CD138(+) plasma cells, but not (CD45(high) or CD19(+)) CD38(high)/CD138(+) plasmablasts enrich for myeloma-initiating cells. Quantitative reverse transcription-PCR of two serially transplantable xenografts, which were CD19(-)CD138(+), revealed that they were Pax5 (a B-cell-specific transactivator)-negative. These results suggest that CD19(-)CD45(low/-) fully differentiated plasma cells enrich for long-lived and tumor-initiating cells whereas B cells or plasmablasts do not.","author":[{"dropping-particle":"","family":"Kim","given":"D","non-dropping-particle":"","parse-names":false,"suffix":""},{"dropping-particle":"","family":"Park","given":"C Y","non-dropping-particle":"","parse-names":false,"suffix":""},{"dropping-particle":"","family":"Medeiros","given":"B C","non-dropping-particle":"","parse-names":false,"suffix":""},{"dropping-particle":"","family":"Weissman","given":"I L","non-dropping-particle":"","parse-names":false,"suffix":""}],"container-title":"Leukemia","id":"ITEM-3","issue":"12","issued":{"date-parts":[["2012","12","30"]]},"page":"2530-7","title":"CD19-CD45 low/- CD38 high/CD138+ plasma cells enrich for human tumorigenic myeloma cells.","type":"article-journal","volume":"26"},"uris":["http://www.mendeley.com/documents/?uuid=c6464d8d-690b-3ea5-9aa4-79cd59e98825"]},{"id":"ITEM-4","itemData":{"DOI":"10.1016/j.ceb.2010.11.004","ISSN":"1879-0410","PMID":"21169004","abstract":"Plasma cells differentiate from B lymphocytes to sustain antibody production. As professional secretors, they allow dissecting proteostasis in the exocytic compartment, the stresses that protein production entails and their possible roles in signaling. Most plasma cells are short-lived to limit antibody responses. After a few days of intense immunoglobulin production, they undergo apoptosis, offering a unique model of cellular senescence. Recent observations reveal that proteotoxic stresses physiologically contribute to regulate their biogenesis, function and lifespan, explaining partly the sensitivity of multiple myeloma cells to proteasome inhibitors. This essay summarizes these plasma cell lessons, and their general implications for the regulation of proteostasis, cell senescence and cancer therapeutics.","author":[{"dropping-particle":"","family":"Cenci","given":"Simone","non-dropping-particle":"","parse-names":false,"suffix":""},{"dropping-particle":"","family":"Anken","given":"Eelco","non-dropping-particle":"van","parse-names":false,"suffix":""},{"dropping-particle":"","family":"Sitia","given":"Roberto","non-dropping-particle":"","parse-names":false,"suffix":""}],"container-title":"Current opinion in cell biology","id":"ITEM-4","issue":"2","issued":{"date-parts":[["2011","4"]]},"page":"216-22","title":"Proteostenosis and plasma cell pathophysiology.","type":"article-journal","volume":"23"},"uris":["http://www.mendeley.com/documents/?uuid=74e267c4-c209-3daf-a819-00e431514aef"]}],"mendeley":{"formattedCitation":"&lt;sup&gt;3–6&lt;/sup&gt;","plainTextFormattedCitation":"3–6","previouslyFormattedCitation":"&lt;sup&gt;3–6&lt;/sup&gt;"},"properties":{"noteIndex":0},"schema":"https://github.com/citation-style-language/schema/raw/master/csl-citation.json"}</w:instrText>
      </w:r>
      <w:r w:rsidR="00CE7844" w:rsidRPr="00B6133E">
        <w:rPr>
          <w:rFonts w:ascii="Times New Roman" w:hAnsi="Times New Roman" w:cs="Times New Roman"/>
          <w:lang w:val="en-US"/>
        </w:rPr>
        <w:fldChar w:fldCharType="separate"/>
      </w:r>
      <w:r w:rsidR="000330A7" w:rsidRPr="00B6133E">
        <w:rPr>
          <w:rFonts w:ascii="Times New Roman" w:hAnsi="Times New Roman" w:cs="Times New Roman"/>
          <w:noProof/>
          <w:vertAlign w:val="superscript"/>
          <w:lang w:val="en-US"/>
        </w:rPr>
        <w:t>3–6</w:t>
      </w:r>
      <w:r w:rsidR="00CE7844" w:rsidRPr="00B6133E">
        <w:rPr>
          <w:rFonts w:ascii="Times New Roman" w:hAnsi="Times New Roman" w:cs="Times New Roman"/>
          <w:lang w:val="en-US"/>
        </w:rPr>
        <w:fldChar w:fldCharType="end"/>
      </w:r>
      <w:r w:rsidRPr="00B6133E">
        <w:rPr>
          <w:rFonts w:ascii="Times New Roman" w:hAnsi="Times New Roman" w:cs="Times New Roman"/>
          <w:lang w:val="en-US"/>
        </w:rPr>
        <w:t xml:space="preserve">. We hypothesize that considering MM as a disease of differentiation by identifying it’s cell of origin (COO) could lead to novel biological insight and development of new treatment options </w:t>
      </w:r>
      <w:r w:rsidR="00413989" w:rsidRPr="00B6133E">
        <w:rPr>
          <w:rFonts w:ascii="Times New Roman" w:hAnsi="Times New Roman" w:cs="Times New Roman"/>
          <w:lang w:val="en-US"/>
        </w:rPr>
        <w:t>as described by Boise and coauthors</w:t>
      </w:r>
      <w:r w:rsidR="004B28FB"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{"citationItems":[{"id":"ITEM-1","itemData":{"DOI":"10.1182/blood-2014-05-578732","ISSN":"1528-0020","PMID":"25097176","abstract":"Multiple myeloma is a plasma cell malignancy in which significant advances have been observed during the last 15 years. Our understanding of the disease has been advanced through its molecular characterization. We have also seen improvements in patient care with the development of 2 new classes of active agents, proteasome inhibitors and immunomodulatory drugs (IMiDs), resulting in a significant improvement in overall survival of myeloma patients such that it can now be debated as to whether some subsets of myeloma patients can be cured. However, the advances in our understanding of myeloma biology occurred in parallel with advances in treatment as opposed to being directly informed by the research. Moreover, the molecular characterization of malignant plasma cells would not have predicted the effectiveness of these novel therapies.We hypothesize that proteasome inhibitors and IMiDs are highly active because malignant plasma cells are constrained by many of the characteristics of their normal counterparts and these novel therapies target both normal plasma cell biology and the cancer biology of myeloma. Thus, a better understanding of normal plasma cell biology will likely yield as many actionable targets as mapping the genomic landscape of this disease.","author":[{"dropping-particle":"","family":"Boise","given":"Lawrence H","non-dropping-particle":"","parse-names":false,"suffix":""},{"dropping-particle":"","family":"Kaufman","given":"Jonathan L","non-dropping-particle":"","parse-names":false,"suffix":""},{"dropping-particle":"","family":"Bahlis","given":"Nizar J","non-dropping-particle":"","parse-names":false,"suffix":""},{"dropping-particle":"","family":"Lonial","given":"Sagar","non-dropping-particle":"","parse-names":false,"suffix":""},{"dropping-particle":"","family":"Lee","given":"Kelvin P","non-dropping-particle":"","parse-names":false,"suffix":""}],"container-title":"Blood","id":"ITEM-1","issue":"12","issued":{"date-parts":[["2014","9","18"]]},"page":"1873-9","publisher":"American Society of Hematology","title":"The Tao of myeloma.","type":"article-journal","volume":"124"},"uris":["http://www.mendeley.com/documents/?uuid=8f14de65-8bec-3d50-b5ef-d489e8cdb091"]}],"mendeley":{"formattedCitation":"&lt;sup&gt;7&lt;/sup&gt;","plainTextFormattedCitation":"7","previouslyFormattedCitation":"&lt;sup&gt;7&lt;/sup&gt;"},"properties":{"noteIndex":0},"schema":"https://github.com/citation-style-language/schema/raw/master/csl-citation.json"}</w:instrText>
      </w:r>
      <w:r w:rsidR="004B28FB"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7</w:t>
      </w:r>
      <w:r w:rsidR="004B28FB" w:rsidRPr="00B6133E">
        <w:rPr>
          <w:rFonts w:ascii="Times New Roman" w:hAnsi="Times New Roman" w:cs="Times New Roman"/>
          <w:lang w:val="en-US"/>
        </w:rPr>
        <w:fldChar w:fldCharType="end"/>
      </w:r>
      <w:r w:rsidR="004B28FB" w:rsidRPr="00B6133E">
        <w:rPr>
          <w:rFonts w:ascii="Times New Roman" w:hAnsi="Times New Roman" w:cs="Times New Roman"/>
          <w:lang w:val="en-US"/>
        </w:rPr>
        <w:t>.</w:t>
      </w:r>
      <w:r w:rsidRPr="00B6133E">
        <w:rPr>
          <w:rFonts w:ascii="Times New Roman" w:hAnsi="Times New Roman" w:cs="Times New Roman"/>
          <w:lang w:val="en-US"/>
        </w:rPr>
        <w:t xml:space="preserve"> </w:t>
      </w:r>
    </w:p>
    <w:p w14:paraId="2F33E84F" w14:textId="4A68EB1E" w:rsidR="00341B4C" w:rsidRPr="00B6133E" w:rsidRDefault="00FC4161" w:rsidP="002F6450">
      <w:pPr>
        <w:spacing w:before="0" w:after="0" w:line="480" w:lineRule="auto"/>
        <w:rPr>
          <w:rFonts w:ascii="Times New Roman" w:hAnsi="Times New Roman" w:cs="Times New Roman"/>
          <w:lang w:val="en-US"/>
        </w:rPr>
      </w:pPr>
      <w:r w:rsidRPr="00B6133E">
        <w:rPr>
          <w:rFonts w:ascii="Times New Roman" w:hAnsi="Times New Roman" w:cs="Times New Roman"/>
          <w:lang w:val="en-US"/>
        </w:rPr>
        <w:t xml:space="preserve">MM </w:t>
      </w:r>
      <w:r w:rsidR="005E6436" w:rsidRPr="00B6133E">
        <w:rPr>
          <w:rFonts w:ascii="Times New Roman" w:hAnsi="Times New Roman" w:cs="Times New Roman"/>
          <w:lang w:val="en-US"/>
        </w:rPr>
        <w:t>develops</w:t>
      </w:r>
      <w:r w:rsidRPr="00B6133E">
        <w:rPr>
          <w:rFonts w:ascii="Times New Roman" w:hAnsi="Times New Roman" w:cs="Times New Roman"/>
          <w:lang w:val="en-US"/>
        </w:rPr>
        <w:t xml:space="preserve"> from </w:t>
      </w:r>
      <w:r w:rsidR="00F51AB3" w:rsidRPr="00B6133E">
        <w:rPr>
          <w:rFonts w:ascii="Times New Roman" w:hAnsi="Times New Roman" w:cs="Times New Roman"/>
          <w:lang w:val="en-US"/>
        </w:rPr>
        <w:t xml:space="preserve">a </w:t>
      </w:r>
      <w:r w:rsidRPr="00B6133E">
        <w:rPr>
          <w:rFonts w:ascii="Times New Roman" w:hAnsi="Times New Roman" w:cs="Times New Roman"/>
          <w:lang w:val="en-US"/>
        </w:rPr>
        <w:t xml:space="preserve">pre-malignant monoclonal </w:t>
      </w:r>
      <w:proofErr w:type="spellStart"/>
      <w:r w:rsidR="001D0880" w:rsidRPr="00B6133E">
        <w:rPr>
          <w:rFonts w:ascii="Times New Roman" w:hAnsi="Times New Roman" w:cs="Times New Roman"/>
          <w:lang w:val="en-US"/>
        </w:rPr>
        <w:t>gammopathy</w:t>
      </w:r>
      <w:proofErr w:type="spellEnd"/>
      <w:r w:rsidRPr="00B6133E">
        <w:rPr>
          <w:rFonts w:ascii="Times New Roman" w:hAnsi="Times New Roman" w:cs="Times New Roman"/>
          <w:lang w:val="en-US"/>
        </w:rPr>
        <w:t xml:space="preserve"> of unknown significance</w:t>
      </w:r>
      <w:r w:rsidR="00662B04" w:rsidRPr="00B6133E">
        <w:rPr>
          <w:rFonts w:ascii="Times New Roman" w:hAnsi="Times New Roman" w:cs="Times New Roman"/>
          <w:lang w:val="en-US"/>
        </w:rPr>
        <w:t xml:space="preserve"> (</w:t>
      </w:r>
      <w:r w:rsidRPr="00B6133E">
        <w:rPr>
          <w:rFonts w:ascii="Times New Roman" w:hAnsi="Times New Roman" w:cs="Times New Roman"/>
          <w:lang w:val="en-US"/>
        </w:rPr>
        <w:t>MGUS</w:t>
      </w:r>
      <w:r w:rsidR="00662B04" w:rsidRPr="00B6133E">
        <w:rPr>
          <w:rFonts w:ascii="Times New Roman" w:hAnsi="Times New Roman" w:cs="Times New Roman"/>
          <w:lang w:val="en-US"/>
        </w:rPr>
        <w:t>),</w:t>
      </w:r>
      <w:r w:rsidRPr="00B6133E">
        <w:rPr>
          <w:rFonts w:ascii="Times New Roman" w:hAnsi="Times New Roman" w:cs="Times New Roman"/>
          <w:lang w:val="en-US"/>
        </w:rPr>
        <w:t xml:space="preserve"> </w:t>
      </w:r>
      <w:r w:rsidR="00662B04" w:rsidRPr="00B6133E">
        <w:rPr>
          <w:rFonts w:ascii="Times New Roman" w:hAnsi="Times New Roman" w:cs="Times New Roman"/>
          <w:lang w:val="en-US"/>
        </w:rPr>
        <w:t>by a stepwise oncogenesis</w:t>
      </w:r>
      <w:r w:rsidRPr="00B6133E">
        <w:rPr>
          <w:rFonts w:ascii="Times New Roman" w:hAnsi="Times New Roman" w:cs="Times New Roman"/>
          <w:lang w:val="en-US"/>
        </w:rPr>
        <w:t xml:space="preserve"> to intramedullary early </w:t>
      </w:r>
      <w:r w:rsidR="00AB38DD" w:rsidRPr="00B6133E">
        <w:rPr>
          <w:rFonts w:ascii="Times New Roman" w:hAnsi="Times New Roman" w:cs="Times New Roman"/>
          <w:lang w:val="en-US"/>
        </w:rPr>
        <w:t>smoldering</w:t>
      </w:r>
      <w:r w:rsidRPr="00B6133E">
        <w:rPr>
          <w:rFonts w:ascii="Times New Roman" w:hAnsi="Times New Roman" w:cs="Times New Roman"/>
          <w:lang w:val="en-US"/>
        </w:rPr>
        <w:t xml:space="preserve"> or evolving</w:t>
      </w:r>
      <w:r w:rsidR="007E425C" w:rsidRPr="00B6133E">
        <w:rPr>
          <w:rFonts w:ascii="Times New Roman" w:hAnsi="Times New Roman" w:cs="Times New Roman"/>
          <w:lang w:val="en-US"/>
        </w:rPr>
        <w:t xml:space="preserve"> </w:t>
      </w:r>
      <w:r w:rsidR="00C6545B" w:rsidRPr="00B6133E">
        <w:rPr>
          <w:rFonts w:ascii="Times New Roman" w:hAnsi="Times New Roman" w:cs="Times New Roman"/>
          <w:i/>
          <w:lang w:val="en-US"/>
        </w:rPr>
        <w:t>de novo</w:t>
      </w:r>
      <w:r w:rsidR="007E425C" w:rsidRPr="00B6133E">
        <w:rPr>
          <w:rFonts w:ascii="Times New Roman" w:hAnsi="Times New Roman" w:cs="Times New Roman"/>
          <w:lang w:val="en-US"/>
        </w:rPr>
        <w:t xml:space="preserve"> </w:t>
      </w:r>
      <w:r w:rsidR="00C6545B" w:rsidRPr="00B6133E">
        <w:rPr>
          <w:rFonts w:ascii="Times New Roman" w:hAnsi="Times New Roman" w:cs="Times New Roman"/>
          <w:lang w:val="en-US"/>
        </w:rPr>
        <w:t xml:space="preserve"> myeloma</w:t>
      </w:r>
      <w:r w:rsidRPr="00B6133E">
        <w:rPr>
          <w:rFonts w:ascii="Times New Roman" w:hAnsi="Times New Roman" w:cs="Times New Roman"/>
          <w:lang w:val="en-US"/>
        </w:rPr>
        <w:t xml:space="preserve"> </w:t>
      </w:r>
      <w:r w:rsidR="00A22799" w:rsidRPr="00B6133E">
        <w:rPr>
          <w:rFonts w:ascii="Times New Roman" w:hAnsi="Times New Roman" w:cs="Times New Roman"/>
          <w:lang w:val="en-US"/>
        </w:rPr>
        <w:t>because of</w:t>
      </w:r>
      <w:r w:rsidRPr="00B6133E">
        <w:rPr>
          <w:rFonts w:ascii="Times New Roman" w:hAnsi="Times New Roman" w:cs="Times New Roman"/>
          <w:lang w:val="en-US"/>
        </w:rPr>
        <w:t xml:space="preserve"> acquired genetic </w:t>
      </w:r>
      <w:r w:rsidR="001D0880" w:rsidRPr="00B6133E">
        <w:rPr>
          <w:rFonts w:ascii="Times New Roman" w:hAnsi="Times New Roman" w:cs="Times New Roman"/>
          <w:lang w:val="en-US"/>
        </w:rPr>
        <w:t>deregulation</w:t>
      </w:r>
      <w:r w:rsidR="00E0689C"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{"citationItems":[{"id":"ITEM-1","itemData":{"ISSN":"0006-4971","PMID":"9414264","author":[{"dropping-particle":"","family":"Hallek","given":"M","non-dropping-particle":"","parse-names":false,"suffix":""},{"dropping-particle":"","family":"Bergsagel","given":"P L","non-dropping-particle":"","parse-names":false,"suffix":""},{"dropping-particle":"","family":"Anderson","given":"K C","non-dropping-particle":"","parse-names":false,"suffix":""}],"container-title":"Blood","id":"ITEM-1","issue":"1","issued":{"date-parts":[["1998","1","1"]]},"page":"3-21","title":"Multiple myeloma: increasing evidence for a multistep transformation process.","type":"article-journal","volume":"91"},"uris":["http://www.mendeley.com/documents/?uuid=fdbf2ba1-7e27-48d5-9ae4-1683c6981b68"]},{"id":"ITEM-2","itemData":{"DOI":"10.1182/blood-2005-01-0034","ISSN":"0006-4971","PMID":"15755896","abstract":"Two oncogenic pathways have been hypothesized for multiple myeloma (MM) and premalignant monoclonal gammopathy of undetermined significance (MGUS) tumors: a nonhyperdiploid pathway associated with a high prevalence of IgH translocations and a hyperdiploid pathway associated with multiple trisomies of 8 chromosomes. Cyclin D1, D2, or D3 expression appears to be increased and/or dysregulated in virtually all MM tumors despite their low proliferative capacity. Translocations can directly dysregulate CCND1 (11q13) or CCND3 (6p21), or MAF (16q23) or MAFB (20q11) transcription factors that target CCND2. Biallelic dysregulation of CCND1 occurs in nearly 40% of tumors, most of which are hyperdiploid. Other tumors express increased CCND2, either with or without a t(4;14) translocation. Using gene expression profiling to identify 5 recurrent translocations, specific trisomies, and expression of cyclin D genes, MM tumors can be divided into 8 TC (translocation/cyclin D) groups (11q13, 6p21, 4p16, maf, D1, D1+D2, D2, and none) that appear to be defined by early, and perhaps initiating, oncogenic events. However, despite subsequent progression events, these groups have differing gene expression profiles and also significant differences in the prevalence of bone disease, frequency at relapse, and progression to extramedullary tumor.","author":[{"dropping-particle":"","family":"Bergsagel","given":"P Leif","non-dropping-particle":"","parse-names":false,"suffix":""},{"dropping-particle":"","family":"Kuehl","given":"W Michael","non-dropping-particle":"","parse-names":false,"suffix":""},{"dropping-particle":"","family":"Zhan","given":"Fenghuang","non-dropping-particle":"","parse-names":false,"suffix":""},{"dropping-particle":"","family":"Sawyer","given":"Jeffrey","non-dropping-particle":"","parse-names":false,"suffix":""},{"dropping-particle":"","family":"Barlogie","given":"Bart","non-dropping-particle":"","parse-names":false,"suffix":""},{"dropping-particle":"","family":"Shaughnessy","given":"John","non-dropping-particle":"","parse-names":false,"suffix":""}],"container-title":"Blood","id":"ITEM-2","issue":"1","issued":{"date-parts":[["2005","7"]]},"page":"296-303","title":"Cyclin D dysregulation: an early and unifying pathogenic event in multiple myeloma.","type":"article-journal","volume":"106"},"uris":["http://www.mendeley.com/documents/?uuid=c81fe6b0-1496-47db-9204-eec4587fdf2d"]},{"id":"ITEM-3","itemData":{"ISSN":"0006-4971","PMID":"11861292","abstract":"Bone marrow plasma cells (PCs) from 74 patients with newly diagnosed multiple myeloma (MM), 5 with monoclonal gammopathy of undetermined significance (MGUS), and 31 healthy volunteers (normal PCs) were purified by CD138(+) selection. Gene expression of purified PCs and 7 MM cell lines were profiled using high-density oligonucleotide microarrays interrogating about 6800 genes. On hierarchical clustering analysis, normal and MM PCs were differentiated and 4 distinct subgroups of MM (MM1, MM2, MM3, and MM4) were identified. The expression pattern of MM1 was similar to normal PCs and MGUS, whereas MM4 was similar to MM cell lines. Clinical parameters linked to poor prognosis, abnormal karyotype (P =.002) and high serum beta(2)-microglobulin levels (P =.0005), were most prevalent in MM4. Also, genes involved in DNA metabolism and cell cycle control were overexpressed in a comparison of MM1 and MM4. In addition, using chi(2) and Wilcoxon rank sum tests, 120 novel candidate disease genes were identified that discriminate normal and malignant PCs (P &lt;.0001); many are involved in adhesion, apoptosis, cell cycle, drug resistance, growth arrest, oncogenesis, signaling, and transcription. A total of 156 genes, including FGFR3 and CCND1, exhibited highly elevated (\"spiked\") expression in at least 4 of the 74 MM cases (range, 4-25 spikes). Elevated expression of these 2 genes was caused by the translocation t(4;14)(p16;q32) or t(11;14)(q13;q32). Thus, novel candidate MM disease genes have been identified using gene expression profiling and this profiling has led to the development of a gene-based classification system for MM.","author":[{"dropping-particle":"","family":"Zhan","given":"Fenghuang","non-dropping-particle":"","parse-names":false,"suffix":""},{"dropping-particle":"","family":"Hardin","given":"Johanna","non-dropping-particle":"","parse-names":false,"suffix":""},{"dropping-particle":"","family":"Kordsmeier","given":"Bob","non-dropping-particle":"","parse-names":false,"suffix":""},{"dropping-particle":"","family":"Bumm","given":"Klaus","non-dropping-particle":"","parse-names":false,"suffix":""},{"dropping-particle":"","family":"Zheng","given":"Mingzhong","non-dropping-particle":"","parse-names":false,"suffix":""},{"dropping-particle":"","family":"Tian","given":"Erming","non-dropping-particle":"","parse-names":false,"suffix":""},{"dropping-particle":"","family":"Sanderson","given":"Ralph","non-dropping-particle":"","parse-names":false,"suffix":""},{"dropping-particle":"","family":"Yang","given":"Yang","non-dropping-particle":"","parse-names":false,"suffix":""},{"dropping-particle":"","family":"Wilson","given":"Carla","non-dropping-particle":"","parse-names":false,"suffix":""},{"dropping-particle":"","family":"Zangari","given":"Maurizio","non-dropping-particle":"","parse-names":false,"suffix":""},{"dropping-particle":"","family":"Anaissie","given":"Elias","non-dropping-particle":"","parse-names":false,"suffix":""},{"dropping-particle":"","family":"Morris","given":"Christopher","non-dropping-particle":"","parse-names":false,"suffix":""},{"dropping-particle":"","family":"Muwalla","given":"Firas","non-dropping-particle":"","parse-names":false,"suffix":""},{"dropping-particle":"","family":"Rhee","given":"Frits","non-dropping-particle":"van","parse-names":false,"suffix":""},{"dropping-particle":"","family":"Fassas","given":"Athanasios","non-dropping-particle":"","parse-names":false,"suffix":""},{"dropping-particle":"","family":"Crowley","given":"John","non-dropping-particle":"","parse-names":false,"suffix":""},{"dropping-particle":"","family":"Tricot","given":"Guido","non-dropping-particle":"","parse-names":false,"suffix":""},{"dropping-particle":"","family":"Barlogie","given":"Bart","non-dropping-particle":"","parse-names":false,"suffix":""},{"dropping-particle":"","family":"Shaughnessy","given":"John","non-dropping-particle":"","parse-names":false,"suffix":""}],"container-title":"Blood","id":"ITEM-3","issue":"5","issued":{"date-parts":[["2002","3","1"]]},"page":"1745-57","title":"Global gene expression profiling of multiple myeloma, monoclonal gammopathy of undetermined significance, and normal bone marrow plasma cells.","type":"article-journal","volume":"99"},"uris":["http://www.mendeley.com/documents/?uuid=a301679c-9907-37fa-a559-f9461c4fff50"]}],"mendeley":{"formattedCitation":"&lt;sup&gt;8–10&lt;/sup&gt;","plainTextFormattedCitation":"8–10","previouslyFormattedCitation":"&lt;sup&gt;8–10&lt;/sup&gt;"},"properties":{"noteIndex":0},"schema":"https://github.com/citation-style-language/schema/raw/master/csl-citation.json"}</w:instrText>
      </w:r>
      <w:r w:rsidR="00E0689C"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8–10</w:t>
      </w:r>
      <w:r w:rsidR="00E0689C" w:rsidRPr="00B6133E">
        <w:rPr>
          <w:rFonts w:ascii="Times New Roman" w:hAnsi="Times New Roman" w:cs="Times New Roman"/>
          <w:lang w:val="en-US"/>
        </w:rPr>
        <w:fldChar w:fldCharType="end"/>
      </w:r>
      <w:r w:rsidRPr="00B6133E">
        <w:rPr>
          <w:rFonts w:ascii="Times New Roman" w:hAnsi="Times New Roman" w:cs="Times New Roman"/>
          <w:lang w:val="en-US"/>
        </w:rPr>
        <w:t xml:space="preserve">. The primary translocations </w:t>
      </w:r>
      <w:r w:rsidR="005E6436" w:rsidRPr="00B6133E">
        <w:rPr>
          <w:rFonts w:ascii="Times New Roman" w:hAnsi="Times New Roman" w:cs="Times New Roman"/>
          <w:lang w:val="en-US"/>
        </w:rPr>
        <w:t>implicating</w:t>
      </w:r>
      <w:r w:rsidRPr="00B6133E">
        <w:rPr>
          <w:rFonts w:ascii="Times New Roman" w:hAnsi="Times New Roman" w:cs="Times New Roman"/>
          <w:lang w:val="en-US"/>
        </w:rPr>
        <w:t xml:space="preserve"> the 14q32 locus </w:t>
      </w:r>
      <w:r w:rsidR="003F7E70" w:rsidRPr="00B6133E">
        <w:rPr>
          <w:rFonts w:ascii="Times New Roman" w:hAnsi="Times New Roman" w:cs="Times New Roman"/>
          <w:lang w:val="en-US"/>
        </w:rPr>
        <w:t>invo</w:t>
      </w:r>
      <w:r w:rsidR="005E6436" w:rsidRPr="00B6133E">
        <w:rPr>
          <w:rFonts w:ascii="Times New Roman" w:hAnsi="Times New Roman" w:cs="Times New Roman"/>
          <w:lang w:val="en-US"/>
        </w:rPr>
        <w:t>lve</w:t>
      </w:r>
      <w:r w:rsidRPr="00B6133E">
        <w:rPr>
          <w:rFonts w:ascii="Times New Roman" w:hAnsi="Times New Roman" w:cs="Times New Roman"/>
          <w:lang w:val="en-US"/>
        </w:rPr>
        <w:t xml:space="preserve"> a</w:t>
      </w:r>
      <w:r w:rsidR="005E6436" w:rsidRPr="00B6133E">
        <w:rPr>
          <w:rFonts w:ascii="Times New Roman" w:hAnsi="Times New Roman" w:cs="Times New Roman"/>
          <w:lang w:val="en-US"/>
        </w:rPr>
        <w:t xml:space="preserve"> series</w:t>
      </w:r>
      <w:r w:rsidRPr="00B6133E">
        <w:rPr>
          <w:rFonts w:ascii="Times New Roman" w:hAnsi="Times New Roman" w:cs="Times New Roman"/>
          <w:lang w:val="en-US"/>
        </w:rPr>
        <w:t xml:space="preserve"> of promiscuous target genes</w:t>
      </w:r>
      <w:r w:rsidR="004E2CF3" w:rsidRPr="00B6133E">
        <w:rPr>
          <w:rFonts w:ascii="Times New Roman" w:hAnsi="Times New Roman" w:cs="Times New Roman"/>
          <w:lang w:val="en-US"/>
        </w:rPr>
        <w:t>,</w:t>
      </w:r>
      <w:r w:rsidRPr="00B6133E">
        <w:rPr>
          <w:rFonts w:ascii="Times New Roman" w:hAnsi="Times New Roman" w:cs="Times New Roman"/>
          <w:lang w:val="en-US"/>
        </w:rPr>
        <w:t xml:space="preserve"> with </w:t>
      </w:r>
      <w:r w:rsidRPr="00B6133E">
        <w:rPr>
          <w:rFonts w:ascii="Times New Roman" w:hAnsi="Times New Roman" w:cs="Times New Roman"/>
          <w:i/>
          <w:lang w:val="en-US"/>
        </w:rPr>
        <w:t>C</w:t>
      </w:r>
      <w:r w:rsidR="00066031" w:rsidRPr="00B6133E">
        <w:rPr>
          <w:rFonts w:ascii="Times New Roman" w:hAnsi="Times New Roman" w:cs="Times New Roman"/>
          <w:i/>
          <w:lang w:val="en-US"/>
        </w:rPr>
        <w:t>CND</w:t>
      </w:r>
      <w:r w:rsidRPr="00B6133E">
        <w:rPr>
          <w:rFonts w:ascii="Times New Roman" w:hAnsi="Times New Roman" w:cs="Times New Roman"/>
          <w:i/>
          <w:lang w:val="en-US"/>
        </w:rPr>
        <w:t>1</w:t>
      </w:r>
      <w:r w:rsidRPr="00B6133E">
        <w:rPr>
          <w:rFonts w:ascii="Times New Roman" w:hAnsi="Times New Roman" w:cs="Times New Roman"/>
          <w:lang w:val="en-US"/>
        </w:rPr>
        <w:t xml:space="preserve"> and </w:t>
      </w:r>
      <w:r w:rsidRPr="00B6133E">
        <w:rPr>
          <w:rFonts w:ascii="Times New Roman" w:hAnsi="Times New Roman" w:cs="Times New Roman"/>
          <w:i/>
          <w:lang w:val="en-US"/>
        </w:rPr>
        <w:t>FGFR3/MMSET</w:t>
      </w:r>
      <w:r w:rsidRPr="00B6133E">
        <w:rPr>
          <w:rFonts w:ascii="Times New Roman" w:hAnsi="Times New Roman" w:cs="Times New Roman"/>
          <w:lang w:val="en-US"/>
        </w:rPr>
        <w:t xml:space="preserve"> being the most frequently present at the MGUS stage</w:t>
      </w:r>
      <w:r w:rsidR="00E0689C"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{"citationItems":[{"id":"ITEM-1","itemData":{"DOI":"10.1038/sj.onc.1204641","ISSN":"0950-9232","PMID":"11607813","abstract":"Multiple myeloma (MM), a malignant tumor of somatically mutated, isotype-switched plasma cells (PC), usually arises from a common benign PC tumor called Monoclonal Gammopathy of Undetermined Significance (MGUS). MM progresses within the bone marrow, and then to an extramedullary stage from which MM cell lines are generated. The incidence of IgH translocations increases with the stage of disease: 50% in MGUS, 60-65% in intramedullarly MM, 70-80% in extramedullary MM, and &gt;90% in MM cell lines. Primary, simple reciprocal IgH translocations, which are present in both MGUS and MM, involve many partners and provide an early immortalizing event. Four chromosomal partners appear to account for the majority of primary IgH translocations: 11q13 (cyclin D1), 6p21 (cyclin D3), 4p16 (FGFR3 and MMSET), and 16q23 (c-maf). They are mediated primarily by errors in IgH switch recombination and less often by errors in somatic hypermutation, with the former dissociating the intronic and 3' enhancer(s), so that potential oncogenes can be dysregulated on each derivative chromosome (e.g., FGFR3 on der14 and MMSET on der4). Secondary translocations, which sometimes do not involve Ig loci, are more complex, and are not mediated by errors in B cell specific DNA modification mechanisms. They involve other chromosomal partners, notably 8q24 (c-myc), and are associated with tumor progression. Consistent with MM being the malignant counterpart of a long-lived PC, oncogenes dysregulated by primary IgH translocations in MM do not appear to confer an anti-apoptotic effect, but instead increase proliferation and/or inhibit differentiation. The fact that so many different primary transforming events give rise to tumors with the same phenotype suggests that there is only a single fate available for the transformed cell.","author":[{"dropping-particle":"","family":"Bergsagel","given":"P Leif","non-dropping-particle":"","parse-names":false,"suffix":""},{"dropping-particle":"","family":"Kuehl","given":"W Michael","non-dropping-particle":"","parse-names":false,"suffix":""}],"container-title":"Oncogene","id":"ITEM-1","issue":"40","issued":{"date-parts":[["2001","9","8"]]},"page":"5611-5622","title":"Chromosome translocations in multiple myeloma","type":"article-journal","volume":"20"},"uris":["http://www.mendeley.com/documents/?uuid=a89e9b1d-6fbf-49ea-98a6-0251807d376f"]}],"mendeley":{"formattedCitation":"&lt;sup&gt;11&lt;/sup&gt;","plainTextFormattedCitation":"11","previouslyFormattedCitation":"&lt;sup&gt;11&lt;/sup&gt;"},"properties":{"noteIndex":0},"schema":"https://github.com/citation-style-language/schema/raw/master/csl-citation.json"}</w:instrText>
      </w:r>
      <w:r w:rsidR="00E0689C"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11</w:t>
      </w:r>
      <w:r w:rsidR="00E0689C" w:rsidRPr="00B6133E">
        <w:rPr>
          <w:rFonts w:ascii="Times New Roman" w:hAnsi="Times New Roman" w:cs="Times New Roman"/>
          <w:lang w:val="en-US"/>
        </w:rPr>
        <w:fldChar w:fldCharType="end"/>
      </w:r>
      <w:r w:rsidRPr="00B6133E">
        <w:rPr>
          <w:rFonts w:ascii="Times New Roman" w:hAnsi="Times New Roman" w:cs="Times New Roman"/>
          <w:lang w:val="en-US"/>
        </w:rPr>
        <w:t xml:space="preserve">. </w:t>
      </w:r>
      <w:r w:rsidR="00534FD7" w:rsidRPr="00B6133E">
        <w:rPr>
          <w:rFonts w:ascii="Times New Roman" w:hAnsi="Times New Roman" w:cs="Times New Roman"/>
          <w:lang w:val="en-US"/>
        </w:rPr>
        <w:t>Fur</w:t>
      </w:r>
      <w:r w:rsidR="00B42807" w:rsidRPr="00B6133E">
        <w:rPr>
          <w:rFonts w:ascii="Times New Roman" w:hAnsi="Times New Roman" w:cs="Times New Roman"/>
          <w:lang w:val="en-US"/>
        </w:rPr>
        <w:t>t</w:t>
      </w:r>
      <w:r w:rsidR="00534FD7" w:rsidRPr="00B6133E">
        <w:rPr>
          <w:rFonts w:ascii="Times New Roman" w:hAnsi="Times New Roman" w:cs="Times New Roman"/>
          <w:lang w:val="en-US"/>
        </w:rPr>
        <w:t xml:space="preserve">hermore, </w:t>
      </w:r>
      <w:r w:rsidRPr="00B6133E">
        <w:rPr>
          <w:rFonts w:ascii="Times New Roman" w:hAnsi="Times New Roman" w:cs="Times New Roman"/>
          <w:lang w:val="en-US"/>
        </w:rPr>
        <w:t xml:space="preserve">the </w:t>
      </w:r>
      <w:r w:rsidR="00534FD7" w:rsidRPr="00B6133E">
        <w:rPr>
          <w:rFonts w:ascii="Times New Roman" w:hAnsi="Times New Roman" w:cs="Times New Roman"/>
          <w:lang w:val="en-US"/>
        </w:rPr>
        <w:t xml:space="preserve">larger part </w:t>
      </w:r>
      <w:r w:rsidR="003F7E70" w:rsidRPr="00B6133E">
        <w:rPr>
          <w:rFonts w:ascii="Times New Roman" w:hAnsi="Times New Roman" w:cs="Times New Roman"/>
          <w:lang w:val="en-US"/>
        </w:rPr>
        <w:t xml:space="preserve">of </w:t>
      </w:r>
      <w:r w:rsidRPr="00B6133E">
        <w:rPr>
          <w:rFonts w:ascii="Times New Roman" w:hAnsi="Times New Roman" w:cs="Times New Roman"/>
          <w:lang w:val="en-US"/>
        </w:rPr>
        <w:t xml:space="preserve">breakpoints </w:t>
      </w:r>
      <w:r w:rsidR="00534FD7" w:rsidRPr="00B6133E">
        <w:rPr>
          <w:rFonts w:ascii="Times New Roman" w:hAnsi="Times New Roman" w:cs="Times New Roman"/>
          <w:lang w:val="en-US"/>
        </w:rPr>
        <w:t>occurs in</w:t>
      </w:r>
      <w:r w:rsidRPr="00B6133E">
        <w:rPr>
          <w:rFonts w:ascii="Times New Roman" w:hAnsi="Times New Roman" w:cs="Times New Roman"/>
          <w:lang w:val="en-US"/>
        </w:rPr>
        <w:t xml:space="preserve"> the switch regions, suggesting the early translocation </w:t>
      </w:r>
      <w:r w:rsidR="003F3753" w:rsidRPr="00B6133E">
        <w:rPr>
          <w:rFonts w:ascii="Times New Roman" w:hAnsi="Times New Roman" w:cs="Times New Roman"/>
          <w:lang w:val="en-US"/>
        </w:rPr>
        <w:t>happens</w:t>
      </w:r>
      <w:r w:rsidRPr="00B6133E">
        <w:rPr>
          <w:rFonts w:ascii="Times New Roman" w:hAnsi="Times New Roman" w:cs="Times New Roman"/>
          <w:lang w:val="en-US"/>
        </w:rPr>
        <w:t xml:space="preserve"> during </w:t>
      </w:r>
      <w:proofErr w:type="spellStart"/>
      <w:r w:rsidRPr="00B6133E">
        <w:rPr>
          <w:rFonts w:ascii="Times New Roman" w:hAnsi="Times New Roman" w:cs="Times New Roman"/>
          <w:lang w:val="en-US"/>
        </w:rPr>
        <w:t>IgH</w:t>
      </w:r>
      <w:proofErr w:type="spellEnd"/>
      <w:r w:rsidRPr="00B6133E">
        <w:rPr>
          <w:rFonts w:ascii="Times New Roman" w:hAnsi="Times New Roman" w:cs="Times New Roman"/>
          <w:lang w:val="en-US"/>
        </w:rPr>
        <w:t xml:space="preserve"> </w:t>
      </w:r>
      <w:r w:rsidR="004E0115" w:rsidRPr="00B6133E">
        <w:rPr>
          <w:rFonts w:ascii="Times New Roman" w:hAnsi="Times New Roman" w:cs="Times New Roman"/>
          <w:lang w:val="en-US"/>
        </w:rPr>
        <w:t>class</w:t>
      </w:r>
      <w:r w:rsidR="003B703F" w:rsidRPr="00B6133E">
        <w:rPr>
          <w:rFonts w:ascii="Times New Roman" w:hAnsi="Times New Roman" w:cs="Times New Roman"/>
          <w:lang w:val="en-US"/>
        </w:rPr>
        <w:t>-</w:t>
      </w:r>
      <w:r w:rsidRPr="00B6133E">
        <w:rPr>
          <w:rFonts w:ascii="Times New Roman" w:hAnsi="Times New Roman" w:cs="Times New Roman"/>
          <w:lang w:val="en-US"/>
        </w:rPr>
        <w:t>switch</w:t>
      </w:r>
      <w:r w:rsidR="004E0115" w:rsidRPr="00B6133E">
        <w:rPr>
          <w:rFonts w:ascii="Times New Roman" w:hAnsi="Times New Roman" w:cs="Times New Roman"/>
          <w:lang w:val="en-US"/>
        </w:rPr>
        <w:t xml:space="preserve"> </w:t>
      </w:r>
      <w:r w:rsidRPr="00B6133E">
        <w:rPr>
          <w:rFonts w:ascii="Times New Roman" w:hAnsi="Times New Roman" w:cs="Times New Roman"/>
          <w:lang w:val="en-US"/>
        </w:rPr>
        <w:t>recombination</w:t>
      </w:r>
      <w:r w:rsidR="00177C5D" w:rsidRPr="00B6133E">
        <w:rPr>
          <w:rFonts w:ascii="Times New Roman" w:hAnsi="Times New Roman" w:cs="Times New Roman"/>
          <w:lang w:val="en-US"/>
        </w:rPr>
        <w:t xml:space="preserve"> in the germinal center</w:t>
      </w:r>
      <w:r w:rsidR="00E0689C"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{"citationItems":[{"id":"ITEM-1","itemData":{"ISSN":"0027-8424","PMID":"8943038","abstract":"In multiple myeloma, karyotopic 14q32 translocations have been identified at a variable frequency (10-60% in different studies). In the majority of cases, the partner chromosome has not been identified (14q+), and in the remaining cases, a diverse array of chromosomal partners has been implicated, with 11q13 being the most common. We developed a comprehensive Southern blot assay to identify and distinguish different kinds of immunoglobulin heavy chain (IgH) switch recombination events. Illegitimate switch recombination fragments (defined as containing sequences from only one switch region) are potential markers of translocation events into IgH switch regions and were identified in 15 of 21 myeloma cell lines, including seven of eight karyotyped lines that have no detectable 14q32 translocation. From all nine lines or tumor samples analyzed further, cloned illegitimate switch recombination fragments were confirmed to be IgH switch translocation breakpoints. In three of these cases, the translocation breakpoint was shown to be present in the primary tumor. These translocation breakpoints involve six chromosomal loci: 4p16.3 (two lines and the one tumor); 6; 8q24.13; 11q13.3 (in three lines); 16q23.1; and 21q22.1. We suggest that translocations into the IgH locus (i) are frequent (karyotypic 14q32 translocations and/or illegitimate switch recombination fragments are present in primary tumor samples and in 19 of 21 lines that we have analyzed); (ii) occur mainly in switch regions; and (iii) involve a diverse but nonrandom array (i.e., frequently 11q13 or 4p16) of chromosomal partners. This appears to be the most frequent genetic abnormality in multiple myeloma.","author":[{"dropping-particle":"","family":"Bergsagel","given":"P L","non-dropping-particle":"","parse-names":false,"suffix":""},{"dropping-particle":"","family":"Chesi","given":"M","non-dropping-particle":"","parse-names":false,"suffix":""},{"dropping-particle":"","family":"Nardini","given":"E","non-dropping-particle":"","parse-names":false,"suffix":""},{"dropping-particle":"","family":"Brents","given":"L A","non-dropping-particle":"","parse-names":false,"suffix":""},{"dropping-particle":"","family":"Kirby","given":"S L","non-dropping-particle":"","parse-names":false,"suffix":""},{"dropping-particle":"","family":"Kuehl","given":"W M","non-dropping-particle":"","parse-names":false,"suffix":""}],"container-title":"Proceedings of the National Academy of Sciences of the United States of America","id":"ITEM-1","issue":"24","issued":{"date-parts":[["1996","11","26"]]},"page":"13931-6","title":"Promiscuous translocations into immunoglobulin heavy chain switch regions in multiple myeloma.","type":"article-journal","volume":"93"},"uris":["http://www.mendeley.com/documents/?uuid=2415ffeb-064b-4731-b2d9-d0561c9ecd1a"]},{"id":"ITEM-2","itemData":{"DOI":"10.1038/ng0797-260","ISSN":"1061-4036","PMID":"9207791","abstract":"Dysregulation of oncogenes by translocation to the IgH locus (14q32) is a seminal event in the pathogenesis of B-cell tumours. In multiple myeloma (MM), translocations to the IgH locus have been reported at an incidence of 20-60%. For most translocations, the partner chromosome is unknown (14q+); for the others, a diverse array of chromosomal partners have been identified, with 11q13 (cyclin D1) the only chromosome that is frequently involved. Recently, we developed a Southern-blot assay that detects translocation breakpoint fragments in most MM tumours, including those with no translocation detected by conventional karyotyping. In a continuing analysis of translocation in 21 myeloma cell lines and primary tumours, we show that the novel, karyotypically silent translocation t(4;14)(p16.3;q32.3) is present in five lines and at least three of ten primary tumours. The chromosome-4 breakpoints are clustered in a 70-kb region centromeric to the fibroblast growth factor receptor 3 gene (FGFR3), the apparent dysregulated oncogene. Two lines and one primary tumour with this translocation selectively express an FGFR3 allele containing activating mutations identified previously in thanatophoric dwarfism. We propose that after the t(4;14) translocation, somatic mutation during tumour progression frequently generates in FGFR3 protein that is active in the absence of ligand.","author":[{"dropping-particle":"","family":"Chesi","given":"M","non-dropping-particle":"","parse-names":false,"suffix":""},{"dropping-particle":"","family":"Nardini","given":"E","non-dropping-particle":"","parse-names":false,"suffix":""},{"dropping-particle":"","family":"Brents","given":"L A","non-dropping-particle":"","parse-names":false,"suffix":""},{"dropping-particle":"","family":"Schröck","given":"E","non-dropping-particle":"","parse-names":false,"suffix":""},{"dropping-particle":"","family":"Ried","given":"T","non-dropping-particle":"","parse-names":false,"suffix":""},{"dropping-particle":"","family":"Kuehl","given":"W M","non-dropping-particle":"","parse-names":false,"suffix":""},{"dropping-particle":"","family":"Bergsagel","given":"P L","non-dropping-particle":"","parse-names":false,"suffix":""}],"container-title":"Nature genetics","id":"ITEM-2","issue":"3","issued":{"date-parts":[["1997","7","1"]]},"page":"260-4","title":"Frequent translocation t(4;14)(p16.3;q32.3) in multiple myeloma is associated with increased expression and activating mutations of fibroblast growth factor receptor 3.","type":"article-journal","volume":"16"},"uris":["http://www.mendeley.com/documents/?uuid=74e5dc99-c52a-3550-8e41-9867c88d812f"]},{"id":"ITEM-3","itemData":{"ISSN":"0007-1048","PMID":"14531906","abstract":"This study investigated the expression pattern in primary plasma cells (PCs) of putative oncogenes suggested to be involved in multiple myeloma (MM) development. cDNA archives were generated by global reverse transcription polymerase chain reaction from CD38++/CD19-/CD56-/++ aberrant PCs of a prospective cohort of 96 subjects, including healthy individuals, patients with monoclonal gammopathies of undetermined significance (MGUS), MM and MM with extramedullary manifestations (ExMM). The cDNA archives were analysed quantitatively for expression of the cyclin D1, fibroblast growth factor receptor 3 (FGFR3), C-MYC, C-MAF and cyclin D3 oncogenes. In addition, all patients were screened for IGH-MMSET hybrid transcripts. None of the analysed oncogenes was randomly distributed. C-MYC and cyclin D3 expression increased at the extramedullary transformation stage. Furthermore, C-MYC and cyclin D3 expression in CD56+ MM was similar to MGUS, whereas CD56- MM was similar to ExMM. FGFR3/IGH-MMSET was only observed among CD56+ MM patients, whereas an increased frequency of C-MAF dysregulation was seen among CD56- MM. High cyclin D1 expression levels were identified at similar frequencies at all stages, whereas the frequency of patients with low cyclin D1 levels increased during MM development. These data support the stepwise transformation model accumulating genetic alterations and proliferative capacity during MM initiation and development resulting in different clinical entities.","author":[{"dropping-particle":"","family":"Rasmussen","given":"Thomas","non-dropping-particle":"","parse-names":false,"suffix":""},{"dropping-particle":"","family":"Theilgaard-Mönch","given":"Kim","non-dropping-particle":"","parse-names":false,"suffix":""},{"dropping-particle":"","family":"Hudlebusch","given":"Heidi R","non-dropping-particle":"","parse-names":false,"suffix":""},{"dropping-particle":"","family":"Lodahl","given":"Marianne","non-dropping-particle":"","parse-names":false,"suffix":""},{"dropping-particle":"","family":"Johnsen","given":"Hans E","non-dropping-particle":"","parse-names":false,"suffix":""},{"dropping-particle":"","family":"Dahl","given":"Inger Marie S","non-dropping-particle":"","parse-names":false,"suffix":""}],"container-title":"British journal of haematology","id":"ITEM-3","issue":"2","issued":{"date-parts":[["2003","10"]]},"page":"253-62","title":"Occurrence of dysregulated oncogenes in primary plasma cells representing consecutive stages of myeloma pathogenesis: indications for different disease entities.","type":"article-journal","volume":"123"},"uris":["http://www.mendeley.com/documents/?uuid=2c3e304b-8832-3006-913d-91844775e391"]}],"mendeley":{"formattedCitation":"&lt;sup&gt;12–14&lt;/sup&gt;","plainTextFormattedCitation":"12–14","previouslyFormattedCitation":"&lt;sup&gt;12–14&lt;/sup&gt;"},"properties":{"noteIndex":0},"schema":"https://github.com/citation-style-language/schema/raw/master/csl-citation.json"}</w:instrText>
      </w:r>
      <w:r w:rsidR="00E0689C"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12–14</w:t>
      </w:r>
      <w:r w:rsidR="00E0689C" w:rsidRPr="00B6133E">
        <w:rPr>
          <w:rFonts w:ascii="Times New Roman" w:hAnsi="Times New Roman" w:cs="Times New Roman"/>
          <w:lang w:val="en-US"/>
        </w:rPr>
        <w:fldChar w:fldCharType="end"/>
      </w:r>
      <w:r w:rsidRPr="00B6133E">
        <w:rPr>
          <w:rFonts w:ascii="Times New Roman" w:hAnsi="Times New Roman" w:cs="Times New Roman"/>
          <w:lang w:val="en-US"/>
        </w:rPr>
        <w:t xml:space="preserve">. The </w:t>
      </w:r>
      <w:r w:rsidR="003F3753" w:rsidRPr="00B6133E">
        <w:rPr>
          <w:rFonts w:ascii="Times New Roman" w:hAnsi="Times New Roman" w:cs="Times New Roman"/>
          <w:lang w:val="en-US"/>
        </w:rPr>
        <w:t xml:space="preserve">existence </w:t>
      </w:r>
      <w:r w:rsidRPr="00B6133E">
        <w:rPr>
          <w:rFonts w:ascii="Times New Roman" w:hAnsi="Times New Roman" w:cs="Times New Roman"/>
          <w:lang w:val="en-US"/>
        </w:rPr>
        <w:t xml:space="preserve">of </w:t>
      </w:r>
      <w:r w:rsidR="003F3753" w:rsidRPr="00B6133E">
        <w:rPr>
          <w:rFonts w:ascii="Times New Roman" w:hAnsi="Times New Roman" w:cs="Times New Roman"/>
          <w:lang w:val="en-US"/>
        </w:rPr>
        <w:t>early</w:t>
      </w:r>
      <w:r w:rsidRPr="00B6133E">
        <w:rPr>
          <w:rFonts w:ascii="Times New Roman" w:hAnsi="Times New Roman" w:cs="Times New Roman"/>
          <w:lang w:val="en-US"/>
        </w:rPr>
        <w:t xml:space="preserve"> translocations and the overexpression of </w:t>
      </w:r>
      <w:r w:rsidRPr="00B6133E">
        <w:rPr>
          <w:rFonts w:ascii="Times New Roman" w:hAnsi="Times New Roman" w:cs="Times New Roman"/>
          <w:i/>
          <w:lang w:val="en-US"/>
        </w:rPr>
        <w:t>CCND</w:t>
      </w:r>
      <w:r w:rsidRPr="00B6133E">
        <w:rPr>
          <w:rFonts w:ascii="Times New Roman" w:hAnsi="Times New Roman" w:cs="Times New Roman"/>
          <w:lang w:val="en-US"/>
        </w:rPr>
        <w:t xml:space="preserve"> genes </w:t>
      </w:r>
      <w:r w:rsidR="003F3753" w:rsidRPr="00B6133E">
        <w:rPr>
          <w:rFonts w:ascii="Times New Roman" w:hAnsi="Times New Roman" w:cs="Times New Roman"/>
          <w:lang w:val="en-US"/>
        </w:rPr>
        <w:t>form</w:t>
      </w:r>
      <w:r w:rsidRPr="00B6133E">
        <w:rPr>
          <w:rFonts w:ascii="Times New Roman" w:hAnsi="Times New Roman" w:cs="Times New Roman"/>
          <w:lang w:val="en-US"/>
        </w:rPr>
        <w:t xml:space="preserve"> the translocations and cyclin D</w:t>
      </w:r>
      <w:r w:rsidR="00475DE8" w:rsidRPr="00B6133E">
        <w:rPr>
          <w:rFonts w:ascii="Times New Roman" w:hAnsi="Times New Roman" w:cs="Times New Roman"/>
          <w:lang w:val="en-US"/>
        </w:rPr>
        <w:t xml:space="preserve"> (TC) classification </w:t>
      </w:r>
      <w:r w:rsidR="00C6545B" w:rsidRPr="00B6133E">
        <w:rPr>
          <w:rFonts w:ascii="Times New Roman" w:hAnsi="Times New Roman" w:cs="Times New Roman"/>
          <w:lang w:val="en-US"/>
        </w:rPr>
        <w:t>generated</w:t>
      </w:r>
      <w:r w:rsidRPr="00B6133E">
        <w:rPr>
          <w:rFonts w:ascii="Times New Roman" w:hAnsi="Times New Roman" w:cs="Times New Roman"/>
          <w:lang w:val="en-US"/>
        </w:rPr>
        <w:t xml:space="preserve"> </w:t>
      </w:r>
      <w:r w:rsidR="00066031" w:rsidRPr="00B6133E">
        <w:rPr>
          <w:rFonts w:ascii="Times New Roman" w:hAnsi="Times New Roman" w:cs="Times New Roman"/>
          <w:lang w:val="en-US"/>
        </w:rPr>
        <w:t>from</w:t>
      </w:r>
      <w:r w:rsidRPr="00B6133E">
        <w:rPr>
          <w:rFonts w:ascii="Times New Roman" w:hAnsi="Times New Roman" w:cs="Times New Roman"/>
          <w:lang w:val="en-US"/>
        </w:rPr>
        <w:t xml:space="preserve"> early events</w:t>
      </w:r>
      <w:r w:rsidR="00E0689C"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{"citationItems":[{"id":"ITEM-1","itemData":{"DOI":"10.1182/blood-2005-01-0034","ISSN":"0006-4971","PMID":"15755896","abstract":"Two oncogenic pathways have been hypothesized for multiple myeloma (MM) and premalignant monoclonal gammopathy of undetermined significance (MGUS) tumors: a nonhyperdiploid pathway associated with a high prevalence of IgH translocations and a hyperdiploid pathway associated with multiple trisomies of 8 chromosomes. Cyclin D1, D2, or D3 expression appears to be increased and/or dysregulated in virtually all MM tumors despite their low proliferative capacity. Translocations can directly dysregulate CCND1 (11q13) or CCND3 (6p21), or MAF (16q23) or MAFB (20q11) transcription factors that target CCND2. Biallelic dysregulation of CCND1 occurs in nearly 40% of tumors, most of which are hyperdiploid. Other tumors express increased CCND2, either with or without a t(4;14) translocation. Using gene expression profiling to identify 5 recurrent translocations, specific trisomies, and expression of cyclin D genes, MM tumors can be divided into 8 TC (translocation/cyclin D) groups (11q13, 6p21, 4p16, maf, D1, D1+D2, D2, and none) that appear to be defined by early, and perhaps initiating, oncogenic events. However, despite subsequent progression events, these groups have differing gene expression profiles and also significant differences in the prevalence of bone disease, frequency at relapse, and progression to extramedullary tumor.","author":[{"dropping-particle":"","family":"Bergsagel","given":"P Leif","non-dropping-particle":"","parse-names":false,"suffix":""},{"dropping-particle":"","family":"Kuehl","given":"W Michael","non-dropping-particle":"","parse-names":false,"suffix":""},{"dropping-particle":"","family":"Zhan","given":"Fenghuang","non-dropping-particle":"","parse-names":false,"suffix":""},{"dropping-particle":"","family":"Sawyer","given":"Jeffrey","non-dropping-particle":"","parse-names":false,"suffix":""},{"dropping-particle":"","family":"Barlogie","given":"Bart","non-dropping-particle":"","parse-names":false,"suffix":""},{"dropping-particle":"","family":"Shaughnessy","given":"John","non-dropping-particle":"","parse-names":false,"suffix":""}],"container-title":"Blood","id":"ITEM-1","issue":"1","issued":{"date-parts":[["2005","7"]]},"page":"296-303","title":"Cyclin D dysregulation: an early and unifying pathogenic event in multiple myeloma.","type":"article-journal","volume":"106"},"uris":["http://www.mendeley.com/documents/?uuid=c81fe6b0-1496-47db-9204-eec4587fdf2d"]},{"id":"ITEM-2","itemData":{"DOI":"10.1038/sj.onc.1204641","ISSN":"0950-9232","PMID":"11607813","abstract":"Multiple myeloma (MM), a malignant tumor of somatically mutated, isotype-switched plasma cells (PC), usually arises from a common benign PC tumor called Monoclonal Gammopathy of Undetermined Significance (MGUS). MM progresses within the bone marrow, and then to an extramedullary stage from which MM cell lines are generated. The incidence of IgH translocations increases with the stage of disease: 50% in MGUS, 60-65% in intramedullarly MM, 70-80% in extramedullary MM, and &gt;90% in MM cell lines. Primary, simple reciprocal IgH translocations, which are present in both MGUS and MM, involve many partners and provide an early immortalizing event. Four chromosomal partners appear to account for the majority of primary IgH translocations: 11q13 (cyclin D1), 6p21 (cyclin D3), 4p16 (FGFR3 and MMSET), and 16q23 (c-maf). They are mediated primarily by errors in IgH switch recombination and less often by errors in somatic hypermutation, with the former dissociating the intronic and 3' enhancer(s), so that potential oncogenes can be dysregulated on each derivative chromosome (e.g., FGFR3 on der14 and MMSET on der4). Secondary translocations, which sometimes do not involve Ig loci, are more complex, and are not mediated by errors in B cell specific DNA modification mechanisms. They involve other chromosomal partners, notably 8q24 (c-myc), and are associated with tumor progression. Consistent with MM being the malignant counterpart of a long-lived PC, oncogenes dysregulated by primary IgH translocations in MM do not appear to confer an anti-apoptotic effect, but instead increase proliferation and/or inhibit differentiation. The fact that so many different primary transforming events give rise to tumors with the same phenotype suggests that there is only a single fate available for the transformed cell.","author":[{"dropping-particle":"","family":"Bergsagel","given":"P Leif","non-dropping-particle":"","parse-names":false,"suffix":""},{"dropping-particle":"","family":"Kuehl","given":"W Michael","non-dropping-particle":"","parse-names":false,"suffix":""}],"container-title":"Oncogene","id":"ITEM-2","issue":"40","issued":{"date-parts":[["2001","9","8"]]},"page":"5611-5622","title":"Chromosome translocations in multiple myeloma","type":"article-journal","volume":"20"},"uris":["http://www.mendeley.com/documents/?uuid=a89e9b1d-6fbf-49ea-98a6-0251807d376f"]}],"mendeley":{"formattedCitation":"&lt;sup&gt;9,11&lt;/sup&gt;","plainTextFormattedCitation":"9,11","previouslyFormattedCitation":"&lt;sup&gt;9,11&lt;/sup&gt;"},"properties":{"noteIndex":0},"schema":"https://github.com/citation-style-language/schema/raw/master/csl-citation.json"}</w:instrText>
      </w:r>
      <w:r w:rsidR="00E0689C"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9,11</w:t>
      </w:r>
      <w:r w:rsidR="00E0689C" w:rsidRPr="00B6133E">
        <w:rPr>
          <w:rFonts w:ascii="Times New Roman" w:hAnsi="Times New Roman" w:cs="Times New Roman"/>
          <w:lang w:val="en-US"/>
        </w:rPr>
        <w:fldChar w:fldCharType="end"/>
      </w:r>
      <w:r w:rsidRPr="00B6133E">
        <w:rPr>
          <w:rFonts w:ascii="Times New Roman" w:hAnsi="Times New Roman" w:cs="Times New Roman"/>
          <w:lang w:val="en-US"/>
        </w:rPr>
        <w:t>. Late</w:t>
      </w:r>
      <w:r w:rsidR="003F3753" w:rsidRPr="00B6133E">
        <w:rPr>
          <w:rFonts w:ascii="Times New Roman" w:hAnsi="Times New Roman" w:cs="Times New Roman"/>
          <w:lang w:val="en-US"/>
        </w:rPr>
        <w:t>r</w:t>
      </w:r>
      <w:r w:rsidRPr="00B6133E">
        <w:rPr>
          <w:rFonts w:ascii="Times New Roman" w:hAnsi="Times New Roman" w:cs="Times New Roman"/>
          <w:lang w:val="en-US"/>
        </w:rPr>
        <w:t xml:space="preserve"> </w:t>
      </w:r>
      <w:r w:rsidR="0063706E" w:rsidRPr="00B6133E">
        <w:rPr>
          <w:rFonts w:ascii="Times New Roman" w:hAnsi="Times New Roman" w:cs="Times New Roman"/>
          <w:lang w:val="en-US"/>
        </w:rPr>
        <w:t>incidences</w:t>
      </w:r>
      <w:r w:rsidRPr="00B6133E">
        <w:rPr>
          <w:rFonts w:ascii="Times New Roman" w:hAnsi="Times New Roman" w:cs="Times New Roman"/>
          <w:lang w:val="en-US"/>
        </w:rPr>
        <w:t xml:space="preserve"> include a </w:t>
      </w:r>
      <w:r w:rsidR="0063706E" w:rsidRPr="00B6133E">
        <w:rPr>
          <w:rFonts w:ascii="Times New Roman" w:hAnsi="Times New Roman" w:cs="Times New Roman"/>
          <w:lang w:val="en-US"/>
        </w:rPr>
        <w:t xml:space="preserve">spectrum </w:t>
      </w:r>
      <w:r w:rsidRPr="00B6133E">
        <w:rPr>
          <w:rFonts w:ascii="Times New Roman" w:hAnsi="Times New Roman" w:cs="Times New Roman"/>
          <w:lang w:val="en-US"/>
        </w:rPr>
        <w:t xml:space="preserve">of mutations and </w:t>
      </w:r>
      <w:r w:rsidR="0063706E" w:rsidRPr="00B6133E">
        <w:rPr>
          <w:rFonts w:ascii="Times New Roman" w:hAnsi="Times New Roman" w:cs="Times New Roman"/>
          <w:lang w:val="en-US"/>
        </w:rPr>
        <w:t xml:space="preserve">dysregulations </w:t>
      </w:r>
      <w:r w:rsidR="003F7E70" w:rsidRPr="00B6133E">
        <w:rPr>
          <w:rFonts w:ascii="Times New Roman" w:hAnsi="Times New Roman" w:cs="Times New Roman"/>
          <w:lang w:val="en-US"/>
        </w:rPr>
        <w:t xml:space="preserve">occurring </w:t>
      </w:r>
      <w:r w:rsidR="00341B4C" w:rsidRPr="00B6133E">
        <w:rPr>
          <w:rFonts w:ascii="Times New Roman" w:hAnsi="Times New Roman" w:cs="Times New Roman"/>
          <w:lang w:val="en-US"/>
        </w:rPr>
        <w:t xml:space="preserve">in advanced </w:t>
      </w:r>
      <w:r w:rsidRPr="00B6133E">
        <w:rPr>
          <w:rFonts w:ascii="Times New Roman" w:hAnsi="Times New Roman" w:cs="Times New Roman"/>
          <w:lang w:val="en-US"/>
        </w:rPr>
        <w:t>disease with poor prognosis</w:t>
      </w:r>
      <w:r w:rsidR="00E0689C"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{"citationItems":[{"id":"ITEM-1","itemData":{"ISSN":"0007-1048","PMID":"14531906","abstract":"This study investigated the expression pattern in primary plasma cells (PCs) of putative oncogenes suggested to be involved in multiple myeloma (MM) development. cDNA archives were generated by global reverse transcription polymerase chain reaction from CD38++/CD19-/CD56-/++ aberrant PCs of a prospective cohort of 96 subjects, including healthy individuals, patients with monoclonal gammopathies of undetermined significance (MGUS), MM and MM with extramedullary manifestations (ExMM). The cDNA archives were analysed quantitatively for expression of the cyclin D1, fibroblast growth factor receptor 3 (FGFR3), C-MYC, C-MAF and cyclin D3 oncogenes. In addition, all patients were screened for IGH-MMSET hybrid transcripts. None of the analysed oncogenes was randomly distributed. C-MYC and cyclin D3 expression increased at the extramedullary transformation stage. Furthermore, C-MYC and cyclin D3 expression in CD56+ MM was similar to MGUS, whereas CD56- MM was similar to ExMM. FGFR3/IGH-MMSET was only observed among CD56+ MM patients, whereas an increased frequency of C-MAF dysregulation was seen among CD56- MM. High cyclin D1 expression levels were identified at similar frequencies at all stages, whereas the frequency of patients with low cyclin D1 levels increased during MM development. These data support the stepwise transformation model accumulating genetic alterations and proliferative capacity during MM initiation and development resulting in different clinical entities.","author":[{"dropping-particle":"","family":"Rasmussen","given":"Thomas","non-dropping-particle":"","parse-names":false,"suffix":""},{"dropping-particle":"","family":"Theilgaard-Mönch","given":"Kim","non-dropping-particle":"","parse-names":false,"suffix":""},{"dropping-particle":"","family":"Hudlebusch","given":"Heidi R","non-dropping-particle":"","parse-names":false,"suffix":""},{"dropping-particle":"","family":"Lodahl","given":"Marianne","non-dropping-particle":"","parse-names":false,"suffix":""},{"dropping-particle":"","family":"Johnsen","given":"Hans E","non-dropping-particle":"","parse-names":false,"suffix":""},{"dropping-particle":"","family":"Dahl","given":"Inger Marie S","non-dropping-particle":"","parse-names":false,"suffix":""}],"container-title":"British journal of haematology","id":"ITEM-1","issue":"2","issued":{"date-parts":[["2003","10"]]},"page":"253-62","title":"Occurrence of dysregulated oncogenes in primary plasma cells representing consecutive stages of myeloma pathogenesis: indications for different disease entities.","type":"article-journal","volume":"123"},"uris":["http://www.mendeley.com/documents/?uuid=2c3e304b-8832-3006-913d-91844775e391"]},{"id":"ITEM-2","itemData":{"DOI":"10.1182/blood-2003-01-0016","ISSN":"0006-4971","PMID":"12947006","abstract":"To define specific pathways important in the multistep transformation process of normal plasma cells (PCs) to monoclonal gammopathy of uncertain significance (MGUS) and multiple myeloma (MM), we have applied microarray analysis to PCs from 5 healthy donors (N), 7 patients with MGUS, and 24 patients with newly diagnosed MM. Unsupervised hierarchical clustering using 125 genes with a large variation across all samples defined 2 groups: N and MGUS/MM. Supervised analysis identified 263 genes differentially expressed between N and MGUS and 380 genes differentially expressed between N and MM, 197 of which were also differentially regulated between N and MGUS. Only 74 genes were differentially expressed between MGUS and MM samples, indicating that the differences between MGUS and MM are smaller than those between N and MM or N and MGUS. Differentially expressed genes included oncogenes/tumor-suppressor genes (LAF4, RB1, and disabled homolog 2), cell-signaling genes (RAS family members, B-cell signaling and NF-kappaB genes), DNA-binding and transcription-factor genes (XBP1, zinc finger proteins, forkhead box, and ring finger proteins), and developmental genes (WNT and SHH pathways). Understanding the molecular pathogenesis of MM by gene expression profiling has demonstrated sequential genetic changes from N to malignant PCs and highlighted important pathways involved in the transformation of MGUS to MM.","author":[{"dropping-particle":"","family":"Davies","given":"Faith E","non-dropping-particle":"","parse-names":false,"suffix":""},{"dropping-particle":"","family":"Dring","given":"Ann M","non-dropping-particle":"","parse-names":false,"suffix":""},{"dropping-particle":"","family":"Li","given":"Cheng","non-dropping-particle":"","parse-names":false,"suffix":""},{"dropping-particle":"","family":"Rawstron","given":"Andrew C","non-dropping-particle":"","parse-names":false,"suffix":""},{"dropping-particle":"","family":"Shammas","given":"Masood A","non-dropping-particle":"","parse-names":false,"suffix":""},{"dropping-particle":"","family":"O'Connor","given":"Sheila M","non-dropping-particle":"","parse-names":false,"suffix":""},{"dropping-particle":"","family":"Fenton","given":"James A L","non-dropping-particle":"","parse-names":false,"suffix":""},{"dropping-particle":"","family":"Hideshima","given":"Teru","non-dropping-particle":"","parse-names":false,"suffix":""},{"dropping-particle":"","family":"Chauhan","given":"Dharminder","non-dropping-particle":"","parse-names":false,"suffix":""},{"dropping-particle":"","family":"Tai","given":"Isabella T","non-dropping-particle":"","parse-names":false,"suffix":""},{"dropping-particle":"","family":"Robinson","given":"Elizabeth","non-dropping-particle":"","parse-names":false,"suffix":""},{"dropping-particle":"","family":"Auclair","given":"Daniel","non-dropping-particle":"","parse-names":false,"suffix":""},{"dropping-particle":"","family":"Rees","given":"Karen","non-dropping-particle":"","parse-names":false,"suffix":""},{"dropping-particle":"","family":"Gonzalez","given":"David","non-dropping-particle":"","parse-names":false,"suffix":""},{"dropping-particle":"","family":"Ashcroft","given":"A John","non-dropping-particle":"","parse-names":false,"suffix":""},{"dropping-particle":"","family":"Dasgupta","given":"Ranjit","non-dropping-particle":"","parse-names":false,"suffix":""},{"dropping-particle":"","family":"Mitsiades","given":"Constantine","non-dropping-particle":"","parse-names":false,"suffix":""},{"dropping-particle":"","family":"Mitsiades","given":"Nicholas","non-dropping-particle":"","parse-names":false,"suffix":""},{"dropping-particle":"","family":"Chen","given":"Lan B","non-dropping-particle":"","parse-names":false,"suffix":""},{"dropping-particle":"","family":"Wong","given":"Wing H","non-dropping-particle":"","parse-names":false,"suffix":""},{"dropping-particle":"","family":"Munshi","given":"Nikhil C","non-dropping-particle":"","parse-names":false,"suffix":""},{"dropping-particle":"","family":"Morgan","given":"Gareth J","non-dropping-particle":"","parse-names":false,"suffix":""},{"dropping-particle":"","family":"Anderson","given":"Kenneth C","non-dropping-particle":"","parse-names":false,"suffix":""}],"container-title":"Blood","id":"ITEM-2","issue":"13","issued":{"date-parts":[["2003","12","15"]]},"page":"4504-11","title":"Insights into the multistep transformation of MGUS to myeloma using microarray expression analysis.","type":"article-journal","volume":"102"},"uris":["http://www.mendeley.com/documents/?uuid=471261db-9343-3f4d-a4b4-53860c1e7f87"]},{"id":"ITEM-3","itemData":{"DOI":"10.1182/blood-2004-03-0833","ISSN":"0006-4971","PMID":"15339850","abstract":"To assess a possible role in tumor progression, the occurrence and type of K- and N-RAS mutations were determined in purified tumor cells, including samples from patients with premalignant monoclonal gammopathy of undetermined significance (MGUS), multiple myeloma (MM), and extramedullary plasma cell (PC) tumors (ExPCTs). Immunophenotypic aberrant PCs were flow sorted from 20 MGUS, 58 MM, and 13 ExPCT patients. One RAS mutation was identified in 20 MGUS tumors (5%), in contrast to a much higher prevalence of RAS mutations in all stages of MM (about 31%). Further, oncogene analyses showed that RAS mutations are not evenly distributed among different molecular subclasses of MM, with the prevalence being increased in MM-expressing cyclin D1 (P = .015) and decreased in MM with t(4;14) (P = .055). We conclude that RAS mutations often provide a genetic marker if not a causal event in the evolution of MGUS to MM. Surprisingly, RAS mutations were absent in bone marrow tumor cells from all patients with ExPCT, a result significantly different from intramedullary MM (P = .001). From 3 of 6 patients with paired intramedullary and extramedullary PCs and identical immunoglobulin heavy chain gene (IgH) sequences, RAS mutations were identified only in extramedullary PCs, suggesting a role for RAS mutations in the transition from intramedullary to extramedullary tumor.","author":[{"dropping-particle":"","family":"Rasmussen","given":"Thomas","non-dropping-particle":"","parse-names":false,"suffix":""},{"dropping-particle":"","family":"Kuehl","given":"Michael","non-dropping-particle":"","parse-names":false,"suffix":""},{"dropping-particle":"","family":"Lodahl","given":"Marianne","non-dropping-particle":"","parse-names":false,"suffix":""},{"dropping-particle":"","family":"Johnsen","given":"Hans E","non-dropping-particle":"","parse-names":false,"suffix":""},{"dropping-particle":"","family":"Dahl","given":"Inger Marie S","non-dropping-particle":"","parse-names":false,"suffix":""}],"container-title":"Blood","id":"ITEM-3","issue":"1","issued":{"date-parts":[["2005","1","1"]]},"page":"317-23","title":"Possible roles for activating RAS mutations in the MGUS to MM transition and in the intramedullary to extramedullary transition in some plasma cell tumors.","type":"article-journal","volume":"105"},"uris":["http://www.mendeley.com/documents/?uuid=f84201e5-4788-37a2-83af-b03e4bd30d00"]},{"id":"ITEM-4","itemData":{"DOI":"10.1038/nature09837","ISSN":"0028-0836","PMID":"21430775","abstract":"Multiple myeloma is an incurable malignancy of plasma cells, and its pathogenesis is poorly understood. Here we report the massively parallel sequencing of 38 tumour genomes and their comparison to matched normal DNAs. Several new and unexpected oncogenic mechanisms were suggested by the pattern of somatic mutation across the data set. These include the mutation of genes involved in protein translation (seen in nearly half of the patients), genes involved in histone methylation, and genes involved in blood coagulation. In addition, a broader than anticipated role of NF-κB signalling was indicated by mutations in 11 members of the NF-κB pathway. Of potential immediate clinical relevance, activating mutations of the kinase BRAF were observed in 4% of patients, suggesting the evaluation of BRAF inhibitors in multiple myeloma clinical trials. These results indicate that cancer genome sequencing of large collections of samples will yield new insights into cancer not anticipated by existing knowledge.","author":[{"dropping-particle":"","family":"Chapman","given":"Michael A.","non-dropping-particle":"","parse-names":false,"suffix":""},{"dropping-particle":"","family":"Lawrence","given":"Michael S.","non-dropping-particle":"","parse-names":false,"suffix":""},{"dropping-particle":"","family":"Keats","given":"Jonathan J.","non-dropping-particle":"","parse-names":false,"suffix":""},{"dropping-particle":"","family":"Cibulskis","given":"Kristian","non-dropping-particle":"","parse-names":false,"suffix":""},{"dropping-particle":"","family":"Sougnez","given":"Carrie","non-dropping-particle":"","parse-names":false,"suffix":""},{"dropping-particle":"","family":"Schinzel","given":"Anna C.","non-dropping-particle":"","parse-names":false,"suffix":""},{"dropping-particle":"","family":"Harview","given":"Christina L.","non-dropping-particle":"","parse-names":false,"suffix":""},{"dropping-particle":"","family":"Brunet","given":"Jean-Philippe","non-dropping-particle":"","parse-names":false,"suffix":""},{"dropping-particle":"","family":"Ahmann","given":"Gregory J.","non-dropping-particle":"","parse-names":false,"suffix":""},{"dropping-particle":"","family":"Adli","given":"Mazhar","non-dropping-particle":"","parse-names":false,"suffix":""},{"dropping-particle":"","family":"Anderson","given":"Kenneth C.","non-dropping-particle":"","parse-names":false,"suffix":""},{"dropping-particle":"","family":"Ardlie","given":"Kristin G.","non-dropping-particle":"","parse-names":false,"suffix":""},{"dropping-particle":"","family":"Auclair","given":"Daniel","non-dropping-particle":"","parse-names":false,"suffix":""},{"dropping-particle":"","family":"Baker","given":"Angela","non-dropping-particle":"","parse-names":false,"suffix":""},{"dropping-particle":"","family":"Bergsagel","given":"P. Leif","non-dropping-particle":"","parse-names":false,"suffix":""},{"dropping-particle":"","family":"Bernstein","given":"Bradley E.","non-dropping-particle":"","parse-names":false,"suffix":""},{"dropping-particle":"","family":"Drier","given":"Yotam","non-dropping-particle":"","parse-names":false,"suffix":""},{"dropping-particle":"","family":"Fonseca","given":"Rafael","non-dropping-particle":"","parse-names":false,"suffix":""},{"dropping-particle":"","family":"Gabriel","given":"Stacey B.","non-dropping-particle":"","parse-names":false,"suffix":""},{"dropping-particle":"","family":"Hofmeister","given":"Craig C.","non-dropping-particle":"","parse-names":false,"suffix":""},{"dropping-particle":"","family":"Jagannath","given":"Sundar","non-dropping-particle":"","parse-names":false,"suffix":""},{"dropping-particle":"","family":"Jakubowiak","given":"Andrzej J.","non-dropping-particle":"","parse-names":false,"suffix":""},{"dropping-particle":"","family":"Krishnan","given":"Amrita","non-dropping-particle":"","parse-names":false,"suffix":""},{"dropping-particle":"","family":"Levy","given":"Joan","non-dropping-particle":"","parse-names":false,"suffix":""},{"dropping-particle":"","family":"Liefeld","given":"Ted","non-dropping-particle":"","parse-names":false,"suffix":""},{"dropping-particle":"","family":"Lonial","given":"Sagar","non-dropping-particle":"","parse-names":false,"suffix":""},{"dropping-particle":"","family":"Mahan","given":"Scott","non-dropping-particle":"","parse-names":false,"suffix":""},{"dropping-particle":"","family":"Mfuko","given":"Bunmi","non-dropping-particle":"","parse-names":false,"suffix":""},{"dropping-particle":"","family":"Monti","given":"Stefano","non-dropping-particle":"","parse-names":false,"suffix":""},{"dropping-particle":"","family":"Perkins","given":"Louise M.","non-dropping-particle":"","parse-names":false,"suffix":""},{"dropping-particle":"","family":"Onofrio","given":"Robb","non-dropping-particle":"","parse-names":false,"suffix":""},{"dropping-particle":"","family":"Pugh","given":"Trevor J.","non-dropping-particle":"","parse-names":false,"suffix":""},{"dropping-particle":"","family":"Rajkumar","given":"S. Vincent","non-dropping-particle":"","parse-names":false,"suffix":""},{"dropping-particle":"","family":"Ramos","given":"Alex H.","non-dropping-particle":"","parse-names":false,"suffix":""},{"dropping-particle":"","family":"Siegel","given":"David S.","non-dropping-particle":"","parse-names":false,"suffix":""},{"dropping-particle":"","family":"Sivachenko","given":"Andrey","non-dropping-particle":"","parse-names":false,"suffix":""},{"dropping-particle":"","family":"Stewart","given":"A. Keith","non-dropping-particle":"","parse-names":false,"suffix":""},{"dropping-particle":"","family":"Trudel","given":"Suzanne","non-dropping-particle":"","parse-names":false,"suffix":""},{"dropping-particle":"","family":"Vij","given":"Ravi","non-dropping-particle":"","parse-names":false,"suffix":""},{"dropping-particle":"","family":"Voet","given":"Douglas","non-dropping-particle":"","parse-names":false,"suffix":""},{"dropping-particle":"","family":"Winckler","given":"Wendy","non-dropping-particle":"","parse-names":false,"suffix":""},{"dropping-particle":"","family":"Zimmerman","given":"Todd","non-dropping-particle":"","parse-names":false,"suffix":""},{"dropping-particle":"","family":"Carpten","given":"John","non-dropping-particle":"","parse-names":false,"suffix":""},{"dropping-particle":"","family":"Trent","given":"Jeff","non-dropping-particle":"","parse-names":false,"suffix":""},{"dropping-particle":"","family":"Hahn","given":"William C.","non-dropping-particle":"","parse-names":false,"suffix":""},{"dropping-particle":"","family":"Garraway","given":"Levi A.","non-dropping-particle":"","parse-names":false,"suffix":""},{"dropping-particle":"","family":"Meyerson","given":"Matthew","non-dropping-particle":"","parse-names":false,"suffix":""},{"dropping-particle":"","family":"Lander","given":"Eric S.","non-dropping-particle":"","parse-names":false,"suffix":""},{"dropping-particle":"","family":"Getz","given":"Gad","non-dropping-particle":"","parse-names":false,"suffix":""},{"dropping-particle":"","family":"Golub","given":"Todd R.","non-dropping-particle":"","parse-names":false,"suffix":""}],"container-title":"Nature","id":"ITEM-4","issue":"7339","issued":{"date-parts":[["2011","3","24"]]},"page":"467-472","title":"Initial genome sequencing and analysis of multiple myeloma","type":"article-journal","volume":"471"},"uris":["http://www.mendeley.com/documents/?uuid=886edc70-c0f4-3152-a91c-161901c396a8"]},{"id":"ITEM-5","itemData":{"DOI":"10.1182/blood-2012-01-405977","ISBN":"1528-0020 (Electronic)$\\$n0006-4971 (Linking)","ISSN":"00064971","PMID":"22529291","abstract":"The longitudinal evolution of a myeloma genome from diagnosis to plasma cell leukemia has not previously been reported. We used whole-genome sequencing (WGS) on 4 purified tumor samples and patient germline DNA drawn over a 5-year period in a t(4;14) multiple myeloma patient. Tumor samples were acquired at diagnosis, first relapse, second relapse, and end-stage secondary plasma cell leukemia (sPCL). In addition to the t(4;14), all tumor time points also shared 10 common single-nucleotide variants (SNVs) on WGS comprising shared initiating events. Interestingly, we observed genomic sequence variants that waxed and waned with time in progressive tumors, suggesting the presence of multiple independent, yet related, clones at diagnosis that rose and fell in dominance. Five newly acquired SNVs, including truncating mutations of RB1 and ZKSCAN3, were observed only in the final sPCL sample suggesting leukemic transformation events. This longitudinal WGS characterization of the natural history of a high-risk myeloma patient demonstrated tumor heterogeneity at diagnosis with shifting dominance of tumor clones over time and has also identified potential mutations contributing to myelomagenesis as well as transformation from myeloma to overt extramedullary disease such as sPCL.","author":[{"dropping-particle":"","family":"Egan","given":"Jan B","non-dropping-particle":"","parse-names":false,"suffix":""},{"dropping-particle":"","family":"Shi","given":"Chang Xin","non-dropping-particle":"","parse-names":false,"suffix":""},{"dropping-particle":"","family":"Tembe","given":"Waibhav","non-dropping-particle":"","parse-names":false,"suffix":""},{"dropping-particle":"","family":"Christoforides","given":"Alexis","non-dropping-particle":"","parse-names":false,"suffix":""},{"dropping-particle":"","family":"Kurdoglu","given":"Ahmet","non-dropping-particle":"","parse-names":false,"suffix":""},{"dropping-particle":"","family":"Sinari","given":"Shripad","non-dropping-particle":"","parse-names":false,"suffix":""},{"dropping-particle":"","family":"Middha","given":"Sumit","non-dropping-particle":"","parse-names":false,"suffix":""},{"dropping-particle":"","family":"Asmann","given":"Yan","non-dropping-particle":"","parse-names":false,"suffix":""},{"dropping-particle":"","family":"Schmidt","given":"Jessica","non-dropping-particle":"","parse-names":false,"suffix":""},{"dropping-particle":"","family":"Braggio","given":"Esteban","non-dropping-particle":"","parse-names":false,"suffix":""},{"dropping-particle":"","family":"Keats","given":"Jonathan J","non-dropping-particle":"","parse-names":false,"suffix":""},{"dropping-particle":"","family":"Fonseca","given":"Rafael","non-dropping-particle":"","parse-names":false,"suffix":""},{"dropping-particle":"","family":"Bergsagel","given":"P Leif","non-dropping-particle":"","parse-names":false,"suffix":""},{"dropping-particle":"","family":"Craig","given":"David W","non-dropping-particle":"","parse-names":false,"suffix":""},{"dropping-particle":"","family":"Carpten","given":"John D","non-dropping-particle":"","parse-names":false,"suffix":""},{"dropping-particle":"","family":"Stewart","given":"A Keith","non-dropping-particle":"","parse-names":false,"suffix":""}],"container-title":"Blood","id":"ITEM-5","issue":"5","issued":{"date-parts":[["2012"]]},"page":"1060-1066","title":"Whole-genome sequencing of multiple myeloma from diagnosis to plasma cell leukemia reveals genomic initiating events, evolution, and clonal tides","type":"article-journal","volume":"120"},"uris":["http://www.mendeley.com/documents/?uuid=b2afa687-6b0f-450d-bad4-912c9dfadff4"]},{"id":"ITEM-6","itemData":{"DOI":"10.1038/bcj.2012.47","ISSN":"2044-5385","PMID":"23396385","abstract":"Multiple myeloma (MM) is a largely incurable plasma cell malignancy with a poorly understood and heterogeneous clinical course. To identify potential, functionally relevant somatic mutations in MM, we performed whole-exome sequencing of five primary MM, corresponding germline DNA and six MM cell lines, and developed a bioinformatics strategy that also integrated published mutational data of 38 MM patients. Our analysis confirms that identical, recurrent mutations of single genes are infrequent in MM, but highlights that mutations cluster in important cellular pathways. Specifically, we show enrichment of mutations in adhesion molecules of MM cells, emphasizing the important role for the interaction of the MM cells with their microenvironment. We describe an increased rate of mutations in receptor tyrosine kinases (RTKs) and associated signaling effectors, for example, in EGFR, ERBB3, KRAS and MAP2K2, pointing to a role of aberrant RTK signaling in the development or progression of MM. The diversity of mutations affecting different nodes of a particular signaling network appears to be an intrinsic feature of individual MM samples, and the elucidation of intra- as well as interindividual redundancy in mutations that affect survival pathways will help to better tailor targeted therapeutic strategies to the specific needs of the MM patient.","author":[{"dropping-particle":"","family":"Leich","given":"E","non-dropping-particle":"","parse-names":false,"suffix":""},{"dropping-particle":"","family":"Weißbach","given":"S","non-dropping-particle":"","parse-names":false,"suffix":""},{"dropping-particle":"","family":"Klein","given":"H-U","non-dropping-particle":"","parse-names":false,"suffix":""},{"dropping-particle":"","family":"Grieb","given":"T","non-dropping-particle":"","parse-names":false,"suffix":""},{"dropping-particle":"","family":"Pischimarov","given":"J","non-dropping-particle":"","parse-names":false,"suffix":""},{"dropping-particle":"","family":"Stühmer","given":"T","non-dropping-particle":"","parse-names":false,"suffix":""},{"dropping-particle":"","family":"Chatterjee","given":"M","non-dropping-particle":"","parse-names":false,"suffix":""},{"dropping-particle":"","family":"Steinbrunn","given":"T","non-dropping-particle":"","parse-names":false,"suffix":""},{"dropping-particle":"","family":"Langer","given":"C","non-dropping-particle":"","parse-names":false,"suffix":""},{"dropping-particle":"","family":"Eilers","given":"M","non-dropping-particle":"","parse-names":false,"suffix":""},{"dropping-particle":"","family":"Knop","given":"S","non-dropping-particle":"","parse-names":false,"suffix":""},{"dropping-particle":"","family":"Einsele","given":"H","non-dropping-particle":"","parse-names":false,"suffix":""},{"dropping-particle":"","family":"Bargou","given":"R","non-dropping-particle":"","parse-names":false,"suffix":""},{"dropping-particle":"","family":"Rosenwald","given":"A","non-dropping-particle":"","parse-names":false,"suffix":""}],"container-title":"Blood Cancer Journal","id":"ITEM-6","issue":"2","issued":{"date-parts":[["2013","2","8"]]},"page":"e102-e102","title":"Multiple myeloma is affected by multiple and heterogeneous somatic mutations in adhesion- and receptor tyrosine kinase signaling molecules","type":"article-journal","volume":"3"},"uris":["http://www.mendeley.com/documents/?uuid=fb0069a5-eb11-3f6f-bdc4-9a554bf89530"]}],"mendeley":{"formattedCitation":"&lt;sup&gt;14–19&lt;/sup&gt;","plainTextFormattedCitation":"14–19","previouslyFormattedCitation":"&lt;sup&gt;14–19&lt;/sup&gt;"},"properties":{"noteIndex":0},"schema":"https://github.com/citation-style-language/schema/raw/master/csl-citation.json"}</w:instrText>
      </w:r>
      <w:r w:rsidR="00E0689C"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14–19</w:t>
      </w:r>
      <w:r w:rsidR="00E0689C" w:rsidRPr="00B6133E">
        <w:rPr>
          <w:rFonts w:ascii="Times New Roman" w:hAnsi="Times New Roman" w:cs="Times New Roman"/>
          <w:lang w:val="en-US"/>
        </w:rPr>
        <w:fldChar w:fldCharType="end"/>
      </w:r>
      <w:r w:rsidRPr="00B6133E">
        <w:rPr>
          <w:rFonts w:ascii="Times New Roman" w:hAnsi="Times New Roman" w:cs="Times New Roman"/>
          <w:lang w:val="en-US"/>
        </w:rPr>
        <w:t xml:space="preserve">. </w:t>
      </w:r>
    </w:p>
    <w:p w14:paraId="54A9BF9C" w14:textId="51044DE7" w:rsidR="000A15F4" w:rsidRPr="00B6133E" w:rsidRDefault="0097602A" w:rsidP="0017546E">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M</w:t>
      </w:r>
      <w:r w:rsidR="00F35AE8" w:rsidRPr="00B6133E">
        <w:rPr>
          <w:rFonts w:ascii="Times New Roman" w:hAnsi="Times New Roman" w:cs="Times New Roman"/>
          <w:lang w:val="en-US"/>
        </w:rPr>
        <w:t xml:space="preserve">yeloma plasma </w:t>
      </w:r>
      <w:r w:rsidR="006A2C7D" w:rsidRPr="00B6133E">
        <w:rPr>
          <w:rFonts w:ascii="Times New Roman" w:hAnsi="Times New Roman" w:cs="Times New Roman"/>
          <w:lang w:val="en-US"/>
        </w:rPr>
        <w:t>cells</w:t>
      </w:r>
      <w:r w:rsidR="00392CE7" w:rsidRPr="00B6133E">
        <w:rPr>
          <w:rFonts w:ascii="Times New Roman" w:hAnsi="Times New Roman" w:cs="Times New Roman"/>
          <w:lang w:val="en-US"/>
        </w:rPr>
        <w:t xml:space="preserve"> (PCs)</w:t>
      </w:r>
      <w:r w:rsidR="006A2C7D" w:rsidRPr="00B6133E">
        <w:rPr>
          <w:rFonts w:ascii="Times New Roman" w:hAnsi="Times New Roman" w:cs="Times New Roman"/>
          <w:lang w:val="en-US"/>
        </w:rPr>
        <w:t xml:space="preserve"> are </w:t>
      </w:r>
      <w:r w:rsidR="004E2CF3" w:rsidRPr="00B6133E">
        <w:rPr>
          <w:rFonts w:ascii="Times New Roman" w:hAnsi="Times New Roman" w:cs="Times New Roman"/>
          <w:lang w:val="en-US"/>
        </w:rPr>
        <w:t>class-switched</w:t>
      </w:r>
      <w:r w:rsidR="006A2C7D" w:rsidRPr="00B6133E">
        <w:rPr>
          <w:rFonts w:ascii="Times New Roman" w:hAnsi="Times New Roman" w:cs="Times New Roman"/>
          <w:lang w:val="en-US"/>
        </w:rPr>
        <w:t xml:space="preserve">, </w:t>
      </w:r>
      <w:r w:rsidR="00F35AE8" w:rsidRPr="00B6133E">
        <w:rPr>
          <w:rFonts w:ascii="Times New Roman" w:hAnsi="Times New Roman" w:cs="Times New Roman"/>
          <w:lang w:val="en-US"/>
        </w:rPr>
        <w:t>freez</w:t>
      </w:r>
      <w:r w:rsidRPr="00B6133E">
        <w:rPr>
          <w:rFonts w:ascii="Times New Roman" w:hAnsi="Times New Roman" w:cs="Times New Roman"/>
          <w:lang w:val="en-US"/>
        </w:rPr>
        <w:t>ing</w:t>
      </w:r>
      <w:r w:rsidR="00F35AE8" w:rsidRPr="00B6133E">
        <w:rPr>
          <w:rFonts w:ascii="Times New Roman" w:hAnsi="Times New Roman" w:cs="Times New Roman"/>
          <w:lang w:val="en-US"/>
        </w:rPr>
        <w:t xml:space="preserve"> the initiating cell at the post</w:t>
      </w:r>
      <w:r w:rsidRPr="00B6133E">
        <w:rPr>
          <w:rFonts w:ascii="Times New Roman" w:hAnsi="Times New Roman" w:cs="Times New Roman"/>
          <w:lang w:val="en-US"/>
        </w:rPr>
        <w:t>-</w:t>
      </w:r>
      <w:r w:rsidR="00F35AE8" w:rsidRPr="00B6133E">
        <w:rPr>
          <w:rFonts w:ascii="Times New Roman" w:hAnsi="Times New Roman" w:cs="Times New Roman"/>
          <w:lang w:val="en-US"/>
        </w:rPr>
        <w:t>germinal B-cell maturation</w:t>
      </w:r>
      <w:r w:rsidR="0063706E" w:rsidRPr="00B6133E">
        <w:rPr>
          <w:rFonts w:ascii="Times New Roman" w:hAnsi="Times New Roman" w:cs="Times New Roman"/>
          <w:lang w:val="en-US"/>
        </w:rPr>
        <w:t xml:space="preserve"> stage</w:t>
      </w:r>
      <w:r w:rsidR="00F35AE8" w:rsidRPr="00B6133E">
        <w:rPr>
          <w:rFonts w:ascii="Times New Roman" w:hAnsi="Times New Roman" w:cs="Times New Roman"/>
          <w:lang w:val="en-US"/>
        </w:rPr>
        <w:t xml:space="preserve">, </w:t>
      </w:r>
      <w:r w:rsidR="006A2C7D" w:rsidRPr="00B6133E">
        <w:rPr>
          <w:rFonts w:ascii="Times New Roman" w:hAnsi="Times New Roman" w:cs="Times New Roman"/>
          <w:lang w:val="en-US"/>
        </w:rPr>
        <w:t>refut</w:t>
      </w:r>
      <w:r w:rsidRPr="00B6133E">
        <w:rPr>
          <w:rFonts w:ascii="Times New Roman" w:hAnsi="Times New Roman" w:cs="Times New Roman"/>
          <w:lang w:val="en-US"/>
        </w:rPr>
        <w:t>ing</w:t>
      </w:r>
      <w:r w:rsidR="006A2C7D" w:rsidRPr="00B6133E">
        <w:rPr>
          <w:rFonts w:ascii="Times New Roman" w:hAnsi="Times New Roman" w:cs="Times New Roman"/>
          <w:lang w:val="en-US"/>
        </w:rPr>
        <w:t xml:space="preserve"> </w:t>
      </w:r>
      <w:r w:rsidR="00F35AE8" w:rsidRPr="00B6133E">
        <w:rPr>
          <w:rFonts w:ascii="Times New Roman" w:hAnsi="Times New Roman" w:cs="Times New Roman"/>
          <w:lang w:val="en-US"/>
        </w:rPr>
        <w:t xml:space="preserve">that the disease </w:t>
      </w:r>
      <w:r w:rsidR="00505A92" w:rsidRPr="00B6133E">
        <w:rPr>
          <w:rFonts w:ascii="Times New Roman" w:hAnsi="Times New Roman" w:cs="Times New Roman"/>
          <w:lang w:val="en-US"/>
        </w:rPr>
        <w:t>is initiated</w:t>
      </w:r>
      <w:r w:rsidR="00F35AE8" w:rsidRPr="00B6133E">
        <w:rPr>
          <w:rFonts w:ascii="Times New Roman" w:hAnsi="Times New Roman" w:cs="Times New Roman"/>
          <w:lang w:val="en-US"/>
        </w:rPr>
        <w:t xml:space="preserve"> in earlier B-cell subsets, as </w:t>
      </w:r>
      <w:r w:rsidRPr="00B6133E">
        <w:rPr>
          <w:rFonts w:ascii="Times New Roman" w:hAnsi="Times New Roman" w:cs="Times New Roman"/>
          <w:lang w:val="en-US"/>
        </w:rPr>
        <w:t xml:space="preserve">have </w:t>
      </w:r>
      <w:r w:rsidR="0063706E" w:rsidRPr="00B6133E">
        <w:rPr>
          <w:rFonts w:ascii="Times New Roman" w:hAnsi="Times New Roman" w:cs="Times New Roman"/>
          <w:lang w:val="en-US"/>
        </w:rPr>
        <w:t xml:space="preserve">been </w:t>
      </w:r>
      <w:r w:rsidR="00F35AE8" w:rsidRPr="00B6133E">
        <w:rPr>
          <w:rFonts w:ascii="Times New Roman" w:hAnsi="Times New Roman" w:cs="Times New Roman"/>
          <w:lang w:val="en-US"/>
        </w:rPr>
        <w:t>proposed</w:t>
      </w:r>
      <w:r w:rsidR="0063706E" w:rsidRPr="00B6133E">
        <w:rPr>
          <w:rFonts w:ascii="Times New Roman" w:hAnsi="Times New Roman" w:cs="Times New Roman"/>
          <w:lang w:val="en-US"/>
        </w:rPr>
        <w:t xml:space="preserve"> before</w:t>
      </w:r>
      <w:r w:rsidR="00E0689C"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{"citationItems":[{"id":"ITEM-1","itemData":{"DOI":"10.1038/emboj.2012.227","ISSN":"02614189","PMID":"22903061","abstract":"Understanding the cellular origin of cancer can help to improve disease prevention and therapeutics. Human plasma cell neoplasias are thought to develop from either differentiated B cells or plasma cells. However, when the expression of Maf oncogenes (associated to human plasma cell neoplasias) is targeted to mouse B cells, the resulting animals fail to reproduce the human disease. Here, to explore early cellular changes that might take place in the development of plasma cell neoplasias, we engineered transgenic mice to express MafB in haematopoietic stem/progenitor cells (HS/PCs). Unexpectedly, we show that plasma cell neoplasias arise in the MafB-transgenic mice. Beyond their clinical resemblance to human disease, these neoplasias highly express genes that are known to be upregulated in human multiple myeloma. Moreover, gene expression profiling revealed that MafB-expressing HS/PCs were more similar to B cells and tumour plasma cells than to any other subset, including wild-type HS/PCs. Consistent with this, genome-scale DNA methylation profiling revealed that MafB imposes an epigenetic program in HS/PCs, and that this program is preserved in mature B cells of MafB-transgenic mice, demonstrating a novel molecular mechanism involved in tumour initiation. Our findings suggest that, mechanistically, the haematopoietic progenitor population can be the target for transformation in MafB-associated plasma cell neoplasias.","author":[{"dropping-particle":"","family":"Vicente-Dueñas","given":"Carolina","non-dropping-particle":"","parse-names":false,"suffix":""},{"dropping-particle":"","family":"Romero-Camarero","given":"Isabel","non-dropping-particle":"","parse-names":false,"suffix":""},{"dropping-particle":"","family":"González-Herrero","given":"Inés","non-dropping-particle":"","parse-names":false,"suffix":""},{"dropping-particle":"","family":"Alonso-Escudero","given":"Esther","non-dropping-particle":"","parse-names":false,"suffix":""},{"dropping-particle":"","family":"Abollo-Jiménez","given":"Fernando","non-dropping-particle":"","parse-names":false,"suffix":""},{"dropping-particle":"","family":"Jiang","given":"Xiaoyu","non-dropping-particle":"","parse-names":false,"suffix":""},{"dropping-particle":"","family":"Gutierrez","given":"Norma C","non-dropping-particle":"","parse-names":false,"suffix":""},{"dropping-particle":"","family":"Orfao","given":"Alberto","non-dropping-particle":"","parse-names":false,"suffix":""},{"dropping-particle":"","family":"Marín","given":"Nieves","non-dropping-particle":"","parse-names":false,"suffix":""},{"dropping-particle":"","family":"Villar","given":"Luisa María","non-dropping-particle":"","parse-names":false,"suffix":""},{"dropping-particle":"","family":"Criado","given":"Ma Carmen Fernández","non-dropping-particle":"","parse-names":false,"suffix":""},{"dropping-particle":"","family":"Pintado","given":"Belén","non-dropping-particle":"","parse-names":false,"suffix":""},{"dropping-particle":"","family":"Flores","given":"Teresa","non-dropping-particle":"","parse-names":false,"suffix":""},{"dropping-particle":"","family":"Alonso-López","given":"Diego","non-dropping-particle":"","parse-names":false,"suffix":""},{"dropping-particle":"","family":"Las Rivas","given":"Javier","non-dropping-particle":"De","parse-names":false,"suffix":""},{"dropping-particle":"","family":"Jiménez","given":"Rafael","non-dropping-particle":"","parse-names":false,"suffix":""},{"dropping-particle":"","family":"Criado","given":"Francisco Javier García","non-dropping-particle":"","parse-names":false,"suffix":""},{"dropping-particle":"","family":"Cenador","given":"María Begoña García","non-dropping-particle":"","parse-names":false,"suffix":""},{"dropping-particle":"","family":"Lossos","given":"Izidore S","non-dropping-particle":"","parse-names":false,"suffix":""},{"dropping-particle":"","family":"Cobaleda","given":"César","non-dropping-particle":"","parse-names":false,"suffix":""},{"dropping-particle":"","family":"Sánchez-García","given":"Isidro","non-dropping-particle":"","parse-names":false,"suffix":""}],"container-title":"The EMBO Journal","id":"ITEM-1","issue":"18","issued":{"date-parts":[["2012","9","12"]]},"page":"3704-3717","title":"A novel molecular mechanism involved in multiple myeloma development revealed by targeting MafB to haematopoietic progenitors","type":"article-journal","volume":"31"},"uris":["http://www.mendeley.com/documents/?uuid=4787724b-863e-3f0c-b809-f110d56cb8e1"]}],"mendeley":{"formattedCitation":"&lt;sup&gt;20&lt;/sup&gt;","plainTextFormattedCitation":"20","previouslyFormattedCitation":"&lt;sup&gt;20&lt;/sup&gt;"},"properties":{"noteIndex":0},"schema":"https://github.com/citation-style-language/schema/raw/master/csl-citation.json"}</w:instrText>
      </w:r>
      <w:r w:rsidR="00E0689C"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20</w:t>
      </w:r>
      <w:r w:rsidR="00E0689C" w:rsidRPr="00B6133E">
        <w:rPr>
          <w:rFonts w:ascii="Times New Roman" w:hAnsi="Times New Roman" w:cs="Times New Roman"/>
          <w:lang w:val="en-US"/>
        </w:rPr>
        <w:fldChar w:fldCharType="end"/>
      </w:r>
      <w:r w:rsidR="00F35AE8" w:rsidRPr="00B6133E">
        <w:rPr>
          <w:rFonts w:ascii="Times New Roman" w:hAnsi="Times New Roman" w:cs="Times New Roman"/>
          <w:lang w:val="en-US"/>
        </w:rPr>
        <w:t xml:space="preserve">. The earliest </w:t>
      </w:r>
      <w:proofErr w:type="spellStart"/>
      <w:r w:rsidR="00C6545B" w:rsidRPr="00B6133E">
        <w:rPr>
          <w:rFonts w:ascii="Times New Roman" w:hAnsi="Times New Roman" w:cs="Times New Roman"/>
          <w:lang w:val="en-US"/>
        </w:rPr>
        <w:t>IgH</w:t>
      </w:r>
      <w:proofErr w:type="spellEnd"/>
      <w:r w:rsidR="00C6545B" w:rsidRPr="00B6133E">
        <w:rPr>
          <w:rFonts w:ascii="Times New Roman" w:hAnsi="Times New Roman" w:cs="Times New Roman"/>
          <w:lang w:val="en-US"/>
        </w:rPr>
        <w:t xml:space="preserve"> </w:t>
      </w:r>
      <w:proofErr w:type="spellStart"/>
      <w:r w:rsidR="00F35AE8" w:rsidRPr="00B6133E">
        <w:rPr>
          <w:rFonts w:ascii="Times New Roman" w:hAnsi="Times New Roman" w:cs="Times New Roman"/>
          <w:lang w:val="en-US"/>
        </w:rPr>
        <w:t>clonotypic</w:t>
      </w:r>
      <w:proofErr w:type="spellEnd"/>
      <w:r w:rsidR="00F35AE8" w:rsidRPr="00B6133E">
        <w:rPr>
          <w:rFonts w:ascii="Times New Roman" w:hAnsi="Times New Roman" w:cs="Times New Roman"/>
          <w:lang w:val="en-US"/>
        </w:rPr>
        <w:t xml:space="preserve"> cell we have identified wi</w:t>
      </w:r>
      <w:r w:rsidR="006A2C7D" w:rsidRPr="00B6133E">
        <w:rPr>
          <w:rFonts w:ascii="Times New Roman" w:hAnsi="Times New Roman" w:cs="Times New Roman"/>
          <w:lang w:val="en-US"/>
        </w:rPr>
        <w:t xml:space="preserve">th a </w:t>
      </w:r>
      <w:r w:rsidR="004E2CF3" w:rsidRPr="00B6133E">
        <w:rPr>
          <w:rFonts w:ascii="Times New Roman" w:hAnsi="Times New Roman" w:cs="Times New Roman"/>
          <w:lang w:val="en-US"/>
        </w:rPr>
        <w:t xml:space="preserve">class-switched </w:t>
      </w:r>
      <w:r w:rsidR="00F35AE8" w:rsidRPr="00B6133E">
        <w:rPr>
          <w:rFonts w:ascii="Times New Roman" w:hAnsi="Times New Roman" w:cs="Times New Roman"/>
          <w:lang w:val="en-US"/>
        </w:rPr>
        <w:t xml:space="preserve">isotype is in the </w:t>
      </w:r>
      <w:r w:rsidR="00513DB2" w:rsidRPr="00B6133E">
        <w:rPr>
          <w:rFonts w:ascii="Times New Roman" w:hAnsi="Times New Roman" w:cs="Times New Roman"/>
          <w:lang w:val="en-US"/>
        </w:rPr>
        <w:t xml:space="preserve">myeloma </w:t>
      </w:r>
      <w:r w:rsidR="00F35AE8" w:rsidRPr="00B6133E">
        <w:rPr>
          <w:rFonts w:ascii="Times New Roman" w:hAnsi="Times New Roman" w:cs="Times New Roman"/>
          <w:lang w:val="en-US"/>
        </w:rPr>
        <w:t>memory B-cell compartment</w:t>
      </w:r>
      <w:r w:rsidR="00E0689C"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{"citationItems":[{"id":"ITEM-1","itemData":{"DOI":"10.1080/10428190410001655157","ISSN":"1042-8194","PMID":"15359642","abstract":"It is believed that myeloma cells are derived from a germinal center (GC) or post GC B cell. The GC B cell can differentiate into both a memory B cell and a plasma cell (PC). In this study, we investigated the recirculating potential of memory B cells clonally related to the myeloma PC (termed clonotypic). The V(H)DJ(H) immunoglobulin gene rearrangement of the myeloma clone was identified for 10 myeloma patients and allele-specific oligonucleotides (ASO) IgH RT-PCR assays were designed for each patient. Memory B cells (CD38- /CD19+ /CD27+) and their subsets defined by the monoclonal antibodies CD62L, CCR6, CXCR4, CXCR5, CCR7 were flow-sorted as single cells and analyzed by ASO RT-PCR analysis. In addition, aspirated peripheral lymph nodes (PLN) of 7 myeloma patients in complete or partial remission were analyzed for the presence of clonotypic cells. Circulating clonotypic memory B cells were identified in PBMNC of 7/10 patients and both CD62L positive and negative clonotypic memory B cells were identified. Furthermore, comparable frequencies of clonotypic cells were found in the CCR6 +/- and CXCR4 +/- memory B cell subsets, whereas all clonotypic memory and later stage B cells were CXCR5 positive. In accordance with their immunophenotype, clonotypic memory B-cells were identified in peripheral blood, bone marrow and PLNs. Clonotypic memory B-cells were present in the majority of myeloma patients and seem to have the same diverse recirculating/homing capacity as normal memory B cells.","author":[{"dropping-particle":"","family":"Rasmussen","given":"Thomas","non-dropping-particle":"","parse-names":false,"suffix":""},{"dropping-particle":"","family":"Lodahl","given":"Marianne","non-dropping-particle":"","parse-names":false,"suffix":""},{"dropping-particle":"","family":"Hancke","given":"Søren","non-dropping-particle":"","parse-names":false,"suffix":""},{"dropping-particle":"","family":"Johnsen","given":"Hans Erik","non-dropping-particle":"","parse-names":false,"suffix":""}],"container-title":"Leukemia &amp; lymphoma","id":"ITEM-1","issue":"7","issued":{"date-parts":[["2004","7","3"]]},"page":"1413-7","title":"In multiple myeloma clonotypic CD38- /CD19+ / CD27+ memory B cells recirculate through bone marrow, peripheral blood and lymph nodes.","type":"article-journal","volume":"45"},"uris":["http://www.mendeley.com/documents/?uuid=12a63c41-115a-3220-9d52-daf2bd41c034"]},{"id":"ITEM-2","itemData":{"DOI":"10.1158/0008-5472.CAN-07-3096","ISSN":"1538-7445","PMID":"18172311","abstract":"Many agents are active in multiple myeloma, but the majority of patients relapse. This clinical pattern suggests most cancer cells are eliminated, but cells with the clonogenic potential to mediate tumor regrowth are relatively chemoresistant. Our previous data suggested that CD138(+) multiple myeloma plasma cells cannot undergo long-term proliferation but rather arise from clonogenic CD138(neg) B cells. We compared the relative sensitivity of these distinct cell types to clinical antimyeloma agents and found that dexamethasone, lenadilomide, bortezomib, and 4-hydroxycyclophosphamide inhibited CD138(+) multiple myeloma plasma cells but had little effect on CD138(neg) precursors in vitro. We further characterized clonogenic multiple myeloma cells and stained cell lines using the Hoechst side population and Aldefluor assays. Each assay identified CD138(neg) cells suggesting that they possess high drug efflux capacity and intracellular drug detoxification activity. We also found that multiple myeloma cells expressing the memory B-cell markers CD20 and CD27 could give rise to clonogenic multiple myeloma growth in vitro and engraft immunodeficient nonobese diabetes/severe combined immunodeficient mice during both primary and secondary transplantation. Furthermore, both the side population and Aldefluor assays were capable of identifying circulating clonotypic memory B-cell populations within the peripheral blood of multiple myeloma patients. Our results suggest that circulating clonotypic B-cell populations represent multiple myeloma stem cells, and the relative drug resistance of these cells is mediated by processes that protect normal stem cells from toxic injury.","author":[{"dropping-particle":"","family":"Matsui","given":"William","non-dropping-particle":"","parse-names":false,"suffix":""},{"dropping-particle":"","family":"Wang","given":"Qiuju","non-dropping-particle":"","parse-names":false,"suffix":""},{"dropping-particle":"","family":"Barber","given":"James P","non-dropping-particle":"","parse-names":false,"suffix":""},{"dropping-particle":"","family":"Brennan","given":"Sarah","non-dropping-particle":"","parse-names":false,"suffix":""},{"dropping-particle":"","family":"Smith","given":"B Douglas","non-dropping-particle":"","parse-names":false,"suffix":""},{"dropping-particle":"","family":"Borrello","given":"Ivan","non-dropping-particle":"","parse-names":false,"suffix":""},{"dropping-particle":"","family":"McNiece","given":"Ian","non-dropping-particle":"","parse-names":false,"suffix":""},{"dropping-particle":"","family":"Lin","given":"Lan","non-dropping-particle":"","parse-names":false,"suffix":""},{"dropping-particle":"","family":"Ambinder","given":"Richard F","non-dropping-particle":"","parse-names":false,"suffix":""},{"dropping-particle":"","family":"Peacock","given":"Craig","non-dropping-particle":"","parse-names":false,"suffix":""},{"dropping-particle":"","family":"Watkins","given":"D Neil","non-dropping-particle":"","parse-names":false,"suffix":""},{"dropping-particle":"","family":"Huff","given":"Carol Ann","non-dropping-particle":"","parse-names":false,"suffix":""},{"dropping-particle":"","family":"Jones","given":"Richard J","non-dropping-particle":"","parse-names":false,"suffix":""}],"container-title":"Cancer research","id":"ITEM-2","issue":"1","issued":{"date-parts":[["2008","1","1"]]},"page":"190-7","title":"Clonogenic multiple myeloma progenitors, stem cell properties, and drug resistance.","type":"article-journal","volume":"68"},"uris":["http://www.mendeley.com/documents/?uuid=7d72d7f7-ecfb-3ed7-a103-a579dea06726"]}],"mendeley":{"formattedCitation":"&lt;sup&gt;21,22&lt;/sup&gt;","plainTextFormattedCitation":"21,22","previouslyFormattedCitation":"&lt;sup&gt;21,22&lt;/sup&gt;"},"properties":{"noteIndex":0},"schema":"https://github.com/citation-style-language/schema/raw/master/csl-citation.json"}</w:instrText>
      </w:r>
      <w:r w:rsidR="00E0689C"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21,22</w:t>
      </w:r>
      <w:r w:rsidR="00E0689C" w:rsidRPr="00B6133E">
        <w:rPr>
          <w:rFonts w:ascii="Times New Roman" w:hAnsi="Times New Roman" w:cs="Times New Roman"/>
          <w:lang w:val="en-US"/>
        </w:rPr>
        <w:fldChar w:fldCharType="end"/>
      </w:r>
      <w:r w:rsidRPr="00B6133E">
        <w:rPr>
          <w:rFonts w:ascii="Times New Roman" w:hAnsi="Times New Roman" w:cs="Times New Roman"/>
          <w:lang w:val="en-US"/>
        </w:rPr>
        <w:t>,</w:t>
      </w:r>
      <w:r w:rsidR="00F35AE8" w:rsidRPr="00B6133E">
        <w:rPr>
          <w:rFonts w:ascii="Times New Roman" w:hAnsi="Times New Roman" w:cs="Times New Roman"/>
          <w:lang w:val="en-US"/>
        </w:rPr>
        <w:t xml:space="preserve"> but</w:t>
      </w:r>
      <w:r w:rsidR="006A2C7D" w:rsidRPr="00B6133E">
        <w:rPr>
          <w:rFonts w:ascii="Times New Roman" w:hAnsi="Times New Roman" w:cs="Times New Roman"/>
          <w:lang w:val="en-US"/>
        </w:rPr>
        <w:t xml:space="preserve"> its</w:t>
      </w:r>
      <w:r w:rsidR="00F35AE8" w:rsidRPr="00B6133E">
        <w:rPr>
          <w:rFonts w:ascii="Times New Roman" w:hAnsi="Times New Roman" w:cs="Times New Roman"/>
          <w:lang w:val="en-US"/>
        </w:rPr>
        <w:t xml:space="preserve"> </w:t>
      </w:r>
      <w:proofErr w:type="spellStart"/>
      <w:r w:rsidR="00F35AE8" w:rsidRPr="00B6133E">
        <w:rPr>
          <w:rFonts w:ascii="Times New Roman" w:hAnsi="Times New Roman" w:cs="Times New Roman"/>
          <w:lang w:val="en-US"/>
        </w:rPr>
        <w:t>clonogenic</w:t>
      </w:r>
      <w:proofErr w:type="spellEnd"/>
      <w:r w:rsidR="00F35AE8" w:rsidRPr="00B6133E">
        <w:rPr>
          <w:rFonts w:ascii="Times New Roman" w:hAnsi="Times New Roman" w:cs="Times New Roman"/>
          <w:lang w:val="en-US"/>
        </w:rPr>
        <w:t xml:space="preserve"> </w:t>
      </w:r>
      <w:r w:rsidR="00C6545B" w:rsidRPr="00B6133E">
        <w:rPr>
          <w:rFonts w:ascii="Times New Roman" w:hAnsi="Times New Roman" w:cs="Times New Roman"/>
          <w:lang w:val="en-US"/>
        </w:rPr>
        <w:t xml:space="preserve">and malignant </w:t>
      </w:r>
      <w:r w:rsidR="00F35AE8" w:rsidRPr="00B6133E">
        <w:rPr>
          <w:rFonts w:ascii="Times New Roman" w:hAnsi="Times New Roman" w:cs="Times New Roman"/>
          <w:lang w:val="en-US"/>
        </w:rPr>
        <w:t>potential is a controversial issue</w:t>
      </w:r>
      <w:r w:rsidR="009668E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{"citationItems":[{"id":"ITEM-1","itemData":{"DOI":"10.3324/haematol.2011.057372","ISSN":"0390-6078","PMID":"22315496","abstract":"Although new therapies have doubled the survival of multiple myeloma patients, this remains an incurable disease. It has been postulated that the so-called myeloma cancer stem cells would be responsible for tumor initiation and relapse but their unequivocal identification remains unclear. Here, we investigated in a panel of myeloma cell lines the presence of CD20(+) cells harboring a stem-cell phenotype. Thus, only a small population of CD20(dim+) cells (0.3%) in the RPMI-8226 cell line was found. CD20(dim+) RPMI-8226 cells expressed the plasma cell markers CD38 and CD138 and were CD19(-)CD27(-). Additionally, CD20(dim+) RPMI-8226 cells did not exhibit stem-cell markers as shown by gene expression profiling and the aldehyde dehydrogenase assay. Furthermore, we demonstrated that CD20(dim+) RPMI-8226 cells are not essential for CB17-SCID mice engraftment and show lower self-renewal potential than the CD20(-) RPMI-8226 cells. These results do not support CD20 expression for the identification of myeloma cancer stem cells.","author":[{"dropping-particle":"","family":"Paino","given":"T.","non-dropping-particle":"","parse-names":false,"suffix":""},{"dropping-particle":"","family":"Ocio","given":"E. M.","non-dropping-particle":"","parse-names":false,"suffix":""},{"dropping-particle":"","family":"Paiva","given":"B.","non-dropping-particle":"","parse-names":false,"suffix":""},{"dropping-particle":"","family":"San-Segundo","given":"L.","non-dropping-particle":"","parse-names":false,"suffix":""},{"dropping-particle":"","family":"Garayoa","given":"M.","non-dropping-particle":"","parse-names":false,"suffix":""},{"dropping-particle":"","family":"Gutierrez","given":"N. C.","non-dropping-particle":"","parse-names":false,"suffix":""},{"dropping-particle":"","family":"Sarasquete","given":"M. E.","non-dropping-particle":"","parse-names":false,"suffix":""},{"dropping-particle":"","family":"Pandiella","given":"A.","non-dropping-particle":"","parse-names":false,"suffix":""},{"dropping-particle":"","family":"Orfao","given":"A.","non-dropping-particle":"","parse-names":false,"suffix":""},{"dropping-particle":"","family":"San Miguel","given":"J. F.","non-dropping-particle":"","parse-names":false,"suffix":""}],"container-title":"Haematologica","id":"ITEM-1","issue":"7","issued":{"date-parts":[["2012","7","1"]]},"page":"1110-1114","title":"CD20 positive cells are undetectable in the majority of multiple myeloma cell lines and are not associated with a cancer stem cell phenotype","type":"article-journal","volume":"97"},"uris":["http://www.mendeley.com/documents/?uuid=cc5fa1f9-281c-3ffe-be29-a9af8c6a83b0"]},{"id":"ITEM-2","itemData":{"ISBN":"0006-4971 (Print)$\\$n0006-4971 (Linking)","ISSN":"0006-4971","PMID":"10552969","abstract":"The low proliferative activity of myeloma plasma cells prompted the notion that the clonotypic B cells that exist in the blood and bone marrow of all myeloma patients contain the proliferative myeloma cells (stem cell). We have exploited our severe combined immunodeficiency (SCID)-hu host system for primary myeloma to investigate whether myeloma plasma cells are capable of sustained proliferation. Purified CD38(++)CD45(-) plasma cells consistently grew and produced myeloma and its manifestations in SCID-hu hosts (8 of 9 experiments). In contrast, the plasma cell-depleted bone marrow cells from 6 patients did not grow or produce myeloma in SCID-hu hosts. Similarly, whereas plasma-cell containing blood cells from 4 patients grew and produced myeloma in hosts, neither the PC-depleted blood cells from 3 of the patients nor a blood specimen that did not contain plasma cells grew in SCID-hu hosts, regardless of their CD19-expressing cell contents. Also, in hosts injected with blood cells, although the myeloma cells were able to disseminate through the murine host system, they were only able to grow in the human bones within a human microenvironment and were not detectable in the murine blood or other organs. Interestingly, the circulating plasma cells appear to grow more avidly in the SCID-hu hosts than their bone marrow counterparts, suggesting that they represent a subpopulation of the plasma cells in the bone marrow. Although our studies clearly demonstrate the proliferative potential of myeloma plasma cells, they are suggestive, not conclusive, as to the existence of a preplasmacytic myeloma progenitor cell.","author":[{"dropping-particle":"","family":"Yaccoby","given":"S","non-dropping-particle":"","parse-names":false,"suffix":""},{"dropping-particle":"","family":"Epstein","given":"Joshua","non-dropping-particle":"","parse-names":false,"suffix":""}],"container-title":"Blood","id":"ITEM-2","issue":"10","issued":{"date-parts":[["1999"]]},"page":"3576-3582","title":"The proliferative potential of myeloma plasma cells manifest in the SCID-hu host.","type":"article-journal","volume":"94"},"uris":["http://www.mendeley.com/documents/?uuid=471e3952-a8a0-41a3-9a64-ba5f66516319"]},{"id":"ITEM-3","itemData":{"ISSN":"0007-1048","PMID":"12358903","abstract":"In the peripheral blood (PB) of multiple myeloma (MM) patients, clonotypic B cells are present that express the identical V(D)J rearrangements as the malignant plasma cells in the bone marrow. In the present study, the proliferative capacity of clonotypic B cells from MM patients (n = 10) and the ability to differentiate in vitro was determined using the CD40-culturing system. For six patients, the presence of clonotypic B cells expressing variant immunoglobulin (Ig) isotypes was assessed by Ig isotype-specific allele-specific oligonucleotide reverse transcription polymerase chain reaction (ASO-RT-PCR) after culturing with CD40L and interleukin 4 (IL-4). In three out of six patients, clonotypic B cells expressing variant isotypes were detected both before and after culturing. The ability of clonotypic B cells to undergo B-cell differentiation was studied by abrogating CD40 signalling accompanied by IL-10 and IL-2 stimulation, enhancing differentiation towards Ig-secreting cells. The numbers of clonotypic B cells were determined by quantitative ASO-PCR. An increase in cell number was observed upon CD40L and IL-4 stimulation, whereas the relative number of clonotypic B cells was unaltered. In contrast, upon B-cell differentiation the relative number of clonotypic B cells decreased. In conclusion, clonotypic B cells can be cultured and isolated in vitro using the CD40 system. Clonotypic B cells responded to CD40 triggering in a similar fashion as to non-clonotypic normal B cells. However, the ability of clonotypic B cells to undergo in vitro activation and differentiation into Ig-secreting cells is hampered.","author":[{"dropping-particle":"","family":"Guikema","given":"Jeroen E J","non-dropping-particle":"","parse-names":false,"suffix":""},{"dropping-particle":"","family":"Vellenga","given":"Edo","non-dropping-particle":"","parse-names":false,"suffix":""},{"dropping-particle":"","family":"Bakkus","given":"Marleen H C","non-dropping-particle":"","parse-names":false,"suffix":""},{"dropping-particle":"","family":"Bos","given":"Nicolaas A","non-dropping-particle":"","parse-names":false,"suffix":""}],"container-title":"British journal of haematology","id":"ITEM-3","issue":"1","issued":{"date-parts":[["2002","10"]]},"page":"54-61","title":"Myeloma clonotypic B cells are hampered in their ability to undergo B-cell differentiation in vitro.","type":"article-journal","volume":"119"},"uris":["http://www.mendeley.com/documents/?uuid=5bdd560b-ec62-388a-9354-97bb6f9258e7"]},{"id":"ITEM-4","itemData":{"ISSN":"0284-186X","PMID":"11145430","abstract":"In this report we evaluated the number and phenotype of blood circulating B-cell subsets at different stages of differentiation in 26 patients with newly diagnosed multiple myeloma (MM). In all patients, plasma cells and/or plasma blasts could be identified by flow cytometry with a mean frequency of 1.20% and 0.07%, respectively. In 76.9% of the patients these cells showed aberrant expression mainly of CD56, CD28 and CD117, none of these markers were found on the earlier B-lymphocytes. Clonal B-cells preceding the plasma blast stage were identified by patient specific IgH RT-PCR on sorted B-cell subsets. The clonal cells included the less differentiated CD38+ CD19+ and CD38-/CD19+ subsets. illustrating that the clonal cells are part of an ongoing differentiation process. Further, the presence of CD38-/CD19+ cells with somatically mutated Cgamma transcripts identical to the tumor-specific Calpha transcript, shows that the clonal hierarchy in myeloma may include memory B-cells.","author":[{"dropping-particle":"","family":"Rasmussen","given":"T","non-dropping-particle":"","parse-names":false,"suffix":""},{"dropping-particle":"","family":"Jensen","given":"L","non-dropping-particle":"","parse-names":false,"suffix":""},{"dropping-particle":"","family":"Johnsen","given":"H E","non-dropping-particle":"","parse-names":false,"suffix":""}],"container-title":"Acta oncologica (Stockholm, Sweden)","id":"ITEM-4","issue":"7","issued":{"date-parts":[["2000"]]},"page":"765-70","title":"The clonal hierachy in multiple myeloma.","type":"article-journal","volume":"39"},"uris":["http://www.mendeley.com/documents/?uuid=2a48b09b-585c-3c56-948b-de09f31388b5"]}],"mendeley":{"formattedCitation":"&lt;sup&gt;23–26&lt;/sup&gt;","plainTextFormattedCitation":"23–26","previouslyFormattedCitation":"&lt;sup&gt;23–26&lt;/sup&gt;"},"properties":{"noteIndex":0},"schema":"https://github.com/citation-style-language/schema/raw/master/csl-citation.json"}</w:instrText>
      </w:r>
      <w:r w:rsidR="009668EF"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23–26</w:t>
      </w:r>
      <w:r w:rsidR="009668EF" w:rsidRPr="00B6133E">
        <w:rPr>
          <w:rFonts w:ascii="Times New Roman" w:hAnsi="Times New Roman" w:cs="Times New Roman"/>
          <w:lang w:val="en-US"/>
        </w:rPr>
        <w:fldChar w:fldCharType="end"/>
      </w:r>
      <w:r w:rsidRPr="00B6133E">
        <w:rPr>
          <w:rFonts w:ascii="Times New Roman" w:hAnsi="Times New Roman" w:cs="Times New Roman"/>
          <w:lang w:val="en-US"/>
        </w:rPr>
        <w:t xml:space="preserve">. Recent </w:t>
      </w:r>
      <w:r w:rsidR="006A2C7D" w:rsidRPr="00B6133E">
        <w:rPr>
          <w:rFonts w:ascii="Times New Roman" w:hAnsi="Times New Roman" w:cs="Times New Roman"/>
          <w:lang w:val="en-US"/>
        </w:rPr>
        <w:t>studie</w:t>
      </w:r>
      <w:r w:rsidR="00C712C2" w:rsidRPr="00B6133E">
        <w:rPr>
          <w:rFonts w:ascii="Times New Roman" w:hAnsi="Times New Roman" w:cs="Times New Roman"/>
          <w:lang w:val="en-US"/>
        </w:rPr>
        <w:t xml:space="preserve">s have </w:t>
      </w:r>
      <w:r w:rsidR="003F390A" w:rsidRPr="00B6133E">
        <w:rPr>
          <w:rFonts w:ascii="Times New Roman" w:hAnsi="Times New Roman" w:cs="Times New Roman"/>
          <w:lang w:val="en-US"/>
        </w:rPr>
        <w:t>conclud</w:t>
      </w:r>
      <w:r w:rsidR="00C712C2" w:rsidRPr="00B6133E">
        <w:rPr>
          <w:rFonts w:ascii="Times New Roman" w:hAnsi="Times New Roman" w:cs="Times New Roman"/>
          <w:lang w:val="en-US"/>
        </w:rPr>
        <w:t>ed</w:t>
      </w:r>
      <w:r w:rsidR="003F390A" w:rsidRPr="00B6133E">
        <w:rPr>
          <w:rFonts w:ascii="Times New Roman" w:hAnsi="Times New Roman" w:cs="Times New Roman"/>
          <w:lang w:val="en-US"/>
        </w:rPr>
        <w:t xml:space="preserve"> that they are </w:t>
      </w:r>
      <w:proofErr w:type="spellStart"/>
      <w:r w:rsidR="00F35AE8" w:rsidRPr="00B6133E">
        <w:rPr>
          <w:rFonts w:ascii="Times New Roman" w:hAnsi="Times New Roman" w:cs="Times New Roman"/>
          <w:lang w:val="en-US"/>
        </w:rPr>
        <w:t>re</w:t>
      </w:r>
      <w:r w:rsidR="0063706E" w:rsidRPr="00B6133E">
        <w:rPr>
          <w:rFonts w:ascii="Times New Roman" w:hAnsi="Times New Roman" w:cs="Times New Roman"/>
          <w:lang w:val="en-US"/>
        </w:rPr>
        <w:t>mainings</w:t>
      </w:r>
      <w:proofErr w:type="spellEnd"/>
      <w:r w:rsidR="00F35AE8" w:rsidRPr="00B6133E">
        <w:rPr>
          <w:rFonts w:ascii="Times New Roman" w:hAnsi="Times New Roman" w:cs="Times New Roman"/>
          <w:lang w:val="en-US"/>
        </w:rPr>
        <w:t xml:space="preserve"> of a neoplastic cell with no malignant potential</w:t>
      </w:r>
      <w:r w:rsidR="009668E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10.1038/leu.2011.70","ISSN":"1476-5551","PMID":"21494259","author":[{"dropping-particle":"","family":"Pfeifer","given":"S","non-dropping-particle":"","parse-names":false,"suffix":""},{"dropping-particle":"","family":"Perez-Andres","given":"M","non-dropping-particle":"","parse-names":false,"suffix":""},{"dropping-particle":"","family":"Ludwig","given":"H","non-dropping-particle":"","parse-names":false,"suffix":""},{"dropping-particle":"","family":"Sahota","given":"S S","non-dropping-particle":"","parse-names":false,"suffix":""},{"dropping-particle":"","family":"Zojer","given":"N","non-dropping-particle":"","parse-names":false,"suffix":""}],"container-title":"Leukemia","id":"ITEM-1","issue":"7","issued":{"date-parts":[["2011","7","15"]]},"page":"1213-6","title":"Evaluating the clonal hierarchy in light-chain multiple myeloma: implications against the myeloma stem cell hypothesis.","type":"article-journal","volume":"25"},"uris":["http://www.mendeley.com/documents/?uuid=7cafa375-bc78-3353-abb5-4cda8e999c8a"]},{"id":"ITEM-2","itemData":{"DOI":"10.1038/leu.2011.373","ISSN":"1476-5551","PMID":"22289925","author":[{"dropping-particle":"","family":"Valckenborgh","given":"E","non-dropping-particle":"Van","parse-names":false,"suffix":""},{"dropping-particle":"","family":"Matsui","given":"W","non-dropping-particle":"","parse-names":false,"suffix":""},{"dropping-particle":"","family":"Agarwal","given":"P","non-dropping-particle":"","parse-names":false,"suffix":""},{"dropping-particle":"","family":"Lub","given":"S","non-dropping-particle":"","parse-names":false,"suffix":""},{"dropping-particle":"","family":"Dehui","given":"X","non-dropping-particle":"","parse-names":false,"suffix":""},{"dropping-particle":"","family":"Bruyne","given":"E","non-dropping-particle":"De","parse-names":false,"suffix":""},{"dropping-particle":"","family":"Menu","given":"E","non-dropping-particle":"","parse-names":false,"suffix":""},{"dropping-particle":"","family":"Empsen","given":"C","non-dropping-particle":"","parse-names":false,"suffix":""},{"dropping-particle":"","family":"Grunsven","given":"L","non-dropping-particle":"van","parse-names":false,"suffix":""},{"dropping-particle":"","family":"Agarwal","given":"J","non-dropping-particle":"","parse-names":false,"suffix":""},{"dropping-particle":"","family":"Wang","given":"Q","non-dropping-particle":"","parse-names":false,"suffix":""},{"dropping-particle":"","family":"Jernberg-Wiklund","given":"H","non-dropping-particle":"","parse-names":false,"suffix":""},{"dropping-particle":"","family":"Vanderkerken","given":"K","non-dropping-particle":"","parse-names":false,"suffix":""}],"container-title":"Leukemia","id":"ITEM-2","issue":"6","issued":{"date-parts":[["2012","6","6"]]},"page":"1436-9","title":"Tumor-initiating capacity of CD138- and CD138+ tumor cells in the 5T33 multiple myeloma model.","type":"article-journal","volume":"26"},"uris":["http://www.mendeley.com/documents/?uuid=a3eb7319-8e40-3355-9519-8c838db049f0"]}],"mendeley":{"formattedCitation":"&lt;sup&gt;27,28&lt;/sup&gt;","plainTextFormattedCitation":"27,28","previouslyFormattedCitation":"&lt;sup&gt;27,28&lt;/sup&gt;"},"properties":{"noteIndex":0},"schema":"https://github.com/citation-style-language/schema/raw/master/csl-citation.json"}</w:instrText>
      </w:r>
      <w:r w:rsidR="009668EF"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27,28</w:t>
      </w:r>
      <w:r w:rsidR="009668EF" w:rsidRPr="00B6133E">
        <w:rPr>
          <w:rFonts w:ascii="Times New Roman" w:hAnsi="Times New Roman" w:cs="Times New Roman"/>
          <w:lang w:val="en-US"/>
        </w:rPr>
        <w:fldChar w:fldCharType="end"/>
      </w:r>
      <w:r w:rsidRPr="00B6133E">
        <w:rPr>
          <w:rFonts w:ascii="Times New Roman" w:hAnsi="Times New Roman" w:cs="Times New Roman"/>
          <w:lang w:val="en-US"/>
        </w:rPr>
        <w:t>,</w:t>
      </w:r>
      <w:r w:rsidR="003F390A" w:rsidRPr="00B6133E">
        <w:rPr>
          <w:rFonts w:ascii="Times New Roman" w:hAnsi="Times New Roman" w:cs="Times New Roman"/>
          <w:lang w:val="en-US"/>
        </w:rPr>
        <w:t xml:space="preserve"> </w:t>
      </w:r>
      <w:r w:rsidR="000A39B3" w:rsidRPr="00B6133E">
        <w:rPr>
          <w:rFonts w:ascii="Times New Roman" w:hAnsi="Times New Roman" w:cs="Times New Roman"/>
          <w:lang w:val="en-US"/>
        </w:rPr>
        <w:t>contrasting</w:t>
      </w:r>
      <w:r w:rsidR="003F390A" w:rsidRPr="00B6133E">
        <w:rPr>
          <w:rFonts w:ascii="Times New Roman" w:hAnsi="Times New Roman" w:cs="Times New Roman"/>
          <w:lang w:val="en-US"/>
        </w:rPr>
        <w:t xml:space="preserve"> the myeloma </w:t>
      </w:r>
      <w:r w:rsidR="00392CE7" w:rsidRPr="00B6133E">
        <w:rPr>
          <w:rFonts w:ascii="Times New Roman" w:hAnsi="Times New Roman" w:cs="Times New Roman"/>
          <w:lang w:val="en-US"/>
        </w:rPr>
        <w:t>PC</w:t>
      </w:r>
      <w:r w:rsidR="0056769A" w:rsidRPr="00B6133E">
        <w:rPr>
          <w:rFonts w:ascii="Times New Roman" w:hAnsi="Times New Roman" w:cs="Times New Roman"/>
          <w:lang w:val="en-US"/>
        </w:rPr>
        <w:t xml:space="preserve"> compartments</w:t>
      </w:r>
      <w:r w:rsidR="00F35AE8" w:rsidRPr="00B6133E">
        <w:rPr>
          <w:rFonts w:ascii="Times New Roman" w:hAnsi="Times New Roman" w:cs="Times New Roman"/>
          <w:lang w:val="en-US"/>
        </w:rPr>
        <w:t>.</w:t>
      </w:r>
    </w:p>
    <w:p w14:paraId="0C18AFEE" w14:textId="2FE0FA22" w:rsidR="00FF759D" w:rsidRPr="00B6133E" w:rsidRDefault="003F390A" w:rsidP="00642C28">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 xml:space="preserve"> </w:t>
      </w:r>
      <w:r w:rsidR="00E75BBF" w:rsidRPr="00B6133E">
        <w:rPr>
          <w:rFonts w:ascii="Times New Roman" w:hAnsi="Times New Roman" w:cs="Times New Roman"/>
          <w:lang w:val="en-US"/>
        </w:rPr>
        <w:t>The myeloma stem cell concept ha</w:t>
      </w:r>
      <w:r w:rsidR="00D0715E" w:rsidRPr="00B6133E">
        <w:rPr>
          <w:rFonts w:ascii="Times New Roman" w:hAnsi="Times New Roman" w:cs="Times New Roman"/>
          <w:lang w:val="en-US"/>
        </w:rPr>
        <w:t>s</w:t>
      </w:r>
      <w:r w:rsidR="00E75BBF" w:rsidRPr="00B6133E">
        <w:rPr>
          <w:rFonts w:ascii="Times New Roman" w:hAnsi="Times New Roman" w:cs="Times New Roman"/>
          <w:lang w:val="en-US"/>
        </w:rPr>
        <w:t xml:space="preserve"> been reviewed</w:t>
      </w:r>
      <w:r w:rsidR="006F47B8" w:rsidRPr="00B6133E">
        <w:rPr>
          <w:rFonts w:ascii="Times New Roman" w:hAnsi="Times New Roman" w:cs="Times New Roman"/>
          <w:lang w:val="en-US"/>
        </w:rPr>
        <w:t xml:space="preserve"> in detail</w:t>
      </w:r>
      <w:r w:rsidR="00E75BBF" w:rsidRPr="00B6133E">
        <w:rPr>
          <w:rFonts w:ascii="Times New Roman" w:hAnsi="Times New Roman" w:cs="Times New Roman"/>
          <w:lang w:val="en-US"/>
        </w:rPr>
        <w:t xml:space="preserve"> by us an</w:t>
      </w:r>
      <w:r w:rsidR="006F47B8" w:rsidRPr="00B6133E">
        <w:rPr>
          <w:rFonts w:ascii="Times New Roman" w:hAnsi="Times New Roman" w:cs="Times New Roman"/>
          <w:lang w:val="en-US"/>
        </w:rPr>
        <w:t>d</w:t>
      </w:r>
      <w:r w:rsidR="00E75BBF" w:rsidRPr="00B6133E">
        <w:rPr>
          <w:rFonts w:ascii="Times New Roman" w:hAnsi="Times New Roman" w:cs="Times New Roman"/>
          <w:lang w:val="en-US"/>
        </w:rPr>
        <w:t xml:space="preserve"> others</w:t>
      </w:r>
      <w:r w:rsidR="000330A7"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{"citationItems":[{"id":"ITEM-1","itemData":{"DOI":"10.3324/haematol.2015.138826","ISSN":"1592-8721","PMID":"27903712","abstract":"The concept of the myeloma stem cell may have important therapeutic implications, yet its demonstration has been hampered by a lack of consistency in terms and definitions. Here, we summarize the current documentation and propose single-cell in vitro studies for future translational studies. By the classical approach, a CD19(-)/CD45(low/-)/CD38(high)/CD138(+) malignant plasma cell, but not the CD19(+)/CD38(low/-) memory B cell compartment, is enriched for tumorigenic cells that initiate myeloma in xenografted immunodeficient mice, supporting that myeloma stem cells are present in the malignant PC compartment. Using a new approach, analysis of c-DNA libraries from CD19(+)/CD27(+)/CD38(-) single cells has identified clonotypic memory B cell, suggested to be the cell of origin. This is consistent with multiple myeloma being a multistep hierarchical process before or during clinical presentation. We anticipate that further characterization will require single cell geno- and phenotyping combined with clonogenic assays. To implement such technologies, we propose a revision of the concept of a myeloma stem cell by including operational in vitro assays to describe the cellular components of origin, initiation, maintenance, and evolution of multiple myeloma. These terms are in accordance with recent (2012) consensus statements on the definitions, assays, and nomenclature of cancer stem cells, which is technically precise without completely abolishing established terminology. We expect that this operational model will be useful for future reporting of parameters used to identify and characterize the multiple myeloma stem cells. We strongly recommend that these parameters include validated standard technologies, reproducible assays, and, most importantly, supervised prospective sampling of selected biomaterial which reflects clinical stages, disease spectrum, and therapeutic outcome. This framework is key to the characterization of the cellular architecture of multiple myeloma and its use in precision medicine.","author":[{"dropping-particle":"","family":"Johnsen","given":"Hans Erik","non-dropping-particle":"","parse-names":false,"suffix":""},{"dropping-particle":"","family":"Bøgsted","given":"Martin","non-dropping-particle":"","parse-names":false,"suffix":""},{"dropping-particle":"","family":"Schmitz","given":"Alexander","non-dropping-particle":"","parse-names":false,"suffix":""},{"dropping-particle":"","family":"Bødker","given":"Julie Støve","non-dropping-particle":"","parse-names":false,"suffix":""},{"dropping-particle":"","family":"El-Galaly","given":"Tarec Christoffer","non-dropping-particle":"","parse-names":false,"suffix":""},{"dropping-particle":"","family":"Johansen","given":"Preben","non-dropping-particle":"","parse-names":false,"suffix":""},{"dropping-particle":"","family":"Valent","given":"Peter","non-dropping-particle":"","parse-names":false,"suffix":""},{"dropping-particle":"","family":"Zojer","given":"Niklas","non-dropping-particle":"","parse-names":false,"suffix":""},{"dropping-particle":"","family":"Valckenborgh","given":"Els","non-dropping-particle":"Van","parse-names":false,"suffix":""},{"dropping-particle":"","family":"Vanderkerken","given":"Karin","non-dropping-particle":"","parse-names":false,"suffix":""},{"dropping-particle":"","family":"Duin","given":"Mark","non-dropping-particle":"van","parse-names":false,"suffix":""},{"dropping-particle":"","family":"Sonneveld","given":"Pieter","non-dropping-particle":"","parse-names":false,"suffix":""},{"dropping-particle":"","family":"Perez-Andres","given":"Martin","non-dropping-particle":"","parse-names":false,"suffix":""},{"dropping-particle":"","family":"Orfao","given":"Alberto","non-dropping-particle":"","parse-names":false,"suffix":""},{"dropping-particle":"","family":"Dybkær","given":"Karen","non-dropping-particle":"","parse-names":false,"suffix":""}],"container-title":"Haematologica","id":"ITEM-1","issue":"12","issued":{"date-parts":[["2016","12"]]},"page":"1451-1459","title":"The myeloma stem cell concept, revisited: from phenomenology to operational terms.","type":"article-journal","volume":"101"},"uris":["http://www.mendeley.com/documents/?uuid=c7cc1bde-44f0-4512-8eb2-7d174c88db5e"]},{"id":"ITEM-2","itemData":{"DOI":"10.1111/bjh.12563","ISSN":"00071048","author":[{"dropping-particle":"","family":"Hajek","given":"Roman","non-dropping-particle":"","parse-names":false,"suffix":""},{"dropping-particle":"","family":"Okubote","given":"Samuel A.","non-dropping-particle":"","parse-names":false,"suffix":""},{"dropping-particle":"","family":"Svachova","given":"Hana","non-dropping-particle":"","parse-names":false,"suffix":""}],"container-title":"British Journal of Haematology","id":"ITEM-2","issue":"5","issued":{"date-parts":[["2013","12"]]},"page":"551-564","publisher":"Wiley/Blackwell (10.1111)","title":"Myeloma stem cell concepts, heterogeneity and plasticity of multiple myeloma","type":"article-journal","volume":"163"},"uris":["http://www.mendeley.com/documents/?uuid=7dbe08db-e314-3e80-9bce-d3bfdc02d14b"]}],"mendeley":{"formattedCitation":"&lt;sup&gt;29,30&lt;/sup&gt;","plainTextFormattedCitation":"29,30","previouslyFormattedCitation":"&lt;sup&gt;29,30&lt;/sup&gt;"},"properties":{"noteIndex":0},"schema":"https://github.com/citation-style-language/schema/raw/master/csl-citation.json"}</w:instrText>
      </w:r>
      <w:r w:rsidR="000330A7"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29,30</w:t>
      </w:r>
      <w:r w:rsidR="000330A7" w:rsidRPr="00B6133E">
        <w:rPr>
          <w:rFonts w:ascii="Times New Roman" w:hAnsi="Times New Roman" w:cs="Times New Roman"/>
          <w:lang w:val="en-US"/>
        </w:rPr>
        <w:fldChar w:fldCharType="end"/>
      </w:r>
      <w:r w:rsidR="0017546E" w:rsidRPr="00B6133E">
        <w:rPr>
          <w:rFonts w:ascii="Times New Roman" w:hAnsi="Times New Roman" w:cs="Times New Roman"/>
          <w:lang w:val="en-US"/>
        </w:rPr>
        <w:t>. W</w:t>
      </w:r>
      <w:r w:rsidR="0041124B" w:rsidRPr="00B6133E">
        <w:rPr>
          <w:rFonts w:ascii="Times New Roman" w:hAnsi="Times New Roman" w:cs="Times New Roman"/>
          <w:lang w:val="en-US"/>
        </w:rPr>
        <w:t xml:space="preserve">e proposed </w:t>
      </w:r>
      <w:r w:rsidR="00384E14" w:rsidRPr="00B6133E">
        <w:rPr>
          <w:rFonts w:ascii="Times New Roman" w:hAnsi="Times New Roman" w:cs="Times New Roman"/>
          <w:lang w:val="en-US"/>
        </w:rPr>
        <w:lastRenderedPageBreak/>
        <w:t xml:space="preserve">an </w:t>
      </w:r>
      <w:r w:rsidR="0041124B" w:rsidRPr="00B6133E">
        <w:rPr>
          <w:rFonts w:ascii="Times New Roman" w:hAnsi="Times New Roman" w:cs="Times New Roman"/>
          <w:lang w:val="en-US"/>
        </w:rPr>
        <w:t xml:space="preserve">operational </w:t>
      </w:r>
      <w:r w:rsidR="00384E14" w:rsidRPr="00B6133E">
        <w:rPr>
          <w:rFonts w:ascii="Times New Roman" w:hAnsi="Times New Roman" w:cs="Times New Roman"/>
          <w:lang w:val="en-US"/>
        </w:rPr>
        <w:t>definition of</w:t>
      </w:r>
      <w:r w:rsidR="0041124B" w:rsidRPr="00B6133E">
        <w:rPr>
          <w:rFonts w:ascii="Times New Roman" w:hAnsi="Times New Roman" w:cs="Times New Roman"/>
          <w:lang w:val="en-US"/>
        </w:rPr>
        <w:t xml:space="preserve"> COO</w:t>
      </w:r>
      <w:r w:rsidR="0095560B" w:rsidRPr="00B6133E">
        <w:rPr>
          <w:rFonts w:ascii="Times New Roman" w:hAnsi="Times New Roman" w:cs="Times New Roman"/>
          <w:lang w:val="en-US"/>
        </w:rPr>
        <w:t xml:space="preserve"> to allow for acquisition of data supporting </w:t>
      </w:r>
      <w:r w:rsidR="00954A98" w:rsidRPr="00B6133E">
        <w:rPr>
          <w:rFonts w:ascii="Times New Roman" w:hAnsi="Times New Roman" w:cs="Times New Roman"/>
          <w:lang w:val="en-US"/>
        </w:rPr>
        <w:t xml:space="preserve">a normal </w:t>
      </w:r>
      <w:r w:rsidR="00F05E51" w:rsidRPr="00B6133E">
        <w:rPr>
          <w:rFonts w:ascii="Times New Roman" w:hAnsi="Times New Roman" w:cs="Times New Roman"/>
          <w:lang w:val="en-US"/>
        </w:rPr>
        <w:t>B-</w:t>
      </w:r>
      <w:r w:rsidR="00954A98" w:rsidRPr="00B6133E">
        <w:rPr>
          <w:rFonts w:ascii="Times New Roman" w:hAnsi="Times New Roman" w:cs="Times New Roman"/>
          <w:lang w:val="en-US"/>
        </w:rPr>
        <w:t>cell</w:t>
      </w:r>
      <w:r w:rsidR="0016250E" w:rsidRPr="00B6133E">
        <w:rPr>
          <w:rFonts w:ascii="Times New Roman" w:hAnsi="Times New Roman" w:cs="Times New Roman"/>
          <w:lang w:val="en-US"/>
        </w:rPr>
        <w:t>,</w:t>
      </w:r>
      <w:r w:rsidR="00954A98" w:rsidRPr="00B6133E">
        <w:rPr>
          <w:rFonts w:ascii="Times New Roman" w:hAnsi="Times New Roman" w:cs="Times New Roman"/>
          <w:lang w:val="en-US"/>
        </w:rPr>
        <w:t xml:space="preserve"> that ac</w:t>
      </w:r>
      <w:r w:rsidR="00F05E51" w:rsidRPr="00B6133E">
        <w:rPr>
          <w:rFonts w:ascii="Times New Roman" w:hAnsi="Times New Roman" w:cs="Times New Roman"/>
          <w:lang w:val="en-US"/>
        </w:rPr>
        <w:t>hieve</w:t>
      </w:r>
      <w:r w:rsidR="0016250E" w:rsidRPr="00B6133E">
        <w:rPr>
          <w:rFonts w:ascii="Times New Roman" w:hAnsi="Times New Roman" w:cs="Times New Roman"/>
          <w:lang w:val="en-US"/>
        </w:rPr>
        <w:t>s</w:t>
      </w:r>
      <w:r w:rsidR="00954A98" w:rsidRPr="00B6133E">
        <w:rPr>
          <w:rFonts w:ascii="Times New Roman" w:hAnsi="Times New Roman" w:cs="Times New Roman"/>
          <w:lang w:val="en-US"/>
        </w:rPr>
        <w:t xml:space="preserve"> the first myeloma</w:t>
      </w:r>
      <w:r w:rsidR="00384E14" w:rsidRPr="00B6133E">
        <w:rPr>
          <w:rFonts w:ascii="Times New Roman" w:hAnsi="Times New Roman" w:cs="Times New Roman"/>
          <w:lang w:val="en-US"/>
        </w:rPr>
        <w:t xml:space="preserve"> initiating</w:t>
      </w:r>
      <w:r w:rsidR="00954A98" w:rsidRPr="00B6133E">
        <w:rPr>
          <w:rFonts w:ascii="Times New Roman" w:hAnsi="Times New Roman" w:cs="Times New Roman"/>
          <w:lang w:val="en-US"/>
        </w:rPr>
        <w:t xml:space="preserve"> mutation</w:t>
      </w:r>
      <w:r w:rsidR="0016250E" w:rsidRPr="00B6133E">
        <w:rPr>
          <w:rFonts w:ascii="Times New Roman" w:hAnsi="Times New Roman" w:cs="Times New Roman"/>
          <w:lang w:val="en-US"/>
        </w:rPr>
        <w:t>,</w:t>
      </w:r>
      <w:r w:rsidR="00954A98" w:rsidRPr="00B6133E">
        <w:rPr>
          <w:rFonts w:ascii="Times New Roman" w:hAnsi="Times New Roman" w:cs="Times New Roman"/>
          <w:lang w:val="en-US"/>
        </w:rPr>
        <w:t xml:space="preserve"> </w:t>
      </w:r>
      <w:r w:rsidR="00D0715E" w:rsidRPr="00B6133E">
        <w:rPr>
          <w:rFonts w:ascii="Times New Roman" w:hAnsi="Times New Roman" w:cs="Times New Roman"/>
          <w:lang w:val="en-US"/>
        </w:rPr>
        <w:t xml:space="preserve">is </w:t>
      </w:r>
      <w:r w:rsidR="00954A98" w:rsidRPr="00B6133E">
        <w:rPr>
          <w:rFonts w:ascii="Times New Roman" w:hAnsi="Times New Roman" w:cs="Times New Roman"/>
          <w:lang w:val="en-US"/>
        </w:rPr>
        <w:t xml:space="preserve">not necessarily </w:t>
      </w:r>
      <w:r w:rsidR="00384E14" w:rsidRPr="00B6133E">
        <w:rPr>
          <w:rFonts w:ascii="Times New Roman" w:hAnsi="Times New Roman" w:cs="Times New Roman"/>
          <w:lang w:val="en-US"/>
        </w:rPr>
        <w:t>linearly connected</w:t>
      </w:r>
      <w:r w:rsidR="00954A98" w:rsidRPr="00B6133E">
        <w:rPr>
          <w:rFonts w:ascii="Times New Roman" w:hAnsi="Times New Roman" w:cs="Times New Roman"/>
          <w:lang w:val="en-US"/>
        </w:rPr>
        <w:t xml:space="preserve"> to the </w:t>
      </w:r>
      <w:r w:rsidR="003E21FE" w:rsidRPr="00B6133E">
        <w:rPr>
          <w:rFonts w:ascii="Times New Roman" w:hAnsi="Times New Roman" w:cs="Times New Roman"/>
          <w:lang w:val="en-US"/>
        </w:rPr>
        <w:t>myeloma stem cell</w:t>
      </w:r>
      <w:r w:rsidR="00FF759D" w:rsidRPr="00B6133E">
        <w:rPr>
          <w:rFonts w:ascii="Times New Roman" w:hAnsi="Times New Roman" w:cs="Times New Roman"/>
          <w:lang w:val="en-US"/>
        </w:rPr>
        <w:t>.</w:t>
      </w:r>
      <w:r w:rsidR="00954A98" w:rsidRPr="00B6133E">
        <w:rPr>
          <w:rFonts w:ascii="Times New Roman" w:hAnsi="Times New Roman" w:cs="Times New Roman"/>
          <w:lang w:val="en-US"/>
        </w:rPr>
        <w:t xml:space="preserve"> </w:t>
      </w:r>
      <w:r w:rsidR="00384E14" w:rsidRPr="00B6133E">
        <w:rPr>
          <w:rFonts w:ascii="Times New Roman" w:hAnsi="Times New Roman" w:cs="Times New Roman"/>
          <w:lang w:val="en-US"/>
        </w:rPr>
        <w:t>T</w:t>
      </w:r>
      <w:r w:rsidR="00FF759D" w:rsidRPr="00B6133E">
        <w:rPr>
          <w:rFonts w:ascii="Times New Roman" w:hAnsi="Times New Roman" w:cs="Times New Roman"/>
          <w:lang w:val="en-US"/>
        </w:rPr>
        <w:t xml:space="preserve">hese results </w:t>
      </w:r>
      <w:r w:rsidR="00384E14" w:rsidRPr="00B6133E">
        <w:rPr>
          <w:rFonts w:ascii="Times New Roman" w:hAnsi="Times New Roman" w:cs="Times New Roman"/>
          <w:lang w:val="en-US"/>
        </w:rPr>
        <w:t>underpin</w:t>
      </w:r>
      <w:r w:rsidR="00FF759D" w:rsidRPr="00B6133E">
        <w:rPr>
          <w:rFonts w:ascii="Times New Roman" w:hAnsi="Times New Roman" w:cs="Times New Roman"/>
          <w:lang w:val="en-US"/>
        </w:rPr>
        <w:t xml:space="preserve"> the hypothesis that myeloma</w:t>
      </w:r>
      <w:r w:rsidR="00384E14" w:rsidRPr="00B6133E">
        <w:rPr>
          <w:rFonts w:ascii="Times New Roman" w:hAnsi="Times New Roman" w:cs="Times New Roman"/>
          <w:lang w:val="en-US"/>
        </w:rPr>
        <w:t xml:space="preserve"> generating</w:t>
      </w:r>
      <w:r w:rsidR="00FF759D" w:rsidRPr="00B6133E">
        <w:rPr>
          <w:rFonts w:ascii="Times New Roman" w:hAnsi="Times New Roman" w:cs="Times New Roman"/>
          <w:lang w:val="en-US"/>
        </w:rPr>
        <w:t xml:space="preserve"> cells are present in the malignant PC compartment, but the </w:t>
      </w:r>
      <w:r w:rsidR="00D0715E" w:rsidRPr="00B6133E">
        <w:rPr>
          <w:rFonts w:ascii="Times New Roman" w:hAnsi="Times New Roman" w:cs="Times New Roman"/>
          <w:lang w:val="en-US"/>
        </w:rPr>
        <w:t>COO</w:t>
      </w:r>
      <w:r w:rsidR="00FF759D" w:rsidRPr="00B6133E">
        <w:rPr>
          <w:rFonts w:ascii="Times New Roman" w:hAnsi="Times New Roman" w:cs="Times New Roman"/>
          <w:lang w:val="en-US"/>
        </w:rPr>
        <w:t xml:space="preserve"> is a normal counterpart of a germinal-center B cell that </w:t>
      </w:r>
      <w:r w:rsidR="00384E14" w:rsidRPr="00B6133E">
        <w:rPr>
          <w:rFonts w:ascii="Times New Roman" w:hAnsi="Times New Roman" w:cs="Times New Roman"/>
          <w:lang w:val="en-US"/>
        </w:rPr>
        <w:t xml:space="preserve">evolves via </w:t>
      </w:r>
      <w:r w:rsidR="00FF759D" w:rsidRPr="00B6133E">
        <w:rPr>
          <w:rFonts w:ascii="Times New Roman" w:hAnsi="Times New Roman" w:cs="Times New Roman"/>
          <w:lang w:val="en-US"/>
        </w:rPr>
        <w:t>differentiat</w:t>
      </w:r>
      <w:r w:rsidR="00384E14" w:rsidRPr="00B6133E">
        <w:rPr>
          <w:rFonts w:ascii="Times New Roman" w:hAnsi="Times New Roman" w:cs="Times New Roman"/>
          <w:lang w:val="en-US"/>
        </w:rPr>
        <w:t>ion</w:t>
      </w:r>
      <w:r w:rsidR="00FF759D" w:rsidRPr="00B6133E">
        <w:rPr>
          <w:rFonts w:ascii="Times New Roman" w:hAnsi="Times New Roman" w:cs="Times New Roman"/>
          <w:lang w:val="en-US"/>
        </w:rPr>
        <w:t xml:space="preserve"> into a premalignant PC compartment </w:t>
      </w:r>
      <w:r w:rsidR="00384E14" w:rsidRPr="00B6133E">
        <w:rPr>
          <w:rFonts w:ascii="Times New Roman" w:hAnsi="Times New Roman" w:cs="Times New Roman"/>
          <w:lang w:val="en-US"/>
        </w:rPr>
        <w:t xml:space="preserve">already present </w:t>
      </w:r>
      <w:r w:rsidR="00FF759D" w:rsidRPr="00B6133E">
        <w:rPr>
          <w:rFonts w:ascii="Times New Roman" w:hAnsi="Times New Roman" w:cs="Times New Roman"/>
          <w:lang w:val="en-US"/>
        </w:rPr>
        <w:t>in MGUS</w:t>
      </w:r>
      <w:r w:rsidR="006D1B3E" w:rsidRPr="00B6133E">
        <w:rPr>
          <w:rFonts w:ascii="Times New Roman" w:hAnsi="Times New Roman" w:cs="Times New Roman"/>
          <w:lang w:val="en-US"/>
        </w:rPr>
        <w:t xml:space="preserve"> </w:t>
      </w:r>
      <w:r w:rsidR="00FF759D" w:rsidRPr="00B6133E">
        <w:rPr>
          <w:rFonts w:ascii="Times New Roman" w:hAnsi="Times New Roman" w:cs="Times New Roman"/>
          <w:lang w:val="en-US"/>
        </w:rPr>
        <w:t xml:space="preserve">populations. </w:t>
      </w:r>
    </w:p>
    <w:p w14:paraId="7563E13C" w14:textId="302535E8" w:rsidR="003F390A" w:rsidRPr="00B6133E" w:rsidRDefault="0017546E">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The plasticity potential of myeloma cells</w:t>
      </w:r>
      <w:r w:rsidR="00D0715E" w:rsidRPr="00B6133E">
        <w:rPr>
          <w:rFonts w:ascii="Times New Roman" w:hAnsi="Times New Roman" w:cs="Times New Roman"/>
          <w:lang w:val="en-US"/>
        </w:rPr>
        <w:t>,</w:t>
      </w:r>
      <w:r w:rsidR="006D353A" w:rsidRPr="00B6133E">
        <w:rPr>
          <w:rFonts w:ascii="Times New Roman" w:hAnsi="Times New Roman" w:cs="Times New Roman"/>
          <w:lang w:val="en-US"/>
        </w:rPr>
        <w:t xml:space="preserve"> perhaps caused by interaction with the tumor microenvironment</w:t>
      </w:r>
      <w:r w:rsidR="00D0715E" w:rsidRPr="00B6133E">
        <w:rPr>
          <w:rFonts w:ascii="Times New Roman" w:hAnsi="Times New Roman" w:cs="Times New Roman"/>
          <w:lang w:val="en-US"/>
        </w:rPr>
        <w:t>,</w:t>
      </w:r>
      <w:r w:rsidR="006D353A" w:rsidRPr="00B6133E">
        <w:rPr>
          <w:rFonts w:ascii="Times New Roman" w:hAnsi="Times New Roman" w:cs="Times New Roman"/>
          <w:lang w:val="en-US"/>
        </w:rPr>
        <w:t xml:space="preserve"> also plays an important role in development and </w:t>
      </w:r>
      <w:proofErr w:type="spellStart"/>
      <w:r w:rsidR="006D353A" w:rsidRPr="00B6133E">
        <w:rPr>
          <w:rFonts w:ascii="Times New Roman" w:hAnsi="Times New Roman" w:cs="Times New Roman"/>
          <w:lang w:val="en-US"/>
        </w:rPr>
        <w:t>maintance</w:t>
      </w:r>
      <w:proofErr w:type="spellEnd"/>
      <w:r w:rsidR="006D353A" w:rsidRPr="00B6133E">
        <w:rPr>
          <w:rFonts w:ascii="Times New Roman" w:hAnsi="Times New Roman" w:cs="Times New Roman"/>
          <w:lang w:val="en-US"/>
        </w:rPr>
        <w:t xml:space="preserve"> o</w:t>
      </w:r>
      <w:r w:rsidR="00D95E80" w:rsidRPr="00B6133E">
        <w:rPr>
          <w:rFonts w:ascii="Times New Roman" w:hAnsi="Times New Roman" w:cs="Times New Roman"/>
          <w:lang w:val="en-US"/>
        </w:rPr>
        <w:t>f</w:t>
      </w:r>
      <w:r w:rsidR="006D353A" w:rsidRPr="00B6133E">
        <w:rPr>
          <w:rFonts w:ascii="Times New Roman" w:hAnsi="Times New Roman" w:cs="Times New Roman"/>
          <w:lang w:val="en-US"/>
        </w:rPr>
        <w:t xml:space="preserve"> </w:t>
      </w:r>
      <w:r w:rsidR="002F6450" w:rsidRPr="00B6133E">
        <w:rPr>
          <w:rFonts w:ascii="Times New Roman" w:hAnsi="Times New Roman" w:cs="Times New Roman"/>
          <w:lang w:val="en-US"/>
        </w:rPr>
        <w:t>MM</w:t>
      </w:r>
      <w:r w:rsidR="000330A7"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{"citationItems":[{"id":"ITEM-1","itemData":{"DOI":"10.1111/bjh.12563","ISSN":"00071048","author":[{"dropping-particle":"","family":"Hajek","given":"Roman","non-dropping-particle":"","parse-names":false,"suffix":""},{"dropping-particle":"","family":"Okubote","given":"Samuel A.","non-dropping-particle":"","parse-names":false,"suffix":""},{"dropping-particle":"","family":"Svachova","given":"Hana","non-dropping-particle":"","parse-names":false,"suffix":""}],"container-title":"British Journal of Haematology","id":"ITEM-1","issue":"5","issued":{"date-parts":[["2013","12"]]},"page":"551-564","publisher":"Wiley/Blackwell (10.1111)","title":"Myeloma stem cell concepts, heterogeneity and plasticity of multiple myeloma","type":"article-journal","volume":"163"},"uris":["http://www.mendeley.com/documents/?uuid=7dbe08db-e314-3e80-9bce-d3bfdc02d14b"]}],"mendeley":{"formattedCitation":"&lt;sup&gt;30&lt;/sup&gt;","plainTextFormattedCitation":"30","previouslyFormattedCitation":"&lt;sup&gt;30&lt;/sup&gt;"},"properties":{"noteIndex":0},"schema":"https://github.com/citation-style-language/schema/raw/master/csl-citation.json"}</w:instrText>
      </w:r>
      <w:r w:rsidR="000330A7"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30</w:t>
      </w:r>
      <w:r w:rsidR="000330A7" w:rsidRPr="00B6133E">
        <w:rPr>
          <w:rFonts w:ascii="Times New Roman" w:hAnsi="Times New Roman" w:cs="Times New Roman"/>
          <w:lang w:val="en-US"/>
        </w:rPr>
        <w:fldChar w:fldCharType="end"/>
      </w:r>
      <w:r w:rsidRPr="00B6133E">
        <w:rPr>
          <w:rFonts w:ascii="Times New Roman" w:hAnsi="Times New Roman" w:cs="Times New Roman"/>
          <w:lang w:val="en-US"/>
        </w:rPr>
        <w:t>.</w:t>
      </w:r>
      <w:r w:rsidR="0041124B" w:rsidRPr="00B6133E">
        <w:rPr>
          <w:rFonts w:ascii="Times New Roman" w:hAnsi="Times New Roman" w:cs="Times New Roman"/>
          <w:lang w:val="en-US"/>
        </w:rPr>
        <w:t xml:space="preserve"> </w:t>
      </w:r>
      <w:r w:rsidR="004E0115" w:rsidRPr="00B6133E">
        <w:rPr>
          <w:rFonts w:ascii="Times New Roman" w:hAnsi="Times New Roman" w:cs="Times New Roman"/>
          <w:lang w:val="en-US"/>
        </w:rPr>
        <w:t xml:space="preserve"> </w:t>
      </w:r>
    </w:p>
    <w:p w14:paraId="5AE60C88" w14:textId="0C6BAA46" w:rsidR="00CE124D" w:rsidRPr="00B6133E" w:rsidRDefault="00474FB9" w:rsidP="00CE124D">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 xml:space="preserve">The present study </w:t>
      </w:r>
      <w:r w:rsidR="00170BEF" w:rsidRPr="00B6133E">
        <w:rPr>
          <w:rFonts w:ascii="Times New Roman" w:hAnsi="Times New Roman" w:cs="Times New Roman"/>
          <w:lang w:val="en-US"/>
        </w:rPr>
        <w:t xml:space="preserve">takes </w:t>
      </w:r>
      <w:r w:rsidRPr="00B6133E">
        <w:rPr>
          <w:rFonts w:ascii="Times New Roman" w:hAnsi="Times New Roman" w:cs="Times New Roman"/>
          <w:lang w:val="en-US"/>
        </w:rPr>
        <w:t xml:space="preserve">a </w:t>
      </w:r>
      <w:r w:rsidR="000A15F4" w:rsidRPr="00B6133E">
        <w:rPr>
          <w:rFonts w:ascii="Times New Roman" w:hAnsi="Times New Roman" w:cs="Times New Roman"/>
          <w:lang w:val="en-US"/>
        </w:rPr>
        <w:t>COO</w:t>
      </w:r>
      <w:r w:rsidRPr="00B6133E">
        <w:rPr>
          <w:rFonts w:ascii="Times New Roman" w:hAnsi="Times New Roman" w:cs="Times New Roman"/>
          <w:lang w:val="en-US"/>
        </w:rPr>
        <w:t xml:space="preserve"> approach</w:t>
      </w:r>
      <w:r w:rsidR="00CE124D" w:rsidRPr="00B6133E">
        <w:rPr>
          <w:rFonts w:ascii="Times New Roman" w:hAnsi="Times New Roman" w:cs="Times New Roman"/>
          <w:lang w:val="en-US"/>
        </w:rPr>
        <w:t xml:space="preserve">, where we refer to an expanding compartment initiated </w:t>
      </w:r>
      <w:r w:rsidR="00F05E51" w:rsidRPr="00B6133E">
        <w:rPr>
          <w:rFonts w:ascii="Times New Roman" w:hAnsi="Times New Roman" w:cs="Times New Roman"/>
          <w:lang w:val="en-US"/>
        </w:rPr>
        <w:t xml:space="preserve">by a differentiation </w:t>
      </w:r>
      <w:r w:rsidR="00CE124D" w:rsidRPr="00B6133E">
        <w:rPr>
          <w:rFonts w:ascii="Times New Roman" w:hAnsi="Times New Roman" w:cs="Times New Roman"/>
          <w:lang w:val="en-US"/>
        </w:rPr>
        <w:t>specific oncogene hit</w:t>
      </w:r>
      <w:r w:rsidR="007D157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{"citationItems":[{"id":"ITEM-1","itemData":{"DOI":"10.1038/nature09781","ISSN":"1476-4687","PMID":"21248838","abstract":"Both solid tumours and leukaemias show considerable histological and functional heterogeneity. It is widely accepted that genetic lesions have a major role in determining tumour phenotype, but evidence is also accumulating that cancers of distinct subtypes within an organ may derive from different 'cells of origin'. These cells acquire the first genetic hit or hits that culminate in the initiation of cancer. The identification of these crucial target cell populations may allow earlier detection of malignancies and better prediction of tumour behaviour, and ultimately may lead to preventive therapies for individuals at high risk of developing cancer.","author":[{"dropping-particle":"","family":"Visvader","given":"Jane E","non-dropping-particle":"","parse-names":false,"suffix":""}],"container-title":"Nature","id":"ITEM-1","issue":"7330","issued":{"date-parts":[["2011","1","20"]]},"page":"314-22","title":"Cells of origin in cancer.","type":"article-journal","volume":"469"},"uris":["http://www.mendeley.com/documents/?uuid=20b5b0e7-76cb-461b-8929-8600d79d0e4f"]}],"mendeley":{"formattedCitation":"&lt;sup&gt;31&lt;/sup&gt;","plainTextFormattedCitation":"31","previouslyFormattedCitation":"&lt;sup&gt;31&lt;/sup&gt;"},"properties":{"noteIndex":0},"schema":"https://github.com/citation-style-language/schema/raw/master/csl-citation.json"}</w:instrText>
      </w:r>
      <w:r w:rsidR="007D157F"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31</w:t>
      </w:r>
      <w:r w:rsidR="007D157F" w:rsidRPr="00B6133E">
        <w:rPr>
          <w:rFonts w:ascii="Times New Roman" w:hAnsi="Times New Roman" w:cs="Times New Roman"/>
          <w:lang w:val="en-US"/>
        </w:rPr>
        <w:fldChar w:fldCharType="end"/>
      </w:r>
      <w:r w:rsidR="00CE124D" w:rsidRPr="00B6133E">
        <w:rPr>
          <w:rFonts w:ascii="Times New Roman" w:hAnsi="Times New Roman" w:cs="Times New Roman"/>
          <w:lang w:val="en-US"/>
        </w:rPr>
        <w:t xml:space="preserve">. </w:t>
      </w:r>
      <w:r w:rsidR="0083687A" w:rsidRPr="00B6133E">
        <w:rPr>
          <w:rFonts w:ascii="Times New Roman" w:hAnsi="Times New Roman" w:cs="Times New Roman"/>
          <w:lang w:val="en-US"/>
        </w:rPr>
        <w:t>T</w:t>
      </w:r>
      <w:r w:rsidR="00CE124D" w:rsidRPr="00B6133E">
        <w:rPr>
          <w:rFonts w:ascii="Times New Roman" w:hAnsi="Times New Roman" w:cs="Times New Roman"/>
          <w:lang w:val="en-US"/>
        </w:rPr>
        <w:t>he terms COO and cancer stem cells have been used interchangeably</w:t>
      </w:r>
      <w:r w:rsidR="0083687A" w:rsidRPr="00B6133E">
        <w:rPr>
          <w:rFonts w:ascii="Times New Roman" w:hAnsi="Times New Roman" w:cs="Times New Roman"/>
          <w:lang w:val="en-US"/>
        </w:rPr>
        <w:t>. However,</w:t>
      </w:r>
      <w:r w:rsidR="00CE124D" w:rsidRPr="00B6133E">
        <w:rPr>
          <w:rFonts w:ascii="Times New Roman" w:hAnsi="Times New Roman" w:cs="Times New Roman"/>
          <w:lang w:val="en-US"/>
        </w:rPr>
        <w:t xml:space="preserve"> it is important to </w:t>
      </w:r>
      <w:r w:rsidR="0083687A" w:rsidRPr="00B6133E">
        <w:rPr>
          <w:rFonts w:ascii="Times New Roman" w:hAnsi="Times New Roman" w:cs="Times New Roman"/>
          <w:lang w:val="en-US"/>
        </w:rPr>
        <w:t>differentiat</w:t>
      </w:r>
      <w:r w:rsidR="007F7AB5" w:rsidRPr="00B6133E">
        <w:rPr>
          <w:rFonts w:ascii="Times New Roman" w:hAnsi="Times New Roman" w:cs="Times New Roman"/>
          <w:lang w:val="en-US"/>
        </w:rPr>
        <w:t>e</w:t>
      </w:r>
      <w:r w:rsidR="0083687A" w:rsidRPr="00B6133E">
        <w:rPr>
          <w:rFonts w:ascii="Times New Roman" w:hAnsi="Times New Roman" w:cs="Times New Roman"/>
          <w:lang w:val="en-US"/>
        </w:rPr>
        <w:t xml:space="preserve"> between them as i</w:t>
      </w:r>
      <w:r w:rsidR="00CE124D" w:rsidRPr="00B6133E">
        <w:rPr>
          <w:rFonts w:ascii="Times New Roman" w:hAnsi="Times New Roman" w:cs="Times New Roman"/>
          <w:lang w:val="en-US"/>
        </w:rPr>
        <w:t xml:space="preserve">n contrast to our phenotypic COO studies, it is our </w:t>
      </w:r>
      <w:r w:rsidR="00361099" w:rsidRPr="00B6133E">
        <w:rPr>
          <w:rFonts w:ascii="Times New Roman" w:hAnsi="Times New Roman" w:cs="Times New Roman"/>
          <w:lang w:val="en-US"/>
        </w:rPr>
        <w:t>perception</w:t>
      </w:r>
      <w:r w:rsidR="00CE124D" w:rsidRPr="00B6133E">
        <w:rPr>
          <w:rFonts w:ascii="Times New Roman" w:hAnsi="Times New Roman" w:cs="Times New Roman"/>
          <w:lang w:val="en-US"/>
        </w:rPr>
        <w:t xml:space="preserve"> that cancer stem cell research depends on single cell </w:t>
      </w:r>
      <w:r w:rsidR="00361099" w:rsidRPr="00B6133E">
        <w:rPr>
          <w:rFonts w:ascii="Times New Roman" w:hAnsi="Times New Roman" w:cs="Times New Roman"/>
          <w:lang w:val="en-US"/>
        </w:rPr>
        <w:t xml:space="preserve">studies </w:t>
      </w:r>
      <w:r w:rsidR="00CE124D" w:rsidRPr="00B6133E">
        <w:rPr>
          <w:rFonts w:ascii="Times New Roman" w:hAnsi="Times New Roman" w:cs="Times New Roman"/>
          <w:lang w:val="en-US"/>
        </w:rPr>
        <w:t>in the frame of the classical stem cell definition</w:t>
      </w:r>
      <w:r w:rsidR="007D157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{"citationItems":[{"id":"ITEM-1","itemData":{"DOI":"10.3324/haematol.2015.138826","ISSN":"1592-8721","PMID":"27903712","abstract":"The concept of the myeloma stem cell may have important therapeutic implications, yet its demonstration has been hampered by a lack of consistency in terms and definitions. Here, we summarize the current documentation and propose single-cell in vitro studies for future translational studies. By the classical approach, a CD19(-)/CD45(low/-)/CD38(high)/CD138(+) malignant plasma cell, but not the CD19(+)/CD38(low/-) memory B cell compartment, is enriched for tumorigenic cells that initiate myeloma in xenografted immunodeficient mice, supporting that myeloma stem cells are present in the malignant PC compartment. Using a new approach, analysis of c-DNA libraries from CD19(+)/CD27(+)/CD38(-) single cells has identified clonotypic memory B cell, suggested to be the cell of origin. This is consistent with multiple myeloma being a multistep hierarchical process before or during clinical presentation. We anticipate that further characterization will require single cell geno- and phenotyping combined with clonogenic assays. To implement such technologies, we propose a revision of the concept of a myeloma stem cell by including operational in vitro assays to describe the cellular components of origin, initiation, maintenance, and evolution of multiple myeloma. These terms are in accordance with recent (2012) consensus statements on the definitions, assays, and nomenclature of cancer stem cells, which is technically precise without completely abolishing established terminology. We expect that this operational model will be useful for future reporting of parameters used to identify and characterize the multiple myeloma stem cells. We strongly recommend that these parameters include validated standard technologies, reproducible assays, and, most importantly, supervised prospective sampling of selected biomaterial which reflects clinical stages, disease spectrum, and therapeutic outcome. This framework is key to the characterization of the cellular architecture of multiple myeloma and its use in precision medicine.","author":[{"dropping-particle":"","family":"Johnsen","given":"Hans Erik","non-dropping-particle":"","parse-names":false,"suffix":""},{"dropping-particle":"","family":"Bøgsted","given":"Martin","non-dropping-particle":"","parse-names":false,"suffix":""},{"dropping-particle":"","family":"Schmitz","given":"Alexander","non-dropping-particle":"","parse-names":false,"suffix":""},{"dropping-particle":"","family":"Bødker","given":"Julie Støve","non-dropping-particle":"","parse-names":false,"suffix":""},{"dropping-particle":"","family":"El-Galaly","given":"Tarec Christoffer","non-dropping-particle":"","parse-names":false,"suffix":""},{"dropping-particle":"","family":"Johansen","given":"Preben","non-dropping-particle":"","parse-names":false,"suffix":""},{"dropping-particle":"","family":"Valent","given":"Peter","non-dropping-particle":"","parse-names":false,"suffix":""},{"dropping-particle":"","family":"Zojer","given":"Niklas","non-dropping-particle":"","parse-names":false,"suffix":""},{"dropping-particle":"","family":"Valckenborgh","given":"Els","non-dropping-particle":"Van","parse-names":false,"suffix":""},{"dropping-particle":"","family":"Vanderkerken","given":"Karin","non-dropping-particle":"","parse-names":false,"suffix":""},{"dropping-particle":"","family":"Duin","given":"Mark","non-dropping-particle":"van","parse-names":false,"suffix":""},{"dropping-particle":"","family":"Sonneveld","given":"Pieter","non-dropping-particle":"","parse-names":false,"suffix":""},{"dropping-particle":"","family":"Perez-Andres","given":"Martin","non-dropping-particle":"","parse-names":false,"suffix":""},{"dropping-particle":"","family":"Orfao","given":"Alberto","non-dropping-particle":"","parse-names":false,"suffix":""},{"dropping-particle":"","family":"Dybkær","given":"Karen","non-dropping-particle":"","parse-names":false,"suffix":""}],"container-title":"Haematologica","id":"ITEM-1","issue":"12","issued":{"date-parts":[["2016","12"]]},"page":"1451-1459","title":"The myeloma stem cell concept, revisited: from phenomenology to operational terms.","type":"article-journal","volume":"101"},"uris":["http://www.mendeley.com/documents/?uuid=c7cc1bde-44f0-4512-8eb2-7d174c88db5e"]}],"mendeley":{"formattedCitation":"&lt;sup&gt;29&lt;/sup&gt;","plainTextFormattedCitation":"29","previouslyFormattedCitation":"&lt;sup&gt;29&lt;/sup&gt;"},"properties":{"noteIndex":0},"schema":"https://github.com/citation-style-language/schema/raw/master/csl-citation.json"}</w:instrText>
      </w:r>
      <w:r w:rsidR="007D157F"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29</w:t>
      </w:r>
      <w:r w:rsidR="007D157F" w:rsidRPr="00B6133E">
        <w:rPr>
          <w:rFonts w:ascii="Times New Roman" w:hAnsi="Times New Roman" w:cs="Times New Roman"/>
          <w:lang w:val="en-US"/>
        </w:rPr>
        <w:fldChar w:fldCharType="end"/>
      </w:r>
      <w:r w:rsidR="00CE124D" w:rsidRPr="00B6133E">
        <w:rPr>
          <w:rFonts w:ascii="Times New Roman" w:hAnsi="Times New Roman" w:cs="Times New Roman"/>
          <w:lang w:val="en-US"/>
        </w:rPr>
        <w:t>.</w:t>
      </w:r>
    </w:p>
    <w:p w14:paraId="467BA4F5" w14:textId="62B2DA3D" w:rsidR="00CE124D" w:rsidRPr="00B6133E" w:rsidRDefault="00CE124D" w:rsidP="00CE124D">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 xml:space="preserve">The deregulated </w:t>
      </w:r>
      <w:r w:rsidR="000008BB" w:rsidRPr="00B6133E">
        <w:rPr>
          <w:rFonts w:ascii="Times New Roman" w:hAnsi="Times New Roman" w:cs="Times New Roman"/>
          <w:lang w:val="en-US"/>
        </w:rPr>
        <w:t>B-cell</w:t>
      </w:r>
      <w:r w:rsidRPr="00B6133E">
        <w:rPr>
          <w:rFonts w:ascii="Times New Roman" w:hAnsi="Times New Roman" w:cs="Times New Roman"/>
          <w:lang w:val="en-US"/>
        </w:rPr>
        <w:t xml:space="preserve"> cells </w:t>
      </w:r>
      <w:r w:rsidR="00B76B3E" w:rsidRPr="00B6133E">
        <w:rPr>
          <w:rFonts w:ascii="Times New Roman" w:hAnsi="Times New Roman" w:cs="Times New Roman"/>
          <w:lang w:val="en-US"/>
        </w:rPr>
        <w:t xml:space="preserve">under </w:t>
      </w:r>
      <w:r w:rsidRPr="00B6133E">
        <w:rPr>
          <w:rFonts w:ascii="Times New Roman" w:hAnsi="Times New Roman" w:cs="Times New Roman"/>
          <w:lang w:val="en-US"/>
        </w:rPr>
        <w:t xml:space="preserve">influence by microenvironment may </w:t>
      </w:r>
      <w:r w:rsidR="00B76B3E" w:rsidRPr="00B6133E">
        <w:rPr>
          <w:rFonts w:ascii="Times New Roman" w:hAnsi="Times New Roman" w:cs="Times New Roman"/>
          <w:lang w:val="en-US"/>
        </w:rPr>
        <w:t xml:space="preserve">be </w:t>
      </w:r>
      <w:r w:rsidRPr="00B6133E">
        <w:rPr>
          <w:rFonts w:ascii="Times New Roman" w:hAnsi="Times New Roman" w:cs="Times New Roman"/>
          <w:lang w:val="en-US"/>
        </w:rPr>
        <w:t xml:space="preserve">key in the </w:t>
      </w:r>
      <w:r w:rsidR="00B76B3E" w:rsidRPr="00B6133E">
        <w:rPr>
          <w:rFonts w:ascii="Times New Roman" w:hAnsi="Times New Roman" w:cs="Times New Roman"/>
          <w:lang w:val="en-US"/>
        </w:rPr>
        <w:t xml:space="preserve">emergence </w:t>
      </w:r>
      <w:r w:rsidRPr="00B6133E">
        <w:rPr>
          <w:rFonts w:ascii="Times New Roman" w:hAnsi="Times New Roman" w:cs="Times New Roman"/>
          <w:lang w:val="en-US"/>
        </w:rPr>
        <w:t xml:space="preserve">of myeloma and </w:t>
      </w:r>
      <w:proofErr w:type="spellStart"/>
      <w:r w:rsidR="00B76B3E" w:rsidRPr="00B6133E">
        <w:rPr>
          <w:rFonts w:ascii="Times New Roman" w:hAnsi="Times New Roman" w:cs="Times New Roman"/>
          <w:lang w:val="en-US"/>
        </w:rPr>
        <w:t>it’s</w:t>
      </w:r>
      <w:proofErr w:type="spellEnd"/>
      <w:r w:rsidR="00B76B3E" w:rsidRPr="00B6133E">
        <w:rPr>
          <w:rFonts w:ascii="Times New Roman" w:hAnsi="Times New Roman" w:cs="Times New Roman"/>
          <w:lang w:val="en-US"/>
        </w:rPr>
        <w:t xml:space="preserve"> related </w:t>
      </w:r>
      <w:r w:rsidRPr="00B6133E">
        <w:rPr>
          <w:rFonts w:ascii="Times New Roman" w:hAnsi="Times New Roman" w:cs="Times New Roman"/>
          <w:lang w:val="en-US"/>
        </w:rPr>
        <w:t xml:space="preserve">phenotypic changes. This phenomenon </w:t>
      </w:r>
      <w:r w:rsidR="00B76B3E" w:rsidRPr="00B6133E">
        <w:rPr>
          <w:rFonts w:ascii="Times New Roman" w:hAnsi="Times New Roman" w:cs="Times New Roman"/>
          <w:lang w:val="en-US"/>
        </w:rPr>
        <w:t>coined</w:t>
      </w:r>
      <w:r w:rsidRPr="00B6133E">
        <w:rPr>
          <w:rFonts w:ascii="Times New Roman" w:hAnsi="Times New Roman" w:cs="Times New Roman"/>
          <w:lang w:val="en-US"/>
        </w:rPr>
        <w:t xml:space="preserve"> plasticity is defined as a</w:t>
      </w:r>
      <w:r w:rsidR="00EA7B1C" w:rsidRPr="00B6133E">
        <w:rPr>
          <w:rFonts w:ascii="Times New Roman" w:hAnsi="Times New Roman" w:cs="Times New Roman"/>
          <w:lang w:val="en-US"/>
        </w:rPr>
        <w:t xml:space="preserve"> changed </w:t>
      </w:r>
      <w:r w:rsidRPr="00B6133E">
        <w:rPr>
          <w:rFonts w:ascii="Times New Roman" w:hAnsi="Times New Roman" w:cs="Times New Roman"/>
          <w:lang w:val="en-US"/>
        </w:rPr>
        <w:t xml:space="preserve">cellular phenotype </w:t>
      </w:r>
      <w:r w:rsidR="00EA7B1C" w:rsidRPr="00B6133E">
        <w:rPr>
          <w:rFonts w:ascii="Times New Roman" w:hAnsi="Times New Roman" w:cs="Times New Roman"/>
          <w:lang w:val="en-US"/>
        </w:rPr>
        <w:t xml:space="preserve">or </w:t>
      </w:r>
      <w:r w:rsidRPr="00B6133E">
        <w:rPr>
          <w:rFonts w:ascii="Times New Roman" w:hAnsi="Times New Roman" w:cs="Times New Roman"/>
          <w:lang w:val="en-US"/>
        </w:rPr>
        <w:t>function during deregulated differentiation</w:t>
      </w:r>
      <w:r w:rsidR="007D157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{"citationItems":[{"id":"ITEM-1","itemData":{"DOI":"10.1016/j.cell.2011.02.013","ISSN":"00928674","PMID":"21376230","abstract":"The hallmarks of cancer comprise six biological capabilities acquired during the multistep development of human tumors. The hallmarks constitute an organizing principle for rationalizing the complexities of neoplastic disease. They include sustaining proliferative signaling, evading growth suppressors, resisting cell death, enabling replicative immortality, inducing angiogenesis, and activating invasion and metastasis. Underlying these hallmarks are genome instability, which generates the genetic diversity that expedites their acquisition, and inflammation, which fosters multiple hallmark functions. Conceptual progress in the last decade has added two emerging hallmarks of potential generality to this list-reprogramming of energy metabolism and evading immune destruction. In addition to cancer cells, tumors exhibit another dimension of complexity: they contain a repertoire of recruited, ostensibly normal cells that contribute to the acquisition of hallmark traits by creating the \"tumor microenvironment.\" Recognition of the widespread applicability of these concepts will increasingly affect the development of new means to treat human cancer.","author":[{"dropping-particle":"","family":"Hanahan","given":"Douglas","non-dropping-particle":"","parse-names":false,"suffix":""},{"dropping-particle":"","family":"Weinberg","given":"Robert A.","non-dropping-particle":"","parse-names":false,"suffix":""}],"container-title":"Cell","id":"ITEM-1","issue":"5","issued":{"date-parts":[["2011","3","4"]]},"page":"646-674","title":"Hallmarks of Cancer: The Next Generation","type":"article-journal","volume":"144"},"uris":["http://www.mendeley.com/documents/?uuid=83d47a1c-9e6c-3e53-8544-84ec5815ffcb"]}],"mendeley":{"formattedCitation":"&lt;sup&gt;32&lt;/sup&gt;","plainTextFormattedCitation":"32","previouslyFormattedCitation":"&lt;sup&gt;32&lt;/sup&gt;"},"properties":{"noteIndex":0},"schema":"https://github.com/citation-style-language/schema/raw/master/csl-citation.json"}</w:instrText>
      </w:r>
      <w:r w:rsidR="007D157F"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32</w:t>
      </w:r>
      <w:r w:rsidR="007D157F" w:rsidRPr="00B6133E">
        <w:rPr>
          <w:rFonts w:ascii="Times New Roman" w:hAnsi="Times New Roman" w:cs="Times New Roman"/>
          <w:lang w:val="en-US"/>
        </w:rPr>
        <w:fldChar w:fldCharType="end"/>
      </w:r>
      <w:r w:rsidRPr="00B6133E">
        <w:rPr>
          <w:rFonts w:ascii="Times New Roman" w:hAnsi="Times New Roman" w:cs="Times New Roman"/>
          <w:lang w:val="en-US"/>
        </w:rPr>
        <w:t xml:space="preserve">. More specific, this refers to malignant mature plasma cells that share </w:t>
      </w:r>
      <w:r w:rsidR="00EA7B1C" w:rsidRPr="00B6133E">
        <w:rPr>
          <w:rFonts w:ascii="Times New Roman" w:hAnsi="Times New Roman" w:cs="Times New Roman"/>
          <w:lang w:val="en-US"/>
        </w:rPr>
        <w:t>properties</w:t>
      </w:r>
      <w:r w:rsidRPr="00B6133E">
        <w:rPr>
          <w:rFonts w:ascii="Times New Roman" w:hAnsi="Times New Roman" w:cs="Times New Roman"/>
          <w:lang w:val="en-US"/>
        </w:rPr>
        <w:t xml:space="preserve"> of different maturation steps, including precursors. The phenomenon </w:t>
      </w:r>
      <w:r w:rsidR="00EA7B1C" w:rsidRPr="00B6133E">
        <w:rPr>
          <w:rFonts w:ascii="Times New Roman" w:hAnsi="Times New Roman" w:cs="Times New Roman"/>
          <w:lang w:val="en-US"/>
        </w:rPr>
        <w:t xml:space="preserve">facilitates </w:t>
      </w:r>
      <w:r w:rsidRPr="00B6133E">
        <w:rPr>
          <w:rFonts w:ascii="Times New Roman" w:hAnsi="Times New Roman" w:cs="Times New Roman"/>
          <w:lang w:val="en-US"/>
        </w:rPr>
        <w:t xml:space="preserve">a new tool for </w:t>
      </w:r>
      <w:r w:rsidR="00EA7B1C" w:rsidRPr="00B6133E">
        <w:rPr>
          <w:rFonts w:ascii="Times New Roman" w:hAnsi="Times New Roman" w:cs="Times New Roman"/>
          <w:lang w:val="en-US"/>
        </w:rPr>
        <w:t xml:space="preserve">providing </w:t>
      </w:r>
      <w:r w:rsidRPr="00B6133E">
        <w:rPr>
          <w:rFonts w:ascii="Times New Roman" w:hAnsi="Times New Roman" w:cs="Times New Roman"/>
          <w:lang w:val="en-US"/>
        </w:rPr>
        <w:t xml:space="preserve">insight </w:t>
      </w:r>
      <w:r w:rsidR="00EA7B1C" w:rsidRPr="00B6133E">
        <w:rPr>
          <w:rFonts w:ascii="Times New Roman" w:hAnsi="Times New Roman" w:cs="Times New Roman"/>
          <w:lang w:val="en-US"/>
        </w:rPr>
        <w:t xml:space="preserve">into the </w:t>
      </w:r>
      <w:r w:rsidRPr="00B6133E">
        <w:rPr>
          <w:rFonts w:ascii="Times New Roman" w:hAnsi="Times New Roman" w:cs="Times New Roman"/>
          <w:lang w:val="en-US"/>
        </w:rPr>
        <w:t>observed clonal plasticity</w:t>
      </w:r>
      <w:r w:rsidR="007D157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{"citationItems":[{"id":"ITEM-1","itemData":{"DOI":"10.1158/1078-0432.CCR-05-0523","ISSN":"1078-0432","PMID":"16278377","abstract":"PURPOSE We previously showed the ability of osteoclasts to support myeloma plasma cell survival and proliferation in vivo and ex vivo. The aim of the current study was to investigate osteoclast-induced phenotypic changes associated with long-term survival of myeloma cells in coculture. EXPERIMENTAL DESIGN CD138-selected myeloma plasma cells from 16 patients were cocultured with human osteoclasts for up to 20 weeks. RESULTS Precultured cells were typically CD45(low/intermediate) CD38(high) CD138(high), CD19(-)CD34(-). After &gt;6 weeks, the phenotype of cocultured myeloma cells consistently shifted to cells expressing CD45(intermediate/high) CD19(low) CD34(low). Expression of CD38 and CD138 were reduced to subpopulations with CD38(intermediate) and CD138(low) levels. Morphologically, cocultured plasma cells became plasmablastic. Blocking interleukin-6 activity did not affect the immature phenotype of myeloma cells. The effect of dexamethasone on myeloma cells cultured alone or in cocultures at baseline and after 6 weeks of coculture was determined. When baseline myeloma cells were cultured alone, dexamethasone significantly increased the percentage of apoptotic cells over the spontaneous rate. Conversely, myeloma cells recovered from cocultures had high survival rates and were resistant to dexamethasone-induced apoptosis. Long-term coculture of normal CD34-expressing hematopoietic stem cells (HSC) resulted in loss of CD34 expression, suggesting a common mechanism for osteoclast-induced myeloma and HSC plasticity. CONCLUSIONS This study indicates that myeloma cells have plasticity expressed by their ability to reprogram, dedifferentiate, and acquire autonomous survival properties.","author":[{"dropping-particle":"","family":"Yaccoby","given":"Shmuel","non-dropping-particle":"","parse-names":false,"suffix":""}],"container-title":"Clinical cancer research : an official journal of the American Association for Cancer Research","id":"ITEM-1","issue":"21","issued":{"date-parts":[["2005","11","1"]]},"page":"7599-606","title":"The phenotypic plasticity of myeloma plasma cells as expressed by dedifferentiation into an immature, resilient, and apoptosis-resistant phenotype.","type":"article-journal","volume":"11"},"uris":["http://www.mendeley.com/documents/?uuid=e1b993a3-bf78-3fce-b30f-064525006bf8"]},{"id":"ITEM-2","itemData":{"DOI":"10.1186/s12885-015-1892-7","ISSN":"1471-2407","PMID":"26545722","abstract":"BACKGROUND Human primary myeloma (MM) cells do not survive in culture; current in vitro and in vivo systems for growing these cells are limited to coculture with a specific bone marrow (BM) cell type or growth in an immunodeficient animal model. The purpose of the study is to establish an interactive healthy donor whole BM based culture system capable of maintaining prolonged survival of primary MM cells. This normal BM (NBM) coculture system is different from using autologous BM that is already affected by the disease. METHODS Whole BM from healthy donors was cultured in medium supplemented with BM serum from MM patients for 7 days, followed by 7 days of coculture with CD138-selected primary MM cells or MM cell lines. MM cells in the coculture were quantified using flow cytometry or bioluminescence of luciferase-expressing MM cells. T-cell cytokine array and proteomics were performed to identify secreted factors. RESULTS NBM is composed of adherent and nonadherent compartments containing typical hematopoietic and mesenchymal cells. MM cells, or a subset of MM cells, from all examined cases survived and grew in this system, regardless of the MM cells' molecular risk or subtype, and growth was comparable to coculture with individual stromal cell types. Adherent and nonadherent compartments supported MM growth, and this support required patient serum for optimal growth. Increased levels of MM growth factors IL-6 and IL-10 along with MM clinical markers B2M and LDHA were detected in supernatants from the NBM coculture than from the BM cultured alone. Levels of extracellular matrix factors (e.g., MMP1, HMCN1, COL3A1, ACAN) and immunomodulatory factors (e.g., IFI16, LILRB4, PTPN6, AZGP1) were changed in the coculture system. The NBM system protected MM cells from dexamethasone but not bortezomib, and effects of lenalidomide varied. CONCLUSIONS The NBM system demonstrates the ability of primary MM plasma cells to interact with and to survive in coculture with healthy adult BM. This model is suitable for studying MM-microenvironment interactions, particularly at the early stage of engagement in new BM niches, and for characterizing MM cell subpopulations capable of long-term survival through secretion of extracellular matrix and immune-related factors.","author":[{"dropping-particle":"","family":"Bam","given":"Rakesh","non-dropping-particle":"","parse-names":false,"suffix":""},{"dropping-particle":"","family":"Khan","given":"Sharmin","non-dropping-particle":"","parse-names":false,"suffix":""},{"dropping-particle":"","family":"Ling","given":"Wen","non-dropping-particle":"","parse-names":false,"suffix":""},{"dropping-particle":"","family":"Randal","given":"Shelton S","non-dropping-particle":"","parse-names":false,"suffix":""},{"dropping-particle":"","family":"Li","given":"Xin","non-dropping-particle":"","parse-names":false,"suffix":""},{"dropping-particle":"","family":"Barlogie","given":"Bart","non-dropping-particle":"","parse-names":false,"suffix":""},{"dropping-particle":"","family":"Edmondson","given":"Ricky","non-dropping-particle":"","parse-names":false,"suffix":""},{"dropping-particle":"","family":"Yaccoby","given":"Shmuel","non-dropping-particle":"","parse-names":false,"suffix":""}],"container-title":"BMC cancer","id":"ITEM-2","issue":"1","issued":{"date-parts":[["2015","11","6"]]},"page":"864","title":"Primary myeloma interaction and growth in coculture with healthy donor hematopoietic bone marrow.","type":"article-journal","volume":"15"},"uris":["http://www.mendeley.com/documents/?uuid=faa326a4-30f2-3bd0-b370-5edd13efadb0"]}],"mendeley":{"formattedCitation":"&lt;sup&gt;33,34&lt;/sup&gt;","plainTextFormattedCitation":"33,34","previouslyFormattedCitation":"&lt;sup&gt;33,34&lt;/sup&gt;"},"properties":{"noteIndex":0},"schema":"https://github.com/citation-style-language/schema/raw/master/csl-citation.json"}</w:instrText>
      </w:r>
      <w:r w:rsidR="007D157F"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33,34</w:t>
      </w:r>
      <w:r w:rsidR="007D157F" w:rsidRPr="00B6133E">
        <w:rPr>
          <w:rFonts w:ascii="Times New Roman" w:hAnsi="Times New Roman" w:cs="Times New Roman"/>
          <w:lang w:val="en-US"/>
        </w:rPr>
        <w:fldChar w:fldCharType="end"/>
      </w:r>
      <w:r w:rsidRPr="00B6133E">
        <w:rPr>
          <w:rFonts w:ascii="Times New Roman" w:hAnsi="Times New Roman" w:cs="Times New Roman"/>
          <w:lang w:val="en-US"/>
        </w:rPr>
        <w:t xml:space="preserve"> associated with oncogenesis</w:t>
      </w:r>
      <w:r w:rsidR="007D157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{"citationItems":[{"id":"ITEM-1","itemData":{"ISSN":"0006-4971","PMID":"9414264","author":[{"dropping-particle":"","family":"Hallek","given":"M","non-dropping-particle":"","parse-names":false,"suffix":""},{"dropping-particle":"","family":"Bergsagel","given":"P L","non-dropping-particle":"","parse-names":false,"suffix":""},{"dropping-particle":"","family":"Anderson","given":"K C","non-dropping-particle":"","parse-names":false,"suffix":""}],"container-title":"Blood","id":"ITEM-1","issue":"1","issued":{"date-parts":[["1998","1","1"]]},"page":"3-21","title":"Multiple myeloma: increasing evidence for a multistep transformation process.","type":"article-journal","volume":"91"},"uris":["http://www.mendeley.com/documents/?uuid=fdbf2ba1-7e27-48d5-9ae4-1683c6981b68"]},{"id":"ITEM-2","itemData":{"DOI":"10.1182/blood-2005-01-0034","ISSN":"0006-4971","PMID":"15755896","abstract":"Two oncogenic pathways have been hypothesized for multiple myeloma (MM) and premalignant monoclonal gammopathy of undetermined significance (MGUS) tumors: a nonhyperdiploid pathway associated with a high prevalence of IgH translocations and a hyperdiploid pathway associated with multiple trisomies of 8 chromosomes. Cyclin D1, D2, or D3 expression appears to be increased and/or dysregulated in virtually all MM tumors despite their low proliferative capacity. Translocations can directly dysregulate CCND1 (11q13) or CCND3 (6p21), or MAF (16q23) or MAFB (20q11) transcription factors that target CCND2. Biallelic dysregulation of CCND1 occurs in nearly 40% of tumors, most of which are hyperdiploid. Other tumors express increased CCND2, either with or without a t(4;14) translocation. Using gene expression profiling to identify 5 recurrent translocations, specific trisomies, and expression of cyclin D genes, MM tumors can be divided into 8 TC (translocation/cyclin D) groups (11q13, 6p21, 4p16, maf, D1, D1+D2, D2, and none) that appear to be defined by early, and perhaps initiating, oncogenic events. However, despite subsequent progression events, these groups have differing gene expression profiles and also significant differences in the prevalence of bone disease, frequency at relapse, and progression to extramedullary tumor.","author":[{"dropping-particle":"","family":"Bergsagel","given":"P Leif","non-dropping-particle":"","parse-names":false,"suffix":""},{"dropping-particle":"","family":"Kuehl","given":"W Michael","non-dropping-particle":"","parse-names":false,"suffix":""},{"dropping-particle":"","family":"Zhan","given":"Fenghuang","non-dropping-particle":"","parse-names":false,"suffix":""},{"dropping-particle":"","family":"Sawyer","given":"Jeffrey","non-dropping-particle":"","parse-names":false,"suffix":""},{"dropping-particle":"","family":"Barlogie","given":"Bart","non-dropping-particle":"","parse-names":false,"suffix":""},{"dropping-particle":"","family":"Shaughnessy","given":"John","non-dropping-particle":"","parse-names":false,"suffix":""}],"container-title":"Blood","id":"ITEM-2","issue":"1","issued":{"date-parts":[["2005","7"]]},"page":"296-303","title":"Cyclin D dysregulation: an early and unifying pathogenic event in multiple myeloma.","type":"article-journal","volume":"106"},"uris":["http://www.mendeley.com/documents/?uuid=c81fe6b0-1496-47db-9204-eec4587fdf2d"]},{"id":"ITEM-3","itemData":{"ISSN":"0006-4971","PMID":"11861292","abstract":"Bone marrow plasma cells (PCs) from 74 patients with newly diagnosed multiple myeloma (MM), 5 with monoclonal gammopathy of undetermined significance (MGUS), and 31 healthy volunteers (normal PCs) were purified by CD138(+) selection. Gene expression of purified PCs and 7 MM cell lines were profiled using high-density oligonucleotide microarrays interrogating about 6800 genes. On hierarchical clustering analysis, normal and MM PCs were differentiated and 4 distinct subgroups of MM (MM1, MM2, MM3, and MM4) were identified. The expression pattern of MM1 was similar to normal PCs and MGUS, whereas MM4 was similar to MM cell lines. Clinical parameters linked to poor prognosis, abnormal karyotype (P =.002) and high serum beta(2)-microglobulin levels (P =.0005), were most prevalent in MM4. Also, genes involved in DNA metabolism and cell cycle control were overexpressed in a comparison of MM1 and MM4. In addition, using chi(2) and Wilcoxon rank sum tests, 120 novel candidate disease genes were identified that discriminate normal and malignant PCs (P &lt;.0001); many are involved in adhesion, apoptosis, cell cycle, drug resistance, growth arrest, oncogenesis, signaling, and transcription. A total of 156 genes, including FGFR3 and CCND1, exhibited highly elevated (\"spiked\") expression in at least 4 of the 74 MM cases (range, 4-25 spikes). Elevated expression of these 2 genes was caused by the translocation t(4;14)(p16;q32) or t(11;14)(q13;q32). Thus, novel candidate MM disease genes have been identified using gene expression profiling and this profiling has led to the development of a gene-based classification system for MM.","author":[{"dropping-particle":"","family":"Zhan","given":"Fenghuang","non-dropping-particle":"","parse-names":false,"suffix":""},{"dropping-particle":"","family":"Hardin","given":"Johanna","non-dropping-particle":"","parse-names":false,"suffix":""},{"dropping-particle":"","family":"Kordsmeier","given":"Bob","non-dropping-particle":"","parse-names":false,"suffix":""},{"dropping-particle":"","family":"Bumm","given":"Klaus","non-dropping-particle":"","parse-names":false,"suffix":""},{"dropping-particle":"","family":"Zheng","given":"Mingzhong","non-dropping-particle":"","parse-names":false,"suffix":""},{"dropping-particle":"","family":"Tian","given":"Erming","non-dropping-particle":"","parse-names":false,"suffix":""},{"dropping-particle":"","family":"Sanderson","given":"Ralph","non-dropping-particle":"","parse-names":false,"suffix":""},{"dropping-particle":"","family":"Yang","given":"Yang","non-dropping-particle":"","parse-names":false,"suffix":""},{"dropping-particle":"","family":"Wilson","given":"Carla","non-dropping-particle":"","parse-names":false,"suffix":""},{"dropping-particle":"","family":"Zangari","given":"Maurizio","non-dropping-particle":"","parse-names":false,"suffix":""},{"dropping-particle":"","family":"Anaissie","given":"Elias","non-dropping-particle":"","parse-names":false,"suffix":""},{"dropping-particle":"","family":"Morris","given":"Christopher","non-dropping-particle":"","parse-names":false,"suffix":""},{"dropping-particle":"","family":"Muwalla","given":"Firas","non-dropping-particle":"","parse-names":false,"suffix":""},{"dropping-particle":"","family":"Rhee","given":"Frits","non-dropping-particle":"van","parse-names":false,"suffix":""},{"dropping-particle":"","family":"Fassas","given":"Athanasios","non-dropping-particle":"","parse-names":false,"suffix":""},{"dropping-particle":"","family":"Crowley","given":"John","non-dropping-particle":"","parse-names":false,"suffix":""},{"dropping-particle":"","family":"Tricot","given":"Guido","non-dropping-particle":"","parse-names":false,"suffix":""},{"dropping-particle":"","family":"Barlogie","given":"Bart","non-dropping-particle":"","parse-names":false,"suffix":""},{"dropping-particle":"","family":"Shaughnessy","given":"John","non-dropping-particle":"","parse-names":false,"suffix":""}],"container-title":"Blood","id":"ITEM-3","issue":"5","issued":{"date-parts":[["2002","3","1"]]},"page":"1745-57","title":"Global gene expression profiling of multiple myeloma, monoclonal gammopathy of undetermined significance, and normal bone marrow plasma cells.","type":"article-journal","volume":"99"},"uris":["http://www.mendeley.com/documents/?uuid=a301679c-9907-37fa-a559-f9461c4fff50"]},{"id":"ITEM-4","itemData":{"DOI":"10.1038/sj.onc.1204641","ISSN":"0950-9232","PMID":"11607813","abstract":"Multiple myeloma (MM), a malignant tumor of somatically mutated, isotype-switched plasma cells (PC), usually arises from a common benign PC tumor called Monoclonal Gammopathy of Undetermined Significance (MGUS). MM progresses within the bone marrow, and then to an extramedullary stage from which MM cell lines are generated. The incidence of IgH translocations increases with the stage of disease: 50% in MGUS, 60-65% in intramedullarly MM, 70-80% in extramedullary MM, and &gt;90% in MM cell lines. Primary, simple reciprocal IgH translocations, which are present in both MGUS and MM, involve many partners and provide an early immortalizing event. Four chromosomal partners appear to account for the majority of primary IgH translocations: 11q13 (cyclin D1), 6p21 (cyclin D3), 4p16 (FGFR3 and MMSET), and 16q23 (c-maf). They are mediated primarily by errors in IgH switch recombination and less often by errors in somatic hypermutation, with the former dissociating the intronic and 3' enhancer(s), so that potential oncogenes can be dysregulated on each derivative chromosome (e.g., FGFR3 on der14 and MMSET on der4). Secondary translocations, which sometimes do not involve Ig loci, are more complex, and are not mediated by errors in B cell specific DNA modification mechanisms. They involve other chromosomal partners, notably 8q24 (c-myc), and are associated with tumor progression. Consistent with MM being the malignant counterpart of a long-lived PC, oncogenes dysregulated by primary IgH translocations in MM do not appear to confer an anti-apoptotic effect, but instead increase proliferation and/or inhibit differentiation. The fact that so many different primary transforming events give rise to tumors with the same phenotype suggests that there is only a single fate available for the transformed cell.","author":[{"dropping-particle":"","family":"Bergsagel","given":"P Leif","non-dropping-particle":"","parse-names":false,"suffix":""},{"dropping-particle":"","family":"Kuehl","given":"W Michael","non-dropping-particle":"","parse-names":false,"suffix":""}],"container-title":"Oncogene","id":"ITEM-4","issue":"40","issued":{"date-parts":[["2001","9","8"]]},"page":"5611-5622","title":"Chromosome translocations in multiple myeloma","type":"article-journal","volume":"20"},"uris":["http://www.mendeley.com/documents/?uuid=a89e9b1d-6fbf-49ea-98a6-0251807d376f"]},{"id":"ITEM-5","itemData":{"ISSN":"0027-8424","PMID":"8943038","abstract":"In multiple myeloma, karyotopic 14q32 translocations have been identified at a variable frequency (10-60% in different studies). In the majority of cases, the partner chromosome has not been identified (14q+), and in the remaining cases, a diverse array of chromosomal partners has been implicated, with 11q13 being the most common. We developed a comprehensive Southern blot assay to identify and distinguish different kinds of immunoglobulin heavy chain (IgH) switch recombination events. Illegitimate switch recombination fragments (defined as containing sequences from only one switch region) are potential markers of translocation events into IgH switch regions and were identified in 15 of 21 myeloma cell lines, including seven of eight karyotyped lines that have no detectable 14q32 translocation. From all nine lines or tumor samples analyzed further, cloned illegitimate switch recombination fragments were confirmed to be IgH switch translocation breakpoints. In three of these cases, the translocation breakpoint was shown to be present in the primary tumor. These translocation breakpoints involve six chromosomal loci: 4p16.3 (two lines and the one tumor); 6; 8q24.13; 11q13.3 (in three lines); 16q23.1; and 21q22.1. We suggest that translocations into the IgH locus (i) are frequent (karyotypic 14q32 translocations and/or illegitimate switch recombination fragments are present in primary tumor samples and in 19 of 21 lines that we have analyzed); (ii) occur mainly in switch regions; and (iii) involve a diverse but nonrandom array (i.e., frequently 11q13 or 4p16) of chromosomal partners. This appears to be the most frequent genetic abnormality in multiple myeloma.","author":[{"dropping-particle":"","family":"Bergsagel","given":"P L","non-dropping-particle":"","parse-names":false,"suffix":""},{"dropping-particle":"","family":"Chesi","given":"M","non-dropping-particle":"","parse-names":false,"suffix":""},{"dropping-particle":"","family":"Nardini","given":"E","non-dropping-particle":"","parse-names":false,"suffix":""},{"dropping-particle":"","family":"Brents","given":"L A","non-dropping-particle":"","parse-names":false,"suffix":""},{"dropping-particle":"","family":"Kirby","given":"S L","non-dropping-particle":"","parse-names":false,"suffix":""},{"dropping-particle":"","family":"Kuehl","given":"W M","non-dropping-particle":"","parse-names":false,"suffix":""}],"container-title":"Proceedings of the National Academy of Sciences of the United States of America","id":"ITEM-5","issue":"24","issued":{"date-parts":[["1996","11","26"]]},"page":"13931-6","title":"Promiscuous translocations into immunoglobulin heavy chain switch regions in multiple myeloma.","type":"article-journal","volume":"93"},"uris":["http://www.mendeley.com/documents/?uuid=2415ffeb-064b-4731-b2d9-d0561c9ecd1a"]},{"id":"ITEM-6","itemData":{"DOI":"10.1038/nature09837","ISSN":"0028-0836","PMID":"21430775","abstract":"Multiple myeloma is an incurable malignancy of plasma cells, and its pathogenesis is poorly understood. Here we report the massively parallel sequencing of 38 tumour genomes and their comparison to matched normal DNAs. Several new and unexpected oncogenic mechanisms were suggested by the pattern of somatic mutation across the data set. These include the mutation of genes involved in protein translation (seen in nearly half of the patients), genes involved in histone methylation, and genes involved in blood coagulation. In addition, a broader than anticipated role of NF-κB signalling was indicated by mutations in 11 members of the NF-κB pathway. Of potential immediate clinical relevance, activating mutations of the kinase BRAF were observed in 4% of patients, suggesting the evaluation of BRAF inhibitors in multiple myeloma clinical trials. These results indicate that cancer genome sequencing of large collections of samples will yield new insights into cancer not anticipated by existing knowledge.","author":[{"dropping-particle":"","family":"Chapman","given":"Michael A.","non-dropping-particle":"","parse-names":false,"suffix":""},{"dropping-particle":"","family":"Lawrence","given":"Michael S.","non-dropping-particle":"","parse-names":false,"suffix":""},{"dropping-particle":"","family":"Keats","given":"Jonathan J.","non-dropping-particle":"","parse-names":false,"suffix":""},{"dropping-particle":"","family":"Cibulskis","given":"Kristian","non-dropping-particle":"","parse-names":false,"suffix":""},{"dropping-particle":"","family":"Sougnez","given":"Carrie","non-dropping-particle":"","parse-names":false,"suffix":""},{"dropping-particle":"","family":"Schinzel","given":"Anna C.","non-dropping-particle":"","parse-names":false,"suffix":""},{"dropping-particle":"","family":"Harview","given":"Christina L.","non-dropping-particle":"","parse-names":false,"suffix":""},{"dropping-particle":"","family":"Brunet","given":"Jean-Philippe","non-dropping-particle":"","parse-names":false,"suffix":""},{"dropping-particle":"","family":"Ahmann","given":"Gregory J.","non-dropping-particle":"","parse-names":false,"suffix":""},{"dropping-particle":"","family":"Adli","given":"Mazhar","non-dropping-particle":"","parse-names":false,"suffix":""},{"dropping-particle":"","family":"Anderson","given":"Kenneth C.","non-dropping-particle":"","parse-names":false,"suffix":""},{"dropping-particle":"","family":"Ardlie","given":"Kristin G.","non-dropping-particle":"","parse-names":false,"suffix":""},{"dropping-particle":"","family":"Auclair","given":"Daniel","non-dropping-particle":"","parse-names":false,"suffix":""},{"dropping-particle":"","family":"Baker","given":"Angela","non-dropping-particle":"","parse-names":false,"suffix":""},{"dropping-particle":"","family":"Bergsagel","given":"P. Leif","non-dropping-particle":"","parse-names":false,"suffix":""},{"dropping-particle":"","family":"Bernstein","given":"Bradley E.","non-dropping-particle":"","parse-names":false,"suffix":""},{"dropping-particle":"","family":"Drier","given":"Yotam","non-dropping-particle":"","parse-names":false,"suffix":""},{"dropping-particle":"","family":"Fonseca","given":"Rafael","non-dropping-particle":"","parse-names":false,"suffix":""},{"dropping-particle":"","family":"Gabriel","given":"Stacey B.","non-dropping-particle":"","parse-names":false,"suffix":""},{"dropping-particle":"","family":"Hofmeister","given":"Craig C.","non-dropping-particle":"","parse-names":false,"suffix":""},{"dropping-particle":"","family":"Jagannath","given":"Sundar","non-dropping-particle":"","parse-names":false,"suffix":""},{"dropping-particle":"","family":"Jakubowiak","given":"Andrzej J.","non-dropping-particle":"","parse-names":false,"suffix":""},{"dropping-particle":"","family":"Krishnan","given":"Amrita","non-dropping-particle":"","parse-names":false,"suffix":""},{"dropping-particle":"","family":"Levy","given":"Joan","non-dropping-particle":"","parse-names":false,"suffix":""},{"dropping-particle":"","family":"Liefeld","given":"Ted","non-dropping-particle":"","parse-names":false,"suffix":""},{"dropping-particle":"","family":"Lonial","given":"Sagar","non-dropping-particle":"","parse-names":false,"suffix":""},{"dropping-particle":"","family":"Mahan","given":"Scott","non-dropping-particle":"","parse-names":false,"suffix":""},{"dropping-particle":"","family":"Mfuko","given":"Bunmi","non-dropping-particle":"","parse-names":false,"suffix":""},{"dropping-particle":"","family":"Monti","given":"Stefano","non-dropping-particle":"","parse-names":false,"suffix":""},{"dropping-particle":"","family":"Perkins","given":"Louise M.","non-dropping-particle":"","parse-names":false,"suffix":""},{"dropping-particle":"","family":"Onofrio","given":"Robb","non-dropping-particle":"","parse-names":false,"suffix":""},{"dropping-particle":"","family":"Pugh","given":"Trevor J.","non-dropping-particle":"","parse-names":false,"suffix":""},{"dropping-particle":"","family":"Rajkumar","given":"S. Vincent","non-dropping-particle":"","parse-names":false,"suffix":""},{"dropping-particle":"","family":"Ramos","given":"Alex H.","non-dropping-particle":"","parse-names":false,"suffix":""},{"dropping-particle":"","family":"Siegel","given":"David S.","non-dropping-particle":"","parse-names":false,"suffix":""},{"dropping-particle":"","family":"Sivachenko","given":"Andrey","non-dropping-particle":"","parse-names":false,"suffix":""},{"dropping-particle":"","family":"Stewart","given":"A. Keith","non-dropping-particle":"","parse-names":false,"suffix":""},{"dropping-particle":"","family":"Trudel","given":"Suzanne","non-dropping-particle":"","parse-names":false,"suffix":""},{"dropping-particle":"","family":"Vij","given":"Ravi","non-dropping-particle":"","parse-names":false,"suffix":""},{"dropping-particle":"","family":"Voet","given":"Douglas","non-dropping-particle":"","parse-names":false,"suffix":""},{"dropping-particle":"","family":"Winckler","given":"Wendy","non-dropping-particle":"","parse-names":false,"suffix":""},{"dropping-particle":"","family":"Zimmerman","given":"Todd","non-dropping-particle":"","parse-names":false,"suffix":""},{"dropping-particle":"","family":"Carpten","given":"John","non-dropping-particle":"","parse-names":false,"suffix":""},{"dropping-particle":"","family":"Trent","given":"Jeff","non-dropping-particle":"","parse-names":false,"suffix":""},{"dropping-particle":"","family":"Hahn","given":"William C.","non-dropping-particle":"","parse-names":false,"suffix":""},{"dropping-particle":"","family":"Garraway","given":"Levi A.","non-dropping-particle":"","parse-names":false,"suffix":""},{"dropping-particle":"","family":"Meyerson","given":"Matthew","non-dropping-particle":"","parse-names":false,"suffix":""},{"dropping-particle":"","family":"Lander","given":"Eric S.","non-dropping-particle":"","parse-names":false,"suffix":""},{"dropping-particle":"","family":"Getz","given":"Gad","non-dropping-particle":"","parse-names":false,"suffix":""},{"dropping-particle":"","family":"Golub","given":"Todd R.","non-dropping-particle":"","parse-names":false,"suffix":""}],"container-title":"Nature","id":"ITEM-6","issue":"7339","issued":{"date-parts":[["2011","3","24"]]},"page":"467-472","title":"Initial genome sequencing and analysis of multiple myeloma","type":"article-journal","volume":"471"},"uris":["http://www.mendeley.com/documents/?uuid=886edc70-c0f4-3152-a91c-161901c396a8"]},{"id":"ITEM-7","itemData":{"ISSN":"0006-4971","PMID":"16728703","abstract":"To better define the molecular basis of multiple myeloma (MM), we performed unsupervised hierarchic clustering of mRNA expression profiles in CD138-enriched plasma cells from 414 newly diagnosed patients who went on to receive high-dose therapy and tandem stem cell transplants. Seven disease subtypes were validated that were strongly influenced by known genetic lesions, such as c-MAF- and MAFB-, CCND1- and CCND3-, and MMSET-activating translocations and hyperdiploidy. Indicative of the deregulation of common pathways by gene orthologs, common gene signatures were observed in cases with c-MAF and MAFB activation and CCND1 and CCND3 activation, the latter consisting of 2 subgroups, one characterized by expression of the early B-cell markers CD20 and PAX5. A low incidence of focal bone disease distinguished one and increased expression of proliferation-associated genes of another novel subgroup. Comprising varying fractions of each of the other 6 subgroups, the proliferation subgroup dominated at relapse, suggesting that this signature is linked to disease progression. Proliferation and MMSET-spike groups were characterized by significant overexpression of genes mapping to chromosome 1q, and both exhibited a poor prognosis relative to the other groups. A subset of cases with a predominating myeloid gene expression signature, excluded from the profiling analyses, had more favorable baseline characteristics and superior prognosis to those lacking this signature.","author":[{"dropping-particle":"","family":"Zhan","given":"Fenghuang","non-dropping-particle":"","parse-names":false,"suffix":""},{"dropping-particle":"","family":"Huang","given":"Yongsheng","non-dropping-particle":"","parse-names":false,"suffix":""},{"dropping-particle":"","family":"Colla","given":"Simona","non-dropping-particle":"","parse-names":false,"suffix":""},{"dropping-particle":"","family":"Stewart","given":"James P","non-dropping-particle":"","parse-names":false,"suffix":""},{"dropping-particle":"","family":"Hanamura","given":"Ichiro","non-dropping-particle":"","parse-names":false,"suffix":""},{"dropping-particle":"","family":"Gupta","given":"Sushil","non-dropping-particle":"","parse-names":false,"suffix":""},{"dropping-particle":"","family":"Epstein","given":"Joshua","non-dropping-particle":"","parse-names":false,"suffix":""},{"dropping-particle":"","family":"Yaccoby","given":"Shmuel","non-dropping-particle":"","parse-names":false,"suffix":""},{"dropping-particle":"","family":"Sawyer","given":"Jeffrey","non-dropping-particle":"","parse-names":false,"suffix":""},{"dropping-particle":"","family":"Burington","given":"Bart","non-dropping-particle":"","parse-names":false,"suffix":""},{"dropping-particle":"","family":"Anaissie","given":"Elias","non-dropping-particle":"","parse-names":false,"suffix":""},{"dropping-particle":"","family":"Hollmig","given":"Klaus","non-dropping-particle":"","parse-names":false,"suffix":""},{"dropping-particle":"","family":"Pineda-Roman","given":"Mauricio","non-dropping-particle":"","parse-names":false,"suffix":""},{"dropping-particle":"","family":"Tricot","given":"Guido","non-dropping-particle":"","parse-names":false,"suffix":""},{"dropping-particle":"","family":"Rhee","given":"Frits","non-dropping-particle":"van","parse-names":false,"suffix":""},{"dropping-particle":"","family":"Walker","given":"Ronald","non-dropping-particle":"","parse-names":false,"suffix":""},{"dropping-particle":"","family":"Zangari","given":"Maurizio","non-dropping-particle":"","parse-names":false,"suffix":""},{"dropping-particle":"","family":"Crowley","given":"John","non-dropping-particle":"","parse-names":false,"suffix":""},{"dropping-particle":"","family":"Barlogie","given":"Bart","non-dropping-particle":"","parse-names":false,"suffix":""},{"dropping-particle":"","family":"Shaughnessy","given":"John D","non-dropping-particle":"","parse-names":false,"suffix":""}],"container-title":"Blood","id":"ITEM-7","issue":"6","issued":{"date-parts":[["2006","9"]]},"page":"2020-8","title":"The molecular classification of multiple myeloma.","type":"article-journal","volume":"108"},"uris":["http://www.mendeley.com/documents/?uuid=fcfc5a3c-8800-4d0b-8d42-19b0ead51aa0"]},{"id":"ITEM-8","itemData":{"DOI":"10.1182/blood-2006-09-044974","ISSN":"0006-4971","PMID":"17185464","abstract":"The aims of this study were to assess the feasibility of prospective pharmacogenomics research in multicenter international clinical trials of bortezomib in multiple myeloma and to develop predictive classifiers of response and survival with bortezomib. Patients with relapsed myeloma enrolled in phase 2 and phase 3 clinical trials of bortezomib and consented to genomic analyses of pretreatment tumor samples. Bone marrow aspirates were subject to a negative-selection procedure to enrich for tumor cells, and these samples were used for gene expression profiling using DNA microarrays. Data quality and correlations with trial outcomes were assessed by multiple groups. Gene expression in this dataset was consistent with data published from a single-center study of newly diagnosed multiple myeloma. Response and survival classifiers were developed and shown to be significantly associated with outcome via testing on independent data. The survival classifier improved on the risk stratification provided by the International Staging System. Predictive models and biologic correlates of response show some specificity for bortezomib rather than dexamethasone. Informative gene expression data and genomic classifiers that predict clinical outcome can be derived from prospective clinical trials of new anticancer agents.","author":[{"dropping-particle":"","family":"Mulligan","given":"G.","non-dropping-particle":"","parse-names":false,"suffix":""},{"dropping-particle":"","family":"Mitsiades","given":"C.","non-dropping-particle":"","parse-names":false,"suffix":""},{"dropping-particle":"","family":"Bryant","given":"B.","non-dropping-particle":"","parse-names":false,"suffix":""},{"dropping-particle":"","family":"Zhan","given":"F.","non-dropping-particle":"","parse-names":false,"suffix":""},{"dropping-particle":"","family":"Chng","given":"W. J.","non-dropping-particle":"","parse-names":false,"suffix":""},{"dropping-particle":"","family":"Roels","given":"S.","non-dropping-particle":"","parse-names":false,"suffix":""},{"dropping-particle":"","family":"Koenig","given":"E.","non-dropping-particle":"","parse-names":false,"suffix":""},{"dropping-particle":"","family":"Fergus","given":"A.","non-dropping-particle":"","parse-names":false,"suffix":""},{"dropping-particle":"","family":"Huang","given":"Y.","non-dropping-particle":"","parse-names":false,"suffix":""},{"dropping-particle":"","family":"Richardson","given":"P.","non-dropping-particle":"","parse-names":false,"suffix":""},{"dropping-particle":"","family":"Trepicchio","given":"W. L.","non-dropping-particle":"","parse-names":false,"suffix":""},{"dropping-particle":"","family":"Broyl","given":"A.","non-dropping-particle":"","parse-names":false,"suffix":""},{"dropping-particle":"","family":"Sonneveld","given":"P.","non-dropping-particle":"","parse-names":false,"suffix":""},{"dropping-particle":"","family":"Shaughnessy","given":"J. D.","non-dropping-particle":"","parse-names":false,"suffix":""},{"dropping-particle":"","family":"Leif Bergsagel","given":"P.","non-dropping-particle":"","parse-names":false,"suffix":""},{"dropping-particle":"","family":"Schenkein","given":"D.","non-dropping-particle":"","parse-names":false,"suffix":""},{"dropping-particle":"","family":"Esseltine","given":"D.-L.","non-dropping-particle":"","parse-names":false,"suffix":""},{"dropping-particle":"","family":"Boral","given":"A.","non-dropping-particle":"","parse-names":false,"suffix":""},{"dropping-particle":"","family":"Anderson","given":"K. C.","non-dropping-particle":"","parse-names":false,"suffix":""}],"container-title":"Blood","id":"ITEM-8","issue":"8","issued":{"date-parts":[["2007","4","15"]]},"page":"3177-3188","title":"Gene expression profiling and correlation with outcome in clinical trials of the proteasome inhibitor bortezomib","type":"article-journal","volume":"109"},"uris":["http://www.mendeley.com/documents/?uuid=eca0b90e-bedf-3c43-b209-4da61f88d778"]},{"id":"ITEM-9","itemData":{"DOI":"10.1200/JCO.2008.20.6136","ISSN":"0732-183X","PMID":"19687334","abstract":"PURPOSE Chromosomal aberrations are a hallmark of multiple myeloma but their global prognostic impact is largely unknown. PATIENTS AND METHODS We performed a genome-wide analysis of malignant plasma cells from 192 newly diagnosed patients with myeloma using high-density, single-nucleotide polymorphism (SNP) arrays to identify genetic lesions associated with prognosis. RESULTS Our analyses revealed deletions and amplifications in 98% of patients. Amplifications in 1q and deletions in 1p, 12p, 14q, 16q, and 22q were the most frequent lesions associated with adverse prognosis, whereas recurrent amplifications of chromosomes 5, 9, 11, 15, and 19 conferred a favorable prognosis. Multivariate analysis retained three independent lesions: amp(1q23.3), amp(5q31.3), and del(12p13.31). When adjusted to the established prognostic variables (ie, t(4;14), del(17p), and serum beta(2)-microglobulin [Sbeta(2)M]), del(12p13.31) remained the most powerful independent adverse marker (P &lt; .0001; hazard ratio [HR], 3.17) followed by Sbeta(2)M (P &lt; .0001; HR, 2.78) and the favorable marker amp(5q31.3) (P = .0005; HR, 0.37). Patients with amp(5q31.3) alone and low Sbeta(2)M had an excellent prognosis (5-year overall survival, 87%); conversely, patients with del(12p13.31) alone or amp(5q31.3) and del(12p13.31) and high Sbeta(2)M had a very poor outcome (5-year overall survival, 20%). This prognostic model was validated in an independent validation cohort of 273 patients with myeloma. CONCLUSION These findings demonstrate the power and accessibility of molecular karyotyping to predict outcome in myeloma. In addition, integration of expression of genes residing in the lesions of interest revealed putative features of the disease driving short survival.","author":[{"dropping-particle":"","family":"Avet-Loiseau","given":"Hervé","non-dropping-particle":"","parse-names":false,"suffix":""},{"dropping-particle":"","family":"Li","given":"Cheng","non-dropping-particle":"","parse-names":false,"suffix":""},{"dropping-particle":"","family":"Magrangeas","given":"Florence","non-dropping-particle":"","parse-names":false,"suffix":""},{"dropping-particle":"","family":"Gouraud","given":"Wilfried","non-dropping-particle":"","parse-names":false,"suffix":""},{"dropping-particle":"","family":"Charbonnel","given":"Catherine","non-dropping-particle":"","parse-names":false,"suffix":""},{"dropping-particle":"","family":"Harousseau","given":"Jean-Luc","non-dropping-particle":"","parse-names":false,"suffix":""},{"dropping-particle":"","family":"Attal","given":"Michel","non-dropping-particle":"","parse-names":false,"suffix":""},{"dropping-particle":"","family":"Marit","given":"Gerald","non-dropping-particle":"","parse-names":false,"suffix":""},{"dropping-particle":"","family":"Mathiot","given":"Claire","non-dropping-particle":"","parse-names":false,"suffix":""},{"dropping-particle":"","family":"Facon","given":"Thierry","non-dropping-particle":"","parse-names":false,"suffix":""},{"dropping-particle":"","family":"Moreau","given":"Philippe","non-dropping-particle":"","parse-names":false,"suffix":""},{"dropping-particle":"","family":"Anderson","given":"Kenneth C.","non-dropping-particle":"","parse-names":false,"suffix":""},{"dropping-particle":"","family":"Campion","given":"Loïc","non-dropping-particle":"","parse-names":false,"suffix":""},{"dropping-particle":"","family":"Munshi","given":"Nikhil C.","non-dropping-particle":"","parse-names":false,"suffix":""},{"dropping-particle":"","family":"Minvielle","given":"Stéphane","non-dropping-particle":"","parse-names":false,"suffix":""}],"container-title":"Journal of Clinical Oncology","id":"ITEM-9","issue":"27","issued":{"date-parts":[["2009","9","20"]]},"page":"4585-4590","title":"Prognostic Significance of Copy-Number Alterations in Multiple Myeloma","type":"article-journal","volume":"27"},"uris":["http://www.mendeley.com/documents/?uuid=fbd95126-60f1-39b9-91ff-74d3164c9330"]},{"id":"ITEM-10","itemData":{"DOI":"10.1186/1471-2164-14-672","ISSN":"1471-2164","PMID":"24088394","abstract":"BACKGROUND Multiple myeloma (MM) is a malignant proliferation of plasma B cells. Based on recurrent aneuploidy such as copy number alterations (CNAs), myeloma is divided into two subtypes with different CNA patterns and patient survival outcomes. How aneuploidy events arise, and whether they contribute to cancer cell evolution are actively studied. The large amount of transcriptomic changes resultant of CNAs (dosage effect) pose big challenges for identifying functional consequences of CNAs in myeloma in terms of specific driver genes and pathways. In this study, we hypothesize that gene-wise dosage effect varies as a result from complex regulatory networks that translate the impact of CNAs to gene expression, and studying this variation can provide insights into functional effects of CNAs. RESULTS We propose gene-wise dosage effect score and genome-wide karyotype plot as tools to measure and visualize concordant copy number and expression changes across cancer samples. We find that dosage effect in myeloma is widespread yet variable, and it is correlated with gene expression level and CNA frequencies in different chromosomes. Our analysis suggests that despite the enrichment of differentially expressed genes between hyperdiploid MM and non-hyperdiploid MM in the trisomy chromosomes, the chromosomal proportion of dosage sensitive genes is higher in the non-trisomy chromosomes. Dosage-sensitive genes are enriched by genes with protein translation and localization functions, and dosage resistant genes are enriched by apoptosis genes. These results point to future studies on differential dosage sensitivity and resistance of pro- and anti-proliferation pathways and their variation across patients as therapeutic targets and prognosis markers. CONCLUSIONS Our findings support the hypothesis that recurrent CNAs in myeloma are selected by their functional consequences. The novel dosage effect score defined in this work will facilitate integration of copy number and expression data for identifying driver genes in cancer genomics studies. The accompanying R code is available at http://www.canevolve.org/dosageEffect/.","author":[{"dropping-particle":"","family":"Samur","given":"Mehmet K","non-dropping-particle":"","parse-names":false,"suffix":""},{"dropping-particle":"","family":"Shah","given":"Parantu K","non-dropping-particle":"","parse-names":false,"suffix":""},{"dropping-particle":"","family":"Wang","given":"Xujun","non-dropping-particle":"","parse-names":false,"suffix":""},{"dropping-particle":"","family":"Minvielle","given":"Stéphane","non-dropping-particle":"","parse-names":false,"suffix":""},{"dropping-particle":"","family":"Magrangeas","given":"Florence","non-dropping-particle":"","parse-names":false,"suffix":""},{"dropping-particle":"","family":"Avet-Loiseau","given":"Hervé","non-dropping-particle":"","parse-names":false,"suffix":""},{"dropping-particle":"","family":"Munshi","given":"Nikhil C","non-dropping-particle":"","parse-names":false,"suffix":""},{"dropping-particle":"","family":"Li","given":"Cheng","non-dropping-particle":"","parse-names":false,"suffix":""}],"container-title":"BMC genomics","id":"ITEM-10","issue":"1","issued":{"date-parts":[["2013","10","2"]]},"page":"672","title":"The shaping and functional consequences of the dosage effect landscape in multiple myeloma.","type":"article-journal","volume":"14"},"uris":["http://www.mendeley.com/documents/?uuid=ae39168a-282c-307b-9af2-e16fe5ec2144"]}],"mendeley":{"formattedCitation":"&lt;sup&gt;8–12,17,35–38&lt;/sup&gt;","plainTextFormattedCitation":"8–12,17,35–38","previouslyFormattedCitation":"&lt;sup&gt;8–12,17,35–38&lt;/sup&gt;"},"properties":{"noteIndex":0},"schema":"https://github.com/citation-style-language/schema/raw/master/csl-citation.json"}</w:instrText>
      </w:r>
      <w:r w:rsidR="007D157F"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8–12,17,35–38</w:t>
      </w:r>
      <w:r w:rsidR="007D157F" w:rsidRPr="00B6133E">
        <w:rPr>
          <w:rFonts w:ascii="Times New Roman" w:hAnsi="Times New Roman" w:cs="Times New Roman"/>
          <w:lang w:val="en-US"/>
        </w:rPr>
        <w:fldChar w:fldCharType="end"/>
      </w:r>
      <w:r w:rsidRPr="00B6133E">
        <w:rPr>
          <w:rFonts w:ascii="Times New Roman" w:hAnsi="Times New Roman" w:cs="Times New Roman"/>
          <w:lang w:val="en-US"/>
        </w:rPr>
        <w:t xml:space="preserve">. The mechanisms of deregulated differentiation and myeloma-cell plasticity </w:t>
      </w:r>
      <w:r w:rsidR="00EA7B1C" w:rsidRPr="00B6133E">
        <w:rPr>
          <w:rFonts w:ascii="Times New Roman" w:hAnsi="Times New Roman" w:cs="Times New Roman"/>
          <w:lang w:val="en-US"/>
        </w:rPr>
        <w:t xml:space="preserve">ought to </w:t>
      </w:r>
      <w:r w:rsidRPr="00B6133E">
        <w:rPr>
          <w:rFonts w:ascii="Times New Roman" w:hAnsi="Times New Roman" w:cs="Times New Roman"/>
          <w:lang w:val="en-US"/>
        </w:rPr>
        <w:t xml:space="preserve">be investigated and their clinical significance assessed. </w:t>
      </w:r>
    </w:p>
    <w:p w14:paraId="05F65C55" w14:textId="78837CB4" w:rsidR="00B23F8C" w:rsidRPr="009801E4" w:rsidRDefault="004E0115" w:rsidP="009801E4">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Recently, we have documented a procedure to identify and study gene expres</w:t>
      </w:r>
      <w:r w:rsidR="003F390A" w:rsidRPr="00B6133E">
        <w:rPr>
          <w:rFonts w:ascii="Times New Roman" w:hAnsi="Times New Roman" w:cs="Times New Roman"/>
          <w:lang w:val="en-US"/>
        </w:rPr>
        <w:t>sion of</w:t>
      </w:r>
      <w:r w:rsidRPr="00B6133E">
        <w:rPr>
          <w:rFonts w:ascii="Times New Roman" w:hAnsi="Times New Roman" w:cs="Times New Roman"/>
          <w:lang w:val="en-US"/>
        </w:rPr>
        <w:t xml:space="preserve"> flow-sorted human B-cell subsets from normal lymphoid tissue</w:t>
      </w:r>
      <w:r w:rsidR="000E6200"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{"citationItems":[{"id":"ITEM-1","itemData":{"DOI":"10.3109/10428194.2013.839785","ISBN":"1029-2403 (Electronic)\\r1026-8022 (Linking)","ISSN":"1029-2403","PMID":"23998255","abstract":"Recent findings have suggested biological classification of B-cell malignancies as exemplified by the \"activated B-cell-like\" (ABC), the \"germinal-center B-cell-like\" (GCB) and primary mediastinal B-cell lymphoma (PMBL) subtypes of diffuse large B-cell lymphoma and \"recurrent translocation and cyclin D\" (TC) classification of multiple myeloma. Biological classification of B-cell derived cancers may be refined by a direct and systematic strategy where identification and characterization of normal B-cell differentiation subsets are used to define the cancer cell of origin phenotype. Here we propose a strategy combining multiparametric flow cytometry, global gene expression profiling and biostatistical modeling to generate B-cell subset specific gene signatures from sorted normal human immature, naive, germinal centrocytes and centroblasts, post-germinal memory B-cells, plasmablasts and plasma cells from available lymphoid tissues including lymph nodes, tonsils, thymus, peripheral blood and bone marrow. This strategy will provide an accurate image of the stage of differentiation, which prospectively can be used to classify any B-cell malignancy and eventually purify tumor cells. This report briefly describes the current models of the normal B-cell subset differentiation in multiple tissues and the pathogenesis of malignancies originating from the normal germinal B-cell hierarchy.","author":[{"dropping-particle":"","family":"Johnsen","given":"Hans Erik","non-dropping-particle":"","parse-names":false,"suffix":""},{"dropping-particle":"","family":"Bergkvist","given":"Kim Steve","non-dropping-particle":"","parse-names":false,"suffix":""},{"dropping-particle":"","family":"Schmitz","given":"Alexander","non-dropping-particle":"","parse-names":false,"suffix":""},{"dropping-particle":"","family":"Kjeldsen","given":"Malene Krag","non-dropping-particle":"","parse-names":false,"suffix":""},{"dropping-particle":"","family":"Hansen","given":"Steen Møller","non-dropping-particle":"","parse-names":false,"suffix":""},{"dropping-particle":"","family":"Gaihede","given":"Michael","non-dropping-particle":"","parse-names":false,"suffix":""},{"dropping-particle":"","family":"Nørgaard","given":"Martin Agge","non-dropping-particle":"","parse-names":false,"suffix":""},{"dropping-particle":"","family":"Bæch","given":"John","non-dropping-particle":"","parse-names":false,"suffix":""},{"dropping-particle":"","family":"Grønholdt","given":"Marie-Louise","non-dropping-particle":"","parse-names":false,"suffix":""},{"dropping-particle":"","family":"Jensen","given":"Frank Svendsen","non-dropping-particle":"","parse-names":false,"suffix":""},{"dropping-particle":"","family":"Johansen","given":"Preben","non-dropping-particle":"","parse-names":false,"suffix":""},{"dropping-particle":"","family":"Bødker","given":"Julie Støve","non-dropping-particle":"","parse-names":false,"suffix":""},{"dropping-particle":"","family":"Bøgsted","given":"Martin","non-dropping-particle":"","parse-names":false,"suffix":""},{"dropping-particle":"","family":"Dybkær","given":"Karen","non-dropping-particle":"","parse-names":false,"suffix":""},{"dropping-particle":"","family":"(Mscnet)","given":"for the Myeloma Stem Cell Network","non-dropping-particle":"","parse-names":false,"suffix":""}],"container-title":"Leukemia &amp; Lymphoma","id":"ITEM-1","issue":"6","issued":{"date-parts":[["2014","11","1"]]},"page":"1251-1260","publisher":"Taylor &amp; Francis","title":"Cell of origin associated classification of B-cell malignancies by gene signatures of the normal B-cell hierarchy","type":"article-journal","volume":"55"},"uris":["http://www.mendeley.com/documents/?uuid=5bf377a8-d2cc-46ad-ad0e-df7caf39ce06"]},{"id":"ITEM-2","itemData":{"DOI":"10.1309/AJCPDQNP2U5DZHVV","ISSN":"1943-7722","PMID":"22095383","abstract":"The purpose of this study was to establish a procedure capable of isolating distinct B-cell subpopulations from human tonsils as a basis for subsequent molecular analyses. Overall, 5 distinct B-cell subpopulations were purified from fresh tonsils based on their fluorescence surface marker expression: naive B cells, centroblasts, centrocytes, memory B cells, and plasmablasts. The immunophenotypic identity of the subpopulations was verified by quantitative real-time reverse transcriptase-polymerase chain reaction using the proliferation marker MKI-67 and 6 B-cell-associated differentiation markers (BACH2, BCL6, PAX5, IRF4, PRDM1, and XBP1). Furthermore, within the centroblast compartment, large and small centroblasts could be distinguished and large centroblasts were shown to proliferate with a morphologic appearance of a \"centroblast\"-like cell but with lower gene expression of the germinal center markers BCL6 and BACH2 vs small centroblasts. This study has established a detailed and fast procedure for simultaneous sorting of up to 5 distinct maturation-associated B-cell subpopulations from human tonsils.","author":[{"dropping-particle":"","family":"Kjeldsen","given":"Malene Krag","non-dropping-particle":"","parse-names":false,"suffix":""},{"dropping-particle":"","family":"Perez-Andres","given":"Martin","non-dropping-particle":"","parse-names":false,"suffix":""},{"dropping-particle":"","family":"Schmitz","given":"Alexander","non-dropping-particle":"","parse-names":false,"suffix":""},{"dropping-particle":"","family":"Johansen","given":"Preben","non-dropping-particle":"","parse-names":false,"suffix":""},{"dropping-particle":"","family":"Boegsted","given":"Martin","non-dropping-particle":"","parse-names":false,"suffix":""},{"dropping-particle":"","family":"Nyegaard","given":"Mette","non-dropping-particle":"","parse-names":false,"suffix":""},{"dropping-particle":"","family":"Gaihede","given":"Michael","non-dropping-particle":"","parse-names":false,"suffix":""},{"dropping-particle":"","family":"Bukh","given":"Anne","non-dropping-particle":"","parse-names":false,"suffix":""},{"dropping-particle":"","family":"Johnsen","given":"Hans Erik","non-dropping-particle":"","parse-names":false,"suffix":""},{"dropping-particle":"","family":"Orfao","given":"Alberto","non-dropping-particle":"","parse-names":false,"suffix":""},{"dropping-particle":"","family":"Dybkær","given":"Karen","non-dropping-particle":"","parse-names":false,"suffix":""}],"container-title":"American journal of clinical pathology","id":"ITEM-2","issue":"6","issued":{"date-parts":[["2011","12"]]},"page":"960-9","title":"Multiparametric flow cytometry for identification and fluorescence activated cell sorting of five distinct B-cell subpopulations in normal tonsil tissue.","type":"article-journal","volume":"136"},"uris":["http://www.mendeley.com/documents/?uuid=a0817f47-475a-4032-9910-9ec3d864825c"]},{"id":"ITEM-3","itemData":{"DOI":"10.1186/1471-2172-15-3","ISSN":"1471-2172","abstract":"BACKGROUND:This report describes a method for the generation of global gene expression profiles from low frequent B-cell subsets by using fluorescence-activated cell sorting and RNA amplification. However, some of the differentiating compartments involve a low number of cells and therefore it is important to optimize and validate each step in the procedure.METHODS:Normal lymphoid tissues from blood, tonsils, thymus and bone marrow were immunophenotyped by the 8-colour Euroflow panel using multiparametric flow cytometry. Subsets of B-cells containing cell numbers ranging from 800 to 33,000 and with frequencies varying between 0.1 and 10 percent were sorted, subjected to mRNA purification, amplified by the NuGEN protocol and finally analysed by the Affymetrix platform.RESULTS:Following a step by step strategy, each step in the workflow was validated and the sorting/storage conditions optimized as described in this report. First, an analysis of four cancer cell lines on Affymetrix arrays, using either 100 ng RNA labelled with the Ambion standard protocol or 1 ng RNA amplified and labelled by the NuGEN protocol, revealed a significant correlation of gene expressions (r &gt;= 0.9 for all). Comparison of qPCR data in samples with or without amplification for 8 genes showed that a relative difference between six cell lines was preserved (r &gt;= 0.9). Second, a comparison of cells sorted into PrepProtect, RNAlater or directly into lysis/binding buffer showed a higher yield of purified mRNA following storage in lysis/binding buffer (p &lt; 0.001). Third, the identity of the B-cell subsets validated by the cluster of differentiation (CD) membrane profile was highly concordant with the transcriptional gene expression (p-values &lt;0.001). Finally, in normal bone marrow and tonsil samples, eight evaluated genes were expressed in accordance with the biology of lymphopoiesis (p-values &lt; 0.001), which enabled the generation of a gene-specific B-cell atlas.CONCLUSION:A description of the implementation and validation of commercially available kits in the laboratory has been examined. This included steps for cell sorting, cell lysis/stabilization, RNA isolation, RNA concentration and amplification for microarray analysis. The workflow described in this report will enable the generation of microarray data from minor sorted B-cell subsets.","author":[{"dropping-particle":"","family":"Bergkvist","given":"Kim Steve","non-dropping-particle":"","parse-names":false,"suffix":""},{"dropping-particle":"","family":"Nyegaard","given":"Mette","non-dropping-particle":"","parse-names":false,"suffix":""},{"dropping-particle":"","family":"Bøgsted","given":"Martin","non-dropping-particle":"","parse-names":false,"suffix":""},{"dropping-particle":"","family":"Schmitz","given":"Alexander","non-dropping-particle":"","parse-names":false,"suffix":""},{"dropping-particle":"","family":"Bødker","given":"Julie Støve","non-dropping-particle":"","parse-names":false,"suffix":""},{"dropping-particle":"","family":"Rasmussen","given":"Simon Mylius","non-dropping-particle":"","parse-names":false,"suffix":""},{"dropping-particle":"","family":"Perez-Andres","given":"Martin","non-dropping-particle":"","parse-names":false,"suffix":""},{"dropping-particle":"","family":"Falgreen","given":"Steffen","non-dropping-particle":"","parse-names":false,"suffix":""},{"dropping-particle":"","family":"Bilgrau","given":"Anders Ellern","non-dropping-particle":"","parse-names":false,"suffix":""},{"dropping-particle":"","family":"Kjeldsen","given":"Malene Krag","non-dropping-particle":"","parse-names":false,"suffix":""},{"dropping-particle":"","family":"Gaihede","given":"Michael","non-dropping-particle":"","parse-names":false,"suffix":""},{"dropping-particle":"","family":"Nørgaard","given":"Martin Agge","non-dropping-particle":"","parse-names":false,"suffix":""},{"dropping-particle":"","family":"Bæch","given":"John","non-dropping-particle":"","parse-names":false,"suffix":""},{"dropping-particle":"","family":"Grønholdt","given":"Marie-Louise","non-dropping-particle":"","parse-names":false,"suffix":""},{"dropping-particle":"","family":"Jensen","given":"Frank Svendsen","non-dropping-particle":"","parse-names":false,"suffix":""},{"dropping-particle":"","family":"Johansen","given":"Preben","non-dropping-particle":"","parse-names":false,"suffix":""},{"dropping-particle":"","family":"Dybkær","given":"Karen","non-dropping-particle":"","parse-names":false,"suffix":""},{"dropping-particle":"","family":"Johnsen","given":"Hans Erik","non-dropping-particle":"","parse-names":false,"suffix":""}],"container-title":"BMC Immunology","id":"ITEM-3","issue":"1","issued":{"date-parts":[["2014"]]},"page":"3","title":"Validation and implementation of a method for microarray gene expression profiling of minor B-cell subpopulations in man","type":"article-journal","volume":"15"},"uris":["http://www.mendeley.com/documents/?uuid=3e56c3f6-2bc7-493b-b98b-5744c219622e"]},{"id":"ITEM-4","itemData":{"DOI":"10.1002/cyto.b.21192","ISSN":"15524957","PMID":"25327569","abstract":"BACKGROUND: Cryopreservation is an acknowledged procedure to store vital cells for future biomarker analyses. Few studies, however, have analyzed the impact of the cryopreservation on phenotyping.\\n\\nMETHODS: We have performed a controlled comparison of cryopreserved and fresh cellular aliquots prepared from individual healthy donors. We studied circulating B-cell subset membrane markers and global gene expression, respectively by multiparametric flow cytometry and microarray data. Extensive statistical analysis of the generated data tested the concept that \"overall, there are no phenotypic differences between cryopreserved and fresh B-cell subsets.\" Subsequently, we performed an uncontrolled comparison of tonsil tissue samples.\\n\\nRESULTS: By multiparametric flow analysis, we documented no significant changes following cryopreservation of subset frequencies or membrane intensity for the differentiation markers CD19, CD20, CD22, CD27, CD38, CD45, and CD200. By gene expression profiling following cryopreservation, across all samples, only 16 out of 18708 genes were significantly up or down regulated, including FOSB, KLF4, RBP7, ANXA1 or CLC, DEFA3, respectively. Implementation of cryopreserved tissue in our research program allowed us to present a performance analysis, by comparing cryopreserved and fresh tonsil tissue. As expected, phenotypic differences were identified, but to an extent that did not affect the performance of the cryopreserved tissue to generate specific B-cell subset associated gene signatures and assign subset phenotypes to independent tissue samples.\\n\\nCONCLUSIONS: We have confirmed our working concept and illustrated the usefulness of vital cryopreserved cell suspensions for phenotypic studies of the normal B-cell hierarchy; however, storage procedures need to be delineated by tissue-specific comparative analysis. © 2014 International Clinical Cytometry Society.","author":[{"dropping-particle":"","family":"Rasmussen","given":"Simon Mylius","non-dropping-particle":"","parse-names":false,"suffix":""},{"dropping-particle":"","family":"Bilgrau","given":"Anders Ellern","non-dropping-particle":"","parse-names":false,"suffix":""},{"dropping-particle":"","family":"Schmitz","given":"Alexander","non-dropping-particle":"","parse-names":false,"suffix":""},{"dropping-particle":"","family":"Falgreen","given":"Steffen","non-dropping-particle":"","parse-names":false,"suffix":""},{"dropping-particle":"","family":"Bergkvist","given":"Kim Steve","non-dropping-particle":"","parse-names":false,"suffix":""},{"dropping-particle":"","family":"Tramm","given":"Anette Mai","non-dropping-particle":"","parse-names":false,"suffix":""},{"dropping-particle":"","family":"Bæch","given":"John","non-dropping-particle":"","parse-names":false,"suffix":""},{"dropping-particle":"","family":"Jacobsen","given":"Chris Ladefoged","non-dropping-particle":"","parse-names":false,"suffix":""},{"dropping-particle":"","family":"Gaihede","given":"Michael","non-dropping-particle":"","parse-names":false,"suffix":""},{"dropping-particle":"","family":"Kjeldsen","given":"Malene Krag","non-dropping-particle":"","parse-names":false,"suffix":""},{"dropping-particle":"","family":"Bødker","given":"Julie Støve","non-dropping-particle":"","parse-names":false,"suffix":""},{"dropping-particle":"","family":"Dybkær","given":"Karen","non-dropping-particle":"","parse-names":false,"suffix":""},{"dropping-particle":"","family":"Bøgsted","given":"Martin","non-dropping-particle":"","parse-names":false,"suffix":""},{"dropping-particle":"","family":"Johnsen","given":"Hans Erik","non-dropping-particle":"","parse-names":false,"suffix":""}],"container-title":"Cytometry Part B - Clinical Cytometry","id":"ITEM-4","issue":"1","issued":{"date-parts":[["2015"]]},"page":"40-49","title":"Stable phenotype of B-cell subsets following cryopreservation and thawing of normal human lymphocytes stored in a tissue biobank","type":"article-journal","volume":"88"},"uris":["http://www.mendeley.com/documents/?uuid=cceea7a5-b2de-4c89-9a95-569431553279"]}],"mendeley":{"formattedCitation":"&lt;sup&gt;39–42&lt;/sup&gt;","plainTextFormattedCitation":"39–42","previouslyFormattedCitation":"&lt;sup&gt;39–42&lt;/sup&gt;"},"properties":{"noteIndex":0},"schema":"https://github.com/citation-style-language/schema/raw/master/csl-citation.json"}</w:instrText>
      </w:r>
      <w:r w:rsidR="000E6200"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39–42</w:t>
      </w:r>
      <w:r w:rsidR="000E6200" w:rsidRPr="00B6133E">
        <w:rPr>
          <w:rFonts w:ascii="Times New Roman" w:hAnsi="Times New Roman" w:cs="Times New Roman"/>
          <w:lang w:val="en-US"/>
        </w:rPr>
        <w:fldChar w:fldCharType="end"/>
      </w:r>
      <w:r w:rsidRPr="00B6133E">
        <w:rPr>
          <w:rFonts w:ascii="Times New Roman" w:hAnsi="Times New Roman" w:cs="Times New Roman"/>
          <w:lang w:val="en-US"/>
        </w:rPr>
        <w:t>. These subsets can be profiled and by proper statis</w:t>
      </w:r>
      <w:r w:rsidR="003F390A" w:rsidRPr="00B6133E">
        <w:rPr>
          <w:rFonts w:ascii="Times New Roman" w:hAnsi="Times New Roman" w:cs="Times New Roman"/>
          <w:lang w:val="en-US"/>
        </w:rPr>
        <w:t xml:space="preserve">tical modeling </w:t>
      </w:r>
      <w:r w:rsidRPr="00B6133E">
        <w:rPr>
          <w:rFonts w:ascii="Times New Roman" w:hAnsi="Times New Roman" w:cs="Times New Roman"/>
          <w:lang w:val="en-US"/>
        </w:rPr>
        <w:t>define specific B-cell associated gene signa</w:t>
      </w:r>
      <w:r w:rsidR="00694D75" w:rsidRPr="00B6133E">
        <w:rPr>
          <w:rFonts w:ascii="Times New Roman" w:hAnsi="Times New Roman" w:cs="Times New Roman"/>
          <w:lang w:val="en-US"/>
        </w:rPr>
        <w:t>tures (BAGS), recently introduced</w:t>
      </w:r>
      <w:r w:rsidR="00C0580C" w:rsidRPr="00B6133E">
        <w:rPr>
          <w:rFonts w:ascii="Times New Roman" w:hAnsi="Times New Roman" w:cs="Times New Roman"/>
          <w:lang w:val="en-US"/>
        </w:rPr>
        <w:t xml:space="preserve"> for DLBCL</w:t>
      </w:r>
      <w:r w:rsidR="000E6200"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{"citationItems":[{"id":"ITEM-1","itemData":{"DOI":"10.1200/JCO.2014.57.7080","ISSN":"1527-7755","PMID":"25800755","abstract":"PURPOSE Current diagnostic tests for diffuse large B-cell lymphoma use the updated WHO criteria based on biologic, morphologic, and clinical heterogeneity. We propose a refined classification system based on subset-specific B-cell-associated gene signatures (BAGS) in the normal B-cell hierarchy, hypothesizing that it can provide new biologic insight and diagnostic and prognostic value. PATIENTS AND METHODS We combined fluorescence-activated cell sorting, gene expression profiling, and statistical modeling to generate BAGS for naive, centrocyte, centroblast, memory, and plasmablast B cells from normal human tonsils. The impact of BAGS-assigned subtyping was analyzed using five clinical cohorts (treated with cyclophosphamide, doxorubicin, vincristine, and prednisone [CHOP], n = 270; treated with rituximab plus CHOP [R-CHOP], n = 869) gathered across geographic regions, time eras, and sampling methods. The analysis estimated subtype frequencies and drug-specific resistance and included a prognostic meta-analysis of patients treated with first-line R-CHOP therapy. RESULTS Similar BAGS subtype frequencies were assigned across 1,139 samples from five different cohorts. Among R-CHOP-treated patients, BAGS assignment was significantly associated with overall survival and progression-free survival within the germinal center B-cell-like subclass; the centrocyte subtype had a superior prognosis compared with the centroblast subtype. In agreement with the observed therapeutic outcome, centrocyte subtypes were estimated as being less resistant than the centroblast subtype to doxorubicin and vincristine. The centroblast subtype had a complex genotype, whereas the centrocyte subtype had high TP53 mutation and insertion/deletion frequencies and expressed LMO2, CD58, and stromal-1-signature and major histocompatibility complex class II-signature genes, which are known to have a positive impact on prognosis. CONCLUSION Further development of a diagnostic platform using BAGS-assigned subtypes may allow pathogenetic studies to improve disease management.","author":[{"dropping-particle":"","family":"Dybkær","given":"Karen","non-dropping-particle":"","parse-names":false,"suffix":""},{"dropping-particle":"","family":"Bøgsted","given":"Martin","non-dropping-particle":"","parse-names":false,"suffix":""},{"dropping-particle":"","family":"Falgreen","given":"Steffen","non-dropping-particle":"","parse-names":false,"suffix":""},{"dropping-particle":"","family":"Bødker","given":"Julie S","non-dropping-particle":"","parse-names":false,"suffix":""},{"dropping-particle":"","family":"Kjeldsen","given":"Malene K","non-dropping-particle":"","parse-names":false,"suffix":""},{"dropping-particle":"","family":"Schmitz","given":"Alexander","non-dropping-particle":"","parse-names":false,"suffix":""},{"dropping-particle":"","family":"Bilgrau","given":"Anders E","non-dropping-particle":"","parse-names":false,"suffix":""},{"dropping-particle":"","family":"Xu-Monette","given":"Zijun Y","non-dropping-particle":"","parse-names":false,"suffix":""},{"dropping-particle":"","family":"Li","given":"Ling","non-dropping-particle":"","parse-names":false,"suffix":""},{"dropping-particle":"","family":"Bergkvist","given":"Kim S","non-dropping-particle":"","parse-names":false,"suffix":""},{"dropping-particle":"","family":"Laursen","given":"Maria B","non-dropping-particle":"","parse-names":false,"suffix":""},{"dropping-particle":"","family":"Rodrigo-Domingo","given":"Maria","non-dropping-particle":"","parse-names":false,"suffix":""},{"dropping-particle":"","family":"Marques","given":"Sara C","non-dropping-particle":"","parse-names":false,"suffix":""},{"dropping-particle":"","family":"Rasmussen","given":"Sophie B","non-dropping-particle":"","parse-names":false,"suffix":""},{"dropping-particle":"","family":"Nyegaard","given":"Mette","non-dropping-particle":"","parse-names":false,"suffix":""},{"dropping-particle":"","family":"Gaihede","given":"Michael","non-dropping-particle":"","parse-names":false,"suffix":""},{"dropping-particle":"","family":"Møller","given":"Michael B","non-dropping-particle":"","parse-names":false,"suffix":""},{"dropping-particle":"","family":"Samworth","given":"Richard J","non-dropping-particle":"","parse-names":false,"suffix":""},{"dropping-particle":"","family":"Shah","given":"Rajen D","non-dropping-particle":"","parse-names":false,"suffix":""},{"dropping-particle":"","family":"Johansen","given":"Preben","non-dropping-particle":"","parse-names":false,"suffix":""},{"dropping-particle":"","family":"El-Galaly","given":"Tarec C","non-dropping-particle":"","parse-names":false,"suffix":""},{"dropping-particle":"","family":"Young","given":"Ken H","non-dropping-particle":"","parse-names":false,"suffix":""},{"dropping-particle":"","family":"Johnsen","given":"Hans E","non-dropping-particle":"","parse-names":false,"suffix":""}],"container-title":"Journal of clinical oncology : official journal of the American Society of Clinical Oncology","id":"ITEM-1","issue":"12","issued":{"date-parts":[["2015","4","20"]]},"page":"1379-88","title":"Diffuse large B-cell lymphoma classification system that associates normal B-cell subset phenotypes with prognosis.","type":"article-journal","volume":"33"},"uris":["http://www.mendeley.com/documents/?uuid=ee3e0e2d-6dba-4e39-84a7-892cf5b369cf"]},{"id":"ITEM-2","itemData":{"DOI":"10.1016/j.exphem.2016.06.001","ISSN":"18732399","PMID":"27297329","abstract":"The rare memory B cells in thymus (Thy) are considered the cells of origin for primary mediastinal large B-cell lymphoma. The objectives of the present study were to characterize the normal memory B-cell compartment in Thy and to support its association with primary mediastinal B-cell lymphoma. Seven paired human tissue samples from Thy and sternum bone marrow (BM) were harvested during cardiac surgery. B-cell subsets were phenotyped by Euroflow standard and fluorescence-activated cell sorting for microarray analysis on the Human Exon 1.0 ST Arrays platform. Differentially expressed genes between Thy and BM memory B cells were identified and correlated with the molecular subclasses of diffuse large B-cell lymphoma. Within Thy, 4% (median; range 2%–14%) of the CD45+ hematopoietic cells were CD19+ B cells, with a major fraction being CD27+/CD38– memory B cells (median 80%, range 76%–93%). The BM contained 14% (median; range 3%–27%), of which only a minor fraction (median 5%, range 2%–10%) were memory B cells. Global gene expression analysis of the memory B-cell subsets from the two compartments identified 133 genes upregulated in Thy, including AICDA, REL, STAT1, TNF family, SLAMF1, CD80, and CD86. In addition, exons 4 and 5 in the 3′ end of AICDA were more highly expressed in Thy than in BM. The Thy memory B-cell gene profile was overexpressed in primary mediastinal B-cell lymphoma compared with other diffuse large B-cell lymphoma subclasses. The present study describes a Thy memory B-cell subset and its gene profile correlated with primary mediastinal B-cell lymphomas, suggesting origin from Thy memory B cells.","author":[{"dropping-particle":"","family":"Bergkvist","given":"Kim Steve","non-dropping-particle":"","parse-names":false,"suffix":""},{"dropping-particle":"","family":"Nørgaard","given":"Martin Agge","non-dropping-particle":"","parse-names":false,"suffix":""},{"dropping-particle":"","family":"Bøgsted","given":"Martin","non-dropping-particle":"","parse-names":false,"suffix":""},{"dropping-particle":"","family":"Schmitz","given":"Alexander","non-dropping-particle":"","parse-names":false,"suffix":""},{"dropping-particle":"","family":"Nyegaard","given":"Mette","non-dropping-particle":"","parse-names":false,"suffix":""},{"dropping-particle":"","family":"Gaihede","given":"Michael","non-dropping-particle":"","parse-names":false,"suffix":""},{"dropping-particle":"","family":"Bæch","given":"John","non-dropping-particle":"","parse-names":false,"suffix":""},{"dropping-particle":"","family":"Grønholdt","given":"Marie Louise","non-dropping-particle":"","parse-names":false,"suffix":""},{"dropping-particle":"","family":"Jensen","given":"Frank Svendsen","non-dropping-particle":"","parse-names":false,"suffix":""},{"dropping-particle":"","family":"Johansen","given":"Preben","non-dropping-particle":"","parse-names":false,"suffix":""},{"dropping-particle":"","family":"Urup","given":"Thomas","non-dropping-particle":"","parse-names":false,"suffix":""},{"dropping-particle":"","family":"El-Galaly","given":"Tarec C.","non-dropping-particle":"","parse-names":false,"suffix":""},{"dropping-particle":"","family":"Madsen","given":"Jakob","non-dropping-particle":"","parse-names":false,"suffix":""},{"dropping-particle":"","family":"Bødker","given":"Julie Støve","non-dropping-particle":"","parse-names":false,"suffix":""},{"dropping-particle":"","family":"Dybkær","given":"Karen","non-dropping-particle":"","parse-names":false,"suffix":""},{"dropping-particle":"","family":"Johnsen","given":"Hans Erik","non-dropping-particle":"","parse-names":false,"suffix":""}],"container-title":"Experimental Hematology","id":"ITEM-2","issue":"10","issued":{"date-parts":[["2016","10"]]},"page":"982-990.e11","publisher":"ISEH - International Society for Experimental Hematology","title":"Characterization of memory B cells from thymus and its impact for DLBCL classification","type":"article-journal","volume":"44"},"uris":["http://www.mendeley.com/documents/?uuid=58e9bd17-32fc-476d-a5f4-196f2d41bf26"]},{"id":"ITEM-3","itemData":{"DOI":"10.1182/bloodadvances.2018017988","ISSN":"2473-9537","PMID":"29967255","author":[{"dropping-particle":"","family":"Michaelsen","given":"Thomas Yssing","non-dropping-particle":"","parse-names":false,"suffix":""},{"dropping-particle":"","family":"Richter","given":"Julia","non-dropping-particle":"","parse-names":false,"suffix":""},{"dropping-particle":"","family":"Brøndum","given":"Rasmus Froberg","non-dropping-particle":"","parse-names":false,"suffix":""},{"dropping-particle":"","family":"Klapper","given":"Wolfram","non-dropping-particle":"","parse-names":false,"suffix":""},{"dropping-particle":"","family":"Johnsen","given":"Hans Erik","non-dropping-particle":"","parse-names":false,"suffix":""},{"dropping-particle":"","family":"Albertsen","given":"Mads","non-dropping-particle":"","parse-names":false,"suffix":""},{"dropping-particle":"","family":"Dybkær","given":"Karen","non-dropping-particle":"","parse-names":false,"suffix":""},{"dropping-particle":"","family":"Bøgsted","given":"Martin","non-dropping-particle":"","parse-names":false,"suffix":""}],"container-title":"Under review in Blood Advances","id":"ITEM-3","issue":"13","issued":{"date-parts":[["2019"]]},"page":"1542-1546","title":"A B-cell-associated gene signature classification of Diffuse Large B-cell Lymphoma by the NanoString technology","type":"article-journal","volume":"2"},"uris":["http://www.mendeley.com/documents/?uuid=b3e4bb6d-ba1b-41ef-b2f7-14945b5c9e27"]}],"mendeley":{"formattedCitation":"&lt;sup&gt;43–45&lt;/sup&gt;","plainTextFormattedCitation":"43–45","previouslyFormattedCitation":"&lt;sup&gt;43–45&lt;/sup&gt;"},"properties":{"noteIndex":0},"schema":"https://github.com/citation-style-language/schema/raw/master/csl-citation.json"}</w:instrText>
      </w:r>
      <w:r w:rsidR="000E6200" w:rsidRPr="00B6133E">
        <w:rPr>
          <w:rFonts w:ascii="Times New Roman" w:hAnsi="Times New Roman" w:cs="Times New Roman"/>
          <w:lang w:val="en-US"/>
        </w:rPr>
        <w:fldChar w:fldCharType="separate"/>
      </w:r>
      <w:r w:rsidR="00D47A51" w:rsidRPr="00B6133E">
        <w:rPr>
          <w:rFonts w:ascii="Times New Roman" w:hAnsi="Times New Roman" w:cs="Times New Roman"/>
          <w:noProof/>
          <w:vertAlign w:val="superscript"/>
          <w:lang w:val="en-US"/>
        </w:rPr>
        <w:t>43–45</w:t>
      </w:r>
      <w:r w:rsidR="000E6200" w:rsidRPr="00B6133E">
        <w:rPr>
          <w:rFonts w:ascii="Times New Roman" w:hAnsi="Times New Roman" w:cs="Times New Roman"/>
          <w:lang w:val="en-US"/>
        </w:rPr>
        <w:fldChar w:fldCharType="end"/>
      </w:r>
      <w:r w:rsidRPr="00B6133E">
        <w:rPr>
          <w:rFonts w:ascii="Times New Roman" w:hAnsi="Times New Roman" w:cs="Times New Roman"/>
          <w:lang w:val="en-US"/>
        </w:rPr>
        <w:t xml:space="preserve">. Here we have applied BAGS </w:t>
      </w:r>
      <w:r w:rsidR="003F390A" w:rsidRPr="00B6133E">
        <w:rPr>
          <w:rFonts w:ascii="Times New Roman" w:hAnsi="Times New Roman" w:cs="Times New Roman"/>
          <w:lang w:val="en-US"/>
        </w:rPr>
        <w:t>from normal BM</w:t>
      </w:r>
      <w:r w:rsidR="00B643E3" w:rsidRPr="00B6133E">
        <w:rPr>
          <w:rFonts w:ascii="Times New Roman" w:hAnsi="Times New Roman" w:cs="Times New Roman"/>
          <w:lang w:val="en-US"/>
        </w:rPr>
        <w:t xml:space="preserve"> subsets to assign individual MM</w:t>
      </w:r>
      <w:r w:rsidR="00157BD0" w:rsidRPr="00B6133E">
        <w:rPr>
          <w:rFonts w:ascii="Times New Roman" w:hAnsi="Times New Roman" w:cs="Times New Roman"/>
          <w:lang w:val="en-US"/>
        </w:rPr>
        <w:t xml:space="preserve"> </w:t>
      </w:r>
      <w:r w:rsidR="00157BD0" w:rsidRPr="00B6133E">
        <w:rPr>
          <w:rFonts w:ascii="Times New Roman" w:hAnsi="Times New Roman" w:cs="Times New Roman"/>
          <w:lang w:val="en-US"/>
        </w:rPr>
        <w:lastRenderedPageBreak/>
        <w:t>subtypes</w:t>
      </w:r>
      <w:r w:rsidR="008B3A4D" w:rsidRPr="00B6133E">
        <w:rPr>
          <w:rFonts w:ascii="Times New Roman" w:hAnsi="Times New Roman" w:cs="Times New Roman"/>
          <w:lang w:val="en-US"/>
        </w:rPr>
        <w:t xml:space="preserve"> </w:t>
      </w:r>
      <w:r w:rsidRPr="00B6133E">
        <w:rPr>
          <w:rFonts w:ascii="Times New Roman" w:hAnsi="Times New Roman" w:cs="Times New Roman"/>
          <w:lang w:val="en-US"/>
        </w:rPr>
        <w:t>and corr</w:t>
      </w:r>
      <w:r w:rsidR="006F41C4" w:rsidRPr="00B6133E">
        <w:rPr>
          <w:rFonts w:ascii="Times New Roman" w:hAnsi="Times New Roman" w:cs="Times New Roman"/>
          <w:lang w:val="en-US"/>
        </w:rPr>
        <w:t>elate</w:t>
      </w:r>
      <w:r w:rsidR="00590368" w:rsidRPr="00B6133E">
        <w:rPr>
          <w:rFonts w:ascii="Times New Roman" w:hAnsi="Times New Roman" w:cs="Times New Roman"/>
          <w:lang w:val="en-US"/>
        </w:rPr>
        <w:t xml:space="preserve"> </w:t>
      </w:r>
      <w:r w:rsidR="00143C96" w:rsidRPr="00B6133E">
        <w:rPr>
          <w:rFonts w:ascii="Times New Roman" w:hAnsi="Times New Roman" w:cs="Times New Roman"/>
          <w:lang w:val="en-US"/>
        </w:rPr>
        <w:t xml:space="preserve">them with </w:t>
      </w:r>
      <w:r w:rsidR="00590368" w:rsidRPr="00B6133E">
        <w:rPr>
          <w:rFonts w:ascii="Times New Roman" w:hAnsi="Times New Roman" w:cs="Times New Roman"/>
          <w:lang w:val="en-US"/>
        </w:rPr>
        <w:t>prognosis</w:t>
      </w:r>
      <w:r w:rsidR="006F41C4" w:rsidRPr="00B6133E">
        <w:rPr>
          <w:rFonts w:ascii="Times New Roman" w:hAnsi="Times New Roman" w:cs="Times New Roman"/>
          <w:lang w:val="en-US"/>
        </w:rPr>
        <w:t xml:space="preserve"> </w:t>
      </w:r>
      <w:r w:rsidR="00A54BF8" w:rsidRPr="00B6133E">
        <w:rPr>
          <w:rFonts w:ascii="Times New Roman" w:hAnsi="Times New Roman" w:cs="Times New Roman"/>
          <w:lang w:val="en-US"/>
        </w:rPr>
        <w:t xml:space="preserve">to </w:t>
      </w:r>
      <w:r w:rsidR="00C30993" w:rsidRPr="00B6133E">
        <w:rPr>
          <w:rFonts w:ascii="Times New Roman" w:hAnsi="Times New Roman" w:cs="Times New Roman"/>
          <w:lang w:val="en-US"/>
        </w:rPr>
        <w:t>delineate their</w:t>
      </w:r>
      <w:r w:rsidR="00705E52" w:rsidRPr="00B6133E">
        <w:rPr>
          <w:rFonts w:ascii="Times New Roman" w:hAnsi="Times New Roman" w:cs="Times New Roman"/>
          <w:lang w:val="en-US"/>
        </w:rPr>
        <w:t xml:space="preserve"> </w:t>
      </w:r>
      <w:proofErr w:type="spellStart"/>
      <w:r w:rsidR="00705E52" w:rsidRPr="00B6133E">
        <w:rPr>
          <w:rFonts w:ascii="Times New Roman" w:hAnsi="Times New Roman" w:cs="Times New Roman"/>
          <w:lang w:val="en-US"/>
        </w:rPr>
        <w:t>pathogenetic</w:t>
      </w:r>
      <w:proofErr w:type="spellEnd"/>
      <w:r w:rsidR="00705E52" w:rsidRPr="00B6133E">
        <w:rPr>
          <w:rFonts w:ascii="Times New Roman" w:hAnsi="Times New Roman" w:cs="Times New Roman"/>
          <w:lang w:val="en-US"/>
        </w:rPr>
        <w:t xml:space="preserve"> impact</w:t>
      </w:r>
      <w:r w:rsidRPr="00B6133E">
        <w:rPr>
          <w:rFonts w:ascii="Times New Roman" w:hAnsi="Times New Roman" w:cs="Times New Roman"/>
          <w:lang w:val="en-US"/>
        </w:rPr>
        <w:t>.</w:t>
      </w:r>
      <w:bookmarkStart w:id="2" w:name="_Toc298746778"/>
      <w:bookmarkEnd w:id="1"/>
      <w:r w:rsidR="00B23F8C" w:rsidRPr="00B6133E">
        <w:rPr>
          <w:rFonts w:ascii="Times New Roman" w:hAnsi="Times New Roman" w:cs="Times New Roman"/>
          <w:lang w:val="en-US"/>
        </w:rPr>
        <w:br w:type="page"/>
      </w:r>
    </w:p>
    <w:p w14:paraId="7C512CCD" w14:textId="58D53245" w:rsidR="00E93B4C" w:rsidRPr="00B6133E" w:rsidRDefault="00E93B4C" w:rsidP="00B6133E">
      <w:pPr>
        <w:pStyle w:val="Overskrift2"/>
      </w:pPr>
      <w:r w:rsidRPr="00B6133E">
        <w:lastRenderedPageBreak/>
        <w:t>Patients, Material</w:t>
      </w:r>
      <w:r w:rsidR="00DE49C8" w:rsidRPr="00B6133E">
        <w:t>,</w:t>
      </w:r>
      <w:r w:rsidRPr="00B6133E">
        <w:t xml:space="preserve"> and Methods</w:t>
      </w:r>
    </w:p>
    <w:p w14:paraId="57C4BE20" w14:textId="4FBD8BCE" w:rsidR="000E342D" w:rsidRPr="00B6133E" w:rsidRDefault="000E342D" w:rsidP="00B22E77">
      <w:pPr>
        <w:spacing w:before="0" w:after="0" w:line="480" w:lineRule="auto"/>
        <w:rPr>
          <w:rFonts w:ascii="Times New Roman" w:hAnsi="Times New Roman" w:cs="Times New Roman"/>
          <w:b/>
          <w:lang w:val="en-GB"/>
        </w:rPr>
      </w:pPr>
      <w:bookmarkStart w:id="3" w:name="_Toc304896363"/>
      <w:bookmarkStart w:id="4" w:name="_Toc304897996"/>
      <w:bookmarkStart w:id="5" w:name="_Toc304898454"/>
      <w:bookmarkStart w:id="6" w:name="_Toc306007828"/>
      <w:r w:rsidRPr="00B6133E">
        <w:rPr>
          <w:rFonts w:ascii="Times New Roman" w:hAnsi="Times New Roman" w:cs="Times New Roman"/>
          <w:lang w:val="en-US"/>
        </w:rPr>
        <w:t xml:space="preserve">The </w:t>
      </w:r>
      <w:r w:rsidR="007F7AB5" w:rsidRPr="00B6133E">
        <w:rPr>
          <w:rFonts w:ascii="Times New Roman" w:hAnsi="Times New Roman" w:cs="Times New Roman"/>
          <w:lang w:val="en-US"/>
        </w:rPr>
        <w:t xml:space="preserve">subtyping method based on normal BM has </w:t>
      </w:r>
      <w:r w:rsidRPr="00B6133E">
        <w:rPr>
          <w:rFonts w:ascii="Times New Roman" w:hAnsi="Times New Roman" w:cs="Times New Roman"/>
          <w:lang w:val="en-US"/>
        </w:rPr>
        <w:t xml:space="preserve">previously been </w:t>
      </w:r>
      <w:r w:rsidR="007F7AB5" w:rsidRPr="00B6133E">
        <w:rPr>
          <w:rFonts w:ascii="Times New Roman" w:hAnsi="Times New Roman" w:cs="Times New Roman"/>
          <w:lang w:val="en-US"/>
        </w:rPr>
        <w:t xml:space="preserve">briefly outlined </w:t>
      </w:r>
      <w:r w:rsidRPr="00B6133E">
        <w:rPr>
          <w:rFonts w:ascii="Times New Roman" w:hAnsi="Times New Roman" w:cs="Times New Roman"/>
          <w:lang w:val="en-US"/>
        </w:rPr>
        <w:t>in Nørgaard et al.</w:t>
      </w:r>
      <w:r w:rsidR="000C6F5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{"citationItems":[{"id":"ITEM-1","itemData":{"DOI":"10.1371/journal.pone.0193249","ISSN":"1932-6203","abstract":"Diagnostic and prognostic evaluation of chronic lymphocytic leukemia (CLL) involves blood cell counts, immunophenotyping, IgVH mutation status, and cytogenetic analyses. We generated B-cell associated gene-signatures (BAGS) based on six naturally occurring B-cell subsets within normal bone marrow. Our hypothesis is that by segregating CLL according to BAGS, we can identify subtypes with prognostic implications in support of pathogenetic value of BAGS. Microarray-based gene-expression samples from eight independent CLL cohorts (1,024 untreated patients) were BAGS-stratified into pre-BI, pre-BII, immature, naïve, memory, or plasma cell subtypes; the majority falling within the memory (24.5–45.8%) or naïve (14.5–32.3%) categories. For a subset of CLL patients (n = 296), time to treatment (TTT) was shorter amongst early differentiation subtypes (pre-BI/pre-BII/immature) compared to late subtypes (memory/plasma cell, HR: 0.53 [0.35–0.78]). Particularly, pre-BII subtype patients had the shortest TTT among all subtypes. Correlates derived for BAGS subtype and IgVH mutation (n = 405) revealed an elevated mutation frequency in late vs. early subtypes (71% vs. 45%, P &lt; .001). Predictions for BAGS subtype resistance towards rituximab and cyclophosphamide varied for rituximab, whereas all subtypes were sensitive to cyclophosphamide. This study supports our hypothesis that BAGS-subtyping may be of tangible prognostic and pathogenetic value for CLL patients.","author":[{"dropping-particle":"","family":"Nørgaard","given":"Caroline Holm","non-dropping-particle":"","parse-names":false,"suffix":""},{"dropping-particle":"","family":"Jakobsen","given":"Lasse Hjort","non-dropping-particle":"","parse-names":false,"suffix":""},{"dropping-particle":"","family":"Gentles","given":"Andrew J.","non-dropping-particle":"","parse-names":false,"suffix":""},{"dropping-particle":"","family":"Dybkær","given":"Karen","non-dropping-particle":"","parse-names":false,"suffix":""},{"dropping-particle":"","family":"El-Galaly","given":"Tarec Christoffer","non-dropping-particle":"","parse-names":false,"suffix":""},{"dropping-particle":"","family":"Bødker","given":"Julie Støve","non-dropping-particle":"","parse-names":false,"suffix":""},{"dropping-particle":"","family":"Schmitz","given":"Alexander","non-dropping-particle":"","parse-names":false,"suffix":""},{"dropping-particle":"","family":"Johansen","given":"Preben","non-dropping-particle":"","parse-names":false,"suffix":""},{"dropping-particle":"","family":"Herold","given":"Tobias","non-dropping-particle":"","parse-names":false,"suffix":""},{"dropping-particle":"","family":"Spiekermann","given":"Karsten","non-dropping-particle":"","parse-names":false,"suffix":""},{"dropping-particle":"","family":"Brown","given":"Jennifer R.","non-dropping-particle":"","parse-names":false,"suffix":""},{"dropping-particle":"","family":"Klitgaard","given":"Josephine L.","non-dropping-particle":"","parse-names":false,"suffix":""},{"dropping-particle":"","family":"Johnsen","given":"Hans Erik","non-dropping-particle":"","parse-names":false,"suffix":""},{"dropping-particle":"","family":"Bøgsted","given":"Martin","non-dropping-particle":"","parse-names":false,"suffix":""}],"container-title":"PLOS ONE","editor":[{"dropping-particle":"","family":"Calin","given":"George","non-dropping-particle":"","parse-names":false,"suffix":""}],"id":"ITEM-1","issue":"3","issued":{"date-parts":[["2018","3","7"]]},"page":"e0193249","publisher":"Public Library of Science","title":"Subtype assignment of CLL based on B-cell subset associated gene signatures from normal bone marrow – A proof of concept study","type":"article-journal","volume":"13"},"uris":["http://www.mendeley.com/documents/?uuid=096adb2a-7338-3f28-90de-f5f22b58c5e5"]}],"mendeley":{"formattedCitation":"&lt;sup&gt;46&lt;/sup&gt;","plainTextFormattedCitation":"46","previouslyFormattedCitation":"&lt;sup&gt;46&lt;/sup&gt;"},"properties":{"noteIndex":0},"schema":"https://github.com/citation-style-language/schema/raw/master/csl-citation.json"}</w:instrText>
      </w:r>
      <w:r w:rsidR="000C6F5F" w:rsidRPr="00B6133E">
        <w:rPr>
          <w:rFonts w:ascii="Times New Roman" w:hAnsi="Times New Roman" w:cs="Times New Roman"/>
          <w:lang w:val="en-US"/>
        </w:rPr>
        <w:fldChar w:fldCharType="separate"/>
      </w:r>
      <w:r w:rsidR="000C6F5F" w:rsidRPr="00B6133E">
        <w:rPr>
          <w:rFonts w:ascii="Times New Roman" w:hAnsi="Times New Roman" w:cs="Times New Roman"/>
          <w:noProof/>
          <w:vertAlign w:val="superscript"/>
          <w:lang w:val="en-US"/>
        </w:rPr>
        <w:t>46</w:t>
      </w:r>
      <w:r w:rsidR="000C6F5F" w:rsidRPr="00B6133E">
        <w:rPr>
          <w:rFonts w:ascii="Times New Roman" w:hAnsi="Times New Roman" w:cs="Times New Roman"/>
          <w:lang w:val="en-US"/>
        </w:rPr>
        <w:fldChar w:fldCharType="end"/>
      </w:r>
      <w:r w:rsidR="007F7AB5" w:rsidRPr="00B6133E">
        <w:rPr>
          <w:rFonts w:ascii="Times New Roman" w:hAnsi="Times New Roman" w:cs="Times New Roman"/>
          <w:lang w:val="en-US"/>
        </w:rPr>
        <w:t xml:space="preserve"> and applied to Chronic Lymphocytic Leukemia patients</w:t>
      </w:r>
      <w:r w:rsidRPr="00B6133E">
        <w:rPr>
          <w:rFonts w:ascii="Times New Roman" w:hAnsi="Times New Roman" w:cs="Times New Roman"/>
          <w:lang w:val="en-US"/>
        </w:rPr>
        <w:t>.</w:t>
      </w:r>
      <w:r w:rsidR="007F7AB5" w:rsidRPr="00B6133E">
        <w:rPr>
          <w:rFonts w:ascii="Times New Roman" w:hAnsi="Times New Roman" w:cs="Times New Roman"/>
          <w:lang w:val="en-US"/>
        </w:rPr>
        <w:t xml:space="preserve"> In this paper we will describe it in more detail </w:t>
      </w:r>
      <w:r w:rsidR="000008BB" w:rsidRPr="00B6133E">
        <w:rPr>
          <w:rFonts w:ascii="Times New Roman" w:hAnsi="Times New Roman" w:cs="Times New Roman"/>
          <w:lang w:val="en-US"/>
        </w:rPr>
        <w:t xml:space="preserve">and </w:t>
      </w:r>
      <w:r w:rsidR="007F7AB5" w:rsidRPr="00B6133E">
        <w:rPr>
          <w:rFonts w:ascii="Times New Roman" w:hAnsi="Times New Roman" w:cs="Times New Roman"/>
          <w:lang w:val="en-US"/>
        </w:rPr>
        <w:t xml:space="preserve">provide more profound quality </w:t>
      </w:r>
      <w:proofErr w:type="spellStart"/>
      <w:r w:rsidR="007F7AB5" w:rsidRPr="00B6133E">
        <w:rPr>
          <w:rFonts w:ascii="Times New Roman" w:hAnsi="Times New Roman" w:cs="Times New Roman"/>
          <w:lang w:val="en-US"/>
        </w:rPr>
        <w:t>controle</w:t>
      </w:r>
      <w:proofErr w:type="spellEnd"/>
      <w:r w:rsidR="007F7AB5" w:rsidRPr="00B6133E">
        <w:rPr>
          <w:rFonts w:ascii="Times New Roman" w:hAnsi="Times New Roman" w:cs="Times New Roman"/>
          <w:lang w:val="en-US"/>
        </w:rPr>
        <w:t xml:space="preserve"> of the normal samples.</w:t>
      </w:r>
    </w:p>
    <w:p w14:paraId="5130A8D6" w14:textId="2FD32BA0" w:rsidR="00F66CC0" w:rsidRPr="00B6133E" w:rsidRDefault="00F5281A" w:rsidP="00826CA4">
      <w:pPr>
        <w:pStyle w:val="Overskrift3"/>
        <w:rPr>
          <w:rFonts w:ascii="Times New Roman" w:hAnsi="Times New Roman" w:cs="Times New Roman"/>
        </w:rPr>
      </w:pPr>
      <w:r w:rsidRPr="00B6133E">
        <w:rPr>
          <w:rFonts w:ascii="Times New Roman" w:hAnsi="Times New Roman" w:cs="Times New Roman"/>
        </w:rPr>
        <w:t>Ethical statement</w:t>
      </w:r>
      <w:bookmarkEnd w:id="3"/>
      <w:bookmarkEnd w:id="4"/>
      <w:bookmarkEnd w:id="5"/>
      <w:bookmarkEnd w:id="6"/>
      <w:r w:rsidR="003965B0" w:rsidRPr="00B6133E">
        <w:rPr>
          <w:rFonts w:ascii="Times New Roman" w:hAnsi="Times New Roman" w:cs="Times New Roman"/>
        </w:rPr>
        <w:t xml:space="preserve"> and </w:t>
      </w:r>
      <w:r w:rsidR="00D95E80" w:rsidRPr="00B6133E">
        <w:rPr>
          <w:rFonts w:ascii="Times New Roman" w:hAnsi="Times New Roman" w:cs="Times New Roman"/>
        </w:rPr>
        <w:t>t</w:t>
      </w:r>
      <w:r w:rsidR="003965B0" w:rsidRPr="00B6133E">
        <w:rPr>
          <w:rFonts w:ascii="Times New Roman" w:hAnsi="Times New Roman" w:cs="Times New Roman"/>
        </w:rPr>
        <w:t xml:space="preserve">issue </w:t>
      </w:r>
      <w:r w:rsidR="008A45D2" w:rsidRPr="00B6133E">
        <w:rPr>
          <w:rFonts w:ascii="Times New Roman" w:hAnsi="Times New Roman" w:cs="Times New Roman"/>
        </w:rPr>
        <w:t>collection</w:t>
      </w:r>
    </w:p>
    <w:p w14:paraId="52C9F707" w14:textId="10443F7B" w:rsidR="007F5D80" w:rsidRPr="00B6133E" w:rsidRDefault="00F5281A" w:rsidP="0056769A">
      <w:pPr>
        <w:spacing w:before="0" w:after="0" w:line="480" w:lineRule="auto"/>
        <w:rPr>
          <w:rFonts w:ascii="Times New Roman" w:hAnsi="Times New Roman" w:cs="Times New Roman"/>
          <w:lang w:val="en-US"/>
        </w:rPr>
      </w:pPr>
      <w:r w:rsidRPr="00B6133E">
        <w:rPr>
          <w:rFonts w:ascii="Times New Roman" w:hAnsi="Times New Roman" w:cs="Times New Roman"/>
          <w:lang w:val="en-US"/>
        </w:rPr>
        <w:t>All normal tissue samples were collected in accordance with the research protoc</w:t>
      </w:r>
      <w:r w:rsidR="00184F2E" w:rsidRPr="00B6133E">
        <w:rPr>
          <w:rFonts w:ascii="Times New Roman" w:hAnsi="Times New Roman" w:cs="Times New Roman"/>
          <w:lang w:val="en-US"/>
        </w:rPr>
        <w:t xml:space="preserve">ol </w:t>
      </w:r>
      <w:r w:rsidRPr="00B6133E">
        <w:rPr>
          <w:rFonts w:ascii="Times New Roman" w:hAnsi="Times New Roman" w:cs="Times New Roman"/>
          <w:lang w:val="en-US"/>
        </w:rPr>
        <w:t>(</w:t>
      </w:r>
      <w:r w:rsidR="00DF0BC5" w:rsidRPr="00B6133E">
        <w:rPr>
          <w:rFonts w:ascii="Times New Roman" w:hAnsi="Times New Roman" w:cs="Times New Roman"/>
          <w:lang w:val="en-US"/>
        </w:rPr>
        <w:t xml:space="preserve">MSCNET, </w:t>
      </w:r>
      <w:r w:rsidRPr="00B6133E">
        <w:rPr>
          <w:rFonts w:ascii="Times New Roman" w:hAnsi="Times New Roman" w:cs="Times New Roman"/>
          <w:lang w:val="en-US"/>
        </w:rPr>
        <w:t>N-20080062MCH)</w:t>
      </w:r>
      <w:r w:rsidR="00184F2E" w:rsidRPr="00B6133E">
        <w:rPr>
          <w:rFonts w:ascii="Times New Roman" w:hAnsi="Times New Roman" w:cs="Times New Roman"/>
          <w:lang w:val="en-US"/>
        </w:rPr>
        <w:t xml:space="preserve"> accepted by the </w:t>
      </w:r>
      <w:r w:rsidR="005E2A47" w:rsidRPr="00B6133E">
        <w:rPr>
          <w:rFonts w:ascii="Times New Roman" w:hAnsi="Times New Roman" w:cs="Times New Roman"/>
          <w:lang w:val="en-US"/>
        </w:rPr>
        <w:t>North Denmark Region</w:t>
      </w:r>
      <w:r w:rsidR="00826CA4" w:rsidRPr="00B6133E">
        <w:rPr>
          <w:rFonts w:ascii="Times New Roman" w:hAnsi="Times New Roman" w:cs="Times New Roman"/>
          <w:lang w:val="en-US"/>
        </w:rPr>
        <w:t>al</w:t>
      </w:r>
      <w:r w:rsidR="005E2A47" w:rsidRPr="00B6133E">
        <w:rPr>
          <w:rFonts w:ascii="Times New Roman" w:hAnsi="Times New Roman" w:cs="Times New Roman"/>
          <w:lang w:val="en-US"/>
        </w:rPr>
        <w:t xml:space="preserve"> Committee on </w:t>
      </w:r>
      <w:r w:rsidR="003F7E70" w:rsidRPr="00B6133E">
        <w:rPr>
          <w:rFonts w:ascii="Times New Roman" w:hAnsi="Times New Roman" w:cs="Times New Roman"/>
          <w:lang w:val="en-US"/>
        </w:rPr>
        <w:t>Health R</w:t>
      </w:r>
      <w:r w:rsidR="005E2A47" w:rsidRPr="00B6133E">
        <w:rPr>
          <w:rFonts w:ascii="Times New Roman" w:hAnsi="Times New Roman" w:cs="Times New Roman"/>
          <w:lang w:val="en-US"/>
        </w:rPr>
        <w:t xml:space="preserve">esearch </w:t>
      </w:r>
      <w:r w:rsidR="003F7E70" w:rsidRPr="00B6133E">
        <w:rPr>
          <w:rFonts w:ascii="Times New Roman" w:hAnsi="Times New Roman" w:cs="Times New Roman"/>
          <w:lang w:val="en-US"/>
        </w:rPr>
        <w:t>E</w:t>
      </w:r>
      <w:r w:rsidR="00184F2E" w:rsidRPr="00B6133E">
        <w:rPr>
          <w:rFonts w:ascii="Times New Roman" w:hAnsi="Times New Roman" w:cs="Times New Roman"/>
          <w:lang w:val="en-US"/>
        </w:rPr>
        <w:t>thic</w:t>
      </w:r>
      <w:r w:rsidR="005E2A47" w:rsidRPr="00B6133E">
        <w:rPr>
          <w:rFonts w:ascii="Times New Roman" w:hAnsi="Times New Roman" w:cs="Times New Roman"/>
          <w:lang w:val="en-US"/>
        </w:rPr>
        <w:t>s.</w:t>
      </w:r>
      <w:r w:rsidRPr="00B6133E">
        <w:rPr>
          <w:rFonts w:ascii="Times New Roman" w:hAnsi="Times New Roman" w:cs="Times New Roman"/>
          <w:lang w:val="en-US"/>
        </w:rPr>
        <w:t xml:space="preserve"> </w:t>
      </w:r>
    </w:p>
    <w:p w14:paraId="51CBE150" w14:textId="7B33C1E2" w:rsidR="008A45D2" w:rsidRPr="00B6133E" w:rsidRDefault="00E841B4" w:rsidP="00B22E77">
      <w:pPr>
        <w:spacing w:before="0" w:after="0" w:line="480" w:lineRule="auto"/>
        <w:rPr>
          <w:rFonts w:ascii="Times New Roman" w:hAnsi="Times New Roman" w:cs="Times New Roman"/>
          <w:i/>
          <w:lang w:val="en-US"/>
        </w:rPr>
      </w:pPr>
      <w:r w:rsidRPr="00B6133E">
        <w:rPr>
          <w:rFonts w:ascii="Times New Roman" w:hAnsi="Times New Roman" w:cs="Times New Roman"/>
          <w:bCs/>
          <w:lang w:val="en-US"/>
        </w:rPr>
        <w:t xml:space="preserve">Normal </w:t>
      </w:r>
      <w:r w:rsidR="00150C2B" w:rsidRPr="00B6133E">
        <w:rPr>
          <w:rFonts w:ascii="Times New Roman" w:hAnsi="Times New Roman" w:cs="Times New Roman"/>
          <w:bCs/>
          <w:lang w:val="en-US"/>
        </w:rPr>
        <w:t>BM</w:t>
      </w:r>
      <w:r w:rsidR="00A22356" w:rsidRPr="00B6133E">
        <w:rPr>
          <w:rFonts w:ascii="Times New Roman" w:hAnsi="Times New Roman" w:cs="Times New Roman"/>
          <w:b/>
          <w:bCs/>
          <w:lang w:val="en-US"/>
        </w:rPr>
        <w:t xml:space="preserve"> </w:t>
      </w:r>
      <w:r w:rsidR="00A22356" w:rsidRPr="00B6133E">
        <w:rPr>
          <w:rFonts w:ascii="Times New Roman" w:hAnsi="Times New Roman" w:cs="Times New Roman"/>
          <w:lang w:val="en-US"/>
        </w:rPr>
        <w:t xml:space="preserve">was harvested from </w:t>
      </w:r>
      <w:r w:rsidR="00373FBB" w:rsidRPr="00B6133E">
        <w:rPr>
          <w:rFonts w:ascii="Times New Roman" w:hAnsi="Times New Roman" w:cs="Times New Roman"/>
          <w:lang w:val="en-US"/>
        </w:rPr>
        <w:t xml:space="preserve">either </w:t>
      </w:r>
      <w:r w:rsidR="00A22356" w:rsidRPr="00B6133E">
        <w:rPr>
          <w:rFonts w:ascii="Times New Roman" w:hAnsi="Times New Roman" w:cs="Times New Roman"/>
          <w:lang w:val="en-US"/>
        </w:rPr>
        <w:t>sternum</w:t>
      </w:r>
      <w:r w:rsidR="0093360C" w:rsidRPr="00B6133E">
        <w:rPr>
          <w:rFonts w:ascii="Times New Roman" w:hAnsi="Times New Roman" w:cs="Times New Roman"/>
          <w:lang w:val="en-US"/>
        </w:rPr>
        <w:t xml:space="preserve"> (n</w:t>
      </w:r>
      <w:r w:rsidR="003F7E70" w:rsidRPr="00B6133E">
        <w:rPr>
          <w:rFonts w:ascii="Times New Roman" w:hAnsi="Times New Roman" w:cs="Times New Roman"/>
          <w:lang w:val="en-US"/>
        </w:rPr>
        <w:t xml:space="preserve"> </w:t>
      </w:r>
      <w:r w:rsidR="0093360C" w:rsidRPr="00B6133E">
        <w:rPr>
          <w:rFonts w:ascii="Times New Roman" w:hAnsi="Times New Roman" w:cs="Times New Roman"/>
          <w:lang w:val="en-US"/>
        </w:rPr>
        <w:t>=</w:t>
      </w:r>
      <w:r w:rsidR="003F7E70" w:rsidRPr="00B6133E">
        <w:rPr>
          <w:rFonts w:ascii="Times New Roman" w:hAnsi="Times New Roman" w:cs="Times New Roman"/>
          <w:lang w:val="en-US"/>
        </w:rPr>
        <w:t xml:space="preserve"> </w:t>
      </w:r>
      <w:r w:rsidR="0093360C" w:rsidRPr="00B6133E">
        <w:rPr>
          <w:rFonts w:ascii="Times New Roman" w:hAnsi="Times New Roman" w:cs="Times New Roman"/>
          <w:lang w:val="en-US"/>
        </w:rPr>
        <w:t>7)</w:t>
      </w:r>
      <w:r w:rsidR="000C6F5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{"citationItems":[{"id":"ITEM-1","itemData":{"DOI":"10.1186/1471-2172-15-3","ISSN":"1471-2172","abstract":"BACKGROUND:This report describes a method for the generation of global gene expression profiles from low frequent B-cell subsets by using fluorescence-activated cell sorting and RNA amplification. However, some of the differentiating compartments involve a low number of cells and therefore it is important to optimize and validate each step in the procedure.METHODS:Normal lymphoid tissues from blood, tonsils, thymus and bone marrow were immunophenotyped by the 8-colour Euroflow panel using multiparametric flow cytometry. Subsets of B-cells containing cell numbers ranging from 800 to 33,000 and with frequencies varying between 0.1 and 10 percent were sorted, subjected to mRNA purification, amplified by the NuGEN protocol and finally analysed by the Affymetrix platform.RESULTS:Following a step by step strategy, each step in the workflow was validated and the sorting/storage conditions optimized as described in this report. First, an analysis of four cancer cell lines on Affymetrix arrays, using either 100 ng RNA labelled with the Ambion standard protocol or 1 ng RNA amplified and labelled by the NuGEN protocol, revealed a significant correlation of gene expressions (r &gt;= 0.9 for all). Comparison of qPCR data in samples with or without amplification for 8 genes showed that a relative difference between six cell lines was preserved (r &gt;= 0.9). Second, a comparison of cells sorted into PrepProtect, RNAlater or directly into lysis/binding buffer showed a higher yield of purified mRNA following storage in lysis/binding buffer (p &lt; 0.001). Third, the identity of the B-cell subsets validated by the cluster of differentiation (CD) membrane profile was highly concordant with the transcriptional gene expression (p-values &lt;0.001). Finally, in normal bone marrow and tonsil samples, eight evaluated genes were expressed in accordance with the biology of lymphopoiesis (p-values &lt; 0.001), which enabled the generation of a gene-specific B-cell atlas.CONCLUSION:A description of the implementation and validation of commercially available kits in the laboratory has been examined. This included steps for cell sorting, cell lysis/stabilization, RNA isolation, RNA concentration and amplification for microarray analysis. The workflow described in this report will enable the generation of microarray data from minor sorted B-cell subsets.","author":[{"dropping-particle":"","family":"Bergkvist","given":"Kim Steve","non-dropping-particle":"","parse-names":false,"suffix":""},{"dropping-particle":"","family":"Nyegaard","given":"Mette","non-dropping-particle":"","parse-names":false,"suffix":""},{"dropping-particle":"","family":"Bøgsted","given":"Martin","non-dropping-particle":"","parse-names":false,"suffix":""},{"dropping-particle":"","family":"Schmitz","given":"Alexander","non-dropping-particle":"","parse-names":false,"suffix":""},{"dropping-particle":"","family":"Bødker","given":"Julie Støve","non-dropping-particle":"","parse-names":false,"suffix":""},{"dropping-particle":"","family":"Rasmussen","given":"Simon Mylius","non-dropping-particle":"","parse-names":false,"suffix":""},{"dropping-particle":"","family":"Perez-Andres","given":"Martin","non-dropping-particle":"","parse-names":false,"suffix":""},{"dropping-particle":"","family":"Falgreen","given":"Steffen","non-dropping-particle":"","parse-names":false,"suffix":""},{"dropping-particle":"","family":"Bilgrau","given":"Anders Ellern","non-dropping-particle":"","parse-names":false,"suffix":""},{"dropping-particle":"","family":"Kjeldsen","given":"Malene Krag","non-dropping-particle":"","parse-names":false,"suffix":""},{"dropping-particle":"","family":"Gaihede","given":"Michael","non-dropping-particle":"","parse-names":false,"suffix":""},{"dropping-particle":"","family":"Nørgaard","given":"Martin Agge","non-dropping-particle":"","parse-names":false,"suffix":""},{"dropping-particle":"","family":"Bæch","given":"John","non-dropping-particle":"","parse-names":false,"suffix":""},{"dropping-particle":"","family":"Grønholdt","given":"Marie-Louise","non-dropping-particle":"","parse-names":false,"suffix":""},{"dropping-particle":"","family":"Jensen","given":"Frank Svendsen","non-dropping-particle":"","parse-names":false,"suffix":""},{"dropping-particle":"","family":"Johansen","given":"Preben","non-dropping-particle":"","parse-names":false,"suffix":""},{"dropping-particle":"","family":"Dybkær","given":"Karen","non-dropping-particle":"","parse-names":false,"suffix":""},{"dropping-particle":"","family":"Johnsen","given":"Hans Erik","non-dropping-particle":"","parse-names":false,"suffix":""}],"container-title":"BMC Immunology","id":"ITEM-1","issue":"1","issued":{"date-parts":[["2014"]]},"page":"3","title":"Validation and implementation of a method for microarray gene expression profiling of minor B-cell subpopulations in man","type":"article-journal","volume":"15"},"uris":["http://www.mendeley.com/documents/?uuid=3e56c3f6-2bc7-493b-b98b-5744c219622e"]}],"mendeley":{"formattedCitation":"&lt;sup&gt;41&lt;/sup&gt;","plainTextFormattedCitation":"41","previouslyFormattedCitation":"&lt;sup&gt;41&lt;/sup&gt;"},"properties":{"noteIndex":0},"schema":"https://github.com/citation-style-language/schema/raw/master/csl-citation.json"}</w:instrText>
      </w:r>
      <w:r w:rsidR="000C6F5F" w:rsidRPr="00B6133E">
        <w:rPr>
          <w:rFonts w:ascii="Times New Roman" w:hAnsi="Times New Roman" w:cs="Times New Roman"/>
          <w:lang w:val="en-US"/>
        </w:rPr>
        <w:fldChar w:fldCharType="separate"/>
      </w:r>
      <w:r w:rsidR="000C6F5F" w:rsidRPr="00B6133E">
        <w:rPr>
          <w:rFonts w:ascii="Times New Roman" w:hAnsi="Times New Roman" w:cs="Times New Roman"/>
          <w:noProof/>
          <w:vertAlign w:val="superscript"/>
          <w:lang w:val="en-US"/>
        </w:rPr>
        <w:t>41</w:t>
      </w:r>
      <w:r w:rsidR="000C6F5F" w:rsidRPr="00B6133E">
        <w:rPr>
          <w:rFonts w:ascii="Times New Roman" w:hAnsi="Times New Roman" w:cs="Times New Roman"/>
          <w:lang w:val="en-US"/>
        </w:rPr>
        <w:fldChar w:fldCharType="end"/>
      </w:r>
      <w:r w:rsidR="00A22356" w:rsidRPr="00B6133E">
        <w:rPr>
          <w:rFonts w:ascii="Times New Roman" w:hAnsi="Times New Roman" w:cs="Times New Roman"/>
          <w:lang w:val="en-US"/>
        </w:rPr>
        <w:t xml:space="preserve"> during cardiac surgery</w:t>
      </w:r>
      <w:r w:rsidR="007B3B43" w:rsidRPr="00B6133E">
        <w:rPr>
          <w:rFonts w:ascii="Times New Roman" w:hAnsi="Times New Roman" w:cs="Times New Roman"/>
          <w:lang w:val="en-US"/>
        </w:rPr>
        <w:t xml:space="preserve"> </w:t>
      </w:r>
      <w:r w:rsidR="00373FBB" w:rsidRPr="00B6133E">
        <w:rPr>
          <w:rFonts w:ascii="Times New Roman" w:hAnsi="Times New Roman" w:cs="Times New Roman"/>
          <w:lang w:val="en-US"/>
        </w:rPr>
        <w:t xml:space="preserve">or </w:t>
      </w:r>
      <w:r w:rsidR="00644529" w:rsidRPr="00B6133E">
        <w:rPr>
          <w:rFonts w:ascii="Times New Roman" w:hAnsi="Times New Roman" w:cs="Times New Roman"/>
          <w:lang w:val="en-US"/>
        </w:rPr>
        <w:t>take</w:t>
      </w:r>
      <w:r w:rsidR="007B3B43" w:rsidRPr="00B6133E">
        <w:rPr>
          <w:rFonts w:ascii="Times New Roman" w:hAnsi="Times New Roman" w:cs="Times New Roman"/>
          <w:lang w:val="en-US"/>
        </w:rPr>
        <w:t>n</w:t>
      </w:r>
      <w:r w:rsidR="00644529" w:rsidRPr="00B6133E">
        <w:rPr>
          <w:rFonts w:ascii="Times New Roman" w:hAnsi="Times New Roman" w:cs="Times New Roman"/>
          <w:lang w:val="en-US"/>
        </w:rPr>
        <w:t xml:space="preserve"> as </w:t>
      </w:r>
      <w:r w:rsidR="00373FBB" w:rsidRPr="00B6133E">
        <w:rPr>
          <w:rFonts w:ascii="Times New Roman" w:hAnsi="Times New Roman" w:cs="Times New Roman"/>
          <w:lang w:val="en-US"/>
        </w:rPr>
        <w:t>aspirates</w:t>
      </w:r>
      <w:r w:rsidR="007B3B43" w:rsidRPr="00B6133E">
        <w:rPr>
          <w:rFonts w:ascii="Times New Roman" w:hAnsi="Times New Roman" w:cs="Times New Roman"/>
          <w:lang w:val="en-US"/>
        </w:rPr>
        <w:t xml:space="preserve"> from</w:t>
      </w:r>
      <w:r w:rsidR="00644529" w:rsidRPr="00B6133E">
        <w:rPr>
          <w:rFonts w:ascii="Times New Roman" w:hAnsi="Times New Roman" w:cs="Times New Roman"/>
          <w:lang w:val="en-US"/>
        </w:rPr>
        <w:t xml:space="preserve"> the iliac crest of</w:t>
      </w:r>
      <w:r w:rsidR="00373FBB" w:rsidRPr="00B6133E">
        <w:rPr>
          <w:rFonts w:ascii="Times New Roman" w:hAnsi="Times New Roman" w:cs="Times New Roman"/>
          <w:lang w:val="en-US"/>
        </w:rPr>
        <w:t xml:space="preserve"> healthy volunteers (n</w:t>
      </w:r>
      <w:r w:rsidR="003F7E70" w:rsidRPr="00B6133E">
        <w:rPr>
          <w:rFonts w:ascii="Times New Roman" w:hAnsi="Times New Roman" w:cs="Times New Roman"/>
          <w:lang w:val="en-US"/>
        </w:rPr>
        <w:t xml:space="preserve"> </w:t>
      </w:r>
      <w:r w:rsidR="00373FBB" w:rsidRPr="00B6133E">
        <w:rPr>
          <w:rFonts w:ascii="Times New Roman" w:hAnsi="Times New Roman" w:cs="Times New Roman"/>
          <w:lang w:val="en-US"/>
        </w:rPr>
        <w:t>=</w:t>
      </w:r>
      <w:r w:rsidR="003F7E70" w:rsidRPr="00B6133E">
        <w:rPr>
          <w:rFonts w:ascii="Times New Roman" w:hAnsi="Times New Roman" w:cs="Times New Roman"/>
          <w:lang w:val="en-US"/>
        </w:rPr>
        <w:t xml:space="preserve"> </w:t>
      </w:r>
      <w:r w:rsidR="00644529" w:rsidRPr="00B6133E">
        <w:rPr>
          <w:rFonts w:ascii="Times New Roman" w:hAnsi="Times New Roman" w:cs="Times New Roman"/>
          <w:lang w:val="en-US"/>
        </w:rPr>
        <w:t>14</w:t>
      </w:r>
      <w:r w:rsidR="00373FBB" w:rsidRPr="00B6133E">
        <w:rPr>
          <w:rFonts w:ascii="Times New Roman" w:hAnsi="Times New Roman" w:cs="Times New Roman"/>
          <w:lang w:val="en-US"/>
        </w:rPr>
        <w:t>)</w:t>
      </w:r>
      <w:r w:rsidR="008A45D2" w:rsidRPr="00B6133E">
        <w:rPr>
          <w:rFonts w:ascii="Times New Roman" w:hAnsi="Times New Roman" w:cs="Times New Roman"/>
          <w:lang w:val="en-US"/>
        </w:rPr>
        <w:t xml:space="preserve"> during routine surgical procedures</w:t>
      </w:r>
      <w:r w:rsidR="00A22356" w:rsidRPr="00B6133E">
        <w:rPr>
          <w:rFonts w:ascii="Times New Roman" w:hAnsi="Times New Roman" w:cs="Times New Roman"/>
          <w:lang w:val="en-US"/>
        </w:rPr>
        <w:t xml:space="preserve">. </w:t>
      </w:r>
      <w:r w:rsidR="008A45D2" w:rsidRPr="00B6133E">
        <w:rPr>
          <w:rFonts w:ascii="Times New Roman" w:hAnsi="Times New Roman" w:cs="Times New Roman"/>
          <w:lang w:val="en-US"/>
        </w:rPr>
        <w:t xml:space="preserve">Normal </w:t>
      </w:r>
      <w:r w:rsidR="004E25BA" w:rsidRPr="00B6133E">
        <w:rPr>
          <w:rFonts w:ascii="Times New Roman" w:hAnsi="Times New Roman" w:cs="Times New Roman"/>
          <w:lang w:val="en-US"/>
        </w:rPr>
        <w:t xml:space="preserve">BM </w:t>
      </w:r>
      <w:r w:rsidR="00F061F5" w:rsidRPr="00B6133E">
        <w:rPr>
          <w:rFonts w:ascii="Times New Roman" w:hAnsi="Times New Roman" w:cs="Times New Roman"/>
          <w:lang w:val="en-US"/>
        </w:rPr>
        <w:t xml:space="preserve">aspirates </w:t>
      </w:r>
      <w:r w:rsidR="008A45D2" w:rsidRPr="00B6133E">
        <w:rPr>
          <w:rFonts w:ascii="Times New Roman" w:hAnsi="Times New Roman" w:cs="Times New Roman"/>
          <w:lang w:val="en-US"/>
        </w:rPr>
        <w:t xml:space="preserve">were cleared for red blood cells by 15 min lysis using 20 fold excess of </w:t>
      </w:r>
      <w:proofErr w:type="spellStart"/>
      <w:r w:rsidR="008A45D2" w:rsidRPr="00B6133E">
        <w:rPr>
          <w:rFonts w:ascii="Times New Roman" w:hAnsi="Times New Roman" w:cs="Times New Roman"/>
          <w:lang w:val="en-US"/>
        </w:rPr>
        <w:t>Easylyse</w:t>
      </w:r>
      <w:proofErr w:type="spellEnd"/>
      <w:r w:rsidR="008A45D2" w:rsidRPr="00B6133E">
        <w:rPr>
          <w:rFonts w:ascii="Times New Roman" w:hAnsi="Times New Roman" w:cs="Times New Roman"/>
          <w:lang w:val="en-US"/>
        </w:rPr>
        <w:t xml:space="preserve"> (DAKO, </w:t>
      </w:r>
      <w:proofErr w:type="spellStart"/>
      <w:r w:rsidR="008A45D2" w:rsidRPr="00B6133E">
        <w:rPr>
          <w:rFonts w:ascii="Times New Roman" w:hAnsi="Times New Roman" w:cs="Times New Roman"/>
          <w:lang w:val="en-US"/>
        </w:rPr>
        <w:t>Glostrup</w:t>
      </w:r>
      <w:proofErr w:type="spellEnd"/>
      <w:r w:rsidR="008A45D2" w:rsidRPr="00B6133E">
        <w:rPr>
          <w:rFonts w:ascii="Times New Roman" w:hAnsi="Times New Roman" w:cs="Times New Roman"/>
          <w:lang w:val="en-US"/>
        </w:rPr>
        <w:t xml:space="preserve">, Denmark). The sample was centrifuged 10 min at 250g, the supernatant discarded, and the pellet washed in PBS. The centrifugation step was repeated, the pelleted cells dissolved in stain buffer and processed directly for analysis using </w:t>
      </w:r>
      <w:proofErr w:type="spellStart"/>
      <w:r w:rsidR="008A45D2" w:rsidRPr="00B6133E">
        <w:rPr>
          <w:rFonts w:ascii="Times New Roman" w:hAnsi="Times New Roman" w:cs="Times New Roman"/>
          <w:lang w:val="en-US"/>
        </w:rPr>
        <w:t>multiparametric</w:t>
      </w:r>
      <w:proofErr w:type="spellEnd"/>
      <w:r w:rsidR="008A45D2" w:rsidRPr="00B6133E">
        <w:rPr>
          <w:rFonts w:ascii="Times New Roman" w:hAnsi="Times New Roman" w:cs="Times New Roman"/>
          <w:lang w:val="en-US"/>
        </w:rPr>
        <w:t xml:space="preserve"> flow cytometry (MFC). </w:t>
      </w:r>
    </w:p>
    <w:p w14:paraId="34F09CDA" w14:textId="75A4E780" w:rsidR="008A45D2" w:rsidRPr="00B6133E" w:rsidRDefault="00F061F5" w:rsidP="007B3B43">
      <w:pPr>
        <w:spacing w:before="0" w:after="0" w:line="480" w:lineRule="auto"/>
        <w:rPr>
          <w:rFonts w:ascii="Times New Roman" w:hAnsi="Times New Roman" w:cs="Times New Roman"/>
          <w:b/>
          <w:color w:val="000000"/>
          <w:lang w:val="en-US" w:eastAsia="en-US"/>
        </w:rPr>
      </w:pPr>
      <w:proofErr w:type="spellStart"/>
      <w:r w:rsidRPr="00B6133E">
        <w:rPr>
          <w:rFonts w:ascii="Times New Roman" w:hAnsi="Times New Roman" w:cs="Times New Roman"/>
          <w:b/>
          <w:color w:val="000000"/>
          <w:lang w:val="en-US" w:eastAsia="en-US"/>
        </w:rPr>
        <w:t>Multiparametric</w:t>
      </w:r>
      <w:proofErr w:type="spellEnd"/>
      <w:r w:rsidRPr="00B6133E">
        <w:rPr>
          <w:rFonts w:ascii="Times New Roman" w:hAnsi="Times New Roman" w:cs="Times New Roman"/>
          <w:b/>
          <w:color w:val="000000"/>
          <w:lang w:val="en-US" w:eastAsia="en-US"/>
        </w:rPr>
        <w:t xml:space="preserve"> flow cytometry</w:t>
      </w:r>
      <w:r w:rsidR="00D52649" w:rsidRPr="00B6133E">
        <w:rPr>
          <w:rFonts w:ascii="Times New Roman" w:hAnsi="Times New Roman" w:cs="Times New Roman"/>
          <w:b/>
          <w:color w:val="000000"/>
          <w:lang w:val="en-US" w:eastAsia="en-US"/>
        </w:rPr>
        <w:t xml:space="preserve">, </w:t>
      </w:r>
      <w:r w:rsidRPr="00B6133E">
        <w:rPr>
          <w:rFonts w:ascii="Times New Roman" w:hAnsi="Times New Roman" w:cs="Times New Roman"/>
          <w:b/>
          <w:color w:val="000000"/>
          <w:lang w:val="en-US" w:eastAsia="en-US"/>
        </w:rPr>
        <w:t xml:space="preserve"> cell sorting</w:t>
      </w:r>
      <w:r w:rsidR="00D52649" w:rsidRPr="00B6133E">
        <w:rPr>
          <w:rFonts w:ascii="Times New Roman" w:hAnsi="Times New Roman" w:cs="Times New Roman"/>
          <w:b/>
          <w:color w:val="000000"/>
          <w:lang w:val="en-US" w:eastAsia="en-US"/>
        </w:rPr>
        <w:t xml:space="preserve"> and gene expression profiling</w:t>
      </w:r>
    </w:p>
    <w:p w14:paraId="258B2DE1" w14:textId="362A4108" w:rsidR="00DF2AB0" w:rsidRPr="00B6133E" w:rsidRDefault="00A22356" w:rsidP="007B3B43">
      <w:pPr>
        <w:spacing w:before="0" w:after="0" w:line="480" w:lineRule="auto"/>
        <w:rPr>
          <w:rFonts w:ascii="Times New Roman" w:hAnsi="Times New Roman" w:cs="Times New Roman"/>
          <w:lang w:val="en-US"/>
        </w:rPr>
      </w:pPr>
      <w:r w:rsidRPr="00B6133E">
        <w:rPr>
          <w:rFonts w:ascii="Times New Roman" w:hAnsi="Times New Roman" w:cs="Times New Roman"/>
          <w:lang w:val="en-US"/>
        </w:rPr>
        <w:t xml:space="preserve">The normal B-cell subsets were </w:t>
      </w:r>
      <w:proofErr w:type="spellStart"/>
      <w:r w:rsidRPr="00B6133E">
        <w:rPr>
          <w:rFonts w:ascii="Times New Roman" w:hAnsi="Times New Roman" w:cs="Times New Roman"/>
          <w:lang w:val="en-US"/>
        </w:rPr>
        <w:t>phenotyped</w:t>
      </w:r>
      <w:proofErr w:type="spellEnd"/>
      <w:r w:rsidRPr="00B6133E">
        <w:rPr>
          <w:rFonts w:ascii="Times New Roman" w:hAnsi="Times New Roman" w:cs="Times New Roman"/>
          <w:lang w:val="en-US"/>
        </w:rPr>
        <w:t xml:space="preserve"> by </w:t>
      </w:r>
      <w:proofErr w:type="spellStart"/>
      <w:r w:rsidRPr="00B6133E">
        <w:rPr>
          <w:rFonts w:ascii="Times New Roman" w:hAnsi="Times New Roman" w:cs="Times New Roman"/>
          <w:lang w:val="en-US"/>
        </w:rPr>
        <w:t>multiparametric</w:t>
      </w:r>
      <w:proofErr w:type="spellEnd"/>
      <w:r w:rsidRPr="00B6133E">
        <w:rPr>
          <w:rFonts w:ascii="Times New Roman" w:hAnsi="Times New Roman" w:cs="Times New Roman"/>
          <w:lang w:val="en-US"/>
        </w:rPr>
        <w:t xml:space="preserve"> flow cytometry (MFC) and </w:t>
      </w:r>
      <w:r w:rsidR="007A11D0" w:rsidRPr="00B6133E">
        <w:rPr>
          <w:rFonts w:ascii="Times New Roman" w:hAnsi="Times New Roman" w:cs="Times New Roman"/>
          <w:lang w:val="en-US"/>
        </w:rPr>
        <w:t>fluorescence-activated cell sorting (</w:t>
      </w:r>
      <w:r w:rsidRPr="00B6133E">
        <w:rPr>
          <w:rFonts w:ascii="Times New Roman" w:hAnsi="Times New Roman" w:cs="Times New Roman"/>
          <w:lang w:val="en-US"/>
        </w:rPr>
        <w:t>FACS</w:t>
      </w:r>
      <w:r w:rsidR="007A11D0" w:rsidRPr="00B6133E">
        <w:rPr>
          <w:rFonts w:ascii="Times New Roman" w:hAnsi="Times New Roman" w:cs="Times New Roman"/>
          <w:lang w:val="en-US"/>
        </w:rPr>
        <w:t>)</w:t>
      </w:r>
      <w:r w:rsidR="00CC73CC" w:rsidRPr="00B6133E">
        <w:rPr>
          <w:rFonts w:ascii="Times New Roman" w:hAnsi="Times New Roman" w:cs="Times New Roman"/>
          <w:lang w:val="en-US"/>
        </w:rPr>
        <w:t xml:space="preserve"> into six distinct B-cell subsets</w:t>
      </w:r>
      <w:r w:rsidR="00740567" w:rsidRPr="00B6133E">
        <w:rPr>
          <w:rFonts w:ascii="Times New Roman" w:hAnsi="Times New Roman" w:cs="Times New Roman"/>
          <w:lang w:val="en-US"/>
        </w:rPr>
        <w:t xml:space="preserve"> (</w:t>
      </w:r>
      <w:proofErr w:type="spellStart"/>
      <w:r w:rsidR="009D3F2F" w:rsidRPr="00B6133E">
        <w:rPr>
          <w:rFonts w:ascii="Times New Roman" w:hAnsi="Times New Roman" w:cs="Times New Roman"/>
          <w:bCs/>
          <w:lang w:val="en-US"/>
        </w:rPr>
        <w:t>PreBI</w:t>
      </w:r>
      <w:proofErr w:type="spellEnd"/>
      <w:r w:rsidR="009D3F2F" w:rsidRPr="00B6133E">
        <w:rPr>
          <w:rFonts w:ascii="Times New Roman" w:hAnsi="Times New Roman" w:cs="Times New Roman"/>
          <w:lang w:val="en-US"/>
        </w:rPr>
        <w:t xml:space="preserve">, </w:t>
      </w:r>
      <w:proofErr w:type="spellStart"/>
      <w:r w:rsidR="009D3F2F" w:rsidRPr="00B6133E">
        <w:rPr>
          <w:rFonts w:ascii="Times New Roman" w:hAnsi="Times New Roman" w:cs="Times New Roman"/>
          <w:bCs/>
          <w:lang w:val="en-US"/>
        </w:rPr>
        <w:t>PreBII</w:t>
      </w:r>
      <w:proofErr w:type="spellEnd"/>
      <w:r w:rsidR="009D3F2F" w:rsidRPr="00B6133E">
        <w:rPr>
          <w:rFonts w:ascii="Times New Roman" w:hAnsi="Times New Roman" w:cs="Times New Roman"/>
          <w:lang w:val="en-US"/>
        </w:rPr>
        <w:t xml:space="preserve">, </w:t>
      </w:r>
      <w:r w:rsidR="009D3F2F" w:rsidRPr="00B6133E">
        <w:rPr>
          <w:rFonts w:ascii="Times New Roman" w:hAnsi="Times New Roman" w:cs="Times New Roman"/>
          <w:bCs/>
          <w:lang w:val="en-US"/>
        </w:rPr>
        <w:t>immature</w:t>
      </w:r>
      <w:r w:rsidR="009D3F2F" w:rsidRPr="00B6133E">
        <w:rPr>
          <w:rFonts w:ascii="Times New Roman" w:hAnsi="Times New Roman" w:cs="Times New Roman"/>
          <w:lang w:val="en-US"/>
        </w:rPr>
        <w:t xml:space="preserve"> (</w:t>
      </w:r>
      <w:proofErr w:type="spellStart"/>
      <w:r w:rsidR="009D3F2F" w:rsidRPr="00B6133E">
        <w:rPr>
          <w:rFonts w:ascii="Times New Roman" w:hAnsi="Times New Roman" w:cs="Times New Roman"/>
          <w:lang w:val="en-US"/>
        </w:rPr>
        <w:t>Im</w:t>
      </w:r>
      <w:proofErr w:type="spellEnd"/>
      <w:r w:rsidR="009D3F2F" w:rsidRPr="00B6133E">
        <w:rPr>
          <w:rFonts w:ascii="Times New Roman" w:hAnsi="Times New Roman" w:cs="Times New Roman"/>
          <w:lang w:val="en-US"/>
        </w:rPr>
        <w:t xml:space="preserve">), </w:t>
      </w:r>
      <w:r w:rsidR="009D3F2F" w:rsidRPr="00B6133E">
        <w:rPr>
          <w:rFonts w:ascii="Times New Roman" w:hAnsi="Times New Roman" w:cs="Times New Roman"/>
          <w:bCs/>
          <w:lang w:val="en-US"/>
        </w:rPr>
        <w:t>naïve</w:t>
      </w:r>
      <w:r w:rsidR="009D3F2F" w:rsidRPr="00B6133E">
        <w:rPr>
          <w:rFonts w:ascii="Times New Roman" w:hAnsi="Times New Roman" w:cs="Times New Roman"/>
          <w:lang w:val="en-US"/>
        </w:rPr>
        <w:t xml:space="preserve"> (N), </w:t>
      </w:r>
      <w:r w:rsidR="009D3F2F" w:rsidRPr="00B6133E">
        <w:rPr>
          <w:rFonts w:ascii="Times New Roman" w:hAnsi="Times New Roman" w:cs="Times New Roman"/>
          <w:bCs/>
          <w:lang w:val="en-US"/>
        </w:rPr>
        <w:t>memory</w:t>
      </w:r>
      <w:r w:rsidR="009D3F2F" w:rsidRPr="00B6133E">
        <w:rPr>
          <w:rFonts w:ascii="Times New Roman" w:hAnsi="Times New Roman" w:cs="Times New Roman"/>
          <w:lang w:val="en-US"/>
        </w:rPr>
        <w:t xml:space="preserve"> (M) B-cells, and PC</w:t>
      </w:r>
      <w:r w:rsidR="00392CE7" w:rsidRPr="00B6133E">
        <w:rPr>
          <w:rFonts w:ascii="Times New Roman" w:hAnsi="Times New Roman" w:cs="Times New Roman"/>
          <w:lang w:val="en-US"/>
        </w:rPr>
        <w:t>s</w:t>
      </w:r>
      <w:r w:rsidR="00740567" w:rsidRPr="00B6133E">
        <w:rPr>
          <w:rFonts w:ascii="Times New Roman" w:hAnsi="Times New Roman" w:cs="Times New Roman"/>
          <w:lang w:val="en-US"/>
        </w:rPr>
        <w:t>)</w:t>
      </w:r>
      <w:r w:rsidR="00D172B7" w:rsidRPr="00B6133E">
        <w:rPr>
          <w:rFonts w:ascii="Times New Roman" w:hAnsi="Times New Roman" w:cs="Times New Roman"/>
          <w:lang w:val="en-US"/>
        </w:rPr>
        <w:t xml:space="preserve"> </w:t>
      </w:r>
      <w:r w:rsidR="00740567" w:rsidRPr="00B6133E">
        <w:rPr>
          <w:rFonts w:ascii="Times New Roman" w:hAnsi="Times New Roman" w:cs="Times New Roman"/>
          <w:lang w:val="en-US"/>
        </w:rPr>
        <w:t xml:space="preserve">using </w:t>
      </w:r>
      <w:r w:rsidR="00D172B7" w:rsidRPr="00B6133E">
        <w:rPr>
          <w:rFonts w:ascii="Times New Roman" w:hAnsi="Times New Roman" w:cs="Times New Roman"/>
          <w:lang w:val="en-US"/>
        </w:rPr>
        <w:t>a monoclonal antibody pane</w:t>
      </w:r>
      <w:r w:rsidR="00D52649" w:rsidRPr="00B6133E">
        <w:rPr>
          <w:rFonts w:ascii="Times New Roman" w:hAnsi="Times New Roman" w:cs="Times New Roman"/>
          <w:lang w:val="en-US"/>
        </w:rPr>
        <w:t>l</w:t>
      </w:r>
      <w:r w:rsidR="000C6F5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{"citationItems":[{"id":"ITEM-1","itemData":{"DOI":"10.1186/1471-2172-15-3","ISSN":"1471-2172","abstract":"BACKGROUND:This report describes a method for the generation of global gene expression profiles from low frequent B-cell subsets by using fluorescence-activated cell sorting and RNA amplification. However, some of the differentiating compartments involve a low number of cells and therefore it is important to optimize and validate each step in the procedure.METHODS:Normal lymphoid tissues from blood, tonsils, thymus and bone marrow were immunophenotyped by the 8-colour Euroflow panel using multiparametric flow cytometry. Subsets of B-cells containing cell numbers ranging from 800 to 33,000 and with frequencies varying between 0.1 and 10 percent were sorted, subjected to mRNA purification, amplified by the NuGEN protocol and finally analysed by the Affymetrix platform.RESULTS:Following a step by step strategy, each step in the workflow was validated and the sorting/storage conditions optimized as described in this report. First, an analysis of four cancer cell lines on Affymetrix arrays, using either 100 ng RNA labelled with the Ambion standard protocol or 1 ng RNA amplified and labelled by the NuGEN protocol, revealed a significant correlation of gene expressions (r &gt;= 0.9 for all). Comparison of qPCR data in samples with or without amplification for 8 genes showed that a relative difference between six cell lines was preserved (r &gt;= 0.9). Second, a comparison of cells sorted into PrepProtect, RNAlater or directly into lysis/binding buffer showed a higher yield of purified mRNA following storage in lysis/binding buffer (p &lt; 0.001). Third, the identity of the B-cell subsets validated by the cluster of differentiation (CD) membrane profile was highly concordant with the transcriptional gene expression (p-values &lt;0.001). Finally, in normal bone marrow and tonsil samples, eight evaluated genes were expressed in accordance with the biology of lymphopoiesis (p-values &lt; 0.001), which enabled the generation of a gene-specific B-cell atlas.CONCLUSION:A description of the implementation and validation of commercially available kits in the laboratory has been examined. This included steps for cell sorting, cell lysis/stabilization, RNA isolation, RNA concentration and amplification for microarray analysis. The workflow described in this report will enable the generation of microarray data from minor sorted B-cell subsets.","author":[{"dropping-particle":"","family":"Bergkvist","given":"Kim Steve","non-dropping-particle":"","parse-names":false,"suffix":""},{"dropping-particle":"","family":"Nyegaard","given":"Mette","non-dropping-particle":"","parse-names":false,"suffix":""},{"dropping-particle":"","family":"Bøgsted","given":"Martin","non-dropping-particle":"","parse-names":false,"suffix":""},{"dropping-particle":"","family":"Schmitz","given":"Alexander","non-dropping-particle":"","parse-names":false,"suffix":""},{"dropping-particle":"","family":"Bødker","given":"Julie Støve","non-dropping-particle":"","parse-names":false,"suffix":""},{"dropping-particle":"","family":"Rasmussen","given":"Simon Mylius","non-dropping-particle":"","parse-names":false,"suffix":""},{"dropping-particle":"","family":"Perez-Andres","given":"Martin","non-dropping-particle":"","parse-names":false,"suffix":""},{"dropping-particle":"","family":"Falgreen","given":"Steffen","non-dropping-particle":"","parse-names":false,"suffix":""},{"dropping-particle":"","family":"Bilgrau","given":"Anders Ellern","non-dropping-particle":"","parse-names":false,"suffix":""},{"dropping-particle":"","family":"Kjeldsen","given":"Malene Krag","non-dropping-particle":"","parse-names":false,"suffix":""},{"dropping-particle":"","family":"Gaihede","given":"Michael","non-dropping-particle":"","parse-names":false,"suffix":""},{"dropping-particle":"","family":"Nørgaard","given":"Martin Agge","non-dropping-particle":"","parse-names":false,"suffix":""},{"dropping-particle":"","family":"Bæch","given":"John","non-dropping-particle":"","parse-names":false,"suffix":""},{"dropping-particle":"","family":"Grønholdt","given":"Marie-Louise","non-dropping-particle":"","parse-names":false,"suffix":""},{"dropping-particle":"","family":"Jensen","given":"Frank Svendsen","non-dropping-particle":"","parse-names":false,"suffix":""},{"dropping-particle":"","family":"Johansen","given":"Preben","non-dropping-particle":"","parse-names":false,"suffix":""},{"dropping-particle":"","family":"Dybkær","given":"Karen","non-dropping-particle":"","parse-names":false,"suffix":""},{"dropping-particle":"","family":"Johnsen","given":"Hans Erik","non-dropping-particle":"","parse-names":false,"suffix":""}],"container-title":"BMC Immunology","id":"ITEM-1","issue":"1","issued":{"date-parts":[["2014"]]},"page":"3","title":"Validation and implementation of a method for microarray gene expression profiling of minor B-cell subpopulations in man","type":"article-journal","volume":"15"},"uris":["http://www.mendeley.com/documents/?uuid=3e56c3f6-2bc7-493b-b98b-5744c219622e"]},{"id":"ITEM-2","itemData":{"DOI":"10.1016/j.exphem.2016.06.001","ISSN":"18732399","PMID":"27297329","abstract":"The rare memory B cells in thymus (Thy) are considered the cells of origin for primary mediastinal large B-cell lymphoma. The objectives of the present study were to characterize the normal memory B-cell compartment in Thy and to support its association with primary mediastinal B-cell lymphoma. Seven paired human tissue samples from Thy and sternum bone marrow (BM) were harvested during cardiac surgery. B-cell subsets were phenotyped by Euroflow standard and fluorescence-activated cell sorting for microarray analysis on the Human Exon 1.0 ST Arrays platform. Differentially expressed genes between Thy and BM memory B cells were identified and correlated with the molecular subclasses of diffuse large B-cell lymphoma. Within Thy, 4% (median; range 2%–14%) of the CD45+ hematopoietic cells were CD19+ B cells, with a major fraction being CD27+/CD38– memory B cells (median 80%, range 76%–93%). The BM contained 14% (median; range 3%–27%), of which only a minor fraction (median 5%, range 2%–10%) were memory B cells. Global gene expression analysis of the memory B-cell subsets from the two compartments identified 133 genes upregulated in Thy, including AICDA, REL, STAT1, TNF family, SLAMF1, CD80, and CD86. In addition, exons 4 and 5 in the 3′ end of AICDA were more highly expressed in Thy than in BM. The Thy memory B-cell gene profile was overexpressed in primary mediastinal B-cell lymphoma compared with other diffuse large B-cell lymphoma subclasses. The present study describes a Thy memory B-cell subset and its gene profile correlated with primary mediastinal B-cell lymphomas, suggesting origin from Thy memory B cells.","author":[{"dropping-particle":"","family":"Bergkvist","given":"Kim Steve","non-dropping-particle":"","parse-names":false,"suffix":""},{"dropping-particle":"","family":"Nørgaard","given":"Martin Agge","non-dropping-particle":"","parse-names":false,"suffix":""},{"dropping-particle":"","family":"Bøgsted","given":"Martin","non-dropping-particle":"","parse-names":false,"suffix":""},{"dropping-particle":"","family":"Schmitz","given":"Alexander","non-dropping-particle":"","parse-names":false,"suffix":""},{"dropping-particle":"","family":"Nyegaard","given":"Mette","non-dropping-particle":"","parse-names":false,"suffix":""},{"dropping-particle":"","family":"Gaihede","given":"Michael","non-dropping-particle":"","parse-names":false,"suffix":""},{"dropping-particle":"","family":"Bæch","given":"John","non-dropping-particle":"","parse-names":false,"suffix":""},{"dropping-particle":"","family":"Grønholdt","given":"Marie Louise","non-dropping-particle":"","parse-names":false,"suffix":""},{"dropping-particle":"","family":"Jensen","given":"Frank Svendsen","non-dropping-particle":"","parse-names":false,"suffix":""},{"dropping-particle":"","family":"Johansen","given":"Preben","non-dropping-particle":"","parse-names":false,"suffix":""},{"dropping-particle":"","family":"Urup","given":"Thomas","non-dropping-particle":"","parse-names":false,"suffix":""},{"dropping-particle":"","family":"El-Galaly","given":"Tarec C.","non-dropping-particle":"","parse-names":false,"suffix":""},{"dropping-particle":"","family":"Madsen","given":"Jakob","non-dropping-particle":"","parse-names":false,"suffix":""},{"dropping-particle":"","family":"Bødker","given":"Julie Støve","non-dropping-particle":"","parse-names":false,"suffix":""},{"dropping-particle":"","family":"Dybkær","given":"Karen","non-dropping-particle":"","parse-names":false,"suffix":""},{"dropping-particle":"","family":"Johnsen","given":"Hans Erik","non-dropping-particle":"","parse-names":false,"suffix":""}],"container-title":"Experimental Hematology","id":"ITEM-2","issue":"10","issued":{"date-parts":[["2016","10"]]},"page":"982-990.e11","publisher":"ISEH - International Society for Experimental Hematology","title":"Characterization of memory B cells from thymus and its impact for DLBCL classification","type":"article-journal","volume":"44"},"uris":["http://www.mendeley.com/documents/?uuid=58e9bd17-32fc-476d-a5f4-196f2d41bf26"]}],"mendeley":{"formattedCitation":"&lt;sup&gt;41,44&lt;/sup&gt;","plainTextFormattedCitation":"41,44","previouslyFormattedCitation":"&lt;sup&gt;41,44&lt;/sup&gt;"},"properties":{"noteIndex":0},"schema":"https://github.com/citation-style-language/schema/raw/master/csl-citation.json"}</w:instrText>
      </w:r>
      <w:r w:rsidR="000C6F5F" w:rsidRPr="00B6133E">
        <w:rPr>
          <w:rFonts w:ascii="Times New Roman" w:hAnsi="Times New Roman" w:cs="Times New Roman"/>
          <w:lang w:val="en-US"/>
        </w:rPr>
        <w:fldChar w:fldCharType="separate"/>
      </w:r>
      <w:r w:rsidR="000C6F5F" w:rsidRPr="00B6133E">
        <w:rPr>
          <w:rFonts w:ascii="Times New Roman" w:hAnsi="Times New Roman" w:cs="Times New Roman"/>
          <w:noProof/>
          <w:vertAlign w:val="superscript"/>
          <w:lang w:val="en-US"/>
        </w:rPr>
        <w:t>41,44</w:t>
      </w:r>
      <w:r w:rsidR="000C6F5F" w:rsidRPr="00B6133E">
        <w:rPr>
          <w:rFonts w:ascii="Times New Roman" w:hAnsi="Times New Roman" w:cs="Times New Roman"/>
          <w:lang w:val="en-US"/>
        </w:rPr>
        <w:fldChar w:fldCharType="end"/>
      </w:r>
      <w:r w:rsidR="00345459" w:rsidRPr="00B6133E">
        <w:rPr>
          <w:rFonts w:ascii="Times New Roman" w:hAnsi="Times New Roman" w:cs="Times New Roman"/>
          <w:lang w:val="en-US"/>
        </w:rPr>
        <w:t>, described in details in Supplementary text 1</w:t>
      </w:r>
      <w:r w:rsidR="008034E1" w:rsidRPr="00B6133E">
        <w:rPr>
          <w:rFonts w:ascii="Times New Roman" w:hAnsi="Times New Roman" w:cs="Times New Roman"/>
          <w:lang w:val="en-US"/>
        </w:rPr>
        <w:t xml:space="preserve">. </w:t>
      </w:r>
    </w:p>
    <w:p w14:paraId="43268D1D" w14:textId="3E5BC207" w:rsidR="00DF2AB0" w:rsidRPr="00B6133E" w:rsidRDefault="00DF2AB0" w:rsidP="00AE5619">
      <w:pPr>
        <w:spacing w:line="480" w:lineRule="auto"/>
        <w:rPr>
          <w:rFonts w:ascii="Times New Roman" w:hAnsi="Times New Roman" w:cs="Times New Roman"/>
          <w:lang w:val="en-US"/>
        </w:rPr>
      </w:pPr>
      <w:r w:rsidRPr="00B6133E">
        <w:rPr>
          <w:rFonts w:ascii="Times New Roman" w:hAnsi="Times New Roman" w:cs="Times New Roman"/>
          <w:lang w:val="en-US"/>
        </w:rPr>
        <w:t xml:space="preserve">RNA was labeled for microarray analysis, hybridized to the </w:t>
      </w:r>
      <w:proofErr w:type="spellStart"/>
      <w:r w:rsidR="00207B02" w:rsidRPr="00B6133E">
        <w:rPr>
          <w:rFonts w:ascii="Times New Roman" w:hAnsi="Times New Roman" w:cs="Times New Roman"/>
          <w:lang w:val="en-US"/>
        </w:rPr>
        <w:t>Affymetrix</w:t>
      </w:r>
      <w:proofErr w:type="spellEnd"/>
      <w:r w:rsidR="00207B02" w:rsidRPr="00B6133E">
        <w:rPr>
          <w:rFonts w:ascii="Times New Roman" w:hAnsi="Times New Roman" w:cs="Times New Roman"/>
          <w:lang w:val="en-US"/>
        </w:rPr>
        <w:t xml:space="preserve"> </w:t>
      </w:r>
      <w:r w:rsidRPr="00B6133E">
        <w:rPr>
          <w:rFonts w:ascii="Times New Roman" w:hAnsi="Times New Roman" w:cs="Times New Roman"/>
          <w:lang w:val="en-US"/>
        </w:rPr>
        <w:t xml:space="preserve">Human Exon 1.0 ST </w:t>
      </w:r>
      <w:r w:rsidR="00207B02" w:rsidRPr="00B6133E">
        <w:rPr>
          <w:rFonts w:ascii="Times New Roman" w:hAnsi="Times New Roman" w:cs="Times New Roman"/>
          <w:lang w:val="en-US"/>
        </w:rPr>
        <w:t xml:space="preserve">(HuEx-1.0-st) </w:t>
      </w:r>
      <w:r w:rsidRPr="00B6133E">
        <w:rPr>
          <w:rFonts w:ascii="Times New Roman" w:hAnsi="Times New Roman" w:cs="Times New Roman"/>
          <w:lang w:val="en-US"/>
        </w:rPr>
        <w:t>Array</w:t>
      </w:r>
      <w:r w:rsidR="000C6F5F"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{"citationItems":[{"id":"ITEM-1","itemData":{"DOI":"10.1016/j.exphem.2016.06.001","ISSN":"18732399","PMID":"27297329","abstract":"The rare memory B cells in thymus (Thy) are considered the cells of origin for primary mediastinal large B-cell lymphoma. The objectives of the present study were to characterize the normal memory B-cell compartment in Thy and to support its association with primary mediastinal B-cell lymphoma. Seven paired human tissue samples from Thy and sternum bone marrow (BM) were harvested during cardiac surgery. B-cell subsets were phenotyped by Euroflow standard and fluorescence-activated cell sorting for microarray analysis on the Human Exon 1.0 ST Arrays platform. Differentially expressed genes between Thy and BM memory B cells were identified and correlated with the molecular subclasses of diffuse large B-cell lymphoma. Within Thy, 4% (median; range 2%–14%) of the CD45+ hematopoietic cells were CD19+ B cells, with a major fraction being CD27+/CD38– memory B cells (median 80%, range 76%–93%). The BM contained 14% (median; range 3%–27%), of which only a minor fraction (median 5%, range 2%–10%) were memory B cells. Global gene expression analysis of the memory B-cell subsets from the two compartments identified 133 genes upregulated in Thy, including AICDA, REL, STAT1, TNF family, SLAMF1, CD80, and CD86. In addition, exons 4 and 5 in the 3′ end of AICDA were more highly expressed in Thy than in BM. The Thy memory B-cell gene profile was overexpressed in primary mediastinal B-cell lymphoma compared with other diffuse large B-cell lymphoma subclasses. The present study describes a Thy memory B-cell subset and its gene profile correlated with primary mediastinal B-cell lymphomas, suggesting origin from Thy memory B cells.","author":[{"dropping-particle":"","family":"Bergkvist","given":"Kim Steve","non-dropping-particle":"","parse-names":false,"suffix":""},{"dropping-particle":"","family":"Nørgaard","given":"Martin Agge","non-dropping-particle":"","parse-names":false,"suffix":""},{"dropping-particle":"","family":"Bøgsted","given":"Martin","non-dropping-particle":"","parse-names":false,"suffix":""},{"dropping-particle":"","family":"Schmitz","given":"Alexander","non-dropping-particle":"","parse-names":false,"suffix":""},{"dropping-particle":"","family":"Nyegaard","given":"Mette","non-dropping-particle":"","parse-names":false,"suffix":""},{"dropping-particle":"","family":"Gaihede","given":"Michael","non-dropping-particle":"","parse-names":false,"suffix":""},{"dropping-particle":"","family":"Bæch","given":"John","non-dropping-particle":"","parse-names":false,"suffix":""},{"dropping-particle":"","family":"Grønholdt","given":"Marie Louise","non-dropping-particle":"","parse-names":false,"suffix":""},{"dropping-particle":"","family":"Jensen","given":"Frank Svendsen","non-dropping-particle":"","parse-names":false,"suffix":""},{"dropping-particle":"","family":"Johansen","given":"Preben","non-dropping-particle":"","parse-names":false,"suffix":""},{"dropping-particle":"","family":"Urup","given":"Thomas","non-dropping-particle":"","parse-names":false,"suffix":""},{"dropping-particle":"","family":"El-Galaly","given":"Tarec C.","non-dropping-particle":"","parse-names":false,"suffix":""},{"dropping-particle":"","family":"Madsen","given":"Jakob","non-dropping-particle":"","parse-names":false,"suffix":""},{"dropping-particle":"","family":"Bødker","given":"Julie Støve","non-dropping-particle":"","parse-names":false,"suffix":""},{"dropping-particle":"","family":"Dybkær","given":"Karen","non-dropping-particle":"","parse-names":false,"suffix":""},{"dropping-particle":"","family":"Johnsen","given":"Hans Erik","non-dropping-particle":"","parse-names":false,"suffix":""}],"container-title":"Experimental Hematology","id":"ITEM-1","issue":"10","issued":{"date-parts":[["2016","10"]]},"page":"982-990.e11","publisher":"ISEH - International Society for Experimental Hematology","title":"Characterization of memory B cells from thymus and its impact for DLBCL classification","type":"article-journal","volume":"44"},"uris":["http://www.mendeley.com/documents/?uuid=58e9bd17-32fc-476d-a5f4-196f2d41bf26"]},{"id":"ITEM-2","itemData":{"DOI":"10.1186/1471-2172-15-3","ISSN":"1471-2172","abstract":"BACKGROUND:This report describes a method for the generation of global gene expression profiles from low frequent B-cell subsets by using fluorescence-activated cell sorting and RNA amplification. However, some of the differentiating compartments involve a low number of cells and therefore it is important to optimize and validate each step in the procedure.METHODS:Normal lymphoid tissues from blood, tonsils, thymus and bone marrow were immunophenotyped by the 8-colour Euroflow panel using multiparametric flow cytometry. Subsets of B-cells containing cell numbers ranging from 800 to 33,000 and with frequencies varying between 0.1 and 10 percent were sorted, subjected to mRNA purification, amplified by the NuGEN protocol and finally analysed by the Affymetrix platform.RESULTS:Following a step by step strategy, each step in the workflow was validated and the sorting/storage conditions optimized as described in this report. First, an analysis of four cancer cell lines on Affymetrix arrays, using either 100 ng RNA labelled with the Ambion standard protocol or 1 ng RNA amplified and labelled by the NuGEN protocol, revealed a significant correlation of gene expressions (r &gt;= 0.9 for all). Comparison of qPCR data in samples with or without amplification for 8 genes showed that a relative difference between six cell lines was preserved (r &gt;= 0.9). Second, a comparison of cells sorted into PrepProtect, RNAlater or directly into lysis/binding buffer showed a higher yield of purified mRNA following storage in lysis/binding buffer (p &lt; 0.001). Third, the identity of the B-cell subsets validated by the cluster of differentiation (CD) membrane profile was highly concordant with the transcriptional gene expression (p-values &lt;0.001). Finally, in normal bone marrow and tonsil samples, eight evaluated genes were expressed in accordance with the biology of lymphopoiesis (p-values &lt; 0.001), which enabled the generation of a gene-specific B-cell atlas.CONCLUSION:A description of the implementation and validation of commercially available kits in the laboratory has been examined. This included steps for cell sorting, cell lysis/stabilization, RNA isolation, RNA concentration and amplification for microarray analysis. The workflow described in this report will enable the generation of microarray data from minor sorted B-cell subsets.","author":[{"dropping-particle":"","family":"Bergkvist","given":"Kim Steve","non-dropping-particle":"","parse-names":false,"suffix":""},{"dropping-particle":"","family":"Nyegaard","given":"Mette","non-dropping-particle":"","parse-names":false,"suffix":""},{"dropping-particle":"","family":"Bøgsted","given":"Martin","non-dropping-particle":"","parse-names":false,"suffix":""},{"dropping-particle":"","family":"Schmitz","given":"Alexander","non-dropping-particle":"","parse-names":false,"suffix":""},{"dropping-particle":"","family":"Bødker","given":"Julie Støve","non-dropping-particle":"","parse-names":false,"suffix":""},{"dropping-particle":"","family":"Rasmussen","given":"Simon Mylius","non-dropping-particle":"","parse-names":false,"suffix":""},{"dropping-particle":"","family":"Perez-Andres","given":"Martin","non-dropping-particle":"","parse-names":false,"suffix":""},{"dropping-particle":"","family":"Falgreen","given":"Steffen","non-dropping-particle":"","parse-names":false,"suffix":""},{"dropping-particle":"","family":"Bilgrau","given":"Anders Ellern","non-dropping-particle":"","parse-names":false,"suffix":""},{"dropping-particle":"","family":"Kjeldsen","given":"Malene Krag","non-dropping-particle":"","parse-names":false,"suffix":""},{"dropping-particle":"","family":"Gaihede","given":"Michael","non-dropping-particle":"","parse-names":false,"suffix":""},{"dropping-particle":"","family":"Nørgaard","given":"Martin Agge","non-dropping-particle":"","parse-names":false,"suffix":""},{"dropping-particle":"","family":"Bæch","given":"John","non-dropping-particle":"","parse-names":false,"suffix":""},{"dropping-particle":"","family":"Grønholdt","given":"Marie-Louise","non-dropping-particle":"","parse-names":false,"suffix":""},{"dropping-particle":"","family":"Jensen","given":"Frank Svendsen","non-dropping-particle":"","parse-names":false,"suffix":""},{"dropping-particle":"","family":"Johansen","given":"Preben","non-dropping-particle":"","parse-names":false,"suffix":""},{"dropping-particle":"","family":"Dybkær","given":"Karen","non-dropping-particle":"","parse-names":false,"suffix":""},{"dropping-particle":"","family":"Johnsen","given":"Hans Erik","non-dropping-particle":"","parse-names":false,"suffix":""}],"container-title":"BMC Immunology","id":"ITEM-2","issue":"1","issued":{"date-parts":[["2014"]]},"page":"3","title":"Validation and implementation of a method for microarray gene expression profiling of minor B-cell subpopulations in man","type":"article-journal","volume":"15"},"uris":["http://www.mendeley.com/documents/?uuid=3e56c3f6-2bc7-493b-b98b-5744c219622e"]}],"mendeley":{"formattedCitation":"&lt;sup&gt;41,44&lt;/sup&gt;","plainTextFormattedCitation":"41,44","previouslyFormattedCitation":"&lt;sup&gt;41,44&lt;/sup&gt;"},"properties":{"noteIndex":0},"schema":"https://github.com/citation-style-language/schema/raw/master/csl-citation.json"}</w:instrText>
      </w:r>
      <w:r w:rsidR="000C6F5F" w:rsidRPr="00B6133E">
        <w:rPr>
          <w:rFonts w:ascii="Times New Roman" w:hAnsi="Times New Roman" w:cs="Times New Roman"/>
          <w:lang w:val="en-US"/>
        </w:rPr>
        <w:fldChar w:fldCharType="separate"/>
      </w:r>
      <w:r w:rsidR="000C6F5F" w:rsidRPr="00B6133E">
        <w:rPr>
          <w:rFonts w:ascii="Times New Roman" w:hAnsi="Times New Roman" w:cs="Times New Roman"/>
          <w:noProof/>
          <w:vertAlign w:val="superscript"/>
          <w:lang w:val="en-US"/>
        </w:rPr>
        <w:t>41,44</w:t>
      </w:r>
      <w:r w:rsidR="000C6F5F" w:rsidRPr="00B6133E">
        <w:rPr>
          <w:rFonts w:ascii="Times New Roman" w:hAnsi="Times New Roman" w:cs="Times New Roman"/>
          <w:lang w:val="en-US"/>
        </w:rPr>
        <w:fldChar w:fldCharType="end"/>
      </w:r>
      <w:r w:rsidR="00207B02" w:rsidRPr="00B6133E">
        <w:rPr>
          <w:rFonts w:ascii="Times New Roman" w:hAnsi="Times New Roman" w:cs="Times New Roman"/>
          <w:lang w:val="en-US"/>
        </w:rPr>
        <w:t xml:space="preserve"> </w:t>
      </w:r>
      <w:r w:rsidRPr="00B6133E">
        <w:rPr>
          <w:rFonts w:ascii="Times New Roman" w:hAnsi="Times New Roman" w:cs="Times New Roman"/>
          <w:lang w:val="en-US"/>
        </w:rPr>
        <w:t xml:space="preserve">or to the </w:t>
      </w:r>
      <w:proofErr w:type="spellStart"/>
      <w:r w:rsidR="00207B02" w:rsidRPr="00B6133E">
        <w:rPr>
          <w:rFonts w:ascii="Times New Roman" w:hAnsi="Times New Roman" w:cs="Times New Roman"/>
          <w:lang w:val="en-US"/>
        </w:rPr>
        <w:t>Affymetrix</w:t>
      </w:r>
      <w:proofErr w:type="spellEnd"/>
      <w:r w:rsidR="00207B02" w:rsidRPr="00B6133E">
        <w:rPr>
          <w:rFonts w:ascii="Times New Roman" w:hAnsi="Times New Roman" w:cs="Times New Roman"/>
          <w:lang w:val="en-US"/>
        </w:rPr>
        <w:t xml:space="preserve"> </w:t>
      </w:r>
      <w:r w:rsidR="006A2D72" w:rsidRPr="00B6133E">
        <w:rPr>
          <w:rFonts w:ascii="Times New Roman" w:hAnsi="Times New Roman" w:cs="Times New Roman"/>
          <w:lang w:val="en-US"/>
        </w:rPr>
        <w:t xml:space="preserve">Human Genome </w:t>
      </w:r>
      <w:r w:rsidRPr="00B6133E">
        <w:rPr>
          <w:rFonts w:ascii="Times New Roman" w:hAnsi="Times New Roman" w:cs="Times New Roman"/>
          <w:color w:val="000000"/>
          <w:shd w:val="clear" w:color="auto" w:fill="FFFFFF"/>
          <w:lang w:val="en-US"/>
        </w:rPr>
        <w:t xml:space="preserve">U133 Plus 2.0 </w:t>
      </w:r>
      <w:r w:rsidR="00207B02" w:rsidRPr="00B6133E">
        <w:rPr>
          <w:rFonts w:ascii="Times New Roman" w:hAnsi="Times New Roman" w:cs="Times New Roman"/>
          <w:color w:val="000000"/>
          <w:shd w:val="clear" w:color="auto" w:fill="FFFFFF"/>
          <w:lang w:val="en-US"/>
        </w:rPr>
        <w:t xml:space="preserve">(HU-U133-2.0) </w:t>
      </w:r>
      <w:r w:rsidRPr="00B6133E">
        <w:rPr>
          <w:rFonts w:ascii="Times New Roman" w:hAnsi="Times New Roman" w:cs="Times New Roman"/>
          <w:color w:val="000000"/>
          <w:shd w:val="clear" w:color="auto" w:fill="FFFFFF"/>
          <w:lang w:val="en-US"/>
        </w:rPr>
        <w:t>Array </w:t>
      </w:r>
      <w:r w:rsidRPr="00B6133E">
        <w:rPr>
          <w:rFonts w:ascii="Times New Roman" w:hAnsi="Times New Roman" w:cs="Times New Roman"/>
          <w:lang w:val="en-US"/>
        </w:rPr>
        <w:t xml:space="preserve"> platform, and referred to as the ‘normal sternal BM data set’ (n = 7) (GSE68878)</w:t>
      </w:r>
      <w:r w:rsidR="000C6F5F"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{"citationItems":[{"id":"ITEM-1","itemData":{"DOI":"10.1371/journal.pone.0138236","ISSN":"1932-6203","PMID":"26394393","abstract":"Long noncoding RNAs (lncRNAs) have emerged as important regulators of diverse cellular processes, but their roles in the developing immune system are poorly understood. In this study, we analysed lncRNA expression during human B-cell development by array-based expression profiling of eleven distinct flow-sorted B-cell subsets, comprising pre-B1, pre-B2, immature, naive, memory, and plasma cells from bone marrow biopsies (n = 7), and naive, centroblast, centrocyte, memory, and plasmablast cells from tonsil tissue samples (n = 6), respectively. A remapping strategy was used to assign the array probes to 37630 gene-level probe sets, reflecting recent updates in genomic and transcriptomic databases, which enabled expression profiling of 19579 long noncoding RNAs, comprising 3947 antisense RNAs, 5277 lincRNAs, 7625 pseudogenes, and 2730 additional lncRNAs. As a first step towards inferring the functions of the identified lncRNAs in developing B-cells, we analysed their co-expression with well-characterized protein-coding genes, a method known as \"guilt by association\". By using weighted gene co-expression network analysis, we identified 272 lincRNAs, 471 antisense RNAs, 376 pseudogene RNAs, and 64 lncRNAs within seven sub-networks associated with distinct stages of B-cell development, such as early B-cell development, B-cell proliferation, affinity maturation of antibody, and terminal differentiation. These data provide an important resource for future studies on the functions of lncRNAs in development of the adaptive immune response, and the pathogenesis of B-cell malignancies that originate from distinct B-cell subpopulations.","author":[{"dropping-particle":"","family":"Petri","given":"Andreas","non-dropping-particle":"","parse-names":false,"suffix":""},{"dropping-particle":"","family":"Dybkær","given":"Karen","non-dropping-particle":"","parse-names":false,"suffix":""},{"dropping-particle":"","family":"Bøgsted","given":"Martin","non-dropping-particle":"","parse-names":false,"suffix":""},{"dropping-particle":"","family":"Thrue","given":"Charlotte Albæk","non-dropping-particle":"","parse-names":false,"suffix":""},{"dropping-particle":"","family":"Hagedorn","given":"Peter H","non-dropping-particle":"","parse-names":false,"suffix":""},{"dropping-particle":"","family":"Schmitz","given":"Alexander","non-dropping-particle":"","parse-names":false,"suffix":""},{"dropping-particle":"","family":"Bødker","given":"Julie Støve","non-dropping-particle":"","parse-names":false,"suffix":""},{"dropping-particle":"","family":"Johnsen","given":"Hans Erik","non-dropping-particle":"","parse-names":false,"suffix":""},{"dropping-particle":"","family":"Kauppinen","given":"Sakari","non-dropping-particle":"","parse-names":false,"suffix":""}],"container-title":"PloS one","editor":[{"dropping-particle":"","family":"Qu","given":"Liang-Hu","non-dropping-particle":"","parse-names":false,"suffix":""}],"id":"ITEM-1","issue":"9","issued":{"date-parts":[["2015","9","22"]]},"page":"e0138236","title":"Long Noncoding RNA Expression during Human B-Cell Development.","type":"article-journal","volume":"10"},"uris":["http://www.mendeley.com/documents/?uuid=ec8c4ea8-cf66-3936-849c-1124a07b013a"]}],"mendeley":{"formattedCitation":"&lt;sup&gt;47&lt;/sup&gt;","plainTextFormattedCitation":"47","previouslyFormattedCitation":"&lt;sup&gt;47&lt;/sup&gt;"},"properties":{"noteIndex":0},"schema":"https://github.com/citation-style-language/schema/raw/master/csl-citation.json"}</w:instrText>
      </w:r>
      <w:r w:rsidR="000C6F5F" w:rsidRPr="00B6133E">
        <w:rPr>
          <w:rFonts w:ascii="Times New Roman" w:hAnsi="Times New Roman" w:cs="Times New Roman"/>
          <w:lang w:val="en-US"/>
        </w:rPr>
        <w:fldChar w:fldCharType="separate"/>
      </w:r>
      <w:r w:rsidR="000C6F5F" w:rsidRPr="00B6133E">
        <w:rPr>
          <w:rFonts w:ascii="Times New Roman" w:hAnsi="Times New Roman" w:cs="Times New Roman"/>
          <w:noProof/>
          <w:vertAlign w:val="superscript"/>
          <w:lang w:val="en-US"/>
        </w:rPr>
        <w:t>47</w:t>
      </w:r>
      <w:r w:rsidR="000C6F5F" w:rsidRPr="00B6133E">
        <w:rPr>
          <w:rFonts w:ascii="Times New Roman" w:hAnsi="Times New Roman" w:cs="Times New Roman"/>
          <w:lang w:val="en-US"/>
        </w:rPr>
        <w:fldChar w:fldCharType="end"/>
      </w:r>
      <w:r w:rsidRPr="00B6133E">
        <w:rPr>
          <w:rFonts w:ascii="Times New Roman" w:hAnsi="Times New Roman" w:cs="Times New Roman"/>
          <w:lang w:val="en-US"/>
        </w:rPr>
        <w:t xml:space="preserve">,  the ‘normal </w:t>
      </w:r>
      <w:r w:rsidR="00207B02" w:rsidRPr="00B6133E">
        <w:rPr>
          <w:rFonts w:ascii="Times New Roman" w:hAnsi="Times New Roman" w:cs="Times New Roman"/>
          <w:lang w:val="en-US"/>
        </w:rPr>
        <w:t xml:space="preserve">iliac crest </w:t>
      </w:r>
      <w:r w:rsidRPr="00B6133E">
        <w:rPr>
          <w:rFonts w:ascii="Times New Roman" w:hAnsi="Times New Roman" w:cs="Times New Roman"/>
          <w:lang w:val="en-US"/>
        </w:rPr>
        <w:t>BM aspirate</w:t>
      </w:r>
      <w:r w:rsidR="00207B02" w:rsidRPr="00B6133E">
        <w:rPr>
          <w:rFonts w:ascii="Times New Roman" w:hAnsi="Times New Roman" w:cs="Times New Roman"/>
          <w:lang w:val="en-US"/>
        </w:rPr>
        <w:t>’</w:t>
      </w:r>
      <w:r w:rsidRPr="00B6133E">
        <w:rPr>
          <w:rFonts w:ascii="Times New Roman" w:hAnsi="Times New Roman" w:cs="Times New Roman"/>
          <w:lang w:val="en-US"/>
        </w:rPr>
        <w:t xml:space="preserve"> data set </w:t>
      </w:r>
      <w:r w:rsidR="00207B02" w:rsidRPr="00B6133E">
        <w:rPr>
          <w:rFonts w:ascii="Times New Roman" w:hAnsi="Times New Roman" w:cs="Times New Roman"/>
          <w:lang w:val="en-US"/>
        </w:rPr>
        <w:t>–</w:t>
      </w:r>
      <w:r w:rsidRPr="00B6133E">
        <w:rPr>
          <w:rFonts w:ascii="Times New Roman" w:hAnsi="Times New Roman" w:cs="Times New Roman"/>
          <w:lang w:val="en-US"/>
        </w:rPr>
        <w:t xml:space="preserve"> </w:t>
      </w:r>
      <w:r w:rsidR="00207B02" w:rsidRPr="00B6133E">
        <w:rPr>
          <w:rFonts w:ascii="Times New Roman" w:hAnsi="Times New Roman" w:cs="Times New Roman"/>
          <w:lang w:val="en-US"/>
        </w:rPr>
        <w:t>HuEx-1.0-st</w:t>
      </w:r>
      <w:r w:rsidRPr="00B6133E">
        <w:rPr>
          <w:rFonts w:ascii="Times New Roman" w:hAnsi="Times New Roman" w:cs="Times New Roman"/>
          <w:lang w:val="en-US"/>
        </w:rPr>
        <w:t xml:space="preserve"> (n = 8) (GSE99635), and the ‘normal </w:t>
      </w:r>
      <w:r w:rsidR="00207B02" w:rsidRPr="00B6133E">
        <w:rPr>
          <w:rFonts w:ascii="Times New Roman" w:hAnsi="Times New Roman" w:cs="Times New Roman"/>
          <w:lang w:val="en-US"/>
        </w:rPr>
        <w:t xml:space="preserve">iliac crest </w:t>
      </w:r>
      <w:r w:rsidRPr="00B6133E">
        <w:rPr>
          <w:rFonts w:ascii="Times New Roman" w:hAnsi="Times New Roman" w:cs="Times New Roman"/>
          <w:lang w:val="en-US"/>
        </w:rPr>
        <w:t>BM aspirate</w:t>
      </w:r>
      <w:r w:rsidR="00207B02" w:rsidRPr="00B6133E">
        <w:rPr>
          <w:rFonts w:ascii="Times New Roman" w:hAnsi="Times New Roman" w:cs="Times New Roman"/>
          <w:lang w:val="en-US"/>
        </w:rPr>
        <w:t xml:space="preserve">’ </w:t>
      </w:r>
      <w:r w:rsidRPr="00B6133E">
        <w:rPr>
          <w:rFonts w:ascii="Times New Roman" w:hAnsi="Times New Roman" w:cs="Times New Roman"/>
          <w:lang w:val="en-US"/>
        </w:rPr>
        <w:t xml:space="preserve">data set </w:t>
      </w:r>
      <w:r w:rsidR="00207B02" w:rsidRPr="00B6133E">
        <w:rPr>
          <w:rFonts w:ascii="Times New Roman" w:hAnsi="Times New Roman" w:cs="Times New Roman"/>
          <w:lang w:val="en-US"/>
        </w:rPr>
        <w:t>–</w:t>
      </w:r>
      <w:r w:rsidRPr="00B6133E">
        <w:rPr>
          <w:rFonts w:ascii="Times New Roman" w:hAnsi="Times New Roman" w:cs="Times New Roman"/>
          <w:lang w:val="en-US"/>
        </w:rPr>
        <w:t xml:space="preserve"> </w:t>
      </w:r>
      <w:r w:rsidR="00207B02" w:rsidRPr="00B6133E">
        <w:rPr>
          <w:rFonts w:ascii="Times New Roman" w:hAnsi="Times New Roman" w:cs="Times New Roman"/>
          <w:lang w:val="en-US"/>
        </w:rPr>
        <w:t>Hu-</w:t>
      </w:r>
      <w:r w:rsidRPr="00B6133E">
        <w:rPr>
          <w:rFonts w:ascii="Times New Roman" w:hAnsi="Times New Roman" w:cs="Times New Roman"/>
          <w:lang w:val="en-US"/>
        </w:rPr>
        <w:t>U133</w:t>
      </w:r>
      <w:r w:rsidR="00207B02" w:rsidRPr="00B6133E">
        <w:rPr>
          <w:rFonts w:ascii="Times New Roman" w:hAnsi="Times New Roman" w:cs="Times New Roman"/>
          <w:lang w:val="en-US"/>
        </w:rPr>
        <w:t>-</w:t>
      </w:r>
      <w:r w:rsidRPr="00B6133E">
        <w:rPr>
          <w:rFonts w:ascii="Times New Roman" w:hAnsi="Times New Roman" w:cs="Times New Roman"/>
          <w:lang w:val="en-US"/>
        </w:rPr>
        <w:t>2</w:t>
      </w:r>
      <w:r w:rsidR="00207B02" w:rsidRPr="00B6133E">
        <w:rPr>
          <w:rFonts w:ascii="Times New Roman" w:hAnsi="Times New Roman" w:cs="Times New Roman"/>
          <w:lang w:val="en-US"/>
        </w:rPr>
        <w:t>.0</w:t>
      </w:r>
      <w:r w:rsidRPr="00B6133E">
        <w:rPr>
          <w:rFonts w:ascii="Times New Roman" w:hAnsi="Times New Roman" w:cs="Times New Roman"/>
          <w:lang w:val="en-US"/>
        </w:rPr>
        <w:t xml:space="preserve"> (n = 6) (</w:t>
      </w:r>
      <w:r w:rsidR="002E461F" w:rsidRPr="00B6133E">
        <w:rPr>
          <w:rFonts w:ascii="Times New Roman" w:hAnsi="Times New Roman" w:cs="Times New Roman"/>
          <w:lang w:val="en-US"/>
        </w:rPr>
        <w:t>GSE107843</w:t>
      </w:r>
      <w:r w:rsidRPr="00B6133E">
        <w:rPr>
          <w:rFonts w:ascii="Times New Roman" w:hAnsi="Times New Roman" w:cs="Times New Roman"/>
          <w:lang w:val="en-US"/>
        </w:rPr>
        <w:t xml:space="preserve">). The CEL files have been deposited in the NCBI Gene Expression Omnibus repository </w:t>
      </w:r>
      <w:r w:rsidR="00DB2A3B" w:rsidRPr="00B6133E">
        <w:rPr>
          <w:rFonts w:ascii="Times New Roman" w:hAnsi="Times New Roman" w:cs="Times New Roman"/>
          <w:lang w:val="en-US"/>
        </w:rPr>
        <w:t xml:space="preserve">(GEO) </w:t>
      </w:r>
      <w:r w:rsidRPr="00B6133E">
        <w:rPr>
          <w:rFonts w:ascii="Times New Roman" w:hAnsi="Times New Roman" w:cs="Times New Roman"/>
          <w:lang w:val="en-US"/>
        </w:rPr>
        <w:t xml:space="preserve">with GSE numbers as indicated </w:t>
      </w:r>
      <w:r w:rsidR="00DB2A3B" w:rsidRPr="00B6133E">
        <w:rPr>
          <w:rFonts w:ascii="Times New Roman" w:hAnsi="Times New Roman" w:cs="Times New Roman"/>
          <w:lang w:val="en-US"/>
        </w:rPr>
        <w:t>above</w:t>
      </w:r>
      <w:r w:rsidRPr="00B6133E">
        <w:rPr>
          <w:rFonts w:ascii="Times New Roman" w:hAnsi="Times New Roman" w:cs="Times New Roman"/>
          <w:lang w:val="en-US"/>
        </w:rPr>
        <w:t xml:space="preserve"> and </w:t>
      </w:r>
      <w:r w:rsidRPr="00B6133E">
        <w:rPr>
          <w:rFonts w:ascii="Times New Roman" w:hAnsi="Times New Roman" w:cs="Times New Roman"/>
          <w:lang w:val="en-US"/>
        </w:rPr>
        <w:lastRenderedPageBreak/>
        <w:t>comply with MIAME requirements</w:t>
      </w:r>
      <w:r w:rsidR="00AE5619"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{"citationItems":[{"id":"ITEM-1","itemData":{"DOI":"10.1038/ng1201-365","ISSN":"1061-4036","PMID":"11726920","abstract":"Microarray analysis has become a widely used tool for the generation of gene expression data on a genomic scale. Although many significant results have been derived from microarray studies, one limitation has been the lack of standards for presenting and exchanging such data. Here we present a proposal, the Minimum Information About a Microarray Experiment (MIAME), that describes the minimum information required to ensure that microarray data can be easily interpreted and that results derived from its analysis can be independently verified. The ultimate goal of this work is to establish a standard for recording and reporting microarray-based gene expression data, which will in turn facilitate the establishment of databases and public repositories and enable the development of data analysis tools. With respect to MIAME, we concentrate on defining the content and structure of the necessary information rather than the technical format for capturing it.","author":[{"dropping-particle":"","family":"Brazma","given":"A","non-dropping-particle":"","parse-names":false,"suffix":""},{"dropping-particle":"","family":"Hingamp","given":"P","non-dropping-particle":"","parse-names":false,"suffix":""},{"dropping-particle":"","family":"Quackenbush","given":"J","non-dropping-particle":"","parse-names":false,"suffix":""},{"dropping-particle":"","family":"Sherlock","given":"G","non-dropping-particle":"","parse-names":false,"suffix":""},{"dropping-particle":"","family":"Spellman","given":"P","non-dropping-particle":"","parse-names":false,"suffix":""},{"dropping-particle":"","family":"Stoeckert","given":"C","non-dropping-particle":"","parse-names":false,"suffix":""},{"dropping-particle":"","family":"Aach","given":"J","non-dropping-particle":"","parse-names":false,"suffix":""},{"dropping-particle":"","family":"Ansorge","given":"W","non-dropping-particle":"","parse-names":false,"suffix":""},{"dropping-particle":"","family":"Ball","given":"C A","non-dropping-particle":"","parse-names":false,"suffix":""},{"dropping-particle":"","family":"Causton","given":"H C","non-dropping-particle":"","parse-names":false,"suffix":""},{"dropping-particle":"","family":"Gaasterland","given":"T","non-dropping-particle":"","parse-names":false,"suffix":""},{"dropping-particle":"","family":"Glenisson","given":"P","non-dropping-particle":"","parse-names":false,"suffix":""},{"dropping-particle":"","family":"Holstege","given":"F C","non-dropping-particle":"","parse-names":false,"suffix":""},{"dropping-particle":"","family":"Kim","given":"I F","non-dropping-particle":"","parse-names":false,"suffix":""},{"dropping-particle":"","family":"Markowitz","given":"V","non-dropping-particle":"","parse-names":false,"suffix":""},{"dropping-particle":"","family":"Matese","given":"J C","non-dropping-particle":"","parse-names":false,"suffix":""},{"dropping-particle":"","family":"Parkinson","given":"H","non-dropping-particle":"","parse-names":false,"suffix":""},{"dropping-particle":"","family":"Robinson","given":"A","non-dropping-particle":"","parse-names":false,"suffix":""},{"dropping-particle":"","family":"Sarkans","given":"U","non-dropping-particle":"","parse-names":false,"suffix":""},{"dropping-particle":"","family":"Schulze-Kremer","given":"S","non-dropping-particle":"","parse-names":false,"suffix":""},{"dropping-particle":"","family":"Stewart","given":"J","non-dropping-particle":"","parse-names":false,"suffix":""},{"dropping-particle":"","family":"Taylor","given":"R","non-dropping-particle":"","parse-names":false,"suffix":""},{"dropping-particle":"","family":"Vilo","given":"J","non-dropping-particle":"","parse-names":false,"suffix":""},{"dropping-particle":"","family":"Vingron","given":"M","non-dropping-particle":"","parse-names":false,"suffix":""}],"container-title":"Nature genetics","id":"ITEM-1","issue":"4","issued":{"date-parts":[["2001","12"]]},"page":"365-71","title":"Minimum information about a microarray experiment (MIAME)-toward standards for microarray data.","type":"article-journal","volume":"29"},"uris":["http://www.mendeley.com/documents/?uuid=62bfc00c-ac74-43e6-8c7e-44f8eb36d0b0"]}],"mendeley":{"formattedCitation":"&lt;sup&gt;48&lt;/sup&gt;","plainTextFormattedCitation":"48","previouslyFormattedCitation":"&lt;sup&gt;48&lt;/sup&gt;"},"properties":{"noteIndex":0},"schema":"https://github.com/citation-style-language/schema/raw/master/csl-citation.json"}</w:instrText>
      </w:r>
      <w:r w:rsidR="00AE5619"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48</w:t>
      </w:r>
      <w:r w:rsidR="00AE5619" w:rsidRPr="00B6133E">
        <w:rPr>
          <w:rFonts w:ascii="Times New Roman" w:hAnsi="Times New Roman" w:cs="Times New Roman"/>
          <w:lang w:val="en-US"/>
        </w:rPr>
        <w:fldChar w:fldCharType="end"/>
      </w:r>
      <w:r w:rsidRPr="00B6133E">
        <w:rPr>
          <w:rFonts w:ascii="Times New Roman" w:hAnsi="Times New Roman" w:cs="Times New Roman"/>
          <w:lang w:val="en-US"/>
        </w:rPr>
        <w:t xml:space="preserve">. </w:t>
      </w:r>
    </w:p>
    <w:p w14:paraId="4489FC65" w14:textId="41398F73" w:rsidR="00863873" w:rsidRPr="00B6133E" w:rsidRDefault="009F4C2B" w:rsidP="00826CA4">
      <w:pPr>
        <w:pStyle w:val="Overskrift3"/>
        <w:rPr>
          <w:rFonts w:ascii="Times New Roman" w:hAnsi="Times New Roman" w:cs="Times New Roman"/>
        </w:rPr>
      </w:pPr>
      <w:r w:rsidRPr="00B6133E">
        <w:rPr>
          <w:rFonts w:ascii="Times New Roman" w:hAnsi="Times New Roman" w:cs="Times New Roman"/>
        </w:rPr>
        <w:t xml:space="preserve">Clinical myeloma data sets </w:t>
      </w:r>
    </w:p>
    <w:p w14:paraId="1A57BDB1" w14:textId="7B1B74A6" w:rsidR="004F1FFE" w:rsidRPr="00B6133E" w:rsidRDefault="00BF535C" w:rsidP="000D75C5">
      <w:pPr>
        <w:spacing w:before="0" w:after="0" w:line="480" w:lineRule="auto"/>
        <w:rPr>
          <w:rFonts w:ascii="Times New Roman" w:hAnsi="Times New Roman" w:cs="Times New Roman"/>
          <w:lang w:val="en-US"/>
        </w:rPr>
      </w:pPr>
      <w:r w:rsidRPr="00B6133E">
        <w:rPr>
          <w:rFonts w:ascii="Times New Roman" w:hAnsi="Times New Roman" w:cs="Times New Roman"/>
          <w:lang w:val="en-US"/>
        </w:rPr>
        <w:t>Clinical d</w:t>
      </w:r>
      <w:r w:rsidR="00863873" w:rsidRPr="00B6133E">
        <w:rPr>
          <w:rFonts w:ascii="Times New Roman" w:hAnsi="Times New Roman" w:cs="Times New Roman"/>
          <w:lang w:val="en-US"/>
        </w:rPr>
        <w:t xml:space="preserve">ata originated from </w:t>
      </w:r>
      <w:proofErr w:type="spellStart"/>
      <w:r w:rsidR="00863873" w:rsidRPr="00B6133E">
        <w:rPr>
          <w:rFonts w:ascii="Times New Roman" w:hAnsi="Times New Roman" w:cs="Times New Roman"/>
          <w:lang w:val="en-US"/>
        </w:rPr>
        <w:t>Affymetrix</w:t>
      </w:r>
      <w:proofErr w:type="spellEnd"/>
      <w:r w:rsidR="00863873" w:rsidRPr="00B6133E">
        <w:rPr>
          <w:rFonts w:ascii="Times New Roman" w:hAnsi="Times New Roman" w:cs="Times New Roman"/>
          <w:lang w:val="en-US"/>
        </w:rPr>
        <w:t xml:space="preserve"> microarray analysis of PC-enriched myeloma samples</w:t>
      </w:r>
      <w:r w:rsidR="008B4EB6" w:rsidRPr="00B6133E">
        <w:rPr>
          <w:rFonts w:ascii="Times New Roman" w:hAnsi="Times New Roman" w:cs="Times New Roman"/>
          <w:lang w:val="en-US"/>
        </w:rPr>
        <w:t>,</w:t>
      </w:r>
      <w:r w:rsidR="00863873" w:rsidRPr="00B6133E">
        <w:rPr>
          <w:rFonts w:ascii="Times New Roman" w:hAnsi="Times New Roman" w:cs="Times New Roman"/>
          <w:lang w:val="en-US"/>
        </w:rPr>
        <w:t xml:space="preserve"> from four </w:t>
      </w:r>
      <w:r w:rsidR="00584104" w:rsidRPr="00B6133E">
        <w:rPr>
          <w:rFonts w:ascii="Times New Roman" w:hAnsi="Times New Roman" w:cs="Times New Roman"/>
          <w:lang w:val="en-US"/>
        </w:rPr>
        <w:t xml:space="preserve">prospective clinical </w:t>
      </w:r>
      <w:r w:rsidR="00863873" w:rsidRPr="00B6133E">
        <w:rPr>
          <w:rFonts w:ascii="Times New Roman" w:hAnsi="Times New Roman" w:cs="Times New Roman"/>
          <w:lang w:val="en-US"/>
        </w:rPr>
        <w:t xml:space="preserve">trials: UAMS, </w:t>
      </w:r>
      <w:r w:rsidR="008C4175" w:rsidRPr="00B6133E">
        <w:rPr>
          <w:rFonts w:ascii="Times New Roman" w:hAnsi="Times New Roman" w:cs="Times New Roman"/>
          <w:lang w:val="en-US"/>
        </w:rPr>
        <w:t>HOVON65</w:t>
      </w:r>
      <w:r w:rsidR="00863873" w:rsidRPr="00B6133E">
        <w:rPr>
          <w:rFonts w:ascii="Times New Roman" w:hAnsi="Times New Roman" w:cs="Times New Roman"/>
          <w:lang w:val="en-US"/>
        </w:rPr>
        <w:t xml:space="preserve">/GMMG-HD4, MRC Myeloma IX </w:t>
      </w:r>
      <w:r w:rsidR="0088180E" w:rsidRPr="00B6133E">
        <w:rPr>
          <w:rFonts w:ascii="Times New Roman" w:hAnsi="Times New Roman" w:cs="Times New Roman"/>
          <w:lang w:val="en-US"/>
        </w:rPr>
        <w:t>(</w:t>
      </w:r>
      <w:r w:rsidR="00DB2A3B" w:rsidRPr="00B6133E">
        <w:rPr>
          <w:rFonts w:ascii="Times New Roman" w:hAnsi="Times New Roman" w:cs="Times New Roman"/>
          <w:lang w:val="en-US"/>
        </w:rPr>
        <w:t>All</w:t>
      </w:r>
      <w:r w:rsidR="0088180E" w:rsidRPr="00B6133E">
        <w:rPr>
          <w:rFonts w:ascii="Times New Roman" w:hAnsi="Times New Roman" w:cs="Times New Roman"/>
          <w:lang w:val="en-US"/>
        </w:rPr>
        <w:t xml:space="preserve"> </w:t>
      </w:r>
      <w:r w:rsidRPr="00B6133E">
        <w:rPr>
          <w:rFonts w:ascii="Times New Roman" w:hAnsi="Times New Roman" w:cs="Times New Roman"/>
          <w:lang w:val="en-US"/>
        </w:rPr>
        <w:t>HG</w:t>
      </w:r>
      <w:r w:rsidR="006621A0" w:rsidRPr="00B6133E">
        <w:rPr>
          <w:rFonts w:ascii="Times New Roman" w:hAnsi="Times New Roman" w:cs="Times New Roman"/>
          <w:lang w:val="en-US"/>
        </w:rPr>
        <w:t>-</w:t>
      </w:r>
      <w:r w:rsidR="0088180E" w:rsidRPr="00B6133E">
        <w:rPr>
          <w:rFonts w:ascii="Times New Roman" w:hAnsi="Times New Roman" w:cs="Times New Roman"/>
          <w:lang w:val="en-US"/>
        </w:rPr>
        <w:t>U133</w:t>
      </w:r>
      <w:r w:rsidR="006621A0" w:rsidRPr="00B6133E">
        <w:rPr>
          <w:rFonts w:ascii="Times New Roman" w:hAnsi="Times New Roman" w:cs="Times New Roman"/>
          <w:lang w:val="en-US"/>
        </w:rPr>
        <w:t>-</w:t>
      </w:r>
      <w:r w:rsidR="0088180E" w:rsidRPr="00B6133E">
        <w:rPr>
          <w:rFonts w:ascii="Times New Roman" w:hAnsi="Times New Roman" w:cs="Times New Roman"/>
          <w:lang w:val="en-US"/>
        </w:rPr>
        <w:t>2.0</w:t>
      </w:r>
      <w:r w:rsidRPr="00B6133E">
        <w:rPr>
          <w:rFonts w:ascii="Times New Roman" w:hAnsi="Times New Roman" w:cs="Times New Roman"/>
          <w:lang w:val="en-US"/>
        </w:rPr>
        <w:t xml:space="preserve"> arrays</w:t>
      </w:r>
      <w:r w:rsidR="0088180E" w:rsidRPr="00B6133E">
        <w:rPr>
          <w:rFonts w:ascii="Times New Roman" w:hAnsi="Times New Roman" w:cs="Times New Roman"/>
          <w:lang w:val="en-US"/>
        </w:rPr>
        <w:t>)</w:t>
      </w:r>
      <w:r w:rsidR="000D75C5" w:rsidRPr="00B6133E">
        <w:rPr>
          <w:rFonts w:ascii="Times New Roman" w:hAnsi="Times New Roman" w:cs="Times New Roman"/>
          <w:lang w:val="en-US"/>
        </w:rPr>
        <w:t>,</w:t>
      </w:r>
      <w:r w:rsidR="0088180E" w:rsidRPr="00B6133E">
        <w:rPr>
          <w:rFonts w:ascii="Times New Roman" w:hAnsi="Times New Roman" w:cs="Times New Roman"/>
          <w:lang w:val="en-US"/>
        </w:rPr>
        <w:t xml:space="preserve"> </w:t>
      </w:r>
      <w:r w:rsidR="00863873" w:rsidRPr="00B6133E">
        <w:rPr>
          <w:rFonts w:ascii="Times New Roman" w:hAnsi="Times New Roman" w:cs="Times New Roman"/>
          <w:lang w:val="en-US"/>
        </w:rPr>
        <w:t>and APEX</w:t>
      </w:r>
      <w:r w:rsidR="0088180E" w:rsidRPr="00B6133E">
        <w:rPr>
          <w:rFonts w:ascii="Times New Roman" w:hAnsi="Times New Roman" w:cs="Times New Roman"/>
          <w:lang w:val="en-US"/>
        </w:rPr>
        <w:t xml:space="preserve"> (</w:t>
      </w:r>
      <w:proofErr w:type="spellStart"/>
      <w:r w:rsidR="006621A0" w:rsidRPr="00B6133E">
        <w:rPr>
          <w:rFonts w:ascii="Times New Roman" w:hAnsi="Times New Roman" w:cs="Times New Roman"/>
          <w:lang w:val="en-US"/>
        </w:rPr>
        <w:t>Affymetrix</w:t>
      </w:r>
      <w:proofErr w:type="spellEnd"/>
      <w:r w:rsidR="006621A0" w:rsidRPr="00B6133E">
        <w:rPr>
          <w:rFonts w:ascii="Times New Roman" w:hAnsi="Times New Roman" w:cs="Times New Roman"/>
          <w:lang w:val="en-US"/>
        </w:rPr>
        <w:t xml:space="preserve"> </w:t>
      </w:r>
      <w:r w:rsidRPr="00B6133E">
        <w:rPr>
          <w:rFonts w:ascii="Times New Roman" w:hAnsi="Times New Roman" w:cs="Times New Roman"/>
          <w:lang w:val="en-US"/>
        </w:rPr>
        <w:t xml:space="preserve">Human Genome </w:t>
      </w:r>
      <w:r w:rsidR="0088180E" w:rsidRPr="00B6133E">
        <w:rPr>
          <w:rFonts w:ascii="Times New Roman" w:hAnsi="Times New Roman" w:cs="Times New Roman"/>
          <w:lang w:val="en-US"/>
        </w:rPr>
        <w:t>U133A</w:t>
      </w:r>
      <w:r w:rsidR="006621A0" w:rsidRPr="00B6133E">
        <w:rPr>
          <w:rFonts w:ascii="Times New Roman" w:hAnsi="Times New Roman" w:cs="Times New Roman"/>
          <w:lang w:val="en-US"/>
        </w:rPr>
        <w:t xml:space="preserve"> (HG-U133A)</w:t>
      </w:r>
      <w:r w:rsidR="0088180E" w:rsidRPr="00B6133E">
        <w:rPr>
          <w:rFonts w:ascii="Times New Roman" w:hAnsi="Times New Roman" w:cs="Times New Roman"/>
          <w:lang w:val="en-US"/>
        </w:rPr>
        <w:t xml:space="preserve"> arrays)</w:t>
      </w:r>
      <w:r w:rsidR="00E361F0"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{"citationItems":[{"id":"ITEM-1","itemData":{"ISSN":"0006-4971","PMID":"16728703","abstract":"To better define the molecular basis of multiple myeloma (MM), we performed unsupervised hierarchic clustering of mRNA expression profiles in CD138-enriched plasma cells from 414 newly diagnosed patients who went on to receive high-dose therapy and tandem stem cell transplants. Seven disease subtypes were validated that were strongly influenced by known genetic lesions, such as c-MAF- and MAFB-, CCND1- and CCND3-, and MMSET-activating translocations and hyperdiploidy. Indicative of the deregulation of common pathways by gene orthologs, common gene signatures were observed in cases with c-MAF and MAFB activation and CCND1 and CCND3 activation, the latter consisting of 2 subgroups, one characterized by expression of the early B-cell markers CD20 and PAX5. A low incidence of focal bone disease distinguished one and increased expression of proliferation-associated genes of another novel subgroup. Comprising varying fractions of each of the other 6 subgroups, the proliferation subgroup dominated at relapse, suggesting that this signature is linked to disease progression. Proliferation and MMSET-spike groups were characterized by significant overexpression of genes mapping to chromosome 1q, and both exhibited a poor prognosis relative to the other groups. A subset of cases with a predominating myeloid gene expression signature, excluded from the profiling analyses, had more favorable baseline characteristics and superior prognosis to those lacking this signature.","author":[{"dropping-particle":"","family":"Zhan","given":"Fenghuang","non-dropping-particle":"","parse-names":false,"suffix":""},{"dropping-particle":"","family":"Huang","given":"Yongsheng","non-dropping-particle":"","parse-names":false,"suffix":""},{"dropping-particle":"","family":"Colla","given":"Simona","non-dropping-particle":"","parse-names":false,"suffix":""},{"dropping-particle":"","family":"Stewart","given":"James P","non-dropping-particle":"","parse-names":false,"suffix":""},{"dropping-particle":"","family":"Hanamura","given":"Ichiro","non-dropping-particle":"","parse-names":false,"suffix":""},{"dropping-particle":"","family":"Gupta","given":"Sushil","non-dropping-particle":"","parse-names":false,"suffix":""},{"dropping-particle":"","family":"Epstein","given":"Joshua","non-dropping-particle":"","parse-names":false,"suffix":""},{"dropping-particle":"","family":"Yaccoby","given":"Shmuel","non-dropping-particle":"","parse-names":false,"suffix":""},{"dropping-particle":"","family":"Sawyer","given":"Jeffrey","non-dropping-particle":"","parse-names":false,"suffix":""},{"dropping-particle":"","family":"Burington","given":"Bart","non-dropping-particle":"","parse-names":false,"suffix":""},{"dropping-particle":"","family":"Anaissie","given":"Elias","non-dropping-particle":"","parse-names":false,"suffix":""},{"dropping-particle":"","family":"Hollmig","given":"Klaus","non-dropping-particle":"","parse-names":false,"suffix":""},{"dropping-particle":"","family":"Pineda-Roman","given":"Mauricio","non-dropping-particle":"","parse-names":false,"suffix":""},{"dropping-particle":"","family":"Tricot","given":"Guido","non-dropping-particle":"","parse-names":false,"suffix":""},{"dropping-particle":"","family":"Rhee","given":"Frits","non-dropping-particle":"van","parse-names":false,"suffix":""},{"dropping-particle":"","family":"Walker","given":"Ronald","non-dropping-particle":"","parse-names":false,"suffix":""},{"dropping-particle":"","family":"Zangari","given":"Maurizio","non-dropping-particle":"","parse-names":false,"suffix":""},{"dropping-particle":"","family":"Crowley","given":"John","non-dropping-particle":"","parse-names":false,"suffix":""},{"dropping-particle":"","family":"Barlogie","given":"Bart","non-dropping-particle":"","parse-names":false,"suffix":""},{"dropping-particle":"","family":"Shaughnessy","given":"John D","non-dropping-particle":"","parse-names":false,"suffix":""}],"container-title":"Blood","id":"ITEM-1","issue":"6","issued":{"date-parts":[["2006","9"]]},"page":"2020-8","title":"The molecular classification of multiple myeloma.","type":"article-journal","volume":"108"},"uris":["http://www.mendeley.com/documents/?uuid=fcfc5a3c-8800-4d0b-8d42-19b0ead51aa0"]},{"id":"ITEM-2","itemData":{"DOI":"10.1182/blood-2014-07-552059","ISSN":"1528-0020","PMID":"25293776","abstract":"Does the dogma that multiple myeloma is incurable still hold?. The genomic chaos and resulting resistance to apoptosis of myeloma, long considered an obstacle to cure, formed the basis of Total Therapy (TT) program. The TT approach uses all myeloma-active drugs upfront to target drug-resistant subclones during initial treatment to prevent later relapse. Long-term follow-up of 1202 patients (TT1: n = 231, median follow-up: 21 years; TT2: 668, median follow-up: 12 years; TT3a: n = 303, median follow-up: 9 years) permitted investigation of whether progression-free survival (PFS) and complete response (CR) duration were consistent with curability, ie observation of plateaus in Kaplan-Meier plots for PFS and CR duration. In the subset of 627 patients with plasma cell gene expression profiling data, cure plateaus were apparent at 5 years in the 14% with high-risk myeloma compared with 10 years in the remainder with low-risk disease. A parametric model based on PFS and CR duration supported an increase in curability: 10-year PFS and CR estimates increased from 8.8%/17.9% in TT1 to 15.5%/28.2% in TT2's control arm to 25.1%/35.6% in TT2's thalidomide arm and to 32.9%/48.8% in TT3a. Toward developing novel therapies, we recommend a concerted focus on patients with high-risk myeloma whose outcome has not been advanced.","author":[{"dropping-particle":"","family":"Barlogie","given":"Bart","non-dropping-particle":"","parse-names":false,"suffix":""},{"dropping-particle":"","family":"Mitchell","given":"Alan","non-dropping-particle":"","parse-names":false,"suffix":""},{"dropping-particle":"","family":"Rhee","given":"Frits","non-dropping-particle":"van","parse-names":false,"suffix":""},{"dropping-particle":"","family":"Epstein","given":"Joshua","non-dropping-particle":"","parse-names":false,"suffix":""},{"dropping-particle":"","family":"Morgan","given":"Gareth J","non-dropping-particle":"","parse-names":false,"suffix":""},{"dropping-particle":"","family":"Crowley","given":"John","non-dropping-particle":"","parse-names":false,"suffix":""}],"container-title":"Blood","id":"ITEM-2","issue":"20","issued":{"date-parts":[["2014","11","13"]]},"page":"3043-51","title":"Curing myeloma at last: defining criteria and providing the evidence.","type":"article-journal","volume":"124"},"uris":["http://www.mendeley.com/documents/?uuid=9ec6e06f-962b-3001-8fa8-3a0bb22f0f10"]},{"id":"ITEM-3","itemData":{"DOI":"10.1182/blood-2009-12-261032","ISSN":"0006-4971","PMID":"20574050","abstract":"To identify molecularly defined subgroups in multiple myeloma, gene expression profiling was performed on purified CD138(+) plasma cells of 320 newly diagnosed myeloma patients included in the Dutch-Belgian/German HOVON-65/GMMG-HD4 trial. Hierarchical clustering identified 10 subgroups; 6 corresponded to clusters described in the University of Arkansas for Medical Science (UAMS) classification, CD-1 (n = 13, 4.1%), CD-2 (n = 34, 1.6%), MF (n = 32, 1.0%), MS (n = 33, 1.3%), proliferation-associated genes (n = 15, 4.7%), and hyperdiploid (n = 77, 24.1%). Moreover, the UAMS low percentage of bone disease cluster was identified as a subcluster of the MF cluster (n = 15, 4.7%). One subgroup (n = 39, 12.2%) showed a myeloid signature. Three novel subgroups were defined, including a subgroup of 37 patients (11.6%) characterized by high expression of genes involved in the nuclear factor kappa light-chain-enhancer of activated B cells pathway, which include TNFAIP3 and CD40. Another subgroup of 22 patients (6.9%) was characterized by distinct overexpression of cancer testis antigens without overexpression of proliferation genes. The third novel cluster of 9 patients (2.8%) showed up-regulation of protein tyrosine phosphatases PRL-3 and PTPRZ1 as well as SOCS3. To conclude, in addition to 7 clusters described in the UAMS classification, we identified 3 novel subsets of multiple myeloma that may represent unique diagnostic entities.","author":[{"dropping-particle":"","family":"Broyl","given":"A.","non-dropping-particle":"","parse-names":false,"suffix":""},{"dropping-particle":"","family":"Hose","given":"D.","non-dropping-particle":"","parse-names":false,"suffix":""},{"dropping-particle":"","family":"Lokhorst","given":"H.","non-dropping-particle":"","parse-names":false,"suffix":""},{"dropping-particle":"","family":"Knegt","given":"Y.","non-dropping-particle":"de","parse-names":false,"suffix":""},{"dropping-particle":"","family":"Peeters","given":"J.","non-dropping-particle":"","parse-names":false,"suffix":""},{"dropping-particle":"","family":"Jauch","given":"A.","non-dropping-particle":"","parse-names":false,"suffix":""},{"dropping-particle":"","family":"Bertsch","given":"U.","non-dropping-particle":"","parse-names":false,"suffix":""},{"dropping-particle":"","family":"Buijs","given":"A.","non-dropping-particle":"","parse-names":false,"suffix":""},{"dropping-particle":"","family":"Stevens-Kroef","given":"M.","non-dropping-particle":"","parse-names":false,"suffix":""},{"dropping-particle":"","family":"Beverloo","given":"H. B.","non-dropping-particle":"","parse-names":false,"suffix":""},{"dropping-particle":"","family":"Vellenga","given":"E.","non-dropping-particle":"","parse-names":false,"suffix":""},{"dropping-particle":"","family":"Zweegman","given":"S.","non-dropping-particle":"","parse-names":false,"suffix":""},{"dropping-particle":"","family":"Kersten","given":"M.-J.","non-dropping-particle":"","parse-names":false,"suffix":""},{"dropping-particle":"","family":"Holt","given":"B.","non-dropping-particle":"van der","parse-names":false,"suffix":""},{"dropping-particle":"","family":"Jarari","given":"L.","non-dropping-particle":"el","parse-names":false,"suffix":""},{"dropping-particle":"","family":"Mulligan","given":"G.","non-dropping-particle":"","parse-names":false,"suffix":""},{"dropping-particle":"","family":"Goldschmidt","given":"H.","non-dropping-particle":"","parse-names":false,"suffix":""},{"dropping-particle":"","family":"Duin","given":"M.","non-dropping-particle":"van","parse-names":false,"suffix":""},{"dropping-particle":"","family":"Sonneveld","given":"P.","non-dropping-particle":"","parse-names":false,"suffix":""}],"container-title":"Blood","id":"ITEM-3","issue":"14","issued":{"date-parts":[["2010","10","7"]]},"page":"2543-2553","title":"Gene expression profiling for molecular classification of multiple myeloma in newly diagnosed patients","type":"article-journal","volume":"116"},"uris":["http://www.mendeley.com/documents/?uuid=55d29319-1488-30a1-9b7a-89641ffaa757"]},{"id":"ITEM-4","itemData":{"DOI":"10.3324/haematol.2011.043372","ISSN":"0390-6078","PMID":"22058209","abstract":"BACKGROUND Thalidomide is active in multiple myeloma and is associated with minimal myelosuppression, making it a good candidate for induction therapy prior to high-dose therapy with autologous stem-cell transplantation. DESIGN AND METHODS Oral cyclophosphamide, thalidomide, and dexamethasone was compared with infusional cyclophosphamide, vincristine, doxorubicin, and dexamethasone in patients with newly diagnosed multiple myeloma. RESULTS The post-induction overall response rate (≥ partial response) for the intent-to-treat population was significantly higher with cyclophosphamide-thalidomide-dexamethasone (n=555) versus cyclophosphamide-vincristine-doxorubicin-dexamethasone (n=556); 82.5% versus 71.2%; odds ratio 1.91; 95% confidence interval 1.44-2.55; P&lt;0.0001. The complete response rates were 13.0% with cyclophosphamide-thalidomide-dexamethasone and 8.1% with cyclophos-phamide-vincristine-doxorubicin-dexamethasone (P=0.0083), with this differential response being maintained in patients who received autologous stem-cell transplantation (post-transplant complete response 50.0% versus 37.2%, respectively; P=0.00052). Cyclophosphamide-thalidomide-dexamethasone was non-inferior to cyclophosphamide-vincristine-doxorubicin-dexamethasone for progression-free and overall survival, and there was a trend toward a late survival benefit with cyclophosphamide-thalidomide-dexamethasone in responders. A trend toward an overall survival advantage for cyclophosphamide-thalidomide-dexamethasone over cyclophosphamide-vincristine-doxorubicin-dexamethasone was also observed in a subgroup of patients with favorable interphase fluorescence in situ hybridization. Compared with cyclophosphamide-vincristine-doxorubicin-dexamethasone, cyclophosphamide-thalidomide-dexamethasone was associated with more constipation and somnolence, but a lower incidence of cytopenias. CONCLUSIONS The cyclophosphamide-thalidomide-dexamethasone regimen showed improved response rates and was not inferior in terms of survival outcomes to the standard infusional regimen of cyclophosphamide-vincristine-doxorubicin-dexamethasone. Based on its oral administration and the reduced incidence of infection and cytopenia, cyclophosphamide-thalidomide-dexa-methasone may be considered an effective induction therapy option for patients with newly diagnosed multiple myeloma. (ISRCTN: 68454111).","author":[{"dropping-particle":"","family":"Morgan","given":"G. J.","non-dropping-particle":"","parse-names":false,"suffix":""},{"dropping-particle":"","family":"Davies","given":"F. E.","non-dropping-particle":"","parse-names":false,"suffix":""},{"dropping-particle":"","family":"Gregory","given":"W. M.","non-dropping-particle":"","parse-names":false,"suffix":""},{"dropping-particle":"","family":"Bell","given":"S. E.","non-dropping-particle":"","parse-names":false,"suffix":""},{"dropping-particle":"","family":"Szubert","given":"A. J.","non-dropping-particle":"","parse-names":false,"suffix":""},{"dropping-particle":"","family":"Navarro Coy","given":"N.","non-dropping-particle":"","parse-names":false,"suffix":""},{"dropping-particle":"","family":"Cook","given":"G.","non-dropping-particle":"","parse-names":false,"suffix":""},{"dropping-particle":"","family":"Feyler","given":"S.","non-dropping-particle":"","parse-names":false,"suffix":""},{"dropping-particle":"","family":"Johnson","given":"P. R. E.","non-dropping-particle":"","parse-names":false,"suffix":""},{"dropping-particle":"","family":"Rudin","given":"C.","non-dropping-particle":"","parse-names":false,"suffix":""},{"dropping-particle":"","family":"Drayson","given":"M. T.","non-dropping-particle":"","parse-names":false,"suffix":""},{"dropping-particle":"","family":"Owen","given":"R. G.","non-dropping-particle":"","parse-names":false,"suffix":""},{"dropping-particle":"","family":"Ross","given":"F. M.","non-dropping-particle":"","parse-names":false,"suffix":""},{"dropping-particle":"","family":"Russell","given":"N. H.","non-dropping-particle":"","parse-names":false,"suffix":""},{"dropping-particle":"","family":"Jackson","given":"G. H.","non-dropping-particle":"","parse-names":false,"suffix":""},{"dropping-particle":"","family":"Child","given":"J. A.","non-dropping-particle":"","parse-names":false,"suffix":""},{"dropping-particle":"","family":"National Cancer Research Institute Haematological Oncology Clinical Studies Group","given":"","non-dropping-particle":"","parse-names":false,"suffix":""}],"container-title":"Haematologica","id":"ITEM-4","issue":"3","issued":{"date-parts":[["2012","3","1"]]},"page":"442-450","title":"Cyclophosphamide, thalidomide, and dexamethasone as induction therapy for newly diagnosed multiple myeloma patients destined for autologous stem-cell transplantation: MRC Myeloma IX randomized trial results","type":"article-journal","volume":"97"},"uris":["http://www.mendeley.com/documents/?uuid=f1602bc0-fdec-3f28-b0e6-7e1b8f58a44f"]},{"id":"ITEM-5","itemData":{"DOI":"10.1182/blood-2006-09-044974","ISSN":"0006-4971","PMID":"17185464","abstract":"The aims of this study were to assess the feasibility of prospective pharmacogenomics research in multicenter international clinical trials of bortezomib in multiple myeloma and to develop predictive classifiers of response and survival with bortezomib. Patients with relapsed myeloma enrolled in phase 2 and phase 3 clinical trials of bortezomib and consented to genomic analyses of pretreatment tumor samples. Bone marrow aspirates were subject to a negative-selection procedure to enrich for tumor cells, and these samples were used for gene expression profiling using DNA microarrays. Data quality and correlations with trial outcomes were assessed by multiple groups. Gene expression in this dataset was consistent with data published from a single-center study of newly diagnosed multiple myeloma. Response and survival classifiers were developed and shown to be significantly associated with outcome via testing on independent data. The survival classifier improved on the risk stratification provided by the International Staging System. Predictive models and biologic correlates of response show some specificity for bortezomib rather than dexamethasone. Informative gene expression data and genomic classifiers that predict clinical outcome can be derived from prospective clinical trials of new anticancer agents.","author":[{"dropping-particle":"","family":"Mulligan","given":"G.","non-dropping-particle":"","parse-names":false,"suffix":""},{"dropping-particle":"","family":"Mitsiades","given":"C.","non-dropping-particle":"","parse-names":false,"suffix":""},{"dropping-particle":"","family":"Bryant","given":"B.","non-dropping-particle":"","parse-names":false,"suffix":""},{"dropping-particle":"","family":"Zhan","given":"F.","non-dropping-particle":"","parse-names":false,"suffix":""},{"dropping-particle":"","family":"Chng","given":"W. J.","non-dropping-particle":"","parse-names":false,"suffix":""},{"dropping-particle":"","family":"Roels","given":"S.","non-dropping-particle":"","parse-names":false,"suffix":""},{"dropping-particle":"","family":"Koenig","given":"E.","non-dropping-particle":"","parse-names":false,"suffix":""},{"dropping-particle":"","family":"Fergus","given":"A.","non-dropping-particle":"","parse-names":false,"suffix":""},{"dropping-particle":"","family":"Huang","given":"Y.","non-dropping-particle":"","parse-names":false,"suffix":""},{"dropping-particle":"","family":"Richardson","given":"P.","non-dropping-particle":"","parse-names":false,"suffix":""},{"dropping-particle":"","family":"Trepicchio","given":"W. L.","non-dropping-particle":"","parse-names":false,"suffix":""},{"dropping-particle":"","family":"Broyl","given":"A.","non-dropping-particle":"","parse-names":false,"suffix":""},{"dropping-particle":"","family":"Sonneveld","given":"P.","non-dropping-particle":"","parse-names":false,"suffix":""},{"dropping-particle":"","family":"Shaughnessy","given":"J. D.","non-dropping-particle":"","parse-names":false,"suffix":""},{"dropping-particle":"","family":"Leif Bergsagel","given":"P.","non-dropping-particle":"","parse-names":false,"suffix":""},{"dropping-particle":"","family":"Schenkein","given":"D.","non-dropping-particle":"","parse-names":false,"suffix":""},{"dropping-particle":"","family":"Esseltine","given":"D.-L.","non-dropping-particle":"","parse-names":false,"suffix":""},{"dropping-particle":"","family":"Boral","given":"A.","non-dropping-particle":"","parse-names":false,"suffix":""},{"dropping-particle":"","family":"Anderson","given":"K. C.","non-dropping-particle":"","parse-names":false,"suffix":""}],"container-title":"Blood","id":"ITEM-5","issue":"8","issued":{"date-parts":[["2007","4","15"]]},"page":"3177-3188","title":"Gene expression profiling and correlation with outcome in clinical trials of the proteasome inhibitor bortezomib","type":"article-journal","volume":"109"},"uris":["http://www.mendeley.com/documents/?uuid=eca0b90e-bedf-3c43-b209-4da61f88d778"]},{"id":"ITEM-6","itemData":{"DOI":"10.1056/NEJMoa043445","ISSN":"0028-4793","abstract":"Background This study compared bortezomib with high-dose dexamethasone in patients with relapsed multiple myeloma who had received one to three previous therapies. Methods We randomly assigned 669 patients with relapsed myeloma to receive either an intravenous bolus of bortezomib (1.3 mg per square meter of body-surface area) on days 1, 4, 8, and 11 for eight three-week cycles, followed by treatment on days 1, 8, 15, and 22 for three five-week cycles, or high-dose dexamethasone (40 mg orally) on days 1 through 4, 9 through 12, and 17 through 20 for four five-week cycles, followed by treatment on days 1 through 4 for five four-week cycles. Patients who were assigned to receive dexamethasone were permitted to cross over to receive bortezomib in a companion study after disease progression. Results Patients treated with bortezomib had higher response rates, a longer time to progression (the primary end point), and a longer survival than patients treated with dexamethasone. The combined complete and partial re...","author":[{"dropping-particle":"","family":"Richardson","given":"Paul G.","non-dropping-particle":"","parse-names":false,"suffix":""},{"dropping-particle":"","family":"Sonneveld","given":"Pieter","non-dropping-particle":"","parse-names":false,"suffix":""},{"dropping-particle":"","family":"Schuster","given":"Michael W.","non-dropping-particle":"","parse-names":false,"suffix":""},{"dropping-particle":"","family":"Irwin","given":"David","non-dropping-particle":"","parse-names":false,"suffix":""},{"dropping-particle":"","family":"Stadtmauer","given":"Edward A.","non-dropping-particle":"","parse-names":false,"suffix":""},{"dropping-particle":"","family":"Facon","given":"Thierry","non-dropping-particle":"","parse-names":false,"suffix":""},{"dropping-particle":"","family":"Harousseau","given":"Jean-Luc","non-dropping-particle":"","parse-names":false,"suffix":""},{"dropping-particle":"","family":"Ben-Yehuda","given":"Dina","non-dropping-particle":"","parse-names":false,"suffix":""},{"dropping-particle":"","family":"Lonial","given":"Sagar","non-dropping-particle":"","parse-names":false,"suffix":""},{"dropping-particle":"","family":"Goldschmidt","given":"Hartmut","non-dropping-particle":"","parse-names":false,"suffix":""},{"dropping-particle":"","family":"Reece","given":"Donna","non-dropping-particle":"","parse-names":false,"suffix":""},{"dropping-particle":"","family":"San-Miguel","given":"Jesus F.","non-dropping-particle":"","parse-names":false,"suffix":""},{"dropping-particle":"","family":"Bladé","given":"Joan","non-dropping-particle":"","parse-names":false,"suffix":""},{"dropping-particle":"","family":"Boccadoro","given":"Mario","non-dropping-particle":"","parse-names":false,"suffix":""},{"dropping-particle":"","family":"Cavenagh","given":"Jamie","non-dropping-particle":"","parse-names":false,"suffix":""},{"dropping-particle":"","family":"Dalton","given":"William S.","non-dropping-particle":"","parse-names":false,"suffix":""},{"dropping-particle":"","family":"Boral","given":"Anthony L.","non-dropping-particle":"","parse-names":false,"suffix":""},{"dropping-particle":"","family":"Esseltine","given":"Dixie L.","non-dropping-particle":"","parse-names":false,"suffix":""},{"dropping-particle":"","family":"Porter","given":"Jane B.","non-dropping-particle":"","parse-names":false,"suffix":""},{"dropping-particle":"","family":"Schenkein","given":"David","non-dropping-particle":"","parse-names":false,"suffix":""},{"dropping-particle":"","family":"Anderson","given":"Kenneth C.","non-dropping-particle":"","parse-names":false,"suffix":""}],"container-title":"New England Journal of Medicine","id":"ITEM-6","issue":"24","issued":{"date-parts":[["2005","6","16"]]},"page":"2487-2498","publisher":" Massachusetts Medical Society ","title":"Bortezomib or High-Dose Dexamethasone for Relapsed Multiple Myeloma","type":"article-journal","volume":"352"},"uris":["http://www.mendeley.com/documents/?uuid=7b716c2c-a680-3a88-ae77-0e7711a20851"]}],"mendeley":{"formattedCitation":"&lt;sup&gt;35,36,49–52&lt;/sup&gt;","plainTextFormattedCitation":"35,36,49–52","previouslyFormattedCitation":"&lt;sup&gt;35,36,49–52&lt;/sup&gt;"},"properties":{"noteIndex":0},"schema":"https://github.com/citation-style-language/schema/raw/master/csl-citation.json"}</w:instrText>
      </w:r>
      <w:r w:rsidR="00E361F0"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35,36,49–52</w:t>
      </w:r>
      <w:r w:rsidR="00E361F0" w:rsidRPr="00B6133E">
        <w:rPr>
          <w:rFonts w:ascii="Times New Roman" w:hAnsi="Times New Roman" w:cs="Times New Roman"/>
          <w:lang w:val="en-US"/>
        </w:rPr>
        <w:fldChar w:fldCharType="end"/>
      </w:r>
      <w:r w:rsidR="00E1771A" w:rsidRPr="00B6133E">
        <w:rPr>
          <w:rFonts w:ascii="Times New Roman" w:hAnsi="Times New Roman" w:cs="Times New Roman"/>
          <w:lang w:val="en-US"/>
        </w:rPr>
        <w:t xml:space="preserve"> </w:t>
      </w:r>
      <w:r w:rsidR="000D75C5" w:rsidRPr="00B6133E">
        <w:rPr>
          <w:rFonts w:ascii="Times New Roman" w:hAnsi="Times New Roman" w:cs="Times New Roman"/>
          <w:lang w:val="en-US"/>
        </w:rPr>
        <w:t>as well as a preclinical study: IFM-DFCI</w:t>
      </w:r>
      <w:r w:rsidR="00E361F0"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{"citationItems":[{"id":"ITEM-1","itemData":{"DOI":"10.1016/j.ccr.2012.08.007","ISSN":"15356108","PMID":"22975377","abstract":"Bortezomib therapy has proven successful for the treatment of relapsed/refractory, relapsed, and newly diagnosed multiple myeloma (MM); however, dose-limiting toxicities and the development of resistance limit its long-term utility. Here, we show that P5091 is an inhibitor of deubiquitylating enzyme USP7, which induces apoptosis in MM cells resistant to conventional and bortezomib therapies. Biochemical and genetic studies show that blockade of HDM2 and p21 abrogates P5091-induced cytotoxicity. In animal tumor model studies, P5091 is well tolerated, inhibits tumor growth, and prolongs survival. Combining P5091 with lenalidomide, HDAC inhibitor SAHA, or dexamethasone triggers synergistic anti-MM activity. Our preclinical study therefore supports clinical evaluation of USP7 inhibitor, alone or in combination, as a potential MM therapy.","author":[{"dropping-particle":"","family":"Chauhan","given":"Dharminder","non-dropping-particle":"","parse-names":false,"suffix":""},{"dropping-particle":"","family":"Tian","given":"Ze","non-dropping-particle":"","parse-names":false,"suffix":""},{"dropping-particle":"","family":"Nicholson","given":"Benjamin","non-dropping-particle":"","parse-names":false,"suffix":""},{"dropping-particle":"","family":"Kumar","given":"K.G. Suresh","non-dropping-particle":"","parse-names":false,"suffix":""},{"dropping-particle":"","family":"Zhou","given":"Bin","non-dropping-particle":"","parse-names":false,"suffix":""},{"dropping-particle":"","family":"Carrasco","given":"Ruben","non-dropping-particle":"","parse-names":false,"suffix":""},{"dropping-particle":"","family":"McDermott","given":"Jeffrey L.","non-dropping-particle":"","parse-names":false,"suffix":""},{"dropping-particle":"","family":"Leach","given":"Craig A.","non-dropping-particle":"","parse-names":false,"suffix":""},{"dropping-particle":"","family":"Fulcinniti","given":"Mariaterresa","non-dropping-particle":"","parse-names":false,"suffix":""},{"dropping-particle":"","family":"Kodrasov","given":"Matthew P.","non-dropping-particle":"","parse-names":false,"suffix":""},{"dropping-particle":"","family":"Weinstock","given":"Joseph","non-dropping-particle":"","parse-names":false,"suffix":""},{"dropping-particle":"","family":"Kingsbury","given":"William D.","non-dropping-particle":"","parse-names":false,"suffix":""},{"dropping-particle":"","family":"Hideshima","given":"Teru","non-dropping-particle":"","parse-names":false,"suffix":""},{"dropping-particle":"","family":"Shah","given":"Parantu K.","non-dropping-particle":"","parse-names":false,"suffix":""},{"dropping-particle":"","family":"Minvielle","given":"Stephane","non-dropping-particle":"","parse-names":false,"suffix":""},{"dropping-particle":"","family":"Altun","given":"Mikael","non-dropping-particle":"","parse-names":false,"suffix":""},{"dropping-particle":"","family":"Kessler","given":"Benedikt M.","non-dropping-particle":"","parse-names":false,"suffix":""},{"dropping-particle":"","family":"Orlowski","given":"Robert","non-dropping-particle":"","parse-names":false,"suffix":""},{"dropping-particle":"","family":"Richardson","given":"Paul","non-dropping-particle":"","parse-names":false,"suffix":""},{"dropping-particle":"","family":"Munshi","given":"Nikhil","non-dropping-particle":"","parse-names":false,"suffix":""},{"dropping-particle":"","family":"Anderson","given":"Kenneth C.","non-dropping-particle":"","parse-names":false,"suffix":""}],"container-title":"Cancer Cell","id":"ITEM-1","issue":"3","issued":{"date-parts":[["2012","9","11"]]},"page":"345-358","title":"A Small Molecule Inhibitor of Ubiquitin-Specific Protease-7 Induces Apoptosis in Multiple Myeloma Cells and Overcomes Bortezomib Resistance","type":"article-journal","volume":"22"},"uris":["http://www.mendeley.com/documents/?uuid=ef1df137-93a8-3956-82ba-26d474ad6a9f"]},{"id":"ITEM-2","itemData":{"DOI":"10.1200/JCO.2008.20.6136","ISSN":"0732-183X","PMID":"19687334","abstract":"PURPOSE Chromosomal aberrations are a hallmark of multiple myeloma but their global prognostic impact is largely unknown. PATIENTS AND METHODS We performed a genome-wide analysis of malignant plasma cells from 192 newly diagnosed patients with myeloma using high-density, single-nucleotide polymorphism (SNP) arrays to identify genetic lesions associated with prognosis. RESULTS Our analyses revealed deletions and amplifications in 98% of patients. Amplifications in 1q and deletions in 1p, 12p, 14q, 16q, and 22q were the most frequent lesions associated with adverse prognosis, whereas recurrent amplifications of chromosomes 5, 9, 11, 15, and 19 conferred a favorable prognosis. Multivariate analysis retained three independent lesions: amp(1q23.3), amp(5q31.3), and del(12p13.31). When adjusted to the established prognostic variables (ie, t(4;14), del(17p), and serum beta(2)-microglobulin [Sbeta(2)M]), del(12p13.31) remained the most powerful independent adverse marker (P &lt; .0001; hazard ratio [HR], 3.17) followed by Sbeta(2)M (P &lt; .0001; HR, 2.78) and the favorable marker amp(5q31.3) (P = .0005; HR, 0.37). Patients with amp(5q31.3) alone and low Sbeta(2)M had an excellent prognosis (5-year overall survival, 87%); conversely, patients with del(12p13.31) alone or amp(5q31.3) and del(12p13.31) and high Sbeta(2)M had a very poor outcome (5-year overall survival, 20%). This prognostic model was validated in an independent validation cohort of 273 patients with myeloma. CONCLUSION These findings demonstrate the power and accessibility of molecular karyotyping to predict outcome in myeloma. In addition, integration of expression of genes residing in the lesions of interest revealed putative features of the disease driving short survival.","author":[{"dropping-particle":"","family":"Avet-Loiseau","given":"Hervé","non-dropping-particle":"","parse-names":false,"suffix":""},{"dropping-particle":"","family":"Li","given":"Cheng","non-dropping-particle":"","parse-names":false,"suffix":""},{"dropping-particle":"","family":"Magrangeas","given":"Florence","non-dropping-particle":"","parse-names":false,"suffix":""},{"dropping-particle":"","family":"Gouraud","given":"Wilfried","non-dropping-particle":"","parse-names":false,"suffix":""},{"dropping-particle":"","family":"Charbonnel","given":"Catherine","non-dropping-particle":"","parse-names":false,"suffix":""},{"dropping-particle":"","family":"Harousseau","given":"Jean-Luc","non-dropping-particle":"","parse-names":false,"suffix":""},{"dropping-particle":"","family":"Attal","given":"Michel","non-dropping-particle":"","parse-names":false,"suffix":""},{"dropping-particle":"","family":"Marit","given":"Gerald","non-dropping-particle":"","parse-names":false,"suffix":""},{"dropping-particle":"","family":"Mathiot","given":"Claire","non-dropping-particle":"","parse-names":false,"suffix":""},{"dropping-particle":"","family":"Facon","given":"Thierry","non-dropping-particle":"","parse-names":false,"suffix":""},{"dropping-particle":"","family":"Moreau","given":"Philippe","non-dropping-particle":"","parse-names":false,"suffix":""},{"dropping-particle":"","family":"Anderson","given":"Kenneth C.","non-dropping-particle":"","parse-names":false,"suffix":""},{"dropping-particle":"","family":"Campion","given":"Loïc","non-dropping-particle":"","parse-names":false,"suffix":""},{"dropping-particle":"","family":"Munshi","given":"Nikhil C.","non-dropping-particle":"","parse-names":false,"suffix":""},{"dropping-particle":"","family":"Minvielle","given":"Stéphane","non-dropping-particle":"","parse-names":false,"suffix":""}],"container-title":"Journal of Clinical Oncology","id":"ITEM-2","issue":"27","issued":{"date-parts":[["2009","9","20"]]},"page":"4585-4590","title":"Prognostic Significance of Copy-Number Alterations in Multiple Myeloma","type":"article-journal","volume":"27"},"uris":["http://www.mendeley.com/documents/?uuid=fbd95126-60f1-39b9-91ff-74d3164c9330"]}],"mendeley":{"formattedCitation":"&lt;sup&gt;37,53&lt;/sup&gt;","plainTextFormattedCitation":"37,53","previouslyFormattedCitation":"&lt;sup&gt;37,53&lt;/sup&gt;"},"properties":{"noteIndex":0},"schema":"https://github.com/citation-style-language/schema/raw/master/csl-citation.json"}</w:instrText>
      </w:r>
      <w:r w:rsidR="00E361F0"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37,53</w:t>
      </w:r>
      <w:r w:rsidR="00E361F0" w:rsidRPr="00B6133E">
        <w:rPr>
          <w:rFonts w:ascii="Times New Roman" w:hAnsi="Times New Roman" w:cs="Times New Roman"/>
          <w:lang w:val="en-US"/>
        </w:rPr>
        <w:fldChar w:fldCharType="end"/>
      </w:r>
      <w:r w:rsidR="000D75C5" w:rsidRPr="00B6133E">
        <w:rPr>
          <w:rFonts w:ascii="Times New Roman" w:hAnsi="Times New Roman" w:cs="Times New Roman"/>
          <w:b/>
          <w:lang w:val="en-US"/>
        </w:rPr>
        <w:t xml:space="preserve"> </w:t>
      </w:r>
      <w:r w:rsidR="00740C71" w:rsidRPr="00B6133E">
        <w:rPr>
          <w:rFonts w:ascii="Times New Roman" w:hAnsi="Times New Roman" w:cs="Times New Roman"/>
          <w:lang w:val="en-US"/>
        </w:rPr>
        <w:t>(</w:t>
      </w:r>
      <w:r w:rsidR="00EE022C" w:rsidRPr="00B6133E">
        <w:rPr>
          <w:rFonts w:ascii="Times New Roman" w:hAnsi="Times New Roman" w:cs="Times New Roman"/>
          <w:lang w:val="en-US"/>
        </w:rPr>
        <w:t>Hu</w:t>
      </w:r>
      <w:r w:rsidR="00740C71" w:rsidRPr="00B6133E">
        <w:rPr>
          <w:rFonts w:ascii="Times New Roman" w:hAnsi="Times New Roman" w:cs="Times New Roman"/>
          <w:lang w:val="en-US"/>
        </w:rPr>
        <w:t>Ex</w:t>
      </w:r>
      <w:r w:rsidR="006621A0" w:rsidRPr="00B6133E">
        <w:rPr>
          <w:rFonts w:ascii="Times New Roman" w:hAnsi="Times New Roman" w:cs="Times New Roman"/>
          <w:lang w:val="en-US"/>
        </w:rPr>
        <w:t>-</w:t>
      </w:r>
      <w:r w:rsidR="00740C71" w:rsidRPr="00B6133E">
        <w:rPr>
          <w:rFonts w:ascii="Times New Roman" w:hAnsi="Times New Roman" w:cs="Times New Roman"/>
          <w:lang w:val="en-US"/>
        </w:rPr>
        <w:t>1.0</w:t>
      </w:r>
      <w:r w:rsidR="006621A0" w:rsidRPr="00B6133E">
        <w:rPr>
          <w:rFonts w:ascii="Times New Roman" w:hAnsi="Times New Roman" w:cs="Times New Roman"/>
          <w:lang w:val="en-US"/>
        </w:rPr>
        <w:t xml:space="preserve">-st </w:t>
      </w:r>
      <w:r w:rsidR="00740C71" w:rsidRPr="00B6133E">
        <w:rPr>
          <w:rFonts w:ascii="Times New Roman" w:hAnsi="Times New Roman" w:cs="Times New Roman"/>
          <w:lang w:val="en-US"/>
        </w:rPr>
        <w:t>arrays)</w:t>
      </w:r>
      <w:r w:rsidRPr="00B6133E">
        <w:rPr>
          <w:rFonts w:ascii="Times New Roman" w:hAnsi="Times New Roman" w:cs="Times New Roman"/>
          <w:lang w:val="en-US"/>
        </w:rPr>
        <w:t>.</w:t>
      </w:r>
    </w:p>
    <w:p w14:paraId="70184182" w14:textId="5E0B0F66" w:rsidR="00BF535C" w:rsidRPr="00B6133E" w:rsidRDefault="00BF535C" w:rsidP="00BF535C">
      <w:pPr>
        <w:spacing w:before="0" w:after="0" w:line="480" w:lineRule="auto"/>
        <w:rPr>
          <w:rFonts w:ascii="Times New Roman" w:hAnsi="Times New Roman" w:cs="Times New Roman"/>
          <w:lang w:val="en-US"/>
        </w:rPr>
      </w:pPr>
      <w:r w:rsidRPr="00B6133E">
        <w:rPr>
          <w:rFonts w:ascii="Times New Roman" w:hAnsi="Times New Roman" w:cs="Times New Roman"/>
          <w:lang w:val="en-US"/>
        </w:rPr>
        <w:t>The following 3 cohorts were utilized for BAGS assignment and subtype association in the disease stages MGUS, SMM, RMM, PCL, and HMCL: The Salamanca cohort (</w:t>
      </w:r>
      <w:proofErr w:type="spellStart"/>
      <w:r w:rsidR="006621A0" w:rsidRPr="00B6133E">
        <w:rPr>
          <w:rFonts w:ascii="Times New Roman" w:hAnsi="Times New Roman" w:cs="Times New Roman"/>
          <w:lang w:val="en-US"/>
        </w:rPr>
        <w:t>Affymetrix</w:t>
      </w:r>
      <w:proofErr w:type="spellEnd"/>
      <w:r w:rsidR="006621A0" w:rsidRPr="00B6133E">
        <w:rPr>
          <w:rFonts w:ascii="Times New Roman" w:hAnsi="Times New Roman" w:cs="Times New Roman"/>
          <w:lang w:val="en-US"/>
        </w:rPr>
        <w:t xml:space="preserve"> </w:t>
      </w:r>
      <w:r w:rsidRPr="00B6133E">
        <w:rPr>
          <w:rFonts w:ascii="Times New Roman" w:hAnsi="Times New Roman" w:cs="Times New Roman"/>
          <w:lang w:val="en-US"/>
        </w:rPr>
        <w:t>Human Gene 1.0 ST arrays)</w:t>
      </w:r>
      <w:r w:rsidR="00AE5619"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{"citationItems":[{"id":"ITEM-1","itemData":{"DOI":"10.3324/haematol.2013.087809","ISSN":"0390-6078","PMID":"24816239","abstract":"A multistep model has been proposed of disease progression starting in monoclonal gammopathy of undetermined significance continuing through multiple myeloma, sometimes with an intermediate entity called smoldering myeloma, and ending in extramedullary disease. To gain further insights into the role of the transcriptome deregulation in the transition from a normal plasma cell to a clonal plasma cell, and from an indolent clonal plasma cell to a malignant plasma cell, we performed gene expression profiling in 20 patients with monoclonal gammopathy of undetermined significance, 33 with high-risk smoldering myeloma and 41 with multiple myeloma. The analysis showed that 126 genes were differentially expressed in monoclonal gammopathy of undetermined significance, smoldering myeloma and multiple myeloma as compared to normal plasma cell. Interestingly, 17 and 9 out of the 126 significant differentially expressed genes were small nucleolar RNA molecules and zinc finger proteins. Several proapoptotic genes (AKT1 and AKT2) were down-regulated and antiapoptotic genes (APAF1 and BCL2L1) were up-regulated in multiple myeloma, both symptomatic and asymptomatic, compared to monoclonal gammopathy of undetermined significance. When we looked for those genes progressively modulated through the evolving stages of monoclonal gammopathies, eight snoRNA showed a progressive increase while APAF1, VCAN and MEGF9 exhibited a progressive downregulation. In conclusion, our data show that although monoclonal gammopathy of undetermined significance, smoldering myeloma and multiple myeloma are not clearly distinguishable groups according to their gene expression profiling, several signaling pathways and genes were significantly deregulated at different steps of the transformation process.","author":[{"dropping-particle":"","family":"Lopez-Corral","given":"L.","non-dropping-particle":"","parse-names":false,"suffix":""},{"dropping-particle":"","family":"Corchete","given":"L. A.","non-dropping-particle":"","parse-names":false,"suffix":""},{"dropping-particle":"","family":"Sarasquete","given":"M. E.","non-dropping-particle":"","parse-names":false,"suffix":""},{"dropping-particle":"V.","family":"Mateos","given":"M.","non-dropping-particle":"","parse-names":false,"suffix":""},{"dropping-particle":"","family":"Garcia-Sanz","given":"R.","non-dropping-particle":"","parse-names":false,"suffix":""},{"dropping-particle":"","family":"Ferminan","given":"E.","non-dropping-particle":"","parse-names":false,"suffix":""},{"dropping-particle":"","family":"Lahuerta","given":"J.-J.","non-dropping-particle":"","parse-names":false,"suffix":""},{"dropping-particle":"","family":"Blade","given":"J.","non-dropping-particle":"","parse-names":false,"suffix":""},{"dropping-particle":"","family":"Oriol","given":"A.","non-dropping-particle":"","parse-names":false,"suffix":""},{"dropping-particle":"","family":"Teruel","given":"A. I.","non-dropping-particle":"","parse-names":false,"suffix":""},{"dropping-particle":"","family":"Martino","given":"M. L.","non-dropping-particle":"","parse-names":false,"suffix":""},{"dropping-particle":"","family":"Hernandez","given":"J.","non-dropping-particle":"","parse-names":false,"suffix":""},{"dropping-particle":"","family":"Hernandez-Rivas","given":"J. M.","non-dropping-particle":"","parse-names":false,"suffix":""},{"dropping-particle":"","family":"Burguillo","given":"F. J.","non-dropping-particle":"","parse-names":false,"suffix":""},{"dropping-particle":"","family":"San Miguel","given":"J. F.","non-dropping-particle":"","parse-names":false,"suffix":""},{"dropping-particle":"","family":"Gutierrez","given":"N. C.","non-dropping-particle":"","parse-names":false,"suffix":""}],"container-title":"Haematologica","id":"ITEM-1","issue":"8","issued":{"date-parts":[["2014","8","1"]]},"page":"1365-1372","title":"Transcriptome analysis reveals molecular profiles associated with evolving steps of monoclonal gammopathies","type":"article-journal","volume":"99"},"uris":["http://www.mendeley.com/documents/?uuid=7de2daae-276e-3bf5-bce1-8cce01c2d781"]}],"mendeley":{"formattedCitation":"&lt;sup&gt;54&lt;/sup&gt;","plainTextFormattedCitation":"54","previouslyFormattedCitation":"&lt;sup&gt;54&lt;/sup&gt;"},"properties":{"noteIndex":0},"schema":"https://github.com/citation-style-language/schema/raw/master/csl-citation.json"}</w:instrText>
      </w:r>
      <w:r w:rsidR="00AE5619"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54</w:t>
      </w:r>
      <w:r w:rsidR="00AE5619" w:rsidRPr="00B6133E">
        <w:rPr>
          <w:rFonts w:ascii="Times New Roman" w:hAnsi="Times New Roman" w:cs="Times New Roman"/>
          <w:lang w:val="en-US"/>
        </w:rPr>
        <w:fldChar w:fldCharType="end"/>
      </w:r>
      <w:r w:rsidRPr="00B6133E">
        <w:rPr>
          <w:rFonts w:ascii="Times New Roman" w:hAnsi="Times New Roman" w:cs="Times New Roman"/>
          <w:lang w:val="en-US"/>
        </w:rPr>
        <w:t>, the Milan cohort (HG</w:t>
      </w:r>
      <w:r w:rsidR="006621A0" w:rsidRPr="00B6133E">
        <w:rPr>
          <w:rFonts w:ascii="Times New Roman" w:hAnsi="Times New Roman" w:cs="Times New Roman"/>
          <w:lang w:val="en-US"/>
        </w:rPr>
        <w:t>-</w:t>
      </w:r>
      <w:r w:rsidRPr="00B6133E">
        <w:rPr>
          <w:rFonts w:ascii="Times New Roman" w:hAnsi="Times New Roman" w:cs="Times New Roman"/>
          <w:lang w:val="en-US"/>
        </w:rPr>
        <w:t>U133A arrays)</w:t>
      </w:r>
      <w:r w:rsidR="00AE5619"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{"citationItems":[{"id":"ITEM-1","itemData":{"DOI":"10.1038/sj.onc.1208447","ISSN":"0950-9232","PMID":"15735737","abstract":"Multiple myeloma (MM) is the most common form of plasma cell dyscrasia, characterized by a marked heterogeneity of genetic lesions and clinical course. It may develop from a premalignant condition (monoclonal gammopathy of undetermined significance, MGUS) or progress from intramedullary to extramedullary forms (plasma cell leukemia, PCL). To provide insights into the molecular characterization of plasma cell dyscrasias and to investigate the contribution of specific genetic lesions to the biological and clinical heterogeneity of MM, we analysed the gene expression profiles of plasma cells isolated from seven MGUS, 39 MM and six PCL patients by means of DNA microarrays. MMs resulted highly heterogeneous at transcriptional level, whereas the differential expression of genes mainly involved in DNA metabolism and proliferation distinguished MGUS from PCLs and the majority of MM cases. The clustering of MM patients was mainly driven by the presence of the most recurrent translocations involving the immunoglobulin heavy-chain locus. Distinct gene expression patterns have been found to be associated with different lesions: the overexpression of CCND2 and genes involved in cell adhesion pathways was observed in cases with deregulated MAF and MAFB, whereas genes upregulated in cases with the t(4;14) showed apoptosis-related functions. The peculiar finding in patients with the t(11;14) was the downregulation of the alpha-subunit of the IL-6 receptor. In addition, we identified a set of cancer germline antigens specifically expressed in a subgroup of MM patients characterized by an aggressive clinical evolution, a finding that could have implications for patient classification and immunotherapy.","author":[{"dropping-particle":"","family":"Mattioli","given":"Michela","non-dropping-particle":"","parse-names":false,"suffix":""},{"dropping-particle":"","family":"Agnelli","given":"Luca","non-dropping-particle":"","parse-names":false,"suffix":""},{"dropping-particle":"","family":"Fabris","given":"Sonia","non-dropping-particle":"","parse-names":false,"suffix":""},{"dropping-particle":"","family":"Baldini","given":"Luca","non-dropping-particle":"","parse-names":false,"suffix":""},{"dropping-particle":"","family":"Morabito","given":"Fortunato","non-dropping-particle":"","parse-names":false,"suffix":""},{"dropping-particle":"","family":"Bicciato","given":"Silvio","non-dropping-particle":"","parse-names":false,"suffix":""},{"dropping-particle":"","family":"Verdelli","given":"Donata","non-dropping-particle":"","parse-names":false,"suffix":""},{"dropping-particle":"","family":"Intini","given":"Daniela","non-dropping-particle":"","parse-names":false,"suffix":""},{"dropping-particle":"","family":"Nobili","given":"Lucia","non-dropping-particle":"","parse-names":false,"suffix":""},{"dropping-particle":"","family":"Cro","given":"Lilla","non-dropping-particle":"","parse-names":false,"suffix":""},{"dropping-particle":"","family":"Pruneri","given":"Giancarlo","non-dropping-particle":"","parse-names":false,"suffix":""},{"dropping-particle":"","family":"Callea","given":"Vincenzo","non-dropping-particle":"","parse-names":false,"suffix":""},{"dropping-particle":"","family":"Stelitano","given":"Caterina","non-dropping-particle":"","parse-names":false,"suffix":""},{"dropping-particle":"","family":"Maiolo","given":"Anna Teresa","non-dropping-particle":"","parse-names":false,"suffix":""},{"dropping-particle":"","family":"Lombardi","given":"Luigia","non-dropping-particle":"","parse-names":false,"suffix":""},{"dropping-particle":"","family":"Neri","given":"Antonino","non-dropping-particle":"","parse-names":false,"suffix":""}],"container-title":"Oncogene","id":"ITEM-1","issue":"15","issued":{"date-parts":[["2005","4","7"]]},"page":"2461-73","title":"Gene expression profiling of plasma cell dyscrasias reveals molecular patterns associated with distinct IGH translocations in multiple myeloma.","type":"article-journal","volume":"24"},"uris":["http://www.mendeley.com/documents/?uuid=e5845490-69e2-3017-8c0f-222b04b114f0"]}],"mendeley":{"formattedCitation":"&lt;sup&gt;55&lt;/sup&gt;","plainTextFormattedCitation":"55","previouslyFormattedCitation":"&lt;sup&gt;55&lt;/sup&gt;"},"properties":{"noteIndex":0},"schema":"https://github.com/citation-style-language/schema/raw/master/csl-citation.json"}</w:instrText>
      </w:r>
      <w:r w:rsidR="00AE5619"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55</w:t>
      </w:r>
      <w:r w:rsidR="00AE5619" w:rsidRPr="00B6133E">
        <w:rPr>
          <w:rFonts w:ascii="Times New Roman" w:hAnsi="Times New Roman" w:cs="Times New Roman"/>
          <w:lang w:val="en-US"/>
        </w:rPr>
        <w:fldChar w:fldCharType="end"/>
      </w:r>
      <w:r w:rsidRPr="00B6133E">
        <w:rPr>
          <w:rFonts w:ascii="Times New Roman" w:hAnsi="Times New Roman" w:cs="Times New Roman"/>
          <w:lang w:val="en-US"/>
        </w:rPr>
        <w:t>, and the Mayo cohort (HG</w:t>
      </w:r>
      <w:r w:rsidR="006621A0" w:rsidRPr="00B6133E">
        <w:rPr>
          <w:rFonts w:ascii="Times New Roman" w:hAnsi="Times New Roman" w:cs="Times New Roman"/>
          <w:lang w:val="en-US"/>
        </w:rPr>
        <w:t>-</w:t>
      </w:r>
      <w:r w:rsidRPr="00B6133E">
        <w:rPr>
          <w:rFonts w:ascii="Times New Roman" w:hAnsi="Times New Roman" w:cs="Times New Roman"/>
          <w:lang w:val="en-US"/>
        </w:rPr>
        <w:t>U133A arrays)</w:t>
      </w:r>
      <w:r w:rsidR="00AE5619"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{"citationItems":[{"id":"ITEM-1","itemData":{"DOI":"10.1158/0008-5472.CAN-06-4046","ISBN":"0008-5472","ISSN":"00085472","PMID":"17409404","abstract":"Hyperdiploid multiple myeloma (H-MM) is the most common form of myeloma. In this gene expression profiling study, we show that H-MM is defined by a protein biosynthesis signature that is primarily driven by a gene dosage mechanism as a result of trisomic chromosomes. Within H-MM, four independently validated patient clusters overexpressing nonoverlapping sets of genes that form cognate pathways/networks that have potential biological importance in multiple myeloma were identified. One prominent cluster, cluster 1, is characterized by high expression of cancer testis antigen and proliferation-associated genes. Tumors from these patients were more proliferative than tumors in other clusters (median plasma cell labeling index, 3.8; P &lt;0.05). Another cluster, cluster 3, is characterized by genes involved in tumor necrosis factor/nuclear factor-$κ$B signaling and antiapoptosis. These patients have better response to bortezomib as compared with patients within other clusters (70% versus 29%; P = 0.02). Furthermore, for a group of patients generally thought to have better prognosis, a cluster of patients with short survival (cluster 1; median survival, 27 months) could be identified. This analysis illustrates the heterogeneity within H-MM and the importance of defining specific cytogenetic prognostic factors. Furthermore, the signatures that defined these clusters may provide a basis for tailoring treatment to individual patients. [Cancer Res 2007;67(7):2982–9]","author":[{"dropping-particle":"","family":"Chng","given":"Wee J","non-dropping-particle":"","parse-names":false,"suffix":""},{"dropping-particle":"","family":"Kumar","given":"Shaji","non-dropping-particle":"","parse-names":false,"suffix":""},{"dropping-particle":"","family":"VanWier","given":"Scott","non-dropping-particle":"","parse-names":false,"suffix":""},{"dropping-particle":"","family":"Ahmann","given":"Greg","non-dropping-particle":"","parse-names":false,"suffix":""},{"dropping-particle":"","family":"Price-Troska","given":"Tammy","non-dropping-particle":"","parse-names":false,"suffix":""},{"dropping-particle":"","family":"Henderson","given":"Kim","non-dropping-particle":"","parse-names":false,"suffix":""},{"dropping-particle":"","family":"Chung","given":"Tae Hoon","non-dropping-particle":"","parse-names":false,"suffix":""},{"dropping-particle":"","family":"Kim","given":"Seungchan","non-dropping-particle":"","parse-names":false,"suffix":""},{"dropping-particle":"","family":"Mulligan","given":"George","non-dropping-particle":"","parse-names":false,"suffix":""},{"dropping-particle":"","family":"Bryant","given":"Barbara","non-dropping-particle":"","parse-names":false,"suffix":""},{"dropping-particle":"","family":"Carpten","given":"John","non-dropping-particle":"","parse-names":false,"suffix":""},{"dropping-particle":"","family":"Gertz","given":"Morie","non-dropping-particle":"","parse-names":false,"suffix":""},{"dropping-particle":"","family":"Rajkumar","given":"S Vincent","non-dropping-particle":"","parse-names":false,"suffix":""},{"dropping-particle":"","family":"Lacy","given":"Martha","non-dropping-particle":"","parse-names":false,"suffix":""},{"dropping-particle":"","family":"Dispenzieri","given":"Angela","non-dropping-particle":"","parse-names":false,"suffix":""},{"dropping-particle":"","family":"Kyle","given":"Robert","non-dropping-particle":"","parse-names":false,"suffix":""},{"dropping-particle":"","family":"Greipp","given":"Philip","non-dropping-particle":"","parse-names":false,"suffix":""},{"dropping-particle":"","family":"Bergsagel","given":"P Leif","non-dropping-particle":"","parse-names":false,"suffix":""},{"dropping-particle":"","family":"Fonseca","given":"Rafael","non-dropping-particle":"","parse-names":false,"suffix":""}],"container-title":"Cancer Research","id":"ITEM-1","issue":"7","issued":{"date-parts":[["2007"]]},"page":"2982-2989","title":"Molecular dissection of hyperdiploid multiple myeloma by gene expression profiling","type":"article-journal","volume":"67"},"uris":["http://www.mendeley.com/documents/?uuid=1449df50-aee8-4ed7-97ee-ebd993fd1b2b"]},{"id":"ITEM-2","itemData":{"DOI":"10.1182/blood-2009-09-243980","ISBN":"1528-0020 (Electronic)$\\$r0006-4971 (Linking)","ISSN":"00064971","PMID":"19996089","abstract":"A paucity of validated kinase targets in human multiple myeloma has delayed clinical deployment of kinase inhibitors in treatment strategies. We therefore conducted a kinome-wide small interfering RNA (siRNA) lethality study in myeloma tumor lines bearing common t(4;14), t(14;16), and t(11;14) translocations to identify critically vulnerable kinases in myeloma tumor cells without regard to preconceived mechanistic notions. Fifteen kinases were repeatedly vulnerable in myeloma cells, including AKT1, AK3L1, AURKA, AURKB, CDC2L1, CDK5R2, FES, FLT4, GAK, GRK6, HK1, PKN1, PLK1, SMG1, and TNK2. Whereas several kinases (PLK1, HK1) were equally vulnerable in epithelial cells, others and particularly G protein-coupled receptor kinase, GRK6, appeared selectively vulnerable in myeloma. GRK6 inhibition was lethal to 6 of 7 myeloma tumor lines but was tolerated in 7 of 7 human cell lines. GRK6 exhibits lymphoid-restricted expression, and from coimmunoprecipitation studies we demonstrate that expression in myeloma cells is regulated via direct association with the heat shock protein 90 (HSP90) chaperone. GRK6 silencing causes suppression of signal transducer and activator of transcription 3 (STAT3) phosphorylation associated with reduction in MCL1 levels and phosphorylation, illustrating a potent mechanism for the cytotoxicity of GRK6 inhibition in multiple myeloma (MM) tumor cells. As mice that lack GRK6 are healthy, inhibition of GRK6 represents a uniquely targeted novel therapeutic strategy in human multiple myeloma.","author":[{"dropping-particle":"","family":"Tiedemann","given":"Rodger E","non-dropping-particle":"","parse-names":false,"suffix":""},{"dropping-particle":"","family":"Zhu","given":"Yuan Xiao","non-dropping-particle":"","parse-names":false,"suffix":""},{"dropping-particle":"","family":"Schmidt","given":"Jessica","non-dropping-particle":"","parse-names":false,"suffix":""},{"dropping-particle":"","family":"Yin","given":"Hongwei","non-dropping-particle":"","parse-names":false,"suffix":""},{"dropping-particle":"","family":"Shi","given":"Chang Xin","non-dropping-particle":"","parse-names":false,"suffix":""},{"dropping-particle":"","family":"Que","given":"Qiang","non-dropping-particle":"","parse-names":false,"suffix":""},{"dropping-particle":"","family":"Basu","given":"Gargi","non-dropping-particle":"","parse-names":false,"suffix":""},{"dropping-particle":"","family":"Azorsa","given":"David","non-dropping-particle":"","parse-names":false,"suffix":""},{"dropping-particle":"","family":"Perkins","given":"Louise M","non-dropping-particle":"","parse-names":false,"suffix":""},{"dropping-particle":"","family":"Braggio","given":"Esteban","non-dropping-particle":"","parse-names":false,"suffix":""},{"dropping-particle":"","family":"Fonseca","given":"Rafael","non-dropping-particle":"","parse-names":false,"suffix":""},{"dropping-particle":"","family":"Bergsagel","given":"P Leif","non-dropping-particle":"","parse-names":false,"suffix":""},{"dropping-particle":"","family":"Mousses","given":"Spyro","non-dropping-particle":"","parse-names":false,"suffix":""},{"dropping-particle":"","family":"Stewart","given":"A Keith","non-dropping-particle":"","parse-names":false,"suffix":""}],"container-title":"Blood","id":"ITEM-2","issue":"8","issued":{"date-parts":[["2010"]]},"page":"1594-1604","title":"Kinome-wide RNAi studies in human multiple myeloma identify vulnerable kinase targets, including a lymphoid-restricted kinase, GRK6","type":"article-journal","volume":"115"},"uris":["http://www.mendeley.com/documents/?uuid=67848c8a-5503-4543-ae54-1cf9f351c14c"]}],"mendeley":{"formattedCitation":"&lt;sup&gt;56,57&lt;/sup&gt;","plainTextFormattedCitation":"56,57","previouslyFormattedCitation":"&lt;sup&gt;56,57&lt;/sup&gt;"},"properties":{"noteIndex":0},"schema":"https://github.com/citation-style-language/schema/raw/master/csl-citation.json"}</w:instrText>
      </w:r>
      <w:r w:rsidR="00AE5619"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56,57</w:t>
      </w:r>
      <w:r w:rsidR="00AE5619" w:rsidRPr="00B6133E">
        <w:rPr>
          <w:rFonts w:ascii="Times New Roman" w:hAnsi="Times New Roman" w:cs="Times New Roman"/>
          <w:lang w:val="en-US"/>
        </w:rPr>
        <w:fldChar w:fldCharType="end"/>
      </w:r>
      <w:r w:rsidRPr="00B6133E">
        <w:rPr>
          <w:rFonts w:ascii="Times New Roman" w:hAnsi="Times New Roman" w:cs="Times New Roman"/>
          <w:lang w:val="en-US"/>
        </w:rPr>
        <w:t>.</w:t>
      </w:r>
      <w:r w:rsidR="002B6B45" w:rsidRPr="00B6133E">
        <w:rPr>
          <w:rFonts w:ascii="Times New Roman" w:hAnsi="Times New Roman" w:cs="Times New Roman"/>
          <w:lang w:val="en-US"/>
        </w:rPr>
        <w:t xml:space="preserve"> </w:t>
      </w:r>
    </w:p>
    <w:p w14:paraId="08A4909D" w14:textId="515B213E" w:rsidR="00DB2A3B" w:rsidRPr="00B6133E" w:rsidRDefault="002B6B45" w:rsidP="00BF535C">
      <w:pPr>
        <w:spacing w:before="0" w:after="0" w:line="480" w:lineRule="auto"/>
        <w:rPr>
          <w:rFonts w:ascii="Times New Roman" w:hAnsi="Times New Roman" w:cs="Times New Roman"/>
          <w:lang w:val="en-US"/>
        </w:rPr>
      </w:pPr>
      <w:r w:rsidRPr="00B6133E">
        <w:rPr>
          <w:rFonts w:ascii="Times New Roman" w:hAnsi="Times New Roman" w:cs="Times New Roman"/>
          <w:lang w:val="en-US"/>
        </w:rPr>
        <w:t>The following t</w:t>
      </w:r>
      <w:r w:rsidR="000D7F58" w:rsidRPr="00B6133E">
        <w:rPr>
          <w:rFonts w:ascii="Times New Roman" w:hAnsi="Times New Roman" w:cs="Times New Roman"/>
          <w:lang w:val="en-US"/>
        </w:rPr>
        <w:t>wo B-cell line data sets</w:t>
      </w:r>
      <w:r w:rsidRPr="00B6133E">
        <w:rPr>
          <w:rFonts w:ascii="Times New Roman" w:hAnsi="Times New Roman" w:cs="Times New Roman"/>
          <w:lang w:val="en-US"/>
        </w:rPr>
        <w:t xml:space="preserve"> were used in the analysis:</w:t>
      </w:r>
      <w:r w:rsidR="000D7F58" w:rsidRPr="00B6133E">
        <w:rPr>
          <w:rFonts w:ascii="Times New Roman" w:hAnsi="Times New Roman" w:cs="Times New Roman"/>
          <w:lang w:val="en-US"/>
        </w:rPr>
        <w:t xml:space="preserve"> Bcell20 </w:t>
      </w:r>
      <w:r w:rsidRPr="00B6133E">
        <w:rPr>
          <w:rFonts w:ascii="Times New Roman" w:hAnsi="Times New Roman" w:cs="Times New Roman"/>
          <w:lang w:val="en-US"/>
        </w:rPr>
        <w:t>(Hu</w:t>
      </w:r>
      <w:r w:rsidR="006621A0" w:rsidRPr="00B6133E">
        <w:rPr>
          <w:rFonts w:ascii="Times New Roman" w:hAnsi="Times New Roman" w:cs="Times New Roman"/>
          <w:lang w:val="en-US"/>
        </w:rPr>
        <w:t>Ex-</w:t>
      </w:r>
      <w:r w:rsidRPr="00B6133E">
        <w:rPr>
          <w:rFonts w:ascii="Times New Roman" w:hAnsi="Times New Roman" w:cs="Times New Roman"/>
          <w:lang w:val="en-US"/>
        </w:rPr>
        <w:t>1.0</w:t>
      </w:r>
      <w:r w:rsidR="006621A0" w:rsidRPr="00B6133E">
        <w:rPr>
          <w:rFonts w:ascii="Times New Roman" w:hAnsi="Times New Roman" w:cs="Times New Roman"/>
          <w:lang w:val="en-US"/>
        </w:rPr>
        <w:t>-st</w:t>
      </w:r>
      <w:r w:rsidRPr="00B6133E">
        <w:rPr>
          <w:rFonts w:ascii="Times New Roman" w:hAnsi="Times New Roman" w:cs="Times New Roman"/>
          <w:lang w:val="en-US"/>
        </w:rPr>
        <w:t xml:space="preserve"> arrays</w:t>
      </w:r>
      <w:r w:rsidR="000D7F58" w:rsidRPr="00B6133E">
        <w:rPr>
          <w:rFonts w:ascii="Times New Roman" w:hAnsi="Times New Roman" w:cs="Times New Roman"/>
          <w:lang w:val="en-US"/>
        </w:rPr>
        <w:t xml:space="preserve">) and </w:t>
      </w:r>
      <w:r w:rsidR="002F0FED" w:rsidRPr="00B6133E">
        <w:rPr>
          <w:rFonts w:ascii="Times New Roman" w:hAnsi="Times New Roman" w:cs="Times New Roman"/>
          <w:lang w:val="en-US"/>
        </w:rPr>
        <w:t>B</w:t>
      </w:r>
      <w:r w:rsidR="00DB2A3B" w:rsidRPr="00B6133E">
        <w:rPr>
          <w:rFonts w:ascii="Times New Roman" w:hAnsi="Times New Roman" w:cs="Times New Roman"/>
          <w:lang w:val="en-US"/>
        </w:rPr>
        <w:t>cell</w:t>
      </w:r>
      <w:r w:rsidR="000D7F58" w:rsidRPr="00B6133E">
        <w:rPr>
          <w:rFonts w:ascii="Times New Roman" w:hAnsi="Times New Roman" w:cs="Times New Roman"/>
          <w:lang w:val="en-US"/>
        </w:rPr>
        <w:t xml:space="preserve">26 </w:t>
      </w:r>
      <w:r w:rsidR="006621A0" w:rsidRPr="00B6133E">
        <w:rPr>
          <w:rFonts w:ascii="Times New Roman" w:hAnsi="Times New Roman" w:cs="Times New Roman"/>
          <w:lang w:val="en-US"/>
        </w:rPr>
        <w:t>(</w:t>
      </w:r>
      <w:r w:rsidRPr="00B6133E">
        <w:rPr>
          <w:rFonts w:ascii="Times New Roman" w:hAnsi="Times New Roman" w:cs="Times New Roman"/>
          <w:lang w:val="en-US"/>
        </w:rPr>
        <w:t>HG</w:t>
      </w:r>
      <w:r w:rsidR="006621A0" w:rsidRPr="00B6133E">
        <w:rPr>
          <w:rFonts w:ascii="Times New Roman" w:hAnsi="Times New Roman" w:cs="Times New Roman"/>
          <w:lang w:val="en-US"/>
        </w:rPr>
        <w:t>-</w:t>
      </w:r>
      <w:r w:rsidRPr="00B6133E">
        <w:rPr>
          <w:rFonts w:ascii="Times New Roman" w:hAnsi="Times New Roman" w:cs="Times New Roman"/>
          <w:lang w:val="en-US"/>
        </w:rPr>
        <w:t>U133</w:t>
      </w:r>
      <w:r w:rsidR="006621A0" w:rsidRPr="00B6133E">
        <w:rPr>
          <w:rFonts w:ascii="Times New Roman" w:hAnsi="Times New Roman" w:cs="Times New Roman"/>
          <w:lang w:val="en-US"/>
        </w:rPr>
        <w:t>-</w:t>
      </w:r>
      <w:r w:rsidRPr="00B6133E">
        <w:rPr>
          <w:rFonts w:ascii="Times New Roman" w:hAnsi="Times New Roman" w:cs="Times New Roman"/>
          <w:lang w:val="en-US"/>
        </w:rPr>
        <w:t>2.0 arrays)</w:t>
      </w:r>
      <w:r w:rsidR="00AE5619"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{"citationItems":[{"id":"ITEM-1","itemData":{"DOI":"10.1186/s12885-015-1237-6","ISSN":"1471-2407","PMID":"25881228","abstract":"BACKGROUND Patients suffering from cancer are often treated with a range of chemotherapeutic agents, but the treatment efficacy varies greatly between patients. Based on recent popularisation of regularised regression models the goal of this study was to establish workflows for pharmacogenomic predictors of response to standard multidrug regimens using baseline gene expression data and origin specific cell lines. The proposed workflows are tested on diffuse large B-cell lymphoma treated with R-CHOP first-line therapy. METHODS First, B-cell cancer cell lines were tested successively for resistance towards the chemotherapeutic components of R-CHOP: cyclophosphamide (C), doxorubicin (H), and vincristine (O). Second, baseline gene expression data were obtained for each cell line before treatment. Third, regularised multivariate regression models with cross-validated tuning parameters were used to generate classifier and predictor based resistance gene signatures (REGS) for the combination and individual chemotherapeutic drugs C, H, and O. Fourth, each developed REGS was used to assign resistance levels to individual patients in three clinical cohorts. RESULTS Both classifier and predictor based REGS, for the combination CHO, were of prognostic value. For patients classified as resistant towards CHO the risk of progression was 2.33 (95% CI: 1.6, 3.3) times greater than for those classified as sensitive. Similarly, an increase in the predicted CHO resistance index of 10 was related to a 22% (9%, 36%) increased risk of progression. Furthermore, the REGS classifier performed significantly better than the REGS predictor. CONCLUSIONS The regularised multivariate regression models provide a flexible workflow for drug resistance studies with promising potential. However, the gene expressions defining the REGSs should be functionally validated and correlated to known biomarkers to improve understanding of molecular mechanisms of drug resistance.","author":[{"dropping-particle":"","family":"Falgreen","given":"Steffen","non-dropping-particle":"","parse-names":false,"suffix":""},{"dropping-particle":"","family":"Dybkær","given":"Karen","non-dropping-particle":"","parse-names":false,"suffix":""},{"dropping-particle":"","family":"Young","given":"Ken H.","non-dropping-particle":"","parse-names":false,"suffix":""},{"dropping-particle":"","family":"Xu-Monette","given":"Zijun Y.","non-dropping-particle":"","parse-names":false,"suffix":""},{"dropping-particle":"","family":"El-Galaly","given":"Tarec C.","non-dropping-particle":"","parse-names":false,"suffix":""},{"dropping-particle":"","family":"Laursen","given":"Maria Bach","non-dropping-particle":"","parse-names":false,"suffix":""},{"dropping-particle":"","family":"Bødker","given":"Julie S.","non-dropping-particle":"","parse-names":false,"suffix":""},{"dropping-particle":"","family":"Kjeldsen","given":"Malene K.","non-dropping-particle":"","parse-names":false,"suffix":""},{"dropping-particle":"","family":"Schmitz","given":"Alexander","non-dropping-particle":"","parse-names":false,"suffix":""},{"dropping-particle":"","family":"Nyegaard","given":"Mette","non-dropping-particle":"","parse-names":false,"suffix":""},{"dropping-particle":"","family":"Johnsen","given":"Hans Erik","non-dropping-particle":"","parse-names":false,"suffix":""},{"dropping-particle":"","family":"Bøgsted","given":"Martin","non-dropping-particle":"","parse-names":false,"suffix":""}],"container-title":"BMC cancer","id":"ITEM-1","issued":{"date-parts":[["2015","4","8"]]},"page":"235","publisher":"BioMed Central","title":"Predicting response to multidrug regimens in cancer patients using cell line experiments and regularised regression models","type":"article-journal","volume":"15"},"uris":["http://www.mendeley.com/documents/?uuid=7a5250a6-fe27-4613-8503-ec5c54ca6ba1"]}],"mendeley":{"formattedCitation":"&lt;sup&gt;58&lt;/sup&gt;","plainTextFormattedCitation":"58","previouslyFormattedCitation":"&lt;sup&gt;58&lt;/sup&gt;"},"properties":{"noteIndex":0},"schema":"https://github.com/citation-style-language/schema/raw/master/csl-citation.json"}</w:instrText>
      </w:r>
      <w:r w:rsidR="00AE5619"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58</w:t>
      </w:r>
      <w:r w:rsidR="00AE5619" w:rsidRPr="00B6133E">
        <w:rPr>
          <w:rFonts w:ascii="Times New Roman" w:hAnsi="Times New Roman" w:cs="Times New Roman"/>
          <w:lang w:val="en-US"/>
        </w:rPr>
        <w:fldChar w:fldCharType="end"/>
      </w:r>
      <w:r w:rsidRPr="00B6133E">
        <w:rPr>
          <w:rFonts w:ascii="Times New Roman" w:hAnsi="Times New Roman" w:cs="Times New Roman"/>
          <w:lang w:val="en-US"/>
        </w:rPr>
        <w:t>.</w:t>
      </w:r>
    </w:p>
    <w:p w14:paraId="1DDD6A6C" w14:textId="62A2D892" w:rsidR="00DB2A3B" w:rsidRPr="00B6133E" w:rsidRDefault="00DB2A3B" w:rsidP="00BF535C">
      <w:pPr>
        <w:spacing w:before="0" w:after="0" w:line="480" w:lineRule="auto"/>
        <w:rPr>
          <w:rFonts w:ascii="Times New Roman" w:hAnsi="Times New Roman" w:cs="Times New Roman"/>
          <w:lang w:val="en-US"/>
        </w:rPr>
      </w:pPr>
      <w:r w:rsidRPr="00B6133E">
        <w:rPr>
          <w:rFonts w:ascii="Times New Roman" w:hAnsi="Times New Roman" w:cs="Times New Roman"/>
          <w:lang w:val="en-US"/>
        </w:rPr>
        <w:t xml:space="preserve">All datasets are retrieved from GEO with the indicated GSE numbers, and are described in detail in the Materials and methods sections of Supplementary text 1. </w:t>
      </w:r>
    </w:p>
    <w:p w14:paraId="3314F655" w14:textId="77777777" w:rsidR="00F66CC0" w:rsidRPr="00B6133E" w:rsidRDefault="00E073A9" w:rsidP="00826CA4">
      <w:pPr>
        <w:pStyle w:val="Overskrift3"/>
        <w:rPr>
          <w:rFonts w:ascii="Times New Roman" w:hAnsi="Times New Roman" w:cs="Times New Roman"/>
        </w:rPr>
      </w:pPr>
      <w:r w:rsidRPr="00B6133E">
        <w:rPr>
          <w:rFonts w:ascii="Times New Roman" w:hAnsi="Times New Roman" w:cs="Times New Roman"/>
        </w:rPr>
        <w:t>Statistical analysis</w:t>
      </w:r>
      <w:r w:rsidR="001775E1" w:rsidRPr="00B6133E">
        <w:rPr>
          <w:rFonts w:ascii="Times New Roman" w:hAnsi="Times New Roman" w:cs="Times New Roman"/>
        </w:rPr>
        <w:t xml:space="preserve"> </w:t>
      </w:r>
    </w:p>
    <w:p w14:paraId="346972AA" w14:textId="1AF079D4" w:rsidR="00712801" w:rsidRPr="00B6133E" w:rsidRDefault="00A54DE4" w:rsidP="0056769A">
      <w:pPr>
        <w:spacing w:before="0" w:after="0" w:line="480" w:lineRule="auto"/>
        <w:rPr>
          <w:rFonts w:ascii="Times New Roman" w:hAnsi="Times New Roman" w:cs="Times New Roman"/>
          <w:lang w:val="en-US"/>
        </w:rPr>
      </w:pPr>
      <w:r w:rsidRPr="00B6133E">
        <w:rPr>
          <w:rFonts w:ascii="Times New Roman" w:hAnsi="Times New Roman" w:cs="Times New Roman"/>
          <w:lang w:val="en-US"/>
        </w:rPr>
        <w:t>All statistical analyses were performed with R version 3.</w:t>
      </w:r>
      <w:r w:rsidR="00DF04F8" w:rsidRPr="00B6133E">
        <w:rPr>
          <w:rFonts w:ascii="Times New Roman" w:hAnsi="Times New Roman" w:cs="Times New Roman"/>
          <w:lang w:val="en-US"/>
        </w:rPr>
        <w:t>4.</w:t>
      </w:r>
      <w:r w:rsidR="001119E3" w:rsidRPr="00B6133E">
        <w:rPr>
          <w:rFonts w:ascii="Times New Roman" w:hAnsi="Times New Roman" w:cs="Times New Roman"/>
          <w:lang w:val="en-US"/>
        </w:rPr>
        <w:t>3</w:t>
      </w:r>
      <w:r w:rsidRPr="00B6133E">
        <w:rPr>
          <w:rFonts w:ascii="Times New Roman" w:hAnsi="Times New Roman" w:cs="Times New Roman"/>
          <w:lang w:val="en-US"/>
        </w:rPr>
        <w:t xml:space="preserve"> using Bioconductor package</w:t>
      </w:r>
      <w:r w:rsidR="00FD60F2" w:rsidRPr="00B6133E">
        <w:rPr>
          <w:rFonts w:ascii="Times New Roman" w:hAnsi="Times New Roman" w:cs="Times New Roman"/>
          <w:lang w:val="en-US"/>
        </w:rPr>
        <w:t>s</w:t>
      </w:r>
      <w:r w:rsidR="00E361F0"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{"citationItems":[{"id":"ITEM-1","itemData":{"DOI":"10.1186/gb-2004-5-10-r80","ISSN":"1465-6914","PMID":"15461798","abstract":"The Bioconductor project is an initiative for the collaborative creation of extensible software for computational biology and bioinformatics. The goals of the project include: fostering collaborative development and widespread use of innovative software, reducing barriers to entry into interdisciplinary scientific research, and promoting the achievement of remote reproducibility of research results. We describe details of our aims and methods, identify current challenges, compare Bioconductor to other open bioinformatics projects, and provide working examples.","author":[{"dropping-particle":"","family":"Gentleman","given":"Robert C","non-dropping-particle":"","parse-names":false,"suffix":""},{"dropping-particle":"","family":"Carey","given":"Vincent J","non-dropping-particle":"","parse-names":false,"suffix":""},{"dropping-particle":"","family":"Bates","given":"Douglas M","non-dropping-particle":"","parse-names":false,"suffix":""},{"dropping-particle":"","family":"Bolstad","given":"Ben","non-dropping-particle":"","parse-names":false,"suffix":""},{"dropping-particle":"","family":"Dettling","given":"Marcel","non-dropping-particle":"","parse-names":false,"suffix":""},{"dropping-particle":"","family":"Dudoit","given":"Sandrine","non-dropping-particle":"","parse-names":false,"suffix":""},{"dropping-particle":"","family":"Ellis","given":"Byron","non-dropping-particle":"","parse-names":false,"suffix":""},{"dropping-particle":"","family":"Gautier","given":"Laurent","non-dropping-particle":"","parse-names":false,"suffix":""},{"dropping-particle":"","family":"Ge","given":"Yongchao","non-dropping-particle":"","parse-names":false,"suffix":""},{"dropping-particle":"","family":"Gentry","given":"Jeff","non-dropping-particle":"","parse-names":false,"suffix":""},{"dropping-particle":"","family":"Hornik","given":"Kurt","non-dropping-particle":"","parse-names":false,"suffix":""},{"dropping-particle":"","family":"Hothorn","given":"Torsten","non-dropping-particle":"","parse-names":false,"suffix":""},{"dropping-particle":"","family":"Huber","given":"Wolfgang","non-dropping-particle":"","parse-names":false,"suffix":""},{"dropping-particle":"","family":"Iacus","given":"Stefano","non-dropping-particle":"","parse-names":false,"suffix":""},{"dropping-particle":"","family":"Irizarry","given":"Rafael","non-dropping-particle":"","parse-names":false,"suffix":""},{"dropping-particle":"","family":"Leisch","given":"Friedrich","non-dropping-particle":"","parse-names":false,"suffix":""},{"dropping-particle":"","family":"Li","given":"Cheng","non-dropping-particle":"","parse-names":false,"suffix":""},{"dropping-particle":"","family":"Maechler","given":"Martin","non-dropping-particle":"","parse-names":false,"suffix":""},{"dropping-particle":"","family":"Rossini","given":"Anthony J","non-dropping-particle":"","parse-names":false,"suffix":""},{"dropping-particle":"","family":"Sawitzki","given":"Gunther","non-dropping-particle":"","parse-names":false,"suffix":""},{"dropping-particle":"","family":"Smith","given":"Colin","non-dropping-particle":"","parse-names":false,"suffix":""},{"dropping-particle":"","family":"Smyth","given":"Gordon","non-dropping-particle":"","parse-names":false,"suffix":""},{"dropping-particle":"","family":"Tierney","given":"Luke","non-dropping-particle":"","parse-names":false,"suffix":""},{"dropping-particle":"","family":"Yang","given":"Jean Y H","non-dropping-particle":"","parse-names":false,"suffix":""},{"dropping-particle":"","family":"Zhang","given":"Jianhua","non-dropping-particle":"","parse-names":false,"suffix":""}],"container-title":"Genome biology","id":"ITEM-1","issue":"10","issued":{"date-parts":[["2004","1"]]},"page":"R80","title":"Bioconductor: open software development for computational biology and bioinformatics.","type":"article-journal","volume":"5"},"uris":["http://www.mendeley.com/documents/?uuid=4a098c62-6a5e-4f1d-9344-f428ee9e6a6f"]},{"id":"ITEM-2","itemData":{"ISBN":"3900051070","author":[{"dropping-particle":"","family":"R Core Team","given":"","non-dropping-particle":"","parse-names":false,"suffix":""}],"id":"ITEM-2","issued":{"date-parts":[["2017"]]},"publisher":"R Foundation for Statistical Computing, Vienna, Austria","publisher-place":"Vienna, Austria, Austria","title":"R : A Language and Environment for Statistical Computing","type":"book","volume":"1"},"uris":["http://www.mendeley.com/documents/?uuid=c98f517c-a5cb-41a6-917f-dbb6c17dd979"]}],"mendeley":{"formattedCitation":"&lt;sup&gt;59,60&lt;/sup&gt;","plainTextFormattedCitation":"59,60","previouslyFormattedCitation":"&lt;sup&gt;59,60&lt;/sup&gt;"},"properties":{"noteIndex":0},"schema":"https://github.com/citation-style-language/schema/raw/master/csl-citation.json"}</w:instrText>
      </w:r>
      <w:r w:rsidR="00E361F0"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59,60</w:t>
      </w:r>
      <w:r w:rsidR="00E361F0" w:rsidRPr="00B6133E">
        <w:rPr>
          <w:rFonts w:ascii="Times New Roman" w:hAnsi="Times New Roman" w:cs="Times New Roman"/>
          <w:lang w:val="en-US"/>
        </w:rPr>
        <w:fldChar w:fldCharType="end"/>
      </w:r>
      <w:r w:rsidR="004C3D21" w:rsidRPr="00B6133E">
        <w:rPr>
          <w:rFonts w:ascii="Times New Roman" w:hAnsi="Times New Roman" w:cs="Times New Roman"/>
          <w:lang w:val="en-US"/>
        </w:rPr>
        <w:t>.</w:t>
      </w:r>
      <w:r w:rsidRPr="00B6133E">
        <w:rPr>
          <w:rFonts w:ascii="Times New Roman" w:hAnsi="Times New Roman" w:cs="Times New Roman"/>
          <w:lang w:val="en-US"/>
        </w:rPr>
        <w:t xml:space="preserve"> </w:t>
      </w:r>
      <w:r w:rsidR="00712801" w:rsidRPr="00B6133E">
        <w:rPr>
          <w:rFonts w:ascii="Times New Roman" w:hAnsi="Times New Roman" w:cs="Times New Roman"/>
          <w:lang w:val="en-US"/>
        </w:rPr>
        <w:t>D</w:t>
      </w:r>
      <w:r w:rsidRPr="00B6133E">
        <w:rPr>
          <w:rFonts w:ascii="Times New Roman" w:hAnsi="Times New Roman" w:cs="Times New Roman"/>
          <w:lang w:val="en-US"/>
        </w:rPr>
        <w:t xml:space="preserve">etailed session information </w:t>
      </w:r>
      <w:r w:rsidR="00380839" w:rsidRPr="00B6133E">
        <w:rPr>
          <w:rFonts w:ascii="Times New Roman" w:hAnsi="Times New Roman" w:cs="Times New Roman"/>
          <w:lang w:val="en-US"/>
        </w:rPr>
        <w:t xml:space="preserve">is </w:t>
      </w:r>
      <w:r w:rsidRPr="00B6133E">
        <w:rPr>
          <w:rFonts w:ascii="Times New Roman" w:hAnsi="Times New Roman" w:cs="Times New Roman"/>
          <w:lang w:val="en-US"/>
        </w:rPr>
        <w:t xml:space="preserve">provided as a </w:t>
      </w:r>
      <w:proofErr w:type="spellStart"/>
      <w:r w:rsidR="00826CA4" w:rsidRPr="00B6133E">
        <w:rPr>
          <w:rFonts w:ascii="Times New Roman" w:hAnsi="Times New Roman" w:cs="Times New Roman"/>
          <w:lang w:val="en-US"/>
        </w:rPr>
        <w:t>K</w:t>
      </w:r>
      <w:r w:rsidR="00736A0C" w:rsidRPr="00B6133E">
        <w:rPr>
          <w:rFonts w:ascii="Times New Roman" w:hAnsi="Times New Roman" w:cs="Times New Roman"/>
          <w:lang w:val="en-US"/>
        </w:rPr>
        <w:t>nitr</w:t>
      </w:r>
      <w:proofErr w:type="spellEnd"/>
      <w:r w:rsidRPr="00B6133E">
        <w:rPr>
          <w:rFonts w:ascii="Times New Roman" w:hAnsi="Times New Roman" w:cs="Times New Roman"/>
          <w:lang w:val="en-US"/>
        </w:rPr>
        <w:t xml:space="preserve"> document</w:t>
      </w:r>
      <w:r w:rsidR="00E361F0"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{"citationItems":[{"id":"ITEM-1","itemData":{"author":[{"dropping-particle":"","family":"Xie","given":"Yihui","non-dropping-particle":"","parse-names":false,"suffix":""}],"id":"ITEM-1","issued":{"date-parts":[["2017"]]},"note":"R package version 1.18","title":"knitr: A General-Purpose Package for Dynamic Report Generation in R","type":"article"},"uris":["http://www.mendeley.com/documents/?uuid=89a3931f-73da-434d-ad51-cd970924b009"]}],"mendeley":{"formattedCitation":"&lt;sup&gt;61&lt;/sup&gt;","plainTextFormattedCitation":"61","previouslyFormattedCitation":"&lt;sup&gt;61&lt;/sup&gt;"},"properties":{"noteIndex":0},"schema":"https://github.com/citation-style-language/schema/raw/master/csl-citation.json"}</w:instrText>
      </w:r>
      <w:r w:rsidR="00E361F0"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61</w:t>
      </w:r>
      <w:r w:rsidR="00E361F0" w:rsidRPr="00B6133E">
        <w:rPr>
          <w:rFonts w:ascii="Times New Roman" w:hAnsi="Times New Roman" w:cs="Times New Roman"/>
          <w:lang w:val="en-US"/>
        </w:rPr>
        <w:fldChar w:fldCharType="end"/>
      </w:r>
      <w:r w:rsidR="004C3D21" w:rsidRPr="00B6133E">
        <w:rPr>
          <w:rFonts w:ascii="Times New Roman" w:hAnsi="Times New Roman" w:cs="Times New Roman"/>
          <w:lang w:val="en-US"/>
        </w:rPr>
        <w:t xml:space="preserve"> </w:t>
      </w:r>
      <w:r w:rsidRPr="00B6133E">
        <w:rPr>
          <w:rFonts w:ascii="Times New Roman" w:hAnsi="Times New Roman" w:cs="Times New Roman"/>
          <w:lang w:val="en-US"/>
        </w:rPr>
        <w:t>in</w:t>
      </w:r>
      <w:r w:rsidR="00646130" w:rsidRPr="00B6133E">
        <w:rPr>
          <w:rFonts w:ascii="Times New Roman" w:hAnsi="Times New Roman" w:cs="Times New Roman"/>
          <w:lang w:val="en-US"/>
        </w:rPr>
        <w:t xml:space="preserve"> the</w:t>
      </w:r>
      <w:r w:rsidRPr="00B6133E">
        <w:rPr>
          <w:rFonts w:ascii="Times New Roman" w:hAnsi="Times New Roman" w:cs="Times New Roman"/>
          <w:lang w:val="en-US"/>
        </w:rPr>
        <w:t xml:space="preserve"> Supplementa</w:t>
      </w:r>
      <w:r w:rsidR="00CC4BF0" w:rsidRPr="00B6133E">
        <w:rPr>
          <w:rFonts w:ascii="Times New Roman" w:hAnsi="Times New Roman" w:cs="Times New Roman"/>
          <w:lang w:val="en-US"/>
        </w:rPr>
        <w:t>ry t</w:t>
      </w:r>
      <w:r w:rsidRPr="00B6133E">
        <w:rPr>
          <w:rFonts w:ascii="Times New Roman" w:hAnsi="Times New Roman" w:cs="Times New Roman"/>
          <w:lang w:val="en-US"/>
        </w:rPr>
        <w:t>ext</w:t>
      </w:r>
      <w:r w:rsidR="00091D20" w:rsidRPr="00B6133E">
        <w:rPr>
          <w:rFonts w:ascii="Times New Roman" w:hAnsi="Times New Roman" w:cs="Times New Roman"/>
          <w:lang w:val="en-US"/>
        </w:rPr>
        <w:t xml:space="preserve"> 2</w:t>
      </w:r>
      <w:r w:rsidRPr="00B6133E">
        <w:rPr>
          <w:rFonts w:ascii="Times New Roman" w:hAnsi="Times New Roman" w:cs="Times New Roman"/>
          <w:lang w:val="en-US"/>
        </w:rPr>
        <w:t>.</w:t>
      </w:r>
    </w:p>
    <w:p w14:paraId="164A836C" w14:textId="345883D6" w:rsidR="00712801" w:rsidRPr="00B6133E" w:rsidRDefault="00712801" w:rsidP="003E0D1B">
      <w:pPr>
        <w:spacing w:line="480" w:lineRule="auto"/>
        <w:jc w:val="left"/>
        <w:rPr>
          <w:rFonts w:ascii="Times New Roman" w:hAnsi="Times New Roman" w:cs="Times New Roman"/>
          <w:lang w:val="en-US"/>
        </w:rPr>
      </w:pPr>
      <w:r w:rsidRPr="00B6133E">
        <w:rPr>
          <w:rFonts w:ascii="Times New Roman" w:hAnsi="Times New Roman" w:cs="Times New Roman"/>
          <w:i/>
          <w:lang w:val="en-US"/>
        </w:rPr>
        <w:t>Array normalization:</w:t>
      </w:r>
      <w:r w:rsidRPr="00B6133E">
        <w:rPr>
          <w:rFonts w:ascii="Times New Roman" w:hAnsi="Times New Roman" w:cs="Times New Roman"/>
          <w:lang w:val="en-US"/>
        </w:rPr>
        <w:t xml:space="preserve"> All gene expression data sets where</w:t>
      </w:r>
      <w:r w:rsidRPr="00B6133E" w:rsidDel="00712801">
        <w:rPr>
          <w:rFonts w:ascii="Times New Roman" w:hAnsi="Times New Roman" w:cs="Times New Roman"/>
          <w:lang w:val="en-US"/>
        </w:rPr>
        <w:t xml:space="preserve"> </w:t>
      </w:r>
      <w:r w:rsidR="00A54DE4" w:rsidRPr="00B6133E">
        <w:rPr>
          <w:rFonts w:ascii="Times New Roman" w:hAnsi="Times New Roman" w:cs="Times New Roman"/>
          <w:lang w:val="en-US"/>
        </w:rPr>
        <w:t>cohort-wise background corrected, normalized, and summarized by Robust Multichip Average</w:t>
      </w:r>
      <w:r w:rsidRPr="00B6133E">
        <w:rPr>
          <w:rFonts w:ascii="Times New Roman" w:hAnsi="Times New Roman" w:cs="Times New Roman"/>
          <w:lang w:val="en-US"/>
        </w:rPr>
        <w:t xml:space="preserve"> (RMA)</w:t>
      </w:r>
      <w:r w:rsidR="00E361F0"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{"citationItems":[{"id":"ITEM-1","itemData":{"DOI":"10.1093/biostatistics/4.2.249","ISSN":"1465-4644","PMID":"12925520","abstract":"In this paper we report exploratory analyses of high-density oligonucleotide array data from the Affymetrix GeneChip system with the objective of improving upon currently used measures of gene expression. Our analyses make use of three data sets: a small experimental study consisting of five MGU74A mouse GeneChip arrays, part of the data from an extensive spike-in study conducted by Gene Logic and Wyeth's Genetics Institute involving 95 HG-U95A human GeneChip arrays; and part of a dilution study conducted by Gene Logic involving 75 HG-U95A GeneChip arrays. We display some familiar features of the perfect match and mismatch probe (PM and MM) values of these data, and examine the variance-mean relationship with probe-level data from probes believed to be defective, and so delivering noise only. We explain why we need to normalize the arrays to one another using probe level intensities. We then examine the behavior of the PM and MM using spike-in data and assess three commonly used summary measures: Affymetrix's (i) average difference (AvDiff) and (ii) MAS 5.0 signal, and (iii) the Li and Wong multiplicative model-based expression index (MBEI). The exploratory data analyses of the probe level data motivate a new summary measure that is a robust multi-array average (RMA) of background-adjusted, normalized, and log-transformed PM values. We evaluate the four expression summary measures using the dilution study data, assessing their behavior in terms of bias, variance and (for MBEI and RMA) model fit. Finally, we evaluate the algorithms in terms of their ability to detect known levels of differential expression using the spike-in data. We conclude that there is no obvious downside to using RMA and attaching a standard error (SE) to this quantity using a linear model which removes probe-specific affinities.","author":[{"dropping-particle":"","family":"Irizarry","given":"Rafael A.","non-dropping-particle":"","parse-names":false,"suffix":""},{"dropping-particle":"","family":"Hobbs","given":"Bridget","non-dropping-particle":"","parse-names":false,"suffix":""},{"dropping-particle":"","family":"Collin","given":"Francois","non-dropping-particle":"","parse-names":false,"suffix":""},{"dropping-particle":"","family":"Beazer-Barclay","given":"Yasmin D","non-dropping-particle":"","parse-names":false,"suffix":""},{"dropping-particle":"","family":"Antonellis","given":"Kristen J","non-dropping-particle":"","parse-names":false,"suffix":""},{"dropping-particle":"","family":"Scherf","given":"Uwe","non-dropping-particle":"","parse-names":false,"suffix":""},{"dropping-particle":"","family":"Speed","given":"Terence P","non-dropping-particle":"","parse-names":false,"suffix":""}],"container-title":"Biostatistics (Oxford, England)","id":"ITEM-1","issue":"2","issued":{"date-parts":[["2003","4"]]},"page":"249-64","title":"Exploration, normalization, and summaries of high density oligonucleotide array probe level data.","type":"article-journal","volume":"4"},"uris":["http://www.mendeley.com/documents/?uuid=ecad7de6-b2b7-434d-aa4e-b60d47493e0a"]}],"mendeley":{"formattedCitation":"&lt;sup&gt;62&lt;/sup&gt;","plainTextFormattedCitation":"62","previouslyFormattedCitation":"&lt;sup&gt;62&lt;/sup&gt;"},"properties":{"noteIndex":0},"schema":"https://github.com/citation-style-language/schema/raw/master/csl-citation.json"}</w:instrText>
      </w:r>
      <w:r w:rsidR="00E361F0"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62</w:t>
      </w:r>
      <w:r w:rsidR="00E361F0" w:rsidRPr="00B6133E">
        <w:rPr>
          <w:rFonts w:ascii="Times New Roman" w:hAnsi="Times New Roman" w:cs="Times New Roman"/>
          <w:lang w:val="en-US"/>
        </w:rPr>
        <w:fldChar w:fldCharType="end"/>
      </w:r>
      <w:r w:rsidRPr="00B6133E">
        <w:rPr>
          <w:rFonts w:ascii="Times New Roman" w:hAnsi="Times New Roman" w:cs="Times New Roman"/>
          <w:lang w:val="en-US"/>
        </w:rPr>
        <w:t xml:space="preserve"> normalization using the functions from the R-package </w:t>
      </w:r>
      <w:proofErr w:type="spellStart"/>
      <w:r w:rsidRPr="00B6133E">
        <w:rPr>
          <w:rFonts w:ascii="Times New Roman" w:hAnsi="Times New Roman" w:cs="Times New Roman"/>
          <w:lang w:val="en-US"/>
        </w:rPr>
        <w:t>affy</w:t>
      </w:r>
      <w:proofErr w:type="spellEnd"/>
      <w:r w:rsidRPr="00B6133E">
        <w:rPr>
          <w:rFonts w:ascii="Times New Roman" w:hAnsi="Times New Roman" w:cs="Times New Roman"/>
          <w:lang w:val="en-US"/>
        </w:rPr>
        <w:t xml:space="preserve"> v1.54.0</w:t>
      </w:r>
      <w:r w:rsidR="00AE5619" w:rsidRPr="00B6133E">
        <w:rPr>
          <w:rFonts w:ascii="Times New Roman" w:hAnsi="Times New Roman" w:cs="Times New Roman"/>
          <w:lang w:val="en-US"/>
        </w:rPr>
        <w:fldChar w:fldCharType="begin" w:fldLock="1"/>
      </w:r>
      <w:r w:rsidR="00170C80">
        <w:rPr>
          <w:rFonts w:ascii="Times New Roman" w:hAnsi="Times New Roman" w:cs="Times New Roman"/>
          <w:lang w:val="en-US"/>
        </w:rPr>
        <w:instrText>ADDIN CSL_CITATION {"citationItems":[{"id":"ITEM-1","itemData":{"DOI":"10.1093/bioinformatics/btg405","ISSN":"1367-4803","PMID":"14960456","abstract":"MOTIVATION The processing of the Affymetrix GeneChip data has been a recent focus for data analysts. Alternatives to the original procedure have been proposed and some of these new methods are widely used. RESULTS The affy package is an R package of functions and classes for the analysis of oligonucleotide arrays manufactured by Affymetrix. The package is currently in its second release, affy provides the user with extreme flexibility when carrying out an analysis and make it possible to access and manipulate probe intensity data. In this paper, we present the main classes and functions in the package and demonstrate how they can be used to process probe-level data. We also demonstrate the importance of probe-level analysis when using the Affymetrix GeneChip platform.","author":[{"dropping-particle":"","family":"Gautier","given":"Laurent","non-dropping-particle":"","parse-names":false,"suffix":""},{"dropping-particle":"","family":"Cope","given":"Leslie","non-dropping-particle":"","parse-names":false,"suffix":""},{"dropping-particle":"","family":"Bolstad","given":"Benjamin M","non-dropping-particle":"","parse-names":false,"suffix":""},{"dropping-particle":"","family":"Irizarry","given":"Rafael A","non-dropping-particle":"","parse-names":false,"suffix":""}],"container-title":"Bioinformatics (Oxford, England)","id":"ITEM-1","issue":"3","issued":{"date-parts":[["2004","2","12"]]},"page":"307-15","title":"affy--analysis of Affymetrix GeneChip data at the probe level.","type":"article-journal","volume":"20"},"uris":["http://www.mendeley.com/documents/?uuid=7bef8b2c-292c-35f9-a569-c29a5ee0175b"]}],"mendeley":{"formattedCitation":"&lt;sup&gt;63&lt;/sup&gt;","plainTextFormattedCitation":"63","previouslyFormattedCitation":"&lt;sup&gt;63&lt;/sup&gt;"},"properties":{"noteIndex":0},"schema":"https://github.com/citation-style-language/schema/raw/master/csl-citation.json"}</w:instrText>
      </w:r>
      <w:r w:rsidR="00AE5619"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63</w:t>
      </w:r>
      <w:r w:rsidR="00AE5619" w:rsidRPr="00B6133E">
        <w:rPr>
          <w:rFonts w:ascii="Times New Roman" w:hAnsi="Times New Roman" w:cs="Times New Roman"/>
          <w:lang w:val="en-US"/>
        </w:rPr>
        <w:fldChar w:fldCharType="end"/>
      </w:r>
      <w:r w:rsidRPr="00B6133E">
        <w:rPr>
          <w:rFonts w:ascii="Times New Roman" w:hAnsi="Times New Roman" w:cs="Times New Roman"/>
          <w:lang w:val="en-US"/>
        </w:rPr>
        <w:t xml:space="preserve"> and summarized at ENSG level with a custom CDF file from </w:t>
      </w:r>
      <w:proofErr w:type="spellStart"/>
      <w:r w:rsidRPr="00B6133E">
        <w:rPr>
          <w:rFonts w:ascii="Times New Roman" w:hAnsi="Times New Roman" w:cs="Times New Roman"/>
          <w:lang w:val="en-US"/>
        </w:rPr>
        <w:t>brainarray</w:t>
      </w:r>
      <w:proofErr w:type="spellEnd"/>
      <w:r w:rsidRPr="00B6133E">
        <w:rPr>
          <w:rFonts w:ascii="Times New Roman" w:hAnsi="Times New Roman" w:cs="Times New Roman"/>
          <w:lang w:val="en-US"/>
        </w:rPr>
        <w:t xml:space="preserve"> version 20.0.0.  The analyses are based on the online GEP data sets listed above and summarized in Supplementary text 1.</w:t>
      </w:r>
    </w:p>
    <w:p w14:paraId="7404F8B3" w14:textId="77777777" w:rsidR="00712801" w:rsidRPr="00B6133E" w:rsidRDefault="00712801" w:rsidP="00712801">
      <w:pPr>
        <w:pStyle w:val="Overskrift3"/>
        <w:rPr>
          <w:rFonts w:ascii="Times New Roman" w:hAnsi="Times New Roman" w:cs="Times New Roman"/>
          <w:b w:val="0"/>
        </w:rPr>
      </w:pPr>
      <w:r w:rsidRPr="00B6133E">
        <w:rPr>
          <w:rFonts w:ascii="Times New Roman" w:hAnsi="Times New Roman" w:cs="Times New Roman"/>
          <w:b w:val="0"/>
          <w:i/>
        </w:rPr>
        <w:t>Systematic evaluation of transcription factors, surface markers, and B-cell differentiation genes:</w:t>
      </w:r>
      <w:r w:rsidRPr="00B6133E">
        <w:rPr>
          <w:rFonts w:ascii="Times New Roman" w:hAnsi="Times New Roman" w:cs="Times New Roman"/>
          <w:b w:val="0"/>
        </w:rPr>
        <w:t xml:space="preserve"> Transcription factors (TF), surface markers (SM), and B-cell differentiation genes as defined in </w:t>
      </w:r>
      <w:proofErr w:type="spellStart"/>
      <w:r w:rsidRPr="00B6133E">
        <w:rPr>
          <w:rFonts w:ascii="Times New Roman" w:hAnsi="Times New Roman" w:cs="Times New Roman"/>
          <w:b w:val="0"/>
        </w:rPr>
        <w:lastRenderedPageBreak/>
        <w:t>Biomart</w:t>
      </w:r>
      <w:proofErr w:type="spellEnd"/>
      <w:r w:rsidRPr="00B6133E">
        <w:rPr>
          <w:rFonts w:ascii="Times New Roman" w:hAnsi="Times New Roman" w:cs="Times New Roman"/>
          <w:b w:val="0"/>
        </w:rPr>
        <w:t xml:space="preserve"> (</w:t>
      </w:r>
      <w:hyperlink r:id="rId9" w:history="1">
        <w:r w:rsidRPr="00B6133E">
          <w:rPr>
            <w:rStyle w:val="Hyperlink"/>
            <w:rFonts w:ascii="Times New Roman" w:hAnsi="Times New Roman" w:cs="Times New Roman"/>
            <w:b w:val="0"/>
            <w:color w:val="auto"/>
          </w:rPr>
          <w:t>http://www.biomart.org/</w:t>
        </w:r>
      </w:hyperlink>
      <w:r w:rsidRPr="00B6133E">
        <w:rPr>
          <w:rFonts w:ascii="Times New Roman" w:hAnsi="Times New Roman" w:cs="Times New Roman"/>
          <w:b w:val="0"/>
          <w:color w:val="auto"/>
        </w:rPr>
        <w:t xml:space="preserve">) </w:t>
      </w:r>
      <w:r w:rsidRPr="00B6133E">
        <w:rPr>
          <w:rFonts w:ascii="Times New Roman" w:hAnsi="Times New Roman" w:cs="Times New Roman"/>
          <w:b w:val="0"/>
        </w:rPr>
        <w:t xml:space="preserve">were listed and included in hierarchical clustering of the bone marrow dataset. The most variable and distinctive genes across subsets were selected and combined with B-cell subset specific genes identified through literature review to evaluate subset identity. </w:t>
      </w:r>
    </w:p>
    <w:p w14:paraId="7DC5E442" w14:textId="5791B3AD" w:rsidR="00712801" w:rsidRPr="00B6133E" w:rsidRDefault="00712801" w:rsidP="00712801">
      <w:pPr>
        <w:pStyle w:val="Overskrift3"/>
        <w:rPr>
          <w:rFonts w:ascii="Times New Roman" w:hAnsi="Times New Roman" w:cs="Times New Roman"/>
          <w:b w:val="0"/>
        </w:rPr>
      </w:pPr>
      <w:r w:rsidRPr="00B6133E">
        <w:rPr>
          <w:rFonts w:ascii="Times New Roman" w:hAnsi="Times New Roman" w:cs="Times New Roman"/>
          <w:b w:val="0"/>
          <w:i/>
        </w:rPr>
        <w:t>Multivariate statistical methods:</w:t>
      </w:r>
      <w:r w:rsidRPr="00B6133E">
        <w:rPr>
          <w:rFonts w:ascii="Times New Roman" w:hAnsi="Times New Roman" w:cs="Times New Roman"/>
          <w:b w:val="0"/>
        </w:rPr>
        <w:t xml:space="preserve"> Comparisons between GEPs of molecular subsets were performed by principal component analysis and heat maps. For this we used the </w:t>
      </w:r>
      <w:proofErr w:type="spellStart"/>
      <w:r w:rsidRPr="00B6133E">
        <w:rPr>
          <w:rFonts w:ascii="Times New Roman" w:hAnsi="Times New Roman" w:cs="Times New Roman"/>
          <w:b w:val="0"/>
        </w:rPr>
        <w:t>prcomp</w:t>
      </w:r>
      <w:proofErr w:type="spellEnd"/>
      <w:r w:rsidRPr="00B6133E">
        <w:rPr>
          <w:rFonts w:ascii="Times New Roman" w:hAnsi="Times New Roman" w:cs="Times New Roman"/>
          <w:b w:val="0"/>
        </w:rPr>
        <w:t xml:space="preserve"> and heatmap.2 functions from the R-packages stats and </w:t>
      </w:r>
      <w:proofErr w:type="spellStart"/>
      <w:r w:rsidRPr="00B6133E">
        <w:rPr>
          <w:rFonts w:ascii="Times New Roman" w:hAnsi="Times New Roman" w:cs="Times New Roman"/>
          <w:b w:val="0"/>
        </w:rPr>
        <w:t>gplots</w:t>
      </w:r>
      <w:proofErr w:type="spellEnd"/>
      <w:r w:rsidRPr="00B6133E">
        <w:rPr>
          <w:rFonts w:ascii="Times New Roman" w:hAnsi="Times New Roman" w:cs="Times New Roman"/>
          <w:b w:val="0"/>
        </w:rPr>
        <w:t xml:space="preserve">, respectively. The hierarchical clusters alongside the heat maps were made using Ward’s method with Pearson’s correlation coefficient as dissimilarity measure via the R-function </w:t>
      </w:r>
      <w:proofErr w:type="spellStart"/>
      <w:r w:rsidRPr="00B6133E">
        <w:rPr>
          <w:rFonts w:ascii="Times New Roman" w:hAnsi="Times New Roman" w:cs="Times New Roman"/>
          <w:b w:val="0"/>
          <w:i/>
        </w:rPr>
        <w:t>hclust</w:t>
      </w:r>
      <w:proofErr w:type="spellEnd"/>
      <w:r w:rsidRPr="00B6133E">
        <w:rPr>
          <w:rFonts w:ascii="Times New Roman" w:hAnsi="Times New Roman" w:cs="Times New Roman"/>
          <w:b w:val="0"/>
        </w:rPr>
        <w:t>.</w:t>
      </w:r>
    </w:p>
    <w:p w14:paraId="2BD2B449" w14:textId="45358B5D" w:rsidR="00712801" w:rsidRPr="00B6133E" w:rsidRDefault="00712801" w:rsidP="00712801">
      <w:pPr>
        <w:pStyle w:val="Overskrift3"/>
        <w:rPr>
          <w:rFonts w:ascii="Times New Roman" w:hAnsi="Times New Roman" w:cs="Times New Roman"/>
          <w:b w:val="0"/>
        </w:rPr>
      </w:pPr>
      <w:r w:rsidRPr="00B6133E">
        <w:rPr>
          <w:rFonts w:ascii="Times New Roman" w:hAnsi="Times New Roman" w:cs="Times New Roman"/>
          <w:b w:val="0"/>
          <w:i/>
        </w:rPr>
        <w:t>TC and risk classification:</w:t>
      </w:r>
      <w:r w:rsidRPr="00B6133E">
        <w:rPr>
          <w:rFonts w:ascii="Times New Roman" w:hAnsi="Times New Roman" w:cs="Times New Roman"/>
          <w:b w:val="0"/>
        </w:rPr>
        <w:t xml:space="preserve"> Methods for deriving the translocations and cyclin D expression (TC) pattern and the University of Arkansas for Medical Sciences (UAMS) risk classification based on </w:t>
      </w:r>
      <w:proofErr w:type="spellStart"/>
      <w:r w:rsidRPr="00B6133E">
        <w:rPr>
          <w:rFonts w:ascii="Times New Roman" w:hAnsi="Times New Roman" w:cs="Times New Roman"/>
          <w:b w:val="0"/>
        </w:rPr>
        <w:t>Affymetrix</w:t>
      </w:r>
      <w:proofErr w:type="spellEnd"/>
      <w:r w:rsidRPr="00B6133E">
        <w:rPr>
          <w:rFonts w:ascii="Times New Roman" w:hAnsi="Times New Roman" w:cs="Times New Roman"/>
          <w:b w:val="0"/>
        </w:rPr>
        <w:t xml:space="preserve"> gene expression microarray data are described in </w:t>
      </w:r>
      <w:proofErr w:type="spellStart"/>
      <w:r w:rsidRPr="00B6133E">
        <w:rPr>
          <w:rFonts w:ascii="Times New Roman" w:hAnsi="Times New Roman" w:cs="Times New Roman"/>
          <w:b w:val="0"/>
        </w:rPr>
        <w:t>Bergsagel</w:t>
      </w:r>
      <w:proofErr w:type="spellEnd"/>
      <w:r w:rsidRPr="00B6133E">
        <w:rPr>
          <w:rFonts w:ascii="Times New Roman" w:hAnsi="Times New Roman" w:cs="Times New Roman"/>
          <w:b w:val="0"/>
        </w:rPr>
        <w:t xml:space="preserve"> et al</w:t>
      </w:r>
      <w:r w:rsidR="00AE5619" w:rsidRPr="00B6133E">
        <w:rPr>
          <w:rFonts w:ascii="Times New Roman" w:hAnsi="Times New Roman" w:cs="Times New Roman"/>
          <w:b w:val="0"/>
        </w:rPr>
        <w:t>.</w:t>
      </w:r>
      <w:r w:rsidR="00170C80">
        <w:rPr>
          <w:rFonts w:ascii="Times New Roman" w:hAnsi="Times New Roman" w:cs="Times New Roman"/>
          <w:b w:val="0"/>
        </w:rPr>
        <w:t xml:space="preserve"> and Zhan et al.</w:t>
      </w:r>
      <w:r w:rsidR="00170C80">
        <w:rPr>
          <w:rFonts w:ascii="Times New Roman" w:hAnsi="Times New Roman" w:cs="Times New Roman"/>
          <w:b w:val="0"/>
        </w:rPr>
        <w:fldChar w:fldCharType="begin" w:fldLock="1"/>
      </w:r>
      <w:r w:rsidR="00170C80">
        <w:rPr>
          <w:rFonts w:ascii="Times New Roman" w:hAnsi="Times New Roman" w:cs="Times New Roman"/>
          <w:b w:val="0"/>
        </w:rPr>
        <w:instrText>ADDIN CSL_CITATION {"citationItems":[{"id":"ITEM-1","itemData":{"DOI":"10.1182/blood-2005-01-0034","ISSN":"0006-4971","PMID":"15755896","abstract":"Two oncogenic pathways have been hypothesized for multiple myeloma (MM) and premalignant monoclonal gammopathy of undetermined significance (MGUS) tumors: a nonhyperdiploid pathway associated with a high prevalence of IgH translocations and a hyperdiploid pathway associated with multiple trisomies of 8 chromosomes. Cyclin D1, D2, or D3 expression appears to be increased and/or dysregulated in virtually all MM tumors despite their low proliferative capacity. Translocations can directly dysregulate CCND1 (11q13) or CCND3 (6p21), or MAF (16q23) or MAFB (20q11) transcription factors that target CCND2. Biallelic dysregulation of CCND1 occurs in nearly 40% of tumors, most of which are hyperdiploid. Other tumors express increased CCND2, either with or without a t(4;14) translocation. Using gene expression profiling to identify 5 recurrent translocations, specific trisomies, and expression of cyclin D genes, MM tumors can be divided into 8 TC (translocation/cyclin D) groups (11q13, 6p21, 4p16, maf, D1, D1+D2, D2, and none) that appear to be defined by early, and perhaps initiating, oncogenic events. However, despite subsequent progression events, these groups have differing gene expression profiles and also significant differences in the prevalence of bone disease, frequency at relapse, and progression to extramedullary tumor.","author":[{"dropping-particle":"","family":"Bergsagel","given":"P Leif","non-dropping-particle":"","parse-names":false,"suffix":""},{"dropping-particle":"","family":"Kuehl","given":"W Michael","non-dropping-particle":"","parse-names":false,"suffix":""},{"dropping-particle":"","family":"Zhan","given":"Fenghuang","non-dropping-particle":"","parse-names":false,"suffix":""},{"dropping-particle":"","family":"Sawyer","given":"Jeffrey","non-dropping-particle":"","parse-names":false,"suffix":""},{"dropping-particle":"","family":"Barlogie","given":"Bart","non-dropping-particle":"","parse-names":false,"suffix":""},{"dropping-particle":"","family":"Shaughnessy","given":"John","non-dropping-particle":"","parse-names":false,"suffix":""}],"container-title":"Blood","id":"ITEM-1","issue":"1","issued":{"date-parts":[["2005","7"]]},"page":"296-303","title":"Cyclin D dysregulation: an early and unifying pathogenic event in multiple myeloma.","type":"article-journal","volume":"106"},"uris":["http://www.mendeley.com/documents/?uuid=c81fe6b0-1496-47db-9204-eec4587fdf2d"]},{"id":"ITEM-2","itemData":{"ISSN":"0006-4971","PMID":"16728703","abstract":"To better define the molecular basis of multiple myeloma (MM), we performed unsupervised hierarchic clustering of mRNA expression profiles in CD138-enriched plasma cells from 414 newly diagnosed patients who went on to receive high-dose therapy and tandem stem cell transplants. Seven disease subtypes were validated that were strongly influenced by known genetic lesions, such as c-MAF- and MAFB-, CCND1- and CCND3-, and MMSET-activating translocations and hyperdiploidy. Indicative of the deregulation of common pathways by gene orthologs, common gene signatures were observed in cases with c-MAF and MAFB activation and CCND1 and CCND3 activation, the latter consisting of 2 subgroups, one characterized by expression of the early B-cell markers CD20 and PAX5. A low incidence of focal bone disease distinguished one and increased expression of proliferation-associated genes of another novel subgroup. Comprising varying fractions of each of the other 6 subgroups, the proliferation subgroup dominated at relapse, suggesting that this signature is linked to disease progression. Proliferation and MMSET-spike groups were characterized by significant overexpression of genes mapping to chromosome 1q, and both exhibited a poor prognosis relative to the other groups. A subset of cases with a predominating myeloid gene expression signature, excluded from the profiling analyses, had more favorable baseline characteristics and superior prognosis to those lacking this signature.","author":[{"dropping-particle":"","family":"Zhan","given":"Fenghuang","non-dropping-particle":"","parse-names":false,"suffix":""},{"dropping-particle":"","family":"Huang","given":"Yongsheng","non-dropping-particle":"","parse-names":false,"suffix":""},{"dropping-particle":"","family":"Colla","given":"Simona","non-dropping-particle":"","parse-names":false,"suffix":""},{"dropping-particle":"","family":"Stewart","given":"James P","non-dropping-particle":"","parse-names":false,"suffix":""},{"dropping-particle":"","family":"Hanamura","given":"Ichiro","non-dropping-particle":"","parse-names":false,"suffix":""},{"dropping-particle":"","family":"Gupta","given":"Sushil","non-dropping-particle":"","parse-names":false,"suffix":""},{"dropping-particle":"","family":"Epstein","given":"Joshua","non-dropping-particle":"","parse-names":false,"suffix":""},{"dropping-particle":"","family":"Yaccoby","given":"Shmuel","non-dropping-particle":"","parse-names":false,"suffix":""},{"dropping-particle":"","family":"Sawyer","given":"Jeffrey","non-dropping-particle":"","parse-names":false,"suffix":""},{"dropping-particle":"","family":"Burington","given":"Bart","non-dropping-particle":"","parse-names":false,"suffix":""},{"dropping-particle":"","family":"Anaissie","given":"Elias","non-dropping-particle":"","parse-names":false,"suffix":""},{"dropping-particle":"","family":"Hollmig","given":"Klaus","non-dropping-particle":"","parse-names":false,"suffix":""},{"dropping-particle":"","family":"Pineda-Roman","given":"Mauricio","non-dropping-particle":"","parse-names":false,"suffix":""},{"dropping-particle":"","family":"Tricot","given":"Guido","non-dropping-particle":"","parse-names":false,"suffix":""},{"dropping-particle":"","family":"Rhee","given":"Frits","non-dropping-particle":"van","parse-names":false,"suffix":""},{"dropping-particle":"","family":"Walker","given":"Ronald","non-dropping-particle":"","parse-names":false,"suffix":""},{"dropping-particle":"","family":"Zangari","given":"Maurizio","non-dropping-particle":"","parse-names":false,"suffix":""},{"dropping-particle":"","family":"Crowley","given":"John","non-dropping-particle":"","parse-names":false,"suffix":""},{"dropping-particle":"","family":"Barlogie","given":"Bart","non-dropping-particle":"","parse-names":false,"suffix":""},{"dropping-particle":"","family":"Shaughnessy","given":"John D","non-dropping-particle":"","parse-names":false,"suffix":""}],"container-title":"Blood","id":"ITEM-2","issue":"6","issued":{"date-parts":[["2006","9"]]},"page":"2020-8","title":"The molecular classification of multiple myeloma.","type":"article-journal","volume":"108"},"uris":["http://www.mendeley.com/documents/?uuid=17bf3e26-b06b-4b1a-a51b-63cf28060ea1"]}],"mendeley":{"formattedCitation":"&lt;sup&gt;9,35&lt;/sup&gt;","plainTextFormattedCitation":"9,35"},"properties":{"noteIndex":0},"schema":"https://github.com/citation-style-language/schema/raw/master/csl-citation.json"}</w:instrText>
      </w:r>
      <w:r w:rsidR="00170C80">
        <w:rPr>
          <w:rFonts w:ascii="Times New Roman" w:hAnsi="Times New Roman" w:cs="Times New Roman"/>
          <w:b w:val="0"/>
        </w:rPr>
        <w:fldChar w:fldCharType="separate"/>
      </w:r>
      <w:r w:rsidR="00170C80" w:rsidRPr="00170C80">
        <w:rPr>
          <w:rFonts w:ascii="Times New Roman" w:hAnsi="Times New Roman" w:cs="Times New Roman"/>
          <w:b w:val="0"/>
          <w:noProof/>
          <w:vertAlign w:val="superscript"/>
        </w:rPr>
        <w:t>9,35</w:t>
      </w:r>
      <w:r w:rsidR="00170C80">
        <w:rPr>
          <w:rFonts w:ascii="Times New Roman" w:hAnsi="Times New Roman" w:cs="Times New Roman"/>
          <w:b w:val="0"/>
        </w:rPr>
        <w:fldChar w:fldCharType="end"/>
      </w:r>
      <w:r w:rsidRPr="00B6133E">
        <w:rPr>
          <w:rFonts w:ascii="Times New Roman" w:hAnsi="Times New Roman" w:cs="Times New Roman"/>
          <w:b w:val="0"/>
        </w:rPr>
        <w:t>.</w:t>
      </w:r>
    </w:p>
    <w:p w14:paraId="4D5B152F" w14:textId="1F6F35F3" w:rsidR="00712801" w:rsidRPr="00B6133E" w:rsidRDefault="00712801" w:rsidP="00712801">
      <w:pPr>
        <w:pStyle w:val="Overskrift3"/>
        <w:rPr>
          <w:rFonts w:ascii="Times New Roman" w:hAnsi="Times New Roman" w:cs="Times New Roman"/>
          <w:b w:val="0"/>
        </w:rPr>
      </w:pPr>
      <w:r w:rsidRPr="00B6133E">
        <w:rPr>
          <w:rFonts w:ascii="Times New Roman" w:hAnsi="Times New Roman" w:cs="Times New Roman"/>
          <w:b w:val="0"/>
          <w:i/>
        </w:rPr>
        <w:t xml:space="preserve">BAGS classification: </w:t>
      </w:r>
      <w:r w:rsidRPr="00B6133E">
        <w:rPr>
          <w:rFonts w:ascii="Times New Roman" w:hAnsi="Times New Roman" w:cs="Times New Roman"/>
          <w:b w:val="0"/>
        </w:rPr>
        <w:t xml:space="preserve">The BAGS classifier was trained on median </w:t>
      </w:r>
      <w:proofErr w:type="spellStart"/>
      <w:r w:rsidRPr="00B6133E">
        <w:rPr>
          <w:rFonts w:ascii="Times New Roman" w:hAnsi="Times New Roman" w:cs="Times New Roman"/>
          <w:b w:val="0"/>
        </w:rPr>
        <w:t>centred</w:t>
      </w:r>
      <w:proofErr w:type="spellEnd"/>
      <w:r w:rsidRPr="00B6133E">
        <w:rPr>
          <w:rFonts w:ascii="Times New Roman" w:hAnsi="Times New Roman" w:cs="Times New Roman"/>
          <w:b w:val="0"/>
        </w:rPr>
        <w:t xml:space="preserve"> gene expression data from normal bone marrow</w:t>
      </w:r>
      <w:r w:rsidR="00380839" w:rsidRPr="00B6133E">
        <w:rPr>
          <w:rFonts w:ascii="Times New Roman" w:hAnsi="Times New Roman" w:cs="Times New Roman"/>
          <w:b w:val="0"/>
        </w:rPr>
        <w:t>,</w:t>
      </w:r>
      <w:r w:rsidRPr="00B6133E">
        <w:rPr>
          <w:rFonts w:ascii="Times New Roman" w:hAnsi="Times New Roman" w:cs="Times New Roman"/>
          <w:b w:val="0"/>
        </w:rPr>
        <w:t xml:space="preserve">  using a regularized multinomial regression model with 6 classes corresponding to the respective B-cell subtypes. Regularization was done using the elastic net penalty as implemented in the R-package glmnet</w:t>
      </w:r>
      <w:r w:rsidRPr="00B6133E">
        <w:rPr>
          <w:rFonts w:ascii="Times New Roman" w:hAnsi="Times New Roman" w:cs="Times New Roman"/>
          <w:b w:val="0"/>
        </w:rPr>
        <w:fldChar w:fldCharType="begin" w:fldLock="1"/>
      </w:r>
      <w:r w:rsidR="00AE5619" w:rsidRPr="00B6133E">
        <w:rPr>
          <w:rFonts w:ascii="Times New Roman" w:hAnsi="Times New Roman" w:cs="Times New Roman"/>
          <w:b w:val="0"/>
        </w:rPr>
        <w:instrText>ADDIN CSL_CITATION {"citationItems":[{"id":"ITEM-1","itemData":{"ISSN":"1548-7660","PMID":"20808728","abstract":"We develop fast algorithms for estimation of generalized linear models with convex penalties. The models include linear regression, two-class logistic regression, and multinomial regression problems while the penalties include ℓ(1) (the lasso), ℓ(2) (ridge regression) and mixtures of the two (the elastic net). The algorithms use cyclical coordinate descent, computed along a regularization path. The methods can handle large problems and can also deal efficiently with sparse features. In comparative timings we find that the new algorithms are considerably faster than competing methods.","author":[{"dropping-particle":"","family":"Friedman","given":"Jerome","non-dropping-particle":"","parse-names":false,"suffix":""},{"dropping-particle":"","family":"Hastie","given":"Trevor","non-dropping-particle":"","parse-names":false,"suffix":""},{"dropping-particle":"","family":"Tibshirani","given":"Robert","non-dropping-particle":"","parse-names":false,"suffix":""}],"container-title":"Journal of statistical software","id":"ITEM-1","issue":"1","issued":{"date-parts":[["2010","1"]]},"page":"1-22","publisher":"Citeseer","title":"Regularization Paths for Generalized Linear Models via Coordinate Descent.","type":"article-journal","volume":"33"},"uris":["http://www.mendeley.com/documents/?uuid=5a231bbb-2ea5-43d3-9dff-35a737cc7ac3"]}],"mendeley":{"formattedCitation":"&lt;sup&gt;64&lt;/sup&gt;","plainTextFormattedCitation":"64","previouslyFormattedCitation":"&lt;sup&gt;64&lt;/sup&gt;"},"properties":{"noteIndex":0},"schema":"https://github.com/citation-style-language/schema/raw/master/csl-citation.json"}</w:instrText>
      </w:r>
      <w:r w:rsidRPr="00B6133E">
        <w:rPr>
          <w:rFonts w:ascii="Times New Roman" w:hAnsi="Times New Roman" w:cs="Times New Roman"/>
          <w:b w:val="0"/>
        </w:rPr>
        <w:fldChar w:fldCharType="separate"/>
      </w:r>
      <w:r w:rsidR="00AE5619" w:rsidRPr="00B6133E">
        <w:rPr>
          <w:rFonts w:ascii="Times New Roman" w:hAnsi="Times New Roman" w:cs="Times New Roman"/>
          <w:b w:val="0"/>
          <w:noProof/>
          <w:vertAlign w:val="superscript"/>
        </w:rPr>
        <w:t>64</w:t>
      </w:r>
      <w:r w:rsidRPr="00B6133E">
        <w:rPr>
          <w:rFonts w:ascii="Times New Roman" w:hAnsi="Times New Roman" w:cs="Times New Roman"/>
          <w:b w:val="0"/>
        </w:rPr>
        <w:fldChar w:fldCharType="end"/>
      </w:r>
      <w:r w:rsidRPr="00B6133E">
        <w:rPr>
          <w:rFonts w:ascii="Times New Roman" w:hAnsi="Times New Roman" w:cs="Times New Roman"/>
          <w:b w:val="0"/>
        </w:rPr>
        <w:t>.  The elastic net penalty depends on a model parameter α varying between 0 and 1, which balances the ridge regression penalty (α = 0), allowing all genes in the model, and the Lasso penalty (α = 1), allowing a maximum number of genes equal to the number of samples. The model also involves a regularization parameter λ that determines the weight of the penalty and thereby the number of non-zero coefficients. The model parameter α was varied between 0.01 and 1, and the regularization parameter λ was varied between -7.5 and -1 on a log scale. The adequacies of the models were validated by choosing the minimum multinomial deviance determined by leave-one-sample-out cross-validation. The model with α = 0.24 and log λ = -5.67 had the smallest cross-validated multinomial deviance leaving us with 184 genes with non-zero coefficients (Figure S</w:t>
      </w:r>
      <w:r w:rsidR="00DF3856" w:rsidRPr="00B6133E">
        <w:rPr>
          <w:rFonts w:ascii="Times New Roman" w:hAnsi="Times New Roman" w:cs="Times New Roman"/>
          <w:b w:val="0"/>
        </w:rPr>
        <w:t>1</w:t>
      </w:r>
      <w:r w:rsidRPr="00B6133E">
        <w:rPr>
          <w:rFonts w:ascii="Times New Roman" w:hAnsi="Times New Roman" w:cs="Times New Roman"/>
          <w:b w:val="0"/>
        </w:rPr>
        <w:t xml:space="preserve">). This indicates, that by lowering log λ below -5.67,  a number of </w:t>
      </w:r>
      <w:r w:rsidRPr="00B6133E">
        <w:rPr>
          <w:rFonts w:ascii="Times New Roman" w:hAnsi="Times New Roman" w:cs="Times New Roman"/>
          <w:b w:val="0"/>
        </w:rPr>
        <w:lastRenderedPageBreak/>
        <w:t xml:space="preserve">alternative very gene rich models could have described the data well. However, we found the choice above a suitable compromise between sparsity and robustness. Each clinical data set was gene-set wise adjusted to have zero median and same variance as the normal bone marrow dataset. The associated cell of origin </w:t>
      </w:r>
      <w:proofErr w:type="spellStart"/>
      <w:r w:rsidRPr="00B6133E">
        <w:rPr>
          <w:rFonts w:ascii="Times New Roman" w:hAnsi="Times New Roman" w:cs="Times New Roman"/>
          <w:b w:val="0"/>
        </w:rPr>
        <w:t>PreBI</w:t>
      </w:r>
      <w:proofErr w:type="spellEnd"/>
      <w:r w:rsidRPr="00B6133E">
        <w:rPr>
          <w:rFonts w:ascii="Times New Roman" w:hAnsi="Times New Roman" w:cs="Times New Roman"/>
          <w:b w:val="0"/>
        </w:rPr>
        <w:t xml:space="preserve">, </w:t>
      </w:r>
      <w:proofErr w:type="spellStart"/>
      <w:r w:rsidRPr="00B6133E">
        <w:rPr>
          <w:rFonts w:ascii="Times New Roman" w:hAnsi="Times New Roman" w:cs="Times New Roman"/>
          <w:b w:val="0"/>
        </w:rPr>
        <w:t>PreBII</w:t>
      </w:r>
      <w:proofErr w:type="spellEnd"/>
      <w:r w:rsidRPr="00B6133E">
        <w:rPr>
          <w:rFonts w:ascii="Times New Roman" w:hAnsi="Times New Roman" w:cs="Times New Roman"/>
          <w:b w:val="0"/>
        </w:rPr>
        <w:t xml:space="preserve">, </w:t>
      </w:r>
      <w:proofErr w:type="spellStart"/>
      <w:r w:rsidRPr="00B6133E">
        <w:rPr>
          <w:rFonts w:ascii="Times New Roman" w:hAnsi="Times New Roman" w:cs="Times New Roman"/>
          <w:b w:val="0"/>
        </w:rPr>
        <w:t>Im</w:t>
      </w:r>
      <w:proofErr w:type="spellEnd"/>
      <w:r w:rsidRPr="00B6133E">
        <w:rPr>
          <w:rFonts w:ascii="Times New Roman" w:hAnsi="Times New Roman" w:cs="Times New Roman"/>
          <w:b w:val="0"/>
        </w:rPr>
        <w:t>, N, M, or PC for each patient in each data set was subtyped by the BAGS classifier by assigning the class with the highest predicted probability score above 0.40 and otherwise unclassified (UC) (</w:t>
      </w:r>
      <w:r w:rsidRPr="00B6133E">
        <w:rPr>
          <w:rFonts w:ascii="Times New Roman" w:hAnsi="Times New Roman" w:cs="Times New Roman"/>
        </w:rPr>
        <w:t>Figure S</w:t>
      </w:r>
      <w:r w:rsidR="00DF3856" w:rsidRPr="00B6133E">
        <w:rPr>
          <w:rFonts w:ascii="Times New Roman" w:hAnsi="Times New Roman" w:cs="Times New Roman"/>
        </w:rPr>
        <w:t>2</w:t>
      </w:r>
      <w:r w:rsidRPr="00B6133E">
        <w:rPr>
          <w:rFonts w:ascii="Times New Roman" w:hAnsi="Times New Roman" w:cs="Times New Roman"/>
          <w:b w:val="0"/>
        </w:rPr>
        <w:t>).</w:t>
      </w:r>
    </w:p>
    <w:p w14:paraId="5FEA7B95" w14:textId="1E77638D" w:rsidR="00A54DE4" w:rsidRPr="00B6133E" w:rsidRDefault="00712801" w:rsidP="0056769A">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T</w:t>
      </w:r>
      <w:r w:rsidR="00A54DE4" w:rsidRPr="00B6133E">
        <w:rPr>
          <w:rFonts w:ascii="Times New Roman" w:hAnsi="Times New Roman" w:cs="Times New Roman"/>
          <w:lang w:val="en-US"/>
        </w:rPr>
        <w:t>he probability cut-off w</w:t>
      </w:r>
      <w:r w:rsidR="00380839" w:rsidRPr="00B6133E">
        <w:rPr>
          <w:rFonts w:ascii="Times New Roman" w:hAnsi="Times New Roman" w:cs="Times New Roman"/>
          <w:lang w:val="en-US"/>
        </w:rPr>
        <w:t>as</w:t>
      </w:r>
      <w:r w:rsidR="00A54DE4" w:rsidRPr="00B6133E">
        <w:rPr>
          <w:rFonts w:ascii="Times New Roman" w:hAnsi="Times New Roman" w:cs="Times New Roman"/>
          <w:lang w:val="en-US"/>
        </w:rPr>
        <w:t xml:space="preserve"> </w:t>
      </w:r>
      <w:r w:rsidR="002D1F16" w:rsidRPr="00B6133E">
        <w:rPr>
          <w:rFonts w:ascii="Times New Roman" w:hAnsi="Times New Roman" w:cs="Times New Roman"/>
          <w:lang w:val="en-US"/>
        </w:rPr>
        <w:t xml:space="preserve">thoroughly </w:t>
      </w:r>
      <w:r w:rsidR="00A54DE4" w:rsidRPr="00B6133E">
        <w:rPr>
          <w:rFonts w:ascii="Times New Roman" w:hAnsi="Times New Roman" w:cs="Times New Roman"/>
          <w:lang w:val="en-US"/>
        </w:rPr>
        <w:t>tested (</w:t>
      </w:r>
      <w:r w:rsidR="00F81769" w:rsidRPr="00B6133E">
        <w:rPr>
          <w:rFonts w:ascii="Times New Roman" w:hAnsi="Times New Roman" w:cs="Times New Roman"/>
          <w:lang w:val="en-US"/>
        </w:rPr>
        <w:t>Supplementary t</w:t>
      </w:r>
      <w:r w:rsidR="005E612C" w:rsidRPr="00B6133E">
        <w:rPr>
          <w:rFonts w:ascii="Times New Roman" w:hAnsi="Times New Roman" w:cs="Times New Roman"/>
          <w:lang w:val="en-US"/>
        </w:rPr>
        <w:t>ext</w:t>
      </w:r>
      <w:r w:rsidR="00091D20" w:rsidRPr="00B6133E">
        <w:rPr>
          <w:rFonts w:ascii="Times New Roman" w:hAnsi="Times New Roman" w:cs="Times New Roman"/>
          <w:lang w:val="en-US"/>
        </w:rPr>
        <w:t xml:space="preserve"> 2,</w:t>
      </w:r>
      <w:r w:rsidR="00335ABE" w:rsidRPr="00B6133E">
        <w:rPr>
          <w:rFonts w:ascii="Times New Roman" w:hAnsi="Times New Roman" w:cs="Times New Roman"/>
          <w:b/>
          <w:lang w:val="en-US"/>
        </w:rPr>
        <w:t xml:space="preserve"> Section 11</w:t>
      </w:r>
      <w:r w:rsidR="00465CFE" w:rsidRPr="00B6133E">
        <w:rPr>
          <w:rFonts w:ascii="Times New Roman" w:hAnsi="Times New Roman" w:cs="Times New Roman"/>
          <w:b/>
          <w:lang w:val="en-US"/>
        </w:rPr>
        <w:t>.1</w:t>
      </w:r>
      <w:r w:rsidR="00A54DE4" w:rsidRPr="00B6133E">
        <w:rPr>
          <w:rFonts w:ascii="Times New Roman" w:hAnsi="Times New Roman" w:cs="Times New Roman"/>
          <w:lang w:val="en-US"/>
        </w:rPr>
        <w:t>).</w:t>
      </w:r>
      <w:r w:rsidR="0077426E" w:rsidRPr="00B6133E">
        <w:rPr>
          <w:rFonts w:ascii="Times New Roman" w:hAnsi="Times New Roman" w:cs="Times New Roman"/>
          <w:lang w:val="en-US"/>
        </w:rPr>
        <w:t xml:space="preserve"> </w:t>
      </w:r>
    </w:p>
    <w:p w14:paraId="4438F186" w14:textId="6AC29410" w:rsidR="00712801" w:rsidRPr="00B6133E" w:rsidRDefault="00712801" w:rsidP="00B22E77">
      <w:pPr>
        <w:spacing w:before="0" w:after="0" w:line="480" w:lineRule="auto"/>
        <w:rPr>
          <w:rFonts w:ascii="Times New Roman" w:hAnsi="Times New Roman" w:cs="Times New Roman"/>
          <w:lang w:val="en-US"/>
        </w:rPr>
      </w:pPr>
      <w:r w:rsidRPr="00B6133E">
        <w:rPr>
          <w:rFonts w:ascii="Times New Roman" w:hAnsi="Times New Roman" w:cs="Times New Roman"/>
          <w:i/>
          <w:lang w:val="en-US"/>
        </w:rPr>
        <w:t>REGS classification:</w:t>
      </w:r>
      <w:r w:rsidRPr="00B6133E">
        <w:rPr>
          <w:rFonts w:ascii="Times New Roman" w:hAnsi="Times New Roman" w:cs="Times New Roman"/>
          <w:lang w:val="en-US"/>
        </w:rPr>
        <w:t xml:space="preserve"> The samples were assigned resistance probabilities for the drug </w:t>
      </w:r>
      <w:proofErr w:type="spellStart"/>
      <w:r w:rsidRPr="00B6133E">
        <w:rPr>
          <w:rFonts w:ascii="Times New Roman" w:hAnsi="Times New Roman" w:cs="Times New Roman"/>
          <w:lang w:val="en-US"/>
        </w:rPr>
        <w:t>melphalan</w:t>
      </w:r>
      <w:proofErr w:type="spellEnd"/>
      <w:r w:rsidRPr="00B6133E">
        <w:rPr>
          <w:rFonts w:ascii="Times New Roman" w:hAnsi="Times New Roman" w:cs="Times New Roman"/>
          <w:lang w:val="en-US"/>
        </w:rPr>
        <w:t xml:space="preserve"> by resistance gene signature (REGS) classifiers</w:t>
      </w:r>
      <w:r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{"citationItems":[{"id":"ITEM-1","itemData":{"DOI":"10.1371/journal.pone.0019322","ISSN":"1932-6203","PMID":"21559449","abstract":"BACKGROUND: Recent reports indicate that in vitro drug screens combined with gene expression profiles (GEP) of cancer cell lines may generate informative signatures predicting the clinical outcome of chemotherapy. In multiple myeloma (MM) a range of new drugs have been introduced and now challenge conventional therapy including high dose melphalan. Consequently, the generation of predictive signatures for response to melphalan may have a clinical impact. The hypothesis is that melphalan screens and GEPs of B-cell cancer cell lines combined with multivariate statistics may provide predictive clinical information.\n\nMATERIALS AND METHODS: Microarray based GEPs and a melphalan growth inhibition screen of 59 cancer cell lines were downloaded from the National Cancer Institute database. Equivalent data were generated for 18 B-cell cancer cell lines. Linear discriminant analyses (LDA), sparse partial least squares (SPLS) and pairwise comparisons of cell line data were used to build resistance signatures from both cell line panels. A melphalan resistance index was defined and estimated for each MM patient in a publicly available clinical data set and evaluated retrospectively by Cox proportional hazards and Kaplan-Meier survival analysis.\n\nPRINCIPAL FINDINGS: Both cell line panels performed well with respect to internal validation of the SPLS approach but only the B-cell panel was able to predict a significantly higher risk of relapse and death with increasing resistance index in the clinical data sets. The most sensitive and resistant cell lines, MOLP-2 and RPMI-8226 LR5, respectively, had high leverage, which suggests their differentially expressed genes to possess important predictive value.\n\nCONCLUSION: The present study presents a melphalan resistance index generated by analysis of a B-cell panel of cancer cell lines. However, the resistance index needs to be functionally validated and correlated to known MM biomarkers in independent data sets in order to better understand the mechanism underlying the preparedness to melphalan resistance.","author":[{"dropping-particle":"","family":"Boegsted","given":"Martin","non-dropping-particle":"","parse-names":false,"suffix":""},{"dropping-particle":"","family":"Holst","given":"Johanne M","non-dropping-particle":"","parse-names":false,"suffix":""},{"dropping-particle":"","family":"Fogd","given":"Kirsten","non-dropping-particle":"","parse-names":false,"suffix":""},{"dropping-particle":"","family":"Falgreen","given":"Steffen","non-dropping-particle":"","parse-names":false,"suffix":""},{"dropping-particle":"","family":"Sørensen","given":"Suzette","non-dropping-particle":"","parse-names":false,"suffix":""},{"dropping-particle":"","family":"Schmitz","given":"Alexander","non-dropping-particle":"","parse-names":false,"suffix":""},{"dropping-particle":"","family":"Bukh","given":"Anne","non-dropping-particle":"","parse-names":false,"suffix":""},{"dropping-particle":"","family":"Johnsen","given":"Hans E","non-dropping-particle":"","parse-names":false,"suffix":""},{"dropping-particle":"","family":"Nyegaard","given":"Mette","non-dropping-particle":"","parse-names":false,"suffix":""},{"dropping-particle":"","family":"Dybkaer","given":"Karen","non-dropping-particle":"","parse-names":false,"suffix":""}],"container-title":"PloS one","id":"ITEM-1","issue":"4","issued":{"date-parts":[["2011","1"]]},"page":"e19322","title":"Generation of a predictive melphalan resistance index by drug screen of B-cell cancer cell lines.","type":"article-journal","volume":"6"},"uris":["http://www.mendeley.com/documents/?uuid=9d6781bf-f3d3-48c6-86c9-80aa9c519d3b"]},{"id":"ITEM-2","itemData":{"DOI":"10.1371/journal.pone.0083252","ISSN":"1932-6203","PMID":"24376673","abstract":"In a conceptual study of drug resistance we have used a preclinical model of malignant B-cell lines by combining drug induced growth inhibition and gene expression profiling. In the current report a melphalan resistance profile of 19 genes were weighted by microarray data from the MRC Myeloma IX trial and time to progression following high dose melphalan, to generate an individual melphalan resistance index. The resistance index was subsequently validated in the HOVON65/GMMG-HD4 trial data set to prove the concept. Biologically, the assigned resistance indices were differentially distributed among translocations and cyclin D expression classes. Clinically, the 25% most melphalan resistant, the intermediate 50% and the 25% most sensitive patients had a median progression free survival of 18, 32 and 28 months, respectively (log-rank P-value  = 0.05). Furthermore, the median overall survival was 45 months for the resistant group and not reached for the intermediate and sensitive groups (log-rank P-value  = 0.003) following 38 months median observation. In a multivariate analysis, correcting for age, sex and ISS-staging, we found a high resistance index to be an independent variable associated with inferior progression free survival and overall survival. This study provides clinical proof of concept to use in vitro drug screen for identification of melphalan resistance gene signatures for future functional analysis.","author":[{"dropping-particle":"","family":"Bøgsted","given":"Martin","non-dropping-particle":"","parse-names":false,"suffix":""},{"dropping-particle":"","family":"Bilgrau","given":"Anders E","non-dropping-particle":"","parse-names":false,"suffix":""},{"dropping-particle":"","family":"Wardell","given":"Christopher P","non-dropping-particle":"","parse-names":false,"suffix":""},{"dropping-particle":"","family":"Bertsch","given":"Uta","non-dropping-particle":"","parse-names":false,"suffix":""},{"dropping-particle":"","family":"Schmitz","given":"Alexander","non-dropping-particle":"","parse-names":false,"suffix":""},{"dropping-particle":"","family":"Bødker","given":"Julie Støve","non-dropping-particle":"","parse-names":false,"suffix":""},{"dropping-particle":"","family":"Kjeldsen","given":"Malene Krag","non-dropping-particle":"","parse-names":false,"suffix":""},{"dropping-particle":"","family":"Goldschmidt","given":"Hartmut","non-dropping-particle":"","parse-names":false,"suffix":""},{"dropping-particle":"","family":"Morgan","given":"Gareth J","non-dropping-particle":"","parse-names":false,"suffix":""},{"dropping-particle":"","family":"Dybkaer","given":"Karen","non-dropping-particle":"","parse-names":false,"suffix":""},{"dropping-particle":"","family":"Johnsen","given":"Hans Erik","non-dropping-particle":"","parse-names":false,"suffix":""}],"container-title":"PloS one","editor":[{"dropping-particle":"","family":"Wallace","given":"Graham R.","non-dropping-particle":"","parse-names":false,"suffix":""}],"id":"ITEM-2","issue":"12","issued":{"date-parts":[["2013","1"]]},"page":"e83252","publisher":"Public Library of Science","title":"Proof of the concept to use a malignant B cell line drug screen strategy for identification and weight of melphalan resistance genes in multiple myeloma.","type":"article-journal","volume":"8"},"uris":["http://www.mendeley.com/documents/?uuid=a5d99368-da4e-4dc3-adca-f1545e3e5a33"]},{"id":"ITEM-3","itemData":{"DOI":"10.1016/j.exphem.2014.07.263","ISBN":"1873-2399 (Electronic)\\r0301-472X (Linking)","ISSN":"18732399","PMID":"25072621","abstract":"Drug resistance in cancer refers to recurrent or primary refractory disease following drug therapy. At the cellular level, it is a consequence of molecular functions that ultimately enable the cell to resist cell death-one of the classical hallmarks of cancer. Thus, drug resistance is a fundamental aspect of the cancer cell phenotype, in parallel with sustained proliferation, immortality, angiogenesis, invasion, and metastasis. Here we present a preclinical model of human B-cell cancer cell lines used to identify genes involved in specific drug resistance. This process includes a standardized technical setup for specific drug screening, analysis of global gene expression, and the statistical considerations required to develop resistance gene signatures. The state of the art is illustrated by the first-step classical drug screen (including the CD20 antibody rituximab, the DNA intercalating topoisomerase II inhibitor doxorubicin, the mitotic inhibitor vincristine, and the alkylating agents cyclophosphamide and melphalan) along with the generation of gene lists predicting the chemotherapeutic outcome as validated retrospectively in clinical trial datasets. This B-cell lineage-specific preclinical model will allow us to initiate a range of laboratory studies, with focus on specific gene functions involved in molecular resistance mechanisms.","author":[{"dropping-particle":"","family":"Laursen","given":"Maria Bach","non-dropping-particle":"","parse-names":false,"suffix":""},{"dropping-particle":"","family":"Falgreen","given":"Steffen","non-dropping-particle":"","parse-names":false,"suffix":""},{"dropping-particle":"","family":"Bødker","given":"Julie Støve","non-dropping-particle":"","parse-names":false,"suffix":""},{"dropping-particle":"","family":"Schmitz","given":"Alexander","non-dropping-particle":"","parse-names":false,"suffix":""},{"dropping-particle":"","family":"Kjeldsen","given":"Malene Krag","non-dropping-particle":"","parse-names":false,"suffix":""},{"dropping-particle":"","family":"Sørensen","given":"Suzette","non-dropping-particle":"","parse-names":false,"suffix":""},{"dropping-particle":"","family":"Madsen","given":"Jakob","non-dropping-particle":"","parse-names":false,"suffix":""},{"dropping-particle":"","family":"El-Galaly","given":"Tarec Christoffer","non-dropping-particle":"","parse-names":false,"suffix":""},{"dropping-particle":"","family":"Bøgsted","given":"Martin","non-dropping-particle":"","parse-names":false,"suffix":""},{"dropping-particle":"","family":"Dybkær","given":"Karen","non-dropping-particle":"","parse-names":false,"suffix":""},{"dropping-particle":"","family":"Johnsen","given":"Hans Erik","non-dropping-particle":"","parse-names":false,"suffix":""}],"container-title":"Experimental Hematology","id":"ITEM-3","issue":"11","issued":{"date-parts":[["2014","7","26"]]},"page":"927-938","publisher":"ISEH - International Society for Experimental Hematology","title":"Human B-cell cancer cell lines as a preclinical model for studies of drug effect in diffuse large B-cell lymphoma and multiple myeloma","type":"article-journal","volume":"42"},"uris":["http://www.mendeley.com/documents/?uuid=8cbf8adb-4f1f-4fd5-94f4-37b115d89b42"]},{"id":"ITEM-4","itemData":{"DOI":"10.1186/1471-2105-15-168","ISSN":"1471-2105","PMID":"24902483","abstract":"BACKGROUND: In vitro generated dose-response curves of human cancer cell lines are widely used to develop new therapeutics. The curves are summarised by simplified statistics that ignore the conventionally used dose-response curves' dependency on drug exposure time and growth kinetics. This may lead to suboptimal exploitation of data and biased conclusions on the potential of the drug in question. Therefore we set out to improve the dose-response assessments by eliminating the impact of time dependency. RESULTS: First, a mathematical model for drug induced cell growth inhibition was formulated and used to derive novel dose-response curves and improved summary statistics that are independent of time under the proposed model. Next, a statistical analysis workflow for estimating the improved statistics was suggested consisting of 1) nonlinear regression models for estimation of cell counts and doubling times, 2) isotonic regression for modelling the suggested dose-response curves, and 3) resampling based method for assessing variation of the novel summary statistics. We document that conventionally used summary statistics for dose-response experiments depend on time so that fast growing cell lines compared to slowly growing ones are considered overly sensitive. The adequacy of the mathematical model is tested for doxorubicin and found to fit real data to an acceptable degree. Dose-response data from the NCI60 drug screen were used to illustrate the time dependency and demonstrate an adjustment correcting for it. The applicability of the workflow was illustrated by simulation and application on a doxorubicin growth inhibition screen. The simulations show that under the proposed mathematical model the suggested statistical workflow results in unbiased estimates of the time independent summary statistics. Variance estimates of the novel summary statistics are used to conclude that the doxorubicin screen covers a significant diverse range of responses ensuring it is useful for biological interpretations. CONCLUSION: Time independent summary statistics may aid the understanding of drugs' action mechanism on tumour cells and potentially renew previous drug sensitivity evaluation studies.","author":[{"dropping-particle":"","family":"Falgreen","given":"Steffen","non-dropping-particle":"","parse-names":false,"suffix":""},{"dropping-particle":"","family":"Laursen","given":"Maria Bach","non-dropping-particle":"","parse-names":false,"suffix":""},{"dropping-particle":"","family":"Bødker","given":"Julie Støve","non-dropping-particle":"","parse-names":false,"suffix":""},{"dropping-particle":"","family":"Kjeldsen","given":"Malene Krag","non-dropping-particle":"","parse-names":false,"suffix":""},{"dropping-particle":"","family":"Schmitz","given":"Alexander","non-dropping-particle":"","parse-names":false,"suffix":""},{"dropping-particle":"","family":"Nyegaard","given":"Mette","non-dropping-particle":"","parse-names":false,"suffix":""},{"dropping-particle":"","family":"Johnsen","given":"Hans Erik","non-dropping-particle":"","parse-names":false,"suffix":""},{"dropping-particle":"","family":"Dybkær","given":"Karen","non-dropping-particle":"","parse-names":false,"suffix":""},{"dropping-particle":"","family":"Bøgsted","given":"Martin","non-dropping-particle":"","parse-names":false,"suffix":""}],"container-title":"BMC bioinformatics","id":"ITEM-4","issue":"1","issued":{"date-parts":[["2014","1"]]},"page":"168","title":"Exposure time independent summary statistics for assessment of drug dependent cell line growth inhibition","type":"article-journal","volume":"15"},"uris":["http://www.mendeley.com/documents/?uuid=35b37801-72d2-4870-9f24-1d42edb3f5fe"]},{"id":"ITEM-5","itemData":{"DOI":"10.1186/s12885-015-1237-6","ISSN":"1471-2407","PMID":"25881228","abstract":"BACKGROUND Patients suffering from cancer are often treated with a range of chemotherapeutic agents, but the treatment efficacy varies greatly between patients. Based on recent popularisation of regularised regression models the goal of this study was to establish workflows for pharmacogenomic predictors of response to standard multidrug regimens using baseline gene expression data and origin specific cell lines. The proposed workflows are tested on diffuse large B-cell lymphoma treated with R-CHOP first-line therapy. METHODS First, B-cell cancer cell lines were tested successively for resistance towards the chemotherapeutic components of R-CHOP: cyclophosphamide (C), doxorubicin (H), and vincristine (O). Second, baseline gene expression data were obtained for each cell line before treatment. Third, regularised multivariate regression models with cross-validated tuning parameters were used to generate classifier and predictor based resistance gene signatures (REGS) for the combination and individual chemotherapeutic drugs C, H, and O. Fourth, each developed REGS was used to assign resistance levels to individual patients in three clinical cohorts. RESULTS Both classifier and predictor based REGS, for the combination CHO, were of prognostic value. For patients classified as resistant towards CHO the risk of progression was 2.33 (95% CI: 1.6, 3.3) times greater than for those classified as sensitive. Similarly, an increase in the predicted CHO resistance index of 10 was related to a 22% (9%, 36%) increased risk of progression. Furthermore, the REGS classifier performed significantly better than the REGS predictor. CONCLUSIONS The regularised multivariate regression models provide a flexible workflow for drug resistance studies with promising potential. However, the gene expressions defining the REGSs should be functionally validated and correlated to known biomarkers to improve understanding of molecular mechanisms of drug resistance.","author":[{"dropping-particle":"","family":"Falgreen","given":"Steffen","non-dropping-particle":"","parse-names":false,"suffix":""},{"dropping-particle":"","family":"Dybkær","given":"Karen","non-dropping-particle":"","parse-names":false,"suffix":""},{"dropping-particle":"","family":"Young","given":"Ken H.","non-dropping-particle":"","parse-names":false,"suffix":""},{"dropping-particle":"","family":"Xu-Monette","given":"Zijun Y.","non-dropping-particle":"","parse-names":false,"suffix":""},{"dropping-particle":"","family":"El-Galaly","given":"Tarec C.","non-dropping-particle":"","parse-names":false,"suffix":""},{"dropping-particle":"","family":"Laursen","given":"Maria Bach","non-dropping-particle":"","parse-names":false,"suffix":""},{"dropping-particle":"","family":"Bødker","given":"Julie S.","non-dropping-particle":"","parse-names":false,"suffix":""},{"dropping-particle":"","family":"Kjeldsen","given":"Malene K.","non-dropping-particle":"","parse-names":false,"suffix":""},{"dropping-particle":"","family":"Schmitz","given":"Alexander","non-dropping-particle":"","parse-names":false,"suffix":""},{"dropping-particle":"","family":"Nyegaard","given":"Mette","non-dropping-particle":"","parse-names":false,"suffix":""},{"dropping-particle":"","family":"Johnsen","given":"Hans Erik","non-dropping-particle":"","parse-names":false,"suffix":""},{"dropping-particle":"","family":"Bøgsted","given":"Martin","non-dropping-particle":"","parse-names":false,"suffix":""}],"container-title":"BMC cancer","id":"ITEM-5","issued":{"date-parts":[["2015","4","8"]]},"page":"235","publisher":"BioMed Central","title":"Predicting response to multidrug regimens in cancer patients using cell line experiments and regularised regression models","type":"article-journal","volume":"15"},"uris":["http://www.mendeley.com/documents/?uuid=7a5250a6-fe27-4613-8503-ec5c54ca6ba1"]}],"mendeley":{"formattedCitation":"&lt;sup&gt;58,65–68&lt;/sup&gt;","plainTextFormattedCitation":"58,65–68","previouslyFormattedCitation":"&lt;sup&gt;58,65–68&lt;/sup&gt;"},"properties":{"noteIndex":0},"schema":"https://github.com/citation-style-language/schema/raw/master/csl-citation.json"}</w:instrText>
      </w:r>
      <w:r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58,65–68</w:t>
      </w:r>
      <w:r w:rsidRPr="00B6133E">
        <w:rPr>
          <w:rFonts w:ascii="Times New Roman" w:hAnsi="Times New Roman" w:cs="Times New Roman"/>
          <w:lang w:val="en-US"/>
        </w:rPr>
        <w:fldChar w:fldCharType="end"/>
      </w:r>
      <w:r w:rsidRPr="00B6133E">
        <w:rPr>
          <w:rFonts w:ascii="Times New Roman" w:hAnsi="Times New Roman" w:cs="Times New Roman"/>
          <w:lang w:val="en-US"/>
        </w:rPr>
        <w:t xml:space="preserve">. </w:t>
      </w:r>
    </w:p>
    <w:p w14:paraId="4193E669" w14:textId="5E5CDBFE" w:rsidR="00CF5154" w:rsidRPr="00B6133E" w:rsidRDefault="00712801" w:rsidP="00B22E77">
      <w:pPr>
        <w:pStyle w:val="Overskrift3"/>
        <w:rPr>
          <w:rFonts w:ascii="Times New Roman" w:hAnsi="Times New Roman" w:cs="Times New Roman"/>
        </w:rPr>
      </w:pPr>
      <w:r w:rsidRPr="00B6133E">
        <w:rPr>
          <w:rFonts w:ascii="Times New Roman" w:hAnsi="Times New Roman" w:cs="Times New Roman"/>
          <w:b w:val="0"/>
          <w:i/>
        </w:rPr>
        <w:t>Survival analysis:</w:t>
      </w:r>
      <w:r w:rsidRPr="00B6133E">
        <w:rPr>
          <w:rFonts w:ascii="Times New Roman" w:hAnsi="Times New Roman" w:cs="Times New Roman"/>
          <w:b w:val="0"/>
        </w:rPr>
        <w:t xml:space="preserve"> Kaplan-Meier curves, log-rank tests, and Cox proportional hazards models were used for survival analysis and handled with the R-package survival</w:t>
      </w:r>
      <w:r w:rsidRPr="00B6133E">
        <w:rPr>
          <w:rFonts w:ascii="Times New Roman" w:hAnsi="Times New Roman" w:cs="Times New Roman"/>
        </w:rPr>
        <w:fldChar w:fldCharType="begin" w:fldLock="1"/>
      </w:r>
      <w:r w:rsidR="00AE5619" w:rsidRPr="00B6133E">
        <w:rPr>
          <w:rFonts w:ascii="Times New Roman" w:hAnsi="Times New Roman" w:cs="Times New Roman"/>
        </w:rPr>
        <w:instrText>ADDIN CSL_CITATION {"citationItems":[{"id":"ITEM-1","itemData":{"author":[{"dropping-particle":"","family":"Therneau","given":"Terry M","non-dropping-particle":"","parse-names":false,"suffix":""}],"id":"ITEM-1","issued":{"date-parts":[["2015"]]},"note":"version 2.38","title":"A Package for Survival Analysis in S","type":"article"},"uris":["http://www.mendeley.com/documents/?uuid=62df58d4-9cfb-4859-be96-4da065d8e772"]}],"mendeley":{"formattedCitation":"&lt;sup&gt;69&lt;/sup&gt;","plainTextFormattedCitation":"69","previouslyFormattedCitation":"&lt;sup&gt;69&lt;/sup&gt;"},"properties":{"noteIndex":0},"schema":"https://github.com/citation-style-language/schema/raw/master/csl-citation.json"}</w:instrText>
      </w:r>
      <w:r w:rsidRPr="00B6133E">
        <w:rPr>
          <w:rFonts w:ascii="Times New Roman" w:hAnsi="Times New Roman" w:cs="Times New Roman"/>
        </w:rPr>
        <w:fldChar w:fldCharType="separate"/>
      </w:r>
      <w:r w:rsidR="00AE5619" w:rsidRPr="00B6133E">
        <w:rPr>
          <w:rFonts w:ascii="Times New Roman" w:hAnsi="Times New Roman" w:cs="Times New Roman"/>
          <w:b w:val="0"/>
          <w:noProof/>
          <w:vertAlign w:val="superscript"/>
        </w:rPr>
        <w:t>69</w:t>
      </w:r>
      <w:r w:rsidRPr="00B6133E">
        <w:rPr>
          <w:rFonts w:ascii="Times New Roman" w:hAnsi="Times New Roman" w:cs="Times New Roman"/>
        </w:rPr>
        <w:fldChar w:fldCharType="end"/>
      </w:r>
      <w:r w:rsidRPr="00B6133E">
        <w:rPr>
          <w:rFonts w:ascii="Times New Roman" w:hAnsi="Times New Roman" w:cs="Times New Roman"/>
        </w:rPr>
        <w:t xml:space="preserve">. </w:t>
      </w:r>
      <w:r w:rsidR="00A54DE4" w:rsidRPr="00B6133E">
        <w:rPr>
          <w:rFonts w:ascii="Times New Roman" w:hAnsi="Times New Roman" w:cs="Times New Roman"/>
          <w:b w:val="0"/>
        </w:rPr>
        <w:t xml:space="preserve">The cohorts </w:t>
      </w:r>
      <w:proofErr w:type="spellStart"/>
      <w:r w:rsidR="0047108A" w:rsidRPr="00B6133E">
        <w:rPr>
          <w:rFonts w:ascii="Times New Roman" w:hAnsi="Times New Roman" w:cs="Times New Roman"/>
          <w:b w:val="0"/>
        </w:rPr>
        <w:t>ivolving</w:t>
      </w:r>
      <w:proofErr w:type="spellEnd"/>
      <w:r w:rsidR="0047108A" w:rsidRPr="00B6133E">
        <w:rPr>
          <w:rFonts w:ascii="Times New Roman" w:hAnsi="Times New Roman" w:cs="Times New Roman"/>
          <w:b w:val="0"/>
        </w:rPr>
        <w:t xml:space="preserve"> </w:t>
      </w:r>
      <w:r w:rsidR="0047108A" w:rsidRPr="00B6133E">
        <w:rPr>
          <w:rFonts w:ascii="Times New Roman" w:hAnsi="Times New Roman" w:cs="Times New Roman"/>
          <w:b w:val="0"/>
          <w:lang w:val="en-GB"/>
        </w:rPr>
        <w:t xml:space="preserve">patients from three prospective </w:t>
      </w:r>
      <w:r w:rsidR="00584104" w:rsidRPr="00B6133E">
        <w:rPr>
          <w:rFonts w:ascii="Times New Roman" w:hAnsi="Times New Roman" w:cs="Times New Roman"/>
          <w:b w:val="0"/>
          <w:lang w:val="en-GB"/>
        </w:rPr>
        <w:t xml:space="preserve">clinical </w:t>
      </w:r>
      <w:r w:rsidR="0047108A" w:rsidRPr="00B6133E">
        <w:rPr>
          <w:rFonts w:ascii="Times New Roman" w:hAnsi="Times New Roman" w:cs="Times New Roman"/>
          <w:b w:val="0"/>
          <w:lang w:val="en-GB"/>
        </w:rPr>
        <w:t>trial</w:t>
      </w:r>
      <w:r w:rsidR="00584104" w:rsidRPr="00B6133E">
        <w:rPr>
          <w:rFonts w:ascii="Times New Roman" w:hAnsi="Times New Roman" w:cs="Times New Roman"/>
          <w:b w:val="0"/>
          <w:lang w:val="en-GB"/>
        </w:rPr>
        <w:t>s</w:t>
      </w:r>
      <w:r w:rsidR="0047108A" w:rsidRPr="00B6133E">
        <w:rPr>
          <w:rFonts w:ascii="Times New Roman" w:hAnsi="Times New Roman" w:cs="Times New Roman"/>
          <w:b w:val="0"/>
          <w:lang w:val="en-GB"/>
        </w:rPr>
        <w:t xml:space="preserve"> </w:t>
      </w:r>
      <w:r w:rsidR="00A54DE4" w:rsidRPr="00B6133E">
        <w:rPr>
          <w:rFonts w:ascii="Times New Roman" w:hAnsi="Times New Roman" w:cs="Times New Roman"/>
          <w:b w:val="0"/>
        </w:rPr>
        <w:t xml:space="preserve">were </w:t>
      </w:r>
      <w:r w:rsidR="002D1F16" w:rsidRPr="00B6133E">
        <w:rPr>
          <w:rFonts w:ascii="Times New Roman" w:hAnsi="Times New Roman" w:cs="Times New Roman"/>
          <w:b w:val="0"/>
        </w:rPr>
        <w:t>amalgamated</w:t>
      </w:r>
      <w:r w:rsidR="00A54DE4" w:rsidRPr="00B6133E">
        <w:rPr>
          <w:rFonts w:ascii="Times New Roman" w:hAnsi="Times New Roman" w:cs="Times New Roman"/>
          <w:b w:val="0"/>
        </w:rPr>
        <w:t xml:space="preserve"> into a meta-dataset to increase the power of the study</w:t>
      </w:r>
      <w:r w:rsidR="003E6044" w:rsidRPr="00B6133E">
        <w:rPr>
          <w:rFonts w:ascii="Times New Roman" w:hAnsi="Times New Roman" w:cs="Times New Roman"/>
          <w:b w:val="0"/>
        </w:rPr>
        <w:t>.</w:t>
      </w:r>
      <w:r w:rsidR="00D05809" w:rsidRPr="00B6133E">
        <w:rPr>
          <w:rFonts w:ascii="Times New Roman" w:hAnsi="Times New Roman" w:cs="Times New Roman"/>
          <w:b w:val="0"/>
        </w:rPr>
        <w:t xml:space="preserve"> </w:t>
      </w:r>
      <w:r w:rsidR="00A54DE4" w:rsidRPr="00B6133E">
        <w:rPr>
          <w:rFonts w:ascii="Times New Roman" w:hAnsi="Times New Roman" w:cs="Times New Roman"/>
          <w:b w:val="0"/>
        </w:rPr>
        <w:t xml:space="preserve">BAGS </w:t>
      </w:r>
      <w:r w:rsidR="002D1F16" w:rsidRPr="00B6133E">
        <w:rPr>
          <w:rFonts w:ascii="Times New Roman" w:hAnsi="Times New Roman" w:cs="Times New Roman"/>
          <w:b w:val="0"/>
        </w:rPr>
        <w:t xml:space="preserve">subtypes </w:t>
      </w:r>
      <w:r w:rsidR="00A54DE4" w:rsidRPr="00B6133E">
        <w:rPr>
          <w:rFonts w:ascii="Times New Roman" w:hAnsi="Times New Roman" w:cs="Times New Roman"/>
          <w:b w:val="0"/>
        </w:rPr>
        <w:t>as</w:t>
      </w:r>
      <w:r w:rsidR="005672F6" w:rsidRPr="00B6133E">
        <w:rPr>
          <w:rFonts w:ascii="Times New Roman" w:hAnsi="Times New Roman" w:cs="Times New Roman"/>
          <w:b w:val="0"/>
        </w:rPr>
        <w:t xml:space="preserve"> an</w:t>
      </w:r>
      <w:r w:rsidR="00A54DE4" w:rsidRPr="00B6133E">
        <w:rPr>
          <w:rFonts w:ascii="Times New Roman" w:hAnsi="Times New Roman" w:cs="Times New Roman"/>
          <w:b w:val="0"/>
        </w:rPr>
        <w:t xml:space="preserve"> independent explanatory variable was investigated in the meta-dataset by a Cox proportional </w:t>
      </w:r>
      <w:r w:rsidR="00CF5154" w:rsidRPr="00B6133E">
        <w:rPr>
          <w:rFonts w:ascii="Times New Roman" w:hAnsi="Times New Roman" w:cs="Times New Roman"/>
          <w:b w:val="0"/>
        </w:rPr>
        <w:t xml:space="preserve">hazards </w:t>
      </w:r>
      <w:r w:rsidR="002D1F16" w:rsidRPr="00B6133E">
        <w:rPr>
          <w:rFonts w:ascii="Times New Roman" w:hAnsi="Times New Roman" w:cs="Times New Roman"/>
          <w:b w:val="0"/>
        </w:rPr>
        <w:t xml:space="preserve">regression analysis </w:t>
      </w:r>
      <w:r w:rsidR="00CF5154" w:rsidRPr="00B6133E">
        <w:rPr>
          <w:rFonts w:ascii="Times New Roman" w:hAnsi="Times New Roman" w:cs="Times New Roman"/>
          <w:b w:val="0"/>
        </w:rPr>
        <w:t>with BAGS</w:t>
      </w:r>
      <w:r w:rsidR="002D1F16" w:rsidRPr="00B6133E">
        <w:rPr>
          <w:rFonts w:ascii="Times New Roman" w:hAnsi="Times New Roman" w:cs="Times New Roman"/>
          <w:b w:val="0"/>
        </w:rPr>
        <w:t xml:space="preserve"> subtypes</w:t>
      </w:r>
      <w:r w:rsidR="00CF5154" w:rsidRPr="00B6133E">
        <w:rPr>
          <w:rFonts w:ascii="Times New Roman" w:hAnsi="Times New Roman" w:cs="Times New Roman"/>
          <w:b w:val="0"/>
        </w:rPr>
        <w:t>, TC</w:t>
      </w:r>
      <w:r w:rsidR="00A54DE4" w:rsidRPr="00B6133E">
        <w:rPr>
          <w:rFonts w:ascii="Times New Roman" w:hAnsi="Times New Roman" w:cs="Times New Roman"/>
          <w:b w:val="0"/>
        </w:rPr>
        <w:t xml:space="preserve"> classes, </w:t>
      </w:r>
      <w:r w:rsidR="00CF5154" w:rsidRPr="00B6133E">
        <w:rPr>
          <w:rFonts w:ascii="Times New Roman" w:hAnsi="Times New Roman" w:cs="Times New Roman"/>
          <w:b w:val="0"/>
        </w:rPr>
        <w:t>a</w:t>
      </w:r>
      <w:r w:rsidR="00A54DE4" w:rsidRPr="00B6133E">
        <w:rPr>
          <w:rFonts w:ascii="Times New Roman" w:hAnsi="Times New Roman" w:cs="Times New Roman"/>
          <w:b w:val="0"/>
        </w:rPr>
        <w:t xml:space="preserve">nd cohort as potential confounders. </w:t>
      </w:r>
      <w:proofErr w:type="spellStart"/>
      <w:r w:rsidR="00892347" w:rsidRPr="00B6133E">
        <w:rPr>
          <w:rFonts w:ascii="Times New Roman" w:hAnsi="Times New Roman" w:cs="Times New Roman"/>
          <w:b w:val="0"/>
        </w:rPr>
        <w:t>Harell</w:t>
      </w:r>
      <w:r w:rsidR="00740C71" w:rsidRPr="00B6133E">
        <w:rPr>
          <w:rFonts w:ascii="Times New Roman" w:hAnsi="Times New Roman" w:cs="Times New Roman"/>
          <w:b w:val="0"/>
        </w:rPr>
        <w:t>’</w:t>
      </w:r>
      <w:r w:rsidR="00892347" w:rsidRPr="00B6133E">
        <w:rPr>
          <w:rFonts w:ascii="Times New Roman" w:hAnsi="Times New Roman" w:cs="Times New Roman"/>
          <w:b w:val="0"/>
        </w:rPr>
        <w:t>s</w:t>
      </w:r>
      <w:proofErr w:type="spellEnd"/>
      <w:r w:rsidR="00892347" w:rsidRPr="00B6133E">
        <w:rPr>
          <w:rFonts w:ascii="Times New Roman" w:hAnsi="Times New Roman" w:cs="Times New Roman"/>
          <w:b w:val="0"/>
        </w:rPr>
        <w:t xml:space="preserve"> C-statistic </w:t>
      </w:r>
      <w:r w:rsidR="00E00A05" w:rsidRPr="00B6133E">
        <w:rPr>
          <w:rFonts w:ascii="Times New Roman" w:hAnsi="Times New Roman" w:cs="Times New Roman"/>
          <w:b w:val="0"/>
        </w:rPr>
        <w:t xml:space="preserve">for overall survival </w:t>
      </w:r>
      <w:r w:rsidR="00C61BB5" w:rsidRPr="00B6133E">
        <w:rPr>
          <w:rFonts w:ascii="Times New Roman" w:hAnsi="Times New Roman" w:cs="Times New Roman"/>
          <w:b w:val="0"/>
        </w:rPr>
        <w:t xml:space="preserve">was </w:t>
      </w:r>
      <w:r w:rsidR="00892347" w:rsidRPr="00B6133E">
        <w:rPr>
          <w:rFonts w:ascii="Times New Roman" w:hAnsi="Times New Roman" w:cs="Times New Roman"/>
          <w:b w:val="0"/>
        </w:rPr>
        <w:t>calculated from predicted values from the multivariate Cox model</w:t>
      </w:r>
      <w:r w:rsidR="00E00A05" w:rsidRPr="00B6133E">
        <w:rPr>
          <w:rFonts w:ascii="Times New Roman" w:hAnsi="Times New Roman" w:cs="Times New Roman"/>
          <w:b w:val="0"/>
        </w:rPr>
        <w:t xml:space="preserve"> </w:t>
      </w:r>
      <w:r w:rsidR="00892347" w:rsidRPr="00B6133E">
        <w:rPr>
          <w:rFonts w:ascii="Times New Roman" w:hAnsi="Times New Roman" w:cs="Times New Roman"/>
          <w:b w:val="0"/>
        </w:rPr>
        <w:t xml:space="preserve">with and without inclusion of the BAGS classes to </w:t>
      </w:r>
      <w:proofErr w:type="spellStart"/>
      <w:r w:rsidR="00892347" w:rsidRPr="00B6133E">
        <w:rPr>
          <w:rFonts w:ascii="Times New Roman" w:hAnsi="Times New Roman" w:cs="Times New Roman"/>
          <w:b w:val="0"/>
        </w:rPr>
        <w:t>asses</w:t>
      </w:r>
      <w:proofErr w:type="spellEnd"/>
      <w:r w:rsidR="00892347" w:rsidRPr="00B6133E">
        <w:rPr>
          <w:rFonts w:ascii="Times New Roman" w:hAnsi="Times New Roman" w:cs="Times New Roman"/>
          <w:b w:val="0"/>
        </w:rPr>
        <w:t xml:space="preserve"> the prognostic utility.</w:t>
      </w:r>
    </w:p>
    <w:p w14:paraId="6310BF58" w14:textId="3A99AC65" w:rsidR="00916C2E" w:rsidRPr="00B6133E" w:rsidRDefault="00916C2E" w:rsidP="00AE5619">
      <w:pPr>
        <w:spacing w:line="480" w:lineRule="auto"/>
        <w:rPr>
          <w:rFonts w:ascii="Times New Roman" w:hAnsi="Times New Roman" w:cs="Times New Roman"/>
          <w:i/>
          <w:lang w:val="en-GB"/>
        </w:rPr>
      </w:pPr>
      <w:r w:rsidRPr="00B6133E">
        <w:rPr>
          <w:rFonts w:ascii="Times New Roman" w:hAnsi="Times New Roman" w:cs="Times New Roman"/>
          <w:i/>
          <w:lang w:val="en-GB"/>
        </w:rPr>
        <w:t xml:space="preserve">Detection of alternative splice variants in BAGS subclasses: </w:t>
      </w:r>
      <w:r w:rsidRPr="00B6133E">
        <w:rPr>
          <w:rFonts w:ascii="Times New Roman" w:hAnsi="Times New Roman" w:cs="Times New Roman"/>
          <w:lang w:val="en-GB"/>
        </w:rPr>
        <w:t>Alternative</w:t>
      </w:r>
      <w:r w:rsidRPr="00B6133E">
        <w:rPr>
          <w:rFonts w:ascii="Times New Roman" w:hAnsi="Times New Roman" w:cs="Times New Roman"/>
          <w:lang w:val="en-US"/>
        </w:rPr>
        <w:t xml:space="preserve"> splice variants in the BAGS subtypes were investigated using the ANOSVA method</w:t>
      </w:r>
      <w:r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{"citationItems":[{"id":"ITEM-1","itemData":{"DOI":"10.1093/bioinformatics/bti1010","ISSN":"1367-4803","PMID":"15961447","abstract":"MOTIVATION Many or most mammalian genes undergo alternative splicing, generating a variety of transcripts from a single gene. New information on splice variation is becoming available through technology for measuring expression levels of several exons or splice junctions per gene. We have developed a statistical method, ANalysis Of Splice VAriation (ANOSVA) to detect alternative splicing from expression data. Since ANOSVA requires no transcript information, it can be applied when the level of annotation is poor. When validated against spiked clone data, it generated no false positives and few false negatives. We demonstrated ANOSVA with data from a prototype mouse alternative splicing array, run against normal adult tissues, yielding a set of genes with evidence of tissue-specific splice variation. AVAILABILITY The results are available at the supplementary information site. SUPPLEMENTARY INFORMATION The results are available at the supplementary information site https://bioinfo.affymetrix.com/Papers/ANOSVA/","author":[{"dropping-particle":"","family":"Cline","given":"Melissa S","non-dropping-particle":"","parse-names":false,"suffix":""},{"dropping-particle":"","family":"Blume","given":"John","non-dropping-particle":"","parse-names":false,"suffix":""},{"dropping-particle":"","family":"Cawley","given":"Simon","non-dropping-particle":"","parse-names":false,"suffix":""},{"dropping-particle":"","family":"Clark","given":"Tyson A","non-dropping-particle":"","parse-names":false,"suffix":""},{"dropping-particle":"","family":"Hu","given":"Jing-Shan","non-dropping-particle":"","parse-names":false,"suffix":""},{"dropping-particle":"","family":"Lu","given":"Gang","non-dropping-particle":"","parse-names":false,"suffix":""},{"dropping-particle":"","family":"Salomonis","given":"Nathan","non-dropping-particle":"","parse-names":false,"suffix":""},{"dropping-particle":"","family":"Wang","given":"Hui","non-dropping-particle":"","parse-names":false,"suffix":""},{"dropping-particle":"","family":"Williams","given":"Alan","non-dropping-particle":"","parse-names":false,"suffix":""}],"container-title":"Bioinformatics (Oxford, England)","id":"ITEM-1","issue":"Suppl 1","issued":{"date-parts":[["2005","6","1"]]},"page":"i107-15","title":"ANOSVA: a statistical method for detecting splice variation from expression data.","type":"article-journal","volume":"21 Suppl 1"},"uris":["http://www.mendeley.com/documents/?uuid=71bfa7f5-c593-3480-b0d5-c087566a3b9a"]}],"mendeley":{"formattedCitation":"&lt;sup&gt;70&lt;/sup&gt;","plainTextFormattedCitation":"70","previouslyFormattedCitation":"&lt;sup&gt;70&lt;/sup&gt;"},"properties":{"noteIndex":0},"schema":"https://github.com/citation-style-language/schema/raw/master/csl-citation.json"}</w:instrText>
      </w:r>
      <w:r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70</w:t>
      </w:r>
      <w:r w:rsidRPr="00B6133E">
        <w:rPr>
          <w:rFonts w:ascii="Times New Roman" w:hAnsi="Times New Roman" w:cs="Times New Roman"/>
          <w:lang w:val="en-US"/>
        </w:rPr>
        <w:fldChar w:fldCharType="end"/>
      </w:r>
      <w:r w:rsidRPr="00B6133E">
        <w:rPr>
          <w:rFonts w:ascii="Times New Roman" w:hAnsi="Times New Roman" w:cs="Times New Roman"/>
          <w:lang w:val="en-US"/>
        </w:rPr>
        <w:t>. The method consists of a linear model with interaction effects to detect alternative exon usage between one class and the rest within a gene. The linear model is given by:</w:t>
      </w:r>
    </w:p>
    <w:p w14:paraId="14897221" w14:textId="77777777" w:rsidR="00916C2E" w:rsidRPr="00B6133E" w:rsidRDefault="008F0BB3" w:rsidP="00916C2E">
      <w:pPr>
        <w:jc w:val="center"/>
        <w:rPr>
          <w:rFonts w:ascii="Times New Roman" w:eastAsiaTheme="minorEastAsia" w:hAnsi="Times New Roman" w:cs="Times New Roman"/>
          <w:lang w:val="en-US"/>
        </w:rPr>
      </w:pP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ijk</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μ+α</m:t>
            </m:r>
          </m:e>
          <m:sub>
            <m:r>
              <w:rPr>
                <w:rFonts w:ascii="Cambria Math" w:hAnsi="Cambria Math" w:cs="Times New Roman"/>
                <w:lang w:val="en-US"/>
              </w:rPr>
              <m:t>i</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β</m:t>
            </m:r>
          </m:e>
          <m:sub>
            <m:r>
              <w:rPr>
                <w:rFonts w:ascii="Cambria Math" w:hAnsi="Cambria Math" w:cs="Times New Roman"/>
                <w:lang w:val="en-US"/>
              </w:rPr>
              <m:t>j</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γ</m:t>
            </m:r>
          </m:e>
          <m:sub>
            <m:r>
              <w:rPr>
                <w:rFonts w:ascii="Cambria Math" w:hAnsi="Cambria Math" w:cs="Times New Roman"/>
                <w:lang w:val="en-US"/>
              </w:rPr>
              <m:t>ij</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ε</m:t>
            </m:r>
          </m:e>
          <m:sub>
            <m:r>
              <w:rPr>
                <w:rFonts w:ascii="Cambria Math" w:hAnsi="Cambria Math" w:cs="Times New Roman"/>
                <w:lang w:val="en-US"/>
              </w:rPr>
              <m:t>ijk</m:t>
            </m:r>
          </m:sub>
        </m:sSub>
      </m:oMath>
      <w:r w:rsidR="00916C2E" w:rsidRPr="00B6133E">
        <w:rPr>
          <w:rFonts w:ascii="Times New Roman" w:eastAsiaTheme="minorEastAsia" w:hAnsi="Times New Roman" w:cs="Times New Roman"/>
          <w:lang w:val="en-US"/>
        </w:rPr>
        <w:t>,</w:t>
      </w:r>
    </w:p>
    <w:p w14:paraId="77EC29B0" w14:textId="708E5E98" w:rsidR="00916C2E" w:rsidRPr="00B6133E" w:rsidRDefault="00916C2E" w:rsidP="00AE5619">
      <w:pPr>
        <w:spacing w:line="480" w:lineRule="auto"/>
        <w:rPr>
          <w:rFonts w:ascii="Times New Roman" w:eastAsiaTheme="minorEastAsia" w:hAnsi="Times New Roman" w:cs="Times New Roman"/>
          <w:lang w:val="en-US"/>
        </w:rPr>
      </w:pPr>
      <w:r w:rsidRPr="00B6133E">
        <w:rPr>
          <w:rFonts w:ascii="Times New Roman" w:eastAsiaTheme="minorEastAsia" w:hAnsi="Times New Roman" w:cs="Times New Roman"/>
          <w:lang w:val="en-US"/>
        </w:rPr>
        <w:t xml:space="preserve">where </w:t>
      </w: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ijk</m:t>
            </m:r>
          </m:sub>
        </m:sSub>
      </m:oMath>
      <w:r w:rsidRPr="00B6133E">
        <w:rPr>
          <w:rFonts w:ascii="Times New Roman" w:eastAsiaTheme="minorEastAsia" w:hAnsi="Times New Roman" w:cs="Times New Roman"/>
          <w:lang w:val="en-US"/>
        </w:rPr>
        <w:t xml:space="preserve"> is the log</w:t>
      </w:r>
      <w:r w:rsidRPr="00B6133E">
        <w:rPr>
          <w:rFonts w:ascii="Times New Roman" w:eastAsiaTheme="minorEastAsia" w:hAnsi="Times New Roman" w:cs="Times New Roman"/>
          <w:vertAlign w:val="subscript"/>
          <w:lang w:val="en-US"/>
        </w:rPr>
        <w:t>2</w:t>
      </w:r>
      <w:r w:rsidRPr="00B6133E">
        <w:rPr>
          <w:rFonts w:ascii="Times New Roman" w:eastAsiaTheme="minorEastAsia" w:hAnsi="Times New Roman" w:cs="Times New Roman"/>
          <w:lang w:val="en-US"/>
        </w:rPr>
        <w:t xml:space="preserve"> RMA normalized gene expression for class </w:t>
      </w:r>
      <w:proofErr w:type="spellStart"/>
      <w:r w:rsidRPr="00812DE2">
        <w:rPr>
          <w:rFonts w:ascii="Times New Roman" w:eastAsiaTheme="minorEastAsia" w:hAnsi="Times New Roman" w:cs="Times New Roman"/>
          <w:i/>
          <w:lang w:val="en-US"/>
        </w:rPr>
        <w:t>i</w:t>
      </w:r>
      <w:proofErr w:type="spellEnd"/>
      <w:r w:rsidRPr="00B6133E">
        <w:rPr>
          <w:rFonts w:ascii="Times New Roman" w:eastAsiaTheme="minorEastAsia" w:hAnsi="Times New Roman" w:cs="Times New Roman"/>
          <w:lang w:val="en-US"/>
        </w:rPr>
        <w:t xml:space="preserve">, exon </w:t>
      </w:r>
      <w:r w:rsidRPr="00812DE2">
        <w:rPr>
          <w:rFonts w:ascii="Times New Roman" w:eastAsiaTheme="minorEastAsia" w:hAnsi="Times New Roman" w:cs="Times New Roman"/>
          <w:i/>
          <w:lang w:val="en-US"/>
        </w:rPr>
        <w:t>j</w:t>
      </w:r>
      <w:r w:rsidRPr="00B6133E">
        <w:rPr>
          <w:rFonts w:ascii="Times New Roman" w:eastAsiaTheme="minorEastAsia" w:hAnsi="Times New Roman" w:cs="Times New Roman"/>
          <w:lang w:val="en-US"/>
        </w:rPr>
        <w:t xml:space="preserve">, and sample </w:t>
      </w:r>
      <w:r w:rsidRPr="00812DE2">
        <w:rPr>
          <w:rFonts w:ascii="Times New Roman" w:eastAsiaTheme="minorEastAsia" w:hAnsi="Times New Roman" w:cs="Times New Roman"/>
          <w:i/>
          <w:lang w:val="en-US"/>
        </w:rPr>
        <w:t>k</w:t>
      </w:r>
      <w:r w:rsidRPr="00B6133E">
        <w:rPr>
          <w:rFonts w:ascii="Times New Roman" w:eastAsiaTheme="minorEastAsia" w:hAnsi="Times New Roman" w:cs="Times New Roman"/>
          <w:lang w:val="en-US"/>
        </w:rPr>
        <w:t xml:space="preserve">, </w:t>
      </w:r>
      <m:oMath>
        <m:r>
          <w:rPr>
            <w:rFonts w:ascii="Cambria Math" w:hAnsi="Cambria Math" w:cs="Times New Roman"/>
            <w:lang w:val="en-US"/>
          </w:rPr>
          <m:t>μ</m:t>
        </m:r>
      </m:oMath>
      <w:r w:rsidRPr="00B6133E">
        <w:rPr>
          <w:rFonts w:ascii="Times New Roman" w:eastAsiaTheme="minorEastAsia" w:hAnsi="Times New Roman" w:cs="Times New Roman"/>
          <w:lang w:val="en-US"/>
        </w:rPr>
        <w:t xml:space="preserve"> is the </w:t>
      </w:r>
      <w:r w:rsidRPr="00B6133E">
        <w:rPr>
          <w:rFonts w:ascii="Times New Roman" w:eastAsiaTheme="minorEastAsia" w:hAnsi="Times New Roman" w:cs="Times New Roman"/>
          <w:lang w:val="en-US"/>
        </w:rPr>
        <w:lastRenderedPageBreak/>
        <w:t xml:space="preserve">mean expression for the gene, </w:t>
      </w:r>
      <m:oMath>
        <m:sSub>
          <m:sSubPr>
            <m:ctrlPr>
              <w:rPr>
                <w:rFonts w:ascii="Cambria Math" w:hAnsi="Cambria Math" w:cs="Times New Roman"/>
                <w:i/>
                <w:lang w:val="en-US"/>
              </w:rPr>
            </m:ctrlPr>
          </m:sSubPr>
          <m:e>
            <m:r>
              <w:rPr>
                <w:rFonts w:ascii="Cambria Math" w:hAnsi="Cambria Math" w:cs="Times New Roman"/>
                <w:lang w:val="en-US"/>
              </w:rPr>
              <m:t>α</m:t>
            </m:r>
          </m:e>
          <m:sub>
            <m:r>
              <w:rPr>
                <w:rFonts w:ascii="Cambria Math" w:hAnsi="Cambria Math" w:cs="Times New Roman"/>
                <w:lang w:val="en-US"/>
              </w:rPr>
              <m:t>i</m:t>
            </m:r>
          </m:sub>
        </m:sSub>
      </m:oMath>
      <w:r w:rsidRPr="00B6133E">
        <w:rPr>
          <w:rFonts w:ascii="Times New Roman" w:eastAsiaTheme="minorEastAsia" w:hAnsi="Times New Roman" w:cs="Times New Roman"/>
          <w:lang w:val="en-US"/>
        </w:rPr>
        <w:t xml:space="preserve"> is the class effect, </w:t>
      </w:r>
      <m:oMath>
        <m:sSub>
          <m:sSubPr>
            <m:ctrlPr>
              <w:rPr>
                <w:rFonts w:ascii="Cambria Math" w:hAnsi="Cambria Math" w:cs="Times New Roman"/>
                <w:i/>
                <w:lang w:val="en-US"/>
              </w:rPr>
            </m:ctrlPr>
          </m:sSubPr>
          <m:e>
            <m:r>
              <w:rPr>
                <w:rFonts w:ascii="Cambria Math" w:hAnsi="Cambria Math" w:cs="Times New Roman"/>
                <w:lang w:val="en-US"/>
              </w:rPr>
              <m:t>β</m:t>
            </m:r>
          </m:e>
          <m:sub>
            <m:r>
              <w:rPr>
                <w:rFonts w:ascii="Cambria Math" w:hAnsi="Cambria Math" w:cs="Times New Roman"/>
                <w:lang w:val="en-US"/>
              </w:rPr>
              <m:t>j</m:t>
            </m:r>
          </m:sub>
        </m:sSub>
      </m:oMath>
      <w:r w:rsidRPr="00B6133E">
        <w:rPr>
          <w:rFonts w:ascii="Times New Roman" w:eastAsiaTheme="minorEastAsia" w:hAnsi="Times New Roman" w:cs="Times New Roman"/>
          <w:lang w:val="en-US"/>
        </w:rPr>
        <w:t xml:space="preserve"> is the exon effect, </w:t>
      </w:r>
      <m:oMath>
        <m:sSub>
          <m:sSubPr>
            <m:ctrlPr>
              <w:rPr>
                <w:rFonts w:ascii="Cambria Math" w:hAnsi="Cambria Math" w:cs="Times New Roman"/>
                <w:i/>
                <w:lang w:val="en-US"/>
              </w:rPr>
            </m:ctrlPr>
          </m:sSubPr>
          <m:e>
            <m:r>
              <w:rPr>
                <w:rFonts w:ascii="Cambria Math" w:hAnsi="Cambria Math" w:cs="Times New Roman"/>
                <w:lang w:val="en-US"/>
              </w:rPr>
              <m:t>γ</m:t>
            </m:r>
          </m:e>
          <m:sub>
            <m:r>
              <w:rPr>
                <w:rFonts w:ascii="Cambria Math" w:hAnsi="Cambria Math" w:cs="Times New Roman"/>
                <w:lang w:val="en-US"/>
              </w:rPr>
              <m:t>ij</m:t>
            </m:r>
          </m:sub>
        </m:sSub>
      </m:oMath>
      <w:r w:rsidRPr="00B6133E">
        <w:rPr>
          <w:rFonts w:ascii="Times New Roman" w:eastAsiaTheme="minorEastAsia" w:hAnsi="Times New Roman" w:cs="Times New Roman"/>
          <w:lang w:val="en-US"/>
        </w:rPr>
        <w:t xml:space="preserve"> is the interaction between group </w:t>
      </w:r>
      <w:proofErr w:type="spellStart"/>
      <w:r w:rsidRPr="00812DE2">
        <w:rPr>
          <w:rFonts w:ascii="Times New Roman" w:eastAsiaTheme="minorEastAsia" w:hAnsi="Times New Roman" w:cs="Times New Roman"/>
          <w:i/>
          <w:lang w:val="en-US"/>
        </w:rPr>
        <w:t>i</w:t>
      </w:r>
      <w:proofErr w:type="spellEnd"/>
      <w:r w:rsidRPr="00B6133E">
        <w:rPr>
          <w:rFonts w:ascii="Times New Roman" w:eastAsiaTheme="minorEastAsia" w:hAnsi="Times New Roman" w:cs="Times New Roman"/>
          <w:lang w:val="en-US"/>
        </w:rPr>
        <w:t xml:space="preserve"> and exon </w:t>
      </w:r>
      <w:r w:rsidRPr="008F0BB3">
        <w:rPr>
          <w:rFonts w:ascii="Times New Roman" w:eastAsiaTheme="minorEastAsia" w:hAnsi="Times New Roman" w:cs="Times New Roman"/>
          <w:i/>
          <w:lang w:val="en-US"/>
        </w:rPr>
        <w:t>j</w:t>
      </w:r>
      <w:r w:rsidRPr="00B6133E">
        <w:rPr>
          <w:rFonts w:ascii="Times New Roman" w:eastAsiaTheme="minorEastAsia" w:hAnsi="Times New Roman" w:cs="Times New Roman"/>
          <w:lang w:val="en-US"/>
        </w:rPr>
        <w:t xml:space="preserve">, i.e. the alternative exon usage, and the </w:t>
      </w:r>
      <m:oMath>
        <m:sSub>
          <m:sSubPr>
            <m:ctrlPr>
              <w:rPr>
                <w:rFonts w:ascii="Cambria Math" w:hAnsi="Cambria Math" w:cs="Times New Roman"/>
                <w:i/>
                <w:lang w:val="en-US"/>
              </w:rPr>
            </m:ctrlPr>
          </m:sSubPr>
          <m:e>
            <m:r>
              <w:rPr>
                <w:rFonts w:ascii="Cambria Math" w:hAnsi="Cambria Math" w:cs="Times New Roman"/>
                <w:lang w:val="en-US"/>
              </w:rPr>
              <m:t>ε</m:t>
            </m:r>
          </m:e>
          <m:sub>
            <m:r>
              <w:rPr>
                <w:rFonts w:ascii="Cambria Math" w:hAnsi="Cambria Math" w:cs="Times New Roman"/>
                <w:lang w:val="en-US"/>
              </w:rPr>
              <m:t>ijk</m:t>
            </m:r>
          </m:sub>
        </m:sSub>
      </m:oMath>
      <w:r w:rsidRPr="00B6133E">
        <w:rPr>
          <w:rFonts w:ascii="Times New Roman" w:eastAsiaTheme="minorEastAsia" w:hAnsi="Times New Roman" w:cs="Times New Roman"/>
          <w:lang w:val="en-US"/>
        </w:rPr>
        <w:t>’s are i.i.d. Gaussian residuals. The analysis was performed gene-wise for all genes of interest and the result for each gene was r</w:t>
      </w:r>
      <w:r w:rsidR="00FA5C54">
        <w:rPr>
          <w:rFonts w:ascii="Times New Roman" w:eastAsiaTheme="minorEastAsia" w:hAnsi="Times New Roman" w:cs="Times New Roman"/>
          <w:lang w:val="en-US"/>
        </w:rPr>
        <w:t>eported as the effect size and P</w:t>
      </w:r>
      <w:r w:rsidRPr="00B6133E">
        <w:rPr>
          <w:rFonts w:ascii="Times New Roman" w:eastAsiaTheme="minorEastAsia" w:hAnsi="Times New Roman" w:cs="Times New Roman"/>
          <w:lang w:val="en-US"/>
        </w:rPr>
        <w:t xml:space="preserve">-value for the most significant interaction effect. When fitting a linear model in R, the interaction effects are by default given as treatment effects, i.e. one level is set as a reference with an effect of zero and other effects are estimated as deviations from this. This makes the estimation dependent on the choice of reference. As we are interested in deviations from the group effect, an internal loop over exons was initially run for each gene, where the expressions were group-wise median centered and the reference exon was chosen </w:t>
      </w:r>
      <w:r w:rsidR="00024042">
        <w:rPr>
          <w:rFonts w:ascii="Times New Roman" w:eastAsiaTheme="minorEastAsia" w:hAnsi="Times New Roman" w:cs="Times New Roman"/>
          <w:lang w:val="en-US"/>
        </w:rPr>
        <w:t>as the exon giving the highest P</w:t>
      </w:r>
      <w:r w:rsidRPr="00B6133E">
        <w:rPr>
          <w:rFonts w:ascii="Times New Roman" w:eastAsiaTheme="minorEastAsia" w:hAnsi="Times New Roman" w:cs="Times New Roman"/>
          <w:lang w:val="en-US"/>
        </w:rPr>
        <w:t>-value in a two-sided t-test of the group means, i.e. the exon where the difference between groups was closest to the median difference. For the analysis of differential exon usage the un-centered data were used.</w:t>
      </w:r>
    </w:p>
    <w:p w14:paraId="3A082CA4" w14:textId="0F87C9C3" w:rsidR="00916C2E" w:rsidRPr="00B6133E" w:rsidRDefault="00916C2E" w:rsidP="00AE5619">
      <w:pPr>
        <w:spacing w:line="480" w:lineRule="auto"/>
        <w:rPr>
          <w:rFonts w:ascii="Times New Roman" w:eastAsiaTheme="minorEastAsia" w:hAnsi="Times New Roman" w:cs="Times New Roman"/>
          <w:lang w:val="en-US"/>
        </w:rPr>
      </w:pPr>
      <w:r w:rsidRPr="00B6133E">
        <w:rPr>
          <w:rFonts w:ascii="Times New Roman" w:hAnsi="Times New Roman" w:cs="Times New Roman"/>
          <w:lang w:val="en-US"/>
        </w:rPr>
        <w:t xml:space="preserve">Data for the analysis was obtained by RMA normalizing the 170 samples with HuEx-1.0-st array data from the </w:t>
      </w:r>
      <w:r w:rsidRPr="00B6133E">
        <w:rPr>
          <w:rFonts w:ascii="Times New Roman" w:hAnsi="Times New Roman" w:cs="Times New Roman"/>
          <w:i/>
          <w:lang w:val="en-US"/>
        </w:rPr>
        <w:t>IFM-DFCI</w:t>
      </w:r>
      <w:r w:rsidRPr="00B6133E">
        <w:rPr>
          <w:rFonts w:ascii="Times New Roman" w:hAnsi="Times New Roman" w:cs="Times New Roman"/>
          <w:lang w:val="en-US"/>
        </w:rPr>
        <w:t xml:space="preserve"> dataset using the </w:t>
      </w:r>
      <w:proofErr w:type="spellStart"/>
      <w:r w:rsidRPr="00B6133E">
        <w:rPr>
          <w:rFonts w:ascii="Times New Roman" w:hAnsi="Times New Roman" w:cs="Times New Roman"/>
          <w:i/>
          <w:lang w:val="en-US"/>
        </w:rPr>
        <w:t>just.rma</w:t>
      </w:r>
      <w:proofErr w:type="spellEnd"/>
      <w:r w:rsidRPr="00B6133E">
        <w:rPr>
          <w:rFonts w:ascii="Times New Roman" w:hAnsi="Times New Roman" w:cs="Times New Roman"/>
          <w:lang w:val="en-US"/>
        </w:rPr>
        <w:t xml:space="preserve"> function from the R-package </w:t>
      </w:r>
      <w:proofErr w:type="spellStart"/>
      <w:r w:rsidRPr="00B6133E">
        <w:rPr>
          <w:rFonts w:ascii="Times New Roman" w:hAnsi="Times New Roman" w:cs="Times New Roman"/>
          <w:lang w:val="en-US"/>
        </w:rPr>
        <w:t>affy</w:t>
      </w:r>
      <w:proofErr w:type="spellEnd"/>
      <w:r w:rsidRPr="00B6133E">
        <w:rPr>
          <w:rFonts w:ascii="Times New Roman" w:hAnsi="Times New Roman" w:cs="Times New Roman"/>
          <w:lang w:val="en-US"/>
        </w:rPr>
        <w:t xml:space="preserve"> v1.54.0</w:t>
      </w:r>
      <w:r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{"citationItems":[{"id":"ITEM-1","itemData":{"DOI":"10.1093/bioinformatics/btg405","ISSN":"1367-4803","PMID":"14960456","abstract":"MOTIVATION The processing of the Affymetrix GeneChip data has been a recent focus for data analysts. Alternatives to the original procedure have been proposed and some of these new methods are widely used. RESULTS The affy package is an R package of functions and classes for the analysis of oligonucleotide arrays manufactured by Affymetrix. The package is currently in its second release, affy provides the user with extreme flexibility when carrying out an analysis and make it possible to access and manipulate probe intensity data. In this paper, we present the main classes and functions in the package and demonstrate how they can be used to process probe-level data. We also demonstrate the importance of probe-level analysis when using the Affymetrix GeneChip platform.","author":[{"dropping-particle":"","family":"Gautier","given":"Laurent","non-dropping-particle":"","parse-names":false,"suffix":""},{"dropping-particle":"","family":"Cope","given":"Leslie","non-dropping-particle":"","parse-names":false,"suffix":""},{"dropping-particle":"","family":"Bolstad","given":"Benjamin M","non-dropping-particle":"","parse-names":false,"suffix":""},{"dropping-particle":"","family":"Irizarry","given":"Rafael A","non-dropping-particle":"","parse-names":false,"suffix":""}],"container-title":"Bioinformatics (Oxford, England)","id":"ITEM-1","issue":"3","issued":{"date-parts":[["2004","2","12"]]},"page":"307-15","title":"affy--analysis of Affymetrix GeneChip data at the probe level.","type":"article-journal","volume":"20"},"uris":["http://www.mendeley.com/documents/?uuid=7bef8b2c-292c-35f9-a569-c29a5ee0175b"]}],"mendeley":{"formattedCitation":"&lt;sup&gt;63&lt;/sup&gt;","plainTextFormattedCitation":"63","previouslyFormattedCitation":"&lt;sup&gt;63&lt;/sup&gt;"},"properties":{"noteIndex":0},"schema":"https://github.com/citation-style-language/schema/raw/master/csl-citation.json"}</w:instrText>
      </w:r>
      <w:r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63</w:t>
      </w:r>
      <w:r w:rsidRPr="00B6133E">
        <w:rPr>
          <w:rFonts w:ascii="Times New Roman" w:hAnsi="Times New Roman" w:cs="Times New Roman"/>
          <w:lang w:val="en-US"/>
        </w:rPr>
        <w:fldChar w:fldCharType="end"/>
      </w:r>
      <w:r w:rsidR="00AE5619" w:rsidRPr="00B6133E">
        <w:rPr>
          <w:rFonts w:ascii="Times New Roman" w:hAnsi="Times New Roman" w:cs="Times New Roman"/>
          <w:lang w:val="en-US"/>
        </w:rPr>
        <w:t xml:space="preserve"> </w:t>
      </w:r>
      <w:r w:rsidRPr="00B6133E">
        <w:rPr>
          <w:rFonts w:ascii="Times New Roman" w:hAnsi="Times New Roman" w:cs="Times New Roman"/>
          <w:lang w:val="en-US"/>
        </w:rPr>
        <w:t xml:space="preserve">and summarizing at exon level with a custom CDF file from </w:t>
      </w:r>
      <w:proofErr w:type="spellStart"/>
      <w:r w:rsidRPr="00B6133E">
        <w:rPr>
          <w:rFonts w:ascii="Times New Roman" w:hAnsi="Times New Roman" w:cs="Times New Roman"/>
          <w:lang w:val="en-US"/>
        </w:rPr>
        <w:t>brainarray</w:t>
      </w:r>
      <w:proofErr w:type="spellEnd"/>
      <w:r w:rsidRPr="00B6133E">
        <w:rPr>
          <w:rFonts w:ascii="Times New Roman" w:hAnsi="Times New Roman" w:cs="Times New Roman"/>
          <w:lang w:val="en-US"/>
        </w:rPr>
        <w:t xml:space="preserve"> version 20.0.0 .</w:t>
      </w:r>
      <w:r w:rsidRPr="00B6133E">
        <w:rPr>
          <w:rFonts w:ascii="Times New Roman" w:eastAsiaTheme="minorEastAsia" w:hAnsi="Times New Roman" w:cs="Times New Roman"/>
          <w:lang w:val="en-US"/>
        </w:rPr>
        <w:t xml:space="preserve"> All genes included in the training set for the BAGS classifier were investigated for differential exon usage for Pre-BII vs Rest, and Memory vs Rest. </w:t>
      </w:r>
      <w:r w:rsidR="00380839" w:rsidRPr="00B6133E">
        <w:rPr>
          <w:rFonts w:ascii="Times New Roman" w:eastAsiaTheme="minorEastAsia" w:hAnsi="Times New Roman" w:cs="Times New Roman"/>
          <w:lang w:val="en-US"/>
        </w:rPr>
        <w:t>G</w:t>
      </w:r>
      <w:r w:rsidRPr="00B6133E">
        <w:rPr>
          <w:rFonts w:ascii="Times New Roman" w:eastAsiaTheme="minorEastAsia" w:hAnsi="Times New Roman" w:cs="Times New Roman"/>
          <w:lang w:val="en-US"/>
        </w:rPr>
        <w:t xml:space="preserve">enes with evidence of differential exon usage were defined as genes with an adjusted </w:t>
      </w:r>
      <w:r w:rsidR="00272893" w:rsidRPr="00B6133E">
        <w:rPr>
          <w:rFonts w:ascii="Times New Roman" w:eastAsiaTheme="minorEastAsia" w:hAnsi="Times New Roman" w:cs="Times New Roman"/>
          <w:lang w:val="en-US"/>
        </w:rPr>
        <w:t>P</w:t>
      </w:r>
      <w:r w:rsidRPr="00B6133E">
        <w:rPr>
          <w:rFonts w:ascii="Times New Roman" w:eastAsiaTheme="minorEastAsia" w:hAnsi="Times New Roman" w:cs="Times New Roman"/>
          <w:lang w:val="en-US"/>
        </w:rPr>
        <w:t xml:space="preserve">-value &lt; 0.01 and an absolute interaction effect &gt; 1. Significant genes for the analysis of Memory subtype cases vs Rest are shown in </w:t>
      </w:r>
      <w:r w:rsidRPr="00B6133E">
        <w:rPr>
          <w:rFonts w:ascii="Times New Roman" w:eastAsiaTheme="minorEastAsia" w:hAnsi="Times New Roman" w:cs="Times New Roman"/>
          <w:b/>
          <w:lang w:val="en-US"/>
        </w:rPr>
        <w:t>Table S</w:t>
      </w:r>
      <w:r w:rsidR="00DF3856" w:rsidRPr="00B6133E">
        <w:rPr>
          <w:rFonts w:ascii="Times New Roman" w:eastAsiaTheme="minorEastAsia" w:hAnsi="Times New Roman" w:cs="Times New Roman"/>
          <w:b/>
          <w:lang w:val="en-US"/>
        </w:rPr>
        <w:t>1</w:t>
      </w:r>
      <w:r w:rsidRPr="00B6133E">
        <w:rPr>
          <w:rFonts w:ascii="Times New Roman" w:eastAsiaTheme="minorEastAsia" w:hAnsi="Times New Roman" w:cs="Times New Roman"/>
          <w:b/>
          <w:lang w:val="en-US"/>
        </w:rPr>
        <w:t>B</w:t>
      </w:r>
      <w:r w:rsidRPr="00B6133E">
        <w:rPr>
          <w:rFonts w:ascii="Times New Roman" w:eastAsiaTheme="minorEastAsia" w:hAnsi="Times New Roman" w:cs="Times New Roman"/>
          <w:lang w:val="en-US"/>
        </w:rPr>
        <w:t xml:space="preserve"> and significant genes for the analysis of Pre-BII vs Rest are shown in </w:t>
      </w:r>
      <w:r w:rsidRPr="00B6133E">
        <w:rPr>
          <w:rFonts w:ascii="Times New Roman" w:eastAsiaTheme="minorEastAsia" w:hAnsi="Times New Roman" w:cs="Times New Roman"/>
          <w:b/>
          <w:lang w:val="en-US"/>
        </w:rPr>
        <w:t>Table S</w:t>
      </w:r>
      <w:r w:rsidR="00DF3856" w:rsidRPr="00B6133E">
        <w:rPr>
          <w:rFonts w:ascii="Times New Roman" w:eastAsiaTheme="minorEastAsia" w:hAnsi="Times New Roman" w:cs="Times New Roman"/>
          <w:b/>
          <w:lang w:val="en-US"/>
        </w:rPr>
        <w:t>2</w:t>
      </w:r>
      <w:r w:rsidRPr="00B6133E">
        <w:rPr>
          <w:rFonts w:ascii="Times New Roman" w:eastAsiaTheme="minorEastAsia" w:hAnsi="Times New Roman" w:cs="Times New Roman"/>
          <w:b/>
          <w:lang w:val="en-US"/>
        </w:rPr>
        <w:t>A</w:t>
      </w:r>
      <w:r w:rsidRPr="00B6133E">
        <w:rPr>
          <w:rFonts w:ascii="Times New Roman" w:eastAsiaTheme="minorEastAsia" w:hAnsi="Times New Roman" w:cs="Times New Roman"/>
          <w:lang w:val="en-US"/>
        </w:rPr>
        <w:t xml:space="preserve">. </w:t>
      </w:r>
    </w:p>
    <w:p w14:paraId="66A5520A" w14:textId="5F07DFAE" w:rsidR="00916C2E" w:rsidRPr="00B6133E" w:rsidRDefault="00916C2E" w:rsidP="00AE5619">
      <w:pPr>
        <w:spacing w:line="480" w:lineRule="auto"/>
        <w:rPr>
          <w:rFonts w:ascii="Times New Roman" w:eastAsiaTheme="minorEastAsia" w:hAnsi="Times New Roman" w:cs="Times New Roman"/>
          <w:lang w:val="en-US"/>
        </w:rPr>
      </w:pPr>
      <w:r w:rsidRPr="00B6133E">
        <w:rPr>
          <w:rFonts w:ascii="Times New Roman" w:eastAsiaTheme="minorEastAsia" w:hAnsi="Times New Roman" w:cs="Times New Roman"/>
          <w:lang w:val="en-US"/>
        </w:rPr>
        <w:t xml:space="preserve">An enrichment analysis for biological process GO terms of significant genes was done using the R-package </w:t>
      </w:r>
      <w:proofErr w:type="spellStart"/>
      <w:r w:rsidRPr="00B6133E">
        <w:rPr>
          <w:rFonts w:ascii="Times New Roman" w:eastAsiaTheme="minorEastAsia" w:hAnsi="Times New Roman" w:cs="Times New Roman"/>
          <w:lang w:val="en-US"/>
        </w:rPr>
        <w:t>topGO</w:t>
      </w:r>
      <w:proofErr w:type="spellEnd"/>
      <w:r w:rsidRPr="00B6133E">
        <w:rPr>
          <w:rFonts w:ascii="Times New Roman" w:eastAsiaTheme="minorEastAsia" w:hAnsi="Times New Roman" w:cs="Times New Roman"/>
          <w:lang w:val="en-US"/>
        </w:rPr>
        <w:t xml:space="preserve"> v2.28.0</w:t>
      </w:r>
      <w:r w:rsidR="00380839" w:rsidRPr="00B6133E">
        <w:rPr>
          <w:rFonts w:ascii="Times New Roman" w:eastAsiaTheme="minorEastAsia" w:hAnsi="Times New Roman" w:cs="Times New Roman"/>
          <w:lang w:val="en-US"/>
        </w:rPr>
        <w:t>.</w:t>
      </w:r>
      <w:r w:rsidRPr="00B6133E">
        <w:rPr>
          <w:rFonts w:ascii="Times New Roman" w:eastAsiaTheme="minorEastAsia" w:hAnsi="Times New Roman" w:cs="Times New Roman"/>
          <w:lang w:val="en-US"/>
        </w:rPr>
        <w:t xml:space="preserve"> </w:t>
      </w:r>
      <w:r w:rsidR="00380839" w:rsidRPr="00B6133E">
        <w:rPr>
          <w:rFonts w:ascii="Times New Roman" w:eastAsiaTheme="minorEastAsia" w:hAnsi="Times New Roman" w:cs="Times New Roman"/>
          <w:lang w:val="en-US"/>
        </w:rPr>
        <w:t>R</w:t>
      </w:r>
      <w:r w:rsidRPr="00B6133E">
        <w:rPr>
          <w:rFonts w:ascii="Times New Roman" w:eastAsiaTheme="minorEastAsia" w:hAnsi="Times New Roman" w:cs="Times New Roman"/>
          <w:lang w:val="en-US"/>
        </w:rPr>
        <w:t xml:space="preserve">esults for Memory vs Rest are shown in </w:t>
      </w:r>
      <w:r w:rsidRPr="00B6133E">
        <w:rPr>
          <w:rFonts w:ascii="Times New Roman" w:eastAsiaTheme="minorEastAsia" w:hAnsi="Times New Roman" w:cs="Times New Roman"/>
          <w:b/>
          <w:lang w:val="en-US"/>
        </w:rPr>
        <w:t>Table S</w:t>
      </w:r>
      <w:r w:rsidR="00DF3856" w:rsidRPr="00B6133E">
        <w:rPr>
          <w:rFonts w:ascii="Times New Roman" w:eastAsiaTheme="minorEastAsia" w:hAnsi="Times New Roman" w:cs="Times New Roman"/>
          <w:b/>
          <w:lang w:val="en-US"/>
        </w:rPr>
        <w:t>3</w:t>
      </w:r>
      <w:r w:rsidRPr="00B6133E">
        <w:rPr>
          <w:rFonts w:ascii="Times New Roman" w:eastAsiaTheme="minorEastAsia" w:hAnsi="Times New Roman" w:cs="Times New Roman"/>
          <w:b/>
          <w:lang w:val="en-US"/>
        </w:rPr>
        <w:t>B</w:t>
      </w:r>
      <w:r w:rsidRPr="00B6133E">
        <w:rPr>
          <w:rFonts w:ascii="Times New Roman" w:eastAsiaTheme="minorEastAsia" w:hAnsi="Times New Roman" w:cs="Times New Roman"/>
          <w:lang w:val="en-US"/>
        </w:rPr>
        <w:t xml:space="preserve"> and results for Pre-BII vs Rest are shown in</w:t>
      </w:r>
      <w:r w:rsidRPr="00B6133E">
        <w:rPr>
          <w:rFonts w:ascii="Times New Roman" w:eastAsiaTheme="minorEastAsia" w:hAnsi="Times New Roman" w:cs="Times New Roman"/>
          <w:b/>
          <w:lang w:val="en-US"/>
        </w:rPr>
        <w:t xml:space="preserve"> Table S</w:t>
      </w:r>
      <w:r w:rsidR="00DF3856" w:rsidRPr="00B6133E">
        <w:rPr>
          <w:rFonts w:ascii="Times New Roman" w:eastAsiaTheme="minorEastAsia" w:hAnsi="Times New Roman" w:cs="Times New Roman"/>
          <w:b/>
          <w:lang w:val="en-US"/>
        </w:rPr>
        <w:t>3</w:t>
      </w:r>
      <w:r w:rsidRPr="00B6133E">
        <w:rPr>
          <w:rFonts w:ascii="Times New Roman" w:eastAsiaTheme="minorEastAsia" w:hAnsi="Times New Roman" w:cs="Times New Roman"/>
          <w:b/>
          <w:lang w:val="en-US"/>
        </w:rPr>
        <w:t>A</w:t>
      </w:r>
      <w:r w:rsidRPr="00B6133E">
        <w:rPr>
          <w:rFonts w:ascii="Times New Roman" w:eastAsiaTheme="minorEastAsia" w:hAnsi="Times New Roman" w:cs="Times New Roman"/>
          <w:lang w:val="en-US"/>
        </w:rPr>
        <w:t xml:space="preserve">. Updates in the </w:t>
      </w:r>
      <w:proofErr w:type="spellStart"/>
      <w:r w:rsidRPr="00B6133E">
        <w:rPr>
          <w:rFonts w:ascii="Times New Roman" w:eastAsiaTheme="minorEastAsia" w:hAnsi="Times New Roman" w:cs="Times New Roman"/>
          <w:lang w:val="en-US"/>
        </w:rPr>
        <w:t>GO.db</w:t>
      </w:r>
      <w:proofErr w:type="spellEnd"/>
      <w:r w:rsidRPr="00B6133E">
        <w:rPr>
          <w:rFonts w:ascii="Times New Roman" w:eastAsiaTheme="minorEastAsia" w:hAnsi="Times New Roman" w:cs="Times New Roman"/>
          <w:lang w:val="en-US"/>
        </w:rPr>
        <w:t xml:space="preserve"> database might cause changes in the enrichment analysis, accordingly all tables and interpretations of GO terms in this document are at </w:t>
      </w:r>
      <w:r w:rsidRPr="00B6133E">
        <w:rPr>
          <w:rFonts w:ascii="Times New Roman" w:eastAsiaTheme="minorEastAsia" w:hAnsi="Times New Roman" w:cs="Times New Roman"/>
          <w:lang w:val="en-US"/>
        </w:rPr>
        <w:lastRenderedPageBreak/>
        <w:t>version 3.4.1 of the GO.db</w:t>
      </w:r>
      <w:r w:rsidRPr="00B6133E">
        <w:rPr>
          <w:rFonts w:ascii="Times New Roman" w:eastAsiaTheme="minorEastAsia" w:hAnsi="Times New Roman" w:cs="Times New Roman"/>
          <w:lang w:val="en-US"/>
        </w:rPr>
        <w:fldChar w:fldCharType="begin" w:fldLock="1"/>
      </w:r>
      <w:r w:rsidR="00AE5619" w:rsidRPr="00B6133E">
        <w:rPr>
          <w:rFonts w:ascii="Times New Roman" w:eastAsiaTheme="minorEastAsia" w:hAnsi="Times New Roman" w:cs="Times New Roman"/>
          <w:lang w:val="en-US"/>
        </w:rPr>
        <w:instrText>ADDIN CSL_CITATION {"citationItems":[{"id":"ITEM-1","itemData":{"author":[{"dropping-particle":"","family":"Carlson","given":"Marc","non-dropping-particle":"","parse-names":false,"suffix":""}],"id":"ITEM-1","issued":{"date-parts":[["2017"]]},"note":"R package version 3.4.1","title":"GO.db: A set of annotation maps describing the entire Gene Ontology","type":"article"},"uris":["http://www.mendeley.com/documents/?uuid=7d65c08e-8837-45a8-9520-ef1ac827be19"]}],"mendeley":{"formattedCitation":"&lt;sup&gt;71&lt;/sup&gt;","plainTextFormattedCitation":"71","previouslyFormattedCitation":"&lt;sup&gt;71&lt;/sup&gt;"},"properties":{"noteIndex":0},"schema":"https://github.com/citation-style-language/schema/raw/master/csl-citation.json"}</w:instrText>
      </w:r>
      <w:r w:rsidRPr="00B6133E">
        <w:rPr>
          <w:rFonts w:ascii="Times New Roman" w:eastAsiaTheme="minorEastAsia" w:hAnsi="Times New Roman" w:cs="Times New Roman"/>
          <w:lang w:val="en-US"/>
        </w:rPr>
        <w:fldChar w:fldCharType="separate"/>
      </w:r>
      <w:r w:rsidR="00AE5619" w:rsidRPr="00B6133E">
        <w:rPr>
          <w:rFonts w:ascii="Times New Roman" w:eastAsiaTheme="minorEastAsia" w:hAnsi="Times New Roman" w:cs="Times New Roman"/>
          <w:noProof/>
          <w:vertAlign w:val="superscript"/>
          <w:lang w:val="en-US"/>
        </w:rPr>
        <w:t>71</w:t>
      </w:r>
      <w:r w:rsidRPr="00B6133E">
        <w:rPr>
          <w:rFonts w:ascii="Times New Roman" w:eastAsiaTheme="minorEastAsia" w:hAnsi="Times New Roman" w:cs="Times New Roman"/>
          <w:lang w:val="en-US"/>
        </w:rPr>
        <w:fldChar w:fldCharType="end"/>
      </w:r>
      <w:r w:rsidRPr="00B6133E">
        <w:rPr>
          <w:rFonts w:ascii="Times New Roman" w:eastAsiaTheme="minorEastAsia" w:hAnsi="Times New Roman" w:cs="Times New Roman"/>
          <w:lang w:val="en-US"/>
        </w:rPr>
        <w:t xml:space="preserve">. </w:t>
      </w:r>
    </w:p>
    <w:p w14:paraId="78C041D0" w14:textId="68D79883" w:rsidR="00A54DE4" w:rsidRPr="00B6133E" w:rsidRDefault="00A54DE4" w:rsidP="0056769A">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The significance level was set throughout to 0.05, and effect estimates were provided with 95% confidence intervals. P</w:t>
      </w:r>
      <w:r w:rsidR="00826CA4" w:rsidRPr="00B6133E">
        <w:rPr>
          <w:rFonts w:ascii="Times New Roman" w:hAnsi="Times New Roman" w:cs="Times New Roman"/>
          <w:lang w:val="en-US"/>
        </w:rPr>
        <w:t>-</w:t>
      </w:r>
      <w:r w:rsidRPr="00B6133E">
        <w:rPr>
          <w:rFonts w:ascii="Times New Roman" w:hAnsi="Times New Roman" w:cs="Times New Roman"/>
          <w:lang w:val="en-US"/>
        </w:rPr>
        <w:t xml:space="preserve">values </w:t>
      </w:r>
      <w:r w:rsidR="00473708" w:rsidRPr="00B6133E">
        <w:rPr>
          <w:rFonts w:ascii="Times New Roman" w:hAnsi="Times New Roman" w:cs="Times New Roman"/>
          <w:lang w:val="en-US"/>
        </w:rPr>
        <w:t xml:space="preserve">for the differential gene expression and alternative splice analyses </w:t>
      </w:r>
      <w:r w:rsidR="00CF5154" w:rsidRPr="00B6133E">
        <w:rPr>
          <w:rFonts w:ascii="Times New Roman" w:hAnsi="Times New Roman" w:cs="Times New Roman"/>
          <w:lang w:val="en-US"/>
        </w:rPr>
        <w:t>were adjusted by Holm’s method</w:t>
      </w:r>
      <w:r w:rsidR="00584472"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{"citationItems":[{"id":"ITEM-1","itemData":{"DOI":"10.2307/4615733","ISBN":"03036898","ISSN":"0303-6898","abstract":"This paper presents a simple and widely ap- plicable multiple test procedure of the sequentially rejective type, i.e. hypotheses are rejected one at a tine until no further rejections can be done. It is shown that the test has a prescribed level of significance protection against error of the first kind for any combination of true hypotheses. The power properties of the test and a number of possible applications are also discussed.","author":[{"dropping-particle":"","family":"Holm","given":"Sture","non-dropping-particle":"","parse-names":false,"suffix":""}],"container-title":"Scandinavian Journal of Statistics","id":"ITEM-1","issue":"2","issued":{"date-parts":[["1979"]]},"page":"65-70","title":"A Simple Sequentially Rejective Multiple Test Procedure","type":"article-journal","volume":"6"},"uris":["http://www.mendeley.com/documents/?uuid=bd78b9d2-1c34-4457-bd0a-c50f5090c220"]}],"mendeley":{"formattedCitation":"&lt;sup&gt;72&lt;/sup&gt;","plainTextFormattedCitation":"72","previouslyFormattedCitation":"&lt;sup&gt;72&lt;/sup&gt;"},"properties":{"noteIndex":0},"schema":"https://github.com/citation-style-language/schema/raw/master/csl-citation.json"}</w:instrText>
      </w:r>
      <w:r w:rsidR="00584472"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72</w:t>
      </w:r>
      <w:r w:rsidR="00584472" w:rsidRPr="00B6133E">
        <w:rPr>
          <w:rFonts w:ascii="Times New Roman" w:hAnsi="Times New Roman" w:cs="Times New Roman"/>
          <w:lang w:val="en-US"/>
        </w:rPr>
        <w:fldChar w:fldCharType="end"/>
      </w:r>
      <w:r w:rsidRPr="00B6133E">
        <w:rPr>
          <w:rFonts w:ascii="Times New Roman" w:hAnsi="Times New Roman" w:cs="Times New Roman"/>
          <w:lang w:val="en-US"/>
        </w:rPr>
        <w:t>.</w:t>
      </w:r>
    </w:p>
    <w:p w14:paraId="1AABD1BC" w14:textId="77777777" w:rsidR="00815081" w:rsidRPr="00B6133E" w:rsidRDefault="00815081" w:rsidP="00B6133E">
      <w:pPr>
        <w:pStyle w:val="Overskrift2"/>
      </w:pPr>
      <w:bookmarkStart w:id="7" w:name="_Toc298746766"/>
      <w:r w:rsidRPr="00B6133E">
        <w:t>results</w:t>
      </w:r>
    </w:p>
    <w:p w14:paraId="4C99E9EB" w14:textId="77777777" w:rsidR="00F66CC0" w:rsidRPr="00B6133E" w:rsidRDefault="00D921C9" w:rsidP="00826CA4">
      <w:pPr>
        <w:pStyle w:val="Overskrift3"/>
        <w:rPr>
          <w:rFonts w:ascii="Times New Roman" w:hAnsi="Times New Roman" w:cs="Times New Roman"/>
        </w:rPr>
      </w:pPr>
      <w:r w:rsidRPr="00B6133E">
        <w:rPr>
          <w:rFonts w:ascii="Times New Roman" w:hAnsi="Times New Roman" w:cs="Times New Roman"/>
        </w:rPr>
        <w:t xml:space="preserve">BAGS classifier generation and clinical sample assignment </w:t>
      </w:r>
    </w:p>
    <w:p w14:paraId="47AFC74B" w14:textId="5193D400" w:rsidR="00F740B6" w:rsidRPr="00B6133E" w:rsidRDefault="008E6497" w:rsidP="00A21532">
      <w:pPr>
        <w:spacing w:before="0" w:after="0" w:line="480" w:lineRule="auto"/>
        <w:rPr>
          <w:rFonts w:ascii="Times New Roman" w:hAnsi="Times New Roman" w:cs="Times New Roman"/>
          <w:lang w:val="en-US"/>
        </w:rPr>
      </w:pPr>
      <w:r w:rsidRPr="00B6133E">
        <w:rPr>
          <w:rFonts w:ascii="Times New Roman" w:hAnsi="Times New Roman" w:cs="Times New Roman"/>
          <w:lang w:val="en-US"/>
        </w:rPr>
        <w:t>The data quality of the differentiating B-cell subset compartments</w:t>
      </w:r>
      <w:r w:rsidR="00AB5929" w:rsidRPr="00B6133E">
        <w:rPr>
          <w:rFonts w:ascii="Times New Roman" w:hAnsi="Times New Roman" w:cs="Times New Roman"/>
          <w:lang w:val="en-US"/>
        </w:rPr>
        <w:t xml:space="preserve"> </w:t>
      </w:r>
      <w:r w:rsidR="00374760" w:rsidRPr="00B6133E">
        <w:rPr>
          <w:rFonts w:ascii="Times New Roman" w:hAnsi="Times New Roman" w:cs="Times New Roman"/>
          <w:lang w:val="en-US"/>
        </w:rPr>
        <w:t xml:space="preserve">of the sternal BM </w:t>
      </w:r>
      <w:r w:rsidR="00AB5929" w:rsidRPr="00B6133E">
        <w:rPr>
          <w:rFonts w:ascii="Times New Roman" w:hAnsi="Times New Roman" w:cs="Times New Roman"/>
          <w:lang w:val="en-US"/>
        </w:rPr>
        <w:t xml:space="preserve">was </w:t>
      </w:r>
      <w:r w:rsidR="00335ABE" w:rsidRPr="00B6133E">
        <w:rPr>
          <w:rFonts w:ascii="Times New Roman" w:hAnsi="Times New Roman" w:cs="Times New Roman"/>
          <w:lang w:val="en-US"/>
        </w:rPr>
        <w:t xml:space="preserve">individually </w:t>
      </w:r>
      <w:r w:rsidR="00AB5929" w:rsidRPr="00B6133E">
        <w:rPr>
          <w:rFonts w:ascii="Times New Roman" w:hAnsi="Times New Roman" w:cs="Times New Roman"/>
          <w:lang w:val="en-US"/>
        </w:rPr>
        <w:t xml:space="preserve">validated </w:t>
      </w:r>
      <w:r w:rsidRPr="00B6133E">
        <w:rPr>
          <w:rFonts w:ascii="Times New Roman" w:hAnsi="Times New Roman" w:cs="Times New Roman"/>
          <w:lang w:val="en-US"/>
        </w:rPr>
        <w:t xml:space="preserve">as illustrated </w:t>
      </w:r>
      <w:r w:rsidR="00AB5929" w:rsidRPr="00B6133E">
        <w:rPr>
          <w:rFonts w:ascii="Times New Roman" w:hAnsi="Times New Roman" w:cs="Times New Roman"/>
          <w:lang w:val="en-US"/>
        </w:rPr>
        <w:t>by density plots</w:t>
      </w:r>
      <w:r w:rsidRPr="00B6133E">
        <w:rPr>
          <w:rFonts w:ascii="Times New Roman" w:hAnsi="Times New Roman" w:cs="Times New Roman"/>
          <w:lang w:val="en-US"/>
        </w:rPr>
        <w:t xml:space="preserve"> from MFC analysis</w:t>
      </w:r>
      <w:r w:rsidR="00AB5929" w:rsidRPr="00B6133E">
        <w:rPr>
          <w:rFonts w:ascii="Times New Roman" w:hAnsi="Times New Roman" w:cs="Times New Roman"/>
          <w:lang w:val="en-US"/>
        </w:rPr>
        <w:t xml:space="preserve"> (</w:t>
      </w:r>
      <w:r w:rsidR="00AB5929" w:rsidRPr="00B6133E">
        <w:rPr>
          <w:rFonts w:ascii="Times New Roman" w:hAnsi="Times New Roman" w:cs="Times New Roman"/>
          <w:b/>
          <w:lang w:val="en-US"/>
        </w:rPr>
        <w:t>Fig</w:t>
      </w:r>
      <w:r w:rsidR="0072154F" w:rsidRPr="00B6133E">
        <w:rPr>
          <w:rFonts w:ascii="Times New Roman" w:hAnsi="Times New Roman" w:cs="Times New Roman"/>
          <w:b/>
          <w:lang w:val="en-US"/>
        </w:rPr>
        <w:t>ure</w:t>
      </w:r>
      <w:r w:rsidR="00AB5929" w:rsidRPr="00B6133E">
        <w:rPr>
          <w:rFonts w:ascii="Times New Roman" w:hAnsi="Times New Roman" w:cs="Times New Roman"/>
          <w:b/>
          <w:lang w:val="en-US"/>
        </w:rPr>
        <w:t xml:space="preserve"> 1A</w:t>
      </w:r>
      <w:r w:rsidR="00AB5929" w:rsidRPr="00B6133E">
        <w:rPr>
          <w:rFonts w:ascii="Times New Roman" w:hAnsi="Times New Roman" w:cs="Times New Roman"/>
          <w:lang w:val="en-US"/>
        </w:rPr>
        <w:t>) and principal component analysis (</w:t>
      </w:r>
      <w:r w:rsidR="00AB5929" w:rsidRPr="00B6133E">
        <w:rPr>
          <w:rFonts w:ascii="Times New Roman" w:hAnsi="Times New Roman" w:cs="Times New Roman"/>
          <w:b/>
          <w:lang w:val="en-US"/>
        </w:rPr>
        <w:t>Fig</w:t>
      </w:r>
      <w:r w:rsidR="0072154F" w:rsidRPr="00B6133E">
        <w:rPr>
          <w:rFonts w:ascii="Times New Roman" w:hAnsi="Times New Roman" w:cs="Times New Roman"/>
          <w:b/>
          <w:lang w:val="en-US"/>
        </w:rPr>
        <w:t>ure</w:t>
      </w:r>
      <w:r w:rsidR="00AB5929" w:rsidRPr="00B6133E">
        <w:rPr>
          <w:rFonts w:ascii="Times New Roman" w:hAnsi="Times New Roman" w:cs="Times New Roman"/>
          <w:b/>
          <w:lang w:val="en-US"/>
        </w:rPr>
        <w:t xml:space="preserve"> 1B</w:t>
      </w:r>
      <w:r w:rsidR="00AB5929" w:rsidRPr="00B6133E">
        <w:rPr>
          <w:rFonts w:ascii="Times New Roman" w:hAnsi="Times New Roman" w:cs="Times New Roman"/>
          <w:lang w:val="en-US"/>
        </w:rPr>
        <w:t xml:space="preserve">) of the </w:t>
      </w:r>
      <w:r w:rsidR="00F740B6" w:rsidRPr="00B6133E">
        <w:rPr>
          <w:rFonts w:ascii="Times New Roman" w:hAnsi="Times New Roman" w:cs="Times New Roman"/>
          <w:lang w:val="en-US"/>
        </w:rPr>
        <w:t xml:space="preserve">mean fluorescence </w:t>
      </w:r>
      <w:r w:rsidR="00AB5929" w:rsidRPr="00B6133E">
        <w:rPr>
          <w:rFonts w:ascii="Times New Roman" w:hAnsi="Times New Roman" w:cs="Times New Roman"/>
          <w:lang w:val="en-US"/>
        </w:rPr>
        <w:t>intensities</w:t>
      </w:r>
      <w:r w:rsidR="00F740B6" w:rsidRPr="00B6133E">
        <w:rPr>
          <w:rFonts w:ascii="Times New Roman" w:hAnsi="Times New Roman" w:cs="Times New Roman"/>
          <w:lang w:val="en-US"/>
        </w:rPr>
        <w:t xml:space="preserve"> (MFI</w:t>
      </w:r>
      <w:r w:rsidR="003345C6" w:rsidRPr="00B6133E">
        <w:rPr>
          <w:rFonts w:ascii="Times New Roman" w:hAnsi="Times New Roman" w:cs="Times New Roman"/>
          <w:lang w:val="en-US"/>
        </w:rPr>
        <w:t>s</w:t>
      </w:r>
      <w:r w:rsidR="00F740B6" w:rsidRPr="00B6133E">
        <w:rPr>
          <w:rFonts w:ascii="Times New Roman" w:hAnsi="Times New Roman" w:cs="Times New Roman"/>
          <w:lang w:val="en-US"/>
        </w:rPr>
        <w:t>)</w:t>
      </w:r>
      <w:r w:rsidR="00AB5929" w:rsidRPr="00B6133E">
        <w:rPr>
          <w:rFonts w:ascii="Times New Roman" w:hAnsi="Times New Roman" w:cs="Times New Roman"/>
          <w:lang w:val="en-US"/>
        </w:rPr>
        <w:t xml:space="preserve"> of the CD markers used for</w:t>
      </w:r>
      <w:r w:rsidR="007A11D0" w:rsidRPr="00B6133E">
        <w:rPr>
          <w:rFonts w:ascii="Times New Roman" w:hAnsi="Times New Roman" w:cs="Times New Roman"/>
          <w:lang w:val="en-US"/>
        </w:rPr>
        <w:t xml:space="preserve"> FACS</w:t>
      </w:r>
      <w:r w:rsidR="003345C6" w:rsidRPr="00B6133E">
        <w:rPr>
          <w:rFonts w:ascii="Times New Roman" w:hAnsi="Times New Roman" w:cs="Times New Roman"/>
          <w:lang w:val="en-US"/>
        </w:rPr>
        <w:t>;</w:t>
      </w:r>
      <w:r w:rsidR="00AB5929" w:rsidRPr="00B6133E">
        <w:rPr>
          <w:rFonts w:ascii="Times New Roman" w:hAnsi="Times New Roman" w:cs="Times New Roman"/>
          <w:lang w:val="en-US"/>
        </w:rPr>
        <w:t xml:space="preserve"> </w:t>
      </w:r>
      <w:r w:rsidR="00F740B6" w:rsidRPr="00B6133E">
        <w:rPr>
          <w:rFonts w:ascii="Times New Roman" w:hAnsi="Times New Roman" w:cs="Times New Roman"/>
          <w:lang w:val="en-US"/>
        </w:rPr>
        <w:t xml:space="preserve">unsupervised cluster analysis </w:t>
      </w:r>
      <w:r w:rsidR="003345C6" w:rsidRPr="00B6133E">
        <w:rPr>
          <w:rFonts w:ascii="Times New Roman" w:hAnsi="Times New Roman" w:cs="Times New Roman"/>
          <w:lang w:val="en-US"/>
        </w:rPr>
        <w:t xml:space="preserve">was also conducted </w:t>
      </w:r>
      <w:r w:rsidR="00F740B6" w:rsidRPr="00B6133E">
        <w:rPr>
          <w:rFonts w:ascii="Times New Roman" w:hAnsi="Times New Roman" w:cs="Times New Roman"/>
          <w:lang w:val="en-US"/>
        </w:rPr>
        <w:t>for</w:t>
      </w:r>
      <w:r w:rsidR="00AB5929" w:rsidRPr="00B6133E">
        <w:rPr>
          <w:rFonts w:ascii="Times New Roman" w:hAnsi="Times New Roman" w:cs="Times New Roman"/>
          <w:lang w:val="en-US"/>
        </w:rPr>
        <w:t xml:space="preserve"> </w:t>
      </w:r>
      <w:r w:rsidR="00675B36" w:rsidRPr="00B6133E">
        <w:rPr>
          <w:rFonts w:ascii="Times New Roman" w:hAnsi="Times New Roman" w:cs="Times New Roman"/>
          <w:lang w:val="en-US"/>
        </w:rPr>
        <w:t xml:space="preserve">the </w:t>
      </w:r>
      <w:r w:rsidR="00AB5929" w:rsidRPr="00B6133E">
        <w:rPr>
          <w:rFonts w:ascii="Times New Roman" w:hAnsi="Times New Roman" w:cs="Times New Roman"/>
          <w:lang w:val="en-US"/>
        </w:rPr>
        <w:t xml:space="preserve">gene expression </w:t>
      </w:r>
      <w:r w:rsidR="00675B36" w:rsidRPr="00B6133E">
        <w:rPr>
          <w:rFonts w:ascii="Times New Roman" w:hAnsi="Times New Roman" w:cs="Times New Roman"/>
          <w:lang w:val="en-US"/>
        </w:rPr>
        <w:t xml:space="preserve">values of the </w:t>
      </w:r>
      <w:r w:rsidR="00F740B6" w:rsidRPr="00B6133E">
        <w:rPr>
          <w:rFonts w:ascii="Times New Roman" w:hAnsi="Times New Roman" w:cs="Times New Roman"/>
          <w:lang w:val="en-US"/>
        </w:rPr>
        <w:t xml:space="preserve">membrane </w:t>
      </w:r>
      <w:r w:rsidR="00675B36" w:rsidRPr="00B6133E">
        <w:rPr>
          <w:rFonts w:ascii="Times New Roman" w:hAnsi="Times New Roman" w:cs="Times New Roman"/>
          <w:lang w:val="en-US"/>
        </w:rPr>
        <w:t>CD markers</w:t>
      </w:r>
      <w:r w:rsidR="00F740B6" w:rsidRPr="00B6133E">
        <w:rPr>
          <w:rFonts w:ascii="Times New Roman" w:hAnsi="Times New Roman" w:cs="Times New Roman"/>
          <w:lang w:val="en-US"/>
        </w:rPr>
        <w:t xml:space="preserve"> used</w:t>
      </w:r>
      <w:r w:rsidRPr="00B6133E">
        <w:rPr>
          <w:rFonts w:ascii="Times New Roman" w:hAnsi="Times New Roman" w:cs="Times New Roman"/>
          <w:lang w:val="en-US"/>
        </w:rPr>
        <w:t xml:space="preserve"> for FACS</w:t>
      </w:r>
      <w:r w:rsidR="00675B36" w:rsidRPr="00B6133E">
        <w:rPr>
          <w:rFonts w:ascii="Times New Roman" w:hAnsi="Times New Roman" w:cs="Times New Roman"/>
          <w:lang w:val="en-US"/>
        </w:rPr>
        <w:t xml:space="preserve"> (</w:t>
      </w:r>
      <w:r w:rsidR="00675B36" w:rsidRPr="00B6133E">
        <w:rPr>
          <w:rFonts w:ascii="Times New Roman" w:hAnsi="Times New Roman" w:cs="Times New Roman"/>
          <w:b/>
          <w:lang w:val="en-US"/>
        </w:rPr>
        <w:t>Figure 1C</w:t>
      </w:r>
      <w:r w:rsidR="002B5353" w:rsidRPr="00B6133E">
        <w:rPr>
          <w:rFonts w:ascii="Times New Roman" w:hAnsi="Times New Roman" w:cs="Times New Roman"/>
          <w:lang w:val="en-US"/>
        </w:rPr>
        <w:t xml:space="preserve">, </w:t>
      </w:r>
      <w:r w:rsidR="00C61BB5" w:rsidRPr="00B6133E">
        <w:rPr>
          <w:rFonts w:ascii="Times New Roman" w:hAnsi="Times New Roman" w:cs="Times New Roman"/>
          <w:lang w:val="en-US"/>
        </w:rPr>
        <w:t xml:space="preserve">previously </w:t>
      </w:r>
      <w:r w:rsidR="002B5353" w:rsidRPr="00B6133E">
        <w:rPr>
          <w:rFonts w:ascii="Times New Roman" w:hAnsi="Times New Roman" w:cs="Times New Roman"/>
          <w:lang w:val="en-US"/>
        </w:rPr>
        <w:t>shown</w:t>
      </w:r>
      <w:r w:rsidR="00C61BB5" w:rsidRPr="00B6133E">
        <w:rPr>
          <w:rFonts w:ascii="Times New Roman" w:hAnsi="Times New Roman" w:cs="Times New Roman"/>
          <w:lang w:val="en-US"/>
        </w:rPr>
        <w:t xml:space="preserve"> in Nørgaard et al.</w:t>
      </w:r>
      <w:r w:rsidR="00C61BB5"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{"citationItems":[{"id":"ITEM-1","itemData":{"DOI":"10.1371/journal.pone.0193249","ISSN":"1932-6203","abstract":"Diagnostic and prognostic evaluation of chronic lymphocytic leukemia (CLL) involves blood cell counts, immunophenotyping, IgVH mutation status, and cytogenetic analyses. We generated B-cell associated gene-signatures (BAGS) based on six naturally occurring B-cell subsets within normal bone marrow. Our hypothesis is that by segregating CLL according to BAGS, we can identify subtypes with prognostic implications in support of pathogenetic value of BAGS. Microarray-based gene-expression samples from eight independent CLL cohorts (1,024 untreated patients) were BAGS-stratified into pre-BI, pre-BII, immature, naïve, memory, or plasma cell subtypes; the majority falling within the memory (24.5–45.8%) or naïve (14.5–32.3%) categories. For a subset of CLL patients (n = 296), time to treatment (TTT) was shorter amongst early differentiation subtypes (pre-BI/pre-BII/immature) compared to late subtypes (memory/plasma cell, HR: 0.53 [0.35–0.78]). Particularly, pre-BII subtype patients had the shortest TTT among all subtypes. Correlates derived for BAGS subtype and IgVH mutation (n = 405) revealed an elevated mutation frequency in late vs. early subtypes (71% vs. 45%, P &lt; .001). Predictions for BAGS subtype resistance towards rituximab and cyclophosphamide varied for rituximab, whereas all subtypes were sensitive to cyclophosphamide. This study supports our hypothesis that BAGS-subtyping may be of tangible prognostic and pathogenetic value for CLL patients.","author":[{"dropping-particle":"","family":"Nørgaard","given":"Caroline Holm","non-dropping-particle":"","parse-names":false,"suffix":""},{"dropping-particle":"","family":"Jakobsen","given":"Lasse Hjort","non-dropping-particle":"","parse-names":false,"suffix":""},{"dropping-particle":"","family":"Gentles","given":"Andrew J.","non-dropping-particle":"","parse-names":false,"suffix":""},{"dropping-particle":"","family":"Dybkær","given":"Karen","non-dropping-particle":"","parse-names":false,"suffix":""},{"dropping-particle":"","family":"El-Galaly","given":"Tarec Christoffer","non-dropping-particle":"","parse-names":false,"suffix":""},{"dropping-particle":"","family":"Bødker","given":"Julie Støve","non-dropping-particle":"","parse-names":false,"suffix":""},{"dropping-particle":"","family":"Schmitz","given":"Alexander","non-dropping-particle":"","parse-names":false,"suffix":""},{"dropping-particle":"","family":"Johansen","given":"Preben","non-dropping-particle":"","parse-names":false,"suffix":""},{"dropping-particle":"","family":"Herold","given":"Tobias","non-dropping-particle":"","parse-names":false,"suffix":""},{"dropping-particle":"","family":"Spiekermann","given":"Karsten","non-dropping-particle":"","parse-names":false,"suffix":""},{"dropping-particle":"","family":"Brown","given":"Jennifer R.","non-dropping-particle":"","parse-names":false,"suffix":""},{"dropping-particle":"","family":"Klitgaard","given":"Josephine L.","non-dropping-particle":"","parse-names":false,"suffix":""},{"dropping-particle":"","family":"Johnsen","given":"Hans Erik","non-dropping-particle":"","parse-names":false,"suffix":""},{"dropping-particle":"","family":"Bøgsted","given":"Martin","non-dropping-particle":"","parse-names":false,"suffix":""}],"container-title":"PLOS ONE","editor":[{"dropping-particle":"","family":"Calin","given":"George","non-dropping-particle":"","parse-names":false,"suffix":""}],"id":"ITEM-1","issue":"3","issued":{"date-parts":[["2018","3","7"]]},"page":"e0193249","publisher":"Public Library of Science","title":"Subtype assignment of CLL based on B-cell subset associated gene signatures from normal bone marrow – A proof of concept study","type":"article-journal","volume":"13"},"uris":["http://www.mendeley.com/documents/?uuid=096adb2a-7338-3f28-90de-f5f22b58c5e5"]}],"mendeley":{"formattedCitation":"&lt;sup&gt;46&lt;/sup&gt;","plainTextFormattedCitation":"46","previouslyFormattedCitation":"&lt;sup&gt;46&lt;/sup&gt;"},"properties":{"noteIndex":0},"schema":"https://github.com/citation-style-language/schema/raw/master/csl-citation.json"}</w:instrText>
      </w:r>
      <w:r w:rsidR="00C61BB5" w:rsidRPr="00B6133E">
        <w:rPr>
          <w:rFonts w:ascii="Times New Roman" w:hAnsi="Times New Roman" w:cs="Times New Roman"/>
          <w:lang w:val="en-US"/>
        </w:rPr>
        <w:fldChar w:fldCharType="separate"/>
      </w:r>
      <w:r w:rsidR="000E342D" w:rsidRPr="00B6133E">
        <w:rPr>
          <w:rFonts w:ascii="Times New Roman" w:hAnsi="Times New Roman" w:cs="Times New Roman"/>
          <w:noProof/>
          <w:vertAlign w:val="superscript"/>
          <w:lang w:val="en-US"/>
        </w:rPr>
        <w:t>46</w:t>
      </w:r>
      <w:r w:rsidR="00C61BB5" w:rsidRPr="00B6133E">
        <w:rPr>
          <w:rFonts w:ascii="Times New Roman" w:hAnsi="Times New Roman" w:cs="Times New Roman"/>
          <w:lang w:val="en-US"/>
        </w:rPr>
        <w:fldChar w:fldCharType="end"/>
      </w:r>
      <w:r w:rsidR="00C61BB5" w:rsidRPr="00B6133E">
        <w:rPr>
          <w:rFonts w:ascii="Times New Roman" w:hAnsi="Times New Roman" w:cs="Times New Roman"/>
          <w:lang w:val="en-US"/>
        </w:rPr>
        <w:t xml:space="preserve">) </w:t>
      </w:r>
      <w:r w:rsidRPr="00B6133E">
        <w:rPr>
          <w:rFonts w:ascii="Times New Roman" w:hAnsi="Times New Roman" w:cs="Times New Roman"/>
          <w:lang w:val="en-US"/>
        </w:rPr>
        <w:t>and 45</w:t>
      </w:r>
      <w:r w:rsidR="00675B36" w:rsidRPr="00B6133E">
        <w:rPr>
          <w:rFonts w:ascii="Times New Roman" w:hAnsi="Times New Roman" w:cs="Times New Roman"/>
          <w:lang w:val="en-US"/>
        </w:rPr>
        <w:t xml:space="preserve"> </w:t>
      </w:r>
      <w:r w:rsidR="00AB5929" w:rsidRPr="00B6133E">
        <w:rPr>
          <w:rFonts w:ascii="Times New Roman" w:hAnsi="Times New Roman" w:cs="Times New Roman"/>
          <w:lang w:val="en-US"/>
        </w:rPr>
        <w:t xml:space="preserve">classical </w:t>
      </w:r>
      <w:r w:rsidR="00F740B6" w:rsidRPr="00B6133E">
        <w:rPr>
          <w:rFonts w:ascii="Times New Roman" w:hAnsi="Times New Roman" w:cs="Times New Roman"/>
          <w:lang w:val="en-US"/>
        </w:rPr>
        <w:t xml:space="preserve">B-cell </w:t>
      </w:r>
      <w:r w:rsidR="00355A45" w:rsidRPr="00B6133E">
        <w:rPr>
          <w:rFonts w:ascii="Times New Roman" w:hAnsi="Times New Roman" w:cs="Times New Roman"/>
          <w:lang w:val="en-US"/>
        </w:rPr>
        <w:t>markers</w:t>
      </w:r>
      <w:r w:rsidR="007A11D0" w:rsidRPr="00B6133E">
        <w:rPr>
          <w:rFonts w:ascii="Times New Roman" w:hAnsi="Times New Roman" w:cs="Times New Roman"/>
          <w:lang w:val="en-US"/>
        </w:rPr>
        <w:t xml:space="preserve"> </w:t>
      </w:r>
      <w:r w:rsidR="00F122F9" w:rsidRPr="00B6133E">
        <w:rPr>
          <w:rFonts w:ascii="Times New Roman" w:hAnsi="Times New Roman" w:cs="Times New Roman"/>
          <w:lang w:val="en-US"/>
        </w:rPr>
        <w:t xml:space="preserve">summarized </w:t>
      </w:r>
      <w:r w:rsidR="00F740B6" w:rsidRPr="00B6133E">
        <w:rPr>
          <w:rFonts w:ascii="Times New Roman" w:hAnsi="Times New Roman" w:cs="Times New Roman"/>
          <w:lang w:val="en-US"/>
        </w:rPr>
        <w:t>from a literature search</w:t>
      </w:r>
      <w:r w:rsidR="007A11D0" w:rsidRPr="00B6133E">
        <w:rPr>
          <w:rFonts w:ascii="Times New Roman" w:hAnsi="Times New Roman" w:cs="Times New Roman"/>
          <w:lang w:val="en-US"/>
        </w:rPr>
        <w:t xml:space="preserve"> (</w:t>
      </w:r>
      <w:r w:rsidR="007A11D0" w:rsidRPr="00B6133E">
        <w:rPr>
          <w:rFonts w:ascii="Times New Roman" w:hAnsi="Times New Roman" w:cs="Times New Roman"/>
          <w:b/>
          <w:lang w:val="en-US"/>
        </w:rPr>
        <w:t>Figure 1D</w:t>
      </w:r>
      <w:r w:rsidR="007A11D0" w:rsidRPr="00B6133E">
        <w:rPr>
          <w:rFonts w:ascii="Times New Roman" w:hAnsi="Times New Roman" w:cs="Times New Roman"/>
          <w:lang w:val="en-US"/>
        </w:rPr>
        <w:t>)</w:t>
      </w:r>
      <w:r w:rsidR="00AB5929" w:rsidRPr="00B6133E">
        <w:rPr>
          <w:rFonts w:ascii="Times New Roman" w:hAnsi="Times New Roman" w:cs="Times New Roman"/>
          <w:lang w:val="en-US"/>
        </w:rPr>
        <w:t xml:space="preserve">. </w:t>
      </w:r>
      <w:r w:rsidR="00180994" w:rsidRPr="00B6133E">
        <w:rPr>
          <w:rFonts w:ascii="Times New Roman" w:hAnsi="Times New Roman" w:cs="Times New Roman"/>
          <w:lang w:val="en-US"/>
        </w:rPr>
        <w:t xml:space="preserve">Subset-specific segregation was </w:t>
      </w:r>
      <w:r w:rsidR="00355A45" w:rsidRPr="00B6133E">
        <w:rPr>
          <w:rFonts w:ascii="Times New Roman" w:hAnsi="Times New Roman" w:cs="Times New Roman"/>
          <w:lang w:val="en-US"/>
        </w:rPr>
        <w:t xml:space="preserve">further </w:t>
      </w:r>
      <w:r w:rsidR="00180994" w:rsidRPr="00B6133E">
        <w:rPr>
          <w:rFonts w:ascii="Times New Roman" w:hAnsi="Times New Roman" w:cs="Times New Roman"/>
          <w:lang w:val="en-US"/>
        </w:rPr>
        <w:t>documented by principal component analysis (</w:t>
      </w:r>
      <w:r w:rsidR="003403A0" w:rsidRPr="00B6133E">
        <w:rPr>
          <w:rFonts w:ascii="Times New Roman" w:hAnsi="Times New Roman" w:cs="Times New Roman"/>
          <w:b/>
          <w:lang w:val="en-US"/>
        </w:rPr>
        <w:t>Figure S</w:t>
      </w:r>
      <w:r w:rsidR="00DF3856" w:rsidRPr="00B6133E">
        <w:rPr>
          <w:rFonts w:ascii="Times New Roman" w:hAnsi="Times New Roman" w:cs="Times New Roman"/>
          <w:b/>
          <w:lang w:val="en-US"/>
        </w:rPr>
        <w:t>3</w:t>
      </w:r>
      <w:r w:rsidR="00180994" w:rsidRPr="00B6133E">
        <w:rPr>
          <w:rFonts w:ascii="Times New Roman" w:hAnsi="Times New Roman" w:cs="Times New Roman"/>
          <w:lang w:val="en-US"/>
        </w:rPr>
        <w:t>).</w:t>
      </w:r>
    </w:p>
    <w:p w14:paraId="3D7D69CE" w14:textId="33F086E6" w:rsidR="000F4364" w:rsidRPr="00B6133E" w:rsidRDefault="00AB5929" w:rsidP="00390150">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The BAGS classifier</w:t>
      </w:r>
      <w:r w:rsidR="00335ABE" w:rsidRPr="00B6133E">
        <w:rPr>
          <w:rFonts w:ascii="Times New Roman" w:hAnsi="Times New Roman" w:cs="Times New Roman"/>
          <w:lang w:val="en-US"/>
        </w:rPr>
        <w:t>s</w:t>
      </w:r>
      <w:r w:rsidRPr="00B6133E">
        <w:rPr>
          <w:rFonts w:ascii="Times New Roman" w:hAnsi="Times New Roman" w:cs="Times New Roman"/>
          <w:lang w:val="en-US"/>
        </w:rPr>
        <w:t xml:space="preserve"> with the smallest deviance determined by cross validation consisted of </w:t>
      </w:r>
      <w:r w:rsidR="00C32661" w:rsidRPr="00B6133E">
        <w:rPr>
          <w:rFonts w:ascii="Times New Roman" w:hAnsi="Times New Roman" w:cs="Times New Roman"/>
          <w:lang w:val="en-US"/>
        </w:rPr>
        <w:t>184</w:t>
      </w:r>
      <w:r w:rsidR="00675B36" w:rsidRPr="00B6133E">
        <w:rPr>
          <w:rFonts w:ascii="Times New Roman" w:hAnsi="Times New Roman" w:cs="Times New Roman"/>
          <w:lang w:val="en-US"/>
        </w:rPr>
        <w:t xml:space="preserve"> </w:t>
      </w:r>
      <w:r w:rsidR="00191A26" w:rsidRPr="00B6133E">
        <w:rPr>
          <w:rFonts w:ascii="Times New Roman" w:hAnsi="Times New Roman" w:cs="Times New Roman"/>
          <w:lang w:val="en-US"/>
        </w:rPr>
        <w:t>genes</w:t>
      </w:r>
      <w:r w:rsidR="00C2216E" w:rsidRPr="00B6133E">
        <w:rPr>
          <w:rFonts w:ascii="Times New Roman" w:hAnsi="Times New Roman" w:cs="Times New Roman"/>
          <w:lang w:val="en-US"/>
        </w:rPr>
        <w:t xml:space="preserve">, for details see Supplementary text 1 and </w:t>
      </w:r>
      <w:r w:rsidR="00C2216E" w:rsidRPr="00B6133E">
        <w:rPr>
          <w:rFonts w:ascii="Times New Roman" w:hAnsi="Times New Roman" w:cs="Times New Roman"/>
          <w:b/>
          <w:lang w:val="en-US"/>
        </w:rPr>
        <w:t>Figure S</w:t>
      </w:r>
      <w:r w:rsidR="00DF3856" w:rsidRPr="00B6133E">
        <w:rPr>
          <w:rFonts w:ascii="Times New Roman" w:hAnsi="Times New Roman" w:cs="Times New Roman"/>
          <w:b/>
          <w:lang w:val="en-US"/>
        </w:rPr>
        <w:t>1</w:t>
      </w:r>
      <w:r w:rsidRPr="00B6133E">
        <w:rPr>
          <w:rFonts w:ascii="Times New Roman" w:hAnsi="Times New Roman" w:cs="Times New Roman"/>
          <w:lang w:val="en-US"/>
        </w:rPr>
        <w:t xml:space="preserve">. Each B-cell subset signature contained </w:t>
      </w:r>
      <w:r w:rsidR="000F4364" w:rsidRPr="00B6133E">
        <w:rPr>
          <w:rFonts w:ascii="Times New Roman" w:hAnsi="Times New Roman" w:cs="Times New Roman"/>
          <w:lang w:val="en-US"/>
        </w:rPr>
        <w:t>27</w:t>
      </w:r>
      <w:r w:rsidR="003345C6" w:rsidRPr="00B6133E">
        <w:rPr>
          <w:rFonts w:ascii="Times New Roman" w:hAnsi="Times New Roman" w:cs="Times New Roman"/>
          <w:lang w:val="en-US"/>
        </w:rPr>
        <w:t>–</w:t>
      </w:r>
      <w:r w:rsidR="000F4364" w:rsidRPr="00B6133E">
        <w:rPr>
          <w:rFonts w:ascii="Times New Roman" w:hAnsi="Times New Roman" w:cs="Times New Roman"/>
          <w:lang w:val="en-US"/>
        </w:rPr>
        <w:t>54</w:t>
      </w:r>
      <w:r w:rsidR="00BB6091" w:rsidRPr="00B6133E">
        <w:rPr>
          <w:rFonts w:ascii="Times New Roman" w:hAnsi="Times New Roman" w:cs="Times New Roman"/>
          <w:lang w:val="en-US"/>
        </w:rPr>
        <w:t xml:space="preserve"> </w:t>
      </w:r>
      <w:r w:rsidR="00870B65" w:rsidRPr="00B6133E">
        <w:rPr>
          <w:rFonts w:ascii="Times New Roman" w:hAnsi="Times New Roman" w:cs="Times New Roman"/>
          <w:lang w:val="en-US"/>
        </w:rPr>
        <w:t>genes,</w:t>
      </w:r>
      <w:r w:rsidRPr="00B6133E">
        <w:rPr>
          <w:rFonts w:ascii="Times New Roman" w:hAnsi="Times New Roman" w:cs="Times New Roman"/>
          <w:lang w:val="en-US"/>
        </w:rPr>
        <w:t xml:space="preserve"> ensuring comparable gene representation for all subsets in the BAGS classifier</w:t>
      </w:r>
      <w:r w:rsidR="002B5353" w:rsidRPr="00B6133E">
        <w:rPr>
          <w:rFonts w:ascii="Times New Roman" w:hAnsi="Times New Roman" w:cs="Times New Roman"/>
          <w:lang w:val="en-US"/>
        </w:rPr>
        <w:t xml:space="preserve">. The selected genes and associated </w:t>
      </w:r>
      <w:proofErr w:type="spellStart"/>
      <w:r w:rsidR="002B5353" w:rsidRPr="00B6133E">
        <w:rPr>
          <w:rFonts w:ascii="Times New Roman" w:hAnsi="Times New Roman" w:cs="Times New Roman"/>
          <w:lang w:val="en-US"/>
        </w:rPr>
        <w:t>coefficents</w:t>
      </w:r>
      <w:proofErr w:type="spellEnd"/>
      <w:r w:rsidR="002B5353" w:rsidRPr="00B6133E">
        <w:rPr>
          <w:rFonts w:ascii="Times New Roman" w:hAnsi="Times New Roman" w:cs="Times New Roman"/>
          <w:lang w:val="en-US"/>
        </w:rPr>
        <w:t xml:space="preserve"> for the BAGS signatures are shown in </w:t>
      </w:r>
      <w:r w:rsidR="002B5353" w:rsidRPr="00B6133E">
        <w:rPr>
          <w:rFonts w:ascii="Times New Roman" w:hAnsi="Times New Roman" w:cs="Times New Roman"/>
          <w:b/>
          <w:lang w:val="en-US"/>
        </w:rPr>
        <w:t>Table S</w:t>
      </w:r>
      <w:r w:rsidR="00DF3856" w:rsidRPr="00B6133E">
        <w:rPr>
          <w:rFonts w:ascii="Times New Roman" w:hAnsi="Times New Roman" w:cs="Times New Roman"/>
          <w:b/>
          <w:lang w:val="en-US"/>
        </w:rPr>
        <w:t>4</w:t>
      </w:r>
      <w:r w:rsidR="002B5353" w:rsidRPr="00B6133E">
        <w:rPr>
          <w:rFonts w:ascii="Times New Roman" w:hAnsi="Times New Roman" w:cs="Times New Roman"/>
          <w:b/>
          <w:lang w:val="en-US"/>
        </w:rPr>
        <w:t xml:space="preserve"> </w:t>
      </w:r>
      <w:r w:rsidR="002B5353" w:rsidRPr="00B6133E">
        <w:rPr>
          <w:rFonts w:ascii="Times New Roman" w:hAnsi="Times New Roman" w:cs="Times New Roman"/>
          <w:lang w:val="en-US"/>
        </w:rPr>
        <w:t>(previously shown in Nørgaard et al.</w:t>
      </w:r>
      <w:r w:rsidR="002B5353"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{"citationItems":[{"id":"ITEM-1","itemData":{"DOI":"10.1371/journal.pone.0193249","ISSN":"1932-6203","abstract":"Diagnostic and prognostic evaluation of chronic lymphocytic leukemia (CLL) involves blood cell counts, immunophenotyping, IgVH mutation status, and cytogenetic analyses. We generated B-cell associated gene-signatures (BAGS) based on six naturally occurring B-cell subsets within normal bone marrow. Our hypothesis is that by segregating CLL according to BAGS, we can identify subtypes with prognostic implications in support of pathogenetic value of BAGS. Microarray-based gene-expression samples from eight independent CLL cohorts (1,024 untreated patients) were BAGS-stratified into pre-BI, pre-BII, immature, naïve, memory, or plasma cell subtypes; the majority falling within the memory (24.5–45.8%) or naïve (14.5–32.3%) categories. For a subset of CLL patients (n = 296), time to treatment (TTT) was shorter amongst early differentiation subtypes (pre-BI/pre-BII/immature) compared to late subtypes (memory/plasma cell, HR: 0.53 [0.35–0.78]). Particularly, pre-BII subtype patients had the shortest TTT among all subtypes. Correlates derived for BAGS subtype and IgVH mutation (n = 405) revealed an elevated mutation frequency in late vs. early subtypes (71% vs. 45%, P &lt; .001). Predictions for BAGS subtype resistance towards rituximab and cyclophosphamide varied for rituximab, whereas all subtypes were sensitive to cyclophosphamide. This study supports our hypothesis that BAGS-subtyping may be of tangible prognostic and pathogenetic value for CLL patients.","author":[{"dropping-particle":"","family":"Nørgaard","given":"Caroline Holm","non-dropping-particle":"","parse-names":false,"suffix":""},{"dropping-particle":"","family":"Jakobsen","given":"Lasse Hjort","non-dropping-particle":"","parse-names":false,"suffix":""},{"dropping-particle":"","family":"Gentles","given":"Andrew J.","non-dropping-particle":"","parse-names":false,"suffix":""},{"dropping-particle":"","family":"Dybkær","given":"Karen","non-dropping-particle":"","parse-names":false,"suffix":""},{"dropping-particle":"","family":"El-Galaly","given":"Tarec Christoffer","non-dropping-particle":"","parse-names":false,"suffix":""},{"dropping-particle":"","family":"Bødker","given":"Julie Støve","non-dropping-particle":"","parse-names":false,"suffix":""},{"dropping-particle":"","family":"Schmitz","given":"Alexander","non-dropping-particle":"","parse-names":false,"suffix":""},{"dropping-particle":"","family":"Johansen","given":"Preben","non-dropping-particle":"","parse-names":false,"suffix":""},{"dropping-particle":"","family":"Herold","given":"Tobias","non-dropping-particle":"","parse-names":false,"suffix":""},{"dropping-particle":"","family":"Spiekermann","given":"Karsten","non-dropping-particle":"","parse-names":false,"suffix":""},{"dropping-particle":"","family":"Brown","given":"Jennifer R.","non-dropping-particle":"","parse-names":false,"suffix":""},{"dropping-particle":"","family":"Klitgaard","given":"Josephine L.","non-dropping-particle":"","parse-names":false,"suffix":""},{"dropping-particle":"","family":"Johnsen","given":"Hans Erik","non-dropping-particle":"","parse-names":false,"suffix":""},{"dropping-particle":"","family":"Bøgsted","given":"Martin","non-dropping-particle":"","parse-names":false,"suffix":""}],"container-title":"PLOS ONE","editor":[{"dropping-particle":"","family":"Calin","given":"George","non-dropping-particle":"","parse-names":false,"suffix":""}],"id":"ITEM-1","issue":"3","issued":{"date-parts":[["2018","3","7"]]},"page":"e0193249","publisher":"Public Library of Science","title":"Subtype assignment of CLL based on B-cell subset associated gene signatures from normal bone marrow – A proof of concept study","type":"article-journal","volume":"13"},"uris":["http://www.mendeley.com/documents/?uuid=096adb2a-7338-3f28-90de-f5f22b58c5e5"]}],"mendeley":{"formattedCitation":"&lt;sup&gt;46&lt;/sup&gt;","plainTextFormattedCitation":"46","previouslyFormattedCitation":"&lt;sup&gt;46&lt;/sup&gt;"},"properties":{"noteIndex":0},"schema":"https://github.com/citation-style-language/schema/raw/master/csl-citation.json"}</w:instrText>
      </w:r>
      <w:r w:rsidR="002B5353" w:rsidRPr="00B6133E">
        <w:rPr>
          <w:rFonts w:ascii="Times New Roman" w:hAnsi="Times New Roman" w:cs="Times New Roman"/>
          <w:lang w:val="en-US"/>
        </w:rPr>
        <w:fldChar w:fldCharType="separate"/>
      </w:r>
      <w:r w:rsidR="000E342D" w:rsidRPr="00B6133E">
        <w:rPr>
          <w:rFonts w:ascii="Times New Roman" w:hAnsi="Times New Roman" w:cs="Times New Roman"/>
          <w:noProof/>
          <w:vertAlign w:val="superscript"/>
          <w:lang w:val="en-US"/>
        </w:rPr>
        <w:t>46</w:t>
      </w:r>
      <w:r w:rsidR="002B5353" w:rsidRPr="00B6133E">
        <w:rPr>
          <w:rFonts w:ascii="Times New Roman" w:hAnsi="Times New Roman" w:cs="Times New Roman"/>
          <w:lang w:val="en-US"/>
        </w:rPr>
        <w:fldChar w:fldCharType="end"/>
      </w:r>
      <w:r w:rsidR="002B5353" w:rsidRPr="00B6133E">
        <w:rPr>
          <w:rFonts w:ascii="Times New Roman" w:hAnsi="Times New Roman" w:cs="Times New Roman"/>
          <w:lang w:val="en-US"/>
        </w:rPr>
        <w:t>)</w:t>
      </w:r>
      <w:r w:rsidRPr="00B6133E">
        <w:rPr>
          <w:rFonts w:ascii="Times New Roman" w:hAnsi="Times New Roman" w:cs="Times New Roman"/>
          <w:lang w:val="en-US"/>
        </w:rPr>
        <w:t xml:space="preserve">. </w:t>
      </w:r>
      <w:r w:rsidR="00927A24" w:rsidRPr="00B6133E">
        <w:rPr>
          <w:rFonts w:ascii="Times New Roman" w:hAnsi="Times New Roman" w:cs="Times New Roman"/>
          <w:lang w:val="en-US"/>
        </w:rPr>
        <w:t xml:space="preserve">The expressed </w:t>
      </w:r>
      <w:r w:rsidR="00297598" w:rsidRPr="00B6133E">
        <w:rPr>
          <w:rFonts w:ascii="Times New Roman" w:hAnsi="Times New Roman" w:cs="Times New Roman"/>
          <w:lang w:val="en-US"/>
        </w:rPr>
        <w:t>signature</w:t>
      </w:r>
      <w:r w:rsidR="009573B5" w:rsidRPr="00B6133E">
        <w:rPr>
          <w:rFonts w:ascii="Times New Roman" w:hAnsi="Times New Roman" w:cs="Times New Roman"/>
          <w:lang w:val="en-US"/>
        </w:rPr>
        <w:t>s</w:t>
      </w:r>
      <w:r w:rsidR="00927A24" w:rsidRPr="00B6133E">
        <w:rPr>
          <w:rFonts w:ascii="Times New Roman" w:hAnsi="Times New Roman" w:cs="Times New Roman"/>
          <w:lang w:val="en-US"/>
        </w:rPr>
        <w:t xml:space="preserve"> </w:t>
      </w:r>
      <w:r w:rsidR="000E78B6" w:rsidRPr="00B6133E">
        <w:rPr>
          <w:rFonts w:ascii="Times New Roman" w:hAnsi="Times New Roman" w:cs="Times New Roman"/>
          <w:lang w:val="en-US"/>
        </w:rPr>
        <w:t>include</w:t>
      </w:r>
      <w:r w:rsidR="003345C6" w:rsidRPr="00B6133E">
        <w:rPr>
          <w:rFonts w:ascii="Times New Roman" w:hAnsi="Times New Roman" w:cs="Times New Roman"/>
          <w:lang w:val="en-US"/>
        </w:rPr>
        <w:t>d</w:t>
      </w:r>
      <w:r w:rsidR="000E78B6" w:rsidRPr="00B6133E">
        <w:rPr>
          <w:rFonts w:ascii="Times New Roman" w:hAnsi="Times New Roman" w:cs="Times New Roman"/>
          <w:lang w:val="en-US"/>
        </w:rPr>
        <w:t xml:space="preserve"> </w:t>
      </w:r>
      <w:r w:rsidR="000F4364" w:rsidRPr="00B6133E">
        <w:rPr>
          <w:rFonts w:ascii="Times New Roman" w:hAnsi="Times New Roman" w:cs="Times New Roman"/>
          <w:lang w:val="en-US"/>
        </w:rPr>
        <w:t>51</w:t>
      </w:r>
      <w:r w:rsidR="003873F6" w:rsidRPr="00B6133E">
        <w:rPr>
          <w:rFonts w:ascii="Times New Roman" w:hAnsi="Times New Roman" w:cs="Times New Roman"/>
          <w:lang w:val="en-US"/>
        </w:rPr>
        <w:t xml:space="preserve"> </w:t>
      </w:r>
      <w:r w:rsidR="00297598" w:rsidRPr="00B6133E">
        <w:rPr>
          <w:rFonts w:ascii="Times New Roman" w:hAnsi="Times New Roman" w:cs="Times New Roman"/>
          <w:lang w:val="en-US"/>
        </w:rPr>
        <w:t xml:space="preserve">genes </w:t>
      </w:r>
      <w:r w:rsidR="003873F6" w:rsidRPr="00B6133E">
        <w:rPr>
          <w:rFonts w:ascii="Times New Roman" w:hAnsi="Times New Roman" w:cs="Times New Roman"/>
          <w:lang w:val="en-US"/>
        </w:rPr>
        <w:t xml:space="preserve">associated </w:t>
      </w:r>
      <w:r w:rsidR="003345C6" w:rsidRPr="00B6133E">
        <w:rPr>
          <w:rFonts w:ascii="Times New Roman" w:hAnsi="Times New Roman" w:cs="Times New Roman"/>
          <w:lang w:val="en-US"/>
        </w:rPr>
        <w:t xml:space="preserve">with </w:t>
      </w:r>
      <w:r w:rsidR="003873F6" w:rsidRPr="00B6133E">
        <w:rPr>
          <w:rFonts w:ascii="Times New Roman" w:hAnsi="Times New Roman" w:cs="Times New Roman"/>
          <w:lang w:val="en-US"/>
        </w:rPr>
        <w:t>specific B</w:t>
      </w:r>
      <w:r w:rsidR="003345C6" w:rsidRPr="00B6133E">
        <w:rPr>
          <w:rFonts w:ascii="Times New Roman" w:hAnsi="Times New Roman" w:cs="Times New Roman"/>
          <w:lang w:val="en-US"/>
        </w:rPr>
        <w:t>-</w:t>
      </w:r>
      <w:r w:rsidR="003873F6" w:rsidRPr="00B6133E">
        <w:rPr>
          <w:rFonts w:ascii="Times New Roman" w:hAnsi="Times New Roman" w:cs="Times New Roman"/>
          <w:lang w:val="en-US"/>
        </w:rPr>
        <w:t>cell functions</w:t>
      </w:r>
      <w:r w:rsidR="00297598" w:rsidRPr="00B6133E">
        <w:rPr>
          <w:rFonts w:ascii="Times New Roman" w:hAnsi="Times New Roman" w:cs="Times New Roman"/>
          <w:lang w:val="en-US"/>
        </w:rPr>
        <w:t>,</w:t>
      </w:r>
      <w:r w:rsidR="003873F6" w:rsidRPr="00B6133E">
        <w:rPr>
          <w:rFonts w:ascii="Times New Roman" w:hAnsi="Times New Roman" w:cs="Times New Roman"/>
          <w:lang w:val="en-US"/>
        </w:rPr>
        <w:t xml:space="preserve"> </w:t>
      </w:r>
      <w:r w:rsidR="000F4364" w:rsidRPr="00B6133E">
        <w:rPr>
          <w:rFonts w:ascii="Times New Roman" w:hAnsi="Times New Roman" w:cs="Times New Roman"/>
          <w:lang w:val="en-US"/>
        </w:rPr>
        <w:t>79</w:t>
      </w:r>
      <w:r w:rsidR="00297598" w:rsidRPr="00B6133E">
        <w:rPr>
          <w:rFonts w:ascii="Times New Roman" w:hAnsi="Times New Roman" w:cs="Times New Roman"/>
          <w:lang w:val="en-US"/>
        </w:rPr>
        <w:t xml:space="preserve"> </w:t>
      </w:r>
      <w:r w:rsidR="009573B5" w:rsidRPr="00B6133E">
        <w:rPr>
          <w:rFonts w:ascii="Times New Roman" w:hAnsi="Times New Roman" w:cs="Times New Roman"/>
          <w:lang w:val="en-US"/>
        </w:rPr>
        <w:t xml:space="preserve">specific </w:t>
      </w:r>
      <w:r w:rsidR="00297598" w:rsidRPr="00B6133E">
        <w:rPr>
          <w:rFonts w:ascii="Times New Roman" w:hAnsi="Times New Roman" w:cs="Times New Roman"/>
          <w:lang w:val="en-US"/>
        </w:rPr>
        <w:t>genes</w:t>
      </w:r>
      <w:r w:rsidR="003873F6" w:rsidRPr="00B6133E">
        <w:rPr>
          <w:rFonts w:ascii="Times New Roman" w:hAnsi="Times New Roman" w:cs="Times New Roman"/>
          <w:lang w:val="en-US"/>
        </w:rPr>
        <w:t xml:space="preserve"> with more </w:t>
      </w:r>
      <w:r w:rsidR="000E78B6" w:rsidRPr="00B6133E">
        <w:rPr>
          <w:rFonts w:ascii="Times New Roman" w:hAnsi="Times New Roman" w:cs="Times New Roman"/>
          <w:lang w:val="en-US"/>
        </w:rPr>
        <w:t>fundamental biological</w:t>
      </w:r>
      <w:r w:rsidR="003345C6" w:rsidRPr="00B6133E">
        <w:rPr>
          <w:rFonts w:ascii="Times New Roman" w:hAnsi="Times New Roman" w:cs="Times New Roman"/>
          <w:lang w:val="en-US"/>
        </w:rPr>
        <w:t xml:space="preserve"> associations,</w:t>
      </w:r>
      <w:r w:rsidR="000E78B6" w:rsidRPr="00B6133E">
        <w:rPr>
          <w:rFonts w:ascii="Times New Roman" w:hAnsi="Times New Roman" w:cs="Times New Roman"/>
          <w:lang w:val="en-US"/>
        </w:rPr>
        <w:t xml:space="preserve"> </w:t>
      </w:r>
      <w:r w:rsidR="00297598" w:rsidRPr="00B6133E">
        <w:rPr>
          <w:rFonts w:ascii="Times New Roman" w:hAnsi="Times New Roman" w:cs="Times New Roman"/>
          <w:lang w:val="en-US"/>
        </w:rPr>
        <w:t xml:space="preserve">and </w:t>
      </w:r>
      <w:r w:rsidR="000F4364" w:rsidRPr="00B6133E">
        <w:rPr>
          <w:rFonts w:ascii="Times New Roman" w:hAnsi="Times New Roman" w:cs="Times New Roman"/>
          <w:lang w:val="en-US"/>
        </w:rPr>
        <w:t>24</w:t>
      </w:r>
      <w:r w:rsidR="009573B5" w:rsidRPr="00B6133E">
        <w:rPr>
          <w:rFonts w:ascii="Times New Roman" w:hAnsi="Times New Roman" w:cs="Times New Roman"/>
          <w:lang w:val="en-US"/>
        </w:rPr>
        <w:t xml:space="preserve"> probes</w:t>
      </w:r>
      <w:r w:rsidR="00297598" w:rsidRPr="00B6133E">
        <w:rPr>
          <w:rFonts w:ascii="Times New Roman" w:hAnsi="Times New Roman" w:cs="Times New Roman"/>
          <w:lang w:val="en-US"/>
        </w:rPr>
        <w:t xml:space="preserve"> with unknown </w:t>
      </w:r>
      <w:r w:rsidR="009573B5" w:rsidRPr="00B6133E">
        <w:rPr>
          <w:rFonts w:ascii="Times New Roman" w:hAnsi="Times New Roman" w:cs="Times New Roman"/>
          <w:lang w:val="en-US"/>
        </w:rPr>
        <w:t xml:space="preserve">gene </w:t>
      </w:r>
      <w:r w:rsidR="000E78B6" w:rsidRPr="00B6133E">
        <w:rPr>
          <w:rFonts w:ascii="Times New Roman" w:hAnsi="Times New Roman" w:cs="Times New Roman"/>
          <w:lang w:val="en-US"/>
        </w:rPr>
        <w:t>functions</w:t>
      </w:r>
      <w:r w:rsidR="00297598" w:rsidRPr="00B6133E">
        <w:rPr>
          <w:rFonts w:ascii="Times New Roman" w:hAnsi="Times New Roman" w:cs="Times New Roman"/>
          <w:lang w:val="en-US"/>
        </w:rPr>
        <w:t xml:space="preserve"> </w:t>
      </w:r>
      <w:r w:rsidR="000E78B6" w:rsidRPr="00B6133E">
        <w:rPr>
          <w:rFonts w:ascii="Times New Roman" w:hAnsi="Times New Roman" w:cs="Times New Roman"/>
          <w:lang w:val="en-US"/>
        </w:rPr>
        <w:t>(</w:t>
      </w:r>
      <w:r w:rsidR="000E78B6" w:rsidRPr="00B6133E">
        <w:rPr>
          <w:rFonts w:ascii="Times New Roman" w:hAnsi="Times New Roman" w:cs="Times New Roman"/>
          <w:b/>
          <w:lang w:val="en-US"/>
        </w:rPr>
        <w:t>Table S</w:t>
      </w:r>
      <w:r w:rsidR="00DF3856" w:rsidRPr="00B6133E">
        <w:rPr>
          <w:rFonts w:ascii="Times New Roman" w:hAnsi="Times New Roman" w:cs="Times New Roman"/>
          <w:b/>
          <w:lang w:val="en-US"/>
        </w:rPr>
        <w:t>5</w:t>
      </w:r>
      <w:r w:rsidR="002B5353" w:rsidRPr="00B6133E">
        <w:rPr>
          <w:rFonts w:ascii="Times New Roman" w:hAnsi="Times New Roman" w:cs="Times New Roman"/>
          <w:b/>
          <w:lang w:val="en-US"/>
        </w:rPr>
        <w:t>A-F</w:t>
      </w:r>
      <w:r w:rsidR="000E78B6" w:rsidRPr="00B6133E">
        <w:rPr>
          <w:rFonts w:ascii="Times New Roman" w:hAnsi="Times New Roman" w:cs="Times New Roman"/>
          <w:lang w:val="en-US"/>
        </w:rPr>
        <w:t>).</w:t>
      </w:r>
    </w:p>
    <w:p w14:paraId="0F50CA59" w14:textId="74FF3CC0" w:rsidR="002B096E" w:rsidRPr="00B6133E" w:rsidRDefault="002B096E" w:rsidP="0056769A">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 xml:space="preserve">We </w:t>
      </w:r>
      <w:r w:rsidR="00C95B6A" w:rsidRPr="00B6133E">
        <w:rPr>
          <w:rFonts w:ascii="Times New Roman" w:hAnsi="Times New Roman" w:cs="Times New Roman"/>
          <w:lang w:val="en-US"/>
        </w:rPr>
        <w:t>subsequent</w:t>
      </w:r>
      <w:r w:rsidR="00B92E56" w:rsidRPr="00B6133E">
        <w:rPr>
          <w:rFonts w:ascii="Times New Roman" w:hAnsi="Times New Roman" w:cs="Times New Roman"/>
          <w:lang w:val="en-US"/>
        </w:rPr>
        <w:t>ly</w:t>
      </w:r>
      <w:r w:rsidR="00C95B6A" w:rsidRPr="00B6133E">
        <w:rPr>
          <w:rFonts w:ascii="Times New Roman" w:hAnsi="Times New Roman" w:cs="Times New Roman"/>
          <w:lang w:val="en-US"/>
        </w:rPr>
        <w:t xml:space="preserve"> </w:t>
      </w:r>
      <w:r w:rsidRPr="00B6133E">
        <w:rPr>
          <w:rFonts w:ascii="Times New Roman" w:hAnsi="Times New Roman" w:cs="Times New Roman"/>
          <w:lang w:val="en-US"/>
        </w:rPr>
        <w:t xml:space="preserve">validated the </w:t>
      </w:r>
      <w:r w:rsidR="00C95B6A" w:rsidRPr="00B6133E">
        <w:rPr>
          <w:rFonts w:ascii="Times New Roman" w:hAnsi="Times New Roman" w:cs="Times New Roman"/>
          <w:lang w:val="en-US"/>
        </w:rPr>
        <w:t>BAGS classifier</w:t>
      </w:r>
      <w:r w:rsidR="00435B83" w:rsidRPr="00B6133E">
        <w:rPr>
          <w:rFonts w:ascii="Times New Roman" w:hAnsi="Times New Roman" w:cs="Times New Roman"/>
          <w:lang w:val="en-US"/>
        </w:rPr>
        <w:t>, which was trained using GEP data from Human Exon 1.0 ST Arrays,</w:t>
      </w:r>
      <w:r w:rsidR="00B92E56" w:rsidRPr="00B6133E">
        <w:rPr>
          <w:rFonts w:ascii="Times New Roman" w:hAnsi="Times New Roman" w:cs="Times New Roman"/>
          <w:lang w:val="en-US"/>
        </w:rPr>
        <w:t xml:space="preserve"> </w:t>
      </w:r>
      <w:r w:rsidRPr="00B6133E">
        <w:rPr>
          <w:rFonts w:ascii="Times New Roman" w:hAnsi="Times New Roman" w:cs="Times New Roman"/>
          <w:lang w:val="en-US"/>
        </w:rPr>
        <w:t xml:space="preserve">on </w:t>
      </w:r>
      <w:r w:rsidR="00435B83" w:rsidRPr="00B6133E">
        <w:rPr>
          <w:rFonts w:ascii="Times New Roman" w:hAnsi="Times New Roman" w:cs="Times New Roman"/>
          <w:lang w:val="en-US"/>
        </w:rPr>
        <w:t xml:space="preserve">independent </w:t>
      </w:r>
      <w:r w:rsidRPr="00B6133E">
        <w:rPr>
          <w:rFonts w:ascii="Times New Roman" w:hAnsi="Times New Roman" w:cs="Times New Roman"/>
          <w:lang w:val="en-US"/>
        </w:rPr>
        <w:t>normal B-cell subsets</w:t>
      </w:r>
      <w:r w:rsidR="00DE4B1C" w:rsidRPr="00B6133E">
        <w:rPr>
          <w:rFonts w:ascii="Times New Roman" w:hAnsi="Times New Roman" w:cs="Times New Roman"/>
          <w:lang w:val="en-US"/>
        </w:rPr>
        <w:t xml:space="preserve"> </w:t>
      </w:r>
      <w:r w:rsidR="00435B83" w:rsidRPr="00B6133E">
        <w:rPr>
          <w:rFonts w:ascii="Times New Roman" w:hAnsi="Times New Roman" w:cs="Times New Roman"/>
          <w:lang w:val="en-US"/>
        </w:rPr>
        <w:t xml:space="preserve">from </w:t>
      </w:r>
      <w:r w:rsidR="00374760" w:rsidRPr="00B6133E">
        <w:rPr>
          <w:rFonts w:ascii="Times New Roman" w:hAnsi="Times New Roman" w:cs="Times New Roman"/>
          <w:lang w:val="en-US"/>
        </w:rPr>
        <w:t xml:space="preserve">BM aspirates from the </w:t>
      </w:r>
      <w:r w:rsidR="00435B83" w:rsidRPr="00B6133E">
        <w:rPr>
          <w:rFonts w:ascii="Times New Roman" w:hAnsi="Times New Roman" w:cs="Times New Roman"/>
          <w:lang w:val="en-US"/>
        </w:rPr>
        <w:t>iliac crest profiled using either HuEx</w:t>
      </w:r>
      <w:r w:rsidR="006621A0" w:rsidRPr="00B6133E">
        <w:rPr>
          <w:rFonts w:ascii="Times New Roman" w:hAnsi="Times New Roman" w:cs="Times New Roman"/>
          <w:lang w:val="en-US"/>
        </w:rPr>
        <w:t>-</w:t>
      </w:r>
      <w:r w:rsidR="00435B83" w:rsidRPr="00B6133E">
        <w:rPr>
          <w:rFonts w:ascii="Times New Roman" w:hAnsi="Times New Roman" w:cs="Times New Roman"/>
          <w:lang w:val="en-US"/>
        </w:rPr>
        <w:t>1.0</w:t>
      </w:r>
      <w:r w:rsidR="006621A0" w:rsidRPr="00B6133E">
        <w:rPr>
          <w:rFonts w:ascii="Times New Roman" w:hAnsi="Times New Roman" w:cs="Times New Roman"/>
          <w:lang w:val="en-US"/>
        </w:rPr>
        <w:t>-st</w:t>
      </w:r>
      <w:r w:rsidR="00435B83" w:rsidRPr="00B6133E">
        <w:rPr>
          <w:rFonts w:ascii="Times New Roman" w:hAnsi="Times New Roman" w:cs="Times New Roman"/>
          <w:lang w:val="en-US"/>
        </w:rPr>
        <w:t xml:space="preserve"> or </w:t>
      </w:r>
      <w:r w:rsidR="006621A0" w:rsidRPr="00B6133E">
        <w:rPr>
          <w:rFonts w:ascii="Times New Roman" w:hAnsi="Times New Roman" w:cs="Times New Roman"/>
          <w:lang w:val="en-US"/>
        </w:rPr>
        <w:t>HG-</w:t>
      </w:r>
      <w:r w:rsidR="00435B83" w:rsidRPr="00B6133E">
        <w:rPr>
          <w:rFonts w:ascii="Times New Roman" w:hAnsi="Times New Roman" w:cs="Times New Roman"/>
          <w:lang w:val="en-US"/>
        </w:rPr>
        <w:t>U133</w:t>
      </w:r>
      <w:r w:rsidR="006621A0" w:rsidRPr="00B6133E">
        <w:rPr>
          <w:rFonts w:ascii="Times New Roman" w:hAnsi="Times New Roman" w:cs="Times New Roman"/>
          <w:lang w:val="en-US"/>
        </w:rPr>
        <w:t>-</w:t>
      </w:r>
      <w:r w:rsidR="00435B83" w:rsidRPr="00B6133E">
        <w:rPr>
          <w:rFonts w:ascii="Times New Roman" w:hAnsi="Times New Roman" w:cs="Times New Roman"/>
          <w:lang w:val="en-US"/>
        </w:rPr>
        <w:t xml:space="preserve">2.0 arrays, and found </w:t>
      </w:r>
      <w:r w:rsidR="00863873" w:rsidRPr="00B6133E">
        <w:rPr>
          <w:rFonts w:ascii="Times New Roman" w:hAnsi="Times New Roman" w:cs="Times New Roman"/>
          <w:lang w:val="en-US"/>
        </w:rPr>
        <w:t xml:space="preserve">concordant assignments </w:t>
      </w:r>
      <w:r w:rsidR="00435B83" w:rsidRPr="00B6133E">
        <w:rPr>
          <w:rFonts w:ascii="Times New Roman" w:hAnsi="Times New Roman" w:cs="Times New Roman"/>
          <w:lang w:val="en-US"/>
        </w:rPr>
        <w:t>for both platforms (</w:t>
      </w:r>
      <w:r w:rsidR="00435B83" w:rsidRPr="00B6133E">
        <w:rPr>
          <w:rFonts w:ascii="Times New Roman" w:hAnsi="Times New Roman" w:cs="Times New Roman"/>
          <w:b/>
          <w:lang w:val="en-US"/>
        </w:rPr>
        <w:t>Table S</w:t>
      </w:r>
      <w:r w:rsidR="00DF3856" w:rsidRPr="00B6133E">
        <w:rPr>
          <w:rFonts w:ascii="Times New Roman" w:hAnsi="Times New Roman" w:cs="Times New Roman"/>
          <w:b/>
          <w:lang w:val="en-US"/>
        </w:rPr>
        <w:t>2</w:t>
      </w:r>
      <w:r w:rsidR="00435B83" w:rsidRPr="00B6133E">
        <w:rPr>
          <w:rFonts w:ascii="Times New Roman" w:hAnsi="Times New Roman" w:cs="Times New Roman"/>
          <w:lang w:val="en-US"/>
        </w:rPr>
        <w:t>)</w:t>
      </w:r>
      <w:r w:rsidR="004B09FF" w:rsidRPr="00B6133E">
        <w:rPr>
          <w:rFonts w:ascii="Times New Roman" w:hAnsi="Times New Roman" w:cs="Times New Roman"/>
          <w:lang w:val="en-US"/>
        </w:rPr>
        <w:t>. This</w:t>
      </w:r>
      <w:r w:rsidR="00435B83" w:rsidRPr="00B6133E">
        <w:rPr>
          <w:rFonts w:ascii="Times New Roman" w:hAnsi="Times New Roman" w:cs="Times New Roman"/>
          <w:lang w:val="en-US"/>
        </w:rPr>
        <w:t xml:space="preserve"> document</w:t>
      </w:r>
      <w:r w:rsidR="004B09FF" w:rsidRPr="00B6133E">
        <w:rPr>
          <w:rFonts w:ascii="Times New Roman" w:hAnsi="Times New Roman" w:cs="Times New Roman"/>
          <w:lang w:val="en-US"/>
        </w:rPr>
        <w:t>ed the</w:t>
      </w:r>
      <w:r w:rsidR="00435B83" w:rsidRPr="00B6133E">
        <w:rPr>
          <w:rFonts w:ascii="Times New Roman" w:hAnsi="Times New Roman" w:cs="Times New Roman"/>
          <w:lang w:val="en-US"/>
        </w:rPr>
        <w:t xml:space="preserve"> cross-platform validity of the classifier, allowing </w:t>
      </w:r>
      <w:r w:rsidR="004B09FF" w:rsidRPr="00B6133E">
        <w:rPr>
          <w:rFonts w:ascii="Times New Roman" w:hAnsi="Times New Roman" w:cs="Times New Roman"/>
          <w:lang w:val="en-US"/>
        </w:rPr>
        <w:t>it’s</w:t>
      </w:r>
      <w:r w:rsidR="00435B83" w:rsidRPr="00B6133E">
        <w:rPr>
          <w:rFonts w:ascii="Times New Roman" w:hAnsi="Times New Roman" w:cs="Times New Roman"/>
          <w:lang w:val="en-US"/>
        </w:rPr>
        <w:t xml:space="preserve"> use </w:t>
      </w:r>
      <w:r w:rsidR="00435B83" w:rsidRPr="00B6133E">
        <w:rPr>
          <w:rFonts w:ascii="Times New Roman" w:hAnsi="Times New Roman" w:cs="Times New Roman"/>
          <w:lang w:val="en-US"/>
        </w:rPr>
        <w:lastRenderedPageBreak/>
        <w:t>in clinical data with GEP originating from other platforms</w:t>
      </w:r>
      <w:r w:rsidRPr="00B6133E">
        <w:rPr>
          <w:rFonts w:ascii="Times New Roman" w:hAnsi="Times New Roman" w:cs="Times New Roman"/>
          <w:lang w:val="en-US"/>
        </w:rPr>
        <w:t>.</w:t>
      </w:r>
    </w:p>
    <w:p w14:paraId="296F68E3" w14:textId="1ABA2C54" w:rsidR="00390150" w:rsidRPr="00B6133E" w:rsidRDefault="000D03D8">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Micro</w:t>
      </w:r>
      <w:r w:rsidR="00C045D5" w:rsidRPr="00B6133E">
        <w:rPr>
          <w:rFonts w:ascii="Times New Roman" w:hAnsi="Times New Roman" w:cs="Times New Roman"/>
          <w:lang w:val="en-US"/>
        </w:rPr>
        <w:t>array data</w:t>
      </w:r>
      <w:r w:rsidR="001825C1" w:rsidRPr="00B6133E">
        <w:rPr>
          <w:rFonts w:ascii="Times New Roman" w:hAnsi="Times New Roman" w:cs="Times New Roman"/>
          <w:lang w:val="en-US"/>
        </w:rPr>
        <w:t xml:space="preserve"> </w:t>
      </w:r>
      <w:r w:rsidR="00AB5929" w:rsidRPr="00B6133E">
        <w:rPr>
          <w:rFonts w:ascii="Times New Roman" w:hAnsi="Times New Roman" w:cs="Times New Roman"/>
          <w:lang w:val="en-US"/>
        </w:rPr>
        <w:t>from</w:t>
      </w:r>
      <w:r w:rsidR="0072154F" w:rsidRPr="00B6133E">
        <w:rPr>
          <w:rFonts w:ascii="Times New Roman" w:hAnsi="Times New Roman" w:cs="Times New Roman"/>
          <w:lang w:val="en-US"/>
        </w:rPr>
        <w:t xml:space="preserve"> </w:t>
      </w:r>
      <w:r w:rsidR="00870B65" w:rsidRPr="00B6133E">
        <w:rPr>
          <w:rFonts w:ascii="Times New Roman" w:hAnsi="Times New Roman" w:cs="Times New Roman"/>
          <w:lang w:val="en-US"/>
        </w:rPr>
        <w:t>four</w:t>
      </w:r>
      <w:r w:rsidR="00191A26" w:rsidRPr="00B6133E">
        <w:rPr>
          <w:rFonts w:ascii="Times New Roman" w:hAnsi="Times New Roman" w:cs="Times New Roman"/>
          <w:lang w:val="en-US"/>
        </w:rPr>
        <w:t xml:space="preserve"> independent</w:t>
      </w:r>
      <w:r w:rsidR="00C045D5" w:rsidRPr="00B6133E">
        <w:rPr>
          <w:rFonts w:ascii="Times New Roman" w:hAnsi="Times New Roman" w:cs="Times New Roman"/>
          <w:lang w:val="en-US"/>
        </w:rPr>
        <w:t xml:space="preserve"> </w:t>
      </w:r>
      <w:r w:rsidR="00191A26" w:rsidRPr="00B6133E">
        <w:rPr>
          <w:rFonts w:ascii="Times New Roman" w:hAnsi="Times New Roman" w:cs="Times New Roman"/>
          <w:lang w:val="en-US"/>
        </w:rPr>
        <w:t>cohorts (</w:t>
      </w:r>
      <w:r w:rsidR="0072154F" w:rsidRPr="00B6133E">
        <w:rPr>
          <w:rFonts w:ascii="Times New Roman" w:hAnsi="Times New Roman" w:cs="Times New Roman"/>
          <w:lang w:val="en-US"/>
        </w:rPr>
        <w:t>n</w:t>
      </w:r>
      <w:r w:rsidR="003F7E70" w:rsidRPr="00B6133E">
        <w:rPr>
          <w:rFonts w:ascii="Times New Roman" w:hAnsi="Times New Roman" w:cs="Times New Roman"/>
          <w:lang w:val="en-US"/>
        </w:rPr>
        <w:t xml:space="preserve"> </w:t>
      </w:r>
      <w:r w:rsidR="0072154F" w:rsidRPr="00B6133E">
        <w:rPr>
          <w:rFonts w:ascii="Times New Roman" w:hAnsi="Times New Roman" w:cs="Times New Roman"/>
          <w:lang w:val="en-US"/>
        </w:rPr>
        <w:t>=</w:t>
      </w:r>
      <w:r w:rsidR="00B92E56" w:rsidRPr="00B6133E">
        <w:rPr>
          <w:rFonts w:ascii="Times New Roman" w:hAnsi="Times New Roman" w:cs="Times New Roman"/>
          <w:lang w:val="en-US"/>
        </w:rPr>
        <w:t xml:space="preserve"> </w:t>
      </w:r>
      <w:r w:rsidR="004A592D" w:rsidRPr="00B6133E">
        <w:rPr>
          <w:rFonts w:ascii="Times New Roman" w:hAnsi="Times New Roman" w:cs="Times New Roman"/>
          <w:lang w:val="en-US"/>
        </w:rPr>
        <w:t>1296</w:t>
      </w:r>
      <w:r w:rsidR="00191A26" w:rsidRPr="00B6133E">
        <w:rPr>
          <w:rFonts w:ascii="Times New Roman" w:hAnsi="Times New Roman" w:cs="Times New Roman"/>
          <w:lang w:val="en-US"/>
        </w:rPr>
        <w:t xml:space="preserve">) of </w:t>
      </w:r>
      <w:r w:rsidR="00191A26" w:rsidRPr="00B6133E">
        <w:rPr>
          <w:rFonts w:ascii="Times New Roman" w:hAnsi="Times New Roman" w:cs="Times New Roman"/>
          <w:i/>
          <w:lang w:val="en-US"/>
        </w:rPr>
        <w:t>de novo</w:t>
      </w:r>
      <w:r w:rsidR="00191A26" w:rsidRPr="00B6133E">
        <w:rPr>
          <w:rFonts w:ascii="Times New Roman" w:hAnsi="Times New Roman" w:cs="Times New Roman"/>
          <w:lang w:val="en-US"/>
        </w:rPr>
        <w:t xml:space="preserve"> MM</w:t>
      </w:r>
      <w:r w:rsidR="00AB5929" w:rsidRPr="00B6133E">
        <w:rPr>
          <w:rFonts w:ascii="Times New Roman" w:hAnsi="Times New Roman" w:cs="Times New Roman"/>
          <w:lang w:val="en-US"/>
        </w:rPr>
        <w:t xml:space="preserve"> patients</w:t>
      </w:r>
      <w:r w:rsidR="00191A26" w:rsidRPr="00B6133E">
        <w:rPr>
          <w:rFonts w:ascii="Times New Roman" w:hAnsi="Times New Roman" w:cs="Times New Roman"/>
          <w:lang w:val="en-US"/>
        </w:rPr>
        <w:t xml:space="preserve"> </w:t>
      </w:r>
      <w:r w:rsidR="00AB5929" w:rsidRPr="00B6133E">
        <w:rPr>
          <w:rFonts w:ascii="Times New Roman" w:hAnsi="Times New Roman" w:cs="Times New Roman"/>
          <w:lang w:val="en-US"/>
        </w:rPr>
        <w:t xml:space="preserve">were </w:t>
      </w:r>
      <w:r w:rsidR="00792589" w:rsidRPr="00B6133E">
        <w:rPr>
          <w:rFonts w:ascii="Times New Roman" w:hAnsi="Times New Roman" w:cs="Times New Roman"/>
          <w:lang w:val="en-US"/>
        </w:rPr>
        <w:t xml:space="preserve">assigned for </w:t>
      </w:r>
      <w:r w:rsidR="00AB5929" w:rsidRPr="00B6133E">
        <w:rPr>
          <w:rFonts w:ascii="Times New Roman" w:hAnsi="Times New Roman" w:cs="Times New Roman"/>
          <w:lang w:val="en-US"/>
        </w:rPr>
        <w:t>BAGS</w:t>
      </w:r>
      <w:r w:rsidR="00792589" w:rsidRPr="00B6133E">
        <w:rPr>
          <w:rFonts w:ascii="Times New Roman" w:hAnsi="Times New Roman" w:cs="Times New Roman"/>
          <w:lang w:val="en-US"/>
        </w:rPr>
        <w:t xml:space="preserve"> subtype</w:t>
      </w:r>
      <w:r w:rsidR="006E47B0" w:rsidRPr="00B6133E">
        <w:rPr>
          <w:rFonts w:ascii="Times New Roman" w:hAnsi="Times New Roman" w:cs="Times New Roman"/>
          <w:lang w:val="en-US"/>
        </w:rPr>
        <w:t>s</w:t>
      </w:r>
      <w:r w:rsidR="00191A26" w:rsidRPr="00B6133E">
        <w:rPr>
          <w:rFonts w:ascii="Times New Roman" w:hAnsi="Times New Roman" w:cs="Times New Roman"/>
          <w:lang w:val="en-US"/>
        </w:rPr>
        <w:t xml:space="preserve">. </w:t>
      </w:r>
      <w:r w:rsidR="00390454" w:rsidRPr="00B6133E">
        <w:rPr>
          <w:rFonts w:ascii="Times New Roman" w:hAnsi="Times New Roman" w:cs="Times New Roman"/>
          <w:b/>
          <w:lang w:val="en-US"/>
        </w:rPr>
        <w:t>Table 1</w:t>
      </w:r>
      <w:r w:rsidR="00390454" w:rsidRPr="00B6133E">
        <w:rPr>
          <w:rFonts w:ascii="Times New Roman" w:hAnsi="Times New Roman" w:cs="Times New Roman"/>
          <w:lang w:val="en-US"/>
        </w:rPr>
        <w:t xml:space="preserve"> shows t</w:t>
      </w:r>
      <w:r w:rsidR="00191A26" w:rsidRPr="00B6133E">
        <w:rPr>
          <w:rFonts w:ascii="Times New Roman" w:hAnsi="Times New Roman" w:cs="Times New Roman"/>
          <w:lang w:val="en-US"/>
        </w:rPr>
        <w:t xml:space="preserve">he </w:t>
      </w:r>
      <w:r w:rsidR="00870B65" w:rsidRPr="00B6133E">
        <w:rPr>
          <w:rFonts w:ascii="Times New Roman" w:hAnsi="Times New Roman" w:cs="Times New Roman"/>
          <w:lang w:val="en-US"/>
        </w:rPr>
        <w:t>result</w:t>
      </w:r>
      <w:r w:rsidR="006E47B0" w:rsidRPr="00B6133E">
        <w:rPr>
          <w:rFonts w:ascii="Times New Roman" w:hAnsi="Times New Roman" w:cs="Times New Roman"/>
          <w:lang w:val="en-US"/>
        </w:rPr>
        <w:t>ing</w:t>
      </w:r>
      <w:r w:rsidR="00870B65" w:rsidRPr="00B6133E">
        <w:rPr>
          <w:rFonts w:ascii="Times New Roman" w:hAnsi="Times New Roman" w:cs="Times New Roman"/>
          <w:lang w:val="en-US"/>
        </w:rPr>
        <w:t xml:space="preserve"> assignment of the </w:t>
      </w:r>
      <w:r w:rsidR="008D07CD" w:rsidRPr="00B6133E">
        <w:rPr>
          <w:rFonts w:ascii="Times New Roman" w:hAnsi="Times New Roman" w:cs="Times New Roman"/>
          <w:lang w:val="en-US"/>
        </w:rPr>
        <w:t xml:space="preserve">tumors </w:t>
      </w:r>
      <w:r w:rsidR="00335ABE" w:rsidRPr="00B6133E">
        <w:rPr>
          <w:rFonts w:ascii="Times New Roman" w:hAnsi="Times New Roman" w:cs="Times New Roman"/>
          <w:lang w:val="en-US"/>
        </w:rPr>
        <w:t>and</w:t>
      </w:r>
      <w:r w:rsidR="00390454" w:rsidRPr="00B6133E">
        <w:rPr>
          <w:rFonts w:ascii="Times New Roman" w:hAnsi="Times New Roman" w:cs="Times New Roman"/>
          <w:lang w:val="en-US"/>
        </w:rPr>
        <w:t xml:space="preserve"> </w:t>
      </w:r>
      <w:r w:rsidR="00870B65" w:rsidRPr="00B6133E">
        <w:rPr>
          <w:rFonts w:ascii="Times New Roman" w:hAnsi="Times New Roman" w:cs="Times New Roman"/>
          <w:lang w:val="en-US"/>
        </w:rPr>
        <w:t>e</w:t>
      </w:r>
      <w:r w:rsidR="008D07CD" w:rsidRPr="00B6133E">
        <w:rPr>
          <w:rFonts w:ascii="Times New Roman" w:hAnsi="Times New Roman" w:cs="Times New Roman"/>
          <w:lang w:val="en-US"/>
        </w:rPr>
        <w:t xml:space="preserve">xhibited BAGS subtype </w:t>
      </w:r>
      <w:r w:rsidR="00AB5929" w:rsidRPr="00B6133E">
        <w:rPr>
          <w:rFonts w:ascii="Times New Roman" w:hAnsi="Times New Roman" w:cs="Times New Roman"/>
          <w:lang w:val="en-US"/>
        </w:rPr>
        <w:t>frequencies</w:t>
      </w:r>
      <w:r w:rsidR="00335ABE" w:rsidRPr="00B6133E">
        <w:rPr>
          <w:rFonts w:ascii="Times New Roman" w:hAnsi="Times New Roman" w:cs="Times New Roman"/>
          <w:lang w:val="en-US"/>
        </w:rPr>
        <w:t xml:space="preserve"> and average percentage for </w:t>
      </w:r>
      <w:proofErr w:type="spellStart"/>
      <w:r w:rsidR="00335ABE" w:rsidRPr="00B6133E">
        <w:rPr>
          <w:rFonts w:ascii="Times New Roman" w:hAnsi="Times New Roman" w:cs="Times New Roman"/>
          <w:lang w:val="en-US"/>
        </w:rPr>
        <w:t>PreBI</w:t>
      </w:r>
      <w:proofErr w:type="spellEnd"/>
      <w:r w:rsidR="00465CFE" w:rsidRPr="00B6133E">
        <w:rPr>
          <w:rFonts w:ascii="Times New Roman" w:hAnsi="Times New Roman" w:cs="Times New Roman"/>
          <w:lang w:val="en-US"/>
        </w:rPr>
        <w:t xml:space="preserve"> </w:t>
      </w:r>
      <w:r w:rsidR="00335ABE" w:rsidRPr="00B6133E">
        <w:rPr>
          <w:rFonts w:ascii="Times New Roman" w:hAnsi="Times New Roman" w:cs="Times New Roman"/>
          <w:lang w:val="en-US"/>
        </w:rPr>
        <w:t>=</w:t>
      </w:r>
      <w:r w:rsidR="00465CFE" w:rsidRPr="00B6133E">
        <w:rPr>
          <w:rFonts w:ascii="Times New Roman" w:hAnsi="Times New Roman" w:cs="Times New Roman"/>
          <w:lang w:val="en-US"/>
        </w:rPr>
        <w:t xml:space="preserve"> </w:t>
      </w:r>
      <w:r w:rsidR="00335ABE" w:rsidRPr="00B6133E">
        <w:rPr>
          <w:rFonts w:ascii="Times New Roman" w:hAnsi="Times New Roman" w:cs="Times New Roman"/>
          <w:lang w:val="en-US"/>
        </w:rPr>
        <w:t xml:space="preserve">1%, </w:t>
      </w:r>
      <w:proofErr w:type="spellStart"/>
      <w:r w:rsidR="00335ABE" w:rsidRPr="00B6133E">
        <w:rPr>
          <w:rFonts w:ascii="Times New Roman" w:hAnsi="Times New Roman" w:cs="Times New Roman"/>
          <w:lang w:val="en-US"/>
        </w:rPr>
        <w:t>PreBII</w:t>
      </w:r>
      <w:proofErr w:type="spellEnd"/>
      <w:r w:rsidR="00465CFE" w:rsidRPr="00B6133E">
        <w:rPr>
          <w:rFonts w:ascii="Times New Roman" w:hAnsi="Times New Roman" w:cs="Times New Roman"/>
          <w:lang w:val="en-US"/>
        </w:rPr>
        <w:t xml:space="preserve"> </w:t>
      </w:r>
      <w:r w:rsidR="00335ABE" w:rsidRPr="00B6133E">
        <w:rPr>
          <w:rFonts w:ascii="Times New Roman" w:hAnsi="Times New Roman" w:cs="Times New Roman"/>
          <w:lang w:val="en-US"/>
        </w:rPr>
        <w:t>=</w:t>
      </w:r>
      <w:r w:rsidR="00465CFE" w:rsidRPr="00B6133E">
        <w:rPr>
          <w:rFonts w:ascii="Times New Roman" w:hAnsi="Times New Roman" w:cs="Times New Roman"/>
          <w:lang w:val="en-US"/>
        </w:rPr>
        <w:t xml:space="preserve"> </w:t>
      </w:r>
      <w:r w:rsidR="00335ABE" w:rsidRPr="00B6133E">
        <w:rPr>
          <w:rFonts w:ascii="Times New Roman" w:hAnsi="Times New Roman" w:cs="Times New Roman"/>
          <w:lang w:val="en-US"/>
        </w:rPr>
        <w:t xml:space="preserve">6%, </w:t>
      </w:r>
      <w:proofErr w:type="spellStart"/>
      <w:r w:rsidR="00335ABE" w:rsidRPr="00B6133E">
        <w:rPr>
          <w:rFonts w:ascii="Times New Roman" w:hAnsi="Times New Roman" w:cs="Times New Roman"/>
          <w:lang w:val="en-US"/>
        </w:rPr>
        <w:t>Im</w:t>
      </w:r>
      <w:proofErr w:type="spellEnd"/>
      <w:r w:rsidR="003F7E70" w:rsidRPr="00B6133E">
        <w:rPr>
          <w:rFonts w:ascii="Times New Roman" w:hAnsi="Times New Roman" w:cs="Times New Roman"/>
          <w:lang w:val="en-US"/>
        </w:rPr>
        <w:t xml:space="preserve"> </w:t>
      </w:r>
      <w:r w:rsidR="00335ABE" w:rsidRPr="00B6133E">
        <w:rPr>
          <w:rFonts w:ascii="Times New Roman" w:hAnsi="Times New Roman" w:cs="Times New Roman"/>
          <w:lang w:val="en-US"/>
        </w:rPr>
        <w:t>=</w:t>
      </w:r>
      <w:r w:rsidR="003F7E70" w:rsidRPr="00B6133E">
        <w:rPr>
          <w:rFonts w:ascii="Times New Roman" w:hAnsi="Times New Roman" w:cs="Times New Roman"/>
          <w:lang w:val="en-US"/>
        </w:rPr>
        <w:t xml:space="preserve"> </w:t>
      </w:r>
      <w:r w:rsidR="00335ABE" w:rsidRPr="00B6133E">
        <w:rPr>
          <w:rFonts w:ascii="Times New Roman" w:hAnsi="Times New Roman" w:cs="Times New Roman"/>
          <w:lang w:val="en-US"/>
        </w:rPr>
        <w:t>11%, N</w:t>
      </w:r>
      <w:r w:rsidR="003F7E70" w:rsidRPr="00B6133E">
        <w:rPr>
          <w:rFonts w:ascii="Times New Roman" w:hAnsi="Times New Roman" w:cs="Times New Roman"/>
          <w:lang w:val="en-US"/>
        </w:rPr>
        <w:t xml:space="preserve"> </w:t>
      </w:r>
      <w:r w:rsidR="00335ABE" w:rsidRPr="00B6133E">
        <w:rPr>
          <w:rFonts w:ascii="Times New Roman" w:hAnsi="Times New Roman" w:cs="Times New Roman"/>
          <w:lang w:val="en-US"/>
        </w:rPr>
        <w:t>=</w:t>
      </w:r>
      <w:r w:rsidR="003F7E70" w:rsidRPr="00B6133E">
        <w:rPr>
          <w:rFonts w:ascii="Times New Roman" w:hAnsi="Times New Roman" w:cs="Times New Roman"/>
          <w:lang w:val="en-US"/>
        </w:rPr>
        <w:t xml:space="preserve"> </w:t>
      </w:r>
      <w:r w:rsidR="00335ABE" w:rsidRPr="00B6133E">
        <w:rPr>
          <w:rFonts w:ascii="Times New Roman" w:hAnsi="Times New Roman" w:cs="Times New Roman"/>
          <w:lang w:val="en-US"/>
        </w:rPr>
        <w:t>23%, M</w:t>
      </w:r>
      <w:r w:rsidR="003F7E70" w:rsidRPr="00B6133E">
        <w:rPr>
          <w:rFonts w:ascii="Times New Roman" w:hAnsi="Times New Roman" w:cs="Times New Roman"/>
          <w:lang w:val="en-US"/>
        </w:rPr>
        <w:t xml:space="preserve"> </w:t>
      </w:r>
      <w:r w:rsidR="00335ABE" w:rsidRPr="00B6133E">
        <w:rPr>
          <w:rFonts w:ascii="Times New Roman" w:hAnsi="Times New Roman" w:cs="Times New Roman"/>
          <w:lang w:val="en-US"/>
        </w:rPr>
        <w:t>=</w:t>
      </w:r>
      <w:r w:rsidR="003F7E70" w:rsidRPr="00B6133E">
        <w:rPr>
          <w:rFonts w:ascii="Times New Roman" w:hAnsi="Times New Roman" w:cs="Times New Roman"/>
          <w:lang w:val="en-US"/>
        </w:rPr>
        <w:t xml:space="preserve"> </w:t>
      </w:r>
      <w:r w:rsidR="00335ABE" w:rsidRPr="00B6133E">
        <w:rPr>
          <w:rFonts w:ascii="Times New Roman" w:hAnsi="Times New Roman" w:cs="Times New Roman"/>
          <w:lang w:val="en-US"/>
        </w:rPr>
        <w:t>41%</w:t>
      </w:r>
      <w:r w:rsidR="0003455A" w:rsidRPr="00B6133E">
        <w:rPr>
          <w:rFonts w:ascii="Times New Roman" w:hAnsi="Times New Roman" w:cs="Times New Roman"/>
          <w:lang w:val="en-US"/>
        </w:rPr>
        <w:t>,</w:t>
      </w:r>
      <w:r w:rsidR="00335ABE" w:rsidRPr="00B6133E">
        <w:rPr>
          <w:rFonts w:ascii="Times New Roman" w:hAnsi="Times New Roman" w:cs="Times New Roman"/>
          <w:lang w:val="en-US"/>
        </w:rPr>
        <w:t xml:space="preserve"> and PC</w:t>
      </w:r>
      <w:r w:rsidR="003F7E70" w:rsidRPr="00B6133E">
        <w:rPr>
          <w:rFonts w:ascii="Times New Roman" w:hAnsi="Times New Roman" w:cs="Times New Roman"/>
          <w:lang w:val="en-US"/>
        </w:rPr>
        <w:t xml:space="preserve"> </w:t>
      </w:r>
      <w:r w:rsidR="00335ABE" w:rsidRPr="00B6133E">
        <w:rPr>
          <w:rFonts w:ascii="Times New Roman" w:hAnsi="Times New Roman" w:cs="Times New Roman"/>
          <w:lang w:val="en-US"/>
        </w:rPr>
        <w:t>=</w:t>
      </w:r>
      <w:r w:rsidR="003F7E70" w:rsidRPr="00B6133E">
        <w:rPr>
          <w:rFonts w:ascii="Times New Roman" w:hAnsi="Times New Roman" w:cs="Times New Roman"/>
          <w:lang w:val="en-US"/>
        </w:rPr>
        <w:t xml:space="preserve"> </w:t>
      </w:r>
      <w:r w:rsidR="00335ABE" w:rsidRPr="00B6133E">
        <w:rPr>
          <w:rFonts w:ascii="Times New Roman" w:hAnsi="Times New Roman" w:cs="Times New Roman"/>
          <w:lang w:val="en-US"/>
        </w:rPr>
        <w:t>4%</w:t>
      </w:r>
      <w:r w:rsidR="006E47B0" w:rsidRPr="00B6133E">
        <w:rPr>
          <w:rFonts w:ascii="Times New Roman" w:hAnsi="Times New Roman" w:cs="Times New Roman"/>
          <w:lang w:val="en-US"/>
        </w:rPr>
        <w:t>,</w:t>
      </w:r>
      <w:r w:rsidR="00AB5929" w:rsidRPr="00B6133E">
        <w:rPr>
          <w:rFonts w:ascii="Times New Roman" w:hAnsi="Times New Roman" w:cs="Times New Roman"/>
          <w:lang w:val="en-US"/>
        </w:rPr>
        <w:t xml:space="preserve"> </w:t>
      </w:r>
      <w:r w:rsidR="00390454" w:rsidRPr="00B6133E">
        <w:rPr>
          <w:rFonts w:ascii="Times New Roman" w:hAnsi="Times New Roman" w:cs="Times New Roman"/>
          <w:lang w:val="en-US"/>
        </w:rPr>
        <w:t>with no</w:t>
      </w:r>
      <w:r w:rsidR="00AB5929" w:rsidRPr="00B6133E">
        <w:rPr>
          <w:rFonts w:ascii="Times New Roman" w:hAnsi="Times New Roman" w:cs="Times New Roman"/>
          <w:lang w:val="en-US"/>
        </w:rPr>
        <w:t xml:space="preserve"> signific</w:t>
      </w:r>
      <w:r w:rsidR="00390454" w:rsidRPr="00B6133E">
        <w:rPr>
          <w:rFonts w:ascii="Times New Roman" w:hAnsi="Times New Roman" w:cs="Times New Roman"/>
          <w:lang w:val="en-US"/>
        </w:rPr>
        <w:t>ant</w:t>
      </w:r>
      <w:r w:rsidR="00FD60F2" w:rsidRPr="00B6133E">
        <w:rPr>
          <w:rFonts w:ascii="Times New Roman" w:hAnsi="Times New Roman" w:cs="Times New Roman"/>
          <w:lang w:val="en-US"/>
        </w:rPr>
        <w:t xml:space="preserve"> v</w:t>
      </w:r>
      <w:r w:rsidR="00390454" w:rsidRPr="00B6133E">
        <w:rPr>
          <w:rFonts w:ascii="Times New Roman" w:hAnsi="Times New Roman" w:cs="Times New Roman"/>
          <w:lang w:val="en-US"/>
        </w:rPr>
        <w:t>ariation</w:t>
      </w:r>
      <w:r w:rsidR="008D07CD" w:rsidRPr="00B6133E">
        <w:rPr>
          <w:rFonts w:ascii="Times New Roman" w:hAnsi="Times New Roman" w:cs="Times New Roman"/>
          <w:lang w:val="en-US"/>
        </w:rPr>
        <w:t xml:space="preserve"> between the cohorts</w:t>
      </w:r>
      <w:r w:rsidR="00C51DED" w:rsidRPr="00B6133E">
        <w:rPr>
          <w:rFonts w:ascii="Times New Roman" w:hAnsi="Times New Roman" w:cs="Times New Roman"/>
          <w:lang w:val="en-US"/>
        </w:rPr>
        <w:t xml:space="preserve"> from different geographical regions, time </w:t>
      </w:r>
      <w:r w:rsidR="006E47B0" w:rsidRPr="00B6133E">
        <w:rPr>
          <w:rFonts w:ascii="Times New Roman" w:hAnsi="Times New Roman" w:cs="Times New Roman"/>
          <w:lang w:val="en-US"/>
        </w:rPr>
        <w:t>periods</w:t>
      </w:r>
      <w:r w:rsidR="00C51DED" w:rsidRPr="00B6133E">
        <w:rPr>
          <w:rFonts w:ascii="Times New Roman" w:hAnsi="Times New Roman" w:cs="Times New Roman"/>
          <w:lang w:val="en-US"/>
        </w:rPr>
        <w:t xml:space="preserve">, </w:t>
      </w:r>
      <w:r w:rsidR="006E47B0" w:rsidRPr="00B6133E">
        <w:rPr>
          <w:rFonts w:ascii="Times New Roman" w:hAnsi="Times New Roman" w:cs="Times New Roman"/>
          <w:lang w:val="en-US"/>
        </w:rPr>
        <w:t xml:space="preserve">or </w:t>
      </w:r>
      <w:r w:rsidR="00C51DED" w:rsidRPr="00B6133E">
        <w:rPr>
          <w:rFonts w:ascii="Times New Roman" w:hAnsi="Times New Roman" w:cs="Times New Roman"/>
          <w:lang w:val="en-US"/>
        </w:rPr>
        <w:t>sampling methods</w:t>
      </w:r>
      <w:r w:rsidR="001779C4" w:rsidRPr="00B6133E">
        <w:rPr>
          <w:rFonts w:ascii="Times New Roman" w:hAnsi="Times New Roman" w:cs="Times New Roman"/>
          <w:lang w:val="en-US"/>
        </w:rPr>
        <w:t xml:space="preserve"> (P</w:t>
      </w:r>
      <w:r w:rsidR="003F7E70" w:rsidRPr="00B6133E">
        <w:rPr>
          <w:rFonts w:ascii="Times New Roman" w:hAnsi="Times New Roman" w:cs="Times New Roman"/>
          <w:lang w:val="en-US"/>
        </w:rPr>
        <w:t xml:space="preserve"> </w:t>
      </w:r>
      <w:r w:rsidR="001779C4" w:rsidRPr="00B6133E">
        <w:rPr>
          <w:rFonts w:ascii="Times New Roman" w:hAnsi="Times New Roman" w:cs="Times New Roman"/>
          <w:lang w:val="en-US"/>
        </w:rPr>
        <w:t>=</w:t>
      </w:r>
      <w:r w:rsidR="00604510" w:rsidRPr="00B6133E">
        <w:rPr>
          <w:rFonts w:ascii="Times New Roman" w:hAnsi="Times New Roman" w:cs="Times New Roman"/>
          <w:lang w:val="en-US"/>
        </w:rPr>
        <w:t xml:space="preserve"> </w:t>
      </w:r>
      <w:r w:rsidR="001779C4" w:rsidRPr="00B6133E">
        <w:rPr>
          <w:rFonts w:ascii="Times New Roman" w:hAnsi="Times New Roman" w:cs="Times New Roman"/>
          <w:lang w:val="en-US"/>
        </w:rPr>
        <w:t>0.9)</w:t>
      </w:r>
      <w:r w:rsidR="00C51DED" w:rsidRPr="00B6133E">
        <w:rPr>
          <w:rFonts w:ascii="Times New Roman" w:hAnsi="Times New Roman" w:cs="Times New Roman"/>
          <w:lang w:val="en-US"/>
        </w:rPr>
        <w:t>.</w:t>
      </w:r>
      <w:r w:rsidR="001775E1" w:rsidRPr="00B6133E">
        <w:rPr>
          <w:rFonts w:ascii="Times New Roman" w:hAnsi="Times New Roman" w:cs="Times New Roman"/>
          <w:lang w:val="en-US"/>
        </w:rPr>
        <w:t xml:space="preserve"> </w:t>
      </w:r>
      <w:r w:rsidR="00C51DED" w:rsidRPr="00B6133E">
        <w:rPr>
          <w:rFonts w:ascii="Times New Roman" w:hAnsi="Times New Roman" w:cs="Times New Roman"/>
          <w:lang w:val="en-US"/>
        </w:rPr>
        <w:t>W</w:t>
      </w:r>
      <w:r w:rsidR="007A11D0" w:rsidRPr="00B6133E">
        <w:rPr>
          <w:rFonts w:ascii="Times New Roman" w:hAnsi="Times New Roman" w:cs="Times New Roman"/>
          <w:lang w:val="en-US"/>
        </w:rPr>
        <w:t>e</w:t>
      </w:r>
      <w:r w:rsidR="00AB5929" w:rsidRPr="00B6133E">
        <w:rPr>
          <w:rFonts w:ascii="Times New Roman" w:hAnsi="Times New Roman" w:cs="Times New Roman"/>
          <w:lang w:val="en-US"/>
        </w:rPr>
        <w:t xml:space="preserve"> </w:t>
      </w:r>
      <w:r w:rsidR="00335ABE" w:rsidRPr="00B6133E">
        <w:rPr>
          <w:rFonts w:ascii="Times New Roman" w:hAnsi="Times New Roman" w:cs="Times New Roman"/>
          <w:lang w:val="en-US"/>
        </w:rPr>
        <w:t>allow</w:t>
      </w:r>
      <w:r w:rsidR="00AB5929" w:rsidRPr="00B6133E">
        <w:rPr>
          <w:rFonts w:ascii="Times New Roman" w:hAnsi="Times New Roman" w:cs="Times New Roman"/>
          <w:lang w:val="en-US"/>
        </w:rPr>
        <w:t xml:space="preserve"> 15% of cases within each cohort to be unclassified, resulting in a probability cut-off of approximately 0.4</w:t>
      </w:r>
      <w:r w:rsidR="00335ABE" w:rsidRPr="00B6133E">
        <w:rPr>
          <w:rFonts w:ascii="Times New Roman" w:hAnsi="Times New Roman" w:cs="Times New Roman"/>
          <w:lang w:val="en-US"/>
        </w:rPr>
        <w:t>0</w:t>
      </w:r>
      <w:r w:rsidR="00AB5929" w:rsidRPr="00B6133E">
        <w:rPr>
          <w:rFonts w:ascii="Times New Roman" w:hAnsi="Times New Roman" w:cs="Times New Roman"/>
          <w:lang w:val="en-US"/>
        </w:rPr>
        <w:t xml:space="preserve">. </w:t>
      </w:r>
      <w:r w:rsidR="00191A26" w:rsidRPr="00B6133E">
        <w:rPr>
          <w:rFonts w:ascii="Times New Roman" w:hAnsi="Times New Roman" w:cs="Times New Roman"/>
          <w:lang w:val="en-US"/>
        </w:rPr>
        <w:t>The distribution of the TC</w:t>
      </w:r>
      <w:r w:rsidR="00AB5929" w:rsidRPr="00B6133E">
        <w:rPr>
          <w:rFonts w:ascii="Times New Roman" w:hAnsi="Times New Roman" w:cs="Times New Roman"/>
          <w:lang w:val="en-US"/>
        </w:rPr>
        <w:t xml:space="preserve"> classes w</w:t>
      </w:r>
      <w:r w:rsidR="00650C74" w:rsidRPr="00B6133E">
        <w:rPr>
          <w:rFonts w:ascii="Times New Roman" w:hAnsi="Times New Roman" w:cs="Times New Roman"/>
          <w:lang w:val="en-US"/>
        </w:rPr>
        <w:t>ithin the BAGS subtypes is given</w:t>
      </w:r>
      <w:r w:rsidR="00AB5929" w:rsidRPr="00B6133E">
        <w:rPr>
          <w:rFonts w:ascii="Times New Roman" w:hAnsi="Times New Roman" w:cs="Times New Roman"/>
          <w:lang w:val="en-US"/>
        </w:rPr>
        <w:t xml:space="preserve"> in </w:t>
      </w:r>
      <w:r w:rsidR="00AB5929" w:rsidRPr="00B6133E">
        <w:rPr>
          <w:rFonts w:ascii="Times New Roman" w:hAnsi="Times New Roman" w:cs="Times New Roman"/>
          <w:b/>
          <w:lang w:val="en-US"/>
        </w:rPr>
        <w:t>Table 1</w:t>
      </w:r>
      <w:r w:rsidR="006E47B0" w:rsidRPr="00B6133E">
        <w:rPr>
          <w:rFonts w:ascii="Times New Roman" w:hAnsi="Times New Roman" w:cs="Times New Roman"/>
          <w:lang w:val="en-US"/>
        </w:rPr>
        <w:t>,</w:t>
      </w:r>
      <w:r w:rsidR="00191A26" w:rsidRPr="00B6133E">
        <w:rPr>
          <w:rFonts w:ascii="Times New Roman" w:hAnsi="Times New Roman" w:cs="Times New Roman"/>
          <w:lang w:val="en-US"/>
        </w:rPr>
        <w:t xml:space="preserve"> with </w:t>
      </w:r>
      <w:r w:rsidR="0077420F" w:rsidRPr="00B6133E">
        <w:rPr>
          <w:rFonts w:ascii="Times New Roman" w:hAnsi="Times New Roman" w:cs="Times New Roman"/>
          <w:lang w:val="en-US"/>
        </w:rPr>
        <w:t xml:space="preserve">significant </w:t>
      </w:r>
      <w:r w:rsidR="00191A26" w:rsidRPr="00B6133E">
        <w:rPr>
          <w:rFonts w:ascii="Times New Roman" w:hAnsi="Times New Roman" w:cs="Times New Roman"/>
          <w:lang w:val="en-US"/>
        </w:rPr>
        <w:t>association identified</w:t>
      </w:r>
      <w:r w:rsidR="00244FCC" w:rsidRPr="00B6133E">
        <w:rPr>
          <w:rFonts w:ascii="Times New Roman" w:hAnsi="Times New Roman" w:cs="Times New Roman"/>
          <w:lang w:val="en-US"/>
        </w:rPr>
        <w:t xml:space="preserve"> (</w:t>
      </w:r>
      <w:r w:rsidR="001779C4" w:rsidRPr="00B6133E">
        <w:rPr>
          <w:rFonts w:ascii="Times New Roman" w:hAnsi="Times New Roman" w:cs="Times New Roman"/>
          <w:sz w:val="22"/>
          <w:szCs w:val="22"/>
          <w:lang w:val="en-US"/>
        </w:rPr>
        <w:t>P</w:t>
      </w:r>
      <w:r w:rsidR="003F7E70" w:rsidRPr="00B6133E">
        <w:rPr>
          <w:rFonts w:ascii="Times New Roman" w:hAnsi="Times New Roman" w:cs="Times New Roman"/>
          <w:sz w:val="22"/>
          <w:szCs w:val="22"/>
          <w:lang w:val="en-US"/>
        </w:rPr>
        <w:t xml:space="preserve"> </w:t>
      </w:r>
      <w:r w:rsidR="00D60CD8" w:rsidRPr="00B6133E">
        <w:rPr>
          <w:rFonts w:ascii="Times New Roman" w:hAnsi="Times New Roman" w:cs="Times New Roman"/>
          <w:color w:val="000000"/>
          <w:sz w:val="22"/>
          <w:szCs w:val="22"/>
          <w:lang w:val="en-US"/>
        </w:rPr>
        <w:t>&lt;</w:t>
      </w:r>
      <w:r w:rsidR="00604510" w:rsidRPr="00B6133E">
        <w:rPr>
          <w:rFonts w:ascii="Times New Roman" w:hAnsi="Times New Roman" w:cs="Times New Roman"/>
          <w:color w:val="000000"/>
          <w:sz w:val="22"/>
          <w:szCs w:val="22"/>
          <w:lang w:val="en-US"/>
        </w:rPr>
        <w:t xml:space="preserve"> </w:t>
      </w:r>
      <w:r w:rsidR="00D60CD8" w:rsidRPr="00B6133E">
        <w:rPr>
          <w:rFonts w:ascii="Times New Roman" w:hAnsi="Times New Roman" w:cs="Times New Roman"/>
          <w:color w:val="000000"/>
          <w:sz w:val="22"/>
          <w:szCs w:val="22"/>
          <w:lang w:val="en-US"/>
        </w:rPr>
        <w:t>0.001</w:t>
      </w:r>
      <w:r w:rsidR="00244FCC" w:rsidRPr="00B6133E">
        <w:rPr>
          <w:rFonts w:ascii="Times New Roman" w:hAnsi="Times New Roman" w:cs="Times New Roman"/>
          <w:lang w:val="en-US"/>
        </w:rPr>
        <w:t>)</w:t>
      </w:r>
      <w:r w:rsidR="00AB5929" w:rsidRPr="00B6133E">
        <w:rPr>
          <w:rFonts w:ascii="Times New Roman" w:hAnsi="Times New Roman" w:cs="Times New Roman"/>
          <w:lang w:val="en-US"/>
        </w:rPr>
        <w:t>.</w:t>
      </w:r>
      <w:r w:rsidR="00650C74" w:rsidRPr="00B6133E">
        <w:rPr>
          <w:rFonts w:ascii="Times New Roman" w:hAnsi="Times New Roman" w:cs="Times New Roman"/>
          <w:lang w:val="en-US"/>
        </w:rPr>
        <w:t xml:space="preserve"> </w:t>
      </w:r>
      <w:r w:rsidR="001779C4" w:rsidRPr="00B6133E">
        <w:rPr>
          <w:rFonts w:ascii="Times New Roman" w:hAnsi="Times New Roman" w:cs="Times New Roman"/>
          <w:lang w:val="en-US"/>
        </w:rPr>
        <w:t>T</w:t>
      </w:r>
      <w:r w:rsidR="00BF63D7" w:rsidRPr="00B6133E">
        <w:rPr>
          <w:rFonts w:ascii="Times New Roman" w:hAnsi="Times New Roman" w:cs="Times New Roman"/>
          <w:lang w:val="en-US"/>
        </w:rPr>
        <w:t>here was</w:t>
      </w:r>
      <w:r w:rsidR="001779C4" w:rsidRPr="00B6133E">
        <w:rPr>
          <w:rFonts w:ascii="Times New Roman" w:hAnsi="Times New Roman" w:cs="Times New Roman"/>
          <w:lang w:val="en-US"/>
        </w:rPr>
        <w:t xml:space="preserve"> also</w:t>
      </w:r>
      <w:r w:rsidR="00BF63D7" w:rsidRPr="00B6133E">
        <w:rPr>
          <w:rFonts w:ascii="Times New Roman" w:hAnsi="Times New Roman" w:cs="Times New Roman"/>
          <w:lang w:val="en-US"/>
        </w:rPr>
        <w:t xml:space="preserve"> significant correlation </w:t>
      </w:r>
      <w:r w:rsidR="00153CEB" w:rsidRPr="00B6133E">
        <w:rPr>
          <w:rFonts w:ascii="Times New Roman" w:hAnsi="Times New Roman" w:cs="Times New Roman"/>
          <w:lang w:val="en-US"/>
        </w:rPr>
        <w:t xml:space="preserve">with </w:t>
      </w:r>
      <w:r w:rsidR="00BF63D7" w:rsidRPr="00B6133E">
        <w:rPr>
          <w:rFonts w:ascii="Times New Roman" w:hAnsi="Times New Roman" w:cs="Times New Roman"/>
          <w:lang w:val="en-US"/>
        </w:rPr>
        <w:t>ISS staging</w:t>
      </w:r>
      <w:r w:rsidR="001779C4" w:rsidRPr="00B6133E">
        <w:rPr>
          <w:rFonts w:ascii="Times New Roman" w:hAnsi="Times New Roman" w:cs="Times New Roman"/>
          <w:lang w:val="en-US"/>
        </w:rPr>
        <w:t xml:space="preserve"> (P</w:t>
      </w:r>
      <w:r w:rsidR="003F7E70" w:rsidRPr="00B6133E">
        <w:rPr>
          <w:rFonts w:ascii="Times New Roman" w:hAnsi="Times New Roman" w:cs="Times New Roman"/>
          <w:lang w:val="en-US"/>
        </w:rPr>
        <w:t xml:space="preserve"> </w:t>
      </w:r>
      <w:r w:rsidR="001779C4" w:rsidRPr="00B6133E">
        <w:rPr>
          <w:rFonts w:ascii="Times New Roman" w:hAnsi="Times New Roman" w:cs="Times New Roman"/>
          <w:lang w:val="en-US"/>
        </w:rPr>
        <w:t>=</w:t>
      </w:r>
      <w:r w:rsidR="00604510" w:rsidRPr="00B6133E">
        <w:rPr>
          <w:rFonts w:ascii="Times New Roman" w:hAnsi="Times New Roman" w:cs="Times New Roman"/>
          <w:lang w:val="en-US"/>
        </w:rPr>
        <w:t xml:space="preserve"> </w:t>
      </w:r>
      <w:r w:rsidR="001779C4" w:rsidRPr="00B6133E">
        <w:rPr>
          <w:rFonts w:ascii="Times New Roman" w:hAnsi="Times New Roman" w:cs="Times New Roman"/>
          <w:lang w:val="en-US"/>
        </w:rPr>
        <w:t>0.032)</w:t>
      </w:r>
      <w:r w:rsidR="00153CEB" w:rsidRPr="00B6133E">
        <w:rPr>
          <w:rFonts w:ascii="Times New Roman" w:hAnsi="Times New Roman" w:cs="Times New Roman"/>
          <w:lang w:val="en-US"/>
        </w:rPr>
        <w:t>,</w:t>
      </w:r>
      <w:r w:rsidR="00BF63D7" w:rsidRPr="00B6133E">
        <w:rPr>
          <w:rFonts w:ascii="Times New Roman" w:hAnsi="Times New Roman" w:cs="Times New Roman"/>
          <w:lang w:val="en-US"/>
        </w:rPr>
        <w:t xml:space="preserve"> with increased numbers of</w:t>
      </w:r>
      <w:r w:rsidR="00650C74" w:rsidRPr="00B6133E">
        <w:rPr>
          <w:rFonts w:ascii="Times New Roman" w:hAnsi="Times New Roman" w:cs="Times New Roman"/>
          <w:lang w:val="en-US"/>
        </w:rPr>
        <w:t xml:space="preserve"> </w:t>
      </w:r>
      <w:r w:rsidR="00B750FD" w:rsidRPr="00B6133E">
        <w:rPr>
          <w:rFonts w:ascii="Times New Roman" w:hAnsi="Times New Roman" w:cs="Times New Roman"/>
          <w:lang w:val="en-US"/>
        </w:rPr>
        <w:t xml:space="preserve">the </w:t>
      </w:r>
      <w:proofErr w:type="spellStart"/>
      <w:r w:rsidR="00BF63D7" w:rsidRPr="00B6133E">
        <w:rPr>
          <w:rFonts w:ascii="Times New Roman" w:hAnsi="Times New Roman" w:cs="Times New Roman"/>
          <w:lang w:val="en-US"/>
        </w:rPr>
        <w:t>PreBII</w:t>
      </w:r>
      <w:proofErr w:type="spellEnd"/>
      <w:r w:rsidR="00BF63D7" w:rsidRPr="00B6133E">
        <w:rPr>
          <w:rFonts w:ascii="Times New Roman" w:hAnsi="Times New Roman" w:cs="Times New Roman"/>
          <w:lang w:val="en-US"/>
        </w:rPr>
        <w:t xml:space="preserve"> and </w:t>
      </w:r>
      <w:r w:rsidR="00335ABE" w:rsidRPr="00B6133E">
        <w:rPr>
          <w:rFonts w:ascii="Times New Roman" w:hAnsi="Times New Roman" w:cs="Times New Roman"/>
          <w:lang w:val="en-US"/>
        </w:rPr>
        <w:t>M</w:t>
      </w:r>
      <w:r w:rsidR="00BF63D7" w:rsidRPr="00B6133E">
        <w:rPr>
          <w:rFonts w:ascii="Times New Roman" w:hAnsi="Times New Roman" w:cs="Times New Roman"/>
          <w:lang w:val="en-US"/>
        </w:rPr>
        <w:t xml:space="preserve"> subtypes associated </w:t>
      </w:r>
      <w:r w:rsidR="00153CEB" w:rsidRPr="00B6133E">
        <w:rPr>
          <w:rFonts w:ascii="Times New Roman" w:hAnsi="Times New Roman" w:cs="Times New Roman"/>
          <w:lang w:val="en-US"/>
        </w:rPr>
        <w:t xml:space="preserve">with ISS </w:t>
      </w:r>
      <w:r w:rsidR="00BF63D7" w:rsidRPr="00B6133E">
        <w:rPr>
          <w:rFonts w:ascii="Times New Roman" w:hAnsi="Times New Roman" w:cs="Times New Roman"/>
          <w:lang w:val="en-US"/>
        </w:rPr>
        <w:t>stage</w:t>
      </w:r>
      <w:r w:rsidR="00335ABE" w:rsidRPr="00B6133E">
        <w:rPr>
          <w:rFonts w:ascii="Times New Roman" w:hAnsi="Times New Roman" w:cs="Times New Roman"/>
          <w:lang w:val="en-US"/>
        </w:rPr>
        <w:t xml:space="preserve"> III</w:t>
      </w:r>
      <w:r w:rsidR="00153CEB" w:rsidRPr="00B6133E">
        <w:rPr>
          <w:rFonts w:ascii="Times New Roman" w:hAnsi="Times New Roman" w:cs="Times New Roman"/>
          <w:lang w:val="en-US"/>
        </w:rPr>
        <w:t>,</w:t>
      </w:r>
      <w:r w:rsidR="00BF63D7" w:rsidRPr="00B6133E">
        <w:rPr>
          <w:rFonts w:ascii="Times New Roman" w:hAnsi="Times New Roman" w:cs="Times New Roman"/>
          <w:lang w:val="en-US"/>
        </w:rPr>
        <w:t xml:space="preserve"> </w:t>
      </w:r>
      <w:r w:rsidR="00650C74" w:rsidRPr="00B6133E">
        <w:rPr>
          <w:rFonts w:ascii="Times New Roman" w:hAnsi="Times New Roman" w:cs="Times New Roman"/>
          <w:lang w:val="en-US"/>
        </w:rPr>
        <w:t xml:space="preserve">as shown in </w:t>
      </w:r>
      <w:r w:rsidR="00650C74" w:rsidRPr="00B6133E">
        <w:rPr>
          <w:rFonts w:ascii="Times New Roman" w:hAnsi="Times New Roman" w:cs="Times New Roman"/>
          <w:b/>
          <w:lang w:val="en-US"/>
        </w:rPr>
        <w:t>Table 1</w:t>
      </w:r>
      <w:r w:rsidR="00650C74" w:rsidRPr="00B6133E">
        <w:rPr>
          <w:rFonts w:ascii="Times New Roman" w:hAnsi="Times New Roman" w:cs="Times New Roman"/>
          <w:lang w:val="en-US"/>
        </w:rPr>
        <w:t>.</w:t>
      </w:r>
      <w:r w:rsidR="001775E1" w:rsidRPr="00B6133E">
        <w:rPr>
          <w:rFonts w:ascii="Times New Roman" w:hAnsi="Times New Roman" w:cs="Times New Roman"/>
          <w:lang w:val="en-US"/>
        </w:rPr>
        <w:t xml:space="preserve"> </w:t>
      </w:r>
      <w:r w:rsidR="002B5353" w:rsidRPr="00B6133E">
        <w:rPr>
          <w:rFonts w:ascii="Times New Roman" w:hAnsi="Times New Roman" w:cs="Times New Roman"/>
          <w:lang w:val="en-US"/>
        </w:rPr>
        <w:t>BAGS</w:t>
      </w:r>
      <w:r w:rsidR="00465CFE" w:rsidRPr="00B6133E">
        <w:rPr>
          <w:rFonts w:ascii="Times New Roman" w:hAnsi="Times New Roman" w:cs="Times New Roman"/>
          <w:lang w:val="en-US"/>
        </w:rPr>
        <w:t xml:space="preserve">, proliferation index, and </w:t>
      </w:r>
      <w:proofErr w:type="spellStart"/>
      <w:r w:rsidR="00465CFE" w:rsidRPr="00B6133E">
        <w:rPr>
          <w:rFonts w:ascii="Times New Roman" w:hAnsi="Times New Roman" w:cs="Times New Roman"/>
          <w:lang w:val="en-US"/>
        </w:rPr>
        <w:t>melphalan</w:t>
      </w:r>
      <w:proofErr w:type="spellEnd"/>
      <w:r w:rsidR="00465CFE" w:rsidRPr="00B6133E">
        <w:rPr>
          <w:rFonts w:ascii="Times New Roman" w:hAnsi="Times New Roman" w:cs="Times New Roman"/>
          <w:lang w:val="en-US"/>
        </w:rPr>
        <w:t xml:space="preserve"> resistance</w:t>
      </w:r>
      <w:r w:rsidR="002B5353" w:rsidRPr="00B6133E">
        <w:rPr>
          <w:rFonts w:ascii="Times New Roman" w:hAnsi="Times New Roman" w:cs="Times New Roman"/>
          <w:lang w:val="en-US"/>
        </w:rPr>
        <w:t xml:space="preserve"> assignment</w:t>
      </w:r>
      <w:r w:rsidR="00465CFE" w:rsidRPr="00B6133E">
        <w:rPr>
          <w:rFonts w:ascii="Times New Roman" w:hAnsi="Times New Roman" w:cs="Times New Roman"/>
          <w:lang w:val="en-US"/>
        </w:rPr>
        <w:t>s</w:t>
      </w:r>
      <w:r w:rsidR="002B5353" w:rsidRPr="00B6133E">
        <w:rPr>
          <w:rFonts w:ascii="Times New Roman" w:hAnsi="Times New Roman" w:cs="Times New Roman"/>
          <w:lang w:val="en-US"/>
        </w:rPr>
        <w:t xml:space="preserve"> for all samples used in the analyses are provided in </w:t>
      </w:r>
      <w:r w:rsidR="00F81769" w:rsidRPr="00B6133E">
        <w:rPr>
          <w:rFonts w:ascii="Times New Roman" w:hAnsi="Times New Roman" w:cs="Times New Roman"/>
          <w:lang w:val="en-US"/>
        </w:rPr>
        <w:t>S</w:t>
      </w:r>
      <w:r w:rsidR="002B5353" w:rsidRPr="00B6133E">
        <w:rPr>
          <w:rFonts w:ascii="Times New Roman" w:hAnsi="Times New Roman" w:cs="Times New Roman"/>
          <w:lang w:val="en-US"/>
        </w:rPr>
        <w:t>upplementary</w:t>
      </w:r>
      <w:r w:rsidR="00F81769" w:rsidRPr="00B6133E">
        <w:rPr>
          <w:rFonts w:ascii="Times New Roman" w:hAnsi="Times New Roman" w:cs="Times New Roman"/>
          <w:lang w:val="en-US"/>
        </w:rPr>
        <w:t xml:space="preserve"> data</w:t>
      </w:r>
      <w:r w:rsidR="002B5353" w:rsidRPr="00B6133E">
        <w:rPr>
          <w:rFonts w:ascii="Times New Roman" w:hAnsi="Times New Roman" w:cs="Times New Roman"/>
          <w:lang w:val="en-US"/>
        </w:rPr>
        <w:t xml:space="preserve">, </w:t>
      </w:r>
      <w:r w:rsidR="00AF74E8" w:rsidRPr="00B6133E">
        <w:rPr>
          <w:rFonts w:ascii="Times New Roman" w:hAnsi="Times New Roman" w:cs="Times New Roman"/>
          <w:b/>
          <w:lang w:val="en-US"/>
        </w:rPr>
        <w:t>T</w:t>
      </w:r>
      <w:r w:rsidR="002B5353" w:rsidRPr="00B6133E">
        <w:rPr>
          <w:rFonts w:ascii="Times New Roman" w:hAnsi="Times New Roman" w:cs="Times New Roman"/>
          <w:b/>
          <w:lang w:val="en-US"/>
        </w:rPr>
        <w:t xml:space="preserve">able </w:t>
      </w:r>
      <w:r w:rsidR="00AF74E8" w:rsidRPr="00B6133E">
        <w:rPr>
          <w:rFonts w:ascii="Times New Roman" w:hAnsi="Times New Roman" w:cs="Times New Roman"/>
          <w:b/>
          <w:lang w:val="en-US"/>
        </w:rPr>
        <w:t>S</w:t>
      </w:r>
      <w:r w:rsidR="00DF3856" w:rsidRPr="00B6133E">
        <w:rPr>
          <w:rFonts w:ascii="Times New Roman" w:hAnsi="Times New Roman" w:cs="Times New Roman"/>
          <w:b/>
          <w:lang w:val="en-US"/>
        </w:rPr>
        <w:t>6</w:t>
      </w:r>
      <w:r w:rsidR="00AF74E8" w:rsidRPr="00B6133E">
        <w:rPr>
          <w:rFonts w:ascii="Times New Roman" w:hAnsi="Times New Roman" w:cs="Times New Roman"/>
          <w:b/>
          <w:lang w:val="en-US"/>
        </w:rPr>
        <w:t>A-H</w:t>
      </w:r>
      <w:r w:rsidR="002B5353" w:rsidRPr="00B6133E">
        <w:rPr>
          <w:rFonts w:ascii="Times New Roman" w:hAnsi="Times New Roman" w:cs="Times New Roman"/>
          <w:b/>
          <w:lang w:val="en-US"/>
        </w:rPr>
        <w:t>.</w:t>
      </w:r>
    </w:p>
    <w:p w14:paraId="32179AEA" w14:textId="77777777" w:rsidR="00F66CC0" w:rsidRPr="00B6133E" w:rsidRDefault="00815081" w:rsidP="00826CA4">
      <w:pPr>
        <w:pStyle w:val="Overskrift3"/>
        <w:rPr>
          <w:rFonts w:ascii="Times New Roman" w:hAnsi="Times New Roman" w:cs="Times New Roman"/>
        </w:rPr>
      </w:pPr>
      <w:r w:rsidRPr="00B6133E">
        <w:rPr>
          <w:rFonts w:ascii="Times New Roman" w:hAnsi="Times New Roman" w:cs="Times New Roman"/>
        </w:rPr>
        <w:t xml:space="preserve">Prognostic impact of assigned BAGS subtypes </w:t>
      </w:r>
    </w:p>
    <w:p w14:paraId="4E9EE3AA" w14:textId="05045238" w:rsidR="00A27808" w:rsidRPr="00B6133E" w:rsidRDefault="000D10CE" w:rsidP="00A21532">
      <w:pPr>
        <w:spacing w:before="0" w:after="0" w:line="480" w:lineRule="auto"/>
        <w:rPr>
          <w:rFonts w:ascii="Times New Roman" w:hAnsi="Times New Roman" w:cs="Times New Roman"/>
          <w:lang w:val="en-US"/>
        </w:rPr>
      </w:pPr>
      <w:r w:rsidRPr="00B6133E">
        <w:rPr>
          <w:rFonts w:ascii="Times New Roman" w:hAnsi="Times New Roman" w:cs="Times New Roman"/>
          <w:b/>
          <w:lang w:val="en-US"/>
        </w:rPr>
        <w:t>Figure 2</w:t>
      </w:r>
      <w:r w:rsidR="008D07CD" w:rsidRPr="00B6133E">
        <w:rPr>
          <w:rFonts w:ascii="Times New Roman" w:hAnsi="Times New Roman" w:cs="Times New Roman"/>
          <w:lang w:val="en-US"/>
        </w:rPr>
        <w:t xml:space="preserve"> </w:t>
      </w:r>
      <w:r w:rsidRPr="00B6133E">
        <w:rPr>
          <w:rFonts w:ascii="Times New Roman" w:hAnsi="Times New Roman" w:cs="Times New Roman"/>
          <w:lang w:val="en-US"/>
        </w:rPr>
        <w:t xml:space="preserve">illustrates the results from </w:t>
      </w:r>
      <w:r w:rsidR="008D07CD" w:rsidRPr="00B6133E">
        <w:rPr>
          <w:rFonts w:ascii="Times New Roman" w:hAnsi="Times New Roman" w:cs="Times New Roman"/>
          <w:lang w:val="en-US"/>
        </w:rPr>
        <w:t>a</w:t>
      </w:r>
      <w:r w:rsidR="0058132A" w:rsidRPr="00B6133E">
        <w:rPr>
          <w:rFonts w:ascii="Times New Roman" w:hAnsi="Times New Roman" w:cs="Times New Roman"/>
          <w:lang w:val="en-US"/>
        </w:rPr>
        <w:t xml:space="preserve"> </w:t>
      </w:r>
      <w:r w:rsidR="00DC62A8" w:rsidRPr="00B6133E">
        <w:rPr>
          <w:rFonts w:ascii="Times New Roman" w:hAnsi="Times New Roman" w:cs="Times New Roman"/>
          <w:lang w:val="en-US"/>
        </w:rPr>
        <w:t>meta-analysis</w:t>
      </w:r>
      <w:r w:rsidR="0058132A" w:rsidRPr="00B6133E">
        <w:rPr>
          <w:rFonts w:ascii="Times New Roman" w:hAnsi="Times New Roman" w:cs="Times New Roman"/>
          <w:lang w:val="en-US"/>
        </w:rPr>
        <w:t xml:space="preserve"> of </w:t>
      </w:r>
      <w:r w:rsidR="00650C74" w:rsidRPr="00B6133E">
        <w:rPr>
          <w:rFonts w:ascii="Times New Roman" w:hAnsi="Times New Roman" w:cs="Times New Roman"/>
          <w:lang w:val="en-US"/>
        </w:rPr>
        <w:t xml:space="preserve">the </w:t>
      </w:r>
      <w:r w:rsidR="004A592D" w:rsidRPr="00B6133E">
        <w:rPr>
          <w:rFonts w:ascii="Times New Roman" w:hAnsi="Times New Roman" w:cs="Times New Roman"/>
          <w:lang w:val="en-US"/>
        </w:rPr>
        <w:t xml:space="preserve">916 </w:t>
      </w:r>
      <w:r w:rsidR="00153CEB" w:rsidRPr="00B6133E">
        <w:rPr>
          <w:rFonts w:ascii="Times New Roman" w:hAnsi="Times New Roman" w:cs="Times New Roman"/>
          <w:lang w:val="en-US"/>
        </w:rPr>
        <w:t xml:space="preserve">patients </w:t>
      </w:r>
      <w:r w:rsidR="008D07CD" w:rsidRPr="00B6133E">
        <w:rPr>
          <w:rFonts w:ascii="Times New Roman" w:hAnsi="Times New Roman" w:cs="Times New Roman"/>
          <w:lang w:val="en-US"/>
        </w:rPr>
        <w:t>included in</w:t>
      </w:r>
      <w:r w:rsidR="0058132A" w:rsidRPr="00B6133E">
        <w:rPr>
          <w:rFonts w:ascii="Times New Roman" w:hAnsi="Times New Roman" w:cs="Times New Roman"/>
          <w:lang w:val="en-US"/>
        </w:rPr>
        <w:t xml:space="preserve"> </w:t>
      </w:r>
      <w:r w:rsidR="00244FCC" w:rsidRPr="00B6133E">
        <w:rPr>
          <w:rFonts w:ascii="Times New Roman" w:hAnsi="Times New Roman" w:cs="Times New Roman"/>
          <w:lang w:val="en-US"/>
        </w:rPr>
        <w:t xml:space="preserve">the </w:t>
      </w:r>
      <w:r w:rsidR="008D07CD" w:rsidRPr="00B6133E">
        <w:rPr>
          <w:rFonts w:ascii="Times New Roman" w:hAnsi="Times New Roman" w:cs="Times New Roman"/>
          <w:lang w:val="en-US"/>
        </w:rPr>
        <w:t xml:space="preserve">three </w:t>
      </w:r>
      <w:r w:rsidR="00761BBF" w:rsidRPr="00B6133E">
        <w:rPr>
          <w:rFonts w:ascii="Times New Roman" w:hAnsi="Times New Roman" w:cs="Times New Roman"/>
          <w:lang w:val="en-GB"/>
        </w:rPr>
        <w:t xml:space="preserve">prospective trial cohorts with high-dose </w:t>
      </w:r>
      <w:proofErr w:type="spellStart"/>
      <w:r w:rsidR="00761BBF" w:rsidRPr="00B6133E">
        <w:rPr>
          <w:rFonts w:ascii="Times New Roman" w:hAnsi="Times New Roman" w:cs="Times New Roman"/>
          <w:lang w:val="en-GB"/>
        </w:rPr>
        <w:t>melphalan</w:t>
      </w:r>
      <w:proofErr w:type="spellEnd"/>
      <w:r w:rsidR="00761BBF" w:rsidRPr="00B6133E">
        <w:rPr>
          <w:rFonts w:ascii="Times New Roman" w:hAnsi="Times New Roman" w:cs="Times New Roman"/>
          <w:lang w:val="en-GB"/>
        </w:rPr>
        <w:t xml:space="preserve"> as first line therapy</w:t>
      </w:r>
      <w:r w:rsidR="00761BBF" w:rsidRPr="00B6133E">
        <w:rPr>
          <w:rFonts w:ascii="Times New Roman" w:hAnsi="Times New Roman" w:cs="Times New Roman"/>
          <w:lang w:val="en-US"/>
        </w:rPr>
        <w:t xml:space="preserve"> </w:t>
      </w:r>
      <w:r w:rsidR="00153CEB" w:rsidRPr="00B6133E">
        <w:rPr>
          <w:rFonts w:ascii="Times New Roman" w:hAnsi="Times New Roman" w:cs="Times New Roman"/>
          <w:lang w:val="en-US"/>
        </w:rPr>
        <w:t>(</w:t>
      </w:r>
      <w:r w:rsidR="00A27808" w:rsidRPr="00B6133E">
        <w:rPr>
          <w:rFonts w:ascii="Times New Roman" w:hAnsi="Times New Roman" w:cs="Times New Roman"/>
          <w:lang w:val="en-US"/>
        </w:rPr>
        <w:t>UAMS, HOVON65/GMMG-HD4</w:t>
      </w:r>
      <w:r w:rsidR="00153CEB" w:rsidRPr="00B6133E">
        <w:rPr>
          <w:rFonts w:ascii="Times New Roman" w:hAnsi="Times New Roman" w:cs="Times New Roman"/>
          <w:lang w:val="en-US"/>
        </w:rPr>
        <w:t>,</w:t>
      </w:r>
      <w:r w:rsidR="001825C1" w:rsidRPr="00B6133E">
        <w:rPr>
          <w:rFonts w:ascii="Times New Roman" w:hAnsi="Times New Roman" w:cs="Times New Roman"/>
          <w:lang w:val="en-US"/>
        </w:rPr>
        <w:t xml:space="preserve"> and</w:t>
      </w:r>
      <w:r w:rsidR="00A27808" w:rsidRPr="00B6133E">
        <w:rPr>
          <w:rFonts w:ascii="Times New Roman" w:hAnsi="Times New Roman" w:cs="Times New Roman"/>
          <w:lang w:val="en-US"/>
        </w:rPr>
        <w:t xml:space="preserve"> MRC Myeloma IX</w:t>
      </w:r>
      <w:r w:rsidR="00153CEB" w:rsidRPr="00B6133E">
        <w:rPr>
          <w:rFonts w:ascii="Times New Roman" w:hAnsi="Times New Roman" w:cs="Times New Roman"/>
          <w:lang w:val="en-US"/>
        </w:rPr>
        <w:t>)</w:t>
      </w:r>
      <w:r w:rsidR="00A27808" w:rsidRPr="00B6133E">
        <w:rPr>
          <w:rFonts w:ascii="Times New Roman" w:hAnsi="Times New Roman" w:cs="Times New Roman"/>
          <w:lang w:val="en-US"/>
        </w:rPr>
        <w:t xml:space="preserve"> with the </w:t>
      </w:r>
      <w:r w:rsidR="006621A0" w:rsidRPr="00B6133E">
        <w:rPr>
          <w:rFonts w:ascii="Times New Roman" w:hAnsi="Times New Roman" w:cs="Times New Roman"/>
          <w:lang w:val="en-US"/>
        </w:rPr>
        <w:t>HG-</w:t>
      </w:r>
      <w:r w:rsidR="00A27808" w:rsidRPr="00B6133E">
        <w:rPr>
          <w:rFonts w:ascii="Times New Roman" w:hAnsi="Times New Roman" w:cs="Times New Roman"/>
          <w:lang w:val="en-US"/>
        </w:rPr>
        <w:t>U133</w:t>
      </w:r>
      <w:r w:rsidR="006621A0" w:rsidRPr="00B6133E">
        <w:rPr>
          <w:rFonts w:ascii="Times New Roman" w:hAnsi="Times New Roman" w:cs="Times New Roman"/>
          <w:lang w:val="en-US"/>
        </w:rPr>
        <w:t>-</w:t>
      </w:r>
      <w:r w:rsidR="00A27808" w:rsidRPr="00B6133E">
        <w:rPr>
          <w:rFonts w:ascii="Times New Roman" w:hAnsi="Times New Roman" w:cs="Times New Roman"/>
          <w:lang w:val="en-US"/>
        </w:rPr>
        <w:t>2.0 microarray data available,</w:t>
      </w:r>
      <w:r w:rsidRPr="00B6133E">
        <w:rPr>
          <w:rFonts w:ascii="Times New Roman" w:hAnsi="Times New Roman" w:cs="Times New Roman"/>
          <w:lang w:val="en-US"/>
        </w:rPr>
        <w:t xml:space="preserve"> documenting that</w:t>
      </w:r>
      <w:r w:rsidR="008D07CD" w:rsidRPr="00B6133E">
        <w:rPr>
          <w:rFonts w:ascii="Times New Roman" w:hAnsi="Times New Roman" w:cs="Times New Roman"/>
          <w:lang w:val="en-US"/>
        </w:rPr>
        <w:t xml:space="preserve"> </w:t>
      </w:r>
      <w:r w:rsidR="008B20CF" w:rsidRPr="00B6133E">
        <w:rPr>
          <w:rFonts w:ascii="Times New Roman" w:hAnsi="Times New Roman" w:cs="Times New Roman"/>
          <w:lang w:val="en-US"/>
        </w:rPr>
        <w:t xml:space="preserve">the assigned </w:t>
      </w:r>
      <w:r w:rsidR="008D07CD" w:rsidRPr="00B6133E">
        <w:rPr>
          <w:rFonts w:ascii="Times New Roman" w:hAnsi="Times New Roman" w:cs="Times New Roman"/>
          <w:lang w:val="en-US"/>
        </w:rPr>
        <w:t>BAGS subtypes</w:t>
      </w:r>
      <w:r w:rsidRPr="00B6133E">
        <w:rPr>
          <w:rFonts w:ascii="Times New Roman" w:hAnsi="Times New Roman" w:cs="Times New Roman"/>
          <w:lang w:val="en-US"/>
        </w:rPr>
        <w:t xml:space="preserve"> were</w:t>
      </w:r>
      <w:r w:rsidR="008D07CD" w:rsidRPr="00B6133E">
        <w:rPr>
          <w:rFonts w:ascii="Times New Roman" w:hAnsi="Times New Roman" w:cs="Times New Roman"/>
          <w:lang w:val="en-US"/>
        </w:rPr>
        <w:t xml:space="preserve"> significantly associated with </w:t>
      </w:r>
      <w:r w:rsidR="008B20CF" w:rsidRPr="00B6133E">
        <w:rPr>
          <w:rFonts w:ascii="Times New Roman" w:hAnsi="Times New Roman" w:cs="Times New Roman"/>
          <w:lang w:val="en-US"/>
        </w:rPr>
        <w:t>progression</w:t>
      </w:r>
      <w:r w:rsidR="00153CEB" w:rsidRPr="00B6133E">
        <w:rPr>
          <w:rFonts w:ascii="Times New Roman" w:hAnsi="Times New Roman" w:cs="Times New Roman"/>
          <w:lang w:val="en-US"/>
        </w:rPr>
        <w:t>-</w:t>
      </w:r>
      <w:r w:rsidR="008D07CD" w:rsidRPr="00B6133E">
        <w:rPr>
          <w:rFonts w:ascii="Times New Roman" w:hAnsi="Times New Roman" w:cs="Times New Roman"/>
          <w:lang w:val="en-US"/>
        </w:rPr>
        <w:t>free</w:t>
      </w:r>
      <w:r w:rsidR="00650C74" w:rsidRPr="00B6133E">
        <w:rPr>
          <w:rFonts w:ascii="Times New Roman" w:hAnsi="Times New Roman" w:cs="Times New Roman"/>
          <w:lang w:val="en-US"/>
        </w:rPr>
        <w:t xml:space="preserve"> (PFS)</w:t>
      </w:r>
      <w:r w:rsidR="008D07CD" w:rsidRPr="00B6133E">
        <w:rPr>
          <w:rFonts w:ascii="Times New Roman" w:hAnsi="Times New Roman" w:cs="Times New Roman"/>
          <w:lang w:val="en-US"/>
        </w:rPr>
        <w:t xml:space="preserve"> </w:t>
      </w:r>
      <w:r w:rsidR="008B20CF" w:rsidRPr="00B6133E">
        <w:rPr>
          <w:rFonts w:ascii="Times New Roman" w:hAnsi="Times New Roman" w:cs="Times New Roman"/>
          <w:lang w:val="en-US"/>
        </w:rPr>
        <w:t xml:space="preserve">and overall </w:t>
      </w:r>
      <w:r w:rsidR="008D07CD" w:rsidRPr="00B6133E">
        <w:rPr>
          <w:rFonts w:ascii="Times New Roman" w:hAnsi="Times New Roman" w:cs="Times New Roman"/>
          <w:lang w:val="en-US"/>
        </w:rPr>
        <w:t>survival</w:t>
      </w:r>
      <w:r w:rsidR="008B20CF" w:rsidRPr="00B6133E">
        <w:rPr>
          <w:rFonts w:ascii="Times New Roman" w:hAnsi="Times New Roman" w:cs="Times New Roman"/>
          <w:lang w:val="en-US"/>
        </w:rPr>
        <w:t xml:space="preserve"> (OS)</w:t>
      </w:r>
      <w:r w:rsidR="008D07CD" w:rsidRPr="00B6133E">
        <w:rPr>
          <w:rFonts w:ascii="Times New Roman" w:hAnsi="Times New Roman" w:cs="Times New Roman"/>
          <w:lang w:val="en-US"/>
        </w:rPr>
        <w:t xml:space="preserve"> (</w:t>
      </w:r>
      <w:r w:rsidR="008D07CD" w:rsidRPr="00B6133E">
        <w:rPr>
          <w:rFonts w:ascii="Times New Roman" w:hAnsi="Times New Roman" w:cs="Times New Roman"/>
          <w:sz w:val="22"/>
          <w:szCs w:val="22"/>
          <w:lang w:val="en-US"/>
        </w:rPr>
        <w:t xml:space="preserve">PFS, </w:t>
      </w:r>
      <w:r w:rsidR="00604510" w:rsidRPr="00B6133E">
        <w:rPr>
          <w:rFonts w:ascii="Times New Roman" w:hAnsi="Times New Roman" w:cs="Times New Roman"/>
          <w:sz w:val="22"/>
          <w:szCs w:val="22"/>
          <w:lang w:val="en-US"/>
        </w:rPr>
        <w:t xml:space="preserve">log-rank test, </w:t>
      </w:r>
      <w:r w:rsidR="008D07CD" w:rsidRPr="00B6133E">
        <w:rPr>
          <w:rFonts w:ascii="Times New Roman" w:hAnsi="Times New Roman" w:cs="Times New Roman"/>
          <w:sz w:val="22"/>
          <w:szCs w:val="22"/>
          <w:lang w:val="en-US"/>
        </w:rPr>
        <w:t>P</w:t>
      </w:r>
      <w:r w:rsidR="003F7E70" w:rsidRPr="00B6133E">
        <w:rPr>
          <w:rFonts w:ascii="Times New Roman" w:hAnsi="Times New Roman" w:cs="Times New Roman"/>
          <w:sz w:val="22"/>
          <w:szCs w:val="22"/>
          <w:lang w:val="en-US"/>
        </w:rPr>
        <w:t xml:space="preserve"> </w:t>
      </w:r>
      <w:r w:rsidR="00D60CD8" w:rsidRPr="00B6133E">
        <w:rPr>
          <w:rFonts w:ascii="Times New Roman" w:hAnsi="Times New Roman" w:cs="Times New Roman"/>
          <w:color w:val="000000"/>
          <w:sz w:val="22"/>
          <w:szCs w:val="22"/>
          <w:lang w:val="en-US"/>
        </w:rPr>
        <w:t xml:space="preserve">&lt; </w:t>
      </w:r>
      <w:r w:rsidR="00604510" w:rsidRPr="00B6133E">
        <w:rPr>
          <w:rFonts w:ascii="Times New Roman" w:hAnsi="Times New Roman" w:cs="Times New Roman"/>
          <w:color w:val="000000"/>
          <w:sz w:val="22"/>
          <w:szCs w:val="22"/>
          <w:lang w:val="en-US"/>
        </w:rPr>
        <w:t xml:space="preserve"> </w:t>
      </w:r>
      <w:r w:rsidR="00D60CD8" w:rsidRPr="00B6133E">
        <w:rPr>
          <w:rFonts w:ascii="Times New Roman" w:hAnsi="Times New Roman" w:cs="Times New Roman"/>
          <w:color w:val="000000"/>
          <w:sz w:val="22"/>
          <w:szCs w:val="22"/>
          <w:lang w:val="en-US"/>
        </w:rPr>
        <w:t>0.001</w:t>
      </w:r>
      <w:r w:rsidR="00153CEB" w:rsidRPr="00B6133E">
        <w:rPr>
          <w:rFonts w:ascii="Times New Roman" w:hAnsi="Times New Roman" w:cs="Times New Roman"/>
          <w:sz w:val="22"/>
          <w:szCs w:val="22"/>
          <w:lang w:val="en-US"/>
        </w:rPr>
        <w:t>;</w:t>
      </w:r>
      <w:r w:rsidR="00FA6118" w:rsidRPr="00B6133E">
        <w:rPr>
          <w:rFonts w:ascii="Times New Roman" w:hAnsi="Times New Roman" w:cs="Times New Roman"/>
          <w:sz w:val="22"/>
          <w:szCs w:val="22"/>
          <w:lang w:val="en-US"/>
        </w:rPr>
        <w:t xml:space="preserve"> OS, </w:t>
      </w:r>
      <w:r w:rsidR="00604510" w:rsidRPr="00B6133E">
        <w:rPr>
          <w:rFonts w:ascii="Times New Roman" w:hAnsi="Times New Roman" w:cs="Times New Roman"/>
          <w:sz w:val="22"/>
          <w:szCs w:val="22"/>
          <w:lang w:val="en-US"/>
        </w:rPr>
        <w:t xml:space="preserve">log-rank test </w:t>
      </w:r>
      <w:r w:rsidR="00FA6118" w:rsidRPr="00B6133E">
        <w:rPr>
          <w:rFonts w:ascii="Times New Roman" w:hAnsi="Times New Roman" w:cs="Times New Roman"/>
          <w:sz w:val="22"/>
          <w:szCs w:val="22"/>
          <w:lang w:val="en-US"/>
        </w:rPr>
        <w:t>P</w:t>
      </w:r>
      <w:r w:rsidR="003F7E70" w:rsidRPr="00B6133E">
        <w:rPr>
          <w:rFonts w:ascii="Times New Roman" w:hAnsi="Times New Roman" w:cs="Times New Roman"/>
          <w:sz w:val="22"/>
          <w:szCs w:val="22"/>
          <w:lang w:val="en-US"/>
        </w:rPr>
        <w:t xml:space="preserve"> </w:t>
      </w:r>
      <w:r w:rsidR="00D60CD8" w:rsidRPr="00B6133E">
        <w:rPr>
          <w:rFonts w:ascii="Times New Roman" w:hAnsi="Times New Roman" w:cs="Times New Roman"/>
          <w:color w:val="000000"/>
          <w:sz w:val="22"/>
          <w:szCs w:val="22"/>
          <w:lang w:val="en-US"/>
        </w:rPr>
        <w:t xml:space="preserve">&lt; </w:t>
      </w:r>
      <w:r w:rsidR="00604510" w:rsidRPr="00B6133E">
        <w:rPr>
          <w:rFonts w:ascii="Times New Roman" w:hAnsi="Times New Roman" w:cs="Times New Roman"/>
          <w:color w:val="000000"/>
          <w:sz w:val="22"/>
          <w:szCs w:val="22"/>
          <w:lang w:val="en-US"/>
        </w:rPr>
        <w:t xml:space="preserve"> </w:t>
      </w:r>
      <w:r w:rsidR="00D60CD8" w:rsidRPr="00B6133E">
        <w:rPr>
          <w:rFonts w:ascii="Times New Roman" w:hAnsi="Times New Roman" w:cs="Times New Roman"/>
          <w:color w:val="000000"/>
          <w:sz w:val="22"/>
          <w:szCs w:val="22"/>
          <w:lang w:val="en-US"/>
        </w:rPr>
        <w:t>0.001</w:t>
      </w:r>
      <w:r w:rsidR="008D07CD" w:rsidRPr="00B6133E">
        <w:rPr>
          <w:rFonts w:ascii="Times New Roman" w:hAnsi="Times New Roman" w:cs="Times New Roman"/>
          <w:lang w:val="en-US"/>
        </w:rPr>
        <w:t>)</w:t>
      </w:r>
      <w:r w:rsidR="0058132A" w:rsidRPr="00B6133E">
        <w:rPr>
          <w:rFonts w:ascii="Times New Roman" w:hAnsi="Times New Roman" w:cs="Times New Roman"/>
          <w:lang w:val="en-US"/>
        </w:rPr>
        <w:t>.</w:t>
      </w:r>
      <w:r w:rsidR="00A27808" w:rsidRPr="00B6133E">
        <w:rPr>
          <w:rFonts w:ascii="Times New Roman" w:hAnsi="Times New Roman" w:cs="Times New Roman"/>
          <w:lang w:val="en-US"/>
        </w:rPr>
        <w:t xml:space="preserve"> </w:t>
      </w:r>
      <w:r w:rsidR="00914566" w:rsidRPr="00B6133E">
        <w:rPr>
          <w:rFonts w:ascii="Times New Roman" w:hAnsi="Times New Roman" w:cs="Times New Roman"/>
          <w:lang w:val="en-US"/>
        </w:rPr>
        <w:t>M</w:t>
      </w:r>
      <w:r w:rsidR="0058132A" w:rsidRPr="00B6133E">
        <w:rPr>
          <w:rFonts w:ascii="Times New Roman" w:hAnsi="Times New Roman" w:cs="Times New Roman"/>
          <w:lang w:val="en-US"/>
        </w:rPr>
        <w:t xml:space="preserve">ajor impact was observed within </w:t>
      </w:r>
      <w:r w:rsidR="00FA6118" w:rsidRPr="00B6133E">
        <w:rPr>
          <w:rFonts w:ascii="Times New Roman" w:hAnsi="Times New Roman" w:cs="Times New Roman"/>
          <w:lang w:val="en-US"/>
        </w:rPr>
        <w:t xml:space="preserve">patient cohorts with </w:t>
      </w:r>
      <w:r w:rsidR="0058132A" w:rsidRPr="00B6133E">
        <w:rPr>
          <w:rFonts w:ascii="Times New Roman" w:hAnsi="Times New Roman" w:cs="Times New Roman"/>
          <w:lang w:val="en-US"/>
        </w:rPr>
        <w:t xml:space="preserve">the </w:t>
      </w:r>
      <w:proofErr w:type="spellStart"/>
      <w:r w:rsidR="0058132A" w:rsidRPr="00B6133E">
        <w:rPr>
          <w:rFonts w:ascii="Times New Roman" w:hAnsi="Times New Roman" w:cs="Times New Roman"/>
          <w:lang w:val="en-US"/>
        </w:rPr>
        <w:t>PreBII</w:t>
      </w:r>
      <w:proofErr w:type="spellEnd"/>
      <w:r w:rsidR="0058132A" w:rsidRPr="00B6133E">
        <w:rPr>
          <w:rFonts w:ascii="Times New Roman" w:hAnsi="Times New Roman" w:cs="Times New Roman"/>
          <w:lang w:val="en-US"/>
        </w:rPr>
        <w:t xml:space="preserve"> and M subtypes</w:t>
      </w:r>
      <w:r w:rsidR="00FE797E" w:rsidRPr="00B6133E">
        <w:rPr>
          <w:rFonts w:ascii="Times New Roman" w:hAnsi="Times New Roman" w:cs="Times New Roman"/>
          <w:lang w:val="en-US"/>
        </w:rPr>
        <w:t>,</w:t>
      </w:r>
      <w:r w:rsidR="0058132A" w:rsidRPr="00B6133E">
        <w:rPr>
          <w:rFonts w:ascii="Times New Roman" w:hAnsi="Times New Roman" w:cs="Times New Roman"/>
          <w:lang w:val="en-US"/>
        </w:rPr>
        <w:t xml:space="preserve"> </w:t>
      </w:r>
      <w:r w:rsidR="00FE797E" w:rsidRPr="00B6133E">
        <w:rPr>
          <w:rFonts w:ascii="Times New Roman" w:hAnsi="Times New Roman" w:cs="Times New Roman"/>
          <w:lang w:val="en-US"/>
        </w:rPr>
        <w:t xml:space="preserve">which had a </w:t>
      </w:r>
      <w:r w:rsidR="0058132A" w:rsidRPr="00B6133E">
        <w:rPr>
          <w:rFonts w:ascii="Times New Roman" w:hAnsi="Times New Roman" w:cs="Times New Roman"/>
          <w:lang w:val="en-US"/>
        </w:rPr>
        <w:t>significant</w:t>
      </w:r>
      <w:r w:rsidR="00FE797E" w:rsidRPr="00B6133E">
        <w:rPr>
          <w:rFonts w:ascii="Times New Roman" w:hAnsi="Times New Roman" w:cs="Times New Roman"/>
          <w:lang w:val="en-US"/>
        </w:rPr>
        <w:t>ly</w:t>
      </w:r>
      <w:r w:rsidR="0058132A" w:rsidRPr="00B6133E">
        <w:rPr>
          <w:rFonts w:ascii="Times New Roman" w:hAnsi="Times New Roman" w:cs="Times New Roman"/>
          <w:lang w:val="en-US"/>
        </w:rPr>
        <w:t xml:space="preserve"> inferior prognosis compared to the </w:t>
      </w:r>
      <w:r w:rsidR="00FA6118" w:rsidRPr="00B6133E">
        <w:rPr>
          <w:rFonts w:ascii="Times New Roman" w:hAnsi="Times New Roman" w:cs="Times New Roman"/>
          <w:lang w:val="en-US"/>
        </w:rPr>
        <w:t xml:space="preserve">patients with </w:t>
      </w:r>
      <w:proofErr w:type="spellStart"/>
      <w:r w:rsidR="0058132A" w:rsidRPr="00B6133E">
        <w:rPr>
          <w:rFonts w:ascii="Times New Roman" w:hAnsi="Times New Roman" w:cs="Times New Roman"/>
          <w:lang w:val="en-US"/>
        </w:rPr>
        <w:t>Im</w:t>
      </w:r>
      <w:proofErr w:type="spellEnd"/>
      <w:r w:rsidR="0058132A" w:rsidRPr="00B6133E">
        <w:rPr>
          <w:rFonts w:ascii="Times New Roman" w:hAnsi="Times New Roman" w:cs="Times New Roman"/>
          <w:lang w:val="en-US"/>
        </w:rPr>
        <w:t>, N</w:t>
      </w:r>
      <w:r w:rsidR="00563D5F" w:rsidRPr="00B6133E">
        <w:rPr>
          <w:rFonts w:ascii="Times New Roman" w:hAnsi="Times New Roman" w:cs="Times New Roman"/>
          <w:lang w:val="en-US"/>
        </w:rPr>
        <w:t xml:space="preserve">, </w:t>
      </w:r>
      <w:r w:rsidR="0058132A" w:rsidRPr="00B6133E">
        <w:rPr>
          <w:rFonts w:ascii="Times New Roman" w:hAnsi="Times New Roman" w:cs="Times New Roman"/>
          <w:lang w:val="en-US"/>
        </w:rPr>
        <w:t>and PC subtypes.</w:t>
      </w:r>
    </w:p>
    <w:p w14:paraId="4090D6BC" w14:textId="303E7BAD" w:rsidR="006F10EE" w:rsidRPr="00B6133E" w:rsidRDefault="006F10EE" w:rsidP="00390150">
      <w:pPr>
        <w:pStyle w:val="Brdtekst"/>
        <w:spacing w:before="0" w:after="0" w:line="480" w:lineRule="auto"/>
        <w:ind w:firstLine="540"/>
        <w:rPr>
          <w:rFonts w:ascii="Times New Roman" w:hAnsi="Times New Roman"/>
          <w:lang w:val="en-US"/>
        </w:rPr>
      </w:pPr>
      <w:r w:rsidRPr="00B6133E">
        <w:rPr>
          <w:rFonts w:ascii="Times New Roman" w:hAnsi="Times New Roman"/>
          <w:lang w:val="en-US"/>
        </w:rPr>
        <w:t>The robustness of the BAGS association with outcome was successfully evaluated for a wide range of probability cut-offs for the percentage of unclassified</w:t>
      </w:r>
      <w:r w:rsidR="00ED6253" w:rsidRPr="00B6133E">
        <w:rPr>
          <w:rFonts w:ascii="Times New Roman" w:hAnsi="Times New Roman"/>
          <w:lang w:val="en-US"/>
        </w:rPr>
        <w:t xml:space="preserve"> cases</w:t>
      </w:r>
      <w:r w:rsidRPr="00B6133E">
        <w:rPr>
          <w:rFonts w:ascii="Times New Roman" w:hAnsi="Times New Roman"/>
          <w:lang w:val="en-US"/>
        </w:rPr>
        <w:t xml:space="preserve"> (</w:t>
      </w:r>
      <w:r w:rsidR="00AC6CC8" w:rsidRPr="00B6133E">
        <w:rPr>
          <w:rFonts w:ascii="Times New Roman" w:hAnsi="Times New Roman"/>
          <w:lang w:val="en-US"/>
        </w:rPr>
        <w:t>S</w:t>
      </w:r>
      <w:r w:rsidR="00CC4BF0" w:rsidRPr="00B6133E">
        <w:rPr>
          <w:rFonts w:ascii="Times New Roman" w:hAnsi="Times New Roman"/>
          <w:lang w:val="en-US"/>
        </w:rPr>
        <w:t>upplementary t</w:t>
      </w:r>
      <w:r w:rsidR="005E612C" w:rsidRPr="00B6133E">
        <w:rPr>
          <w:rFonts w:ascii="Times New Roman" w:hAnsi="Times New Roman"/>
          <w:lang w:val="en-US"/>
        </w:rPr>
        <w:t>ext</w:t>
      </w:r>
      <w:r w:rsidR="00AC6CC8" w:rsidRPr="00B6133E">
        <w:rPr>
          <w:rFonts w:ascii="Times New Roman" w:hAnsi="Times New Roman"/>
          <w:lang w:val="en-US"/>
        </w:rPr>
        <w:t xml:space="preserve"> 2</w:t>
      </w:r>
      <w:r w:rsidRPr="00B6133E">
        <w:rPr>
          <w:rFonts w:ascii="Times New Roman" w:hAnsi="Times New Roman"/>
          <w:lang w:val="en-US"/>
        </w:rPr>
        <w:t>,</w:t>
      </w:r>
      <w:r w:rsidRPr="00B6133E">
        <w:rPr>
          <w:rFonts w:ascii="Times New Roman" w:hAnsi="Times New Roman"/>
          <w:b/>
          <w:lang w:val="en-US"/>
        </w:rPr>
        <w:t xml:space="preserve"> Section </w:t>
      </w:r>
      <w:r w:rsidR="00447C2D" w:rsidRPr="00B6133E">
        <w:rPr>
          <w:rFonts w:ascii="Times New Roman" w:hAnsi="Times New Roman"/>
          <w:b/>
          <w:lang w:val="en-US"/>
        </w:rPr>
        <w:t>11.1</w:t>
      </w:r>
      <w:r w:rsidRPr="00B6133E">
        <w:rPr>
          <w:rFonts w:ascii="Times New Roman" w:hAnsi="Times New Roman"/>
          <w:lang w:val="en-US"/>
        </w:rPr>
        <w:t>). The BAGS</w:t>
      </w:r>
      <w:r w:rsidR="00BC5388" w:rsidRPr="00B6133E">
        <w:rPr>
          <w:rFonts w:ascii="Times New Roman" w:hAnsi="Times New Roman"/>
          <w:lang w:val="en-US"/>
        </w:rPr>
        <w:t>-</w:t>
      </w:r>
      <w:r w:rsidRPr="00B6133E">
        <w:rPr>
          <w:rFonts w:ascii="Times New Roman" w:hAnsi="Times New Roman"/>
          <w:lang w:val="en-US"/>
        </w:rPr>
        <w:t xml:space="preserve">assigned MM subtypes in the individual </w:t>
      </w:r>
      <w:r w:rsidR="00584104" w:rsidRPr="00B6133E">
        <w:rPr>
          <w:rFonts w:ascii="Times New Roman" w:hAnsi="Times New Roman"/>
          <w:lang w:val="en-US"/>
        </w:rPr>
        <w:t xml:space="preserve">prospective </w:t>
      </w:r>
      <w:r w:rsidR="00C61BB5" w:rsidRPr="00B6133E">
        <w:rPr>
          <w:rFonts w:ascii="Times New Roman" w:hAnsi="Times New Roman"/>
          <w:lang w:val="en-US"/>
        </w:rPr>
        <w:t xml:space="preserve">clinical trial </w:t>
      </w:r>
      <w:r w:rsidRPr="00B6133E">
        <w:rPr>
          <w:rFonts w:ascii="Times New Roman" w:hAnsi="Times New Roman"/>
          <w:lang w:val="en-US"/>
        </w:rPr>
        <w:t>data sets UAMS/TT2&amp;3, HOVON/GMMG-HD4</w:t>
      </w:r>
      <w:r w:rsidR="00BC5388" w:rsidRPr="00B6133E">
        <w:rPr>
          <w:rFonts w:ascii="Times New Roman" w:hAnsi="Times New Roman"/>
          <w:lang w:val="en-US"/>
        </w:rPr>
        <w:t>,</w:t>
      </w:r>
      <w:r w:rsidRPr="00B6133E">
        <w:rPr>
          <w:rFonts w:ascii="Times New Roman" w:hAnsi="Times New Roman"/>
          <w:lang w:val="en-US"/>
        </w:rPr>
        <w:t xml:space="preserve"> and MRCIX</w:t>
      </w:r>
      <w:r w:rsidR="00C61BB5" w:rsidRPr="00B6133E">
        <w:rPr>
          <w:rFonts w:ascii="Times New Roman" w:hAnsi="Times New Roman"/>
          <w:lang w:val="en-US"/>
        </w:rPr>
        <w:t>, all including HDM and a variety of new drugs</w:t>
      </w:r>
      <w:r w:rsidR="00463E3F" w:rsidRPr="00B6133E">
        <w:rPr>
          <w:rFonts w:ascii="Times New Roman" w:hAnsi="Times New Roman"/>
          <w:lang w:val="en-US"/>
        </w:rPr>
        <w:t>,</w:t>
      </w:r>
      <w:r w:rsidRPr="00B6133E">
        <w:rPr>
          <w:rFonts w:ascii="Times New Roman" w:hAnsi="Times New Roman"/>
          <w:lang w:val="en-US"/>
        </w:rPr>
        <w:t xml:space="preserve"> </w:t>
      </w:r>
      <w:r w:rsidRPr="00B6133E">
        <w:rPr>
          <w:rFonts w:ascii="Times New Roman" w:hAnsi="Times New Roman"/>
          <w:lang w:val="en-US"/>
        </w:rPr>
        <w:lastRenderedPageBreak/>
        <w:t xml:space="preserve">were </w:t>
      </w:r>
      <w:r w:rsidR="00C61BB5" w:rsidRPr="00B6133E">
        <w:rPr>
          <w:rFonts w:ascii="Times New Roman" w:hAnsi="Times New Roman"/>
          <w:lang w:val="en-US"/>
        </w:rPr>
        <w:t xml:space="preserve">also separately </w:t>
      </w:r>
      <w:r w:rsidRPr="00B6133E">
        <w:rPr>
          <w:rFonts w:ascii="Times New Roman" w:hAnsi="Times New Roman"/>
          <w:lang w:val="en-US"/>
        </w:rPr>
        <w:t>analyzed for outcome following</w:t>
      </w:r>
      <w:r w:rsidR="00BC5388" w:rsidRPr="00B6133E">
        <w:rPr>
          <w:rFonts w:ascii="Times New Roman" w:hAnsi="Times New Roman"/>
          <w:lang w:val="en-US"/>
        </w:rPr>
        <w:t xml:space="preserve"> </w:t>
      </w:r>
      <w:r w:rsidR="00463E3F" w:rsidRPr="00B6133E">
        <w:rPr>
          <w:rFonts w:ascii="Times New Roman" w:hAnsi="Times New Roman"/>
          <w:lang w:val="en-US"/>
        </w:rPr>
        <w:t xml:space="preserve">treatment </w:t>
      </w:r>
      <w:r w:rsidR="00BC5388" w:rsidRPr="00B6133E">
        <w:rPr>
          <w:rFonts w:ascii="Times New Roman" w:hAnsi="Times New Roman"/>
          <w:lang w:val="en-US"/>
        </w:rPr>
        <w:t>as</w:t>
      </w:r>
      <w:r w:rsidRPr="00B6133E">
        <w:rPr>
          <w:rFonts w:ascii="Times New Roman" w:hAnsi="Times New Roman"/>
          <w:lang w:val="en-US"/>
        </w:rPr>
        <w:t xml:space="preserve"> illustrated in </w:t>
      </w:r>
      <w:r w:rsidRPr="00B6133E">
        <w:rPr>
          <w:rFonts w:ascii="Times New Roman" w:hAnsi="Times New Roman"/>
          <w:b/>
          <w:lang w:val="en-US"/>
        </w:rPr>
        <w:t>Figure S</w:t>
      </w:r>
      <w:r w:rsidR="006D00DE" w:rsidRPr="00B6133E">
        <w:rPr>
          <w:rFonts w:ascii="Times New Roman" w:hAnsi="Times New Roman"/>
          <w:b/>
          <w:lang w:val="en-US"/>
        </w:rPr>
        <w:t>4</w:t>
      </w:r>
      <w:r w:rsidR="00463E3F" w:rsidRPr="00B6133E">
        <w:rPr>
          <w:rFonts w:ascii="Times New Roman" w:hAnsi="Times New Roman"/>
          <w:lang w:val="en-US"/>
        </w:rPr>
        <w:t xml:space="preserve">. Results from the individual datasets were in </w:t>
      </w:r>
      <w:r w:rsidRPr="00B6133E">
        <w:rPr>
          <w:rFonts w:ascii="Times New Roman" w:hAnsi="Times New Roman"/>
          <w:lang w:val="en-US"/>
        </w:rPr>
        <w:t xml:space="preserve">accordance with the </w:t>
      </w:r>
      <w:r w:rsidR="00D11E90" w:rsidRPr="00B6133E">
        <w:rPr>
          <w:rFonts w:ascii="Times New Roman" w:hAnsi="Times New Roman"/>
          <w:lang w:val="en-US"/>
        </w:rPr>
        <w:t xml:space="preserve">above described </w:t>
      </w:r>
      <w:r w:rsidRPr="00B6133E">
        <w:rPr>
          <w:rFonts w:ascii="Times New Roman" w:hAnsi="Times New Roman"/>
          <w:lang w:val="en-US"/>
        </w:rPr>
        <w:t xml:space="preserve">meta-analysis illustrated in </w:t>
      </w:r>
      <w:r w:rsidRPr="00B6133E">
        <w:rPr>
          <w:rFonts w:ascii="Times New Roman" w:hAnsi="Times New Roman"/>
          <w:b/>
          <w:lang w:val="en-US"/>
        </w:rPr>
        <w:t>Figure 2</w:t>
      </w:r>
      <w:r w:rsidRPr="00B6133E">
        <w:rPr>
          <w:rFonts w:ascii="Times New Roman" w:hAnsi="Times New Roman"/>
          <w:lang w:val="en-US"/>
        </w:rPr>
        <w:t xml:space="preserve">. </w:t>
      </w:r>
    </w:p>
    <w:p w14:paraId="5ACC964A" w14:textId="0FDDF15A" w:rsidR="005C377E" w:rsidRPr="00B6133E" w:rsidRDefault="0058132A" w:rsidP="00B22E77">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Cox proporti</w:t>
      </w:r>
      <w:r w:rsidR="00B750FD" w:rsidRPr="00B6133E">
        <w:rPr>
          <w:rFonts w:ascii="Times New Roman" w:hAnsi="Times New Roman" w:cs="Times New Roman"/>
          <w:lang w:val="en-US"/>
        </w:rPr>
        <w:t xml:space="preserve">onal hazard meta-analysis </w:t>
      </w:r>
      <w:r w:rsidR="00926B7C" w:rsidRPr="00B6133E">
        <w:rPr>
          <w:rFonts w:ascii="Times New Roman" w:hAnsi="Times New Roman" w:cs="Times New Roman"/>
          <w:lang w:val="en-US"/>
        </w:rPr>
        <w:t>results</w:t>
      </w:r>
      <w:r w:rsidR="00473708" w:rsidRPr="00B6133E">
        <w:rPr>
          <w:rFonts w:ascii="Times New Roman" w:hAnsi="Times New Roman" w:cs="Times New Roman"/>
          <w:lang w:val="en-US"/>
        </w:rPr>
        <w:t>,</w:t>
      </w:r>
      <w:r w:rsidR="00B750FD" w:rsidRPr="00B6133E">
        <w:rPr>
          <w:rFonts w:ascii="Times New Roman" w:hAnsi="Times New Roman" w:cs="Times New Roman"/>
          <w:lang w:val="en-US"/>
        </w:rPr>
        <w:t xml:space="preserve"> </w:t>
      </w:r>
      <w:r w:rsidR="00761BBF" w:rsidRPr="00B6133E">
        <w:rPr>
          <w:rFonts w:ascii="Times New Roman" w:hAnsi="Times New Roman" w:cs="Times New Roman"/>
          <w:lang w:val="en-US"/>
        </w:rPr>
        <w:t xml:space="preserve">as </w:t>
      </w:r>
      <w:r w:rsidR="00B750FD" w:rsidRPr="00B6133E">
        <w:rPr>
          <w:rFonts w:ascii="Times New Roman" w:hAnsi="Times New Roman" w:cs="Times New Roman"/>
          <w:lang w:val="en-US"/>
        </w:rPr>
        <w:t xml:space="preserve">shown in </w:t>
      </w:r>
      <w:r w:rsidR="00B750FD" w:rsidRPr="00B6133E">
        <w:rPr>
          <w:rFonts w:ascii="Times New Roman" w:hAnsi="Times New Roman" w:cs="Times New Roman"/>
          <w:b/>
          <w:lang w:val="en-US"/>
        </w:rPr>
        <w:t>Table 2</w:t>
      </w:r>
      <w:r w:rsidR="00892347" w:rsidRPr="00B6133E">
        <w:rPr>
          <w:rFonts w:ascii="Times New Roman" w:hAnsi="Times New Roman" w:cs="Times New Roman"/>
          <w:lang w:val="en-US"/>
        </w:rPr>
        <w:t xml:space="preserve"> and </w:t>
      </w:r>
      <w:proofErr w:type="spellStart"/>
      <w:r w:rsidR="00892347" w:rsidRPr="00B6133E">
        <w:rPr>
          <w:rFonts w:ascii="Times New Roman" w:hAnsi="Times New Roman" w:cs="Times New Roman"/>
          <w:lang w:val="en-US"/>
        </w:rPr>
        <w:t>Harell’s</w:t>
      </w:r>
      <w:proofErr w:type="spellEnd"/>
      <w:r w:rsidR="00892347" w:rsidRPr="00B6133E">
        <w:rPr>
          <w:rFonts w:ascii="Times New Roman" w:hAnsi="Times New Roman" w:cs="Times New Roman"/>
          <w:lang w:val="en-US"/>
        </w:rPr>
        <w:t xml:space="preserve"> C-statistic</w:t>
      </w:r>
      <w:r w:rsidR="00761BBF" w:rsidRPr="00B6133E">
        <w:rPr>
          <w:rFonts w:ascii="Times New Roman" w:hAnsi="Times New Roman" w:cs="Times New Roman"/>
          <w:lang w:val="en-US"/>
        </w:rPr>
        <w:t>,</w:t>
      </w:r>
      <w:r w:rsidR="00892347" w:rsidRPr="00B6133E">
        <w:rPr>
          <w:rFonts w:ascii="Times New Roman" w:hAnsi="Times New Roman" w:cs="Times New Roman"/>
          <w:lang w:val="en-US"/>
        </w:rPr>
        <w:t xml:space="preserve"> </w:t>
      </w:r>
      <w:r w:rsidR="00463E3F" w:rsidRPr="00B6133E">
        <w:rPr>
          <w:rFonts w:ascii="Times New Roman" w:hAnsi="Times New Roman" w:cs="Times New Roman"/>
          <w:lang w:val="en-US"/>
        </w:rPr>
        <w:t xml:space="preserve">giving the concordance between observed survival and </w:t>
      </w:r>
      <w:r w:rsidR="00892347" w:rsidRPr="00B6133E">
        <w:rPr>
          <w:rFonts w:ascii="Times New Roman" w:hAnsi="Times New Roman" w:cs="Times New Roman"/>
          <w:lang w:val="en-US"/>
        </w:rPr>
        <w:t xml:space="preserve">predicted </w:t>
      </w:r>
      <w:r w:rsidR="00463E3F" w:rsidRPr="00B6133E">
        <w:rPr>
          <w:rFonts w:ascii="Times New Roman" w:hAnsi="Times New Roman" w:cs="Times New Roman"/>
          <w:lang w:val="en-US"/>
        </w:rPr>
        <w:t xml:space="preserve">risk scores </w:t>
      </w:r>
      <w:r w:rsidR="00473708" w:rsidRPr="00B6133E">
        <w:rPr>
          <w:rFonts w:ascii="Times New Roman" w:hAnsi="Times New Roman" w:cs="Times New Roman"/>
          <w:lang w:val="en-US"/>
        </w:rPr>
        <w:t xml:space="preserve">from the </w:t>
      </w:r>
      <w:r w:rsidR="00463E3F" w:rsidRPr="00B6133E">
        <w:rPr>
          <w:rFonts w:ascii="Times New Roman" w:hAnsi="Times New Roman" w:cs="Times New Roman"/>
          <w:lang w:val="en-US"/>
        </w:rPr>
        <w:t xml:space="preserve">a multivariate cox </w:t>
      </w:r>
      <w:r w:rsidR="00473708" w:rsidRPr="00B6133E">
        <w:rPr>
          <w:rFonts w:ascii="Times New Roman" w:hAnsi="Times New Roman" w:cs="Times New Roman"/>
          <w:lang w:val="en-US"/>
        </w:rPr>
        <w:t xml:space="preserve">model </w:t>
      </w:r>
      <w:r w:rsidR="00892347" w:rsidRPr="00B6133E">
        <w:rPr>
          <w:rFonts w:ascii="Times New Roman" w:hAnsi="Times New Roman" w:cs="Times New Roman"/>
          <w:lang w:val="en-US"/>
        </w:rPr>
        <w:t>with (C</w:t>
      </w:r>
      <w:r w:rsidR="00761BBF" w:rsidRPr="00B6133E">
        <w:rPr>
          <w:rFonts w:ascii="Times New Roman" w:hAnsi="Times New Roman" w:cs="Times New Roman"/>
          <w:lang w:val="en-US"/>
        </w:rPr>
        <w:t xml:space="preserve"> </w:t>
      </w:r>
      <w:r w:rsidR="00892347" w:rsidRPr="00B6133E">
        <w:rPr>
          <w:rFonts w:ascii="Times New Roman" w:hAnsi="Times New Roman" w:cs="Times New Roman"/>
          <w:lang w:val="en-US"/>
        </w:rPr>
        <w:t>=</w:t>
      </w:r>
      <w:r w:rsidR="00642C28" w:rsidRPr="00B6133E">
        <w:rPr>
          <w:rFonts w:ascii="Times New Roman" w:hAnsi="Times New Roman" w:cs="Times New Roman"/>
          <w:lang w:val="en-US"/>
        </w:rPr>
        <w:t xml:space="preserve"> </w:t>
      </w:r>
      <w:r w:rsidR="00892347" w:rsidRPr="00B6133E">
        <w:rPr>
          <w:rFonts w:ascii="Times New Roman" w:hAnsi="Times New Roman" w:cs="Times New Roman"/>
          <w:lang w:val="en-US"/>
        </w:rPr>
        <w:t>0.65) and without (C</w:t>
      </w:r>
      <w:r w:rsidR="00761BBF" w:rsidRPr="00B6133E">
        <w:rPr>
          <w:rFonts w:ascii="Times New Roman" w:hAnsi="Times New Roman" w:cs="Times New Roman"/>
          <w:lang w:val="en-US"/>
        </w:rPr>
        <w:t xml:space="preserve"> </w:t>
      </w:r>
      <w:r w:rsidR="00892347" w:rsidRPr="00B6133E">
        <w:rPr>
          <w:rFonts w:ascii="Times New Roman" w:hAnsi="Times New Roman" w:cs="Times New Roman"/>
          <w:lang w:val="en-US"/>
        </w:rPr>
        <w:t>=</w:t>
      </w:r>
      <w:r w:rsidR="00642C28" w:rsidRPr="00B6133E">
        <w:rPr>
          <w:rFonts w:ascii="Times New Roman" w:hAnsi="Times New Roman" w:cs="Times New Roman"/>
          <w:lang w:val="en-US"/>
        </w:rPr>
        <w:t xml:space="preserve"> </w:t>
      </w:r>
      <w:r w:rsidR="00892347" w:rsidRPr="00B6133E">
        <w:rPr>
          <w:rFonts w:ascii="Times New Roman" w:hAnsi="Times New Roman" w:cs="Times New Roman"/>
          <w:lang w:val="en-US"/>
        </w:rPr>
        <w:t>0.59) BAGS classes</w:t>
      </w:r>
      <w:r w:rsidR="00B750FD" w:rsidRPr="00B6133E">
        <w:rPr>
          <w:rFonts w:ascii="Times New Roman" w:hAnsi="Times New Roman" w:cs="Times New Roman"/>
          <w:lang w:val="en-US"/>
        </w:rPr>
        <w:t xml:space="preserve">, </w:t>
      </w:r>
      <w:r w:rsidR="00892347" w:rsidRPr="00B6133E">
        <w:rPr>
          <w:rFonts w:ascii="Times New Roman" w:hAnsi="Times New Roman" w:cs="Times New Roman"/>
          <w:lang w:val="en-US"/>
        </w:rPr>
        <w:t xml:space="preserve">demonstrated </w:t>
      </w:r>
      <w:r w:rsidRPr="00B6133E">
        <w:rPr>
          <w:rFonts w:ascii="Times New Roman" w:hAnsi="Times New Roman" w:cs="Times New Roman"/>
          <w:lang w:val="en-US"/>
        </w:rPr>
        <w:t>that the BAGS subtypes added significant and independent prognostic information to the</w:t>
      </w:r>
      <w:r w:rsidR="00E938A7" w:rsidRPr="00B6133E">
        <w:rPr>
          <w:rFonts w:ascii="Times New Roman" w:hAnsi="Times New Roman" w:cs="Times New Roman"/>
          <w:lang w:val="en-US"/>
        </w:rPr>
        <w:t xml:space="preserve"> already well-established</w:t>
      </w:r>
      <w:r w:rsidRPr="00B6133E">
        <w:rPr>
          <w:rFonts w:ascii="Times New Roman" w:hAnsi="Times New Roman" w:cs="Times New Roman"/>
          <w:lang w:val="en-US"/>
        </w:rPr>
        <w:t xml:space="preserve"> TC classification</w:t>
      </w:r>
      <w:r w:rsidR="00F367C4" w:rsidRPr="00B6133E">
        <w:rPr>
          <w:rFonts w:ascii="Times New Roman" w:hAnsi="Times New Roman" w:cs="Times New Roman"/>
          <w:lang w:val="en-US"/>
        </w:rPr>
        <w:t>. In addition,</w:t>
      </w:r>
      <w:r w:rsidRPr="00B6133E">
        <w:rPr>
          <w:rFonts w:ascii="Times New Roman" w:hAnsi="Times New Roman" w:cs="Times New Roman"/>
          <w:lang w:val="en-US"/>
        </w:rPr>
        <w:t xml:space="preserve"> we found significant </w:t>
      </w:r>
      <w:r w:rsidR="0077420F" w:rsidRPr="00B6133E">
        <w:rPr>
          <w:rFonts w:ascii="Times New Roman" w:hAnsi="Times New Roman" w:cs="Times New Roman"/>
          <w:lang w:val="en-US"/>
        </w:rPr>
        <w:t>correlation between the BAGS</w:t>
      </w:r>
      <w:r w:rsidRPr="00B6133E">
        <w:rPr>
          <w:rFonts w:ascii="Times New Roman" w:hAnsi="Times New Roman" w:cs="Times New Roman"/>
          <w:lang w:val="en-US"/>
        </w:rPr>
        <w:t xml:space="preserve"> subtypes and the proliferation index</w:t>
      </w:r>
      <w:r w:rsidR="00E938A7" w:rsidRPr="00B6133E">
        <w:rPr>
          <w:rFonts w:ascii="Times New Roman" w:hAnsi="Times New Roman" w:cs="Times New Roman"/>
          <w:lang w:val="en-US"/>
        </w:rPr>
        <w:t xml:space="preserve"> (PI)</w:t>
      </w:r>
      <w:r w:rsidRPr="00B6133E">
        <w:rPr>
          <w:rFonts w:ascii="Times New Roman" w:hAnsi="Times New Roman" w:cs="Times New Roman"/>
          <w:lang w:val="en-US"/>
        </w:rPr>
        <w:t xml:space="preserve"> risk profiling (P</w:t>
      </w:r>
      <w:r w:rsidR="003F7E70" w:rsidRPr="00B6133E">
        <w:rPr>
          <w:rFonts w:ascii="Times New Roman" w:hAnsi="Times New Roman" w:cs="Times New Roman"/>
          <w:lang w:val="en-US"/>
        </w:rPr>
        <w:t xml:space="preserve"> </w:t>
      </w:r>
      <w:r w:rsidRPr="00B6133E">
        <w:rPr>
          <w:rFonts w:ascii="Times New Roman" w:hAnsi="Times New Roman" w:cs="Times New Roman"/>
          <w:lang w:val="en-US"/>
        </w:rPr>
        <w:t>&lt;</w:t>
      </w:r>
      <w:r w:rsidR="00642C28" w:rsidRPr="00B6133E">
        <w:rPr>
          <w:rFonts w:ascii="Times New Roman" w:hAnsi="Times New Roman" w:cs="Times New Roman"/>
          <w:lang w:val="en-US"/>
        </w:rPr>
        <w:t xml:space="preserve"> </w:t>
      </w:r>
      <w:r w:rsidRPr="00B6133E">
        <w:rPr>
          <w:rFonts w:ascii="Times New Roman" w:hAnsi="Times New Roman" w:cs="Times New Roman"/>
          <w:lang w:val="en-US"/>
        </w:rPr>
        <w:t>0.0</w:t>
      </w:r>
      <w:r w:rsidR="00F367C4" w:rsidRPr="00B6133E">
        <w:rPr>
          <w:rFonts w:ascii="Times New Roman" w:hAnsi="Times New Roman" w:cs="Times New Roman"/>
          <w:lang w:val="en-US"/>
        </w:rPr>
        <w:t>0</w:t>
      </w:r>
      <w:r w:rsidRPr="00B6133E">
        <w:rPr>
          <w:rFonts w:ascii="Times New Roman" w:hAnsi="Times New Roman" w:cs="Times New Roman"/>
          <w:lang w:val="en-US"/>
        </w:rPr>
        <w:t>1)</w:t>
      </w:r>
      <w:r w:rsidR="006F10EE" w:rsidRPr="00B6133E">
        <w:rPr>
          <w:rFonts w:ascii="Times New Roman" w:hAnsi="Times New Roman" w:cs="Times New Roman"/>
          <w:lang w:val="en-US"/>
        </w:rPr>
        <w:t xml:space="preserve">, </w:t>
      </w:r>
      <w:proofErr w:type="spellStart"/>
      <w:r w:rsidR="006F10EE" w:rsidRPr="00B6133E">
        <w:rPr>
          <w:rFonts w:ascii="Times New Roman" w:hAnsi="Times New Roman" w:cs="Times New Roman"/>
          <w:lang w:val="en-US"/>
        </w:rPr>
        <w:t>melphalan</w:t>
      </w:r>
      <w:proofErr w:type="spellEnd"/>
      <w:r w:rsidR="006F10EE" w:rsidRPr="00B6133E">
        <w:rPr>
          <w:rFonts w:ascii="Times New Roman" w:hAnsi="Times New Roman" w:cs="Times New Roman"/>
          <w:lang w:val="en-US"/>
        </w:rPr>
        <w:t xml:space="preserve"> resistance </w:t>
      </w:r>
      <w:r w:rsidR="008743C3" w:rsidRPr="00B6133E">
        <w:rPr>
          <w:rFonts w:ascii="Times New Roman" w:hAnsi="Times New Roman" w:cs="Times New Roman"/>
          <w:lang w:val="en-US"/>
        </w:rPr>
        <w:t>probability</w:t>
      </w:r>
      <w:r w:rsidR="006F10EE" w:rsidRPr="00B6133E">
        <w:rPr>
          <w:rFonts w:ascii="Times New Roman" w:hAnsi="Times New Roman" w:cs="Times New Roman"/>
          <w:lang w:val="en-US"/>
        </w:rPr>
        <w:t xml:space="preserve"> (P</w:t>
      </w:r>
      <w:r w:rsidR="003F7E70" w:rsidRPr="00B6133E">
        <w:rPr>
          <w:rFonts w:ascii="Times New Roman" w:hAnsi="Times New Roman" w:cs="Times New Roman"/>
          <w:lang w:val="en-US"/>
        </w:rPr>
        <w:t xml:space="preserve"> </w:t>
      </w:r>
      <w:r w:rsidR="006F10EE" w:rsidRPr="00B6133E">
        <w:rPr>
          <w:rFonts w:ascii="Times New Roman" w:hAnsi="Times New Roman" w:cs="Times New Roman"/>
          <w:lang w:val="en-US"/>
        </w:rPr>
        <w:t>&lt;</w:t>
      </w:r>
      <w:r w:rsidR="003F7E70" w:rsidRPr="00B6133E">
        <w:rPr>
          <w:rFonts w:ascii="Times New Roman" w:hAnsi="Times New Roman" w:cs="Times New Roman"/>
          <w:lang w:val="en-US"/>
        </w:rPr>
        <w:t xml:space="preserve"> </w:t>
      </w:r>
      <w:r w:rsidR="006F10EE" w:rsidRPr="00B6133E">
        <w:rPr>
          <w:rFonts w:ascii="Times New Roman" w:hAnsi="Times New Roman" w:cs="Times New Roman"/>
          <w:lang w:val="en-US"/>
        </w:rPr>
        <w:t>0.001)</w:t>
      </w:r>
      <w:r w:rsidR="000C54FD" w:rsidRPr="00B6133E">
        <w:rPr>
          <w:rFonts w:ascii="Times New Roman" w:hAnsi="Times New Roman" w:cs="Times New Roman"/>
          <w:lang w:val="en-US"/>
        </w:rPr>
        <w:t>,</w:t>
      </w:r>
      <w:r w:rsidR="00FA6118" w:rsidRPr="00B6133E">
        <w:rPr>
          <w:rFonts w:ascii="Times New Roman" w:hAnsi="Times New Roman" w:cs="Times New Roman"/>
          <w:lang w:val="en-US"/>
        </w:rPr>
        <w:t xml:space="preserve"> and </w:t>
      </w:r>
      <w:r w:rsidR="0077420F" w:rsidRPr="00B6133E">
        <w:rPr>
          <w:rFonts w:ascii="Times New Roman" w:hAnsi="Times New Roman" w:cs="Times New Roman"/>
          <w:lang w:val="en-US"/>
        </w:rPr>
        <w:t xml:space="preserve">beta-2 </w:t>
      </w:r>
      <w:proofErr w:type="spellStart"/>
      <w:r w:rsidR="0077420F" w:rsidRPr="00B6133E">
        <w:rPr>
          <w:rFonts w:ascii="Times New Roman" w:hAnsi="Times New Roman" w:cs="Times New Roman"/>
          <w:lang w:val="en-US"/>
        </w:rPr>
        <w:t>microglobulin</w:t>
      </w:r>
      <w:proofErr w:type="spellEnd"/>
      <w:r w:rsidR="00AB1735" w:rsidRPr="00B6133E">
        <w:rPr>
          <w:rFonts w:ascii="Times New Roman" w:hAnsi="Times New Roman" w:cs="Times New Roman"/>
          <w:lang w:val="en-US"/>
        </w:rPr>
        <w:t xml:space="preserve"> plasma level</w:t>
      </w:r>
      <w:r w:rsidR="0077420F" w:rsidRPr="00B6133E">
        <w:rPr>
          <w:rFonts w:ascii="Times New Roman" w:hAnsi="Times New Roman" w:cs="Times New Roman"/>
          <w:lang w:val="en-US"/>
        </w:rPr>
        <w:t xml:space="preserve"> (P</w:t>
      </w:r>
      <w:r w:rsidR="003F7E70" w:rsidRPr="00B6133E">
        <w:rPr>
          <w:rFonts w:ascii="Times New Roman" w:hAnsi="Times New Roman" w:cs="Times New Roman"/>
          <w:lang w:val="en-US"/>
        </w:rPr>
        <w:t xml:space="preserve"> </w:t>
      </w:r>
      <w:r w:rsidR="0077420F" w:rsidRPr="00B6133E">
        <w:rPr>
          <w:rFonts w:ascii="Times New Roman" w:hAnsi="Times New Roman" w:cs="Times New Roman"/>
          <w:lang w:val="en-US"/>
        </w:rPr>
        <w:t>&lt;</w:t>
      </w:r>
      <w:r w:rsidR="00642C28" w:rsidRPr="00B6133E">
        <w:rPr>
          <w:rFonts w:ascii="Times New Roman" w:hAnsi="Times New Roman" w:cs="Times New Roman"/>
          <w:lang w:val="en-US"/>
        </w:rPr>
        <w:t xml:space="preserve"> </w:t>
      </w:r>
      <w:r w:rsidR="0077420F" w:rsidRPr="00B6133E">
        <w:rPr>
          <w:rFonts w:ascii="Times New Roman" w:hAnsi="Times New Roman" w:cs="Times New Roman"/>
          <w:lang w:val="en-US"/>
        </w:rPr>
        <w:t>0.</w:t>
      </w:r>
      <w:r w:rsidR="00ED799C" w:rsidRPr="00B6133E">
        <w:rPr>
          <w:rFonts w:ascii="Times New Roman" w:hAnsi="Times New Roman" w:cs="Times New Roman"/>
          <w:lang w:val="en-US"/>
        </w:rPr>
        <w:t>0</w:t>
      </w:r>
      <w:r w:rsidR="0077420F" w:rsidRPr="00B6133E">
        <w:rPr>
          <w:rFonts w:ascii="Times New Roman" w:hAnsi="Times New Roman" w:cs="Times New Roman"/>
          <w:lang w:val="en-US"/>
        </w:rPr>
        <w:t>01)</w:t>
      </w:r>
      <w:r w:rsidR="00E938A7" w:rsidRPr="00B6133E">
        <w:rPr>
          <w:rFonts w:ascii="Times New Roman" w:hAnsi="Times New Roman" w:cs="Times New Roman"/>
          <w:lang w:val="en-US"/>
        </w:rPr>
        <w:t xml:space="preserve"> </w:t>
      </w:r>
      <w:r w:rsidR="00F367C4" w:rsidRPr="00B6133E">
        <w:rPr>
          <w:rFonts w:ascii="Times New Roman" w:hAnsi="Times New Roman" w:cs="Times New Roman"/>
          <w:lang w:val="en-US"/>
        </w:rPr>
        <w:t xml:space="preserve">as illustrated in </w:t>
      </w:r>
      <w:r w:rsidR="00F367C4" w:rsidRPr="00B6133E">
        <w:rPr>
          <w:rFonts w:ascii="Times New Roman" w:hAnsi="Times New Roman" w:cs="Times New Roman"/>
          <w:b/>
          <w:lang w:val="en-US"/>
        </w:rPr>
        <w:t>Figure 3</w:t>
      </w:r>
      <w:r w:rsidR="00F367C4" w:rsidRPr="00B6133E">
        <w:rPr>
          <w:rFonts w:ascii="Times New Roman" w:hAnsi="Times New Roman" w:cs="Times New Roman"/>
          <w:lang w:val="en-US"/>
        </w:rPr>
        <w:t xml:space="preserve">, </w:t>
      </w:r>
      <w:r w:rsidR="00E938A7" w:rsidRPr="00B6133E">
        <w:rPr>
          <w:rFonts w:ascii="Times New Roman" w:hAnsi="Times New Roman" w:cs="Times New Roman"/>
          <w:lang w:val="en-US"/>
        </w:rPr>
        <w:t xml:space="preserve">respectively. </w:t>
      </w:r>
      <w:r w:rsidR="004E7AAB" w:rsidRPr="00B6133E">
        <w:rPr>
          <w:rFonts w:ascii="Times New Roman" w:hAnsi="Times New Roman" w:cs="Times New Roman"/>
          <w:lang w:val="en-US"/>
        </w:rPr>
        <w:t xml:space="preserve">Results in these figures are done on a combined dataset adjusted for differences in individual datasets, while results </w:t>
      </w:r>
      <w:r w:rsidR="004A592D" w:rsidRPr="00B6133E">
        <w:rPr>
          <w:rFonts w:ascii="Times New Roman" w:hAnsi="Times New Roman" w:cs="Times New Roman"/>
          <w:lang w:val="en-US"/>
        </w:rPr>
        <w:t xml:space="preserve">for individual datasets </w:t>
      </w:r>
      <w:r w:rsidR="004E7AAB" w:rsidRPr="00B6133E">
        <w:rPr>
          <w:rFonts w:ascii="Times New Roman" w:hAnsi="Times New Roman" w:cs="Times New Roman"/>
          <w:lang w:val="en-US"/>
        </w:rPr>
        <w:t xml:space="preserve">may be found in </w:t>
      </w:r>
      <w:r w:rsidR="00F81769" w:rsidRPr="00B6133E">
        <w:rPr>
          <w:rFonts w:ascii="Times New Roman" w:hAnsi="Times New Roman" w:cs="Times New Roman"/>
          <w:lang w:val="en-US"/>
        </w:rPr>
        <w:t>S</w:t>
      </w:r>
      <w:r w:rsidR="004E7AAB" w:rsidRPr="00B6133E">
        <w:rPr>
          <w:rFonts w:ascii="Times New Roman" w:hAnsi="Times New Roman" w:cs="Times New Roman"/>
          <w:lang w:val="en-US"/>
        </w:rPr>
        <w:t>upplementary</w:t>
      </w:r>
      <w:r w:rsidR="00F81769" w:rsidRPr="00B6133E">
        <w:rPr>
          <w:rFonts w:ascii="Times New Roman" w:hAnsi="Times New Roman" w:cs="Times New Roman"/>
          <w:lang w:val="en-US"/>
        </w:rPr>
        <w:t xml:space="preserve"> text</w:t>
      </w:r>
      <w:r w:rsidR="00B42807" w:rsidRPr="00B6133E">
        <w:rPr>
          <w:rFonts w:ascii="Times New Roman" w:hAnsi="Times New Roman" w:cs="Times New Roman"/>
          <w:lang w:val="en-US"/>
        </w:rPr>
        <w:t xml:space="preserve"> </w:t>
      </w:r>
      <w:r w:rsidR="00F81769" w:rsidRPr="00B6133E">
        <w:rPr>
          <w:rFonts w:ascii="Times New Roman" w:hAnsi="Times New Roman" w:cs="Times New Roman"/>
          <w:lang w:val="en-US"/>
        </w:rPr>
        <w:t xml:space="preserve">1, </w:t>
      </w:r>
      <w:r w:rsidR="004E7AAB" w:rsidRPr="00B6133E">
        <w:rPr>
          <w:rFonts w:ascii="Times New Roman" w:hAnsi="Times New Roman" w:cs="Times New Roman"/>
          <w:lang w:val="en-US"/>
        </w:rPr>
        <w:t xml:space="preserve"> </w:t>
      </w:r>
      <w:r w:rsidR="004E7AAB" w:rsidRPr="00B6133E">
        <w:rPr>
          <w:rFonts w:ascii="Times New Roman" w:hAnsi="Times New Roman" w:cs="Times New Roman"/>
          <w:b/>
          <w:lang w:val="en-US"/>
        </w:rPr>
        <w:t>Figure S</w:t>
      </w:r>
      <w:r w:rsidR="006D00DE" w:rsidRPr="00B6133E">
        <w:rPr>
          <w:rFonts w:ascii="Times New Roman" w:hAnsi="Times New Roman" w:cs="Times New Roman"/>
          <w:b/>
          <w:lang w:val="en-US"/>
        </w:rPr>
        <w:t>5</w:t>
      </w:r>
      <w:r w:rsidR="004E7AAB" w:rsidRPr="00B6133E">
        <w:rPr>
          <w:rFonts w:ascii="Times New Roman" w:hAnsi="Times New Roman" w:cs="Times New Roman"/>
          <w:lang w:val="en-US"/>
        </w:rPr>
        <w:t xml:space="preserve">. </w:t>
      </w:r>
    </w:p>
    <w:bookmarkEnd w:id="7"/>
    <w:p w14:paraId="75AE796F" w14:textId="5AA45EB2" w:rsidR="000912A4" w:rsidRPr="00B6133E" w:rsidRDefault="000912A4" w:rsidP="00B22E77">
      <w:pPr>
        <w:pStyle w:val="Overskrift3"/>
        <w:rPr>
          <w:rFonts w:ascii="Times New Roman" w:hAnsi="Times New Roman" w:cs="Times New Roman"/>
        </w:rPr>
      </w:pPr>
      <w:r w:rsidRPr="00B6133E">
        <w:rPr>
          <w:rFonts w:ascii="Times New Roman" w:hAnsi="Times New Roman" w:cs="Times New Roman"/>
        </w:rPr>
        <w:t xml:space="preserve">BAGS </w:t>
      </w:r>
      <w:r w:rsidR="006815A5" w:rsidRPr="00B6133E">
        <w:rPr>
          <w:rFonts w:ascii="Times New Roman" w:hAnsi="Times New Roman" w:cs="Times New Roman"/>
        </w:rPr>
        <w:t>assignment</w:t>
      </w:r>
      <w:r w:rsidRPr="00B6133E">
        <w:rPr>
          <w:rFonts w:ascii="Times New Roman" w:hAnsi="Times New Roman" w:cs="Times New Roman"/>
        </w:rPr>
        <w:t xml:space="preserve"> of MGUS, </w:t>
      </w:r>
      <w:r w:rsidR="00AE621A" w:rsidRPr="00B6133E">
        <w:rPr>
          <w:rFonts w:ascii="Times New Roman" w:hAnsi="Times New Roman" w:cs="Times New Roman"/>
        </w:rPr>
        <w:t>smoldering myeloma</w:t>
      </w:r>
      <w:r w:rsidRPr="00B6133E">
        <w:rPr>
          <w:rFonts w:ascii="Times New Roman" w:hAnsi="Times New Roman" w:cs="Times New Roman"/>
        </w:rPr>
        <w:t>, MM, extramedullary MM</w:t>
      </w:r>
      <w:r w:rsidR="00556E83" w:rsidRPr="00B6133E">
        <w:rPr>
          <w:rFonts w:ascii="Times New Roman" w:hAnsi="Times New Roman" w:cs="Times New Roman"/>
        </w:rPr>
        <w:t>,</w:t>
      </w:r>
      <w:r w:rsidRPr="00B6133E">
        <w:rPr>
          <w:rFonts w:ascii="Times New Roman" w:hAnsi="Times New Roman" w:cs="Times New Roman"/>
        </w:rPr>
        <w:t xml:space="preserve"> and myeloma cell lines</w:t>
      </w:r>
    </w:p>
    <w:p w14:paraId="41758E63" w14:textId="206BFB0B" w:rsidR="00BA74A2" w:rsidRPr="00B6133E" w:rsidRDefault="00D40B4B" w:rsidP="00B522D7">
      <w:pPr>
        <w:spacing w:line="480" w:lineRule="auto"/>
        <w:rPr>
          <w:rFonts w:ascii="Times New Roman" w:hAnsi="Times New Roman" w:cs="Times New Roman"/>
          <w:lang w:val="en-US"/>
        </w:rPr>
      </w:pPr>
      <w:r w:rsidRPr="00B6133E">
        <w:rPr>
          <w:rFonts w:ascii="Times New Roman" w:hAnsi="Times New Roman" w:cs="Times New Roman"/>
          <w:lang w:val="en-US"/>
        </w:rPr>
        <w:t>Available data sets</w:t>
      </w:r>
      <w:r w:rsidR="00DC156A" w:rsidRPr="00B6133E">
        <w:rPr>
          <w:rFonts w:ascii="Times New Roman" w:hAnsi="Times New Roman" w:cs="Times New Roman"/>
          <w:lang w:val="en-US"/>
        </w:rPr>
        <w:t xml:space="preserve"> </w:t>
      </w:r>
      <w:r w:rsidRPr="00B6133E">
        <w:rPr>
          <w:rFonts w:ascii="Times New Roman" w:hAnsi="Times New Roman" w:cs="Times New Roman"/>
          <w:lang w:val="en-US"/>
        </w:rPr>
        <w:t xml:space="preserve">were used for </w:t>
      </w:r>
      <w:r w:rsidR="00BA74A2" w:rsidRPr="00B6133E">
        <w:rPr>
          <w:rFonts w:ascii="Times New Roman" w:hAnsi="Times New Roman" w:cs="Times New Roman"/>
          <w:lang w:val="en-US"/>
        </w:rPr>
        <w:t>BAGS assignment</w:t>
      </w:r>
      <w:r w:rsidR="00792589" w:rsidRPr="00B6133E">
        <w:rPr>
          <w:rFonts w:ascii="Times New Roman" w:hAnsi="Times New Roman" w:cs="Times New Roman"/>
          <w:lang w:val="en-US"/>
        </w:rPr>
        <w:t xml:space="preserve"> </w:t>
      </w:r>
      <w:r w:rsidR="00B522D7" w:rsidRPr="00B6133E">
        <w:rPr>
          <w:rFonts w:ascii="Times New Roman" w:hAnsi="Times New Roman" w:cs="Times New Roman"/>
          <w:lang w:val="en-US"/>
        </w:rPr>
        <w:t xml:space="preserve">of associated </w:t>
      </w:r>
      <w:r w:rsidR="00792589" w:rsidRPr="00B6133E">
        <w:rPr>
          <w:rFonts w:ascii="Times New Roman" w:hAnsi="Times New Roman" w:cs="Times New Roman"/>
          <w:lang w:val="en-US"/>
        </w:rPr>
        <w:t>myeloma diseases</w:t>
      </w:r>
      <w:r w:rsidR="00E14435" w:rsidRPr="00B6133E">
        <w:rPr>
          <w:rFonts w:ascii="Times New Roman" w:hAnsi="Times New Roman" w:cs="Times New Roman"/>
          <w:lang w:val="en-US"/>
        </w:rPr>
        <w:t>,</w:t>
      </w:r>
      <w:r w:rsidR="00792589" w:rsidRPr="00B6133E">
        <w:rPr>
          <w:rFonts w:ascii="Times New Roman" w:hAnsi="Times New Roman" w:cs="Times New Roman"/>
          <w:lang w:val="en-US"/>
        </w:rPr>
        <w:t xml:space="preserve"> </w:t>
      </w:r>
      <w:r w:rsidR="00DC156A" w:rsidRPr="00B6133E">
        <w:rPr>
          <w:rFonts w:ascii="Times New Roman" w:hAnsi="Times New Roman" w:cs="Times New Roman"/>
          <w:lang w:val="en-US"/>
        </w:rPr>
        <w:t>as</w:t>
      </w:r>
      <w:r w:rsidR="001825C1" w:rsidRPr="00B6133E">
        <w:rPr>
          <w:rFonts w:ascii="Times New Roman" w:hAnsi="Times New Roman" w:cs="Times New Roman"/>
          <w:lang w:val="en-US"/>
        </w:rPr>
        <w:t xml:space="preserve"> shown in</w:t>
      </w:r>
      <w:r w:rsidR="00DC156A" w:rsidRPr="00B6133E">
        <w:rPr>
          <w:rFonts w:ascii="Times New Roman" w:hAnsi="Times New Roman" w:cs="Times New Roman"/>
          <w:lang w:val="en-US"/>
        </w:rPr>
        <w:t xml:space="preserve"> </w:t>
      </w:r>
      <w:r w:rsidR="00DC156A" w:rsidRPr="00B6133E">
        <w:rPr>
          <w:rFonts w:ascii="Times New Roman" w:hAnsi="Times New Roman" w:cs="Times New Roman"/>
          <w:b/>
          <w:lang w:val="en-US"/>
        </w:rPr>
        <w:t xml:space="preserve">Table </w:t>
      </w:r>
      <w:r w:rsidR="000C0E41" w:rsidRPr="00B6133E">
        <w:rPr>
          <w:rFonts w:ascii="Times New Roman" w:hAnsi="Times New Roman" w:cs="Times New Roman"/>
          <w:b/>
          <w:lang w:val="en-US"/>
        </w:rPr>
        <w:t>S</w:t>
      </w:r>
      <w:r w:rsidR="00DF3856" w:rsidRPr="00B6133E">
        <w:rPr>
          <w:rFonts w:ascii="Times New Roman" w:hAnsi="Times New Roman" w:cs="Times New Roman"/>
          <w:b/>
          <w:lang w:val="en-US"/>
        </w:rPr>
        <w:t>7</w:t>
      </w:r>
      <w:r w:rsidR="00AF74E8" w:rsidRPr="00B6133E">
        <w:rPr>
          <w:rFonts w:ascii="Times New Roman" w:hAnsi="Times New Roman" w:cs="Times New Roman"/>
          <w:b/>
          <w:lang w:val="en-US"/>
        </w:rPr>
        <w:t>A</w:t>
      </w:r>
      <w:r w:rsidR="00DC156A" w:rsidRPr="00B6133E">
        <w:rPr>
          <w:rFonts w:ascii="Times New Roman" w:hAnsi="Times New Roman" w:cs="Times New Roman"/>
          <w:lang w:val="en-US"/>
        </w:rPr>
        <w:t>.</w:t>
      </w:r>
      <w:r w:rsidR="00BA74A2" w:rsidRPr="00B6133E">
        <w:rPr>
          <w:rFonts w:ascii="Times New Roman" w:hAnsi="Times New Roman" w:cs="Times New Roman"/>
          <w:lang w:val="en-US"/>
        </w:rPr>
        <w:t xml:space="preserve"> </w:t>
      </w:r>
      <w:r w:rsidR="00190026" w:rsidRPr="00B6133E">
        <w:rPr>
          <w:rFonts w:ascii="Times New Roman" w:hAnsi="Times New Roman" w:cs="Times New Roman"/>
          <w:lang w:val="en-US"/>
        </w:rPr>
        <w:t>Of interest</w:t>
      </w:r>
      <w:r w:rsidR="00E14435" w:rsidRPr="00B6133E">
        <w:rPr>
          <w:rFonts w:ascii="Times New Roman" w:hAnsi="Times New Roman" w:cs="Times New Roman"/>
          <w:lang w:val="en-US"/>
        </w:rPr>
        <w:t>,</w:t>
      </w:r>
      <w:r w:rsidR="00190026" w:rsidRPr="00B6133E">
        <w:rPr>
          <w:rFonts w:ascii="Times New Roman" w:hAnsi="Times New Roman" w:cs="Times New Roman"/>
          <w:lang w:val="en-US"/>
        </w:rPr>
        <w:t xml:space="preserve"> </w:t>
      </w:r>
      <w:r w:rsidR="00AE4EF5" w:rsidRPr="00B6133E">
        <w:rPr>
          <w:rFonts w:ascii="Times New Roman" w:hAnsi="Times New Roman" w:cs="Times New Roman"/>
          <w:lang w:val="en-US"/>
        </w:rPr>
        <w:t>five of six</w:t>
      </w:r>
      <w:r w:rsidR="00190026" w:rsidRPr="00B6133E">
        <w:rPr>
          <w:rFonts w:ascii="Times New Roman" w:hAnsi="Times New Roman" w:cs="Times New Roman"/>
          <w:lang w:val="en-US"/>
        </w:rPr>
        <w:t xml:space="preserve"> </w:t>
      </w:r>
      <w:r w:rsidR="000F4EC7" w:rsidRPr="00B6133E">
        <w:rPr>
          <w:rFonts w:ascii="Times New Roman" w:hAnsi="Times New Roman" w:cs="Times New Roman"/>
          <w:lang w:val="en-US"/>
        </w:rPr>
        <w:t xml:space="preserve">plasma cell leukemia </w:t>
      </w:r>
      <w:r w:rsidR="0002275F" w:rsidRPr="00B6133E">
        <w:rPr>
          <w:rFonts w:ascii="Times New Roman" w:hAnsi="Times New Roman" w:cs="Times New Roman"/>
          <w:lang w:val="en-US"/>
        </w:rPr>
        <w:t xml:space="preserve">cases were </w:t>
      </w:r>
      <w:r w:rsidR="00190026" w:rsidRPr="00B6133E">
        <w:rPr>
          <w:rFonts w:ascii="Times New Roman" w:hAnsi="Times New Roman" w:cs="Times New Roman"/>
          <w:lang w:val="en-US"/>
        </w:rPr>
        <w:t>M subtypes</w:t>
      </w:r>
      <w:r w:rsidR="0002275F" w:rsidRPr="00B6133E">
        <w:rPr>
          <w:rFonts w:ascii="Times New Roman" w:hAnsi="Times New Roman" w:cs="Times New Roman"/>
          <w:lang w:val="en-US"/>
        </w:rPr>
        <w:t>,</w:t>
      </w:r>
      <w:r w:rsidR="007D5403" w:rsidRPr="00B6133E">
        <w:rPr>
          <w:rFonts w:ascii="Times New Roman" w:hAnsi="Times New Roman" w:cs="Times New Roman"/>
          <w:lang w:val="en-US"/>
        </w:rPr>
        <w:t xml:space="preserve"> indicating a </w:t>
      </w:r>
      <w:r w:rsidR="00F10406" w:rsidRPr="00B6133E">
        <w:rPr>
          <w:rFonts w:ascii="Times New Roman" w:hAnsi="Times New Roman" w:cs="Times New Roman"/>
          <w:lang w:val="en-US"/>
        </w:rPr>
        <w:t xml:space="preserve">subtype </w:t>
      </w:r>
      <w:r w:rsidR="00B522D7" w:rsidRPr="00B6133E">
        <w:rPr>
          <w:rFonts w:ascii="Times New Roman" w:hAnsi="Times New Roman" w:cs="Times New Roman"/>
          <w:lang w:val="en-US"/>
        </w:rPr>
        <w:t>evolution</w:t>
      </w:r>
      <w:r w:rsidR="007D5403" w:rsidRPr="00B6133E">
        <w:rPr>
          <w:rFonts w:ascii="Times New Roman" w:hAnsi="Times New Roman" w:cs="Times New Roman"/>
          <w:lang w:val="en-US"/>
        </w:rPr>
        <w:t xml:space="preserve"> </w:t>
      </w:r>
      <w:r w:rsidR="00B522D7" w:rsidRPr="00B6133E">
        <w:rPr>
          <w:rFonts w:ascii="Times New Roman" w:hAnsi="Times New Roman" w:cs="Times New Roman"/>
          <w:lang w:val="en-US"/>
        </w:rPr>
        <w:t xml:space="preserve">or selection </w:t>
      </w:r>
      <w:r w:rsidR="00F10406" w:rsidRPr="00B6133E">
        <w:rPr>
          <w:rFonts w:ascii="Times New Roman" w:hAnsi="Times New Roman" w:cs="Times New Roman"/>
          <w:lang w:val="en-US"/>
        </w:rPr>
        <w:t>f</w:t>
      </w:r>
      <w:r w:rsidR="001825C1" w:rsidRPr="00B6133E">
        <w:rPr>
          <w:rFonts w:ascii="Times New Roman" w:hAnsi="Times New Roman" w:cs="Times New Roman"/>
          <w:lang w:val="en-US"/>
        </w:rPr>
        <w:t>or</w:t>
      </w:r>
      <w:r w:rsidR="00F10406" w:rsidRPr="00B6133E">
        <w:rPr>
          <w:rFonts w:ascii="Times New Roman" w:hAnsi="Times New Roman" w:cs="Times New Roman"/>
          <w:lang w:val="en-US"/>
        </w:rPr>
        <w:t xml:space="preserve"> </w:t>
      </w:r>
      <w:r w:rsidR="008B26E1" w:rsidRPr="00B6133E">
        <w:rPr>
          <w:rFonts w:ascii="Times New Roman" w:hAnsi="Times New Roman" w:cs="Times New Roman"/>
          <w:lang w:val="en-US"/>
        </w:rPr>
        <w:t xml:space="preserve">advanced disease. </w:t>
      </w:r>
      <w:r w:rsidR="00CE0C77" w:rsidRPr="00B6133E">
        <w:rPr>
          <w:rFonts w:ascii="Times New Roman" w:hAnsi="Times New Roman" w:cs="Times New Roman"/>
          <w:lang w:val="en-US"/>
        </w:rPr>
        <w:t>In contrast,</w:t>
      </w:r>
      <w:r w:rsidR="008B26E1" w:rsidRPr="00B6133E">
        <w:rPr>
          <w:rFonts w:ascii="Times New Roman" w:hAnsi="Times New Roman" w:cs="Times New Roman"/>
          <w:lang w:val="en-US"/>
        </w:rPr>
        <w:t xml:space="preserve"> MGUS cases had a </w:t>
      </w:r>
      <w:r w:rsidR="00D95C80" w:rsidRPr="00B6133E">
        <w:rPr>
          <w:rFonts w:ascii="Times New Roman" w:hAnsi="Times New Roman" w:cs="Times New Roman"/>
          <w:lang w:val="en-US"/>
        </w:rPr>
        <w:t>significant</w:t>
      </w:r>
      <w:r w:rsidR="001E6D97" w:rsidRPr="00B6133E">
        <w:rPr>
          <w:rFonts w:ascii="Times New Roman" w:hAnsi="Times New Roman" w:cs="Times New Roman"/>
          <w:lang w:val="en-US"/>
        </w:rPr>
        <w:t>ly</w:t>
      </w:r>
      <w:r w:rsidR="00D95C80" w:rsidRPr="00B6133E">
        <w:rPr>
          <w:rFonts w:ascii="Times New Roman" w:hAnsi="Times New Roman" w:cs="Times New Roman"/>
          <w:lang w:val="en-US"/>
        </w:rPr>
        <w:t xml:space="preserve"> </w:t>
      </w:r>
      <w:r w:rsidR="008B26E1" w:rsidRPr="00B6133E">
        <w:rPr>
          <w:rFonts w:ascii="Times New Roman" w:hAnsi="Times New Roman" w:cs="Times New Roman"/>
          <w:lang w:val="en-US"/>
        </w:rPr>
        <w:t>high frequency</w:t>
      </w:r>
      <w:r w:rsidR="00D95C80" w:rsidRPr="00B6133E">
        <w:rPr>
          <w:rFonts w:ascii="Times New Roman" w:hAnsi="Times New Roman" w:cs="Times New Roman"/>
          <w:lang w:val="en-US"/>
        </w:rPr>
        <w:t xml:space="preserve"> (&gt;</w:t>
      </w:r>
      <w:r w:rsidR="003F7E70" w:rsidRPr="00B6133E">
        <w:rPr>
          <w:rFonts w:ascii="Times New Roman" w:hAnsi="Times New Roman" w:cs="Times New Roman"/>
          <w:lang w:val="en-US"/>
        </w:rPr>
        <w:t xml:space="preserve"> </w:t>
      </w:r>
      <w:r w:rsidR="00D95C80" w:rsidRPr="00B6133E">
        <w:rPr>
          <w:rFonts w:ascii="Times New Roman" w:hAnsi="Times New Roman" w:cs="Times New Roman"/>
          <w:lang w:val="en-US"/>
        </w:rPr>
        <w:t>50%)</w:t>
      </w:r>
      <w:r w:rsidR="008B26E1" w:rsidRPr="00B6133E">
        <w:rPr>
          <w:rFonts w:ascii="Times New Roman" w:hAnsi="Times New Roman" w:cs="Times New Roman"/>
          <w:lang w:val="en-US"/>
        </w:rPr>
        <w:t xml:space="preserve"> of N subtypes</w:t>
      </w:r>
      <w:r w:rsidR="001E6D97" w:rsidRPr="00B6133E">
        <w:rPr>
          <w:rFonts w:ascii="Times New Roman" w:hAnsi="Times New Roman" w:cs="Times New Roman"/>
          <w:lang w:val="en-US"/>
        </w:rPr>
        <w:t>, which was</w:t>
      </w:r>
      <w:r w:rsidR="008B26E1" w:rsidRPr="00B6133E">
        <w:rPr>
          <w:rFonts w:ascii="Times New Roman" w:hAnsi="Times New Roman" w:cs="Times New Roman"/>
          <w:lang w:val="en-US"/>
        </w:rPr>
        <w:t xml:space="preserve"> different from </w:t>
      </w:r>
      <w:r w:rsidR="000F4EC7" w:rsidRPr="00B6133E">
        <w:rPr>
          <w:rFonts w:ascii="Times New Roman" w:hAnsi="Times New Roman" w:cs="Times New Roman"/>
          <w:lang w:val="en-US"/>
        </w:rPr>
        <w:t>smoldering myeloma</w:t>
      </w:r>
      <w:r w:rsidR="00AE621A" w:rsidRPr="00B6133E">
        <w:rPr>
          <w:rFonts w:ascii="Times New Roman" w:hAnsi="Times New Roman" w:cs="Times New Roman"/>
          <w:lang w:val="en-US"/>
        </w:rPr>
        <w:t xml:space="preserve"> and</w:t>
      </w:r>
      <w:r w:rsidR="008B26E1" w:rsidRPr="00B6133E">
        <w:rPr>
          <w:rFonts w:ascii="Times New Roman" w:hAnsi="Times New Roman" w:cs="Times New Roman"/>
          <w:lang w:val="en-US"/>
        </w:rPr>
        <w:t xml:space="preserve"> </w:t>
      </w:r>
      <w:r w:rsidR="00F10406" w:rsidRPr="00B6133E">
        <w:rPr>
          <w:rFonts w:ascii="Times New Roman" w:hAnsi="Times New Roman" w:cs="Times New Roman"/>
          <w:lang w:val="en-US"/>
        </w:rPr>
        <w:t>newly diagnosed</w:t>
      </w:r>
      <w:r w:rsidR="008B26E1" w:rsidRPr="00B6133E">
        <w:rPr>
          <w:rFonts w:ascii="Times New Roman" w:hAnsi="Times New Roman" w:cs="Times New Roman"/>
          <w:lang w:val="en-US"/>
        </w:rPr>
        <w:t xml:space="preserve"> and relapsed MM</w:t>
      </w:r>
      <w:r w:rsidR="0087780A" w:rsidRPr="00B6133E">
        <w:rPr>
          <w:rFonts w:ascii="Times New Roman" w:hAnsi="Times New Roman" w:cs="Times New Roman"/>
          <w:lang w:val="en-US"/>
        </w:rPr>
        <w:t xml:space="preserve">. </w:t>
      </w:r>
      <w:r w:rsidR="003944AC" w:rsidRPr="00B6133E">
        <w:rPr>
          <w:rFonts w:ascii="Times New Roman" w:hAnsi="Times New Roman" w:cs="Times New Roman"/>
          <w:lang w:val="en-US"/>
        </w:rPr>
        <w:t xml:space="preserve">The distribution of M component isotypes showed no significant differences across BAGS subtypes, except for a tendency for LCD to be overrepresented in the post germinal subtypes as shown in </w:t>
      </w:r>
      <w:r w:rsidR="003944AC" w:rsidRPr="00B6133E">
        <w:rPr>
          <w:rFonts w:ascii="Times New Roman" w:hAnsi="Times New Roman" w:cs="Times New Roman"/>
          <w:b/>
          <w:lang w:val="en-US"/>
        </w:rPr>
        <w:t>Table S</w:t>
      </w:r>
      <w:r w:rsidR="00DF3856" w:rsidRPr="00B6133E">
        <w:rPr>
          <w:rFonts w:ascii="Times New Roman" w:hAnsi="Times New Roman" w:cs="Times New Roman"/>
          <w:b/>
          <w:lang w:val="en-US"/>
        </w:rPr>
        <w:t>7</w:t>
      </w:r>
      <w:r w:rsidR="00AF74E8" w:rsidRPr="00B6133E">
        <w:rPr>
          <w:rFonts w:ascii="Times New Roman" w:hAnsi="Times New Roman" w:cs="Times New Roman"/>
          <w:b/>
          <w:lang w:val="en-US"/>
        </w:rPr>
        <w:t>B</w:t>
      </w:r>
      <w:r w:rsidR="003944AC" w:rsidRPr="00B6133E">
        <w:rPr>
          <w:rFonts w:ascii="Times New Roman" w:hAnsi="Times New Roman" w:cs="Times New Roman"/>
          <w:lang w:val="en-US"/>
        </w:rPr>
        <w:t xml:space="preserve">. </w:t>
      </w:r>
      <w:r w:rsidR="007F69A7" w:rsidRPr="00B6133E">
        <w:rPr>
          <w:rFonts w:ascii="Times New Roman" w:hAnsi="Times New Roman" w:cs="Times New Roman"/>
          <w:lang w:val="en-US"/>
        </w:rPr>
        <w:t xml:space="preserve">Frequencies of BAGS subtypes in relapsed MM patients from the APEX dataset </w:t>
      </w:r>
      <w:r w:rsidR="007F69A7" w:rsidRPr="00B6133E">
        <w:rPr>
          <w:rFonts w:ascii="Times New Roman" w:hAnsi="Times New Roman" w:cs="Times New Roman"/>
          <w:b/>
          <w:lang w:val="en-US"/>
        </w:rPr>
        <w:t>(Table S</w:t>
      </w:r>
      <w:r w:rsidR="00DF3856" w:rsidRPr="00B6133E">
        <w:rPr>
          <w:rFonts w:ascii="Times New Roman" w:hAnsi="Times New Roman" w:cs="Times New Roman"/>
          <w:b/>
          <w:lang w:val="en-US"/>
        </w:rPr>
        <w:t>7</w:t>
      </w:r>
      <w:r w:rsidR="007F69A7" w:rsidRPr="00B6133E">
        <w:rPr>
          <w:rFonts w:ascii="Times New Roman" w:hAnsi="Times New Roman" w:cs="Times New Roman"/>
          <w:b/>
          <w:lang w:val="en-US"/>
        </w:rPr>
        <w:t>C)</w:t>
      </w:r>
      <w:r w:rsidR="007F69A7" w:rsidRPr="00B6133E">
        <w:rPr>
          <w:rFonts w:ascii="Times New Roman" w:hAnsi="Times New Roman" w:cs="Times New Roman"/>
          <w:lang w:val="en-US"/>
        </w:rPr>
        <w:t xml:space="preserve"> were similar to </w:t>
      </w:r>
      <w:r w:rsidR="00BE5EB3" w:rsidRPr="00B6133E">
        <w:rPr>
          <w:rFonts w:ascii="Times New Roman" w:hAnsi="Times New Roman" w:cs="Times New Roman"/>
          <w:lang w:val="en-US"/>
        </w:rPr>
        <w:t xml:space="preserve">the </w:t>
      </w:r>
      <w:r w:rsidR="007F69A7" w:rsidRPr="00B6133E">
        <w:rPr>
          <w:rFonts w:ascii="Times New Roman" w:hAnsi="Times New Roman" w:cs="Times New Roman"/>
          <w:lang w:val="en-US"/>
        </w:rPr>
        <w:t>frequencies in first line patients</w:t>
      </w:r>
      <w:r w:rsidR="00BE5EB3" w:rsidRPr="00B6133E">
        <w:rPr>
          <w:rFonts w:ascii="Times New Roman" w:hAnsi="Times New Roman" w:cs="Times New Roman"/>
          <w:lang w:val="en-US"/>
        </w:rPr>
        <w:t xml:space="preserve"> shown in </w:t>
      </w:r>
      <w:r w:rsidR="00BE5EB3" w:rsidRPr="00B6133E">
        <w:rPr>
          <w:rFonts w:ascii="Times New Roman" w:hAnsi="Times New Roman" w:cs="Times New Roman"/>
          <w:b/>
          <w:lang w:val="en-US"/>
        </w:rPr>
        <w:t>Table 1</w:t>
      </w:r>
      <w:r w:rsidR="007F69A7" w:rsidRPr="00B6133E">
        <w:rPr>
          <w:rFonts w:ascii="Times New Roman" w:hAnsi="Times New Roman" w:cs="Times New Roman"/>
          <w:lang w:val="en-US"/>
        </w:rPr>
        <w:t xml:space="preserve">. </w:t>
      </w:r>
      <w:r w:rsidR="003944AC" w:rsidRPr="00B6133E">
        <w:rPr>
          <w:rFonts w:ascii="Times New Roman" w:hAnsi="Times New Roman" w:cs="Times New Roman"/>
          <w:lang w:val="en-US"/>
        </w:rPr>
        <w:t xml:space="preserve">Finally, we </w:t>
      </w:r>
      <w:r w:rsidR="00B522D7" w:rsidRPr="00B6133E">
        <w:rPr>
          <w:rFonts w:ascii="Times New Roman" w:hAnsi="Times New Roman" w:cs="Times New Roman"/>
          <w:lang w:val="en-US"/>
        </w:rPr>
        <w:t xml:space="preserve">observed </w:t>
      </w:r>
      <w:r w:rsidR="003944AC" w:rsidRPr="00B6133E">
        <w:rPr>
          <w:rFonts w:ascii="Times New Roman" w:hAnsi="Times New Roman" w:cs="Times New Roman"/>
          <w:lang w:val="en-US"/>
        </w:rPr>
        <w:t xml:space="preserve">that </w:t>
      </w:r>
      <w:r w:rsidR="00B522D7" w:rsidRPr="00B6133E">
        <w:rPr>
          <w:rFonts w:ascii="Times New Roman" w:hAnsi="Times New Roman" w:cs="Times New Roman"/>
          <w:lang w:val="en-US"/>
        </w:rPr>
        <w:t>9</w:t>
      </w:r>
      <w:r w:rsidR="00727AC7" w:rsidRPr="00B6133E">
        <w:rPr>
          <w:rFonts w:ascii="Times New Roman" w:hAnsi="Times New Roman" w:cs="Times New Roman"/>
          <w:lang w:val="en-US"/>
        </w:rPr>
        <w:t xml:space="preserve"> out of 12 human myeloma cancer cell lines were </w:t>
      </w:r>
      <w:r w:rsidR="003944AC" w:rsidRPr="00B6133E">
        <w:rPr>
          <w:rFonts w:ascii="Times New Roman" w:hAnsi="Times New Roman" w:cs="Times New Roman"/>
          <w:lang w:val="en-US"/>
        </w:rPr>
        <w:t xml:space="preserve">classified as </w:t>
      </w:r>
      <w:r w:rsidR="00727AC7" w:rsidRPr="00B6133E">
        <w:rPr>
          <w:rFonts w:ascii="Times New Roman" w:hAnsi="Times New Roman" w:cs="Times New Roman"/>
          <w:lang w:val="en-US"/>
        </w:rPr>
        <w:t>PC subtypes (</w:t>
      </w:r>
      <w:r w:rsidR="00727AC7" w:rsidRPr="00B6133E">
        <w:rPr>
          <w:rFonts w:ascii="Times New Roman" w:hAnsi="Times New Roman" w:cs="Times New Roman"/>
          <w:b/>
          <w:lang w:val="en-US"/>
        </w:rPr>
        <w:t>Table S</w:t>
      </w:r>
      <w:r w:rsidR="00DF3856" w:rsidRPr="00B6133E">
        <w:rPr>
          <w:rFonts w:ascii="Times New Roman" w:hAnsi="Times New Roman" w:cs="Times New Roman"/>
          <w:b/>
          <w:lang w:val="en-US"/>
        </w:rPr>
        <w:t>8</w:t>
      </w:r>
      <w:r w:rsidR="00727AC7" w:rsidRPr="00B6133E">
        <w:rPr>
          <w:rFonts w:ascii="Times New Roman" w:hAnsi="Times New Roman" w:cs="Times New Roman"/>
          <w:lang w:val="en-US"/>
        </w:rPr>
        <w:t xml:space="preserve">). </w:t>
      </w:r>
    </w:p>
    <w:p w14:paraId="55E43791" w14:textId="77777777" w:rsidR="00DD46A8" w:rsidRPr="00B6133E" w:rsidRDefault="009D5051" w:rsidP="00826CA4">
      <w:pPr>
        <w:pStyle w:val="Overskrift3"/>
        <w:rPr>
          <w:rFonts w:ascii="Times New Roman" w:hAnsi="Times New Roman" w:cs="Times New Roman"/>
        </w:rPr>
      </w:pPr>
      <w:r w:rsidRPr="00B6133E">
        <w:rPr>
          <w:rFonts w:ascii="Times New Roman" w:hAnsi="Times New Roman" w:cs="Times New Roman"/>
        </w:rPr>
        <w:lastRenderedPageBreak/>
        <w:t>C</w:t>
      </w:r>
      <w:r w:rsidR="00DD46A8" w:rsidRPr="00B6133E">
        <w:rPr>
          <w:rFonts w:ascii="Times New Roman" w:hAnsi="Times New Roman" w:cs="Times New Roman"/>
        </w:rPr>
        <w:t xml:space="preserve">haracterization of BAGS subtypes </w:t>
      </w:r>
    </w:p>
    <w:p w14:paraId="24964017" w14:textId="282A4A6D" w:rsidR="00C2216E" w:rsidRPr="00B6133E" w:rsidRDefault="00C2216E" w:rsidP="00B22E77">
      <w:pPr>
        <w:spacing w:line="480" w:lineRule="auto"/>
        <w:jc w:val="left"/>
        <w:rPr>
          <w:rFonts w:ascii="Times New Roman" w:hAnsi="Times New Roman" w:cs="Times New Roman"/>
          <w:lang w:val="en-GB"/>
        </w:rPr>
      </w:pPr>
      <w:r w:rsidRPr="00B6133E">
        <w:rPr>
          <w:rFonts w:ascii="Times New Roman" w:hAnsi="Times New Roman" w:cs="Times New Roman"/>
          <w:lang w:val="en-GB"/>
        </w:rPr>
        <w:t xml:space="preserve">Differential expression analysis of BAGS subtypes with poor prognosis (Pre-BII </w:t>
      </w:r>
      <w:r w:rsidR="007C1AAA" w:rsidRPr="00B6133E">
        <w:rPr>
          <w:rFonts w:ascii="Times New Roman" w:hAnsi="Times New Roman" w:cs="Times New Roman"/>
          <w:lang w:val="en-GB"/>
        </w:rPr>
        <w:t>or</w:t>
      </w:r>
      <w:r w:rsidRPr="00B6133E">
        <w:rPr>
          <w:rFonts w:ascii="Times New Roman" w:hAnsi="Times New Roman" w:cs="Times New Roman"/>
          <w:lang w:val="en-GB"/>
        </w:rPr>
        <w:t xml:space="preserve"> Memory</w:t>
      </w:r>
      <w:r w:rsidR="007C1AAA" w:rsidRPr="00B6133E">
        <w:rPr>
          <w:rFonts w:ascii="Times New Roman" w:hAnsi="Times New Roman" w:cs="Times New Roman"/>
          <w:lang w:val="en-GB"/>
        </w:rPr>
        <w:t xml:space="preserve"> vs the rest</w:t>
      </w:r>
      <w:r w:rsidRPr="00B6133E">
        <w:rPr>
          <w:rFonts w:ascii="Times New Roman" w:hAnsi="Times New Roman" w:cs="Times New Roman"/>
          <w:lang w:val="en-GB"/>
        </w:rPr>
        <w:t xml:space="preserve">) </w:t>
      </w:r>
      <w:r w:rsidRPr="00B6133E">
        <w:rPr>
          <w:rFonts w:ascii="Times New Roman" w:hAnsi="Times New Roman" w:cs="Times New Roman"/>
          <w:lang w:val="en-US"/>
        </w:rPr>
        <w:t xml:space="preserve">identified hundreds of genes with a highly significant differential expression as given in </w:t>
      </w:r>
      <w:r w:rsidRPr="00B6133E">
        <w:rPr>
          <w:rFonts w:ascii="Times New Roman" w:hAnsi="Times New Roman" w:cs="Times New Roman"/>
          <w:b/>
          <w:lang w:val="en-US"/>
        </w:rPr>
        <w:t>Table S</w:t>
      </w:r>
      <w:r w:rsidR="00DF3856" w:rsidRPr="00B6133E">
        <w:rPr>
          <w:rFonts w:ascii="Times New Roman" w:hAnsi="Times New Roman" w:cs="Times New Roman"/>
          <w:b/>
          <w:lang w:val="en-US"/>
        </w:rPr>
        <w:t>9</w:t>
      </w:r>
      <w:r w:rsidRPr="00B6133E">
        <w:rPr>
          <w:rFonts w:ascii="Times New Roman" w:hAnsi="Times New Roman" w:cs="Times New Roman"/>
          <w:b/>
          <w:lang w:val="en-US"/>
        </w:rPr>
        <w:t xml:space="preserve">A-B </w:t>
      </w:r>
      <w:r w:rsidRPr="00B6133E">
        <w:rPr>
          <w:rFonts w:ascii="Times New Roman" w:hAnsi="Times New Roman" w:cs="Times New Roman"/>
          <w:lang w:val="en-US"/>
        </w:rPr>
        <w:t xml:space="preserve">for the Pre-BII and Memory subtypes, respectively. GO enrichment of significant genes showed that the Pre-BII subtype myelomas are enriched for the categories mitotic cell cycle, nuclear division and DNA-dependent DNA replication </w:t>
      </w:r>
      <w:r w:rsidRPr="00B6133E">
        <w:rPr>
          <w:rFonts w:ascii="Times New Roman" w:hAnsi="Times New Roman" w:cs="Times New Roman"/>
          <w:b/>
          <w:lang w:val="en-US"/>
        </w:rPr>
        <w:t>(Table S</w:t>
      </w:r>
      <w:r w:rsidR="00DF3856" w:rsidRPr="00B6133E">
        <w:rPr>
          <w:rFonts w:ascii="Times New Roman" w:hAnsi="Times New Roman" w:cs="Times New Roman"/>
          <w:b/>
          <w:lang w:val="en-US"/>
        </w:rPr>
        <w:t>10</w:t>
      </w:r>
      <w:r w:rsidRPr="00B6133E">
        <w:rPr>
          <w:rFonts w:ascii="Times New Roman" w:hAnsi="Times New Roman" w:cs="Times New Roman"/>
          <w:b/>
          <w:lang w:val="en-US"/>
        </w:rPr>
        <w:t>A)</w:t>
      </w:r>
      <w:r w:rsidRPr="00B6133E">
        <w:rPr>
          <w:rFonts w:ascii="Times New Roman" w:hAnsi="Times New Roman" w:cs="Times New Roman"/>
          <w:lang w:val="en-US"/>
        </w:rPr>
        <w:t>, and Memory subtype myelomas are enriched for the categories cell-cell signaling</w:t>
      </w:r>
      <w:r w:rsidRPr="00B6133E">
        <w:rPr>
          <w:rFonts w:ascii="Times New Roman" w:hAnsi="Times New Roman" w:cs="Times New Roman"/>
          <w:b/>
          <w:lang w:val="en-US"/>
        </w:rPr>
        <w:t xml:space="preserve">, </w:t>
      </w:r>
      <w:r w:rsidRPr="00B6133E">
        <w:rPr>
          <w:rFonts w:ascii="Times New Roman" w:hAnsi="Times New Roman" w:cs="Times New Roman"/>
          <w:lang w:val="en-US"/>
        </w:rPr>
        <w:t>synaptic transmission</w:t>
      </w:r>
      <w:r w:rsidRPr="00B6133E">
        <w:rPr>
          <w:rFonts w:ascii="Times New Roman" w:hAnsi="Times New Roman" w:cs="Times New Roman"/>
          <w:b/>
          <w:lang w:val="en-US"/>
        </w:rPr>
        <w:t xml:space="preserve">, </w:t>
      </w:r>
      <w:r w:rsidRPr="00B6133E">
        <w:rPr>
          <w:rFonts w:ascii="Times New Roman" w:hAnsi="Times New Roman" w:cs="Times New Roman"/>
          <w:lang w:val="en-US"/>
        </w:rPr>
        <w:t xml:space="preserve">multicellular organismal process </w:t>
      </w:r>
      <w:r w:rsidRPr="00B6133E">
        <w:rPr>
          <w:rFonts w:ascii="Times New Roman" w:hAnsi="Times New Roman" w:cs="Times New Roman"/>
          <w:b/>
          <w:lang w:val="en-US"/>
        </w:rPr>
        <w:t>(Table S</w:t>
      </w:r>
      <w:r w:rsidR="00DF3856" w:rsidRPr="00B6133E">
        <w:rPr>
          <w:rFonts w:ascii="Times New Roman" w:hAnsi="Times New Roman" w:cs="Times New Roman"/>
          <w:b/>
          <w:lang w:val="en-US"/>
        </w:rPr>
        <w:t>10</w:t>
      </w:r>
      <w:r w:rsidRPr="00B6133E">
        <w:rPr>
          <w:rFonts w:ascii="Times New Roman" w:hAnsi="Times New Roman" w:cs="Times New Roman"/>
          <w:b/>
          <w:lang w:val="en-US"/>
        </w:rPr>
        <w:t>B)</w:t>
      </w:r>
      <w:r w:rsidRPr="00B6133E">
        <w:rPr>
          <w:rFonts w:ascii="Times New Roman" w:hAnsi="Times New Roman" w:cs="Times New Roman"/>
          <w:lang w:val="en-US"/>
        </w:rPr>
        <w:t>. For more detail see Supplementary text 1.</w:t>
      </w:r>
    </w:p>
    <w:p w14:paraId="7045BDA5" w14:textId="2861D9EB" w:rsidR="004961BB" w:rsidRPr="00B6133E" w:rsidRDefault="00C2216E" w:rsidP="00B22E77">
      <w:pPr>
        <w:spacing w:line="480" w:lineRule="auto"/>
        <w:jc w:val="left"/>
        <w:rPr>
          <w:rFonts w:ascii="Times New Roman" w:hAnsi="Times New Roman" w:cs="Times New Roman"/>
          <w:b/>
          <w:bCs/>
          <w:iCs/>
          <w:caps/>
          <w:sz w:val="28"/>
          <w:szCs w:val="28"/>
          <w:lang w:val="en-US"/>
        </w:rPr>
      </w:pPr>
      <w:r w:rsidRPr="00B6133E">
        <w:rPr>
          <w:rFonts w:ascii="Times New Roman" w:hAnsi="Times New Roman" w:cs="Times New Roman"/>
          <w:lang w:val="en-GB"/>
        </w:rPr>
        <w:t>Finally, i</w:t>
      </w:r>
      <w:r w:rsidR="00E0404B" w:rsidRPr="00B6133E">
        <w:rPr>
          <w:rFonts w:ascii="Times New Roman" w:hAnsi="Times New Roman" w:cs="Times New Roman"/>
          <w:lang w:val="en-GB"/>
        </w:rPr>
        <w:t>n order to detect whether</w:t>
      </w:r>
      <w:r w:rsidR="00642C28" w:rsidRPr="00B6133E">
        <w:rPr>
          <w:rFonts w:ascii="Times New Roman" w:hAnsi="Times New Roman" w:cs="Times New Roman"/>
          <w:lang w:val="en-GB"/>
        </w:rPr>
        <w:t xml:space="preserve"> </w:t>
      </w:r>
      <w:r w:rsidRPr="00B6133E">
        <w:rPr>
          <w:rFonts w:ascii="Times New Roman" w:hAnsi="Times New Roman" w:cs="Times New Roman"/>
          <w:lang w:val="en-GB"/>
        </w:rPr>
        <w:t xml:space="preserve">the </w:t>
      </w:r>
      <w:r w:rsidR="000A62A9" w:rsidRPr="00B6133E">
        <w:rPr>
          <w:rFonts w:ascii="Times New Roman" w:hAnsi="Times New Roman" w:cs="Times New Roman"/>
          <w:lang w:val="en-GB"/>
        </w:rPr>
        <w:t>Pre-BII and</w:t>
      </w:r>
      <w:r w:rsidR="00E0404B" w:rsidRPr="00B6133E">
        <w:rPr>
          <w:rFonts w:ascii="Times New Roman" w:hAnsi="Times New Roman" w:cs="Times New Roman"/>
          <w:lang w:val="en-GB"/>
        </w:rPr>
        <w:t xml:space="preserve"> Memory</w:t>
      </w:r>
      <w:r w:rsidRPr="00B6133E">
        <w:rPr>
          <w:rFonts w:ascii="Times New Roman" w:hAnsi="Times New Roman" w:cs="Times New Roman"/>
          <w:lang w:val="en-GB"/>
        </w:rPr>
        <w:t xml:space="preserve"> subtypes</w:t>
      </w:r>
      <w:r w:rsidR="00E0404B" w:rsidRPr="00B6133E">
        <w:rPr>
          <w:rFonts w:ascii="Times New Roman" w:hAnsi="Times New Roman" w:cs="Times New Roman"/>
          <w:lang w:val="en-GB"/>
        </w:rPr>
        <w:t xml:space="preserve"> showed alternative splicing patterns associated with oncogenesis, we investigated alternative exon usage in the </w:t>
      </w:r>
      <w:r w:rsidR="007204D2" w:rsidRPr="00B6133E">
        <w:rPr>
          <w:rFonts w:ascii="Times New Roman" w:hAnsi="Times New Roman" w:cs="Times New Roman"/>
          <w:lang w:val="en-GB"/>
        </w:rPr>
        <w:t>IFM-</w:t>
      </w:r>
      <w:r w:rsidR="00E0404B" w:rsidRPr="00B6133E">
        <w:rPr>
          <w:rFonts w:ascii="Times New Roman" w:hAnsi="Times New Roman" w:cs="Times New Roman"/>
          <w:lang w:val="en-GB"/>
        </w:rPr>
        <w:t xml:space="preserve">DFCI data set. Results suggested Pre-BII-specific alternative exon usage for </w:t>
      </w:r>
      <w:r w:rsidR="004A592D" w:rsidRPr="00B6133E">
        <w:rPr>
          <w:rFonts w:ascii="Times New Roman" w:hAnsi="Times New Roman" w:cs="Times New Roman"/>
          <w:lang w:val="en-GB"/>
        </w:rPr>
        <w:t>1</w:t>
      </w:r>
      <w:r w:rsidR="00685F11" w:rsidRPr="00B6133E">
        <w:rPr>
          <w:rFonts w:ascii="Times New Roman" w:hAnsi="Times New Roman" w:cs="Times New Roman"/>
          <w:lang w:val="en-GB"/>
        </w:rPr>
        <w:t>6</w:t>
      </w:r>
      <w:r w:rsidR="004A592D" w:rsidRPr="00B6133E">
        <w:rPr>
          <w:rFonts w:ascii="Times New Roman" w:hAnsi="Times New Roman" w:cs="Times New Roman"/>
          <w:lang w:val="en-GB"/>
        </w:rPr>
        <w:t xml:space="preserve"> </w:t>
      </w:r>
      <w:r w:rsidR="00E0404B" w:rsidRPr="00B6133E">
        <w:rPr>
          <w:rFonts w:ascii="Times New Roman" w:hAnsi="Times New Roman" w:cs="Times New Roman"/>
          <w:lang w:val="en-GB"/>
        </w:rPr>
        <w:t>genes (</w:t>
      </w:r>
      <w:r w:rsidR="00E0404B" w:rsidRPr="00B6133E">
        <w:rPr>
          <w:rFonts w:ascii="Times New Roman" w:hAnsi="Times New Roman" w:cs="Times New Roman"/>
          <w:b/>
          <w:lang w:val="en-GB"/>
        </w:rPr>
        <w:t>Table S</w:t>
      </w:r>
      <w:r w:rsidR="00DF3856" w:rsidRPr="00B6133E">
        <w:rPr>
          <w:rFonts w:ascii="Times New Roman" w:hAnsi="Times New Roman" w:cs="Times New Roman"/>
          <w:b/>
          <w:lang w:val="en-GB"/>
        </w:rPr>
        <w:t>1</w:t>
      </w:r>
      <w:r w:rsidR="00AF74E8" w:rsidRPr="00B6133E">
        <w:rPr>
          <w:rFonts w:ascii="Times New Roman" w:hAnsi="Times New Roman" w:cs="Times New Roman"/>
          <w:b/>
          <w:lang w:val="en-GB"/>
        </w:rPr>
        <w:t>A</w:t>
      </w:r>
      <w:r w:rsidR="00E0404B" w:rsidRPr="00B6133E">
        <w:rPr>
          <w:rFonts w:ascii="Times New Roman" w:hAnsi="Times New Roman" w:cs="Times New Roman"/>
          <w:lang w:val="en-GB"/>
        </w:rPr>
        <w:t>), which were especially associated with biological processes involved in cell cycle regulation (</w:t>
      </w:r>
      <w:r w:rsidR="00E0404B" w:rsidRPr="00B6133E">
        <w:rPr>
          <w:rFonts w:ascii="Times New Roman" w:hAnsi="Times New Roman" w:cs="Times New Roman"/>
          <w:b/>
          <w:lang w:val="en-GB"/>
        </w:rPr>
        <w:t>Table S</w:t>
      </w:r>
      <w:r w:rsidR="00DF3856" w:rsidRPr="00B6133E">
        <w:rPr>
          <w:rFonts w:ascii="Times New Roman" w:hAnsi="Times New Roman" w:cs="Times New Roman"/>
          <w:b/>
          <w:lang w:val="en-GB"/>
        </w:rPr>
        <w:t>3</w:t>
      </w:r>
      <w:r w:rsidR="00AF74E8" w:rsidRPr="00B6133E">
        <w:rPr>
          <w:rFonts w:ascii="Times New Roman" w:hAnsi="Times New Roman" w:cs="Times New Roman"/>
          <w:b/>
          <w:lang w:val="en-GB"/>
        </w:rPr>
        <w:t>A</w:t>
      </w:r>
      <w:r w:rsidR="00E0404B" w:rsidRPr="00B6133E">
        <w:rPr>
          <w:rFonts w:ascii="Times New Roman" w:hAnsi="Times New Roman" w:cs="Times New Roman"/>
          <w:lang w:val="en-GB"/>
        </w:rPr>
        <w:t xml:space="preserve">). In </w:t>
      </w:r>
      <w:r w:rsidR="000A62A9" w:rsidRPr="00B6133E">
        <w:rPr>
          <w:rFonts w:ascii="Times New Roman" w:hAnsi="Times New Roman" w:cs="Times New Roman"/>
          <w:lang w:val="en-GB"/>
        </w:rPr>
        <w:t xml:space="preserve">Memory subtype cases, </w:t>
      </w:r>
      <w:r w:rsidR="00ED2D62" w:rsidRPr="00B6133E">
        <w:rPr>
          <w:rFonts w:ascii="Times New Roman" w:hAnsi="Times New Roman" w:cs="Times New Roman"/>
          <w:lang w:val="en-GB"/>
        </w:rPr>
        <w:t xml:space="preserve">we only identified </w:t>
      </w:r>
      <w:r w:rsidR="004A592D" w:rsidRPr="00B6133E">
        <w:rPr>
          <w:rFonts w:ascii="Times New Roman" w:hAnsi="Times New Roman" w:cs="Times New Roman"/>
          <w:lang w:val="en-GB"/>
        </w:rPr>
        <w:t xml:space="preserve">2 </w:t>
      </w:r>
      <w:r w:rsidR="00E0404B" w:rsidRPr="00B6133E">
        <w:rPr>
          <w:rFonts w:ascii="Times New Roman" w:hAnsi="Times New Roman" w:cs="Times New Roman"/>
          <w:lang w:val="en-GB"/>
        </w:rPr>
        <w:t>candidate genes with potential alternative exon usage (</w:t>
      </w:r>
      <w:r w:rsidR="00E0404B" w:rsidRPr="00B6133E">
        <w:rPr>
          <w:rFonts w:ascii="Times New Roman" w:hAnsi="Times New Roman" w:cs="Times New Roman"/>
          <w:b/>
          <w:lang w:val="en-GB"/>
        </w:rPr>
        <w:t>Table S</w:t>
      </w:r>
      <w:r w:rsidR="00DF3856" w:rsidRPr="00B6133E">
        <w:rPr>
          <w:rFonts w:ascii="Times New Roman" w:hAnsi="Times New Roman" w:cs="Times New Roman"/>
          <w:b/>
          <w:lang w:val="en-GB"/>
        </w:rPr>
        <w:t>1</w:t>
      </w:r>
      <w:r w:rsidR="00AF74E8" w:rsidRPr="00B6133E">
        <w:rPr>
          <w:rFonts w:ascii="Times New Roman" w:hAnsi="Times New Roman" w:cs="Times New Roman"/>
          <w:b/>
          <w:lang w:val="en-GB"/>
        </w:rPr>
        <w:t>B</w:t>
      </w:r>
      <w:r w:rsidR="00E0404B" w:rsidRPr="00B6133E">
        <w:rPr>
          <w:rFonts w:ascii="Times New Roman" w:hAnsi="Times New Roman" w:cs="Times New Roman"/>
          <w:lang w:val="en-GB"/>
        </w:rPr>
        <w:t>)</w:t>
      </w:r>
      <w:r w:rsidR="000A62A9" w:rsidRPr="00B6133E">
        <w:rPr>
          <w:rFonts w:ascii="Times New Roman" w:hAnsi="Times New Roman" w:cs="Times New Roman"/>
          <w:lang w:val="en-GB"/>
        </w:rPr>
        <w:t xml:space="preserve"> </w:t>
      </w:r>
      <w:r w:rsidR="00E0404B" w:rsidRPr="00B6133E">
        <w:rPr>
          <w:rFonts w:ascii="Times New Roman" w:hAnsi="Times New Roman" w:cs="Times New Roman"/>
          <w:lang w:val="en-GB"/>
        </w:rPr>
        <w:t xml:space="preserve">associated with basic cell functions including regulation of programmed cell death, metabolism, and </w:t>
      </w:r>
      <w:proofErr w:type="spellStart"/>
      <w:r w:rsidR="00E0404B" w:rsidRPr="00B6133E">
        <w:rPr>
          <w:rFonts w:ascii="Times New Roman" w:hAnsi="Times New Roman" w:cs="Times New Roman"/>
          <w:lang w:val="en-GB"/>
        </w:rPr>
        <w:t>signaling</w:t>
      </w:r>
      <w:proofErr w:type="spellEnd"/>
      <w:r w:rsidR="00E0404B" w:rsidRPr="00B6133E">
        <w:rPr>
          <w:rFonts w:ascii="Times New Roman" w:hAnsi="Times New Roman" w:cs="Times New Roman"/>
          <w:lang w:val="en-GB"/>
        </w:rPr>
        <w:t xml:space="preserve"> transduction (</w:t>
      </w:r>
      <w:r w:rsidR="00E0404B" w:rsidRPr="00B6133E">
        <w:rPr>
          <w:rFonts w:ascii="Times New Roman" w:hAnsi="Times New Roman" w:cs="Times New Roman"/>
          <w:b/>
          <w:lang w:val="en-GB"/>
        </w:rPr>
        <w:t>Table S</w:t>
      </w:r>
      <w:r w:rsidR="00DF3856" w:rsidRPr="00B6133E">
        <w:rPr>
          <w:rFonts w:ascii="Times New Roman" w:hAnsi="Times New Roman" w:cs="Times New Roman"/>
          <w:b/>
          <w:lang w:val="en-GB"/>
        </w:rPr>
        <w:t>3</w:t>
      </w:r>
      <w:r w:rsidR="00AF74E8" w:rsidRPr="00B6133E">
        <w:rPr>
          <w:rFonts w:ascii="Times New Roman" w:hAnsi="Times New Roman" w:cs="Times New Roman"/>
          <w:b/>
          <w:lang w:val="en-GB"/>
        </w:rPr>
        <w:t>B</w:t>
      </w:r>
      <w:r w:rsidR="00E0404B" w:rsidRPr="00B6133E">
        <w:rPr>
          <w:rFonts w:ascii="Times New Roman" w:hAnsi="Times New Roman" w:cs="Times New Roman"/>
          <w:lang w:val="en-GB"/>
        </w:rPr>
        <w:t xml:space="preserve">). Comparison </w:t>
      </w:r>
      <w:r w:rsidRPr="00B6133E">
        <w:rPr>
          <w:rFonts w:ascii="Times New Roman" w:hAnsi="Times New Roman" w:cs="Times New Roman"/>
          <w:lang w:val="en-GB"/>
        </w:rPr>
        <w:t xml:space="preserve">to </w:t>
      </w:r>
      <w:r w:rsidR="00E0404B" w:rsidRPr="00B6133E">
        <w:rPr>
          <w:rFonts w:ascii="Times New Roman" w:hAnsi="Times New Roman" w:cs="Times New Roman"/>
          <w:lang w:val="en-GB"/>
        </w:rPr>
        <w:t>alternative exon usage patterns detected in non-malignant samples (</w:t>
      </w:r>
      <w:r w:rsidR="00E0404B" w:rsidRPr="00B6133E">
        <w:rPr>
          <w:rFonts w:ascii="Times New Roman" w:hAnsi="Times New Roman" w:cs="Times New Roman"/>
          <w:b/>
          <w:lang w:val="en-GB"/>
        </w:rPr>
        <w:t>Table S1</w:t>
      </w:r>
      <w:r w:rsidR="00AF74E8" w:rsidRPr="00B6133E">
        <w:rPr>
          <w:rFonts w:ascii="Times New Roman" w:hAnsi="Times New Roman" w:cs="Times New Roman"/>
          <w:b/>
          <w:lang w:val="en-GB"/>
        </w:rPr>
        <w:t>1</w:t>
      </w:r>
      <w:r w:rsidR="00E0404B" w:rsidRPr="00B6133E">
        <w:rPr>
          <w:rFonts w:ascii="Times New Roman" w:hAnsi="Times New Roman" w:cs="Times New Roman"/>
          <w:lang w:val="en-GB"/>
        </w:rPr>
        <w:t xml:space="preserve">) indicated that the majority of </w:t>
      </w:r>
      <w:r w:rsidR="00965000" w:rsidRPr="00B6133E">
        <w:rPr>
          <w:rFonts w:ascii="Times New Roman" w:hAnsi="Times New Roman" w:cs="Times New Roman"/>
          <w:lang w:val="en-GB"/>
        </w:rPr>
        <w:t xml:space="preserve">events were specific to </w:t>
      </w:r>
      <w:r w:rsidR="00E0404B" w:rsidRPr="00B6133E">
        <w:rPr>
          <w:rFonts w:ascii="Times New Roman" w:hAnsi="Times New Roman" w:cs="Times New Roman"/>
          <w:lang w:val="en-GB"/>
        </w:rPr>
        <w:t>m</w:t>
      </w:r>
      <w:r w:rsidR="00965000" w:rsidRPr="00B6133E">
        <w:rPr>
          <w:rFonts w:ascii="Times New Roman" w:hAnsi="Times New Roman" w:cs="Times New Roman"/>
          <w:lang w:val="en-GB"/>
        </w:rPr>
        <w:t>alignant samples, suggesting association to</w:t>
      </w:r>
      <w:r w:rsidR="00E0404B" w:rsidRPr="00B6133E">
        <w:rPr>
          <w:rFonts w:ascii="Times New Roman" w:hAnsi="Times New Roman" w:cs="Times New Roman"/>
          <w:lang w:val="en-GB"/>
        </w:rPr>
        <w:t xml:space="preserve"> oncogenesis.</w:t>
      </w:r>
      <w:r w:rsidR="004961BB" w:rsidRPr="00B6133E">
        <w:rPr>
          <w:rFonts w:ascii="Times New Roman" w:hAnsi="Times New Roman" w:cs="Times New Roman"/>
          <w:lang w:val="en-US"/>
        </w:rPr>
        <w:br w:type="page"/>
      </w:r>
    </w:p>
    <w:p w14:paraId="1852021A" w14:textId="5E0B3D91" w:rsidR="00815081" w:rsidRPr="00B6133E" w:rsidRDefault="00815081" w:rsidP="00B6133E">
      <w:pPr>
        <w:pStyle w:val="Overskrift2"/>
      </w:pPr>
      <w:r w:rsidRPr="00B6133E">
        <w:lastRenderedPageBreak/>
        <w:t>discussion</w:t>
      </w:r>
    </w:p>
    <w:p w14:paraId="6AE8CAC9" w14:textId="3A1DA49A" w:rsidR="0062437D" w:rsidRPr="00B6133E" w:rsidRDefault="005F2EC7" w:rsidP="00B22E77">
      <w:pPr>
        <w:pStyle w:val="Overskrift3"/>
        <w:rPr>
          <w:rFonts w:ascii="Times New Roman" w:hAnsi="Times New Roman" w:cs="Times New Roman"/>
        </w:rPr>
      </w:pPr>
      <w:r w:rsidRPr="00B6133E">
        <w:rPr>
          <w:rFonts w:ascii="Times New Roman" w:hAnsi="Times New Roman" w:cs="Times New Roman"/>
          <w:b w:val="0"/>
        </w:rPr>
        <w:t>W</w:t>
      </w:r>
      <w:r w:rsidR="001C4A4E" w:rsidRPr="00B6133E">
        <w:rPr>
          <w:rFonts w:ascii="Times New Roman" w:hAnsi="Times New Roman" w:cs="Times New Roman"/>
          <w:b w:val="0"/>
        </w:rPr>
        <w:t xml:space="preserve">e </w:t>
      </w:r>
      <w:r w:rsidR="006333D3" w:rsidRPr="00B6133E">
        <w:rPr>
          <w:rFonts w:ascii="Times New Roman" w:hAnsi="Times New Roman" w:cs="Times New Roman"/>
          <w:b w:val="0"/>
        </w:rPr>
        <w:t xml:space="preserve">have </w:t>
      </w:r>
      <w:proofErr w:type="spellStart"/>
      <w:r w:rsidR="00FF1521" w:rsidRPr="00B6133E">
        <w:rPr>
          <w:rFonts w:ascii="Times New Roman" w:hAnsi="Times New Roman" w:cs="Times New Roman"/>
          <w:b w:val="0"/>
        </w:rPr>
        <w:t>phenotype</w:t>
      </w:r>
      <w:r w:rsidR="00616C05" w:rsidRPr="00B6133E">
        <w:rPr>
          <w:rFonts w:ascii="Times New Roman" w:hAnsi="Times New Roman" w:cs="Times New Roman"/>
          <w:b w:val="0"/>
        </w:rPr>
        <w:t>d</w:t>
      </w:r>
      <w:proofErr w:type="spellEnd"/>
      <w:r w:rsidR="001C4A4E" w:rsidRPr="00B6133E">
        <w:rPr>
          <w:rFonts w:ascii="Times New Roman" w:hAnsi="Times New Roman" w:cs="Times New Roman"/>
          <w:b w:val="0"/>
        </w:rPr>
        <w:t xml:space="preserve"> distinc</w:t>
      </w:r>
      <w:r w:rsidR="00F9626B" w:rsidRPr="00B6133E">
        <w:rPr>
          <w:rFonts w:ascii="Times New Roman" w:hAnsi="Times New Roman" w:cs="Times New Roman"/>
          <w:b w:val="0"/>
        </w:rPr>
        <w:t xml:space="preserve">t cellular subsets of </w:t>
      </w:r>
      <w:r w:rsidR="00FF1521" w:rsidRPr="00B6133E">
        <w:rPr>
          <w:rFonts w:ascii="Times New Roman" w:hAnsi="Times New Roman" w:cs="Times New Roman"/>
          <w:b w:val="0"/>
        </w:rPr>
        <w:t>B</w:t>
      </w:r>
      <w:r w:rsidR="0097212E" w:rsidRPr="00B6133E">
        <w:rPr>
          <w:rFonts w:ascii="Times New Roman" w:hAnsi="Times New Roman" w:cs="Times New Roman"/>
          <w:b w:val="0"/>
        </w:rPr>
        <w:t>-</w:t>
      </w:r>
      <w:r w:rsidR="00FF1521" w:rsidRPr="00B6133E">
        <w:rPr>
          <w:rFonts w:ascii="Times New Roman" w:hAnsi="Times New Roman" w:cs="Times New Roman"/>
          <w:b w:val="0"/>
        </w:rPr>
        <w:t xml:space="preserve">cells in </w:t>
      </w:r>
      <w:r w:rsidR="00F9626B" w:rsidRPr="00B6133E">
        <w:rPr>
          <w:rFonts w:ascii="Times New Roman" w:hAnsi="Times New Roman" w:cs="Times New Roman"/>
          <w:b w:val="0"/>
        </w:rPr>
        <w:t>the</w:t>
      </w:r>
      <w:r w:rsidR="00256822" w:rsidRPr="00B6133E">
        <w:rPr>
          <w:rFonts w:ascii="Times New Roman" w:hAnsi="Times New Roman" w:cs="Times New Roman"/>
          <w:b w:val="0"/>
        </w:rPr>
        <w:t xml:space="preserve"> normal</w:t>
      </w:r>
      <w:r w:rsidR="00F9626B" w:rsidRPr="00B6133E">
        <w:rPr>
          <w:rFonts w:ascii="Times New Roman" w:hAnsi="Times New Roman" w:cs="Times New Roman"/>
          <w:b w:val="0"/>
        </w:rPr>
        <w:t xml:space="preserve"> </w:t>
      </w:r>
      <w:r w:rsidR="00D75294" w:rsidRPr="00B6133E">
        <w:rPr>
          <w:rFonts w:ascii="Times New Roman" w:hAnsi="Times New Roman" w:cs="Times New Roman"/>
          <w:b w:val="0"/>
        </w:rPr>
        <w:t>BM</w:t>
      </w:r>
      <w:r w:rsidR="00256822" w:rsidRPr="00B6133E">
        <w:rPr>
          <w:rFonts w:ascii="Times New Roman" w:hAnsi="Times New Roman" w:cs="Times New Roman"/>
          <w:b w:val="0"/>
        </w:rPr>
        <w:t xml:space="preserve"> to generate </w:t>
      </w:r>
      <w:r w:rsidR="00616C05" w:rsidRPr="00B6133E">
        <w:rPr>
          <w:rFonts w:ascii="Times New Roman" w:hAnsi="Times New Roman" w:cs="Times New Roman"/>
          <w:b w:val="0"/>
        </w:rPr>
        <w:t xml:space="preserve">a </w:t>
      </w:r>
      <w:r w:rsidR="00256822" w:rsidRPr="00B6133E">
        <w:rPr>
          <w:rFonts w:ascii="Times New Roman" w:hAnsi="Times New Roman" w:cs="Times New Roman"/>
          <w:b w:val="0"/>
        </w:rPr>
        <w:t>BAGS</w:t>
      </w:r>
      <w:r w:rsidR="001C4A4E" w:rsidRPr="00B6133E">
        <w:rPr>
          <w:rFonts w:ascii="Times New Roman" w:hAnsi="Times New Roman" w:cs="Times New Roman"/>
          <w:b w:val="0"/>
        </w:rPr>
        <w:t xml:space="preserve"> </w:t>
      </w:r>
      <w:r w:rsidR="00616C05" w:rsidRPr="00B6133E">
        <w:rPr>
          <w:rFonts w:ascii="Times New Roman" w:hAnsi="Times New Roman" w:cs="Times New Roman"/>
          <w:b w:val="0"/>
        </w:rPr>
        <w:t xml:space="preserve">classifier </w:t>
      </w:r>
      <w:r w:rsidR="001C4A4E" w:rsidRPr="00B6133E">
        <w:rPr>
          <w:rFonts w:ascii="Times New Roman" w:hAnsi="Times New Roman" w:cs="Times New Roman"/>
          <w:b w:val="0"/>
        </w:rPr>
        <w:t xml:space="preserve">and </w:t>
      </w:r>
      <w:r w:rsidR="006333D3" w:rsidRPr="00B6133E">
        <w:rPr>
          <w:rFonts w:ascii="Times New Roman" w:hAnsi="Times New Roman" w:cs="Times New Roman"/>
          <w:b w:val="0"/>
        </w:rPr>
        <w:t>have</w:t>
      </w:r>
      <w:r w:rsidR="00256822" w:rsidRPr="00B6133E">
        <w:rPr>
          <w:rFonts w:ascii="Times New Roman" w:hAnsi="Times New Roman" w:cs="Times New Roman"/>
          <w:b w:val="0"/>
        </w:rPr>
        <w:t xml:space="preserve"> documented </w:t>
      </w:r>
      <w:r w:rsidR="00D679FE" w:rsidRPr="00B6133E">
        <w:rPr>
          <w:rFonts w:ascii="Times New Roman" w:hAnsi="Times New Roman" w:cs="Times New Roman"/>
          <w:b w:val="0"/>
        </w:rPr>
        <w:t xml:space="preserve">that </w:t>
      </w:r>
      <w:r w:rsidR="00256822" w:rsidRPr="00B6133E">
        <w:rPr>
          <w:rFonts w:ascii="Times New Roman" w:hAnsi="Times New Roman" w:cs="Times New Roman"/>
          <w:b w:val="0"/>
        </w:rPr>
        <w:t xml:space="preserve">the </w:t>
      </w:r>
      <w:r w:rsidR="00ED2D62" w:rsidRPr="00B6133E">
        <w:rPr>
          <w:rFonts w:ascii="Times New Roman" w:hAnsi="Times New Roman" w:cs="Times New Roman"/>
          <w:b w:val="0"/>
        </w:rPr>
        <w:t>assigned</w:t>
      </w:r>
      <w:r w:rsidR="00B30901" w:rsidRPr="00B6133E">
        <w:rPr>
          <w:rFonts w:ascii="Times New Roman" w:hAnsi="Times New Roman" w:cs="Times New Roman"/>
          <w:b w:val="0"/>
        </w:rPr>
        <w:t xml:space="preserve"> </w:t>
      </w:r>
      <w:r w:rsidR="00256822" w:rsidRPr="00B6133E">
        <w:rPr>
          <w:rFonts w:ascii="Times New Roman" w:hAnsi="Times New Roman" w:cs="Times New Roman"/>
          <w:b w:val="0"/>
        </w:rPr>
        <w:t>subtypes</w:t>
      </w:r>
      <w:r w:rsidR="00616C05" w:rsidRPr="00B6133E">
        <w:rPr>
          <w:rFonts w:ascii="Times New Roman" w:hAnsi="Times New Roman" w:cs="Times New Roman"/>
          <w:b w:val="0"/>
        </w:rPr>
        <w:t xml:space="preserve"> have </w:t>
      </w:r>
      <w:r w:rsidR="00256822" w:rsidRPr="00B6133E">
        <w:rPr>
          <w:rFonts w:ascii="Times New Roman" w:hAnsi="Times New Roman" w:cs="Times New Roman"/>
          <w:b w:val="0"/>
        </w:rPr>
        <w:t>prognostic impact.</w:t>
      </w:r>
      <w:r w:rsidR="00256822" w:rsidRPr="00B6133E">
        <w:rPr>
          <w:rFonts w:ascii="Times New Roman" w:hAnsi="Times New Roman" w:cs="Times New Roman"/>
        </w:rPr>
        <w:t xml:space="preserve"> </w:t>
      </w:r>
    </w:p>
    <w:p w14:paraId="471479D8" w14:textId="42F044E7" w:rsidR="00231290" w:rsidRPr="00B6133E" w:rsidRDefault="003F7E70" w:rsidP="0062437D">
      <w:pPr>
        <w:spacing w:before="0" w:after="0" w:line="480" w:lineRule="auto"/>
        <w:rPr>
          <w:rFonts w:ascii="Times New Roman" w:hAnsi="Times New Roman" w:cs="Times New Roman"/>
          <w:lang w:val="en-US"/>
        </w:rPr>
      </w:pPr>
      <w:r w:rsidRPr="00B6133E">
        <w:rPr>
          <w:rFonts w:ascii="Times New Roman" w:hAnsi="Times New Roman" w:cs="Times New Roman"/>
          <w:lang w:val="en-US"/>
        </w:rPr>
        <w:t>A</w:t>
      </w:r>
      <w:r w:rsidR="002352D6" w:rsidRPr="00B6133E">
        <w:rPr>
          <w:rFonts w:ascii="Times New Roman" w:hAnsi="Times New Roman" w:cs="Times New Roman"/>
          <w:lang w:val="en-US"/>
        </w:rPr>
        <w:t xml:space="preserve"> probability </w:t>
      </w:r>
      <w:r w:rsidR="00607CFF" w:rsidRPr="00B6133E">
        <w:rPr>
          <w:rFonts w:ascii="Times New Roman" w:hAnsi="Times New Roman" w:cs="Times New Roman"/>
          <w:lang w:val="en-US"/>
        </w:rPr>
        <w:t xml:space="preserve">estimate </w:t>
      </w:r>
      <w:r w:rsidR="002352D6" w:rsidRPr="00B6133E">
        <w:rPr>
          <w:rFonts w:ascii="Times New Roman" w:hAnsi="Times New Roman" w:cs="Times New Roman"/>
          <w:lang w:val="en-US"/>
        </w:rPr>
        <w:t>for each sample to be</w:t>
      </w:r>
      <w:r w:rsidR="008A04A6" w:rsidRPr="00B6133E">
        <w:rPr>
          <w:rFonts w:ascii="Times New Roman" w:hAnsi="Times New Roman" w:cs="Times New Roman"/>
          <w:lang w:val="en-US"/>
        </w:rPr>
        <w:t xml:space="preserve"> assigned to</w:t>
      </w:r>
      <w:r w:rsidR="002352D6" w:rsidRPr="00B6133E">
        <w:rPr>
          <w:rFonts w:ascii="Times New Roman" w:hAnsi="Times New Roman" w:cs="Times New Roman"/>
          <w:lang w:val="en-US"/>
        </w:rPr>
        <w:t xml:space="preserve"> </w:t>
      </w:r>
      <w:r w:rsidRPr="00B6133E">
        <w:rPr>
          <w:rFonts w:ascii="Times New Roman" w:hAnsi="Times New Roman" w:cs="Times New Roman"/>
          <w:lang w:val="en-US"/>
        </w:rPr>
        <w:t>each</w:t>
      </w:r>
      <w:r w:rsidR="00D11F36" w:rsidRPr="00B6133E">
        <w:rPr>
          <w:rFonts w:ascii="Times New Roman" w:hAnsi="Times New Roman" w:cs="Times New Roman"/>
          <w:lang w:val="en-US"/>
        </w:rPr>
        <w:t xml:space="preserve"> of the six</w:t>
      </w:r>
      <w:r w:rsidR="002352D6" w:rsidRPr="00B6133E">
        <w:rPr>
          <w:rFonts w:ascii="Times New Roman" w:hAnsi="Times New Roman" w:cs="Times New Roman"/>
          <w:lang w:val="en-US"/>
        </w:rPr>
        <w:t xml:space="preserve"> BAGS subtypes</w:t>
      </w:r>
      <w:r w:rsidRPr="00B6133E">
        <w:rPr>
          <w:rFonts w:ascii="Times New Roman" w:hAnsi="Times New Roman" w:cs="Times New Roman"/>
          <w:lang w:val="en-US"/>
        </w:rPr>
        <w:t xml:space="preserve"> was provided</w:t>
      </w:r>
      <w:r w:rsidR="002352D6" w:rsidRPr="00B6133E">
        <w:rPr>
          <w:rFonts w:ascii="Times New Roman" w:hAnsi="Times New Roman" w:cs="Times New Roman"/>
          <w:lang w:val="en-US"/>
        </w:rPr>
        <w:t xml:space="preserve">. Samples with </w:t>
      </w:r>
      <w:r w:rsidR="00607CFF" w:rsidRPr="00B6133E">
        <w:rPr>
          <w:rFonts w:ascii="Times New Roman" w:hAnsi="Times New Roman" w:cs="Times New Roman"/>
          <w:lang w:val="en-US"/>
        </w:rPr>
        <w:t xml:space="preserve">very </w:t>
      </w:r>
      <w:r w:rsidR="002352D6" w:rsidRPr="00B6133E">
        <w:rPr>
          <w:rFonts w:ascii="Times New Roman" w:hAnsi="Times New Roman" w:cs="Times New Roman"/>
          <w:lang w:val="en-US"/>
        </w:rPr>
        <w:t>low classification probabili</w:t>
      </w:r>
      <w:r w:rsidR="00607CFF" w:rsidRPr="00B6133E">
        <w:rPr>
          <w:rFonts w:ascii="Times New Roman" w:hAnsi="Times New Roman" w:cs="Times New Roman"/>
          <w:lang w:val="en-US"/>
        </w:rPr>
        <w:t>t</w:t>
      </w:r>
      <w:r w:rsidRPr="00B6133E">
        <w:rPr>
          <w:rFonts w:ascii="Times New Roman" w:hAnsi="Times New Roman" w:cs="Times New Roman"/>
          <w:lang w:val="en-US"/>
        </w:rPr>
        <w:t>ies</w:t>
      </w:r>
      <w:r w:rsidR="002352D6" w:rsidRPr="00B6133E">
        <w:rPr>
          <w:rFonts w:ascii="Times New Roman" w:hAnsi="Times New Roman" w:cs="Times New Roman"/>
          <w:lang w:val="en-US"/>
        </w:rPr>
        <w:t xml:space="preserve"> were labeled</w:t>
      </w:r>
      <w:r w:rsidR="00682248" w:rsidRPr="00B6133E">
        <w:rPr>
          <w:rFonts w:ascii="Times New Roman" w:hAnsi="Times New Roman" w:cs="Times New Roman"/>
          <w:lang w:val="en-US"/>
        </w:rPr>
        <w:t xml:space="preserve"> as</w:t>
      </w:r>
      <w:r w:rsidR="002352D6" w:rsidRPr="00B6133E">
        <w:rPr>
          <w:rFonts w:ascii="Times New Roman" w:hAnsi="Times New Roman" w:cs="Times New Roman"/>
          <w:lang w:val="en-US"/>
        </w:rPr>
        <w:t xml:space="preserve"> unclassified. The frequency of unclassified samples in other gene expression</w:t>
      </w:r>
      <w:r w:rsidR="00735C19" w:rsidRPr="00B6133E">
        <w:rPr>
          <w:rFonts w:ascii="Times New Roman" w:hAnsi="Times New Roman" w:cs="Times New Roman"/>
          <w:lang w:val="en-US"/>
        </w:rPr>
        <w:t>–</w:t>
      </w:r>
      <w:r w:rsidR="002352D6" w:rsidRPr="00B6133E">
        <w:rPr>
          <w:rFonts w:ascii="Times New Roman" w:hAnsi="Times New Roman" w:cs="Times New Roman"/>
          <w:lang w:val="en-US"/>
        </w:rPr>
        <w:t xml:space="preserve">based </w:t>
      </w:r>
      <w:r w:rsidR="00CB4F34" w:rsidRPr="00B6133E">
        <w:rPr>
          <w:rFonts w:ascii="Times New Roman" w:hAnsi="Times New Roman" w:cs="Times New Roman"/>
          <w:lang w:val="en-US"/>
        </w:rPr>
        <w:t>COO</w:t>
      </w:r>
      <w:r w:rsidR="002352D6" w:rsidRPr="00B6133E">
        <w:rPr>
          <w:rFonts w:ascii="Times New Roman" w:hAnsi="Times New Roman" w:cs="Times New Roman"/>
          <w:lang w:val="en-US"/>
        </w:rPr>
        <w:t xml:space="preserve"> classifications is around 15%</w:t>
      </w:r>
      <w:r w:rsidR="00D457EE"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{"citationItems":[{"id":"ITEM-1","itemData":{"DOI":"10.1038/nature09837","ISSN":"0028-0836","PMID":"21430775","abstract":"Multiple myeloma is an incurable malignancy of plasma cells, and its pathogenesis is poorly understood. Here we report the massively parallel sequencing of 38 tumour genomes and their comparison to matched normal DNAs. Several new and unexpected oncogenic mechanisms were suggested by the pattern of somatic mutation across the data set. These include the mutation of genes involved in protein translation (seen in nearly half of the patients), genes involved in histone methylation, and genes involved in blood coagulation. In addition, a broader than anticipated role of NF-κB signalling was indicated by mutations in 11 members of the NF-κB pathway. Of potential immediate clinical relevance, activating mutations of the kinase BRAF were observed in 4% of patients, suggesting the evaluation of BRAF inhibitors in multiple myeloma clinical trials. These results indicate that cancer genome sequencing of large collections of samples will yield new insights into cancer not anticipated by existing knowledge.","author":[{"dropping-particle":"","family":"Chapman","given":"Michael A.","non-dropping-particle":"","parse-names":false,"suffix":""},{"dropping-particle":"","family":"Lawrence","given":"Michael S.","non-dropping-particle":"","parse-names":false,"suffix":""},{"dropping-particle":"","family":"Keats","given":"Jonathan J.","non-dropping-particle":"","parse-names":false,"suffix":""},{"dropping-particle":"","family":"Cibulskis","given":"Kristian","non-dropping-particle":"","parse-names":false,"suffix":""},{"dropping-particle":"","family":"Sougnez","given":"Carrie","non-dropping-particle":"","parse-names":false,"suffix":""},{"dropping-particle":"","family":"Schinzel","given":"Anna C.","non-dropping-particle":"","parse-names":false,"suffix":""},{"dropping-particle":"","family":"Harview","given":"Christina L.","non-dropping-particle":"","parse-names":false,"suffix":""},{"dropping-particle":"","family":"Brunet","given":"Jean-Philippe","non-dropping-particle":"","parse-names":false,"suffix":""},{"dropping-particle":"","family":"Ahmann","given":"Gregory J.","non-dropping-particle":"","parse-names":false,"suffix":""},{"dropping-particle":"","family":"Adli","given":"Mazhar","non-dropping-particle":"","parse-names":false,"suffix":""},{"dropping-particle":"","family":"Anderson","given":"Kenneth C.","non-dropping-particle":"","parse-names":false,"suffix":""},{"dropping-particle":"","family":"Ardlie","given":"Kristin G.","non-dropping-particle":"","parse-names":false,"suffix":""},{"dropping-particle":"","family":"Auclair","given":"Daniel","non-dropping-particle":"","parse-names":false,"suffix":""},{"dropping-particle":"","family":"Baker","given":"Angela","non-dropping-particle":"","parse-names":false,"suffix":""},{"dropping-particle":"","family":"Bergsagel","given":"P. Leif","non-dropping-particle":"","parse-names":false,"suffix":""},{"dropping-particle":"","family":"Bernstein","given":"Bradley E.","non-dropping-particle":"","parse-names":false,"suffix":""},{"dropping-particle":"","family":"Drier","given":"Yotam","non-dropping-particle":"","parse-names":false,"suffix":""},{"dropping-particle":"","family":"Fonseca","given":"Rafael","non-dropping-particle":"","parse-names":false,"suffix":""},{"dropping-particle":"","family":"Gabriel","given":"Stacey B.","non-dropping-particle":"","parse-names":false,"suffix":""},{"dropping-particle":"","family":"Hofmeister","given":"Craig C.","non-dropping-particle":"","parse-names":false,"suffix":""},{"dropping-particle":"","family":"Jagannath","given":"Sundar","non-dropping-particle":"","parse-names":false,"suffix":""},{"dropping-particle":"","family":"Jakubowiak","given":"Andrzej J.","non-dropping-particle":"","parse-names":false,"suffix":""},{"dropping-particle":"","family":"Krishnan","given":"Amrita","non-dropping-particle":"","parse-names":false,"suffix":""},{"dropping-particle":"","family":"Levy","given":"Joan","non-dropping-particle":"","parse-names":false,"suffix":""},{"dropping-particle":"","family":"Liefeld","given":"Ted","non-dropping-particle":"","parse-names":false,"suffix":""},{"dropping-particle":"","family":"Lonial","given":"Sagar","non-dropping-particle":"","parse-names":false,"suffix":""},{"dropping-particle":"","family":"Mahan","given":"Scott","non-dropping-particle":"","parse-names":false,"suffix":""},{"dropping-particle":"","family":"Mfuko","given":"Bunmi","non-dropping-particle":"","parse-names":false,"suffix":""},{"dropping-particle":"","family":"Monti","given":"Stefano","non-dropping-particle":"","parse-names":false,"suffix":""},{"dropping-particle":"","family":"Perkins","given":"Louise M.","non-dropping-particle":"","parse-names":false,"suffix":""},{"dropping-particle":"","family":"Onofrio","given":"Robb","non-dropping-particle":"","parse-names":false,"suffix":""},{"dropping-particle":"","family":"Pugh","given":"Trevor J.","non-dropping-particle":"","parse-names":false,"suffix":""},{"dropping-particle":"","family":"Rajkumar","given":"S. Vincent","non-dropping-particle":"","parse-names":false,"suffix":""},{"dropping-particle":"","family":"Ramos","given":"Alex H.","non-dropping-particle":"","parse-names":false,"suffix":""},{"dropping-particle":"","family":"Siegel","given":"David S.","non-dropping-particle":"","parse-names":false,"suffix":""},{"dropping-particle":"","family":"Sivachenko","given":"Andrey","non-dropping-particle":"","parse-names":false,"suffix":""},{"dropping-particle":"","family":"Stewart","given":"A. Keith","non-dropping-particle":"","parse-names":false,"suffix":""},{"dropping-particle":"","family":"Trudel","given":"Suzanne","non-dropping-particle":"","parse-names":false,"suffix":""},{"dropping-particle":"","family":"Vij","given":"Ravi","non-dropping-particle":"","parse-names":false,"suffix":""},{"dropping-particle":"","family":"Voet","given":"Douglas","non-dropping-particle":"","parse-names":false,"suffix":""},{"dropping-particle":"","family":"Winckler","given":"Wendy","non-dropping-particle":"","parse-names":false,"suffix":""},{"dropping-particle":"","family":"Zimmerman","given":"Todd","non-dropping-particle":"","parse-names":false,"suffix":""},{"dropping-particle":"","family":"Carpten","given":"John","non-dropping-particle":"","parse-names":false,"suffix":""},{"dropping-particle":"","family":"Trent","given":"Jeff","non-dropping-particle":"","parse-names":false,"suffix":""},{"dropping-particle":"","family":"Hahn","given":"William C.","non-dropping-particle":"","parse-names":false,"suffix":""},{"dropping-particle":"","family":"Garraway","given":"Levi A.","non-dropping-particle":"","parse-names":false,"suffix":""},{"dropping-particle":"","family":"Meyerson","given":"Matthew","non-dropping-particle":"","parse-names":false,"suffix":""},{"dropping-particle":"","family":"Lander","given":"Eric S.","non-dropping-particle":"","parse-names":false,"suffix":""},{"dropping-particle":"","family":"Getz","given":"Gad","non-dropping-particle":"","parse-names":false,"suffix":""},{"dropping-particle":"","family":"Golub","given":"Todd R.","non-dropping-particle":"","parse-names":false,"suffix":""}],"container-title":"Nature","id":"ITEM-1","issue":"7339","issued":{"date-parts":[["2011","3","24"]]},"page":"467-472","title":"Initial genome sequencing and analysis of multiple myeloma","type":"article-journal","volume":"471"},"uris":["http://www.mendeley.com/documents/?uuid=886edc70-c0f4-3152-a91c-161901c396a8"]}],"mendeley":{"formattedCitation":"&lt;sup&gt;17&lt;/sup&gt;","plainTextFormattedCitation":"17","previouslyFormattedCitation":"&lt;sup&gt;17&lt;/sup&gt;"},"properties":{"noteIndex":0},"schema":"https://github.com/citation-style-language/schema/raw/master/csl-citation.json"}</w:instrText>
      </w:r>
      <w:r w:rsidR="00D457EE"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17</w:t>
      </w:r>
      <w:r w:rsidR="00D457EE" w:rsidRPr="00B6133E">
        <w:rPr>
          <w:rFonts w:ascii="Times New Roman" w:hAnsi="Times New Roman" w:cs="Times New Roman"/>
          <w:lang w:val="en-US"/>
        </w:rPr>
        <w:fldChar w:fldCharType="end"/>
      </w:r>
      <w:r w:rsidR="002352D6" w:rsidRPr="00B6133E">
        <w:rPr>
          <w:rFonts w:ascii="Times New Roman" w:hAnsi="Times New Roman" w:cs="Times New Roman"/>
          <w:lang w:val="en-US"/>
        </w:rPr>
        <w:t xml:space="preserve">. </w:t>
      </w:r>
      <w:r w:rsidR="00607CFF" w:rsidRPr="00B6133E">
        <w:rPr>
          <w:rFonts w:ascii="Times New Roman" w:hAnsi="Times New Roman" w:cs="Times New Roman"/>
          <w:lang w:val="en-US"/>
        </w:rPr>
        <w:t>A</w:t>
      </w:r>
      <w:r w:rsidR="002352D6" w:rsidRPr="00B6133E">
        <w:rPr>
          <w:rFonts w:ascii="Times New Roman" w:hAnsi="Times New Roman" w:cs="Times New Roman"/>
          <w:lang w:val="en-US"/>
        </w:rPr>
        <w:t xml:space="preserve"> pragmatic probability cut-off of 0.4</w:t>
      </w:r>
      <w:r w:rsidR="004F1DD3" w:rsidRPr="00B6133E">
        <w:rPr>
          <w:rFonts w:ascii="Times New Roman" w:hAnsi="Times New Roman" w:cs="Times New Roman"/>
          <w:lang w:val="en-US"/>
        </w:rPr>
        <w:t>0</w:t>
      </w:r>
      <w:r w:rsidR="002352D6" w:rsidRPr="00B6133E">
        <w:rPr>
          <w:rFonts w:ascii="Times New Roman" w:hAnsi="Times New Roman" w:cs="Times New Roman"/>
          <w:lang w:val="en-US"/>
        </w:rPr>
        <w:t xml:space="preserve"> was used, which is well above the random assignment probability of </w:t>
      </w:r>
      <w:r w:rsidR="004E0340" w:rsidRPr="00B6133E">
        <w:rPr>
          <w:rFonts w:ascii="Times New Roman" w:hAnsi="Times New Roman" w:cs="Times New Roman"/>
          <w:lang w:val="en-US"/>
        </w:rPr>
        <w:t xml:space="preserve">one out of </w:t>
      </w:r>
      <w:r w:rsidR="004F1DD3" w:rsidRPr="00B6133E">
        <w:rPr>
          <w:rFonts w:ascii="Times New Roman" w:hAnsi="Times New Roman" w:cs="Times New Roman"/>
          <w:lang w:val="en-US"/>
        </w:rPr>
        <w:t>six</w:t>
      </w:r>
      <w:r w:rsidR="00607CFF" w:rsidRPr="00B6133E">
        <w:rPr>
          <w:rFonts w:ascii="Times New Roman" w:hAnsi="Times New Roman" w:cs="Times New Roman"/>
          <w:lang w:val="en-US"/>
        </w:rPr>
        <w:t>, to ensure that 85% of the samples would be BAGS-subtypes</w:t>
      </w:r>
      <w:r w:rsidR="002352D6" w:rsidRPr="00B6133E">
        <w:rPr>
          <w:rFonts w:ascii="Times New Roman" w:hAnsi="Times New Roman" w:cs="Times New Roman"/>
          <w:lang w:val="en-US"/>
        </w:rPr>
        <w:t xml:space="preserve">. The robustness of the BAGS association with outcome was successfully </w:t>
      </w:r>
      <w:r w:rsidR="00607CFF" w:rsidRPr="00B6133E">
        <w:rPr>
          <w:rFonts w:ascii="Times New Roman" w:hAnsi="Times New Roman" w:cs="Times New Roman"/>
          <w:lang w:val="en-US"/>
        </w:rPr>
        <w:t xml:space="preserve">assessed </w:t>
      </w:r>
      <w:r w:rsidR="002352D6" w:rsidRPr="00B6133E">
        <w:rPr>
          <w:rFonts w:ascii="Times New Roman" w:hAnsi="Times New Roman" w:cs="Times New Roman"/>
          <w:lang w:val="en-US"/>
        </w:rPr>
        <w:t xml:space="preserve">for a wide </w:t>
      </w:r>
      <w:r w:rsidR="00607CFF" w:rsidRPr="00B6133E">
        <w:rPr>
          <w:rFonts w:ascii="Times New Roman" w:hAnsi="Times New Roman" w:cs="Times New Roman"/>
          <w:lang w:val="en-US"/>
        </w:rPr>
        <w:t xml:space="preserve">series </w:t>
      </w:r>
      <w:r w:rsidR="002352D6" w:rsidRPr="00B6133E">
        <w:rPr>
          <w:rFonts w:ascii="Times New Roman" w:hAnsi="Times New Roman" w:cs="Times New Roman"/>
          <w:lang w:val="en-US"/>
        </w:rPr>
        <w:t>of probability cut-offs</w:t>
      </w:r>
      <w:r w:rsidR="0062437D" w:rsidRPr="00B6133E">
        <w:rPr>
          <w:rFonts w:ascii="Times New Roman" w:hAnsi="Times New Roman" w:cs="Times New Roman"/>
          <w:lang w:val="en-US"/>
        </w:rPr>
        <w:t>.</w:t>
      </w:r>
      <w:r w:rsidR="009F0704" w:rsidRPr="00B6133E">
        <w:rPr>
          <w:rFonts w:ascii="Times New Roman" w:hAnsi="Times New Roman" w:cs="Times New Roman"/>
          <w:lang w:val="en-US"/>
        </w:rPr>
        <w:t xml:space="preserve"> </w:t>
      </w:r>
    </w:p>
    <w:p w14:paraId="43108E07" w14:textId="4A942BD1" w:rsidR="00411352" w:rsidRPr="00B6133E" w:rsidRDefault="00CD3F28" w:rsidP="00411352">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The present study</w:t>
      </w:r>
      <w:r w:rsidR="00E379B6" w:rsidRPr="00B6133E">
        <w:rPr>
          <w:rFonts w:ascii="Times New Roman" w:hAnsi="Times New Roman" w:cs="Times New Roman"/>
          <w:lang w:val="en-US"/>
        </w:rPr>
        <w:t xml:space="preserve"> </w:t>
      </w:r>
      <w:r w:rsidR="00607CFF" w:rsidRPr="00B6133E">
        <w:rPr>
          <w:rFonts w:ascii="Times New Roman" w:hAnsi="Times New Roman" w:cs="Times New Roman"/>
          <w:lang w:val="en-US"/>
        </w:rPr>
        <w:t xml:space="preserve">was </w:t>
      </w:r>
      <w:r w:rsidR="00E379B6" w:rsidRPr="00B6133E">
        <w:rPr>
          <w:rFonts w:ascii="Times New Roman" w:hAnsi="Times New Roman" w:cs="Times New Roman"/>
          <w:lang w:val="en-US"/>
        </w:rPr>
        <w:t>whenever possible</w:t>
      </w:r>
      <w:r w:rsidRPr="00B6133E">
        <w:rPr>
          <w:rFonts w:ascii="Times New Roman" w:hAnsi="Times New Roman" w:cs="Times New Roman"/>
          <w:lang w:val="en-US"/>
        </w:rPr>
        <w:t xml:space="preserve"> </w:t>
      </w:r>
      <w:r w:rsidR="00607CFF" w:rsidRPr="00B6133E">
        <w:rPr>
          <w:rFonts w:ascii="Times New Roman" w:hAnsi="Times New Roman" w:cs="Times New Roman"/>
          <w:lang w:val="en-US"/>
        </w:rPr>
        <w:t xml:space="preserve">conducted according to </w:t>
      </w:r>
      <w:r w:rsidR="002352D6" w:rsidRPr="00B6133E">
        <w:rPr>
          <w:rFonts w:ascii="Times New Roman" w:hAnsi="Times New Roman" w:cs="Times New Roman"/>
          <w:lang w:val="en-US"/>
        </w:rPr>
        <w:t xml:space="preserve">guidelines of </w:t>
      </w:r>
      <w:r w:rsidR="00D55176" w:rsidRPr="00B6133E">
        <w:rPr>
          <w:rFonts w:ascii="Times New Roman" w:hAnsi="Times New Roman" w:cs="Times New Roman"/>
          <w:lang w:val="en-US"/>
        </w:rPr>
        <w:t>–</w:t>
      </w:r>
      <w:r w:rsidR="002352D6" w:rsidRPr="00B6133E">
        <w:rPr>
          <w:rFonts w:ascii="Times New Roman" w:hAnsi="Times New Roman" w:cs="Times New Roman"/>
          <w:lang w:val="en-US"/>
        </w:rPr>
        <w:t>omics-directed medicine</w:t>
      </w:r>
      <w:r w:rsidR="00607CFF" w:rsidRPr="00B6133E">
        <w:rPr>
          <w:rFonts w:ascii="Times New Roman" w:hAnsi="Times New Roman" w:cs="Times New Roman"/>
          <w:lang w:val="en-US"/>
        </w:rPr>
        <w:t>, e.g.</w:t>
      </w:r>
      <w:r w:rsidR="00D55176" w:rsidRPr="00B6133E">
        <w:rPr>
          <w:rFonts w:ascii="Times New Roman" w:hAnsi="Times New Roman" w:cs="Times New Roman"/>
          <w:lang w:val="en-US"/>
        </w:rPr>
        <w:t xml:space="preserve"> </w:t>
      </w:r>
      <w:r w:rsidR="002352D6" w:rsidRPr="00B6133E">
        <w:rPr>
          <w:rFonts w:ascii="Times New Roman" w:hAnsi="Times New Roman" w:cs="Times New Roman"/>
          <w:lang w:val="en-US"/>
        </w:rPr>
        <w:t>McShane et a</w:t>
      </w:r>
      <w:r w:rsidR="00D02037" w:rsidRPr="00B6133E">
        <w:rPr>
          <w:rFonts w:ascii="Times New Roman" w:hAnsi="Times New Roman" w:cs="Times New Roman"/>
          <w:lang w:val="en-US"/>
        </w:rPr>
        <w:t>l.</w:t>
      </w:r>
      <w:r w:rsidR="00D457EE"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{"citationItems":[{"id":"ITEM-1","itemData":{"DOI":"10.1186/1741-7015-11-220","ISSN":"1741-7015","PMID":"24228635","abstract":"High-throughput 'omics' technologies that generate molecular profiles for biospecimens have been extensively used in preclinical studies to reveal molecular subtypes and elucidate the biological mechanisms of disease, and in retrospective studies on clinical specimens to develop mathematical models to predict clinical endpoints. Nevertheless, the translation of these technologies into clinical tests that are useful for guiding management decisions for patients has been relatively slow. It can be difficult to determine when the body of evidence for an omics-based test is sufficiently comprehensive and reliable to support claims that it is ready for clinical use, or even that it is ready for definitive evaluation in a clinical trial in which it may be used to direct patient therapy. Reasons for this difficulty include the exploratory and retrospective nature of many of these studies, the complexity of these assays and their application to clinical specimens, and the many potential pitfalls inherent in the development of mathematical predictor models from the very high-dimensional data generated by these omics technologies. Here we present a checklist of criteria to consider when evaluating the body of evidence supporting the clinical use of a predictor to guide patient therapy. Included are issues pertaining to specimen and assay requirements, the soundness of the process for developing predictor models, expectations regarding clinical study design and conduct, and attention to regulatory, ethical, and legal issues. The proposed checklist should serve as a useful guide to investigators preparing proposals for studies involving the use of omics-based tests. The US National Cancer Institute plans to refer to these guidelines for review of proposals for studies involving omics tests, and it is hoped that other sponsors will adopt the checklist as well.","author":[{"dropping-particle":"","family":"McShane","given":"Lisa M","non-dropping-particle":"","parse-names":false,"suffix":""},{"dropping-particle":"","family":"Cavenagh","given":"Margaret M","non-dropping-particle":"","parse-names":false,"suffix":""},{"dropping-particle":"","family":"Lively","given":"Tracy G","non-dropping-particle":"","parse-names":false,"suffix":""},{"dropping-particle":"","family":"Eberhard","given":"David A","non-dropping-particle":"","parse-names":false,"suffix":""},{"dropping-particle":"","family":"Bigbee","given":"William L","non-dropping-particle":"","parse-names":false,"suffix":""},{"dropping-particle":"","family":"Williams","given":"P Mickey","non-dropping-particle":"","parse-names":false,"suffix":""},{"dropping-particle":"","family":"Mesirov","given":"Jill P","non-dropping-particle":"","parse-names":false,"suffix":""},{"dropping-particle":"","family":"Polley","given":"Mei-Yin C","non-dropping-particle":"","parse-names":false,"suffix":""},{"dropping-particle":"","family":"Kim","given":"Kelly Y","non-dropping-particle":"","parse-names":false,"suffix":""},{"dropping-particle":"V","family":"Tricoli","given":"James","non-dropping-particle":"","parse-names":false,"suffix":""},{"dropping-particle":"","family":"Taylor","given":"Jeremy M G","non-dropping-particle":"","parse-names":false,"suffix":""},{"dropping-particle":"","family":"Shuman","given":"Deborah J","non-dropping-particle":"","parse-names":false,"suffix":""},{"dropping-particle":"","family":"Simon","given":"Richard M","non-dropping-particle":"","parse-names":false,"suffix":""},{"dropping-particle":"","family":"Doroshow","given":"James H","non-dropping-particle":"","parse-names":false,"suffix":""},{"dropping-particle":"","family":"Conley","given":"Barbara A","non-dropping-particle":"","parse-names":false,"suffix":""}],"container-title":"BMC medicine","id":"ITEM-1","issued":{"date-parts":[["2013","1"]]},"page":"220","title":"Criteria for the use of omics-based predictors in clinical trials: explanation and elaboration.","type":"article-journal","volume":"11"},"uris":["http://www.mendeley.com/documents/?uuid=68e4ab3f-a679-4e1b-b07a-ac97c1cb2fa6"]}],"mendeley":{"formattedCitation":"&lt;sup&gt;73&lt;/sup&gt;","plainTextFormattedCitation":"73","previouslyFormattedCitation":"&lt;sup&gt;73&lt;/sup&gt;"},"properties":{"noteIndex":0},"schema":"https://github.com/citation-style-language/schema/raw/master/csl-citation.json"}</w:instrText>
      </w:r>
      <w:r w:rsidR="00D457EE"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73</w:t>
      </w:r>
      <w:r w:rsidR="00D457EE" w:rsidRPr="00B6133E">
        <w:rPr>
          <w:rFonts w:ascii="Times New Roman" w:hAnsi="Times New Roman" w:cs="Times New Roman"/>
          <w:lang w:val="en-US"/>
        </w:rPr>
        <w:fldChar w:fldCharType="end"/>
      </w:r>
      <w:r w:rsidR="002352D6" w:rsidRPr="00B6133E">
        <w:rPr>
          <w:rFonts w:ascii="Times New Roman" w:hAnsi="Times New Roman" w:cs="Times New Roman"/>
          <w:lang w:val="en-US"/>
        </w:rPr>
        <w:t>, REMARK</w:t>
      </w:r>
      <w:r w:rsidR="00D457EE"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{"citationItems":[{"id":"ITEM-1","itemData":{"DOI":"10.1200/JCO.2004.01.0454","ISSN":"0732-183X","PMID":"16172462","author":[{"dropping-particle":"","family":"McShane","given":"Lisa M","non-dropping-particle":"","parse-names":false,"suffix":""},{"dropping-particle":"","family":"Altman","given":"Douglas G","non-dropping-particle":"","parse-names":false,"suffix":""},{"dropping-particle":"","family":"Sauerbrei","given":"Willi","non-dropping-particle":"","parse-names":false,"suffix":""},{"dropping-particle":"","family":"Taube","given":"Sheila E","non-dropping-particle":"","parse-names":false,"suffix":""},{"dropping-particle":"","family":"Gion","given":"Massimo","non-dropping-particle":"","parse-names":false,"suffix":""},{"dropping-particle":"","family":"Clark","given":"Gary M","non-dropping-particle":"","parse-names":false,"suffix":""}],"container-title":"Journal of clinical oncology : official journal of the American Society of Clinical Oncology","id":"ITEM-1","issue":"36","issued":{"date-parts":[["2005","12","20"]]},"page":"9067-72","title":"Reporting recommendations for tumor marker prognostic studies.","type":"article-journal","volume":"23"},"uris":["http://www.mendeley.com/documents/?uuid=d21027bc-67fa-4e1e-975e-34ffb0a0f293"]}],"mendeley":{"formattedCitation":"&lt;sup&gt;74&lt;/sup&gt;","plainTextFormattedCitation":"74","previouslyFormattedCitation":"&lt;sup&gt;74&lt;/sup&gt;"},"properties":{"noteIndex":0},"schema":"https://github.com/citation-style-language/schema/raw/master/csl-citation.json"}</w:instrText>
      </w:r>
      <w:r w:rsidR="00D457EE"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74</w:t>
      </w:r>
      <w:r w:rsidR="00D457EE" w:rsidRPr="00B6133E">
        <w:rPr>
          <w:rFonts w:ascii="Times New Roman" w:hAnsi="Times New Roman" w:cs="Times New Roman"/>
          <w:lang w:val="en-US"/>
        </w:rPr>
        <w:fldChar w:fldCharType="end"/>
      </w:r>
      <w:r w:rsidR="00D02037" w:rsidRPr="00B6133E">
        <w:rPr>
          <w:rFonts w:ascii="Times New Roman" w:hAnsi="Times New Roman" w:cs="Times New Roman"/>
          <w:lang w:val="en-US"/>
        </w:rPr>
        <w:t>, and MIAME</w:t>
      </w:r>
      <w:r w:rsidR="00D457EE"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{"citationItems":[{"id":"ITEM-1","itemData":{"DOI":"10.1038/ng1201-365","ISSN":"1061-4036","PMID":"11726920","abstract":"Microarray analysis has become a widely used tool for the generation of gene expression data on a genomic scale. Although many significant results have been derived from microarray studies, one limitation has been the lack of standards for presenting and exchanging such data. Here we present a proposal, the Minimum Information About a Microarray Experiment (MIAME), that describes the minimum information required to ensure that microarray data can be easily interpreted and that results derived from its analysis can be independently verified. The ultimate goal of this work is to establish a standard for recording and reporting microarray-based gene expression data, which will in turn facilitate the establishment of databases and public repositories and enable the development of data analysis tools. With respect to MIAME, we concentrate on defining the content and structure of the necessary information rather than the technical format for capturing it.","author":[{"dropping-particle":"","family":"Brazma","given":"A","non-dropping-particle":"","parse-names":false,"suffix":""},{"dropping-particle":"","family":"Hingamp","given":"P","non-dropping-particle":"","parse-names":false,"suffix":""},{"dropping-particle":"","family":"Quackenbush","given":"J","non-dropping-particle":"","parse-names":false,"suffix":""},{"dropping-particle":"","family":"Sherlock","given":"G","non-dropping-particle":"","parse-names":false,"suffix":""},{"dropping-particle":"","family":"Spellman","given":"P","non-dropping-particle":"","parse-names":false,"suffix":""},{"dropping-particle":"","family":"Stoeckert","given":"C","non-dropping-particle":"","parse-names":false,"suffix":""},{"dropping-particle":"","family":"Aach","given":"J","non-dropping-particle":"","parse-names":false,"suffix":""},{"dropping-particle":"","family":"Ansorge","given":"W","non-dropping-particle":"","parse-names":false,"suffix":""},{"dropping-particle":"","family":"Ball","given":"C A","non-dropping-particle":"","parse-names":false,"suffix":""},{"dropping-particle":"","family":"Causton","given":"H C","non-dropping-particle":"","parse-names":false,"suffix":""},{"dropping-particle":"","family":"Gaasterland","given":"T","non-dropping-particle":"","parse-names":false,"suffix":""},{"dropping-particle":"","family":"Glenisson","given":"P","non-dropping-particle":"","parse-names":false,"suffix":""},{"dropping-particle":"","family":"Holstege","given":"F C","non-dropping-particle":"","parse-names":false,"suffix":""},{"dropping-particle":"","family":"Kim","given":"I F","non-dropping-particle":"","parse-names":false,"suffix":""},{"dropping-particle":"","family":"Markowitz","given":"V","non-dropping-particle":"","parse-names":false,"suffix":""},{"dropping-particle":"","family":"Matese","given":"J C","non-dropping-particle":"","parse-names":false,"suffix":""},{"dropping-particle":"","family":"Parkinson","given":"H","non-dropping-particle":"","parse-names":false,"suffix":""},{"dropping-particle":"","family":"Robinson","given":"A","non-dropping-particle":"","parse-names":false,"suffix":""},{"dropping-particle":"","family":"Sarkans","given":"U","non-dropping-particle":"","parse-names":false,"suffix":""},{"dropping-particle":"","family":"Schulze-Kremer","given":"S","non-dropping-particle":"","parse-names":false,"suffix":""},{"dropping-particle":"","family":"Stewart","given":"J","non-dropping-particle":"","parse-names":false,"suffix":""},{"dropping-particle":"","family":"Taylor","given":"R","non-dropping-particle":"","parse-names":false,"suffix":""},{"dropping-particle":"","family":"Vilo","given":"J","non-dropping-particle":"","parse-names":false,"suffix":""},{"dropping-particle":"","family":"Vingron","given":"M","non-dropping-particle":"","parse-names":false,"suffix":""}],"container-title":"Nature genetics","id":"ITEM-1","issue":"4","issued":{"date-parts":[["2001","12"]]},"page":"365-71","title":"Minimum information about a microarray experiment (MIAME)-toward standards for microarray data.","type":"article-journal","volume":"29"},"uris":["http://www.mendeley.com/documents/?uuid=62bfc00c-ac74-43e6-8c7e-44f8eb36d0b0"]}],"mendeley":{"formattedCitation":"&lt;sup&gt;48&lt;/sup&gt;","plainTextFormattedCitation":"48","previouslyFormattedCitation":"&lt;sup&gt;48&lt;/sup&gt;"},"properties":{"noteIndex":0},"schema":"https://github.com/citation-style-language/schema/raw/master/csl-citation.json"}</w:instrText>
      </w:r>
      <w:r w:rsidR="00D457EE"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48</w:t>
      </w:r>
      <w:r w:rsidR="00D457EE" w:rsidRPr="00B6133E">
        <w:rPr>
          <w:rFonts w:ascii="Times New Roman" w:hAnsi="Times New Roman" w:cs="Times New Roman"/>
          <w:lang w:val="en-US"/>
        </w:rPr>
        <w:fldChar w:fldCharType="end"/>
      </w:r>
      <w:r w:rsidR="002352D6" w:rsidRPr="00B6133E">
        <w:rPr>
          <w:rFonts w:ascii="Times New Roman" w:hAnsi="Times New Roman" w:cs="Times New Roman"/>
          <w:lang w:val="en-US"/>
        </w:rPr>
        <w:t xml:space="preserve">. However, it is worth noting that the BAGS classifier </w:t>
      </w:r>
      <w:r w:rsidR="00760F9D" w:rsidRPr="00B6133E">
        <w:rPr>
          <w:rFonts w:ascii="Times New Roman" w:hAnsi="Times New Roman" w:cs="Times New Roman"/>
          <w:lang w:val="en-US"/>
        </w:rPr>
        <w:t xml:space="preserve">used </w:t>
      </w:r>
      <w:r w:rsidR="002352D6" w:rsidRPr="00B6133E">
        <w:rPr>
          <w:rFonts w:ascii="Times New Roman" w:hAnsi="Times New Roman" w:cs="Times New Roman"/>
          <w:lang w:val="en-US"/>
        </w:rPr>
        <w:t>cohort</w:t>
      </w:r>
      <w:r w:rsidR="00C16657" w:rsidRPr="00B6133E">
        <w:rPr>
          <w:rFonts w:ascii="Times New Roman" w:hAnsi="Times New Roman" w:cs="Times New Roman"/>
          <w:lang w:val="en-US"/>
        </w:rPr>
        <w:t>-</w:t>
      </w:r>
      <w:r w:rsidR="002352D6" w:rsidRPr="00B6133E">
        <w:rPr>
          <w:rFonts w:ascii="Times New Roman" w:hAnsi="Times New Roman" w:cs="Times New Roman"/>
          <w:lang w:val="en-US"/>
        </w:rPr>
        <w:t>based normalization</w:t>
      </w:r>
      <w:r w:rsidR="00C16657" w:rsidRPr="00B6133E">
        <w:rPr>
          <w:rFonts w:ascii="Times New Roman" w:hAnsi="Times New Roman" w:cs="Times New Roman"/>
          <w:lang w:val="en-US"/>
        </w:rPr>
        <w:t>, which</w:t>
      </w:r>
      <w:r w:rsidR="002352D6" w:rsidRPr="00B6133E">
        <w:rPr>
          <w:rFonts w:ascii="Times New Roman" w:hAnsi="Times New Roman" w:cs="Times New Roman"/>
          <w:lang w:val="en-US"/>
        </w:rPr>
        <w:t xml:space="preserve"> implies</w:t>
      </w:r>
      <w:r w:rsidRPr="00B6133E">
        <w:rPr>
          <w:rFonts w:ascii="Times New Roman" w:hAnsi="Times New Roman" w:cs="Times New Roman"/>
          <w:lang w:val="en-US"/>
        </w:rPr>
        <w:t xml:space="preserve"> that</w:t>
      </w:r>
      <w:r w:rsidR="002352D6" w:rsidRPr="00B6133E">
        <w:rPr>
          <w:rFonts w:ascii="Times New Roman" w:hAnsi="Times New Roman" w:cs="Times New Roman"/>
          <w:lang w:val="en-US"/>
        </w:rPr>
        <w:t xml:space="preserve"> it cannot </w:t>
      </w:r>
      <w:r w:rsidR="00607CFF" w:rsidRPr="00B6133E">
        <w:rPr>
          <w:rFonts w:ascii="Times New Roman" w:hAnsi="Times New Roman" w:cs="Times New Roman"/>
          <w:lang w:val="en-US"/>
        </w:rPr>
        <w:t xml:space="preserve">practically </w:t>
      </w:r>
      <w:r w:rsidR="002352D6" w:rsidRPr="00B6133E">
        <w:rPr>
          <w:rFonts w:ascii="Times New Roman" w:hAnsi="Times New Roman" w:cs="Times New Roman"/>
          <w:lang w:val="en-US"/>
        </w:rPr>
        <w:t xml:space="preserve">be </w:t>
      </w:r>
      <w:r w:rsidR="00607CFF" w:rsidRPr="00B6133E">
        <w:rPr>
          <w:rFonts w:ascii="Times New Roman" w:hAnsi="Times New Roman" w:cs="Times New Roman"/>
          <w:lang w:val="en-US"/>
        </w:rPr>
        <w:t xml:space="preserve">used </w:t>
      </w:r>
      <w:r w:rsidR="002352D6" w:rsidRPr="00B6133E">
        <w:rPr>
          <w:rFonts w:ascii="Times New Roman" w:hAnsi="Times New Roman" w:cs="Times New Roman"/>
          <w:lang w:val="en-US"/>
        </w:rPr>
        <w:t>in a clinical set</w:t>
      </w:r>
      <w:r w:rsidR="00607CFF" w:rsidRPr="00B6133E">
        <w:rPr>
          <w:rFonts w:ascii="Times New Roman" w:hAnsi="Times New Roman" w:cs="Times New Roman"/>
          <w:lang w:val="en-US"/>
        </w:rPr>
        <w:t>-up</w:t>
      </w:r>
      <w:r w:rsidR="002352D6" w:rsidRPr="00B6133E">
        <w:rPr>
          <w:rFonts w:ascii="Times New Roman" w:hAnsi="Times New Roman" w:cs="Times New Roman"/>
          <w:lang w:val="en-US"/>
        </w:rPr>
        <w:t xml:space="preserve"> </w:t>
      </w:r>
      <w:r w:rsidR="00607CFF" w:rsidRPr="00B6133E">
        <w:rPr>
          <w:rFonts w:ascii="Times New Roman" w:hAnsi="Times New Roman" w:cs="Times New Roman"/>
          <w:lang w:val="en-US"/>
        </w:rPr>
        <w:t xml:space="preserve">where patients show up </w:t>
      </w:r>
      <w:r w:rsidR="002352D6" w:rsidRPr="00B6133E">
        <w:rPr>
          <w:rFonts w:ascii="Times New Roman" w:hAnsi="Times New Roman" w:cs="Times New Roman"/>
          <w:lang w:val="en-US"/>
        </w:rPr>
        <w:t xml:space="preserve">one at a time. </w:t>
      </w:r>
      <w:r w:rsidR="00607CFF" w:rsidRPr="00B6133E">
        <w:rPr>
          <w:rFonts w:ascii="Times New Roman" w:hAnsi="Times New Roman" w:cs="Times New Roman"/>
          <w:lang w:val="en-US"/>
        </w:rPr>
        <w:t xml:space="preserve">Remedies </w:t>
      </w:r>
      <w:r w:rsidR="002352D6" w:rsidRPr="00B6133E">
        <w:rPr>
          <w:rFonts w:ascii="Times New Roman" w:hAnsi="Times New Roman" w:cs="Times New Roman"/>
          <w:lang w:val="en-US"/>
        </w:rPr>
        <w:t>to this problem ha</w:t>
      </w:r>
      <w:r w:rsidR="00391AE2" w:rsidRPr="00B6133E">
        <w:rPr>
          <w:rFonts w:ascii="Times New Roman" w:hAnsi="Times New Roman" w:cs="Times New Roman"/>
          <w:lang w:val="en-US"/>
        </w:rPr>
        <w:t>ve</w:t>
      </w:r>
      <w:r w:rsidR="002352D6" w:rsidRPr="00B6133E">
        <w:rPr>
          <w:rFonts w:ascii="Times New Roman" w:hAnsi="Times New Roman" w:cs="Times New Roman"/>
          <w:lang w:val="en-US"/>
        </w:rPr>
        <w:t xml:space="preserve"> been </w:t>
      </w:r>
      <w:r w:rsidR="00607CFF" w:rsidRPr="00B6133E">
        <w:rPr>
          <w:rFonts w:ascii="Times New Roman" w:hAnsi="Times New Roman" w:cs="Times New Roman"/>
          <w:lang w:val="en-US"/>
        </w:rPr>
        <w:t xml:space="preserve">proposed </w:t>
      </w:r>
      <w:r w:rsidR="002352D6" w:rsidRPr="00B6133E">
        <w:rPr>
          <w:rFonts w:ascii="Times New Roman" w:hAnsi="Times New Roman" w:cs="Times New Roman"/>
          <w:lang w:val="en-US"/>
        </w:rPr>
        <w:t>elsewhere</w:t>
      </w:r>
      <w:r w:rsidR="00C60F0B"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{"citationItems":[{"id":"ITEM-1","itemData":{"DOI":"10.1371/journal.pone.0163711","ISSN":"1932-6203","author":[{"dropping-particle":"","family":"Falgreen","given":"Steffen","non-dropping-particle":"","parse-names":false,"suffix":""},{"dropping-particle":"","family":"Ellern Bilgrau","given":"Anders","non-dropping-particle":"","parse-names":false,"suffix":""},{"dropping-particle":"","family":"Brøndum","given":"Rasmus Froberg","non-dropping-particle":"","parse-names":false,"suffix":""},{"dropping-particle":"","family":"Hjort Jakobsen","given":"Lasse","non-dropping-particle":"","parse-names":false,"suffix":""},{"dropping-particle":"","family":"Have","given":"Jonas","non-dropping-particle":"","parse-names":false,"suffix":""},{"dropping-particle":"","family":"Lindblad Nielsen","given":"Kasper","non-dropping-particle":"","parse-names":false,"suffix":""},{"dropping-particle":"","family":"El-Galaly","given":"Tarec Christoffer","non-dropping-particle":"","parse-names":false,"suffix":""},{"dropping-particle":"","family":"Bødker","given":"Julie Støve","non-dropping-particle":"","parse-names":false,"suffix":""},{"dropping-particle":"","family":"Schmitz","given":"Alexander","non-dropping-particle":"","parse-names":false,"suffix":""},{"dropping-particle":"","family":"H. Young","given":"Ken","non-dropping-particle":"","parse-names":false,"suffix":""},{"dropping-particle":"","family":"Johnsen","given":"Hans Erik","non-dropping-particle":"","parse-names":false,"suffix":""},{"dropping-particle":"","family":"Dybkær","given":"Karen","non-dropping-particle":"","parse-names":false,"suffix":""},{"dropping-particle":"","family":"Bøgsted","given":"Martin","non-dropping-particle":"","parse-names":false,"suffix":""}],"container-title":"Plos One","id":"ITEM-1","issue":"10","issued":{"date-parts":[["2016"]]},"title":"hemaClass.org: Online One-By-One Microarray Normalization and Classification of Hematological Cancers for Precision Medicine","type":"article-journal","volume":"11"},"uris":["http://www.mendeley.com/documents/?uuid=b8755dff-271b-4253-85dd-0725a067932e"]}],"mendeley":{"formattedCitation":"&lt;sup&gt;75&lt;/sup&gt;","plainTextFormattedCitation":"75","previouslyFormattedCitation":"&lt;sup&gt;75&lt;/sup&gt;"},"properties":{"noteIndex":0},"schema":"https://github.com/citation-style-language/schema/raw/master/csl-citation.json"}</w:instrText>
      </w:r>
      <w:r w:rsidR="00C60F0B"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75</w:t>
      </w:r>
      <w:r w:rsidR="00C60F0B" w:rsidRPr="00B6133E">
        <w:rPr>
          <w:rFonts w:ascii="Times New Roman" w:hAnsi="Times New Roman" w:cs="Times New Roman"/>
          <w:lang w:val="en-US"/>
        </w:rPr>
        <w:fldChar w:fldCharType="end"/>
      </w:r>
      <w:r w:rsidR="002352D6" w:rsidRPr="00B6133E">
        <w:rPr>
          <w:rFonts w:ascii="Times New Roman" w:hAnsi="Times New Roman" w:cs="Times New Roman"/>
          <w:lang w:val="en-US"/>
        </w:rPr>
        <w:t xml:space="preserve"> </w:t>
      </w:r>
      <w:r w:rsidRPr="00B6133E">
        <w:rPr>
          <w:rFonts w:ascii="Times New Roman" w:hAnsi="Times New Roman" w:cs="Times New Roman"/>
          <w:lang w:val="en-US"/>
        </w:rPr>
        <w:t xml:space="preserve">and </w:t>
      </w:r>
      <w:r w:rsidR="00B4280C" w:rsidRPr="00B6133E">
        <w:rPr>
          <w:rFonts w:ascii="Times New Roman" w:hAnsi="Times New Roman" w:cs="Times New Roman"/>
          <w:lang w:val="en-US"/>
        </w:rPr>
        <w:t xml:space="preserve">were </w:t>
      </w:r>
      <w:r w:rsidRPr="00B6133E">
        <w:rPr>
          <w:rFonts w:ascii="Times New Roman" w:hAnsi="Times New Roman" w:cs="Times New Roman"/>
          <w:lang w:val="en-US"/>
        </w:rPr>
        <w:t xml:space="preserve">not </w:t>
      </w:r>
      <w:r w:rsidR="00E6624C" w:rsidRPr="00B6133E">
        <w:rPr>
          <w:rFonts w:ascii="Times New Roman" w:hAnsi="Times New Roman" w:cs="Times New Roman"/>
          <w:lang w:val="en-US"/>
        </w:rPr>
        <w:t xml:space="preserve">further </w:t>
      </w:r>
      <w:r w:rsidRPr="00B6133E">
        <w:rPr>
          <w:rFonts w:ascii="Times New Roman" w:hAnsi="Times New Roman" w:cs="Times New Roman"/>
          <w:lang w:val="en-US"/>
        </w:rPr>
        <w:t xml:space="preserve">pursued here. </w:t>
      </w:r>
    </w:p>
    <w:p w14:paraId="673987DD" w14:textId="30D450A9" w:rsidR="00471E48" w:rsidRPr="00B6133E" w:rsidRDefault="00CD3F28" w:rsidP="00A21532">
      <w:pPr>
        <w:spacing w:before="0" w:after="0" w:line="480" w:lineRule="auto"/>
        <w:rPr>
          <w:rFonts w:ascii="Times New Roman" w:hAnsi="Times New Roman" w:cs="Times New Roman"/>
          <w:lang w:val="en-US"/>
        </w:rPr>
      </w:pPr>
      <w:r w:rsidRPr="00B6133E">
        <w:rPr>
          <w:rFonts w:ascii="Times New Roman" w:hAnsi="Times New Roman" w:cs="Times New Roman"/>
          <w:lang w:val="en-US"/>
        </w:rPr>
        <w:t xml:space="preserve">The </w:t>
      </w:r>
      <w:r w:rsidR="00636DF4" w:rsidRPr="00B6133E">
        <w:rPr>
          <w:rFonts w:ascii="Times New Roman" w:hAnsi="Times New Roman" w:cs="Times New Roman"/>
          <w:lang w:val="en-US"/>
        </w:rPr>
        <w:t>assignmen</w:t>
      </w:r>
      <w:r w:rsidR="009F0704" w:rsidRPr="00B6133E">
        <w:rPr>
          <w:rFonts w:ascii="Times New Roman" w:hAnsi="Times New Roman" w:cs="Times New Roman"/>
          <w:lang w:val="en-US"/>
        </w:rPr>
        <w:t xml:space="preserve">t of </w:t>
      </w:r>
      <w:r w:rsidRPr="00B6133E">
        <w:rPr>
          <w:rFonts w:ascii="Times New Roman" w:hAnsi="Times New Roman" w:cs="Times New Roman"/>
          <w:lang w:val="en-US"/>
        </w:rPr>
        <w:t xml:space="preserve">BAGS </w:t>
      </w:r>
      <w:r w:rsidR="009F0704" w:rsidRPr="00B6133E">
        <w:rPr>
          <w:rFonts w:ascii="Times New Roman" w:hAnsi="Times New Roman" w:cs="Times New Roman"/>
          <w:lang w:val="en-US"/>
        </w:rPr>
        <w:t>subtypes to MM</w:t>
      </w:r>
      <w:r w:rsidR="00636DF4" w:rsidRPr="00B6133E">
        <w:rPr>
          <w:rFonts w:ascii="Times New Roman" w:hAnsi="Times New Roman" w:cs="Times New Roman"/>
          <w:lang w:val="en-US"/>
        </w:rPr>
        <w:t xml:space="preserve"> may explain </w:t>
      </w:r>
      <w:r w:rsidR="00E6624C" w:rsidRPr="00B6133E">
        <w:rPr>
          <w:rFonts w:ascii="Times New Roman" w:hAnsi="Times New Roman" w:cs="Times New Roman"/>
          <w:lang w:val="en-US"/>
        </w:rPr>
        <w:t xml:space="preserve">an </w:t>
      </w:r>
      <w:r w:rsidR="00636DF4" w:rsidRPr="00B6133E">
        <w:rPr>
          <w:rFonts w:ascii="Times New Roman" w:hAnsi="Times New Roman" w:cs="Times New Roman"/>
          <w:lang w:val="en-US"/>
        </w:rPr>
        <w:t xml:space="preserve">inter-individual disease heterogeneity, which </w:t>
      </w:r>
      <w:r w:rsidR="00E6624C" w:rsidRPr="00B6133E">
        <w:rPr>
          <w:rFonts w:ascii="Times New Roman" w:hAnsi="Times New Roman" w:cs="Times New Roman"/>
          <w:lang w:val="en-US"/>
        </w:rPr>
        <w:t xml:space="preserve">could </w:t>
      </w:r>
      <w:r w:rsidR="00883413" w:rsidRPr="00B6133E">
        <w:rPr>
          <w:rFonts w:ascii="Times New Roman" w:hAnsi="Times New Roman" w:cs="Times New Roman"/>
          <w:lang w:val="en-US"/>
        </w:rPr>
        <w:t>reflect</w:t>
      </w:r>
      <w:r w:rsidR="00636DF4" w:rsidRPr="00B6133E">
        <w:rPr>
          <w:rFonts w:ascii="Times New Roman" w:hAnsi="Times New Roman" w:cs="Times New Roman"/>
          <w:lang w:val="en-US"/>
        </w:rPr>
        <w:t xml:space="preserve"> the association between cellular differentiation and oncogenesis</w:t>
      </w:r>
      <w:r w:rsidR="00071B20"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10.1038/leu.2011.70","ISSN":"1476-5551","PMID":"21494259","author":[{"dropping-particle":"","family":"Pfeifer","given":"S","non-dropping-particle":"","parse-names":false,"suffix":""},{"dropping-particle":"","family":"Perez-Andres","given":"M","non-dropping-particle":"","parse-names":false,"suffix":""},{"dropping-particle":"","family":"Ludwig","given":"H","non-dropping-particle":"","parse-names":false,"suffix":""},{"dropping-particle":"","family":"Sahota","given":"S S","non-dropping-particle":"","parse-names":false,"suffix":""},{"dropping-particle":"","family":"Zojer","given":"N","non-dropping-particle":"","parse-names":false,"suffix":""}],"container-title":"Leukemia","id":"ITEM-1","issue":"7","issued":{"date-parts":[["2011","7","15"]]},"page":"1213-6","title":"Evaluating the clonal hierarchy in light-chain multiple myeloma: implications against the myeloma stem cell hypothesis.","type":"article-journal","volume":"25"},"uris":["http://www.mendeley.com/documents/?uuid=7cafa375-bc78-3353-abb5-4cda8e999c8a"]},{"id":"ITEM-2","itemData":{"DOI":"10.1038/nature10762","ISSN":"1476-4687","PMID":"22258609","abstract":"Cancers evolve by a reiterative process of clonal expansion, genetic diversification and clonal selection within the adaptive landscapes of tissue ecosystems. The dynamics are complex, with highly variable patterns of genetic diversity and resulting clonal architecture. Therapeutic intervention may destroy cancer clones and erode their habitats, but it can also inadvertently provide a potent selective pressure for the expansion of resistant variants. The inherently Darwinian character of cancer is the primary reason for this therapeutic failure, but it may also hold the key to more effective control.","author":[{"dropping-particle":"","family":"Greaves","given":"Mel","non-dropping-particle":"","parse-names":false,"suffix":""},{"dropping-particle":"","family":"Maley","given":"Carlo C","non-dropping-particle":"","parse-names":false,"suffix":""}],"container-title":"Nature","id":"ITEM-2","issue":"7381","issued":{"date-parts":[["2012","1","19"]]},"page":"306-13","title":"Clonal evolution in cancer.","type":"article-journal","volume":"481"},"uris":["http://www.mendeley.com/documents/?uuid=ce44de76-7670-4dbb-a83e-76f5e338a536"]},{"id":"ITEM-3","itemData":{"DOI":"10.1182/blood-2014-10-567370","ISSN":"0006-4971","PMID":"25628468","abstract":"Our knowledge of myeloma genetics remained limited and lagged behind many other hematologic malignancies because of the inherent difficulties in generating metaphases within the malignant plasma cell clone. With the development of molecular techniques (microarrays and next-generation sequencing), our understanding has been highly improved in the past 5 years. These studies have not only confirmed the prevalence of wide heterogeneity in myeloma at the molecular level, but has also provided a much clearer picture of the disease pathogenesis and progression. Whether these data will enable improvements in the therapeutic approach is still a matter of debate. The next improvement will come from detailed analyses of these molecular features to try to move from a treatment fitted to every patient to individualized therapies, taking into account the complexity of the chromosomal changes, the mutation spectrum, and subclonality evolution.","author":[{"dropping-particle":"","family":"Corre","given":"J.","non-dropping-particle":"","parse-names":false,"suffix":""},{"dropping-particle":"","family":"Munshi","given":"N.","non-dropping-particle":"","parse-names":false,"suffix":""},{"dropping-particle":"","family":"Avet-Loiseau","given":"H.","non-dropping-particle":"","parse-names":false,"suffix":""}],"container-title":"Blood","id":"ITEM-3","issue":"12","issued":{"date-parts":[["2015","3","19"]]},"page":"1870-1876","title":"Genetics of multiple myeloma: another heterogeneity level?","type":"article-journal","volume":"125"},"uris":["http://www.mendeley.com/documents/?uuid=f6221db8-8f96-3fc3-9f0c-1d3bafda37ba"]},{"id":"ITEM-4","itemData":{"DOI":"10.1038/nrc746","ISSN":"1474-175X","PMID":"11990854","abstract":"Multiple myeloma is a neoplasm of terminally differentiated B cells (plasma cells) in which chromosome translocations frequently place oncogenes under the control of immunoglobulin enhancers. Unlike most haematopoietic cancers, multiple myeloma often has complex chromosomal abnormalities that are reminiscent of epithelial tumours. What causes full-blown myeloma? And can our molecular understanding of this common haematological malignancy be used to develop effective preventive and treatment strategies?","author":[{"dropping-particle":"","family":"Kuehl","given":"W Michael","non-dropping-particle":"","parse-names":false,"suffix":""},{"dropping-particle":"","family":"Bergsagel","given":"P Leif","non-dropping-particle":"","parse-names":false,"suffix":""}],"container-title":"Nature reviews. Cancer","id":"ITEM-4","issue":"3","issued":{"date-parts":[["2002","3"]]},"page":"175-87","title":"Multiple myeloma: evolving genetic events and host interactions.","type":"article-journal","volume":"2"},"uris":["http://www.mendeley.com/documents/?uuid=3e3099cc-2aa4-3137-8442-3021aef1213a"]}],"mendeley":{"formattedCitation":"&lt;sup&gt;27,76–78&lt;/sup&gt;","plainTextFormattedCitation":"27,76–78","previouslyFormattedCitation":"&lt;sup&gt;27,76–78&lt;/sup&gt;"},"properties":{"noteIndex":0},"schema":"https://github.com/citation-style-language/schema/raw/master/csl-citation.json"}</w:instrText>
      </w:r>
      <w:r w:rsidR="00071B20"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27,76–78</w:t>
      </w:r>
      <w:r w:rsidR="00071B20" w:rsidRPr="00B6133E">
        <w:rPr>
          <w:rFonts w:ascii="Times New Roman" w:hAnsi="Times New Roman" w:cs="Times New Roman"/>
          <w:lang w:val="en-US"/>
        </w:rPr>
        <w:fldChar w:fldCharType="end"/>
      </w:r>
      <w:r w:rsidRPr="00B6133E">
        <w:rPr>
          <w:rFonts w:ascii="Times New Roman" w:hAnsi="Times New Roman" w:cs="Times New Roman"/>
          <w:lang w:val="en-US"/>
        </w:rPr>
        <w:t xml:space="preserve">. </w:t>
      </w:r>
      <w:r w:rsidR="00FD737D" w:rsidRPr="00B6133E">
        <w:rPr>
          <w:rFonts w:ascii="Times New Roman" w:hAnsi="Times New Roman" w:cs="Times New Roman"/>
          <w:lang w:val="en-US"/>
        </w:rPr>
        <w:t>A</w:t>
      </w:r>
      <w:r w:rsidR="00636DF4" w:rsidRPr="00B6133E">
        <w:rPr>
          <w:rFonts w:ascii="Times New Roman" w:hAnsi="Times New Roman" w:cs="Times New Roman"/>
          <w:lang w:val="en-US"/>
        </w:rPr>
        <w:t xml:space="preserve"> standardized flow </w:t>
      </w:r>
      <w:r w:rsidR="009F0704" w:rsidRPr="00B6133E">
        <w:rPr>
          <w:rFonts w:ascii="Times New Roman" w:hAnsi="Times New Roman" w:cs="Times New Roman"/>
          <w:lang w:val="en-US"/>
        </w:rPr>
        <w:t>cytometry</w:t>
      </w:r>
      <w:r w:rsidR="00636DF4" w:rsidRPr="00B6133E">
        <w:rPr>
          <w:rFonts w:ascii="Times New Roman" w:hAnsi="Times New Roman" w:cs="Times New Roman"/>
          <w:lang w:val="en-US"/>
        </w:rPr>
        <w:t xml:space="preserve"> </w:t>
      </w:r>
      <w:proofErr w:type="spellStart"/>
      <w:r w:rsidR="00636DF4" w:rsidRPr="00B6133E">
        <w:rPr>
          <w:rFonts w:ascii="Times New Roman" w:hAnsi="Times New Roman" w:cs="Times New Roman"/>
          <w:lang w:val="en-US"/>
        </w:rPr>
        <w:t>immunophenotyping</w:t>
      </w:r>
      <w:proofErr w:type="spellEnd"/>
      <w:r w:rsidR="00636DF4" w:rsidRPr="00B6133E">
        <w:rPr>
          <w:rFonts w:ascii="Times New Roman" w:hAnsi="Times New Roman" w:cs="Times New Roman"/>
          <w:lang w:val="en-US"/>
        </w:rPr>
        <w:t xml:space="preserve"> of </w:t>
      </w:r>
      <w:r w:rsidR="009F0704" w:rsidRPr="00B6133E">
        <w:rPr>
          <w:rFonts w:ascii="Times New Roman" w:hAnsi="Times New Roman" w:cs="Times New Roman"/>
          <w:lang w:val="en-US"/>
        </w:rPr>
        <w:t>hematological</w:t>
      </w:r>
      <w:r w:rsidR="00636DF4" w:rsidRPr="00B6133E">
        <w:rPr>
          <w:rFonts w:ascii="Times New Roman" w:hAnsi="Times New Roman" w:cs="Times New Roman"/>
          <w:lang w:val="en-US"/>
        </w:rPr>
        <w:t xml:space="preserve"> malignancies</w:t>
      </w:r>
      <w:r w:rsidR="00A65C9C" w:rsidRPr="00B6133E">
        <w:rPr>
          <w:rFonts w:ascii="Times New Roman" w:hAnsi="Times New Roman" w:cs="Times New Roman"/>
          <w:lang w:val="en-US"/>
        </w:rPr>
        <w:t>,</w:t>
      </w:r>
      <w:r w:rsidR="00636DF4" w:rsidRPr="00B6133E">
        <w:rPr>
          <w:rFonts w:ascii="Times New Roman" w:hAnsi="Times New Roman" w:cs="Times New Roman"/>
          <w:lang w:val="en-US"/>
        </w:rPr>
        <w:t xml:space="preserve"> </w:t>
      </w:r>
      <w:r w:rsidR="000912A4" w:rsidRPr="00B6133E">
        <w:rPr>
          <w:rFonts w:ascii="Times New Roman" w:hAnsi="Times New Roman" w:cs="Times New Roman"/>
          <w:lang w:val="en-US"/>
        </w:rPr>
        <w:t>illustrate</w:t>
      </w:r>
      <w:r w:rsidR="00A65C9C" w:rsidRPr="00B6133E">
        <w:rPr>
          <w:rFonts w:ascii="Times New Roman" w:hAnsi="Times New Roman" w:cs="Times New Roman"/>
          <w:lang w:val="en-US"/>
        </w:rPr>
        <w:t>s</w:t>
      </w:r>
      <w:r w:rsidR="00636DF4" w:rsidRPr="00B6133E">
        <w:rPr>
          <w:rFonts w:ascii="Times New Roman" w:hAnsi="Times New Roman" w:cs="Times New Roman"/>
          <w:lang w:val="en-US"/>
        </w:rPr>
        <w:t xml:space="preserve"> the potential clinical </w:t>
      </w:r>
      <w:r w:rsidR="004452D4" w:rsidRPr="00B6133E">
        <w:rPr>
          <w:rFonts w:ascii="Times New Roman" w:hAnsi="Times New Roman" w:cs="Times New Roman"/>
          <w:lang w:val="en-US"/>
        </w:rPr>
        <w:t>application</w:t>
      </w:r>
      <w:r w:rsidR="00636DF4" w:rsidRPr="00B6133E">
        <w:rPr>
          <w:rFonts w:ascii="Times New Roman" w:hAnsi="Times New Roman" w:cs="Times New Roman"/>
          <w:lang w:val="en-US"/>
        </w:rPr>
        <w:t xml:space="preserve"> of surface</w:t>
      </w:r>
      <w:r w:rsidR="004452D4" w:rsidRPr="00B6133E">
        <w:rPr>
          <w:rFonts w:ascii="Times New Roman" w:hAnsi="Times New Roman" w:cs="Times New Roman"/>
          <w:lang w:val="en-US"/>
        </w:rPr>
        <w:t xml:space="preserve"> </w:t>
      </w:r>
      <w:r w:rsidR="00636DF4" w:rsidRPr="00B6133E">
        <w:rPr>
          <w:rFonts w:ascii="Times New Roman" w:hAnsi="Times New Roman" w:cs="Times New Roman"/>
          <w:lang w:val="en-US"/>
        </w:rPr>
        <w:t>expressed markers to identify diagnostic tumor clones</w:t>
      </w:r>
      <w:r w:rsidR="00071B20"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{"citationItems":[{"id":"ITEM-1","itemData":{"DOI":"10.1038/leu.2012.120","ISSN":"1476-5551","PMID":"22552007","abstract":"Most consensus leukemia &amp; lymphoma antibody panels consist of lists of markers based on expert opinions, but they have not been validated. Here we present the validated EuroFlow 8-color antibody panels for immunophenotyping of hematological malignancies. The single-tube screening panels and multi-tube classification panels fit into the EuroFlow diagnostic algorithm with entries defined by clinical and laboratory parameters. The panels were constructed in 2-7 sequential design-evaluation-redesign rounds, using novel Infinicyt software tools for multivariate data analysis. Two groups of markers are combined in each 8-color tube: (i) backbone markers to identify distinct cell populations in a sample, and (ii) markers for characterization of specific cell populations. In multi-tube panels, the backbone markers were optimally placed at the same fluorochrome position in every tube, to provide identical multidimensional localization of the target cell population(s). The characterization markers were positioned according to the diagnostic utility of the combined markers. Each proposed antibody combination was tested against reference databases of normal and malignant cells from healthy subjects and WHO-based disease entities, respectively. The EuroFlow studies resulted in validated and flexible 8-color antibody panels for multidimensional identification and characterization of normal and aberrant cells, optimally suited for immunophenotypic screening and classification of hematological malignancies.","author":[{"dropping-particle":"","family":"Dongen","given":"J J M","non-dropping-particle":"van","parse-names":false,"suffix":""},{"dropping-particle":"","family":"Lhermitte","given":"L","non-dropping-particle":"","parse-names":false,"suffix":""},{"dropping-particle":"","family":"Böttcher","given":"S","non-dropping-particle":"","parse-names":false,"suffix":""},{"dropping-particle":"","family":"Almeida","given":"J","non-dropping-particle":"","parse-names":false,"suffix":""},{"dropping-particle":"","family":"Velden","given":"V H J","non-dropping-particle":"van der","parse-names":false,"suffix":""},{"dropping-particle":"","family":"Flores-Montero","given":"J","non-dropping-particle":"","parse-names":false,"suffix":""},{"dropping-particle":"","family":"Rawstron","given":"a","non-dropping-particle":"","parse-names":false,"suffix":""},{"dropping-particle":"","family":"Asnafi","given":"V","non-dropping-particle":"","parse-names":false,"suffix":""},{"dropping-particle":"","family":"Lécrevisse","given":"Q","non-dropping-particle":"","parse-names":false,"suffix":""},{"dropping-particle":"","family":"Lucio","given":"P","non-dropping-particle":"","parse-names":false,"suffix":""},{"dropping-particle":"","family":"Mejstrikova","given":"E","non-dropping-particle":"","parse-names":false,"suffix":""},{"dropping-particle":"","family":"Szczepański","given":"T","non-dropping-particle":"","parse-names":false,"suffix":""},{"dropping-particle":"","family":"Kalina","given":"T","non-dropping-particle":"","parse-names":false,"suffix":""},{"dropping-particle":"","family":"Tute","given":"R","non-dropping-particle":"de","parse-names":false,"suffix":""},{"dropping-particle":"","family":"Brüggemann","given":"M","non-dropping-particle":"","parse-names":false,"suffix":""},{"dropping-particle":"","family":"Sedek","given":"L","non-dropping-particle":"","parse-names":false,"suffix":""},{"dropping-particle":"","family":"Cullen","given":"M","non-dropping-particle":"","parse-names":false,"suffix":""},{"dropping-particle":"","family":"Langerak","given":"a W","non-dropping-particle":"","parse-names":false,"suffix":""},{"dropping-particle":"","family":"Mendonça","given":"a","non-dropping-particle":"","parse-names":false,"suffix":""},{"dropping-particle":"","family":"Macintyre","given":"E","non-dropping-particle":"","parse-names":false,"suffix":""},{"dropping-particle":"","family":"Martin-Ayuso","given":"M","non-dropping-particle":"","parse-names":false,"suffix":""},{"dropping-particle":"","family":"Hrusak","given":"O","non-dropping-particle":"","parse-names":false,"suffix":""},{"dropping-particle":"","family":"Vidriales","given":"M B","non-dropping-particle":"","parse-names":false,"suffix":""},{"dropping-particle":"","family":"Orfao","given":"a","non-dropping-particle":"","parse-names":false,"suffix":""}],"container-title":"Leukemia","id":"ITEM-1","issue":"9","issued":{"date-parts":[["2012","9"]]},"page":"1908-75","title":"EuroFlow antibody panels for standardized n-dimensional flow cytometric immunophenotyping of normal, reactive and malignant leukocytes.","type":"article-journal","volume":"26"},"uris":["http://www.mendeley.com/documents/?uuid=3c88858d-1367-4347-bdb4-ad622f3534c9"]}],"mendeley":{"formattedCitation":"&lt;sup&gt;79&lt;/sup&gt;","plainTextFormattedCitation":"79","previouslyFormattedCitation":"&lt;sup&gt;79&lt;/sup&gt;"},"properties":{"noteIndex":0},"schema":"https://github.com/citation-style-language/schema/raw/master/csl-citation.json"}</w:instrText>
      </w:r>
      <w:r w:rsidR="00071B20"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79</w:t>
      </w:r>
      <w:r w:rsidR="00071B20" w:rsidRPr="00B6133E">
        <w:rPr>
          <w:rFonts w:ascii="Times New Roman" w:hAnsi="Times New Roman" w:cs="Times New Roman"/>
          <w:lang w:val="en-US"/>
        </w:rPr>
        <w:fldChar w:fldCharType="end"/>
      </w:r>
      <w:r w:rsidR="000912A4" w:rsidRPr="00B6133E">
        <w:rPr>
          <w:rFonts w:ascii="Times New Roman" w:hAnsi="Times New Roman" w:cs="Times New Roman"/>
          <w:lang w:val="en-US"/>
        </w:rPr>
        <w:t>. Such a strategy has allowed new studies of normal PC heterogeneity by differentiation</w:t>
      </w:r>
      <w:r w:rsidR="00071B20"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author":[{"dropping-particle":"","family":"Paiva","given":"Bruno","non-dropping-particle":"","parse-names":false,"suffix":""},{"dropping-particle":"","family":"Perez-Andres","given":"Martin","non-dropping-particle":"","parse-names":false,"suffix":""},{"dropping-particle":"","family":"Gutierrez","given":"Maria Laura","non-dropping-particle":"","parse-names":false,"suffix":""},{"dropping-particle":"","family":"Dybkaer","given":"Karen","non-dropping-particle":"","parse-names":false,"suffix":""},{"dropping-particle":"","family":"Rasillo","given":"Ana","non-dropping-particle":"","parse-names":false,"suffix":""},{"dropping-particle":"","family":"Tabernero","given":"Maria Dolores","non-dropping-particle":"","parse-names":false,"suffix":""},{"dropping-particle":"","family":"Lopez","given":"Antonio","non-dropping-particle":"","parse-names":false,"suffix":""},{"dropping-particle":"","family":"Kryukov","given":"Fedor","non-dropping-particle":"","parse-names":false,"suffix":""},{"dropping-particle":"","family":"Carrasco","given":"Paloma","non-dropping-particle":"","parse-names":false,"suffix":""},{"dropping-particle":"","family":"Sanchez","given":"Maria Luz","non-dropping-particle":"","parse-names":false,"suffix":""},{"dropping-particle":"","family":"Rosiñol","given":"Laura","non-dropping-particle":"","parse-names":false,"suffix":""},{"dropping-particle":"","family":"Lopez","given":"Joaquin Martinez","non-dropping-particle":"","parse-names":false,"suffix":""},{"dropping-particle":"","family":"Consultant","given":"","non-dropping-particle":"","parse-names":false,"suffix":""},{"dropping-particle":"","family":"Oriol","given":"Albert","non-dropping-particle":"","parse-names":false,"suffix":""},{"dropping-particle":"","family":"Arriba","given":"Felipe","non-dropping-particle":"de","parse-names":false,"suffix":""},{"dropping-particle":"","family":"Palomera","given":"Luis","non-dropping-particle":"","parse-names":false,"suffix":""},{"dropping-particle":"","family":"Bengoechea","given":"Enrique","non-dropping-particle":"","parse-names":false,"suffix":""},{"dropping-particle":"","family":"Lahuerta","given":"Juan Jose","non-dropping-particle":"","parse-names":false,"suffix":""},{"dropping-particle":"","family":"Blade","given":"Joan","non-dropping-particle":"","parse-names":false,"suffix":""},{"dropping-particle":"","family":"Schmitz","given":"Alex","non-dropping-particle":"","parse-names":false,"suffix":""},{"dropping-particle":"","family":"Johnsen","given":"Hans E","non-dropping-particle":"","parse-names":false,"suffix":""},{"dropping-particle":"","family":"San Miguel","given":"Jesús F","non-dropping-particle":"","parse-names":false,"suffix":""},{"dropping-particle":"","family":"Orfao","given":"Alberto","non-dropping-particle":"","parse-names":false,"suffix":""}],"container-title":"Blood","id":"ITEM-1","issue":"21","issued":{"date-parts":[["2013"]]},"title":"CD56+ Clonal Plasma Cells In Multiple Myeloma Are Associated With Unique Disease Characteristics and Have a Counterpart Of CD56+ Normal Plasma Cells With Increased Maturity","type":"article-journal","volume":"122"},"uris":["http://www.mendeley.com/documents/?uuid=1776dbd9-ef6e-3706-bd66-55d66f2f0542"]},{"id":"ITEM-2","itemData":{"ISSN":"0006-4971","PMID":"11861292","abstract":"Bone marrow plasma cells (PCs) from 74 patients with newly diagnosed multiple myeloma (MM), 5 with monoclonal gammopathy of undetermined significance (MGUS), and 31 healthy volunteers (normal PCs) were purified by CD138(+) selection. Gene expression of purified PCs and 7 MM cell lines were profiled using high-density oligonucleotide microarrays interrogating about 6800 genes. On hierarchical clustering analysis, normal and MM PCs were differentiated and 4 distinct subgroups of MM (MM1, MM2, MM3, and MM4) were identified. The expression pattern of MM1 was similar to normal PCs and MGUS, whereas MM4 was similar to MM cell lines. Clinical parameters linked to poor prognosis, abnormal karyotype (P =.002) and high serum beta(2)-microglobulin levels (P =.0005), were most prevalent in MM4. Also, genes involved in DNA metabolism and cell cycle control were overexpressed in a comparison of MM1 and MM4. In addition, using chi(2) and Wilcoxon rank sum tests, 120 novel candidate disease genes were identified that discriminate normal and malignant PCs (P &lt;.0001); many are involved in adhesion, apoptosis, cell cycle, drug resistance, growth arrest, oncogenesis, signaling, and transcription. A total of 156 genes, including FGFR3 and CCND1, exhibited highly elevated (\"spiked\") expression in at least 4 of the 74 MM cases (range, 4-25 spikes). Elevated expression of these 2 genes was caused by the translocation t(4;14)(p16;q32) or t(11;14)(q13;q32). Thus, novel candidate MM disease genes have been identified using gene expression profiling and this profiling has led to the development of a gene-based classification system for MM.","author":[{"dropping-particle":"","family":"Zhan","given":"Fenghuang","non-dropping-particle":"","parse-names":false,"suffix":""},{"dropping-particle":"","family":"Hardin","given":"Johanna","non-dropping-particle":"","parse-names":false,"suffix":""},{"dropping-particle":"","family":"Kordsmeier","given":"Bob","non-dropping-particle":"","parse-names":false,"suffix":""},{"dropping-particle":"","family":"Bumm","given":"Klaus","non-dropping-particle":"","parse-names":false,"suffix":""},{"dropping-particle":"","family":"Zheng","given":"Mingzhong","non-dropping-particle":"","parse-names":false,"suffix":""},{"dropping-particle":"","family":"Tian","given":"Erming","non-dropping-particle":"","parse-names":false,"suffix":""},{"dropping-particle":"","family":"Sanderson","given":"Ralph","non-dropping-particle":"","parse-names":false,"suffix":""},{"dropping-particle":"","family":"Yang","given":"Yang","non-dropping-particle":"","parse-names":false,"suffix":""},{"dropping-particle":"","family":"Wilson","given":"Carla","non-dropping-particle":"","parse-names":false,"suffix":""},{"dropping-particle":"","family":"Zangari","given":"Maurizio","non-dropping-particle":"","parse-names":false,"suffix":""},{"dropping-particle":"","family":"Anaissie","given":"Elias","non-dropping-particle":"","parse-names":false,"suffix":""},{"dropping-particle":"","family":"Morris","given":"Christopher","non-dropping-particle":"","parse-names":false,"suffix":""},{"dropping-particle":"","family":"Muwalla","given":"Firas","non-dropping-particle":"","parse-names":false,"suffix":""},{"dropping-particle":"","family":"Rhee","given":"Frits","non-dropping-particle":"van","parse-names":false,"suffix":""},{"dropping-particle":"","family":"Fassas","given":"Athanasios","non-dropping-particle":"","parse-names":false,"suffix":""},{"dropping-particle":"","family":"Crowley","given":"John","non-dropping-particle":"","parse-names":false,"suffix":""},{"dropping-particle":"","family":"Tricot","given":"Guido","non-dropping-particle":"","parse-names":false,"suffix":""},{"dropping-particle":"","family":"Barlogie","given":"Bart","non-dropping-particle":"","parse-names":false,"suffix":""},{"dropping-particle":"","family":"Shaughnessy","given":"John","non-dropping-particle":"","parse-names":false,"suffix":""}],"container-title":"Blood","id":"ITEM-2","issue":"5","issued":{"date-parts":[["2002","3","1"]]},"page":"1745-57","title":"Global gene expression profiling of multiple myeloma, monoclonal gammopathy of undetermined significance, and normal bone marrow plasma cells.","type":"article-journal","volume":"99"},"uris":["http://www.mendeley.com/documents/?uuid=a301679c-9907-37fa-a559-f9461c4fff50"]},{"id":"ITEM-3","itemData":{"DOI":"10.1016/j.ceb.2010.11.004","ISSN":"1879-0410","PMID":"21169004","abstract":"Plasma cells differentiate from B lymphocytes to sustain antibody production. As professional secretors, they allow dissecting proteostasis in the exocytic compartment, the stresses that protein production entails and their possible roles in signaling. Most plasma cells are short-lived to limit antibody responses. After a few days of intense immunoglobulin production, they undergo apoptosis, offering a unique model of cellular senescence. Recent observations reveal that proteotoxic stresses physiologically contribute to regulate their biogenesis, function and lifespan, explaining partly the sensitivity of multiple myeloma cells to proteasome inhibitors. This essay summarizes these plasma cell lessons, and their general implications for the regulation of proteostasis, cell senescence and cancer therapeutics.","author":[{"dropping-particle":"","family":"Cenci","given":"Simone","non-dropping-particle":"","parse-names":false,"suffix":""},{"dropping-particle":"","family":"Anken","given":"Eelco","non-dropping-particle":"van","parse-names":false,"suffix":""},{"dropping-particle":"","family":"Sitia","given":"Roberto","non-dropping-particle":"","parse-names":false,"suffix":""}],"container-title":"Current opinion in cell biology","id":"ITEM-3","issue":"2","issued":{"date-parts":[["2011","4"]]},"page":"216-22","title":"Proteostenosis and plasma cell pathophysiology.","type":"article-journal","volume":"23"},"uris":["http://www.mendeley.com/documents/?uuid=74e267c4-c209-3daf-a819-00e431514aef"]}],"mendeley":{"formattedCitation":"&lt;sup&gt;6,10,80&lt;/sup&gt;","plainTextFormattedCitation":"6,10,80","previouslyFormattedCitation":"&lt;sup&gt;6,10,80&lt;/sup&gt;"},"properties":{"noteIndex":0},"schema":"https://github.com/citation-style-language/schema/raw/master/csl-citation.json"}</w:instrText>
      </w:r>
      <w:r w:rsidR="00071B20"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6,10,80</w:t>
      </w:r>
      <w:r w:rsidR="00071B20" w:rsidRPr="00B6133E">
        <w:rPr>
          <w:rFonts w:ascii="Times New Roman" w:hAnsi="Times New Roman" w:cs="Times New Roman"/>
          <w:lang w:val="en-US"/>
        </w:rPr>
        <w:fldChar w:fldCharType="end"/>
      </w:r>
      <w:r w:rsidR="00636DF4" w:rsidRPr="00B6133E">
        <w:rPr>
          <w:rFonts w:ascii="Times New Roman" w:hAnsi="Times New Roman" w:cs="Times New Roman"/>
          <w:lang w:val="en-US"/>
        </w:rPr>
        <w:t xml:space="preserve">. </w:t>
      </w:r>
    </w:p>
    <w:p w14:paraId="251E2585" w14:textId="2B9C5C3B" w:rsidR="00425D86" w:rsidRPr="00B6133E" w:rsidRDefault="00425D86" w:rsidP="00390150">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 xml:space="preserve">MM is an example of </w:t>
      </w:r>
      <w:r w:rsidR="003F7E70" w:rsidRPr="00B6133E">
        <w:rPr>
          <w:rFonts w:ascii="Times New Roman" w:hAnsi="Times New Roman" w:cs="Times New Roman"/>
          <w:lang w:val="en-US"/>
        </w:rPr>
        <w:t xml:space="preserve">a </w:t>
      </w:r>
      <w:r w:rsidRPr="00B6133E">
        <w:rPr>
          <w:rFonts w:ascii="Times New Roman" w:hAnsi="Times New Roman" w:cs="Times New Roman"/>
          <w:lang w:val="en-US"/>
        </w:rPr>
        <w:t xml:space="preserve">malignant disease that </w:t>
      </w:r>
      <w:r w:rsidR="00CA7523" w:rsidRPr="00B6133E">
        <w:rPr>
          <w:rFonts w:ascii="Times New Roman" w:hAnsi="Times New Roman" w:cs="Times New Roman"/>
          <w:lang w:val="en-US"/>
        </w:rPr>
        <w:t xml:space="preserve">has </w:t>
      </w:r>
      <w:r w:rsidRPr="00B6133E">
        <w:rPr>
          <w:rFonts w:ascii="Times New Roman" w:hAnsi="Times New Roman" w:cs="Times New Roman"/>
          <w:lang w:val="en-US"/>
        </w:rPr>
        <w:t xml:space="preserve">been studied intensively with microarrays. </w:t>
      </w:r>
      <w:r w:rsidR="00CA7523" w:rsidRPr="00B6133E">
        <w:rPr>
          <w:rFonts w:ascii="Times New Roman" w:hAnsi="Times New Roman" w:cs="Times New Roman"/>
          <w:lang w:val="en-US"/>
        </w:rPr>
        <w:t>Many</w:t>
      </w:r>
      <w:r w:rsidRPr="00B6133E">
        <w:rPr>
          <w:rFonts w:ascii="Times New Roman" w:hAnsi="Times New Roman" w:cs="Times New Roman"/>
          <w:lang w:val="en-US"/>
        </w:rPr>
        <w:t xml:space="preserve"> peer-review</w:t>
      </w:r>
      <w:r w:rsidR="00CA7523" w:rsidRPr="00B6133E">
        <w:rPr>
          <w:rFonts w:ascii="Times New Roman" w:hAnsi="Times New Roman" w:cs="Times New Roman"/>
          <w:lang w:val="en-US"/>
        </w:rPr>
        <w:t>ed</w:t>
      </w:r>
      <w:r w:rsidRPr="00B6133E">
        <w:rPr>
          <w:rFonts w:ascii="Times New Roman" w:hAnsi="Times New Roman" w:cs="Times New Roman"/>
          <w:lang w:val="en-US"/>
        </w:rPr>
        <w:t xml:space="preserve"> papers </w:t>
      </w:r>
      <w:r w:rsidR="00CA7523" w:rsidRPr="00B6133E">
        <w:rPr>
          <w:rFonts w:ascii="Times New Roman" w:hAnsi="Times New Roman" w:cs="Times New Roman"/>
          <w:lang w:val="en-US"/>
        </w:rPr>
        <w:t xml:space="preserve">have </w:t>
      </w:r>
      <w:r w:rsidRPr="00B6133E">
        <w:rPr>
          <w:rFonts w:ascii="Times New Roman" w:hAnsi="Times New Roman" w:cs="Times New Roman"/>
          <w:lang w:val="en-US"/>
        </w:rPr>
        <w:t>document</w:t>
      </w:r>
      <w:r w:rsidR="005E618B" w:rsidRPr="00B6133E">
        <w:rPr>
          <w:rFonts w:ascii="Times New Roman" w:hAnsi="Times New Roman" w:cs="Times New Roman"/>
          <w:lang w:val="en-US"/>
        </w:rPr>
        <w:t>ed</w:t>
      </w:r>
      <w:r w:rsidRPr="00B6133E">
        <w:rPr>
          <w:rFonts w:ascii="Times New Roman" w:hAnsi="Times New Roman" w:cs="Times New Roman"/>
          <w:lang w:val="en-US"/>
        </w:rPr>
        <w:t xml:space="preserve"> new classification systems based on gene expression profiles to correlate with biology and prognosis</w:t>
      </w:r>
      <w:r w:rsidR="000B6804"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{"citationItems":[{"id":"ITEM-1","itemData":{"DOI":"10.1182/blood-2011-01-293050","ISSN":"1528-0020","PMID":"21300984","abstract":"The World Health Organization classification of lymphoid neoplasms updated in 2008 represents a worldwide consensus on the diagnosis of these tumors and is based on the recognition of distinct diseases, using a multidisciplinary approach. The updated classification refined the definitions of well-recognized diseases, identified new entities and variants, and incorporated emerging concepts in the understanding of lymphoid neoplasms. However, some questions were unresolved, such as the extent to which specific genetic or molecular alterations define certain tumors, and the status of provisional entities, categories for which the World Health Organization working groups felt there was insufficient evidence to recognize as distinct diseases at this time. In addition, since its publication, new findings and ideas have been generated. This review summarizes the scientific rationale for the classification, emphasizing changes that have had an effect on practice guidelines. The authors address the criteria and significance of early or precursor lesions and the identification of certain lymphoid neoplasms largely associated with particular age groups, such as children and the elderly. The issue of borderline categories having overlapping features with large B-cell lymphomas, as well as several provisional entities, is reviewed. These new observations chart a course for future research in the field.","author":[{"dropping-particle":"","family":"Campo","given":"Elias","non-dropping-particle":"","parse-names":false,"suffix":""},{"dropping-particle":"","family":"Swerdlow","given":"Steven H","non-dropping-particle":"","parse-names":false,"suffix":""},{"dropping-particle":"","family":"Harris","given":"Nancy L","non-dropping-particle":"","parse-names":false,"suffix":""},{"dropping-particle":"","family":"Pileri","given":"Stefano","non-dropping-particle":"","parse-names":false,"suffix":""},{"dropping-particle":"","family":"Stein","given":"Harald","non-dropping-particle":"","parse-names":false,"suffix":""},{"dropping-particle":"","family":"Jaffe","given":"Elaine S","non-dropping-particle":"","parse-names":false,"suffix":""}],"container-title":"Blood","id":"ITEM-1","issue":"19","issued":{"date-parts":[["2011","5","12"]]},"page":"5019-32","title":"The 2008 WHO classification of lymphoid neoplasms and beyond : evolving concepts and practical applications","type":"article-journal","volume":"117"},"uris":["http://www.mendeley.com/documents/?uuid=ba475239-e9f8-47a0-9829-0bdea7ef09cb"]},{"id":"ITEM-2","itemData":{"ISSN":"0006-4971","PMID":"9414264","author":[{"dropping-particle":"","family":"Hallek","given":"M","non-dropping-particle":"","parse-names":false,"suffix":""},{"dropping-particle":"","family":"Bergsagel","given":"P L","non-dropping-particle":"","parse-names":false,"suffix":""},{"dropping-particle":"","family":"Anderson","given":"K C","non-dropping-particle":"","parse-names":false,"suffix":""}],"container-title":"Blood","id":"ITEM-2","issue":"1","issued":{"date-parts":[["1998","1","1"]]},"page":"3-21","title":"Multiple myeloma: increasing evidence for a multistep transformation process.","type":"article-journal","volume":"91"},"uris":["http://www.mendeley.com/documents/?uuid=fdbf2ba1-7e27-48d5-9ae4-1683c6981b68"]},{"id":"ITEM-3","itemData":{"DOI":"10.1182/blood-2005-01-0034","ISSN":"0006-4971","PMID":"15755896","abstract":"Two oncogenic pathways have been hypothesized for multiple myeloma (MM) and premalignant monoclonal gammopathy of undetermined significance (MGUS) tumors: a nonhyperdiploid pathway associated with a high prevalence of IgH translocations and a hyperdiploid pathway associated with multiple trisomies of 8 chromosomes. Cyclin D1, D2, or D3 expression appears to be increased and/or dysregulated in virtually all MM tumors despite their low proliferative capacity. Translocations can directly dysregulate CCND1 (11q13) or CCND3 (6p21), or MAF (16q23) or MAFB (20q11) transcription factors that target CCND2. Biallelic dysregulation of CCND1 occurs in nearly 40% of tumors, most of which are hyperdiploid. Other tumors express increased CCND2, either with or without a t(4;14) translocation. Using gene expression profiling to identify 5 recurrent translocations, specific trisomies, and expression of cyclin D genes, MM tumors can be divided into 8 TC (translocation/cyclin D) groups (11q13, 6p21, 4p16, maf, D1, D1+D2, D2, and none) that appear to be defined by early, and perhaps initiating, oncogenic events. However, despite subsequent progression events, these groups have differing gene expression profiles and also significant differences in the prevalence of bone disease, frequency at relapse, and progression to extramedullary tumor.","author":[{"dropping-particle":"","family":"Bergsagel","given":"P Leif","non-dropping-particle":"","parse-names":false,"suffix":""},{"dropping-particle":"","family":"Kuehl","given":"W Michael","non-dropping-particle":"","parse-names":false,"suffix":""},{"dropping-particle":"","family":"Zhan","given":"Fenghuang","non-dropping-particle":"","parse-names":false,"suffix":""},{"dropping-particle":"","family":"Sawyer","given":"Jeffrey","non-dropping-particle":"","parse-names":false,"suffix":""},{"dropping-particle":"","family":"Barlogie","given":"Bart","non-dropping-particle":"","parse-names":false,"suffix":""},{"dropping-particle":"","family":"Shaughnessy","given":"John","non-dropping-particle":"","parse-names":false,"suffix":""}],"container-title":"Blood","id":"ITEM-3","issue":"1","issued":{"date-parts":[["2005","7"]]},"page":"296-303","title":"Cyclin D dysregulation: an early and unifying pathogenic event in multiple myeloma.","type":"article-journal","volume":"106"},"uris":["http://www.mendeley.com/documents/?uuid=c81fe6b0-1496-47db-9204-eec4587fdf2d"]},{"id":"ITEM-4","itemData":{"ISSN":"0006-4971","PMID":"11861292","abstract":"Bone marrow plasma cells (PCs) from 74 patients with newly diagnosed multiple myeloma (MM), 5 with monoclonal gammopathy of undetermined significance (MGUS), and 31 healthy volunteers (normal PCs) were purified by CD138(+) selection. Gene expression of purified PCs and 7 MM cell lines were profiled using high-density oligonucleotide microarrays interrogating about 6800 genes. On hierarchical clustering analysis, normal and MM PCs were differentiated and 4 distinct subgroups of MM (MM1, MM2, MM3, and MM4) were identified. The expression pattern of MM1 was similar to normal PCs and MGUS, whereas MM4 was similar to MM cell lines. Clinical parameters linked to poor prognosis, abnormal karyotype (P =.002) and high serum beta(2)-microglobulin levels (P =.0005), were most prevalent in MM4. Also, genes involved in DNA metabolism and cell cycle control were overexpressed in a comparison of MM1 and MM4. In addition, using chi(2) and Wilcoxon rank sum tests, 120 novel candidate disease genes were identified that discriminate normal and malignant PCs (P &lt;.0001); many are involved in adhesion, apoptosis, cell cycle, drug resistance, growth arrest, oncogenesis, signaling, and transcription. A total of 156 genes, including FGFR3 and CCND1, exhibited highly elevated (\"spiked\") expression in at least 4 of the 74 MM cases (range, 4-25 spikes). Elevated expression of these 2 genes was caused by the translocation t(4;14)(p16;q32) or t(11;14)(q13;q32). Thus, novel candidate MM disease genes have been identified using gene expression profiling and this profiling has led to the development of a gene-based classification system for MM.","author":[{"dropping-particle":"","family":"Zhan","given":"Fenghuang","non-dropping-particle":"","parse-names":false,"suffix":""},{"dropping-particle":"","family":"Hardin","given":"Johanna","non-dropping-particle":"","parse-names":false,"suffix":""},{"dropping-particle":"","family":"Kordsmeier","given":"Bob","non-dropping-particle":"","parse-names":false,"suffix":""},{"dropping-particle":"","family":"Bumm","given":"Klaus","non-dropping-particle":"","parse-names":false,"suffix":""},{"dropping-particle":"","family":"Zheng","given":"Mingzhong","non-dropping-particle":"","parse-names":false,"suffix":""},{"dropping-particle":"","family":"Tian","given":"Erming","non-dropping-particle":"","parse-names":false,"suffix":""},{"dropping-particle":"","family":"Sanderson","given":"Ralph","non-dropping-particle":"","parse-names":false,"suffix":""},{"dropping-particle":"","family":"Yang","given":"Yang","non-dropping-particle":"","parse-names":false,"suffix":""},{"dropping-particle":"","family":"Wilson","given":"Carla","non-dropping-particle":"","parse-names":false,"suffix":""},{"dropping-particle":"","family":"Zangari","given":"Maurizio","non-dropping-particle":"","parse-names":false,"suffix":""},{"dropping-particle":"","family":"Anaissie","given":"Elias","non-dropping-particle":"","parse-names":false,"suffix":""},{"dropping-particle":"","family":"Morris","given":"Christopher","non-dropping-particle":"","parse-names":false,"suffix":""},{"dropping-particle":"","family":"Muwalla","given":"Firas","non-dropping-particle":"","parse-names":false,"suffix":""},{"dropping-particle":"","family":"Rhee","given":"Frits","non-dropping-particle":"van","parse-names":false,"suffix":""},{"dropping-particle":"","family":"Fassas","given":"Athanasios","non-dropping-particle":"","parse-names":false,"suffix":""},{"dropping-particle":"","family":"Crowley","given":"John","non-dropping-particle":"","parse-names":false,"suffix":""},{"dropping-particle":"","family":"Tricot","given":"Guido","non-dropping-particle":"","parse-names":false,"suffix":""},{"dropping-particle":"","family":"Barlogie","given":"Bart","non-dropping-particle":"","parse-names":false,"suffix":""},{"dropping-particle":"","family":"Shaughnessy","given":"John","non-dropping-particle":"","parse-names":false,"suffix":""}],"container-title":"Blood","id":"ITEM-4","issue":"5","issued":{"date-parts":[["2002","3","1"]]},"page":"1745-57","title":"Global gene expression profiling of multiple myeloma, monoclonal gammopathy of undetermined significance, and normal bone marrow plasma cells.","type":"article-journal","volume":"99"},"uris":["http://www.mendeley.com/documents/?uuid=a301679c-9907-37fa-a559-f9461c4fff50"]},{"id":"ITEM-5","itemData":{"DOI":"10.1038/sj.onc.1204641","ISSN":"0950-9232","PMID":"11607813","abstract":"Multiple myeloma (MM), a malignant tumor of somatically mutated, isotype-switched plasma cells (PC), usually arises from a common benign PC tumor called Monoclonal Gammopathy of Undetermined Significance (MGUS). MM progresses within the bone marrow, and then to an extramedullary stage from which MM cell lines are generated. The incidence of IgH translocations increases with the stage of disease: 50% in MGUS, 60-65% in intramedullarly MM, 70-80% in extramedullary MM, and &gt;90% in MM cell lines. Primary, simple reciprocal IgH translocations, which are present in both MGUS and MM, involve many partners and provide an early immortalizing event. Four chromosomal partners appear to account for the majority of primary IgH translocations: 11q13 (cyclin D1), 6p21 (cyclin D3), 4p16 (FGFR3 and MMSET), and 16q23 (c-maf). They are mediated primarily by errors in IgH switch recombination and less often by errors in somatic hypermutation, with the former dissociating the intronic and 3' enhancer(s), so that potential oncogenes can be dysregulated on each derivative chromosome (e.g., FGFR3 on der14 and MMSET on der4). Secondary translocations, which sometimes do not involve Ig loci, are more complex, and are not mediated by errors in B cell specific DNA modification mechanisms. They involve other chromosomal partners, notably 8q24 (c-myc), and are associated with tumor progression. Consistent with MM being the malignant counterpart of a long-lived PC, oncogenes dysregulated by primary IgH translocations in MM do not appear to confer an anti-apoptotic effect, but instead increase proliferation and/or inhibit differentiation. The fact that so many different primary transforming events give rise to tumors with the same phenotype suggests that there is only a single fate available for the transformed cell.","author":[{"dropping-particle":"","family":"Bergsagel","given":"P Leif","non-dropping-particle":"","parse-names":false,"suffix":""},{"dropping-particle":"","family":"Kuehl","given":"W Michael","non-dropping-particle":"","parse-names":false,"suffix":""}],"container-title":"Oncogene","id":"ITEM-5","issue":"40","issued":{"date-parts":[["2001","9","8"]]},"page":"5611-5622","title":"Chromosome translocations in multiple myeloma","type":"article-journal","volume":"20"},"uris":["http://www.mendeley.com/documents/?uuid=a89e9b1d-6fbf-49ea-98a6-0251807d376f"]},{"id":"ITEM-6","itemData":{"ISSN":"0027-8424","PMID":"8943038","abstract":"In multiple myeloma, karyotopic 14q32 translocations have been identified at a variable frequency (10-60% in different studies). In the majority of cases, the partner chromosome has not been identified (14q+), and in the remaining cases, a diverse array of chromosomal partners has been implicated, with 11q13 being the most common. We developed a comprehensive Southern blot assay to identify and distinguish different kinds of immunoglobulin heavy chain (IgH) switch recombination events. Illegitimate switch recombination fragments (defined as containing sequences from only one switch region) are potential markers of translocation events into IgH switch regions and were identified in 15 of 21 myeloma cell lines, including seven of eight karyotyped lines that have no detectable 14q32 translocation. From all nine lines or tumor samples analyzed further, cloned illegitimate switch recombination fragments were confirmed to be IgH switch translocation breakpoints. In three of these cases, the translocation breakpoint was shown to be present in the primary tumor. These translocation breakpoints involve six chromosomal loci: 4p16.3 (two lines and the one tumor); 6; 8q24.13; 11q13.3 (in three lines); 16q23.1; and 21q22.1. We suggest that translocations into the IgH locus (i) are frequent (karyotypic 14q32 translocations and/or illegitimate switch recombination fragments are present in primary tumor samples and in 19 of 21 lines that we have analyzed); (ii) occur mainly in switch regions; and (iii) involve a diverse but nonrandom array (i.e., frequently 11q13 or 4p16) of chromosomal partners. This appears to be the most frequent genetic abnormality in multiple myeloma.","author":[{"dropping-particle":"","family":"Bergsagel","given":"P L","non-dropping-particle":"","parse-names":false,"suffix":""},{"dropping-particle":"","family":"Chesi","given":"M","non-dropping-particle":"","parse-names":false,"suffix":""},{"dropping-particle":"","family":"Nardini","given":"E","non-dropping-particle":"","parse-names":false,"suffix":""},{"dropping-particle":"","family":"Brents","given":"L A","non-dropping-particle":"","parse-names":false,"suffix":""},{"dropping-particle":"","family":"Kirby","given":"S L","non-dropping-particle":"","parse-names":false,"suffix":""},{"dropping-particle":"","family":"Kuehl","given":"W M","non-dropping-particle":"","parse-names":false,"suffix":""}],"container-title":"Proceedings of the National Academy of Sciences of the United States of America","id":"ITEM-6","issue":"24","issued":{"date-parts":[["1996","11","26"]]},"page":"13931-6","title":"Promiscuous translocations into immunoglobulin heavy chain switch regions in multiple myeloma.","type":"article-journal","volume":"93"},"uris":["http://www.mendeley.com/documents/?uuid=2415ffeb-064b-4731-b2d9-d0561c9ecd1a"]}],"mendeley":{"formattedCitation":"&lt;sup&gt;1,8–12&lt;/sup&gt;","plainTextFormattedCitation":"1,8–12","previouslyFormattedCitation":"&lt;sup&gt;1,8–12&lt;/sup&gt;"},"properties":{"noteIndex":0},"schema":"https://github.com/citation-style-language/schema/raw/master/csl-citation.json"}</w:instrText>
      </w:r>
      <w:r w:rsidR="000B6804"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1,8–12</w:t>
      </w:r>
      <w:r w:rsidR="000B6804" w:rsidRPr="00B6133E">
        <w:rPr>
          <w:rFonts w:ascii="Times New Roman" w:hAnsi="Times New Roman" w:cs="Times New Roman"/>
          <w:lang w:val="en-US"/>
        </w:rPr>
        <w:fldChar w:fldCharType="end"/>
      </w:r>
      <w:r w:rsidRPr="00B6133E">
        <w:rPr>
          <w:rFonts w:ascii="Times New Roman" w:hAnsi="Times New Roman" w:cs="Times New Roman"/>
          <w:lang w:val="en-US"/>
        </w:rPr>
        <w:t>. The present work</w:t>
      </w:r>
      <w:r w:rsidR="00463D14" w:rsidRPr="00B6133E">
        <w:rPr>
          <w:rFonts w:ascii="Times New Roman" w:hAnsi="Times New Roman" w:cs="Times New Roman"/>
          <w:lang w:val="en-US"/>
        </w:rPr>
        <w:t xml:space="preserve"> addresses a need to study</w:t>
      </w:r>
      <w:r w:rsidRPr="00B6133E">
        <w:rPr>
          <w:rFonts w:ascii="Times New Roman" w:hAnsi="Times New Roman" w:cs="Times New Roman"/>
          <w:lang w:val="en-US"/>
        </w:rPr>
        <w:t xml:space="preserve"> </w:t>
      </w:r>
      <w:r w:rsidR="00410BB4" w:rsidRPr="00B6133E">
        <w:rPr>
          <w:rFonts w:ascii="Times New Roman" w:hAnsi="Times New Roman" w:cs="Times New Roman"/>
          <w:lang w:val="en-US"/>
        </w:rPr>
        <w:t xml:space="preserve">a </w:t>
      </w:r>
      <w:r w:rsidRPr="00B6133E">
        <w:rPr>
          <w:rFonts w:ascii="Times New Roman" w:hAnsi="Times New Roman" w:cs="Times New Roman"/>
          <w:lang w:val="en-US"/>
        </w:rPr>
        <w:t xml:space="preserve">new diagnostic platform defined by the molecular classification of </w:t>
      </w:r>
      <w:r w:rsidR="004F1DD3" w:rsidRPr="00B6133E">
        <w:rPr>
          <w:rFonts w:ascii="Times New Roman" w:hAnsi="Times New Roman" w:cs="Times New Roman"/>
          <w:lang w:val="en-US"/>
        </w:rPr>
        <w:t>BAGS</w:t>
      </w:r>
      <w:r w:rsidRPr="00B6133E">
        <w:rPr>
          <w:rFonts w:ascii="Times New Roman" w:hAnsi="Times New Roman" w:cs="Times New Roman"/>
          <w:lang w:val="en-US"/>
        </w:rPr>
        <w:t xml:space="preserve"> </w:t>
      </w:r>
      <w:r w:rsidR="00463D14" w:rsidRPr="00B6133E">
        <w:rPr>
          <w:rFonts w:ascii="Times New Roman" w:hAnsi="Times New Roman" w:cs="Times New Roman"/>
          <w:lang w:val="en-US"/>
        </w:rPr>
        <w:t>in</w:t>
      </w:r>
      <w:r w:rsidR="00E32BF7" w:rsidRPr="00B6133E">
        <w:rPr>
          <w:rFonts w:ascii="Times New Roman" w:hAnsi="Times New Roman" w:cs="Times New Roman"/>
          <w:lang w:val="en-US"/>
        </w:rPr>
        <w:t xml:space="preserve"> </w:t>
      </w:r>
      <w:r w:rsidR="00463D14" w:rsidRPr="00B6133E">
        <w:rPr>
          <w:rFonts w:ascii="Times New Roman" w:hAnsi="Times New Roman" w:cs="Times New Roman"/>
          <w:lang w:val="en-US"/>
        </w:rPr>
        <w:t xml:space="preserve">MM, </w:t>
      </w:r>
      <w:r w:rsidRPr="00B6133E">
        <w:rPr>
          <w:rFonts w:ascii="Times New Roman" w:hAnsi="Times New Roman" w:cs="Times New Roman"/>
          <w:lang w:val="en-US"/>
        </w:rPr>
        <w:t>as for DLBCL</w:t>
      </w:r>
      <w:r w:rsidR="000B6804"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{"citationItems":[{"id":"ITEM-1","itemData":{"DOI":"10.1038/35000501","ISSN":"0028-0836","PMID":"10676951","abstract":"Diffuse large B-cell lymphoma (DLBCL), the most common subtype of non-Hodgkin's lymphoma, is clinically heterogeneous: 40% of patients respond well to current therapy and have prolonged survival, whereas the remainder succumb to the disease. We proposed that this variability in natural history reflects unrecognized molecular heterogeneity in the tumours. Using DNA microarrays, we have conducted a systematic characterization of gene expression in B-cell malignancies. Here we show that there is diversity in gene expression among the tumours of DLBCL patients, apparently reflecting the variation in tumour proliferation rate, host response and differentiation state of the tumour. We identified two molecularly distinct forms of DLBCL which had gene expression patterns indicative of different stages of B-cell differentiation. One type expressed genes characteristic of germinal centre B cells ('germinal centre B-like DLBCL'); the second type expressed genes normally induced during in vitro activation of peripheral blood B cells ('activated B-like DLBCL'). Patients with germinal centre B-like DLBCL had a significantly better overall survival than those with activated B-like DLBCL. The molecular classification of tumours on the basis of gene expression can thus identify previously undetected and clinically significant subtypes of cancer.","author":[{"dropping-particle":"","family":"Alizadeh","given":"A A","non-dropping-particle":"","parse-names":false,"suffix":""},{"dropping-particle":"","family":"Eisen","given":"M B","non-dropping-particle":"","parse-names":false,"suffix":""},{"dropping-particle":"","family":"Davis","given":"R E","non-dropping-particle":"","parse-names":false,"suffix":""},{"dropping-particle":"","family":"Ma","given":"C","non-dropping-particle":"","parse-names":false,"suffix":""},{"dropping-particle":"","family":"Lossos","given":"I S","non-dropping-particle":"","parse-names":false,"suffix":""},{"dropping-particle":"","family":"Rosenwald","given":"A","non-dropping-particle":"","parse-names":false,"suffix":""},{"dropping-particle":"","family":"Boldrick","given":"J C","non-dropping-particle":"","parse-names":false,"suffix":""},{"dropping-particle":"","family":"Sabet","given":"H","non-dropping-particle":"","parse-names":false,"suffix":""},{"dropping-particle":"","family":"Tran","given":"T","non-dropping-particle":"","parse-names":false,"suffix":""},{"dropping-particle":"","family":"Yu","given":"X","non-dropping-particle":"","parse-names":false,"suffix":""},{"dropping-particle":"","family":"Powell","given":"J I","non-dropping-particle":"","parse-names":false,"suffix":""},{"dropping-particle":"","family":"Yang","given":"L","non-dropping-particle":"","parse-names":false,"suffix":""},{"dropping-particle":"","family":"Marti","given":"G E","non-dropping-particle":"","parse-names":false,"suffix":""},{"dropping-particle":"","family":"Moore","given":"T","non-dropping-particle":"","parse-names":false,"suffix":""},{"dropping-particle":"","family":"Hudson","given":"J","non-dropping-particle":"","parse-names":false,"suffix":""},{"dropping-particle":"","family":"Lu","given":"L","non-dropping-particle":"","parse-names":false,"suffix":""},{"dropping-particle":"","family":"Lewis","given":"D B","non-dropping-particle":"","parse-names":false,"suffix":""},{"dropping-particle":"","family":"Tibshirani","given":"R","non-dropping-particle":"","parse-names":false,"suffix":""},{"dropping-particle":"","family":"Sherlock","given":"G","non-dropping-particle":"","parse-names":false,"suffix":""},{"dropping-particle":"","family":"Chan","given":"W C","non-dropping-particle":"","parse-names":false,"suffix":""},{"dropping-particle":"","family":"Greiner","given":"T C","non-dropping-particle":"","parse-names":false,"suffix":""},{"dropping-particle":"","family":"Weisenburger","given":"D D","non-dropping-particle":"","parse-names":false,"suffix":""},{"dropping-particle":"","family":"Armitage","given":"J O","non-dropping-particle":"","parse-names":false,"suffix":""},{"dropping-particle":"","family":"Warnke","given":"R","non-dropping-particle":"","parse-names":false,"suffix":""},{"dropping-particle":"","family":"Levy","given":"R","non-dropping-particle":"","parse-names":false,"suffix":""},{"dropping-particle":"","family":"Wilson","given":"W","non-dropping-particle":"","parse-names":false,"suffix":""},{"dropping-particle":"","family":"Grever","given":"M R","non-dropping-particle":"","parse-names":false,"suffix":""},{"dropping-particle":"","family":"Byrd","given":"J C","non-dropping-particle":"","parse-names":false,"suffix":""},{"dropping-particle":"","family":"Botstein","given":"D","non-dropping-particle":"","parse-names":false,"suffix":""},{"dropping-particle":"","family":"Brown","given":"P O","non-dropping-particle":"","parse-names":false,"suffix":""},{"dropping-particle":"","family":"Staudt","given":"L M","non-dropping-particle":"","parse-names":false,"suffix":""}],"container-title":"Nature","id":"ITEM-1","issue":"6769","issued":{"date-parts":[["2000","2","3"]]},"page":"503-11","title":"Distinct types of diffuse large B-cell lymphoma identified by gene expression profiling.","type":"article-journal","volume":"403"},"uris":["http://www.mendeley.com/documents/?uuid=806433c8-12a8-4389-95e4-d1b9a65cec8a"]},{"id":"ITEM-2","itemData":{"DOI":"10.1200/JCO.2014.57.7080","ISSN":"1527-7755","PMID":"25800755","abstract":"PURPOSE Current diagnostic tests for diffuse large B-cell lymphoma use the updated WHO criteria based on biologic, morphologic, and clinical heterogeneity. We propose a refined classification system based on subset-specific B-cell-associated gene signatures (BAGS) in the normal B-cell hierarchy, hypothesizing that it can provide new biologic insight and diagnostic and prognostic value. PATIENTS AND METHODS We combined fluorescence-activated cell sorting, gene expression profiling, and statistical modeling to generate BAGS for naive, centrocyte, centroblast, memory, and plasmablast B cells from normal human tonsils. The impact of BAGS-assigned subtyping was analyzed using five clinical cohorts (treated with cyclophosphamide, doxorubicin, vincristine, and prednisone [CHOP], n = 270; treated with rituximab plus CHOP [R-CHOP], n = 869) gathered across geographic regions, time eras, and sampling methods. The analysis estimated subtype frequencies and drug-specific resistance and included a prognostic meta-analysis of patients treated with first-line R-CHOP therapy. RESULTS Similar BAGS subtype frequencies were assigned across 1,139 samples from five different cohorts. Among R-CHOP-treated patients, BAGS assignment was significantly associated with overall survival and progression-free survival within the germinal center B-cell-like subclass; the centrocyte subtype had a superior prognosis compared with the centroblast subtype. In agreement with the observed therapeutic outcome, centrocyte subtypes were estimated as being less resistant than the centroblast subtype to doxorubicin and vincristine. The centroblast subtype had a complex genotype, whereas the centrocyte subtype had high TP53 mutation and insertion/deletion frequencies and expressed LMO2, CD58, and stromal-1-signature and major histocompatibility complex class II-signature genes, which are known to have a positive impact on prognosis. CONCLUSION Further development of a diagnostic platform using BAGS-assigned subtypes may allow pathogenetic studies to improve disease management.","author":[{"dropping-particle":"","family":"Dybkær","given":"Karen","non-dropping-particle":"","parse-names":false,"suffix":""},{"dropping-particle":"","family":"Bøgsted","given":"Martin","non-dropping-particle":"","parse-names":false,"suffix":""},{"dropping-particle":"","family":"Falgreen","given":"Steffen","non-dropping-particle":"","parse-names":false,"suffix":""},{"dropping-particle":"","family":"Bødker","given":"Julie S","non-dropping-particle":"","parse-names":false,"suffix":""},{"dropping-particle":"","family":"Kjeldsen","given":"Malene K","non-dropping-particle":"","parse-names":false,"suffix":""},{"dropping-particle":"","family":"Schmitz","given":"Alexander","non-dropping-particle":"","parse-names":false,"suffix":""},{"dropping-particle":"","family":"Bilgrau","given":"Anders E","non-dropping-particle":"","parse-names":false,"suffix":""},{"dropping-particle":"","family":"Xu-Monette","given":"Zijun Y","non-dropping-particle":"","parse-names":false,"suffix":""},{"dropping-particle":"","family":"Li","given":"Ling","non-dropping-particle":"","parse-names":false,"suffix":""},{"dropping-particle":"","family":"Bergkvist","given":"Kim S","non-dropping-particle":"","parse-names":false,"suffix":""},{"dropping-particle":"","family":"Laursen","given":"Maria B","non-dropping-particle":"","parse-names":false,"suffix":""},{"dropping-particle":"","family":"Rodrigo-Domingo","given":"Maria","non-dropping-particle":"","parse-names":false,"suffix":""},{"dropping-particle":"","family":"Marques","given":"Sara C","non-dropping-particle":"","parse-names":false,"suffix":""},{"dropping-particle":"","family":"Rasmussen","given":"Sophie B","non-dropping-particle":"","parse-names":false,"suffix":""},{"dropping-particle":"","family":"Nyegaard","given":"Mette","non-dropping-particle":"","parse-names":false,"suffix":""},{"dropping-particle":"","family":"Gaihede","given":"Michael","non-dropping-particle":"","parse-names":false,"suffix":""},{"dropping-particle":"","family":"Møller","given":"Michael B","non-dropping-particle":"","parse-names":false,"suffix":""},{"dropping-particle":"","family":"Samworth","given":"Richard J","non-dropping-particle":"","parse-names":false,"suffix":""},{"dropping-particle":"","family":"Shah","given":"Rajen D","non-dropping-particle":"","parse-names":false,"suffix":""},{"dropping-particle":"","family":"Johansen","given":"Preben","non-dropping-particle":"","parse-names":false,"suffix":""},{"dropping-particle":"","family":"El-Galaly","given":"Tarec C","non-dropping-particle":"","parse-names":false,"suffix":""},{"dropping-particle":"","family":"Young","given":"Ken H","non-dropping-particle":"","parse-names":false,"suffix":""},{"dropping-particle":"","family":"Johnsen","given":"Hans E","non-dropping-particle":"","parse-names":false,"suffix":""}],"container-title":"Journal of clinical oncology : official journal of the American Society of Clinical Oncology","id":"ITEM-2","issue":"12","issued":{"date-parts":[["2015","4","20"]]},"page":"1379-88","title":"Diffuse large B-cell lymphoma classification system that associates normal B-cell subset phenotypes with prognosis.","type":"article-journal","volume":"33"},"uris":["http://www.mendeley.com/documents/?uuid=ee3e0e2d-6dba-4e39-84a7-892cf5b369cf"]}],"mendeley":{"formattedCitation":"&lt;sup&gt;43,81&lt;/sup&gt;","plainTextFormattedCitation":"43,81","previouslyFormattedCitation":"&lt;sup&gt;43,81&lt;/sup&gt;"},"properties":{"noteIndex":0},"schema":"https://github.com/citation-style-language/schema/raw/master/csl-citation.json"}</w:instrText>
      </w:r>
      <w:r w:rsidR="000B6804"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43,81</w:t>
      </w:r>
      <w:r w:rsidR="000B6804" w:rsidRPr="00B6133E">
        <w:rPr>
          <w:rFonts w:ascii="Times New Roman" w:hAnsi="Times New Roman" w:cs="Times New Roman"/>
          <w:lang w:val="en-US"/>
        </w:rPr>
        <w:fldChar w:fldCharType="end"/>
      </w:r>
      <w:r w:rsidR="00FB6AE7" w:rsidRPr="00B6133E">
        <w:rPr>
          <w:rFonts w:ascii="Times New Roman" w:hAnsi="Times New Roman" w:cs="Times New Roman"/>
          <w:lang w:val="en-US"/>
        </w:rPr>
        <w:t xml:space="preserve">. </w:t>
      </w:r>
      <w:r w:rsidR="00FB6AE7" w:rsidRPr="00B6133E">
        <w:rPr>
          <w:rFonts w:ascii="Times New Roman" w:hAnsi="Times New Roman" w:cs="Times New Roman"/>
          <w:lang w:val="en-US"/>
        </w:rPr>
        <w:lastRenderedPageBreak/>
        <w:t>In accordance with our studies in DLBCL</w:t>
      </w:r>
      <w:r w:rsidR="00C51411" w:rsidRPr="00B6133E">
        <w:rPr>
          <w:rFonts w:ascii="Times New Roman" w:hAnsi="Times New Roman" w:cs="Times New Roman"/>
          <w:lang w:val="en-US"/>
        </w:rPr>
        <w:t xml:space="preserve">, </w:t>
      </w:r>
      <w:r w:rsidR="00FB6AE7" w:rsidRPr="00B6133E">
        <w:rPr>
          <w:rFonts w:ascii="Times New Roman" w:hAnsi="Times New Roman" w:cs="Times New Roman"/>
          <w:lang w:val="en-US"/>
        </w:rPr>
        <w:t>where we applied the whole lymphoid differentiation compartment from tonsils or normal lymph nodes</w:t>
      </w:r>
      <w:r w:rsidR="00231290" w:rsidRPr="00B6133E">
        <w:rPr>
          <w:rFonts w:ascii="Times New Roman" w:hAnsi="Times New Roman" w:cs="Times New Roman"/>
          <w:lang w:val="en-US"/>
        </w:rPr>
        <w:t>,</w:t>
      </w:r>
      <w:r w:rsidR="00FB6AE7" w:rsidRPr="00B6133E">
        <w:rPr>
          <w:rFonts w:ascii="Times New Roman" w:hAnsi="Times New Roman" w:cs="Times New Roman"/>
          <w:lang w:val="en-US"/>
        </w:rPr>
        <w:t xml:space="preserve"> we prospectively </w:t>
      </w:r>
      <w:r w:rsidR="00493538" w:rsidRPr="00B6133E">
        <w:rPr>
          <w:rFonts w:ascii="Times New Roman" w:hAnsi="Times New Roman" w:cs="Times New Roman"/>
          <w:lang w:val="en-US"/>
        </w:rPr>
        <w:t>analyzed</w:t>
      </w:r>
      <w:r w:rsidR="00FB6AE7" w:rsidRPr="00B6133E">
        <w:rPr>
          <w:rFonts w:ascii="Times New Roman" w:hAnsi="Times New Roman" w:cs="Times New Roman"/>
          <w:lang w:val="en-US"/>
        </w:rPr>
        <w:t xml:space="preserve"> the lymphoid subset</w:t>
      </w:r>
      <w:r w:rsidR="00C51411" w:rsidRPr="00B6133E">
        <w:rPr>
          <w:rFonts w:ascii="Times New Roman" w:hAnsi="Times New Roman" w:cs="Times New Roman"/>
          <w:lang w:val="en-US"/>
        </w:rPr>
        <w:t>–</w:t>
      </w:r>
      <w:r w:rsidR="00FB6AE7" w:rsidRPr="00B6133E">
        <w:rPr>
          <w:rFonts w:ascii="Times New Roman" w:hAnsi="Times New Roman" w:cs="Times New Roman"/>
          <w:lang w:val="en-US"/>
        </w:rPr>
        <w:t>defined compartments from normal BM to generate six BAGS</w:t>
      </w:r>
      <w:r w:rsidR="00231290" w:rsidRPr="00B6133E">
        <w:rPr>
          <w:rFonts w:ascii="Times New Roman" w:hAnsi="Times New Roman" w:cs="Times New Roman"/>
          <w:lang w:val="en-US"/>
        </w:rPr>
        <w:t xml:space="preserve"> for MM assignment</w:t>
      </w:r>
      <w:r w:rsidR="00FB6AE7" w:rsidRPr="00B6133E">
        <w:rPr>
          <w:rFonts w:ascii="Times New Roman" w:hAnsi="Times New Roman" w:cs="Times New Roman"/>
          <w:lang w:val="en-US"/>
        </w:rPr>
        <w:t>.</w:t>
      </w:r>
      <w:r w:rsidRPr="00B6133E">
        <w:rPr>
          <w:rFonts w:ascii="Times New Roman" w:hAnsi="Times New Roman" w:cs="Times New Roman"/>
          <w:lang w:val="en-US"/>
        </w:rPr>
        <w:t xml:space="preserve"> </w:t>
      </w:r>
      <w:r w:rsidR="00FB6AE7" w:rsidRPr="00B6133E">
        <w:rPr>
          <w:rFonts w:ascii="Times New Roman" w:hAnsi="Times New Roman" w:cs="Times New Roman"/>
          <w:lang w:val="en-US"/>
        </w:rPr>
        <w:t>The idea was that the COO concept would hold true also for MM and assign subtypes from the post</w:t>
      </w:r>
      <w:r w:rsidR="00C51411" w:rsidRPr="00B6133E">
        <w:rPr>
          <w:rFonts w:ascii="Times New Roman" w:hAnsi="Times New Roman" w:cs="Times New Roman"/>
          <w:lang w:val="en-US"/>
        </w:rPr>
        <w:t>-</w:t>
      </w:r>
      <w:r w:rsidR="00FB6AE7" w:rsidRPr="00B6133E">
        <w:rPr>
          <w:rFonts w:ascii="Times New Roman" w:hAnsi="Times New Roman" w:cs="Times New Roman"/>
          <w:lang w:val="en-US"/>
        </w:rPr>
        <w:t>germinal differentiation pathway. To our surprise</w:t>
      </w:r>
      <w:r w:rsidR="00C51411" w:rsidRPr="00B6133E">
        <w:rPr>
          <w:rFonts w:ascii="Times New Roman" w:hAnsi="Times New Roman" w:cs="Times New Roman"/>
          <w:lang w:val="en-US"/>
        </w:rPr>
        <w:t>,</w:t>
      </w:r>
      <w:r w:rsidR="00FB6AE7" w:rsidRPr="00B6133E">
        <w:rPr>
          <w:rFonts w:ascii="Times New Roman" w:hAnsi="Times New Roman" w:cs="Times New Roman"/>
          <w:lang w:val="en-US"/>
        </w:rPr>
        <w:t xml:space="preserve"> a major fraction of patient tissue</w:t>
      </w:r>
      <w:r w:rsidR="00130C9D" w:rsidRPr="00B6133E">
        <w:rPr>
          <w:rFonts w:ascii="Times New Roman" w:hAnsi="Times New Roman" w:cs="Times New Roman"/>
          <w:lang w:val="en-US"/>
        </w:rPr>
        <w:t>s</w:t>
      </w:r>
      <w:r w:rsidR="00FB6AE7" w:rsidRPr="00B6133E">
        <w:rPr>
          <w:rFonts w:ascii="Times New Roman" w:hAnsi="Times New Roman" w:cs="Times New Roman"/>
          <w:lang w:val="en-US"/>
        </w:rPr>
        <w:t xml:space="preserve"> were assigned a </w:t>
      </w:r>
      <w:proofErr w:type="spellStart"/>
      <w:r w:rsidR="00FB6AE7" w:rsidRPr="00B6133E">
        <w:rPr>
          <w:rFonts w:ascii="Times New Roman" w:hAnsi="Times New Roman" w:cs="Times New Roman"/>
          <w:lang w:val="en-US"/>
        </w:rPr>
        <w:t>PreBII</w:t>
      </w:r>
      <w:proofErr w:type="spellEnd"/>
      <w:r w:rsidR="00130C9D" w:rsidRPr="00B6133E">
        <w:rPr>
          <w:rFonts w:ascii="Times New Roman" w:hAnsi="Times New Roman" w:cs="Times New Roman"/>
          <w:lang w:val="en-US"/>
        </w:rPr>
        <w:t xml:space="preserve">, </w:t>
      </w:r>
      <w:proofErr w:type="spellStart"/>
      <w:r w:rsidR="00C51411" w:rsidRPr="00B6133E">
        <w:rPr>
          <w:rFonts w:ascii="Times New Roman" w:hAnsi="Times New Roman" w:cs="Times New Roman"/>
          <w:lang w:val="en-US"/>
        </w:rPr>
        <w:t>Im</w:t>
      </w:r>
      <w:proofErr w:type="spellEnd"/>
      <w:r w:rsidR="00C51411" w:rsidRPr="00B6133E">
        <w:rPr>
          <w:rFonts w:ascii="Times New Roman" w:hAnsi="Times New Roman" w:cs="Times New Roman"/>
          <w:lang w:val="en-US"/>
        </w:rPr>
        <w:t xml:space="preserve">, </w:t>
      </w:r>
      <w:r w:rsidR="00130C9D" w:rsidRPr="00B6133E">
        <w:rPr>
          <w:rFonts w:ascii="Times New Roman" w:hAnsi="Times New Roman" w:cs="Times New Roman"/>
          <w:lang w:val="en-US"/>
        </w:rPr>
        <w:t xml:space="preserve">or </w:t>
      </w:r>
      <w:r w:rsidR="00C51411" w:rsidRPr="00B6133E">
        <w:rPr>
          <w:rFonts w:ascii="Times New Roman" w:hAnsi="Times New Roman" w:cs="Times New Roman"/>
          <w:lang w:val="en-US"/>
        </w:rPr>
        <w:t xml:space="preserve">N </w:t>
      </w:r>
      <w:r w:rsidR="00130C9D" w:rsidRPr="00B6133E">
        <w:rPr>
          <w:rFonts w:ascii="Times New Roman" w:hAnsi="Times New Roman" w:cs="Times New Roman"/>
          <w:lang w:val="en-US"/>
        </w:rPr>
        <w:t>subtype</w:t>
      </w:r>
      <w:r w:rsidR="00FB6AE7" w:rsidRPr="00B6133E">
        <w:rPr>
          <w:rFonts w:ascii="Times New Roman" w:hAnsi="Times New Roman" w:cs="Times New Roman"/>
          <w:lang w:val="en-US"/>
        </w:rPr>
        <w:t>,</w:t>
      </w:r>
      <w:r w:rsidR="00A82184" w:rsidRPr="00B6133E">
        <w:rPr>
          <w:rFonts w:ascii="Times New Roman" w:hAnsi="Times New Roman" w:cs="Times New Roman"/>
          <w:lang w:val="en-US"/>
        </w:rPr>
        <w:t xml:space="preserve"> disproving the subtyping</w:t>
      </w:r>
      <w:r w:rsidR="00130C9D" w:rsidRPr="00B6133E">
        <w:rPr>
          <w:rFonts w:ascii="Times New Roman" w:hAnsi="Times New Roman" w:cs="Times New Roman"/>
          <w:lang w:val="en-US"/>
        </w:rPr>
        <w:t xml:space="preserve"> to </w:t>
      </w:r>
      <w:r w:rsidR="00E11A19" w:rsidRPr="00B6133E">
        <w:rPr>
          <w:rFonts w:ascii="Times New Roman" w:hAnsi="Times New Roman" w:cs="Times New Roman"/>
          <w:lang w:val="en-US"/>
        </w:rPr>
        <w:t>be true</w:t>
      </w:r>
      <w:r w:rsidR="00130C9D" w:rsidRPr="00B6133E">
        <w:rPr>
          <w:rFonts w:ascii="Times New Roman" w:hAnsi="Times New Roman" w:cs="Times New Roman"/>
          <w:lang w:val="en-US"/>
        </w:rPr>
        <w:t xml:space="preserve"> reminiscence</w:t>
      </w:r>
      <w:r w:rsidR="00E11A19" w:rsidRPr="00B6133E">
        <w:rPr>
          <w:rFonts w:ascii="Times New Roman" w:hAnsi="Times New Roman" w:cs="Times New Roman"/>
          <w:lang w:val="en-US"/>
        </w:rPr>
        <w:t xml:space="preserve"> of</w:t>
      </w:r>
      <w:r w:rsidR="00130C9D" w:rsidRPr="00B6133E">
        <w:rPr>
          <w:rFonts w:ascii="Times New Roman" w:hAnsi="Times New Roman" w:cs="Times New Roman"/>
          <w:lang w:val="en-US"/>
        </w:rPr>
        <w:t xml:space="preserve"> the origin </w:t>
      </w:r>
      <w:r w:rsidR="00E11A19" w:rsidRPr="00B6133E">
        <w:rPr>
          <w:rFonts w:ascii="Times New Roman" w:hAnsi="Times New Roman" w:cs="Times New Roman"/>
          <w:lang w:val="en-US"/>
        </w:rPr>
        <w:t>from</w:t>
      </w:r>
      <w:r w:rsidR="00130C9D" w:rsidRPr="00B6133E">
        <w:rPr>
          <w:rFonts w:ascii="Times New Roman" w:hAnsi="Times New Roman" w:cs="Times New Roman"/>
          <w:lang w:val="en-US"/>
        </w:rPr>
        <w:t xml:space="preserve"> a germinal or post germinal phenotype. </w:t>
      </w:r>
      <w:r w:rsidR="00E031CD" w:rsidRPr="00B6133E">
        <w:rPr>
          <w:rFonts w:ascii="Times New Roman" w:hAnsi="Times New Roman" w:cs="Times New Roman"/>
          <w:lang w:val="en-US"/>
        </w:rPr>
        <w:t xml:space="preserve">Given the </w:t>
      </w:r>
      <w:r w:rsidR="00F54092" w:rsidRPr="00B6133E">
        <w:rPr>
          <w:rFonts w:ascii="Times New Roman" w:hAnsi="Times New Roman" w:cs="Times New Roman"/>
          <w:lang w:val="en-US"/>
        </w:rPr>
        <w:t xml:space="preserve">phenotypic variation </w:t>
      </w:r>
      <w:r w:rsidR="00C37A70" w:rsidRPr="00B6133E">
        <w:rPr>
          <w:rFonts w:ascii="Times New Roman" w:hAnsi="Times New Roman" w:cs="Times New Roman"/>
          <w:lang w:val="en-US"/>
        </w:rPr>
        <w:t xml:space="preserve">among </w:t>
      </w:r>
      <w:r w:rsidR="00F54092" w:rsidRPr="00B6133E">
        <w:rPr>
          <w:rFonts w:ascii="Times New Roman" w:hAnsi="Times New Roman" w:cs="Times New Roman"/>
          <w:lang w:val="en-US"/>
        </w:rPr>
        <w:t xml:space="preserve">MGUS, </w:t>
      </w:r>
      <w:r w:rsidR="00A3287F" w:rsidRPr="00B6133E">
        <w:rPr>
          <w:rFonts w:ascii="Times New Roman" w:hAnsi="Times New Roman" w:cs="Times New Roman"/>
          <w:lang w:val="en-US"/>
        </w:rPr>
        <w:t>smoldering myeloma</w:t>
      </w:r>
      <w:r w:rsidR="00F54092" w:rsidRPr="00B6133E">
        <w:rPr>
          <w:rFonts w:ascii="Times New Roman" w:hAnsi="Times New Roman" w:cs="Times New Roman"/>
          <w:lang w:val="en-US"/>
        </w:rPr>
        <w:t>, MM, MM relapse, extramedullary MM</w:t>
      </w:r>
      <w:r w:rsidR="00231290" w:rsidRPr="00B6133E">
        <w:rPr>
          <w:rFonts w:ascii="Times New Roman" w:hAnsi="Times New Roman" w:cs="Times New Roman"/>
          <w:lang w:val="en-US"/>
        </w:rPr>
        <w:t xml:space="preserve">, </w:t>
      </w:r>
      <w:r w:rsidR="0002275F" w:rsidRPr="00B6133E">
        <w:rPr>
          <w:rFonts w:ascii="Times New Roman" w:hAnsi="Times New Roman" w:cs="Times New Roman"/>
          <w:lang w:val="en-US"/>
        </w:rPr>
        <w:t xml:space="preserve">plasma cell leukemia, </w:t>
      </w:r>
      <w:r w:rsidR="00231290" w:rsidRPr="00B6133E">
        <w:rPr>
          <w:rFonts w:ascii="Times New Roman" w:hAnsi="Times New Roman" w:cs="Times New Roman"/>
          <w:lang w:val="en-US"/>
        </w:rPr>
        <w:t xml:space="preserve">and </w:t>
      </w:r>
      <w:r w:rsidR="00E14435" w:rsidRPr="00B6133E">
        <w:rPr>
          <w:rFonts w:ascii="Times New Roman" w:hAnsi="Times New Roman" w:cs="Times New Roman"/>
          <w:lang w:val="en-US"/>
        </w:rPr>
        <w:t>human myeloma cancer cell lines</w:t>
      </w:r>
      <w:r w:rsidR="00F54092" w:rsidRPr="00B6133E">
        <w:rPr>
          <w:rFonts w:ascii="Times New Roman" w:hAnsi="Times New Roman" w:cs="Times New Roman"/>
          <w:lang w:val="en-US"/>
        </w:rPr>
        <w:t>, i</w:t>
      </w:r>
      <w:r w:rsidR="00130C9D" w:rsidRPr="00B6133E">
        <w:rPr>
          <w:rFonts w:ascii="Times New Roman" w:hAnsi="Times New Roman" w:cs="Times New Roman"/>
          <w:lang w:val="en-US"/>
        </w:rPr>
        <w:t xml:space="preserve">t is more likely that BAGS assignment </w:t>
      </w:r>
      <w:r w:rsidR="008878AD" w:rsidRPr="00B6133E">
        <w:rPr>
          <w:rFonts w:ascii="Times New Roman" w:hAnsi="Times New Roman" w:cs="Times New Roman"/>
          <w:lang w:val="en-US"/>
        </w:rPr>
        <w:t xml:space="preserve">does </w:t>
      </w:r>
      <w:r w:rsidR="00F54092" w:rsidRPr="00B6133E">
        <w:rPr>
          <w:rFonts w:ascii="Times New Roman" w:hAnsi="Times New Roman" w:cs="Times New Roman"/>
          <w:lang w:val="en-US"/>
        </w:rPr>
        <w:t xml:space="preserve">classify </w:t>
      </w:r>
      <w:r w:rsidR="00130C9D" w:rsidRPr="00B6133E">
        <w:rPr>
          <w:rFonts w:ascii="Times New Roman" w:hAnsi="Times New Roman" w:cs="Times New Roman"/>
          <w:lang w:val="en-US"/>
        </w:rPr>
        <w:t xml:space="preserve">MM cases based on </w:t>
      </w:r>
      <w:r w:rsidR="00E11A19" w:rsidRPr="00B6133E">
        <w:rPr>
          <w:rFonts w:ascii="Times New Roman" w:hAnsi="Times New Roman" w:cs="Times New Roman"/>
          <w:lang w:val="en-US"/>
        </w:rPr>
        <w:t>reversible phenotypic plasticity</w:t>
      </w:r>
      <w:r w:rsidR="00C60F0B"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{"citationItems":[{"id":"ITEM-1","itemData":{"DOI":"10.1158/1078-0432.CCR-05-0523","ISSN":"1078-0432","PMID":"16278377","abstract":"PURPOSE We previously showed the ability of osteoclasts to support myeloma plasma cell survival and proliferation in vivo and ex vivo. The aim of the current study was to investigate osteoclast-induced phenotypic changes associated with long-term survival of myeloma cells in coculture. EXPERIMENTAL DESIGN CD138-selected myeloma plasma cells from 16 patients were cocultured with human osteoclasts for up to 20 weeks. RESULTS Precultured cells were typically CD45(low/intermediate) CD38(high) CD138(high), CD19(-)CD34(-). After &gt;6 weeks, the phenotype of cocultured myeloma cells consistently shifted to cells expressing CD45(intermediate/high) CD19(low) CD34(low). Expression of CD38 and CD138 were reduced to subpopulations with CD38(intermediate) and CD138(low) levels. Morphologically, cocultured plasma cells became plasmablastic. Blocking interleukin-6 activity did not affect the immature phenotype of myeloma cells. The effect of dexamethasone on myeloma cells cultured alone or in cocultures at baseline and after 6 weeks of coculture was determined. When baseline myeloma cells were cultured alone, dexamethasone significantly increased the percentage of apoptotic cells over the spontaneous rate. Conversely, myeloma cells recovered from cocultures had high survival rates and were resistant to dexamethasone-induced apoptosis. Long-term coculture of normal CD34-expressing hematopoietic stem cells (HSC) resulted in loss of CD34 expression, suggesting a common mechanism for osteoclast-induced myeloma and HSC plasticity. CONCLUSIONS This study indicates that myeloma cells have plasticity expressed by their ability to reprogram, dedifferentiate, and acquire autonomous survival properties.","author":[{"dropping-particle":"","family":"Yaccoby","given":"Shmuel","non-dropping-particle":"","parse-names":false,"suffix":""}],"container-title":"Clinical cancer research : an official journal of the American Association for Cancer Research","id":"ITEM-1","issue":"21","issued":{"date-parts":[["2005","11","1"]]},"page":"7599-606","title":"The phenotypic plasticity of myeloma plasma cells as expressed by dedifferentiation into an immature, resilient, and apoptosis-resistant phenotype.","type":"article-journal","volume":"11"},"uris":["http://www.mendeley.com/documents/?uuid=e1b993a3-bf78-3fce-b30f-064525006bf8"]}],"mendeley":{"formattedCitation":"&lt;sup&gt;33&lt;/sup&gt;","plainTextFormattedCitation":"33","previouslyFormattedCitation":"&lt;sup&gt;33&lt;/sup&gt;"},"properties":{"noteIndex":0},"schema":"https://github.com/citation-style-language/schema/raw/master/csl-citation.json"}</w:instrText>
      </w:r>
      <w:r w:rsidR="00C60F0B" w:rsidRPr="00B6133E">
        <w:rPr>
          <w:rFonts w:ascii="Times New Roman" w:hAnsi="Times New Roman" w:cs="Times New Roman"/>
          <w:lang w:val="en-US"/>
        </w:rPr>
        <w:fldChar w:fldCharType="separate"/>
      </w:r>
      <w:r w:rsidR="004B28FB" w:rsidRPr="00B6133E">
        <w:rPr>
          <w:rFonts w:ascii="Times New Roman" w:hAnsi="Times New Roman" w:cs="Times New Roman"/>
          <w:noProof/>
          <w:vertAlign w:val="superscript"/>
          <w:lang w:val="en-US"/>
        </w:rPr>
        <w:t>33</w:t>
      </w:r>
      <w:r w:rsidR="00C60F0B" w:rsidRPr="00B6133E">
        <w:rPr>
          <w:rFonts w:ascii="Times New Roman" w:hAnsi="Times New Roman" w:cs="Times New Roman"/>
          <w:lang w:val="en-US"/>
        </w:rPr>
        <w:fldChar w:fldCharType="end"/>
      </w:r>
      <w:r w:rsidR="00130C9D" w:rsidRPr="00B6133E">
        <w:rPr>
          <w:rFonts w:ascii="Times New Roman" w:hAnsi="Times New Roman" w:cs="Times New Roman"/>
          <w:lang w:val="en-US"/>
        </w:rPr>
        <w:t>.</w:t>
      </w:r>
      <w:r w:rsidR="001775E1" w:rsidRPr="00B6133E">
        <w:rPr>
          <w:rFonts w:ascii="Times New Roman" w:hAnsi="Times New Roman" w:cs="Times New Roman"/>
          <w:lang w:val="en-US"/>
        </w:rPr>
        <w:t xml:space="preserve"> </w:t>
      </w:r>
    </w:p>
    <w:p w14:paraId="109218F1" w14:textId="45FC3813" w:rsidR="00876E8F" w:rsidRPr="00B6133E" w:rsidRDefault="00DF18A2" w:rsidP="003308C8">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 xml:space="preserve">The BAGS classification is </w:t>
      </w:r>
      <w:r w:rsidR="004F2BDC" w:rsidRPr="00B6133E">
        <w:rPr>
          <w:rFonts w:ascii="Times New Roman" w:hAnsi="Times New Roman" w:cs="Times New Roman"/>
          <w:lang w:val="en-US"/>
        </w:rPr>
        <w:t xml:space="preserve">correlated to the </w:t>
      </w:r>
      <w:r w:rsidRPr="00B6133E">
        <w:rPr>
          <w:rFonts w:ascii="Times New Roman" w:hAnsi="Times New Roman" w:cs="Times New Roman"/>
          <w:lang w:val="en-US"/>
        </w:rPr>
        <w:t>well</w:t>
      </w:r>
      <w:r w:rsidR="00493538" w:rsidRPr="00B6133E">
        <w:rPr>
          <w:rFonts w:ascii="Times New Roman" w:hAnsi="Times New Roman" w:cs="Times New Roman"/>
          <w:lang w:val="en-US"/>
        </w:rPr>
        <w:t>-</w:t>
      </w:r>
      <w:r w:rsidRPr="00B6133E">
        <w:rPr>
          <w:rFonts w:ascii="Times New Roman" w:hAnsi="Times New Roman" w:cs="Times New Roman"/>
          <w:lang w:val="en-US"/>
        </w:rPr>
        <w:t xml:space="preserve">established TC </w:t>
      </w:r>
      <w:r w:rsidR="00A75AA9" w:rsidRPr="00B6133E">
        <w:rPr>
          <w:rFonts w:ascii="Times New Roman" w:hAnsi="Times New Roman" w:cs="Times New Roman"/>
          <w:lang w:val="en-US"/>
        </w:rPr>
        <w:t xml:space="preserve">classification; however, we found </w:t>
      </w:r>
      <w:r w:rsidR="007D4AA3" w:rsidRPr="00B6133E">
        <w:rPr>
          <w:rFonts w:ascii="Times New Roman" w:hAnsi="Times New Roman" w:cs="Times New Roman"/>
          <w:lang w:val="en-US"/>
        </w:rPr>
        <w:t xml:space="preserve">that the </w:t>
      </w:r>
      <w:r w:rsidR="00883413" w:rsidRPr="00B6133E">
        <w:rPr>
          <w:rFonts w:ascii="Times New Roman" w:hAnsi="Times New Roman" w:cs="Times New Roman"/>
          <w:lang w:val="en-US"/>
        </w:rPr>
        <w:t xml:space="preserve">poor prognosis </w:t>
      </w:r>
      <w:r w:rsidR="003C0FD9" w:rsidRPr="00B6133E">
        <w:rPr>
          <w:rFonts w:ascii="Times New Roman" w:hAnsi="Times New Roman" w:cs="Times New Roman"/>
          <w:lang w:val="en-US"/>
        </w:rPr>
        <w:t xml:space="preserve">for </w:t>
      </w:r>
      <w:proofErr w:type="spellStart"/>
      <w:r w:rsidR="00A75AA9" w:rsidRPr="00B6133E">
        <w:rPr>
          <w:rFonts w:ascii="Times New Roman" w:hAnsi="Times New Roman" w:cs="Times New Roman"/>
          <w:lang w:val="en-US"/>
        </w:rPr>
        <w:t>PreBII</w:t>
      </w:r>
      <w:proofErr w:type="spellEnd"/>
      <w:r w:rsidR="00A75AA9" w:rsidRPr="00B6133E">
        <w:rPr>
          <w:rFonts w:ascii="Times New Roman" w:hAnsi="Times New Roman" w:cs="Times New Roman"/>
          <w:lang w:val="en-US"/>
        </w:rPr>
        <w:t xml:space="preserve"> and memory subtype</w:t>
      </w:r>
      <w:r w:rsidR="00883413" w:rsidRPr="00B6133E">
        <w:rPr>
          <w:rFonts w:ascii="Times New Roman" w:hAnsi="Times New Roman" w:cs="Times New Roman"/>
          <w:lang w:val="en-US"/>
        </w:rPr>
        <w:t>s</w:t>
      </w:r>
      <w:r w:rsidR="00A75AA9" w:rsidRPr="00B6133E">
        <w:rPr>
          <w:rFonts w:ascii="Times New Roman" w:hAnsi="Times New Roman" w:cs="Times New Roman"/>
          <w:lang w:val="en-US"/>
        </w:rPr>
        <w:t xml:space="preserve"> </w:t>
      </w:r>
      <w:r w:rsidR="00883413" w:rsidRPr="00B6133E">
        <w:rPr>
          <w:rFonts w:ascii="Times New Roman" w:hAnsi="Times New Roman" w:cs="Times New Roman"/>
          <w:lang w:val="en-US"/>
        </w:rPr>
        <w:t>correlate</w:t>
      </w:r>
      <w:r w:rsidR="0047510D" w:rsidRPr="00B6133E">
        <w:rPr>
          <w:rFonts w:ascii="Times New Roman" w:hAnsi="Times New Roman" w:cs="Times New Roman"/>
          <w:lang w:val="en-US"/>
        </w:rPr>
        <w:t>d</w:t>
      </w:r>
      <w:r w:rsidR="00A75AA9" w:rsidRPr="00B6133E">
        <w:rPr>
          <w:rFonts w:ascii="Times New Roman" w:hAnsi="Times New Roman" w:cs="Times New Roman"/>
          <w:lang w:val="en-US"/>
        </w:rPr>
        <w:t xml:space="preserve"> </w:t>
      </w:r>
      <w:r w:rsidR="002A2ABA" w:rsidRPr="00B6133E">
        <w:rPr>
          <w:rFonts w:ascii="Times New Roman" w:hAnsi="Times New Roman" w:cs="Times New Roman"/>
          <w:lang w:val="en-US"/>
        </w:rPr>
        <w:t xml:space="preserve">with </w:t>
      </w:r>
      <w:r w:rsidR="00A75AA9" w:rsidRPr="00B6133E">
        <w:rPr>
          <w:rFonts w:ascii="Times New Roman" w:hAnsi="Times New Roman" w:cs="Times New Roman"/>
          <w:lang w:val="en-US"/>
        </w:rPr>
        <w:t xml:space="preserve">the </w:t>
      </w:r>
      <w:r w:rsidR="000740FD" w:rsidRPr="00B6133E">
        <w:rPr>
          <w:rFonts w:ascii="Times New Roman" w:hAnsi="Times New Roman" w:cs="Times New Roman"/>
          <w:lang w:val="en-US"/>
        </w:rPr>
        <w:t xml:space="preserve">myeloma cell </w:t>
      </w:r>
      <w:r w:rsidR="00883413" w:rsidRPr="00B6133E">
        <w:rPr>
          <w:rFonts w:ascii="Times New Roman" w:hAnsi="Times New Roman" w:cs="Times New Roman"/>
          <w:lang w:val="en-US"/>
        </w:rPr>
        <w:t>PI</w:t>
      </w:r>
      <w:r w:rsidR="000740FD" w:rsidRPr="00B6133E">
        <w:rPr>
          <w:rFonts w:ascii="Times New Roman" w:hAnsi="Times New Roman" w:cs="Times New Roman"/>
          <w:lang w:val="en-US"/>
        </w:rPr>
        <w:t xml:space="preserve"> and </w:t>
      </w:r>
      <w:r w:rsidR="004F2BDC" w:rsidRPr="00B6133E">
        <w:rPr>
          <w:rFonts w:ascii="Times New Roman" w:hAnsi="Times New Roman" w:cs="Times New Roman"/>
          <w:lang w:val="en-US"/>
        </w:rPr>
        <w:t xml:space="preserve">the beta-2 </w:t>
      </w:r>
      <w:proofErr w:type="spellStart"/>
      <w:r w:rsidR="004F2BDC" w:rsidRPr="00B6133E">
        <w:rPr>
          <w:rFonts w:ascii="Times New Roman" w:hAnsi="Times New Roman" w:cs="Times New Roman"/>
          <w:lang w:val="en-US"/>
        </w:rPr>
        <w:t>microglobulin</w:t>
      </w:r>
      <w:proofErr w:type="spellEnd"/>
      <w:r w:rsidR="004F2BDC" w:rsidRPr="00B6133E">
        <w:rPr>
          <w:rFonts w:ascii="Times New Roman" w:hAnsi="Times New Roman" w:cs="Times New Roman"/>
          <w:lang w:val="en-US"/>
        </w:rPr>
        <w:t xml:space="preserve"> plasma</w:t>
      </w:r>
      <w:r w:rsidR="000740FD" w:rsidRPr="00B6133E">
        <w:rPr>
          <w:rFonts w:ascii="Times New Roman" w:hAnsi="Times New Roman" w:cs="Times New Roman"/>
          <w:lang w:val="en-US"/>
        </w:rPr>
        <w:t>, but not gene expression level</w:t>
      </w:r>
      <w:r w:rsidR="00A75AA9" w:rsidRPr="00B6133E">
        <w:rPr>
          <w:rFonts w:ascii="Times New Roman" w:hAnsi="Times New Roman" w:cs="Times New Roman"/>
          <w:lang w:val="en-US"/>
        </w:rPr>
        <w:t>.</w:t>
      </w:r>
      <w:r w:rsidR="00231290" w:rsidRPr="00B6133E">
        <w:rPr>
          <w:rFonts w:ascii="Times New Roman" w:hAnsi="Times New Roman" w:cs="Times New Roman"/>
          <w:lang w:val="en-US"/>
        </w:rPr>
        <w:t xml:space="preserve"> </w:t>
      </w:r>
      <w:r w:rsidR="00883413" w:rsidRPr="00B6133E">
        <w:rPr>
          <w:rFonts w:ascii="Times New Roman" w:hAnsi="Times New Roman" w:cs="Times New Roman"/>
          <w:lang w:val="en-US"/>
        </w:rPr>
        <w:t xml:space="preserve">PI and beta-2 </w:t>
      </w:r>
      <w:proofErr w:type="spellStart"/>
      <w:r w:rsidR="00883413" w:rsidRPr="00B6133E">
        <w:rPr>
          <w:rFonts w:ascii="Times New Roman" w:hAnsi="Times New Roman" w:cs="Times New Roman"/>
          <w:lang w:val="en-US"/>
        </w:rPr>
        <w:t>microglobulin</w:t>
      </w:r>
      <w:proofErr w:type="spellEnd"/>
      <w:r w:rsidR="00883413" w:rsidRPr="00B6133E">
        <w:rPr>
          <w:rFonts w:ascii="Times New Roman" w:hAnsi="Times New Roman" w:cs="Times New Roman"/>
          <w:lang w:val="en-US"/>
        </w:rPr>
        <w:t xml:space="preserve"> is </w:t>
      </w:r>
      <w:r w:rsidR="00876E8F" w:rsidRPr="00B6133E">
        <w:rPr>
          <w:rFonts w:ascii="Times New Roman" w:hAnsi="Times New Roman" w:cs="Times New Roman"/>
          <w:lang w:val="en-US"/>
        </w:rPr>
        <w:t xml:space="preserve">historically </w:t>
      </w:r>
      <w:r w:rsidR="00883413" w:rsidRPr="00B6133E">
        <w:rPr>
          <w:rFonts w:ascii="Times New Roman" w:hAnsi="Times New Roman" w:cs="Times New Roman"/>
          <w:lang w:val="en-US"/>
        </w:rPr>
        <w:t>the most important and persist</w:t>
      </w:r>
      <w:r w:rsidR="00925EB1" w:rsidRPr="00B6133E">
        <w:rPr>
          <w:rFonts w:ascii="Times New Roman" w:hAnsi="Times New Roman" w:cs="Times New Roman"/>
          <w:lang w:val="en-US"/>
        </w:rPr>
        <w:t>ent</w:t>
      </w:r>
      <w:r w:rsidR="00883413" w:rsidRPr="00B6133E">
        <w:rPr>
          <w:rFonts w:ascii="Times New Roman" w:hAnsi="Times New Roman" w:cs="Times New Roman"/>
          <w:lang w:val="en-US"/>
        </w:rPr>
        <w:t xml:space="preserve"> biomarker</w:t>
      </w:r>
      <w:r w:rsidR="00876E8F" w:rsidRPr="00B6133E">
        <w:rPr>
          <w:rFonts w:ascii="Times New Roman" w:hAnsi="Times New Roman" w:cs="Times New Roman"/>
          <w:lang w:val="en-US"/>
        </w:rPr>
        <w:t xml:space="preserve"> in</w:t>
      </w:r>
      <w:r w:rsidR="00422709" w:rsidRPr="00B6133E">
        <w:rPr>
          <w:rFonts w:ascii="Times New Roman" w:hAnsi="Times New Roman" w:cs="Times New Roman"/>
          <w:lang w:val="en-US"/>
        </w:rPr>
        <w:t xml:space="preserve"> </w:t>
      </w:r>
      <w:r w:rsidR="00231290" w:rsidRPr="00B6133E">
        <w:rPr>
          <w:rFonts w:ascii="Times New Roman" w:hAnsi="Times New Roman" w:cs="Times New Roman"/>
          <w:lang w:val="en-US"/>
        </w:rPr>
        <w:t>different trials, i</w:t>
      </w:r>
      <w:r w:rsidR="00422709" w:rsidRPr="00B6133E">
        <w:rPr>
          <w:rFonts w:ascii="Times New Roman" w:hAnsi="Times New Roman" w:cs="Times New Roman"/>
          <w:lang w:val="en-US"/>
        </w:rPr>
        <w:t>ndependent</w:t>
      </w:r>
      <w:r w:rsidR="00335703" w:rsidRPr="00B6133E">
        <w:rPr>
          <w:rFonts w:ascii="Times New Roman" w:hAnsi="Times New Roman" w:cs="Times New Roman"/>
          <w:lang w:val="en-US"/>
        </w:rPr>
        <w:t xml:space="preserve"> of </w:t>
      </w:r>
      <w:r w:rsidR="00883413" w:rsidRPr="00B6133E">
        <w:rPr>
          <w:rFonts w:ascii="Times New Roman" w:hAnsi="Times New Roman" w:cs="Times New Roman"/>
          <w:lang w:val="en-US"/>
        </w:rPr>
        <w:t xml:space="preserve">the evolving </w:t>
      </w:r>
      <w:r w:rsidR="00335703" w:rsidRPr="00B6133E">
        <w:rPr>
          <w:rFonts w:ascii="Times New Roman" w:hAnsi="Times New Roman" w:cs="Times New Roman"/>
          <w:lang w:val="en-US"/>
        </w:rPr>
        <w:t>therapy</w:t>
      </w:r>
      <w:r w:rsidR="00422709" w:rsidRPr="00B6133E">
        <w:rPr>
          <w:rFonts w:ascii="Times New Roman" w:hAnsi="Times New Roman" w:cs="Times New Roman"/>
          <w:lang w:val="en-US"/>
        </w:rPr>
        <w:t>.</w:t>
      </w:r>
      <w:r w:rsidR="00876E8F" w:rsidRPr="00B6133E">
        <w:rPr>
          <w:rFonts w:ascii="Times New Roman" w:hAnsi="Times New Roman" w:cs="Times New Roman"/>
          <w:lang w:val="en-US"/>
        </w:rPr>
        <w:t xml:space="preserve"> The mechanisms behind these </w:t>
      </w:r>
      <w:proofErr w:type="spellStart"/>
      <w:r w:rsidR="00765F32" w:rsidRPr="00B6133E">
        <w:rPr>
          <w:rFonts w:ascii="Times New Roman" w:hAnsi="Times New Roman" w:cs="Times New Roman"/>
          <w:lang w:val="en-US"/>
        </w:rPr>
        <w:t>prognostic</w:t>
      </w:r>
      <w:r w:rsidR="00A14078" w:rsidRPr="00B6133E">
        <w:rPr>
          <w:rFonts w:ascii="Times New Roman" w:hAnsi="Times New Roman" w:cs="Times New Roman"/>
          <w:lang w:val="en-US"/>
        </w:rPr>
        <w:t>ally</w:t>
      </w:r>
      <w:proofErr w:type="spellEnd"/>
      <w:r w:rsidR="00765F32" w:rsidRPr="00B6133E">
        <w:rPr>
          <w:rFonts w:ascii="Times New Roman" w:hAnsi="Times New Roman" w:cs="Times New Roman"/>
          <w:lang w:val="en-US"/>
        </w:rPr>
        <w:t xml:space="preserve"> </w:t>
      </w:r>
      <w:r w:rsidR="00876E8F" w:rsidRPr="00B6133E">
        <w:rPr>
          <w:rFonts w:ascii="Times New Roman" w:hAnsi="Times New Roman" w:cs="Times New Roman"/>
          <w:lang w:val="en-US"/>
        </w:rPr>
        <w:t xml:space="preserve">useful markers are unknown </w:t>
      </w:r>
      <w:r w:rsidR="00A14078" w:rsidRPr="00B6133E">
        <w:rPr>
          <w:rFonts w:ascii="Times New Roman" w:hAnsi="Times New Roman" w:cs="Times New Roman"/>
          <w:lang w:val="en-US"/>
        </w:rPr>
        <w:t xml:space="preserve">but </w:t>
      </w:r>
      <w:r w:rsidR="004F2BDC" w:rsidRPr="00B6133E">
        <w:rPr>
          <w:rFonts w:ascii="Times New Roman" w:hAnsi="Times New Roman" w:cs="Times New Roman"/>
          <w:lang w:val="en-US"/>
        </w:rPr>
        <w:t xml:space="preserve">should </w:t>
      </w:r>
      <w:r w:rsidR="00876E8F" w:rsidRPr="00B6133E">
        <w:rPr>
          <w:rFonts w:ascii="Times New Roman" w:hAnsi="Times New Roman" w:cs="Times New Roman"/>
          <w:lang w:val="en-US"/>
        </w:rPr>
        <w:t xml:space="preserve">now be studied to understand </w:t>
      </w:r>
      <w:r w:rsidR="009B5561" w:rsidRPr="00B6133E">
        <w:rPr>
          <w:rFonts w:ascii="Times New Roman" w:hAnsi="Times New Roman" w:cs="Times New Roman"/>
          <w:lang w:val="en-US"/>
        </w:rPr>
        <w:t>their</w:t>
      </w:r>
      <w:r w:rsidR="00876E8F" w:rsidRPr="00B6133E">
        <w:rPr>
          <w:rFonts w:ascii="Times New Roman" w:hAnsi="Times New Roman" w:cs="Times New Roman"/>
          <w:lang w:val="en-US"/>
        </w:rPr>
        <w:t xml:space="preserve"> </w:t>
      </w:r>
      <w:proofErr w:type="spellStart"/>
      <w:r w:rsidR="00876E8F" w:rsidRPr="00B6133E">
        <w:rPr>
          <w:rFonts w:ascii="Times New Roman" w:hAnsi="Times New Roman" w:cs="Times New Roman"/>
          <w:lang w:val="en-US"/>
        </w:rPr>
        <w:t>pathogenetic</w:t>
      </w:r>
      <w:proofErr w:type="spellEnd"/>
      <w:r w:rsidR="00876E8F" w:rsidRPr="00B6133E">
        <w:rPr>
          <w:rFonts w:ascii="Times New Roman" w:hAnsi="Times New Roman" w:cs="Times New Roman"/>
          <w:lang w:val="en-US"/>
        </w:rPr>
        <w:t xml:space="preserve"> impact.</w:t>
      </w:r>
      <w:r w:rsidR="001775E1" w:rsidRPr="00B6133E">
        <w:rPr>
          <w:rFonts w:ascii="Times New Roman" w:hAnsi="Times New Roman" w:cs="Times New Roman"/>
          <w:lang w:val="en-US"/>
        </w:rPr>
        <w:t xml:space="preserve"> </w:t>
      </w:r>
    </w:p>
    <w:p w14:paraId="7C8D875A" w14:textId="58DC0328" w:rsidR="00D679FE" w:rsidRPr="00B6133E" w:rsidRDefault="000A62A9" w:rsidP="000A62A9">
      <w:pPr>
        <w:spacing w:before="0" w:after="0" w:line="480" w:lineRule="auto"/>
        <w:ind w:firstLine="540"/>
        <w:rPr>
          <w:rFonts w:ascii="Times New Roman" w:hAnsi="Times New Roman" w:cs="Times New Roman"/>
          <w:lang w:val="en-US"/>
        </w:rPr>
      </w:pPr>
      <w:r w:rsidRPr="00B6133E">
        <w:rPr>
          <w:rFonts w:ascii="Times New Roman" w:hAnsi="Times New Roman" w:cs="Times New Roman"/>
          <w:lang w:val="en-US"/>
        </w:rPr>
        <w:t>Our d</w:t>
      </w:r>
      <w:r w:rsidR="00E0404B" w:rsidRPr="00B6133E">
        <w:rPr>
          <w:rFonts w:ascii="Times New Roman" w:hAnsi="Times New Roman" w:cs="Times New Roman"/>
          <w:lang w:val="en-US"/>
        </w:rPr>
        <w:t>etection of alternative exon usage suggested subty</w:t>
      </w:r>
      <w:r w:rsidR="004F2BDC" w:rsidRPr="00B6133E">
        <w:rPr>
          <w:rFonts w:ascii="Times New Roman" w:hAnsi="Times New Roman" w:cs="Times New Roman"/>
          <w:lang w:val="en-US"/>
        </w:rPr>
        <w:t>pe specific patterns, support</w:t>
      </w:r>
      <w:r w:rsidR="00463E3F" w:rsidRPr="00B6133E">
        <w:rPr>
          <w:rFonts w:ascii="Times New Roman" w:hAnsi="Times New Roman" w:cs="Times New Roman"/>
          <w:lang w:val="en-US"/>
        </w:rPr>
        <w:t>ing</w:t>
      </w:r>
      <w:r w:rsidR="00E0404B" w:rsidRPr="00B6133E">
        <w:rPr>
          <w:rFonts w:ascii="Times New Roman" w:hAnsi="Times New Roman" w:cs="Times New Roman"/>
          <w:lang w:val="en-US"/>
        </w:rPr>
        <w:t xml:space="preserve"> that the BAGS </w:t>
      </w:r>
      <w:r w:rsidR="004E0A1C" w:rsidRPr="00B6133E">
        <w:rPr>
          <w:rFonts w:ascii="Times New Roman" w:hAnsi="Times New Roman" w:cs="Times New Roman"/>
          <w:lang w:val="en-US"/>
        </w:rPr>
        <w:t>phenotyping</w:t>
      </w:r>
      <w:r w:rsidR="00E0404B" w:rsidRPr="00B6133E">
        <w:rPr>
          <w:rFonts w:ascii="Times New Roman" w:hAnsi="Times New Roman" w:cs="Times New Roman"/>
          <w:lang w:val="en-US"/>
        </w:rPr>
        <w:t xml:space="preserve"> </w:t>
      </w:r>
      <w:r w:rsidR="004E0A1C" w:rsidRPr="00B6133E">
        <w:rPr>
          <w:rFonts w:ascii="Times New Roman" w:hAnsi="Times New Roman" w:cs="Times New Roman"/>
          <w:lang w:val="en-US"/>
        </w:rPr>
        <w:t>is based on</w:t>
      </w:r>
      <w:r w:rsidRPr="00B6133E">
        <w:rPr>
          <w:rFonts w:ascii="Times New Roman" w:hAnsi="Times New Roman" w:cs="Times New Roman"/>
          <w:lang w:val="en-US"/>
        </w:rPr>
        <w:t xml:space="preserve"> biological processes. A</w:t>
      </w:r>
      <w:r w:rsidR="00E0404B" w:rsidRPr="00B6133E">
        <w:rPr>
          <w:rFonts w:ascii="Times New Roman" w:hAnsi="Times New Roman" w:cs="Times New Roman"/>
          <w:lang w:val="en-US"/>
        </w:rPr>
        <w:t xml:space="preserve">lternatively spliced candidate genes detected in the Pre-BII subtype revealed an overrepresentation of genes involved in cell cycle regulation and increased proliferation, such as </w:t>
      </w:r>
      <w:r w:rsidR="00685F11" w:rsidRPr="00B6133E">
        <w:rPr>
          <w:rFonts w:ascii="Times New Roman" w:hAnsi="Times New Roman" w:cs="Times New Roman"/>
          <w:i/>
          <w:lang w:val="en-GB"/>
        </w:rPr>
        <w:t>GTSE1, PKMYT1, BIRC5, and AURKB</w:t>
      </w:r>
      <w:r w:rsidR="00685F11" w:rsidRPr="00B6133E" w:rsidDel="00685F11">
        <w:rPr>
          <w:rFonts w:ascii="Times New Roman" w:hAnsi="Times New Roman" w:cs="Times New Roman"/>
          <w:i/>
          <w:lang w:val="en-US"/>
        </w:rPr>
        <w:t xml:space="preserve"> </w:t>
      </w:r>
      <w:r w:rsidRPr="00B6133E">
        <w:rPr>
          <w:rFonts w:ascii="Times New Roman" w:hAnsi="Times New Roman" w:cs="Times New Roman"/>
          <w:lang w:val="en-US"/>
        </w:rPr>
        <w:t>, suggesting</w:t>
      </w:r>
      <w:r w:rsidR="00E0404B" w:rsidRPr="00B6133E">
        <w:rPr>
          <w:rFonts w:ascii="Times New Roman" w:hAnsi="Times New Roman" w:cs="Times New Roman"/>
          <w:lang w:val="en-US"/>
        </w:rPr>
        <w:t xml:space="preserve"> an association with altered cell cycle regulation and proliferation</w:t>
      </w:r>
      <w:r w:rsidRPr="00B6133E">
        <w:rPr>
          <w:rFonts w:ascii="Times New Roman" w:hAnsi="Times New Roman" w:cs="Times New Roman"/>
          <w:lang w:val="en-US"/>
        </w:rPr>
        <w:t xml:space="preserve">. </w:t>
      </w:r>
      <w:r w:rsidR="00E0404B" w:rsidRPr="00B6133E">
        <w:rPr>
          <w:rFonts w:ascii="Times New Roman" w:hAnsi="Times New Roman" w:cs="Times New Roman"/>
          <w:lang w:val="en-US"/>
        </w:rPr>
        <w:t>However, detected alternative exon usage of candidate genes needs to be experimentally validated and confirmed.</w:t>
      </w:r>
      <w:r w:rsidR="00D679FE" w:rsidRPr="00B6133E">
        <w:rPr>
          <w:rFonts w:ascii="Times New Roman" w:hAnsi="Times New Roman" w:cs="Times New Roman"/>
          <w:lang w:val="en-US"/>
        </w:rPr>
        <w:t xml:space="preserve"> </w:t>
      </w:r>
    </w:p>
    <w:p w14:paraId="7F68184B" w14:textId="75E660F4" w:rsidR="00A52FFC" w:rsidRPr="00B6133E" w:rsidRDefault="0080458F" w:rsidP="00D679FE">
      <w:pPr>
        <w:spacing w:before="0" w:after="0" w:line="480" w:lineRule="auto"/>
        <w:ind w:firstLine="567"/>
        <w:rPr>
          <w:rFonts w:ascii="Times New Roman" w:hAnsi="Times New Roman" w:cs="Times New Roman"/>
          <w:lang w:val="en-US"/>
        </w:rPr>
      </w:pPr>
      <w:r w:rsidRPr="00B6133E">
        <w:rPr>
          <w:rFonts w:ascii="Times New Roman" w:hAnsi="Times New Roman" w:cs="Times New Roman"/>
          <w:lang w:val="en-US"/>
        </w:rPr>
        <w:t>HDM</w:t>
      </w:r>
      <w:r w:rsidR="00636DF4" w:rsidRPr="00B6133E">
        <w:rPr>
          <w:rFonts w:ascii="Times New Roman" w:hAnsi="Times New Roman" w:cs="Times New Roman"/>
          <w:lang w:val="en-US"/>
        </w:rPr>
        <w:t xml:space="preserve"> </w:t>
      </w:r>
      <w:r w:rsidR="00471E48" w:rsidRPr="00B6133E">
        <w:rPr>
          <w:rFonts w:ascii="Times New Roman" w:hAnsi="Times New Roman" w:cs="Times New Roman"/>
          <w:lang w:val="en-US"/>
        </w:rPr>
        <w:t xml:space="preserve">forms the </w:t>
      </w:r>
      <w:r w:rsidR="004452D4" w:rsidRPr="00B6133E">
        <w:rPr>
          <w:rFonts w:ascii="Times New Roman" w:hAnsi="Times New Roman" w:cs="Times New Roman"/>
          <w:lang w:val="en-US"/>
        </w:rPr>
        <w:t xml:space="preserve">basis </w:t>
      </w:r>
      <w:r w:rsidR="00471E48" w:rsidRPr="00B6133E">
        <w:rPr>
          <w:rFonts w:ascii="Times New Roman" w:hAnsi="Times New Roman" w:cs="Times New Roman"/>
          <w:lang w:val="en-US"/>
        </w:rPr>
        <w:t>of MM</w:t>
      </w:r>
      <w:r w:rsidR="00636DF4" w:rsidRPr="00B6133E">
        <w:rPr>
          <w:rFonts w:ascii="Times New Roman" w:hAnsi="Times New Roman" w:cs="Times New Roman"/>
          <w:lang w:val="en-US"/>
        </w:rPr>
        <w:t xml:space="preserve"> treatment</w:t>
      </w:r>
      <w:r w:rsidR="00C60F0B"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10.3324/haematol.2013.099358","ISSN":"0390-6078","author":[{"dropping-particle":"","family":"Engelhardt","given":"M.","non-dropping-particle":"","parse-names":false,"suffix":""},{"dropping-particle":"","family":"Terpos","given":"E.","non-dropping-particle":"","parse-names":false,"suffix":""},{"dropping-particle":"","family":"Kleber","given":"M.","non-dropping-particle":"","parse-names":false,"suffix":""},{"dropping-particle":"","family":"Gay","given":"F.","non-dropping-particle":"","parse-names":false,"suffix":""},{"dropping-particle":"","family":"Wasch","given":"R.","non-dropping-particle":"","parse-names":false,"suffix":""},{"dropping-particle":"","family":"Morgan","given":"G.","non-dropping-particle":"","parse-names":false,"suffix":""},{"dropping-particle":"","family":"Cavo","given":"M.","non-dropping-particle":"","parse-names":false,"suffix":""},{"dropping-particle":"","family":"Donk","given":"N.","non-dropping-particle":"van de","parse-names":false,"suffix":""},{"dropping-particle":"","family":"Beilhack","given":"a.","non-dropping-particle":"","parse-names":false,"suffix":""},{"dropping-particle":"","family":"Bruno","given":"B.","non-dropping-particle":"","parse-names":false,"suffix":""},{"dropping-particle":"","family":"Johnsen","given":"H. E.","non-dropping-particle":"","parse-names":false,"suffix":""},{"dropping-particle":"","family":"Hajek","given":"R.","non-dropping-particle":"","parse-names":false,"suffix":""},{"dropping-particle":"","family":"Driessen","given":"C.","non-dropping-particle":"","parse-names":false,"suffix":""},{"dropping-particle":"","family":"Ludwig","given":"H.","non-dropping-particle":"","parse-names":false,"suffix":""},{"dropping-particle":"","family":"Beksac","given":"M.","non-dropping-particle":"","parse-names":false,"suffix":""},{"dropping-particle":"","family":"Boccadoro","given":"M.","non-dropping-particle":"","parse-names":false,"suffix":""},{"dropping-particle":"","family":"Straka","given":"C.","non-dropping-particle":"","parse-names":false,"suffix":""},{"dropping-particle":"","family":"Brighen","given":"S.","non-dropping-particle":"","parse-names":false,"suffix":""},{"dropping-particle":"","family":"Gramatzki","given":"M.","non-dropping-particle":"","parse-names":false,"suffix":""},{"dropping-particle":"","family":"Larocca","given":"a.","non-dropping-particle":"","parse-names":false,"suffix":""},{"dropping-particle":"","family":"Lokhorst","given":"H.","non-dropping-particle":"","parse-names":false,"suffix":""},{"dropping-particle":"","family":"Magarotto","given":"V.","non-dropping-particle":"","parse-names":false,"suffix":""},{"dropping-particle":"","family":"Morabito","given":"F.","non-dropping-particle":"","parse-names":false,"suffix":""},{"dropping-particle":"","family":"Dimopoulos","given":"M. a.","non-dropping-particle":"","parse-names":false,"suffix":""},{"dropping-particle":"","family":"Einsele","given":"H.","non-dropping-particle":"","parse-names":false,"suffix":""},{"dropping-particle":"","family":"Sonneveld","given":"P.","non-dropping-particle":"","parse-names":false,"suffix":""},{"dropping-particle":"","family":"Palumbo","given":"A","non-dropping-particle":"","parse-names":false,"suffix":""}],"container-title":"Haematologica","id":"ITEM-1","issue":"2","issued":{"date-parts":[["2014","2","4"]]},"page":"232-242","title":"European Myeloma Network recommendations on the evaluation and treatment of newly diagnosed patients with multiple myeloma","type":"article-journal","volume":"99"},"uris":["http://www.mendeley.com/documents/?uuid=980b3b19-2dcc-43a4-86bc-804d27b58c9d"]}],"mendeley":{"formattedCitation":"&lt;sup&gt;82&lt;/sup&gt;","plainTextFormattedCitation":"82","previouslyFormattedCitation":"&lt;sup&gt;82&lt;/sup&gt;"},"properties":{"noteIndex":0},"schema":"https://github.com/citation-style-language/schema/raw/master/csl-citation.json"}</w:instrText>
      </w:r>
      <w:r w:rsidR="00C60F0B"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82</w:t>
      </w:r>
      <w:r w:rsidR="00C60F0B" w:rsidRPr="00B6133E">
        <w:rPr>
          <w:rFonts w:ascii="Times New Roman" w:hAnsi="Times New Roman" w:cs="Times New Roman"/>
          <w:lang w:val="en-US"/>
        </w:rPr>
        <w:fldChar w:fldCharType="end"/>
      </w:r>
      <w:r w:rsidR="003B3F81" w:rsidRPr="00B6133E">
        <w:rPr>
          <w:rFonts w:ascii="Times New Roman" w:hAnsi="Times New Roman" w:cs="Times New Roman"/>
          <w:lang w:val="en-US"/>
        </w:rPr>
        <w:t>.</w:t>
      </w:r>
      <w:r w:rsidR="00455136" w:rsidRPr="00B6133E">
        <w:rPr>
          <w:rFonts w:ascii="Times New Roman" w:hAnsi="Times New Roman" w:cs="Times New Roman"/>
          <w:lang w:val="en-US"/>
        </w:rPr>
        <w:t xml:space="preserve"> </w:t>
      </w:r>
      <w:r w:rsidR="003B3F81" w:rsidRPr="00B6133E">
        <w:rPr>
          <w:rFonts w:ascii="Times New Roman" w:hAnsi="Times New Roman" w:cs="Times New Roman"/>
          <w:lang w:val="en-US"/>
        </w:rPr>
        <w:t>H</w:t>
      </w:r>
      <w:r w:rsidR="00455136" w:rsidRPr="00B6133E">
        <w:rPr>
          <w:rFonts w:ascii="Times New Roman" w:hAnsi="Times New Roman" w:cs="Times New Roman"/>
          <w:lang w:val="en-US"/>
        </w:rPr>
        <w:t xml:space="preserve">owever, patients with </w:t>
      </w:r>
      <w:r w:rsidR="004452D4" w:rsidRPr="00B6133E">
        <w:rPr>
          <w:rFonts w:ascii="Times New Roman" w:hAnsi="Times New Roman" w:cs="Times New Roman"/>
          <w:lang w:val="en-US"/>
        </w:rPr>
        <w:t xml:space="preserve">refractory or </w:t>
      </w:r>
      <w:r w:rsidR="00455136" w:rsidRPr="00B6133E">
        <w:rPr>
          <w:rFonts w:ascii="Times New Roman" w:hAnsi="Times New Roman" w:cs="Times New Roman"/>
          <w:lang w:val="en-US"/>
        </w:rPr>
        <w:t>relapsed</w:t>
      </w:r>
      <w:r w:rsidR="00636DF4" w:rsidRPr="00B6133E">
        <w:rPr>
          <w:rFonts w:ascii="Times New Roman" w:hAnsi="Times New Roman" w:cs="Times New Roman"/>
          <w:lang w:val="en-US"/>
        </w:rPr>
        <w:t xml:space="preserve"> disease</w:t>
      </w:r>
      <w:r w:rsidR="00A95AF6" w:rsidRPr="00B6133E">
        <w:rPr>
          <w:rFonts w:ascii="Times New Roman" w:hAnsi="Times New Roman" w:cs="Times New Roman"/>
          <w:lang w:val="en-US"/>
        </w:rPr>
        <w:t xml:space="preserve">s </w:t>
      </w:r>
      <w:r w:rsidRPr="00B6133E">
        <w:rPr>
          <w:rFonts w:ascii="Times New Roman" w:hAnsi="Times New Roman" w:cs="Times New Roman"/>
          <w:lang w:val="en-US"/>
        </w:rPr>
        <w:t>represent</w:t>
      </w:r>
      <w:r w:rsidR="00636DF4" w:rsidRPr="00B6133E">
        <w:rPr>
          <w:rFonts w:ascii="Times New Roman" w:hAnsi="Times New Roman" w:cs="Times New Roman"/>
          <w:lang w:val="en-US"/>
        </w:rPr>
        <w:t xml:space="preserve"> a large unmet need for </w:t>
      </w:r>
      <w:r w:rsidR="00A95AF6" w:rsidRPr="00B6133E">
        <w:rPr>
          <w:rFonts w:ascii="Times New Roman" w:hAnsi="Times New Roman" w:cs="Times New Roman"/>
          <w:lang w:val="en-US"/>
        </w:rPr>
        <w:t>drug</w:t>
      </w:r>
      <w:r w:rsidR="00A60BCE" w:rsidRPr="00B6133E">
        <w:rPr>
          <w:rFonts w:ascii="Times New Roman" w:hAnsi="Times New Roman" w:cs="Times New Roman"/>
          <w:lang w:val="en-US"/>
        </w:rPr>
        <w:t>-</w:t>
      </w:r>
      <w:r w:rsidR="00A95AF6" w:rsidRPr="00B6133E">
        <w:rPr>
          <w:rFonts w:ascii="Times New Roman" w:hAnsi="Times New Roman" w:cs="Times New Roman"/>
          <w:lang w:val="en-US"/>
        </w:rPr>
        <w:t>specific predictive tests</w:t>
      </w:r>
      <w:r w:rsidR="0002517F" w:rsidRPr="00B6133E">
        <w:rPr>
          <w:rFonts w:ascii="Times New Roman" w:hAnsi="Times New Roman" w:cs="Times New Roman"/>
          <w:lang w:val="en-US"/>
        </w:rPr>
        <w:t xml:space="preserve"> and precise companion </w:t>
      </w:r>
      <w:r w:rsidR="0002517F" w:rsidRPr="00B6133E">
        <w:rPr>
          <w:rFonts w:ascii="Times New Roman" w:hAnsi="Times New Roman" w:cs="Times New Roman"/>
          <w:lang w:val="en-US"/>
        </w:rPr>
        <w:lastRenderedPageBreak/>
        <w:t>diagnostics</w:t>
      </w:r>
      <w:r w:rsidR="00C60F0B" w:rsidRPr="00B6133E">
        <w:rPr>
          <w:rFonts w:ascii="Times New Roman" w:hAnsi="Times New Roman" w:cs="Times New Roman"/>
          <w:lang w:val="en-US"/>
        </w:rPr>
        <w:fldChar w:fldCharType="begin" w:fldLock="1"/>
      </w:r>
      <w:r w:rsidR="00AE5619" w:rsidRPr="00B6133E">
        <w:rPr>
          <w:rFonts w:ascii="Times New Roman" w:hAnsi="Times New Roman" w:cs="Times New Roman"/>
          <w:lang w:val="en-US"/>
        </w:rPr>
        <w:instrText>ADDIN CSL_CITATION {"citationItems":[{"id":"ITEM-1","itemData":{"DOI":"10.1016/j.exphem.2014.07.263","ISBN":"1873-2399 (Electronic)\\r0301-472X (Linking)","ISSN":"18732399","PMID":"25072621","abstract":"Drug resistance in cancer refers to recurrent or primary refractory disease following drug therapy. At the cellular level, it is a consequence of molecular functions that ultimately enable the cell to resist cell death-one of the classical hallmarks of cancer. Thus, drug resistance is a fundamental aspect of the cancer cell phenotype, in parallel with sustained proliferation, immortality, angiogenesis, invasion, and metastasis. Here we present a preclinical model of human B-cell cancer cell lines used to identify genes involved in specific drug resistance. This process includes a standardized technical setup for specific drug screening, analysis of global gene expression, and the statistical considerations required to develop resistance gene signatures. The state of the art is illustrated by the first-step classical drug screen (including the CD20 antibody rituximab, the DNA intercalating topoisomerase II inhibitor doxorubicin, the mitotic inhibitor vincristine, and the alkylating agents cyclophosphamide and melphalan) along with the generation of gene lists predicting the chemotherapeutic outcome as validated retrospectively in clinical trial datasets. This B-cell lineage-specific preclinical model will allow us to initiate a range of laboratory studies, with focus on specific gene functions involved in molecular resistance mechanisms.","author":[{"dropping-particle":"","family":"Laursen","given":"Maria Bach","non-dropping-particle":"","parse-names":false,"suffix":""},{"dropping-particle":"","family":"Falgreen","given":"Steffen","non-dropping-particle":"","parse-names":false,"suffix":""},{"dropping-particle":"","family":"Bødker","given":"Julie Støve","non-dropping-particle":"","parse-names":false,"suffix":""},{"dropping-particle":"","family":"Schmitz","given":"Alexander","non-dropping-particle":"","parse-names":false,"suffix":""},{"dropping-particle":"","family":"Kjeldsen","given":"Malene Krag","non-dropping-particle":"","parse-names":false,"suffix":""},{"dropping-particle":"","family":"Sørensen","given":"Suzette","non-dropping-particle":"","parse-names":false,"suffix":""},{"dropping-particle":"","family":"Madsen","given":"Jakob","non-dropping-particle":"","parse-names":false,"suffix":""},{"dropping-particle":"","family":"El-Galaly","given":"Tarec Christoffer","non-dropping-particle":"","parse-names":false,"suffix":""},{"dropping-particle":"","family":"Bøgsted","given":"Martin","non-dropping-particle":"","parse-names":false,"suffix":""},{"dropping-particle":"","family":"Dybkær","given":"Karen","non-dropping-particle":"","parse-names":false,"suffix":""},{"dropping-particle":"","family":"Johnsen","given":"Hans Erik","non-dropping-particle":"","parse-names":false,"suffix":""}],"container-title":"Experimental Hematology","id":"ITEM-1","issue":"11","issued":{"date-parts":[["2014","7","26"]]},"page":"927-938","publisher":"ISEH - International Society for Experimental Hematology","title":"Human B-cell cancer cell lines as a preclinical model for studies of drug effect in diffuse large B-cell lymphoma and multiple myeloma","type":"article-journal","volume":"42"},"uris":["http://www.mendeley.com/documents/?uuid=8cbf8adb-4f1f-4fd5-94f4-37b115d89b42"]},{"id":"ITEM-2","itemData":{"DOI":"10.1371/journal.pone.0019322","ISSN":"1932-6203","PMID":"21559449","abstract":"BACKGROUND: Recent reports indicate that in vitro drug screens combined with gene expression profiles (GEP) of cancer cell lines may generate informative signatures predicting the clinical outcome of chemotherapy. In multiple myeloma (MM) a range of new drugs have been introduced and now challenge conventional therapy including high dose melphalan. Consequently, the generation of predictive signatures for response to melphalan may have a clinical impact. The hypothesis is that melphalan screens and GEPs of B-cell cancer cell lines combined with multivariate statistics may provide predictive clinical information.\n\nMATERIALS AND METHODS: Microarray based GEPs and a melphalan growth inhibition screen of 59 cancer cell lines were downloaded from the National Cancer Institute database. Equivalent data were generated for 18 B-cell cancer cell lines. Linear discriminant analyses (LDA), sparse partial least squares (SPLS) and pairwise comparisons of cell line data were used to build resistance signatures from both cell line panels. A melphalan resistance index was defined and estimated for each MM patient in a publicly available clinical data set and evaluated retrospectively by Cox proportional hazards and Kaplan-Meier survival analysis.\n\nPRINCIPAL FINDINGS: Both cell line panels performed well with respect to internal validation of the SPLS approach but only the B-cell panel was able to predict a significantly higher risk of relapse and death with increasing resistance index in the clinical data sets. The most sensitive and resistant cell lines, MOLP-2 and RPMI-8226 LR5, respectively, had high leverage, which suggests their differentially expressed genes to possess important predictive value.\n\nCONCLUSION: The present study presents a melphalan resistance index generated by analysis of a B-cell panel of cancer cell lines. However, the resistance index needs to be functionally validated and correlated to known MM biomarkers in independent data sets in order to better understand the mechanism underlying the preparedness to melphalan resistance.","author":[{"dropping-particle":"","family":"Boegsted","given":"Martin","non-dropping-particle":"","parse-names":false,"suffix":""},{"dropping-particle":"","family":"Holst","given":"Johanne M","non-dropping-particle":"","parse-names":false,"suffix":""},{"dropping-particle":"","family":"Fogd","given":"Kirsten","non-dropping-particle":"","parse-names":false,"suffix":""},{"dropping-particle":"","family":"Falgreen","given":"Steffen","non-dropping-particle":"","parse-names":false,"suffix":""},{"dropping-particle":"","family":"Sørensen","given":"Suzette","non-dropping-particle":"","parse-names":false,"suffix":""},{"dropping-particle":"","family":"Schmitz","given":"Alexander","non-dropping-particle":"","parse-names":false,"suffix":""},{"dropping-particle":"","family":"Bukh","given":"Anne","non-dropping-particle":"","parse-names":false,"suffix":""},{"dropping-particle":"","family":"Johnsen","given":"Hans E","non-dropping-particle":"","parse-names":false,"suffix":""},{"dropping-particle":"","family":"Nyegaard","given":"Mette","non-dropping-particle":"","parse-names":false,"suffix":""},{"dropping-particle":"","family":"Dybkaer","given":"Karen","non-dropping-particle":"","parse-names":false,"suffix":""}],"container-title":"PloS one","id":"ITEM-2","issue":"4","issued":{"date-parts":[["2011","1"]]},"page":"e19322","title":"Generation of a predictive melphalan resistance index by drug screen of B-cell cancer cell lines.","type":"article-journal","volume":"6"},"uris":["http://www.mendeley.com/documents/?uuid=9d6781bf-f3d3-48c6-86c9-80aa9c519d3b"]},{"id":"ITEM-3","itemData":{"DOI":"10.1371/journal.pone.0083252","ISSN":"1932-6203","PMID":"24376673","abstract":"In a conceptual study of drug resistance we have used a preclinical model of malignant B-cell lines by combining drug induced growth inhibition and gene expression profiling. In the current report a melphalan resistance profile of 19 genes were weighted by microarray data from the MRC Myeloma IX trial and time to progression following high dose melphalan, to generate an individual melphalan resistance index. The resistance index was subsequently validated in the HOVON65/GMMG-HD4 trial data set to prove the concept. Biologically, the assigned resistance indices were differentially distributed among translocations and cyclin D expression classes. Clinically, the 25% most melphalan resistant, the intermediate 50% and the 25% most sensitive patients had a median progression free survival of 18, 32 and 28 months, respectively (log-rank P-value  = 0.05). Furthermore, the median overall survival was 45 months for the resistant group and not reached for the intermediate and sensitive groups (log-rank P-value  = 0.003) following 38 months median observation. In a multivariate analysis, correcting for age, sex and ISS-staging, we found a high resistance index to be an independent variable associated with inferior progression free survival and overall survival. This study provides clinical proof of concept to use in vitro drug screen for identification of melphalan resistance gene signatures for future functional analysis.","author":[{"dropping-particle":"","family":"Bøgsted","given":"Martin","non-dropping-particle":"","parse-names":false,"suffix":""},{"dropping-particle":"","family":"Bilgrau","given":"Anders E","non-dropping-particle":"","parse-names":false,"suffix":""},{"dropping-particle":"","family":"Wardell","given":"Christopher P","non-dropping-particle":"","parse-names":false,"suffix":""},{"dropping-particle":"","family":"Bertsch","given":"Uta","non-dropping-particle":"","parse-names":false,"suffix":""},{"dropping-particle":"","family":"Schmitz","given":"Alexander","non-dropping-particle":"","parse-names":false,"suffix":""},{"dropping-particle":"","family":"Bødker","given":"Julie Støve","non-dropping-particle":"","parse-names":false,"suffix":""},{"dropping-particle":"","family":"Kjeldsen","given":"Malene Krag","non-dropping-particle":"","parse-names":false,"suffix":""},{"dropping-particle":"","family":"Goldschmidt","given":"Hartmut","non-dropping-particle":"","parse-names":false,"suffix":""},{"dropping-particle":"","family":"Morgan","given":"Gareth J","non-dropping-particle":"","parse-names":false,"suffix":""},{"dropping-particle":"","family":"Dybkaer","given":"Karen","non-dropping-particle":"","parse-names":false,"suffix":""},{"dropping-particle":"","family":"Johnsen","given":"Hans Erik","non-dropping-particle":"","parse-names":false,"suffix":""}],"container-title":"PloS one","editor":[{"dropping-particle":"","family":"Wallace","given":"Graham R.","non-dropping-particle":"","parse-names":false,"suffix":""}],"id":"ITEM-3","issue":"12","issued":{"date-parts":[["2013","1"]]},"page":"e83252","publisher":"Public Library of Science","title":"Proof of the concept to use a malignant B cell line drug screen strategy for identification and weight of melphalan resistance genes in multiple myeloma.","type":"article-journal","volume":"8"},"uris":["http://www.mendeley.com/documents/?uuid=a5d99368-da4e-4dc3-adca-f1545e3e5a33"]},{"id":"ITEM-4","itemData":{"DOI":"10.1186/1471-2105-15-168","ISSN":"1471-2105","PMID":"24902483","abstract":"BACKGROUND: In vitro generated dose-response curves of human cancer cell lines are widely used to develop new therapeutics. The curves are summarised by simplified statistics that ignore the conventionally used dose-response curves' dependency on drug exposure time and growth kinetics. This may lead to suboptimal exploitation of data and biased conclusions on the potential of the drug in question. Therefore we set out to improve the dose-response assessments by eliminating the impact of time dependency. RESULTS: First, a mathematical model for drug induced cell growth inhibition was formulated and used to derive novel dose-response curves and improved summary statistics that are independent of time under the proposed model. Next, a statistical analysis workflow for estimating the improved statistics was suggested consisting of 1) nonlinear regression models for estimation of cell counts and doubling times, 2) isotonic regression for modelling the suggested dose-response curves, and 3) resampling based method for assessing variation of the novel summary statistics. We document that conventionally used summary statistics for dose-response experiments depend on time so that fast growing cell lines compared to slowly growing ones are considered overly sensitive. The adequacy of the mathematical model is tested for doxorubicin and found to fit real data to an acceptable degree. Dose-response data from the NCI60 drug screen were used to illustrate the time dependency and demonstrate an adjustment correcting for it. The applicability of the workflow was illustrated by simulation and application on a doxorubicin growth inhibition screen. The simulations show that under the proposed mathematical model the suggested statistical workflow results in unbiased estimates of the time independent summary statistics. Variance estimates of the novel summary statistics are used to conclude that the doxorubicin screen covers a significant diverse range of responses ensuring it is useful for biological interpretations. CONCLUSION: Time independent summary statistics may aid the understanding of drugs' action mechanism on tumour cells and potentially renew previous drug sensitivity evaluation studies.","author":[{"dropping-particle":"","family":"Falgreen","given":"Steffen","non-dropping-particle":"","parse-names":false,"suffix":""},{"dropping-particle":"","family":"Laursen","given":"Maria Bach","non-dropping-particle":"","parse-names":false,"suffix":""},{"dropping-particle":"","family":"Bødker","given":"Julie Støve","non-dropping-particle":"","parse-names":false,"suffix":""},{"dropping-particle":"","family":"Kjeldsen","given":"Malene Krag","non-dropping-particle":"","parse-names":false,"suffix":""},{"dropping-particle":"","family":"Schmitz","given":"Alexander","non-dropping-particle":"","parse-names":false,"suffix":""},{"dropping-particle":"","family":"Nyegaard","given":"Mette","non-dropping-particle":"","parse-names":false,"suffix":""},{"dropping-particle":"","family":"Johnsen","given":"Hans Erik","non-dropping-particle":"","parse-names":false,"suffix":""},{"dropping-particle":"","family":"Dybkær","given":"Karen","non-dropping-particle":"","parse-names":false,"suffix":""},{"dropping-particle":"","family":"Bøgsted","given":"Martin","non-dropping-particle":"","parse-names":false,"suffix":""}],"container-title":"BMC bioinformatics","id":"ITEM-4","issue":"1","issued":{"date-parts":[["2014","1"]]},"page":"168","title":"Exposure time independent summary statistics for assessment of drug dependent cell line growth inhibition","type":"article-journal","volume":"15"},"uris":["http://www.mendeley.com/documents/?uuid=35b37801-72d2-4870-9f24-1d42edb3f5fe"]},{"id":"ITEM-5","itemData":{"DOI":"10.1186/s12885-015-1237-6","ISSN":"1471-2407","PMID":"25881228","abstract":"BACKGROUND Patients suffering from cancer are often treated with a range of chemotherapeutic agents, but the treatment efficacy varies greatly between patients. Based on recent popularisation of regularised regression models the goal of this study was to establish workflows for pharmacogenomic predictors of response to standard multidrug regimens using baseline gene expression data and origin specific cell lines. The proposed workflows are tested on diffuse large B-cell lymphoma treated with R-CHOP first-line therapy. METHODS First, B-cell cancer cell lines were tested successively for resistance towards the chemotherapeutic components of R-CHOP: cyclophosphamide (C), doxorubicin (H), and vincristine (O). Second, baseline gene expression data were obtained for each cell line before treatment. Third, regularised multivariate regression models with cross-validated tuning parameters were used to generate classifier and predictor based resistance gene signatures (REGS) for the combination and individual chemotherapeutic drugs C, H, and O. Fourth, each developed REGS was used to assign resistance levels to individual patients in three clinical cohorts. RESULTS Both classifier and predictor based REGS, for the combination CHO, were of prognostic value. For patients classified as resistant towards CHO the risk of progression was 2.33 (95% CI: 1.6, 3.3) times greater than for those classified as sensitive. Similarly, an increase in the predicted CHO resistance index of 10 was related to a 22% (9%, 36%) increased risk of progression. Furthermore, the REGS classifier performed significantly better than the REGS predictor. CONCLUSIONS The regularised multivariate regression models provide a flexible workflow for drug resistance studies with promising potential. However, the gene expressions defining the REGSs should be functionally validated and correlated to known biomarkers to improve understanding of molecular mechanisms of drug resistance.","author":[{"dropping-particle":"","family":"Falgreen","given":"Steffen","non-dropping-particle":"","parse-names":false,"suffix":""},{"dropping-particle":"","family":"Dybkær","given":"Karen","non-dropping-particle":"","parse-names":false,"suffix":""},{"dropping-particle":"","family":"Young","given":"Ken H.","non-dropping-particle":"","parse-names":false,"suffix":""},{"dropping-particle":"","family":"Xu-Monette","given":"Zijun Y.","non-dropping-particle":"","parse-names":false,"suffix":""},{"dropping-particle":"","family":"El-Galaly","given":"Tarec C.","non-dropping-particle":"","parse-names":false,"suffix":""},{"dropping-particle":"","family":"Laursen","given":"Maria Bach","non-dropping-particle":"","parse-names":false,"suffix":""},{"dropping-particle":"","family":"Bødker","given":"Julie S.","non-dropping-particle":"","parse-names":false,"suffix":""},{"dropping-particle":"","family":"Kjeldsen","given":"Malene K.","non-dropping-particle":"","parse-names":false,"suffix":""},{"dropping-particle":"","family":"Schmitz","given":"Alexander","non-dropping-particle":"","parse-names":false,"suffix":""},{"dropping-particle":"","family":"Nyegaard","given":"Mette","non-dropping-particle":"","parse-names":false,"suffix":""},{"dropping-particle":"","family":"Johnsen","given":"Hans Erik","non-dropping-particle":"","parse-names":false,"suffix":""},{"dropping-particle":"","family":"Bøgsted","given":"Martin","non-dropping-particle":"","parse-names":false,"suffix":""}],"container-title":"BMC cancer","id":"ITEM-5","issued":{"date-parts":[["2015","4","8"]]},"page":"235","publisher":"BioMed Central","title":"Predicting response to multidrug regimens in cancer patients using cell line experiments and regularised regression models","type":"article-journal","volume":"15"},"uris":["http://www.mendeley.com/documents/?uuid=7a5250a6-fe27-4613-8503-ec5c54ca6ba1"]}],"mendeley":{"formattedCitation":"&lt;sup&gt;58,65–68&lt;/sup&gt;","plainTextFormattedCitation":"58,65–68","previouslyFormattedCitation":"&lt;sup&gt;58,65–68&lt;/sup&gt;"},"properties":{"noteIndex":0},"schema":"https://github.com/citation-style-language/schema/raw/master/csl-citation.json"}</w:instrText>
      </w:r>
      <w:r w:rsidR="00C60F0B" w:rsidRPr="00B6133E">
        <w:rPr>
          <w:rFonts w:ascii="Times New Roman" w:hAnsi="Times New Roman" w:cs="Times New Roman"/>
          <w:lang w:val="en-US"/>
        </w:rPr>
        <w:fldChar w:fldCharType="separate"/>
      </w:r>
      <w:r w:rsidR="00AE5619" w:rsidRPr="00B6133E">
        <w:rPr>
          <w:rFonts w:ascii="Times New Roman" w:hAnsi="Times New Roman" w:cs="Times New Roman"/>
          <w:noProof/>
          <w:vertAlign w:val="superscript"/>
          <w:lang w:val="en-US"/>
        </w:rPr>
        <w:t>58,65–68</w:t>
      </w:r>
      <w:r w:rsidR="00C60F0B" w:rsidRPr="00B6133E">
        <w:rPr>
          <w:rFonts w:ascii="Times New Roman" w:hAnsi="Times New Roman" w:cs="Times New Roman"/>
          <w:lang w:val="en-US"/>
        </w:rPr>
        <w:fldChar w:fldCharType="end"/>
      </w:r>
      <w:r w:rsidR="00636DF4" w:rsidRPr="00B6133E">
        <w:rPr>
          <w:rFonts w:ascii="Times New Roman" w:hAnsi="Times New Roman" w:cs="Times New Roman"/>
          <w:lang w:val="en-US"/>
        </w:rPr>
        <w:t>.</w:t>
      </w:r>
      <w:r w:rsidR="00455136" w:rsidRPr="00B6133E">
        <w:rPr>
          <w:rFonts w:ascii="Times New Roman" w:hAnsi="Times New Roman" w:cs="Times New Roman"/>
          <w:lang w:val="en-US"/>
        </w:rPr>
        <w:t xml:space="preserve"> This</w:t>
      </w:r>
      <w:r w:rsidR="00A60BCE" w:rsidRPr="00B6133E">
        <w:rPr>
          <w:rFonts w:ascii="Times New Roman" w:hAnsi="Times New Roman" w:cs="Times New Roman"/>
          <w:lang w:val="en-US"/>
        </w:rPr>
        <w:t xml:space="preserve"> need</w:t>
      </w:r>
      <w:r w:rsidR="00455136" w:rsidRPr="00B6133E">
        <w:rPr>
          <w:rFonts w:ascii="Times New Roman" w:hAnsi="Times New Roman" w:cs="Times New Roman"/>
          <w:lang w:val="en-US"/>
        </w:rPr>
        <w:t xml:space="preserve"> can be exemplified by </w:t>
      </w:r>
      <w:r w:rsidR="004B6D16" w:rsidRPr="00B6133E">
        <w:rPr>
          <w:rFonts w:ascii="Times New Roman" w:hAnsi="Times New Roman" w:cs="Times New Roman"/>
          <w:lang w:val="en-US"/>
        </w:rPr>
        <w:t>REGS</w:t>
      </w:r>
      <w:r w:rsidR="00455136" w:rsidRPr="00B6133E">
        <w:rPr>
          <w:rFonts w:ascii="Times New Roman" w:hAnsi="Times New Roman" w:cs="Times New Roman"/>
          <w:lang w:val="en-US"/>
        </w:rPr>
        <w:t xml:space="preserve"> </w:t>
      </w:r>
      <w:r w:rsidR="004B6D16" w:rsidRPr="00B6133E">
        <w:rPr>
          <w:rFonts w:ascii="Times New Roman" w:hAnsi="Times New Roman" w:cs="Times New Roman"/>
          <w:lang w:val="en-US"/>
        </w:rPr>
        <w:t>and BAGS</w:t>
      </w:r>
      <w:r w:rsidR="00455136" w:rsidRPr="00B6133E">
        <w:rPr>
          <w:rFonts w:ascii="Times New Roman" w:hAnsi="Times New Roman" w:cs="Times New Roman"/>
          <w:lang w:val="en-US"/>
        </w:rPr>
        <w:t xml:space="preserve"> </w:t>
      </w:r>
      <w:r w:rsidR="004B6D16" w:rsidRPr="00B6133E">
        <w:rPr>
          <w:rFonts w:ascii="Times New Roman" w:hAnsi="Times New Roman" w:cs="Times New Roman"/>
          <w:lang w:val="en-US"/>
        </w:rPr>
        <w:t xml:space="preserve">classification </w:t>
      </w:r>
      <w:r w:rsidR="00455136" w:rsidRPr="00B6133E">
        <w:rPr>
          <w:rFonts w:ascii="Times New Roman" w:hAnsi="Times New Roman" w:cs="Times New Roman"/>
          <w:lang w:val="en-US"/>
        </w:rPr>
        <w:t>with predictive information</w:t>
      </w:r>
      <w:r w:rsidR="004B6D16" w:rsidRPr="00B6133E">
        <w:rPr>
          <w:rFonts w:ascii="Times New Roman" w:hAnsi="Times New Roman" w:cs="Times New Roman"/>
          <w:lang w:val="en-US"/>
        </w:rPr>
        <w:t xml:space="preserve"> to guide therapy. The current </w:t>
      </w:r>
      <w:r w:rsidR="00966D3A" w:rsidRPr="00B6133E">
        <w:rPr>
          <w:rFonts w:ascii="Times New Roman" w:hAnsi="Times New Roman" w:cs="Times New Roman"/>
          <w:lang w:val="en-US"/>
        </w:rPr>
        <w:t>analyses indicate</w:t>
      </w:r>
      <w:r w:rsidR="004B6D16" w:rsidRPr="00B6133E">
        <w:rPr>
          <w:rFonts w:ascii="Times New Roman" w:hAnsi="Times New Roman" w:cs="Times New Roman"/>
          <w:lang w:val="en-US"/>
        </w:rPr>
        <w:t xml:space="preserve"> that such information is available at diagnosis </w:t>
      </w:r>
      <w:r w:rsidR="00966D3A" w:rsidRPr="00B6133E">
        <w:rPr>
          <w:rFonts w:ascii="Times New Roman" w:hAnsi="Times New Roman" w:cs="Times New Roman"/>
          <w:lang w:val="en-US"/>
        </w:rPr>
        <w:t>(</w:t>
      </w:r>
      <w:r w:rsidR="004F1DD3" w:rsidRPr="00B6133E">
        <w:rPr>
          <w:rFonts w:ascii="Times New Roman" w:hAnsi="Times New Roman" w:cs="Times New Roman"/>
          <w:b/>
          <w:lang w:val="en-US"/>
        </w:rPr>
        <w:t>Figure</w:t>
      </w:r>
      <w:r w:rsidR="00017E1B" w:rsidRPr="00B6133E">
        <w:rPr>
          <w:rFonts w:ascii="Times New Roman" w:hAnsi="Times New Roman" w:cs="Times New Roman"/>
          <w:b/>
          <w:lang w:val="en-US"/>
        </w:rPr>
        <w:t xml:space="preserve"> 3</w:t>
      </w:r>
      <w:r w:rsidR="004F1DD3" w:rsidRPr="00B6133E">
        <w:rPr>
          <w:rFonts w:ascii="Times New Roman" w:hAnsi="Times New Roman" w:cs="Times New Roman"/>
          <w:b/>
          <w:lang w:val="en-US"/>
        </w:rPr>
        <w:t>B</w:t>
      </w:r>
      <w:r w:rsidR="00C74B89" w:rsidRPr="00B6133E">
        <w:rPr>
          <w:rFonts w:ascii="Times New Roman" w:hAnsi="Times New Roman" w:cs="Times New Roman"/>
          <w:b/>
          <w:lang w:val="en-US"/>
        </w:rPr>
        <w:t xml:space="preserve"> and </w:t>
      </w:r>
      <w:r w:rsidR="00017E1B" w:rsidRPr="00B6133E">
        <w:rPr>
          <w:rFonts w:ascii="Times New Roman" w:hAnsi="Times New Roman" w:cs="Times New Roman"/>
          <w:b/>
          <w:lang w:val="en-US"/>
        </w:rPr>
        <w:t xml:space="preserve">Figure </w:t>
      </w:r>
      <w:r w:rsidR="004F1DD3" w:rsidRPr="00B6133E">
        <w:rPr>
          <w:rFonts w:ascii="Times New Roman" w:hAnsi="Times New Roman" w:cs="Times New Roman"/>
          <w:b/>
          <w:lang w:val="en-US"/>
        </w:rPr>
        <w:t>S</w:t>
      </w:r>
      <w:r w:rsidR="006D00DE" w:rsidRPr="00B6133E">
        <w:rPr>
          <w:rFonts w:ascii="Times New Roman" w:hAnsi="Times New Roman" w:cs="Times New Roman"/>
          <w:b/>
          <w:lang w:val="en-US"/>
        </w:rPr>
        <w:t>5</w:t>
      </w:r>
      <w:r w:rsidR="00017E1B" w:rsidRPr="00B6133E">
        <w:rPr>
          <w:rFonts w:ascii="Times New Roman" w:hAnsi="Times New Roman" w:cs="Times New Roman"/>
          <w:b/>
          <w:lang w:val="en-US"/>
        </w:rPr>
        <w:t>B</w:t>
      </w:r>
      <w:r w:rsidR="00966D3A" w:rsidRPr="00B6133E">
        <w:rPr>
          <w:rFonts w:ascii="Times New Roman" w:hAnsi="Times New Roman" w:cs="Times New Roman"/>
          <w:lang w:val="en-US"/>
        </w:rPr>
        <w:t xml:space="preserve">) </w:t>
      </w:r>
      <w:r w:rsidR="004B6D16" w:rsidRPr="00B6133E">
        <w:rPr>
          <w:rFonts w:ascii="Times New Roman" w:hAnsi="Times New Roman" w:cs="Times New Roman"/>
          <w:lang w:val="en-US"/>
        </w:rPr>
        <w:t>and could be used</w:t>
      </w:r>
      <w:r w:rsidR="00966D3A" w:rsidRPr="00B6133E">
        <w:rPr>
          <w:rFonts w:ascii="Times New Roman" w:hAnsi="Times New Roman" w:cs="Times New Roman"/>
          <w:lang w:val="en-US"/>
        </w:rPr>
        <w:t xml:space="preserve"> for identification of candidates for more precise strategies.</w:t>
      </w:r>
      <w:r w:rsidR="00A52FFC" w:rsidRPr="00B6133E">
        <w:rPr>
          <w:rFonts w:ascii="Times New Roman" w:hAnsi="Times New Roman" w:cs="Times New Roman"/>
          <w:lang w:val="en-US"/>
        </w:rPr>
        <w:t xml:space="preserve"> Collectively</w:t>
      </w:r>
      <w:r w:rsidR="00546443" w:rsidRPr="00B6133E">
        <w:rPr>
          <w:rFonts w:ascii="Times New Roman" w:hAnsi="Times New Roman" w:cs="Times New Roman"/>
          <w:lang w:val="en-US"/>
        </w:rPr>
        <w:t>,</w:t>
      </w:r>
      <w:r w:rsidR="00A52FFC" w:rsidRPr="00B6133E">
        <w:rPr>
          <w:rFonts w:ascii="Times New Roman" w:hAnsi="Times New Roman" w:cs="Times New Roman"/>
          <w:lang w:val="en-US"/>
        </w:rPr>
        <w:t xml:space="preserve"> this</w:t>
      </w:r>
      <w:r w:rsidR="00546443" w:rsidRPr="00B6133E">
        <w:rPr>
          <w:rFonts w:ascii="Times New Roman" w:hAnsi="Times New Roman" w:cs="Times New Roman"/>
          <w:lang w:val="en-US"/>
        </w:rPr>
        <w:t xml:space="preserve"> result</w:t>
      </w:r>
      <w:r w:rsidR="00A52FFC" w:rsidRPr="00B6133E">
        <w:rPr>
          <w:rFonts w:ascii="Times New Roman" w:hAnsi="Times New Roman" w:cs="Times New Roman"/>
          <w:lang w:val="en-US"/>
        </w:rPr>
        <w:t xml:space="preserve"> indicates BAGS </w:t>
      </w:r>
      <w:r w:rsidR="00F56EE4" w:rsidRPr="00B6133E">
        <w:rPr>
          <w:rFonts w:ascii="Times New Roman" w:hAnsi="Times New Roman" w:cs="Times New Roman"/>
          <w:lang w:val="en-US"/>
        </w:rPr>
        <w:t xml:space="preserve">subtypes experiences </w:t>
      </w:r>
      <w:r w:rsidR="00A52FFC" w:rsidRPr="00B6133E">
        <w:rPr>
          <w:rFonts w:ascii="Times New Roman" w:hAnsi="Times New Roman" w:cs="Times New Roman"/>
          <w:lang w:val="en-US"/>
        </w:rPr>
        <w:t xml:space="preserve">different clinical </w:t>
      </w:r>
      <w:r w:rsidR="00F56EE4" w:rsidRPr="00B6133E">
        <w:rPr>
          <w:rFonts w:ascii="Times New Roman" w:hAnsi="Times New Roman" w:cs="Times New Roman"/>
          <w:lang w:val="en-US"/>
        </w:rPr>
        <w:t>tracks</w:t>
      </w:r>
      <w:r w:rsidR="00E252F6" w:rsidRPr="00B6133E">
        <w:rPr>
          <w:rFonts w:ascii="Times New Roman" w:hAnsi="Times New Roman" w:cs="Times New Roman"/>
          <w:lang w:val="en-US"/>
        </w:rPr>
        <w:t xml:space="preserve"> and</w:t>
      </w:r>
      <w:r w:rsidR="00A52FFC" w:rsidRPr="00B6133E">
        <w:rPr>
          <w:rFonts w:ascii="Times New Roman" w:hAnsi="Times New Roman" w:cs="Times New Roman"/>
          <w:lang w:val="en-US"/>
        </w:rPr>
        <w:t xml:space="preserve"> drug</w:t>
      </w:r>
      <w:r w:rsidR="00F56EE4" w:rsidRPr="00B6133E">
        <w:rPr>
          <w:rFonts w:ascii="Times New Roman" w:hAnsi="Times New Roman" w:cs="Times New Roman"/>
          <w:lang w:val="en-US"/>
        </w:rPr>
        <w:t xml:space="preserve"> </w:t>
      </w:r>
      <w:r w:rsidR="00A52FFC" w:rsidRPr="00B6133E">
        <w:rPr>
          <w:rFonts w:ascii="Times New Roman" w:hAnsi="Times New Roman" w:cs="Times New Roman"/>
          <w:lang w:val="en-US"/>
        </w:rPr>
        <w:t>resistan</w:t>
      </w:r>
      <w:r w:rsidR="00F56EE4" w:rsidRPr="00B6133E">
        <w:rPr>
          <w:rFonts w:ascii="Times New Roman" w:hAnsi="Times New Roman" w:cs="Times New Roman"/>
          <w:lang w:val="en-US"/>
        </w:rPr>
        <w:t>t</w:t>
      </w:r>
      <w:r w:rsidR="00A52FFC" w:rsidRPr="00B6133E">
        <w:rPr>
          <w:rFonts w:ascii="Times New Roman" w:hAnsi="Times New Roman" w:cs="Times New Roman"/>
          <w:lang w:val="en-US"/>
        </w:rPr>
        <w:t xml:space="preserve"> mechanisms, and maybe even</w:t>
      </w:r>
      <w:r w:rsidR="00251C49" w:rsidRPr="00B6133E">
        <w:rPr>
          <w:rFonts w:ascii="Times New Roman" w:hAnsi="Times New Roman" w:cs="Times New Roman"/>
          <w:lang w:val="en-US"/>
        </w:rPr>
        <w:t xml:space="preserve"> different</w:t>
      </w:r>
      <w:r w:rsidR="00A52FFC" w:rsidRPr="00B6133E">
        <w:rPr>
          <w:rFonts w:ascii="Times New Roman" w:hAnsi="Times New Roman" w:cs="Times New Roman"/>
          <w:lang w:val="en-US"/>
        </w:rPr>
        <w:t xml:space="preserve"> molecular pathogenesis. We believe our results support the future inclusion of </w:t>
      </w:r>
      <w:r w:rsidR="007E2750" w:rsidRPr="00B6133E">
        <w:rPr>
          <w:rFonts w:ascii="Times New Roman" w:hAnsi="Times New Roman" w:cs="Times New Roman"/>
          <w:lang w:val="en-US"/>
        </w:rPr>
        <w:t>gene expression profiling</w:t>
      </w:r>
      <w:r w:rsidR="00A52FFC" w:rsidRPr="00B6133E">
        <w:rPr>
          <w:rFonts w:ascii="Times New Roman" w:hAnsi="Times New Roman" w:cs="Times New Roman"/>
          <w:lang w:val="en-US"/>
        </w:rPr>
        <w:t xml:space="preserve"> in randomized prospective clinical trials aimed at improving MM treatment. </w:t>
      </w:r>
    </w:p>
    <w:p w14:paraId="082F8570" w14:textId="24793FB6" w:rsidR="00413989" w:rsidRPr="00B6133E" w:rsidRDefault="00413989" w:rsidP="00B22E77">
      <w:pPr>
        <w:spacing w:before="0" w:after="0" w:line="480" w:lineRule="auto"/>
        <w:ind w:firstLine="540"/>
        <w:rPr>
          <w:rFonts w:ascii="Times New Roman" w:hAnsi="Times New Roman" w:cs="Times New Roman"/>
          <w:lang w:val="en-GB"/>
        </w:rPr>
      </w:pPr>
      <w:r w:rsidRPr="00B6133E">
        <w:rPr>
          <w:rFonts w:ascii="Times New Roman" w:hAnsi="Times New Roman" w:cs="Times New Roman"/>
          <w:lang w:val="en-US"/>
        </w:rPr>
        <w:t xml:space="preserve">BAGS </w:t>
      </w:r>
      <w:r w:rsidR="00CF2C5B" w:rsidRPr="00B6133E">
        <w:rPr>
          <w:rFonts w:ascii="Times New Roman" w:hAnsi="Times New Roman" w:cs="Times New Roman"/>
          <w:lang w:val="en-US"/>
        </w:rPr>
        <w:t xml:space="preserve">classification </w:t>
      </w:r>
      <w:r w:rsidRPr="00B6133E">
        <w:rPr>
          <w:rFonts w:ascii="Times New Roman" w:hAnsi="Times New Roman" w:cs="Times New Roman"/>
          <w:lang w:val="en-US"/>
        </w:rPr>
        <w:t xml:space="preserve">divided </w:t>
      </w:r>
      <w:r w:rsidRPr="00B6133E">
        <w:rPr>
          <w:rFonts w:ascii="Times New Roman" w:hAnsi="Times New Roman" w:cs="Times New Roman"/>
          <w:i/>
          <w:lang w:val="en-US"/>
        </w:rPr>
        <w:t>de novo</w:t>
      </w:r>
      <w:r w:rsidRPr="00B6133E">
        <w:rPr>
          <w:rFonts w:ascii="Times New Roman" w:hAnsi="Times New Roman" w:cs="Times New Roman"/>
          <w:lang w:val="en-US"/>
        </w:rPr>
        <w:t xml:space="preserve"> MM patients into so-far-unrecognized, differentiation-dependent </w:t>
      </w:r>
      <w:r w:rsidR="00CF2C5B" w:rsidRPr="00B6133E">
        <w:rPr>
          <w:rFonts w:ascii="Times New Roman" w:hAnsi="Times New Roman" w:cs="Times New Roman"/>
          <w:lang w:val="en-US"/>
        </w:rPr>
        <w:t xml:space="preserve">prognostic groups. </w:t>
      </w:r>
      <w:r w:rsidRPr="00B6133E">
        <w:rPr>
          <w:rFonts w:ascii="Times New Roman" w:hAnsi="Times New Roman" w:cs="Times New Roman"/>
          <w:lang w:val="en-US"/>
        </w:rPr>
        <w:t xml:space="preserve">These prognostic analyses and observations support the idea that BAGS </w:t>
      </w:r>
      <w:r w:rsidR="00CF2C5B" w:rsidRPr="00B6133E">
        <w:rPr>
          <w:rFonts w:ascii="Times New Roman" w:hAnsi="Times New Roman" w:cs="Times New Roman"/>
          <w:lang w:val="en-US"/>
        </w:rPr>
        <w:t>classification</w:t>
      </w:r>
      <w:r w:rsidRPr="00B6133E">
        <w:rPr>
          <w:rFonts w:ascii="Times New Roman" w:hAnsi="Times New Roman" w:cs="Times New Roman"/>
          <w:lang w:val="en-US"/>
        </w:rPr>
        <w:t xml:space="preserve"> in MM may contribute with </w:t>
      </w:r>
      <w:proofErr w:type="spellStart"/>
      <w:r w:rsidRPr="00B6133E">
        <w:rPr>
          <w:rFonts w:ascii="Times New Roman" w:hAnsi="Times New Roman" w:cs="Times New Roman"/>
          <w:lang w:val="en-US"/>
        </w:rPr>
        <w:t>pathogenetic</w:t>
      </w:r>
      <w:proofErr w:type="spellEnd"/>
      <w:r w:rsidRPr="00B6133E">
        <w:rPr>
          <w:rFonts w:ascii="Times New Roman" w:hAnsi="Times New Roman" w:cs="Times New Roman"/>
          <w:lang w:val="en-US"/>
        </w:rPr>
        <w:t xml:space="preserve"> information, especially in attempts to understand the biology behind the classical and still meaningful biomarkers PI and beta-2 </w:t>
      </w:r>
      <w:proofErr w:type="spellStart"/>
      <w:r w:rsidRPr="00B6133E">
        <w:rPr>
          <w:rFonts w:ascii="Times New Roman" w:hAnsi="Times New Roman" w:cs="Times New Roman"/>
          <w:lang w:val="en-US"/>
        </w:rPr>
        <w:t>microglobulin</w:t>
      </w:r>
      <w:proofErr w:type="spellEnd"/>
      <w:r w:rsidRPr="00B6133E">
        <w:rPr>
          <w:rFonts w:ascii="Times New Roman" w:hAnsi="Times New Roman" w:cs="Times New Roman"/>
          <w:lang w:val="en-US"/>
        </w:rPr>
        <w:t>.</w:t>
      </w:r>
      <w:r w:rsidR="00CF2C5B" w:rsidRPr="00B6133E">
        <w:rPr>
          <w:rFonts w:ascii="Times New Roman" w:hAnsi="Times New Roman" w:cs="Times New Roman"/>
          <w:lang w:val="en-US"/>
        </w:rPr>
        <w:t xml:space="preserve"> Most importantly, the classification included </w:t>
      </w:r>
      <w:proofErr w:type="spellStart"/>
      <w:r w:rsidR="00CF2C5B" w:rsidRPr="00B6133E">
        <w:rPr>
          <w:rFonts w:ascii="Times New Roman" w:hAnsi="Times New Roman" w:cs="Times New Roman"/>
          <w:lang w:val="en-US"/>
        </w:rPr>
        <w:t>pregerminal</w:t>
      </w:r>
      <w:proofErr w:type="spellEnd"/>
      <w:r w:rsidR="00CF2C5B" w:rsidRPr="00B6133E">
        <w:rPr>
          <w:rFonts w:ascii="Times New Roman" w:hAnsi="Times New Roman" w:cs="Times New Roman"/>
          <w:lang w:val="en-US"/>
        </w:rPr>
        <w:t xml:space="preserve"> subtypes, </w:t>
      </w:r>
      <w:r w:rsidR="00F56EE4" w:rsidRPr="00B6133E">
        <w:rPr>
          <w:rFonts w:ascii="Times New Roman" w:hAnsi="Times New Roman" w:cs="Times New Roman"/>
          <w:lang w:val="en-US"/>
        </w:rPr>
        <w:t xml:space="preserve">pointing at a </w:t>
      </w:r>
      <w:r w:rsidR="00CF2C5B" w:rsidRPr="00B6133E">
        <w:rPr>
          <w:rFonts w:ascii="Times New Roman" w:hAnsi="Times New Roman" w:cs="Times New Roman"/>
          <w:lang w:val="en-US"/>
        </w:rPr>
        <w:t>reversible phenotypic plasticity in myeloma PCs.</w:t>
      </w:r>
      <w:r w:rsidR="00CF2C5B" w:rsidRPr="00B6133E">
        <w:rPr>
          <w:rStyle w:val="Overskrift3Tegn"/>
          <w:rFonts w:ascii="Times New Roman" w:hAnsi="Times New Roman" w:cs="Times New Roman"/>
          <w:lang w:val="en-GB"/>
        </w:rPr>
        <w:t xml:space="preserve"> </w:t>
      </w:r>
      <w:r w:rsidR="00F56EE4" w:rsidRPr="00B6133E">
        <w:rPr>
          <w:rFonts w:ascii="Times New Roman" w:hAnsi="Times New Roman" w:cs="Times New Roman"/>
          <w:lang w:val="en-GB"/>
        </w:rPr>
        <w:t>Prospective f</w:t>
      </w:r>
      <w:r w:rsidR="00CF2C5B" w:rsidRPr="00B6133E">
        <w:rPr>
          <w:rFonts w:ascii="Times New Roman" w:hAnsi="Times New Roman" w:cs="Times New Roman"/>
          <w:lang w:val="en-GB"/>
        </w:rPr>
        <w:t xml:space="preserve">uture studies </w:t>
      </w:r>
      <w:r w:rsidR="00F56EE4" w:rsidRPr="00B6133E">
        <w:rPr>
          <w:rFonts w:ascii="Times New Roman" w:hAnsi="Times New Roman" w:cs="Times New Roman"/>
          <w:lang w:val="en-GB"/>
        </w:rPr>
        <w:t xml:space="preserve">are </w:t>
      </w:r>
      <w:r w:rsidR="00CF2C5B" w:rsidRPr="00B6133E">
        <w:rPr>
          <w:rFonts w:ascii="Times New Roman" w:hAnsi="Times New Roman" w:cs="Times New Roman"/>
          <w:lang w:val="en-GB"/>
        </w:rPr>
        <w:t>needed to prove the concept using clinical endpoints, including prediction of therapeutic outcome.</w:t>
      </w:r>
    </w:p>
    <w:p w14:paraId="5A8EC7B6" w14:textId="77777777" w:rsidR="00AE5619" w:rsidRPr="00B6133E" w:rsidRDefault="00AE5619" w:rsidP="00B22E77">
      <w:pPr>
        <w:spacing w:before="0" w:after="0" w:line="480" w:lineRule="auto"/>
        <w:ind w:firstLine="540"/>
        <w:rPr>
          <w:rFonts w:ascii="Times New Roman" w:hAnsi="Times New Roman" w:cs="Times New Roman"/>
          <w:lang w:val="en-US"/>
        </w:rPr>
      </w:pPr>
    </w:p>
    <w:p w14:paraId="11EA4A0D" w14:textId="77777777" w:rsidR="000D6327" w:rsidRPr="00B6133E" w:rsidRDefault="000D6327" w:rsidP="00B6133E">
      <w:pPr>
        <w:pStyle w:val="Overskrift2"/>
      </w:pPr>
      <w:r w:rsidRPr="00B6133E">
        <w:t>Acknowledgments</w:t>
      </w:r>
    </w:p>
    <w:p w14:paraId="42D347F2" w14:textId="4A08358D" w:rsidR="00AB0F13" w:rsidRPr="00B6133E" w:rsidRDefault="00AB0F13" w:rsidP="00AB0F13">
      <w:pPr>
        <w:widowControl/>
        <w:autoSpaceDE/>
        <w:autoSpaceDN/>
        <w:adjustRightInd/>
        <w:spacing w:before="0" w:after="0" w:line="480" w:lineRule="auto"/>
        <w:jc w:val="left"/>
        <w:rPr>
          <w:rFonts w:ascii="Times New Roman" w:hAnsi="Times New Roman" w:cs="Times New Roman"/>
          <w:lang w:val="en-US"/>
        </w:rPr>
      </w:pPr>
      <w:r w:rsidRPr="00B6133E">
        <w:rPr>
          <w:rFonts w:ascii="Times New Roman" w:hAnsi="Times New Roman" w:cs="Times New Roman"/>
          <w:lang w:val="en-US"/>
        </w:rPr>
        <w:t xml:space="preserve">We </w:t>
      </w:r>
      <w:proofErr w:type="spellStart"/>
      <w:r w:rsidRPr="00B6133E">
        <w:rPr>
          <w:rFonts w:ascii="Times New Roman" w:hAnsi="Times New Roman" w:cs="Times New Roman"/>
          <w:lang w:val="en-US"/>
        </w:rPr>
        <w:t>acknowlegde</w:t>
      </w:r>
      <w:proofErr w:type="spellEnd"/>
      <w:r w:rsidRPr="00B6133E">
        <w:rPr>
          <w:rFonts w:ascii="Times New Roman" w:hAnsi="Times New Roman" w:cs="Times New Roman"/>
          <w:lang w:val="en-US"/>
        </w:rPr>
        <w:t xml:space="preserve"> the tremendous </w:t>
      </w:r>
      <w:r w:rsidR="00413989" w:rsidRPr="00B6133E">
        <w:rPr>
          <w:rFonts w:ascii="Times New Roman" w:hAnsi="Times New Roman" w:cs="Times New Roman"/>
          <w:lang w:val="en-US"/>
        </w:rPr>
        <w:t xml:space="preserve">perseverance by the late </w:t>
      </w:r>
      <w:r w:rsidRPr="00B6133E">
        <w:rPr>
          <w:rFonts w:ascii="Times New Roman" w:hAnsi="Times New Roman" w:cs="Times New Roman"/>
          <w:lang w:val="en-US"/>
        </w:rPr>
        <w:t>Professor Hans Erik Johnsen (</w:t>
      </w:r>
      <w:r w:rsidR="00413989" w:rsidRPr="00B6133E">
        <w:rPr>
          <w:rFonts w:ascii="Times New Roman" w:hAnsi="Times New Roman" w:cs="Times New Roman"/>
          <w:lang w:val="en-US"/>
        </w:rPr>
        <w:t>May 1</w:t>
      </w:r>
      <w:r w:rsidR="00E63830" w:rsidRPr="00B6133E">
        <w:rPr>
          <w:rFonts w:ascii="Times New Roman" w:hAnsi="Times New Roman" w:cs="Times New Roman"/>
          <w:lang w:val="en-US"/>
        </w:rPr>
        <w:t>3</w:t>
      </w:r>
      <w:r w:rsidR="00413989" w:rsidRPr="00B6133E">
        <w:rPr>
          <w:rFonts w:ascii="Times New Roman" w:hAnsi="Times New Roman" w:cs="Times New Roman"/>
          <w:lang w:val="en-US"/>
        </w:rPr>
        <w:t>, 1948 – May 17, 2018)</w:t>
      </w:r>
      <w:r w:rsidRPr="00B6133E">
        <w:rPr>
          <w:rFonts w:ascii="Times New Roman" w:hAnsi="Times New Roman" w:cs="Times New Roman"/>
          <w:lang w:val="en-US"/>
        </w:rPr>
        <w:t xml:space="preserve"> in driving the project behind this publication</w:t>
      </w:r>
      <w:r w:rsidR="00413989" w:rsidRPr="00B6133E">
        <w:rPr>
          <w:rFonts w:ascii="Times New Roman" w:hAnsi="Times New Roman" w:cs="Times New Roman"/>
          <w:lang w:val="en-US"/>
        </w:rPr>
        <w:t xml:space="preserve">. </w:t>
      </w:r>
      <w:proofErr w:type="spellStart"/>
      <w:r w:rsidR="00413989" w:rsidRPr="00B6133E">
        <w:rPr>
          <w:rFonts w:ascii="Times New Roman" w:hAnsi="Times New Roman" w:cs="Times New Roman"/>
          <w:lang w:val="en-US"/>
        </w:rPr>
        <w:t>Ufortunately</w:t>
      </w:r>
      <w:proofErr w:type="spellEnd"/>
      <w:r w:rsidR="00413989" w:rsidRPr="00B6133E">
        <w:rPr>
          <w:rFonts w:ascii="Times New Roman" w:hAnsi="Times New Roman" w:cs="Times New Roman"/>
          <w:lang w:val="en-US"/>
        </w:rPr>
        <w:t>, he did not experience the final outcome of the work.</w:t>
      </w:r>
      <w:r w:rsidR="00413989" w:rsidRPr="00B6133E" w:rsidDel="00413989">
        <w:rPr>
          <w:rFonts w:ascii="Times New Roman" w:hAnsi="Times New Roman" w:cs="Times New Roman"/>
          <w:lang w:val="en-US"/>
        </w:rPr>
        <w:t xml:space="preserve"> </w:t>
      </w:r>
    </w:p>
    <w:p w14:paraId="64279263" w14:textId="77777777" w:rsidR="000D6327" w:rsidRPr="00B6133E" w:rsidRDefault="000D6327" w:rsidP="000D6327">
      <w:pPr>
        <w:widowControl/>
        <w:autoSpaceDE/>
        <w:autoSpaceDN/>
        <w:adjustRightInd/>
        <w:spacing w:before="0" w:after="0" w:line="480" w:lineRule="auto"/>
        <w:jc w:val="left"/>
        <w:rPr>
          <w:rFonts w:ascii="Times New Roman" w:hAnsi="Times New Roman" w:cs="Times New Roman"/>
          <w:lang w:val="en-US"/>
        </w:rPr>
      </w:pPr>
      <w:r w:rsidRPr="00B6133E" w:rsidDel="00863462">
        <w:rPr>
          <w:rFonts w:ascii="Times New Roman" w:hAnsi="Times New Roman" w:cs="Times New Roman"/>
          <w:lang w:val="en-US"/>
        </w:rPr>
        <w:t>This study was supported by research funding from the EU 6</w:t>
      </w:r>
      <w:r w:rsidRPr="00B6133E" w:rsidDel="00863462">
        <w:rPr>
          <w:rFonts w:ascii="Times New Roman" w:hAnsi="Times New Roman" w:cs="Times New Roman"/>
          <w:vertAlign w:val="superscript"/>
          <w:lang w:val="en-US"/>
        </w:rPr>
        <w:t>th</w:t>
      </w:r>
      <w:r w:rsidRPr="00B6133E" w:rsidDel="00863462">
        <w:rPr>
          <w:rFonts w:ascii="Times New Roman" w:hAnsi="Times New Roman" w:cs="Times New Roman"/>
          <w:lang w:val="en-US"/>
        </w:rPr>
        <w:t xml:space="preserve"> FP to MSCNET (LSHC-CT-2006-037602), the Danish Cancer Society, the Danish Research Agency to CHEPRE (#2101-07-0007), and the KE Jensen Foundation (2006-2010) to HEJ and KD. </w:t>
      </w:r>
    </w:p>
    <w:p w14:paraId="52ED5F5E" w14:textId="79F70BC5" w:rsidR="00B20591" w:rsidRPr="00B6133E" w:rsidRDefault="00B20591" w:rsidP="000D6327">
      <w:pPr>
        <w:widowControl/>
        <w:autoSpaceDE/>
        <w:autoSpaceDN/>
        <w:adjustRightInd/>
        <w:spacing w:before="0" w:after="0" w:line="480" w:lineRule="auto"/>
        <w:jc w:val="left"/>
        <w:rPr>
          <w:rFonts w:ascii="Times New Roman" w:hAnsi="Times New Roman" w:cs="Times New Roman"/>
          <w:lang w:val="en-US"/>
        </w:rPr>
      </w:pPr>
      <w:r w:rsidRPr="00B6133E">
        <w:rPr>
          <w:rFonts w:ascii="Times New Roman" w:hAnsi="Times New Roman" w:cs="Times New Roman"/>
          <w:lang w:val="en-US"/>
        </w:rPr>
        <w:t>Technicians Louise Hvilshøj Madsen and Helle Høholt participated in several aspects of the laboratory work.</w:t>
      </w:r>
    </w:p>
    <w:p w14:paraId="457FD523" w14:textId="77777777" w:rsidR="00AE5619" w:rsidRPr="00B6133E" w:rsidRDefault="00AE5619" w:rsidP="000D6327">
      <w:pPr>
        <w:widowControl/>
        <w:autoSpaceDE/>
        <w:autoSpaceDN/>
        <w:adjustRightInd/>
        <w:spacing w:before="0" w:after="0" w:line="480" w:lineRule="auto"/>
        <w:jc w:val="left"/>
        <w:rPr>
          <w:rFonts w:ascii="Times New Roman" w:hAnsi="Times New Roman" w:cs="Times New Roman"/>
          <w:lang w:val="en-US"/>
        </w:rPr>
      </w:pPr>
    </w:p>
    <w:p w14:paraId="145F58EA" w14:textId="1A8D5152" w:rsidR="00AE5619" w:rsidRPr="00B6133E" w:rsidRDefault="00AE5619" w:rsidP="00B6133E">
      <w:pPr>
        <w:pStyle w:val="Overskrift2"/>
      </w:pPr>
      <w:r w:rsidRPr="00B6133E">
        <w:t>Authorship and conflict-of-interest statements</w:t>
      </w:r>
    </w:p>
    <w:p w14:paraId="19F80B80" w14:textId="7ABEA7EE" w:rsidR="000D6327" w:rsidRPr="00B6133E" w:rsidRDefault="000D6327" w:rsidP="0056769A">
      <w:pPr>
        <w:spacing w:before="0" w:after="0" w:line="480" w:lineRule="auto"/>
        <w:rPr>
          <w:rFonts w:ascii="Times New Roman" w:hAnsi="Times New Roman" w:cs="Times New Roman"/>
          <w:b/>
          <w:lang w:val="en-US"/>
        </w:rPr>
      </w:pPr>
      <w:r w:rsidRPr="00B6133E">
        <w:rPr>
          <w:rFonts w:ascii="Times New Roman" w:hAnsi="Times New Roman" w:cs="Times New Roman"/>
          <w:b/>
          <w:lang w:val="en-US"/>
        </w:rPr>
        <w:t>Author</w:t>
      </w:r>
      <w:r w:rsidR="009B47FD" w:rsidRPr="00B6133E">
        <w:rPr>
          <w:rFonts w:ascii="Times New Roman" w:hAnsi="Times New Roman" w:cs="Times New Roman"/>
          <w:b/>
          <w:lang w:val="en-US"/>
        </w:rPr>
        <w:t xml:space="preserve"> contributions</w:t>
      </w:r>
    </w:p>
    <w:p w14:paraId="78CAA5DD" w14:textId="24B039D0" w:rsidR="006A40D3" w:rsidRPr="00B6133E" w:rsidRDefault="00A3683B" w:rsidP="00A3683B">
      <w:pPr>
        <w:spacing w:before="0" w:after="0" w:line="480" w:lineRule="auto"/>
        <w:rPr>
          <w:rFonts w:ascii="Times New Roman" w:hAnsi="Times New Roman" w:cs="Times New Roman"/>
          <w:lang w:val="en-US"/>
        </w:rPr>
      </w:pPr>
      <w:r w:rsidRPr="00B6133E">
        <w:rPr>
          <w:rFonts w:ascii="Times New Roman" w:hAnsi="Times New Roman" w:cs="Times New Roman"/>
          <w:lang w:val="en-US"/>
        </w:rPr>
        <w:t>M.B.</w:t>
      </w:r>
      <w:r w:rsidR="009B47FD" w:rsidRPr="00B6133E">
        <w:rPr>
          <w:rFonts w:ascii="Times New Roman" w:hAnsi="Times New Roman" w:cs="Times New Roman"/>
          <w:lang w:val="en-US"/>
        </w:rPr>
        <w:t xml:space="preserve"> and</w:t>
      </w:r>
      <w:r w:rsidRPr="00B6133E">
        <w:rPr>
          <w:rFonts w:ascii="Times New Roman" w:hAnsi="Times New Roman" w:cs="Times New Roman"/>
          <w:lang w:val="en-US"/>
        </w:rPr>
        <w:t xml:space="preserve"> K.D. designed, collected data, and lead the study; J.S.B., R.F.B., A.S.</w:t>
      </w:r>
      <w:r w:rsidR="009B47FD" w:rsidRPr="00B6133E">
        <w:rPr>
          <w:rFonts w:ascii="Times New Roman" w:hAnsi="Times New Roman" w:cs="Times New Roman"/>
          <w:lang w:val="en-US"/>
        </w:rPr>
        <w:t>,</w:t>
      </w:r>
      <w:r w:rsidRPr="00B6133E">
        <w:rPr>
          <w:rFonts w:ascii="Times New Roman" w:hAnsi="Times New Roman" w:cs="Times New Roman"/>
          <w:lang w:val="en-US"/>
        </w:rPr>
        <w:t xml:space="preserve"> M.B., </w:t>
      </w:r>
      <w:r w:rsidR="009B47FD" w:rsidRPr="00B6133E">
        <w:rPr>
          <w:rFonts w:ascii="Times New Roman" w:hAnsi="Times New Roman" w:cs="Times New Roman"/>
          <w:lang w:val="en-US"/>
        </w:rPr>
        <w:t xml:space="preserve">and </w:t>
      </w:r>
      <w:r w:rsidRPr="00B6133E">
        <w:rPr>
          <w:rFonts w:ascii="Times New Roman" w:hAnsi="Times New Roman" w:cs="Times New Roman"/>
          <w:lang w:val="en-US"/>
        </w:rPr>
        <w:t>K.D. wrote the manuscript; R.F.B. and M.B. performed statistical analysis; Biological and clinical interpretation was provided by J.S.B., K.D., A.A.S., D.S.J, T.</w:t>
      </w:r>
      <w:r w:rsidR="007C1AAA" w:rsidRPr="00B6133E">
        <w:rPr>
          <w:rFonts w:ascii="Times New Roman" w:hAnsi="Times New Roman" w:cs="Times New Roman"/>
          <w:lang w:val="en-US"/>
        </w:rPr>
        <w:t>E</w:t>
      </w:r>
      <w:r w:rsidRPr="00B6133E">
        <w:rPr>
          <w:rFonts w:ascii="Times New Roman" w:hAnsi="Times New Roman" w:cs="Times New Roman"/>
          <w:lang w:val="en-US"/>
        </w:rPr>
        <w:t>.</w:t>
      </w:r>
      <w:r w:rsidR="007C1AAA" w:rsidRPr="00B6133E">
        <w:rPr>
          <w:rFonts w:ascii="Times New Roman" w:hAnsi="Times New Roman" w:cs="Times New Roman"/>
          <w:lang w:val="en-US"/>
        </w:rPr>
        <w:t>G</w:t>
      </w:r>
      <w:r w:rsidRPr="00B6133E">
        <w:rPr>
          <w:rFonts w:ascii="Times New Roman" w:hAnsi="Times New Roman" w:cs="Times New Roman"/>
          <w:lang w:val="en-US"/>
        </w:rPr>
        <w:t xml:space="preserve">. and H.E.J.; </w:t>
      </w:r>
      <w:r w:rsidR="009B47FD" w:rsidRPr="00B6133E">
        <w:rPr>
          <w:rFonts w:ascii="Times New Roman" w:hAnsi="Times New Roman" w:cs="Times New Roman"/>
          <w:lang w:val="en-US"/>
        </w:rPr>
        <w:t>M.P.A., A.O., A</w:t>
      </w:r>
      <w:r w:rsidR="007C1AAA" w:rsidRPr="00B6133E">
        <w:rPr>
          <w:rFonts w:ascii="Times New Roman" w:hAnsi="Times New Roman" w:cs="Times New Roman"/>
          <w:lang w:val="en-US"/>
        </w:rPr>
        <w:t>.</w:t>
      </w:r>
      <w:r w:rsidR="009B47FD" w:rsidRPr="00B6133E">
        <w:rPr>
          <w:rFonts w:ascii="Times New Roman" w:hAnsi="Times New Roman" w:cs="Times New Roman"/>
          <w:lang w:val="en-US"/>
        </w:rPr>
        <w:t>S</w:t>
      </w:r>
      <w:r w:rsidR="007C1AAA" w:rsidRPr="00B6133E">
        <w:rPr>
          <w:rFonts w:ascii="Times New Roman" w:hAnsi="Times New Roman" w:cs="Times New Roman"/>
          <w:lang w:val="en-US"/>
        </w:rPr>
        <w:t>.</w:t>
      </w:r>
      <w:r w:rsidR="009B47FD" w:rsidRPr="00B6133E">
        <w:rPr>
          <w:rFonts w:ascii="Times New Roman" w:hAnsi="Times New Roman" w:cs="Times New Roman"/>
          <w:lang w:val="en-US"/>
        </w:rPr>
        <w:t>, R.F.B., A.A.S., M.S., C.V., H.D., C.H.N., D.S.J., P.J., M.A.N., R.S.</w:t>
      </w:r>
      <w:r w:rsidR="007C1AAA" w:rsidRPr="00B6133E">
        <w:rPr>
          <w:rFonts w:ascii="Times New Roman" w:hAnsi="Times New Roman" w:cs="Times New Roman"/>
          <w:lang w:val="en-US"/>
        </w:rPr>
        <w:t>,</w:t>
      </w:r>
      <w:r w:rsidR="009B47FD" w:rsidRPr="00B6133E">
        <w:rPr>
          <w:rFonts w:ascii="Times New Roman" w:hAnsi="Times New Roman" w:cs="Times New Roman"/>
          <w:lang w:val="en-US"/>
        </w:rPr>
        <w:t xml:space="preserve"> and R.</w:t>
      </w:r>
      <w:r w:rsidR="006B092E">
        <w:rPr>
          <w:rFonts w:ascii="Times New Roman" w:hAnsi="Times New Roman" w:cs="Times New Roman"/>
          <w:lang w:val="en-US"/>
        </w:rPr>
        <w:t>J.</w:t>
      </w:r>
      <w:r w:rsidR="009B47FD" w:rsidRPr="00B6133E">
        <w:rPr>
          <w:rFonts w:ascii="Times New Roman" w:hAnsi="Times New Roman" w:cs="Times New Roman"/>
          <w:lang w:val="en-US"/>
        </w:rPr>
        <w:t xml:space="preserve">S. contributed vital technology or analytical tools; M.K.S., N.M., F.D., B.W., C.P., M.K., D.J., G.J.M., U.B., H.G., A.B., </w:t>
      </w:r>
      <w:proofErr w:type="spellStart"/>
      <w:r w:rsidR="009B47FD" w:rsidRPr="00B6133E">
        <w:rPr>
          <w:rFonts w:ascii="Times New Roman" w:hAnsi="Times New Roman" w:cs="Times New Roman"/>
          <w:lang w:val="en-US"/>
        </w:rPr>
        <w:t>M.v.D</w:t>
      </w:r>
      <w:proofErr w:type="spellEnd"/>
      <w:r w:rsidR="009B47FD" w:rsidRPr="00B6133E">
        <w:rPr>
          <w:rFonts w:ascii="Times New Roman" w:hAnsi="Times New Roman" w:cs="Times New Roman"/>
          <w:lang w:val="en-US"/>
        </w:rPr>
        <w:t>.</w:t>
      </w:r>
      <w:r w:rsidR="007C1AAA" w:rsidRPr="00B6133E">
        <w:rPr>
          <w:rFonts w:ascii="Times New Roman" w:hAnsi="Times New Roman" w:cs="Times New Roman"/>
          <w:lang w:val="en-US"/>
        </w:rPr>
        <w:t>,</w:t>
      </w:r>
      <w:r w:rsidR="009B47FD" w:rsidRPr="00B6133E">
        <w:rPr>
          <w:rFonts w:ascii="Times New Roman" w:hAnsi="Times New Roman" w:cs="Times New Roman"/>
          <w:lang w:val="en-US"/>
        </w:rPr>
        <w:t xml:space="preserve"> and P.S. delivered clinical and expression data. </w:t>
      </w:r>
      <w:r w:rsidRPr="00B6133E">
        <w:rPr>
          <w:rFonts w:ascii="Times New Roman" w:hAnsi="Times New Roman" w:cs="Times New Roman"/>
          <w:lang w:val="en-US"/>
        </w:rPr>
        <w:t>All authors read and approved the final version of the manuscript before submission.</w:t>
      </w:r>
      <w:r w:rsidRPr="00B6133E" w:rsidDel="00B20591">
        <w:rPr>
          <w:rFonts w:ascii="Times New Roman" w:hAnsi="Times New Roman" w:cs="Times New Roman"/>
          <w:lang w:val="en-US"/>
        </w:rPr>
        <w:t xml:space="preserve"> </w:t>
      </w:r>
      <w:r w:rsidR="00B85AE4" w:rsidRPr="00B6133E">
        <w:rPr>
          <w:rFonts w:ascii="Times New Roman" w:hAnsi="Times New Roman" w:cs="Times New Roman"/>
          <w:lang w:val="en-US"/>
        </w:rPr>
        <w:t>Hans Erik Johnsen, Department of Hematology, Aalborg University Hospital, Denmark lead the project before his death and therefore contributed in</w:t>
      </w:r>
      <w:r w:rsidR="007C1AAA" w:rsidRPr="00B6133E">
        <w:rPr>
          <w:rFonts w:ascii="Times New Roman" w:hAnsi="Times New Roman" w:cs="Times New Roman"/>
          <w:lang w:val="en-US"/>
        </w:rPr>
        <w:t xml:space="preserve"> designing the study and drafting the manuscript.</w:t>
      </w:r>
    </w:p>
    <w:p w14:paraId="48CB044C" w14:textId="276C343A" w:rsidR="00AE5619" w:rsidRPr="00B6133E" w:rsidRDefault="003E0D1B" w:rsidP="00B22E77">
      <w:pPr>
        <w:spacing w:before="0" w:after="0" w:line="480" w:lineRule="auto"/>
        <w:rPr>
          <w:rFonts w:ascii="Times New Roman" w:hAnsi="Times New Roman" w:cs="Times New Roman"/>
          <w:b/>
          <w:lang w:val="en-US"/>
        </w:rPr>
      </w:pPr>
      <w:r w:rsidRPr="00B6133E">
        <w:rPr>
          <w:rFonts w:ascii="Times New Roman" w:hAnsi="Times New Roman" w:cs="Times New Roman"/>
          <w:b/>
          <w:lang w:val="en-US"/>
        </w:rPr>
        <w:t>Conflic</w:t>
      </w:r>
      <w:r w:rsidR="000D6327" w:rsidRPr="00B6133E">
        <w:rPr>
          <w:rFonts w:ascii="Times New Roman" w:hAnsi="Times New Roman" w:cs="Times New Roman"/>
          <w:b/>
          <w:lang w:val="en-US"/>
        </w:rPr>
        <w:t>t</w:t>
      </w:r>
      <w:r w:rsidR="00CF2748" w:rsidRPr="00B6133E">
        <w:rPr>
          <w:rFonts w:ascii="Times New Roman" w:hAnsi="Times New Roman" w:cs="Times New Roman"/>
          <w:b/>
          <w:lang w:val="en-US"/>
        </w:rPr>
        <w:t>-of-</w:t>
      </w:r>
      <w:r w:rsidR="000D6327" w:rsidRPr="00B6133E">
        <w:rPr>
          <w:rFonts w:ascii="Times New Roman" w:hAnsi="Times New Roman" w:cs="Times New Roman"/>
          <w:b/>
          <w:lang w:val="en-US"/>
        </w:rPr>
        <w:t>interest</w:t>
      </w:r>
      <w:r w:rsidR="00CF2748" w:rsidRPr="00B6133E">
        <w:rPr>
          <w:rFonts w:ascii="Times New Roman" w:hAnsi="Times New Roman" w:cs="Times New Roman"/>
          <w:b/>
          <w:lang w:val="en-US"/>
        </w:rPr>
        <w:t xml:space="preserve"> disclosure</w:t>
      </w:r>
    </w:p>
    <w:p w14:paraId="538A4FD6" w14:textId="1337C7E1" w:rsidR="00A54BF8" w:rsidRPr="00B6133E" w:rsidRDefault="00CF2748" w:rsidP="0056769A">
      <w:pPr>
        <w:spacing w:before="0" w:after="0" w:line="480" w:lineRule="auto"/>
        <w:rPr>
          <w:rFonts w:ascii="Times New Roman" w:hAnsi="Times New Roman" w:cs="Times New Roman"/>
          <w:lang w:val="en-US"/>
        </w:rPr>
      </w:pPr>
      <w:r w:rsidRPr="00B6133E">
        <w:rPr>
          <w:rFonts w:ascii="Times New Roman" w:hAnsi="Times New Roman" w:cs="Times New Roman"/>
          <w:lang w:val="en-US"/>
        </w:rPr>
        <w:t>The authors declare no competing financial interests.</w:t>
      </w:r>
      <w:r w:rsidR="00A54BF8" w:rsidRPr="00B6133E">
        <w:rPr>
          <w:rFonts w:ascii="Times New Roman" w:hAnsi="Times New Roman" w:cs="Times New Roman"/>
          <w:b/>
          <w:lang w:val="en-US"/>
        </w:rPr>
        <w:br w:type="page"/>
      </w:r>
    </w:p>
    <w:p w14:paraId="69D42271" w14:textId="3214D374" w:rsidR="00635AD7" w:rsidRPr="00B6133E" w:rsidRDefault="00635AD7" w:rsidP="00B6133E">
      <w:pPr>
        <w:pStyle w:val="Overskrift2"/>
      </w:pPr>
      <w:r w:rsidRPr="00B6133E">
        <w:lastRenderedPageBreak/>
        <w:t>References</w:t>
      </w:r>
    </w:p>
    <w:bookmarkStart w:id="8" w:name="_Toc298746780"/>
    <w:bookmarkEnd w:id="2"/>
    <w:p w14:paraId="63DFAEC3" w14:textId="0AA98897" w:rsidR="00170C80" w:rsidRPr="009018DF" w:rsidRDefault="00D45DC5" w:rsidP="00170C80">
      <w:pPr>
        <w:spacing w:before="0" w:after="0"/>
        <w:ind w:left="640" w:hanging="640"/>
        <w:rPr>
          <w:rFonts w:ascii="Times New Roman" w:hAnsi="Times New Roman" w:cs="Times New Roman"/>
          <w:noProof/>
          <w:lang w:val="en-GB"/>
        </w:rPr>
      </w:pPr>
      <w:r w:rsidRPr="00B6133E">
        <w:rPr>
          <w:rFonts w:ascii="Times New Roman" w:hAnsi="Times New Roman" w:cs="Times New Roman"/>
          <w:lang w:val="en-US"/>
        </w:rPr>
        <w:fldChar w:fldCharType="begin" w:fldLock="1"/>
      </w:r>
      <w:r w:rsidRPr="00B6133E">
        <w:rPr>
          <w:rFonts w:ascii="Times New Roman" w:hAnsi="Times New Roman" w:cs="Times New Roman"/>
          <w:lang w:val="en-US"/>
        </w:rPr>
        <w:instrText xml:space="preserve">ADDIN Mendeley Bibliography CSL_BIBLIOGRAPHY </w:instrText>
      </w:r>
      <w:r w:rsidRPr="00B6133E">
        <w:rPr>
          <w:rFonts w:ascii="Times New Roman" w:hAnsi="Times New Roman" w:cs="Times New Roman"/>
          <w:lang w:val="en-US"/>
        </w:rPr>
        <w:fldChar w:fldCharType="separate"/>
      </w:r>
      <w:r w:rsidR="00170C80" w:rsidRPr="009018DF">
        <w:rPr>
          <w:rFonts w:ascii="Times New Roman" w:hAnsi="Times New Roman" w:cs="Times New Roman"/>
          <w:noProof/>
          <w:lang w:val="en-GB"/>
        </w:rPr>
        <w:t>1.</w:t>
      </w:r>
      <w:r w:rsidR="00170C80" w:rsidRPr="009018DF">
        <w:rPr>
          <w:rFonts w:ascii="Times New Roman" w:hAnsi="Times New Roman" w:cs="Times New Roman"/>
          <w:noProof/>
          <w:lang w:val="en-GB"/>
        </w:rPr>
        <w:tab/>
        <w:t xml:space="preserve">Campo E, Swerdlow SH, Harris NL, et al. The 2008 WHO classification of lymphoid neoplasms and beyond : evolving concepts and practical applications. </w:t>
      </w:r>
      <w:r w:rsidR="00170C80" w:rsidRPr="009018DF">
        <w:rPr>
          <w:rFonts w:ascii="Times New Roman" w:hAnsi="Times New Roman" w:cs="Times New Roman"/>
          <w:i/>
          <w:iCs/>
          <w:noProof/>
          <w:lang w:val="en-GB"/>
        </w:rPr>
        <w:t>Blood</w:t>
      </w:r>
      <w:r w:rsidR="00170C80" w:rsidRPr="009018DF">
        <w:rPr>
          <w:rFonts w:ascii="Times New Roman" w:hAnsi="Times New Roman" w:cs="Times New Roman"/>
          <w:noProof/>
          <w:lang w:val="en-GB"/>
        </w:rPr>
        <w:t xml:space="preserve">. 2011;117(19):5019–32. </w:t>
      </w:r>
    </w:p>
    <w:p w14:paraId="17404A41"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2.</w:t>
      </w:r>
      <w:r w:rsidRPr="009018DF">
        <w:rPr>
          <w:rFonts w:ascii="Times New Roman" w:hAnsi="Times New Roman" w:cs="Times New Roman"/>
          <w:noProof/>
          <w:lang w:val="en-GB"/>
        </w:rPr>
        <w:tab/>
        <w:t xml:space="preserve">Swerdlow SH, Campo E, Pileri SA, et al. The 2016 revision of the World Health Organization classi fi cation of lymphoid neoplasms.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2016;127(20):2375–2391. </w:t>
      </w:r>
    </w:p>
    <w:p w14:paraId="186D6A2B" w14:textId="77777777" w:rsidR="00170C80" w:rsidRPr="00812DE2"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3.</w:t>
      </w:r>
      <w:r w:rsidRPr="009018DF">
        <w:rPr>
          <w:rFonts w:ascii="Times New Roman" w:hAnsi="Times New Roman" w:cs="Times New Roman"/>
          <w:noProof/>
          <w:lang w:val="en-GB"/>
        </w:rPr>
        <w:tab/>
        <w:t xml:space="preserve">Rasmussen T, Honoré L, Johnsen HE. Identification and characterisation of malignant cells using RT-PCR on single flow-sorted cells. </w:t>
      </w:r>
      <w:r w:rsidRPr="00812DE2">
        <w:rPr>
          <w:rFonts w:ascii="Times New Roman" w:hAnsi="Times New Roman" w:cs="Times New Roman"/>
          <w:i/>
          <w:iCs/>
          <w:noProof/>
          <w:lang w:val="en-GB"/>
        </w:rPr>
        <w:t>Med. Oncol.</w:t>
      </w:r>
      <w:r w:rsidRPr="00812DE2">
        <w:rPr>
          <w:rFonts w:ascii="Times New Roman" w:hAnsi="Times New Roman" w:cs="Times New Roman"/>
          <w:noProof/>
          <w:lang w:val="en-GB"/>
        </w:rPr>
        <w:t xml:space="preserve"> 1998;15(2):96–102. </w:t>
      </w:r>
    </w:p>
    <w:p w14:paraId="388EC332" w14:textId="77777777" w:rsidR="00170C80" w:rsidRPr="009018DF" w:rsidRDefault="00170C80" w:rsidP="00170C80">
      <w:pPr>
        <w:spacing w:before="0" w:after="0"/>
        <w:ind w:left="640" w:hanging="640"/>
        <w:rPr>
          <w:rFonts w:ascii="Times New Roman" w:hAnsi="Times New Roman" w:cs="Times New Roman"/>
          <w:noProof/>
          <w:lang w:val="en-GB"/>
        </w:rPr>
      </w:pPr>
      <w:r w:rsidRPr="00812DE2">
        <w:rPr>
          <w:rFonts w:ascii="Times New Roman" w:hAnsi="Times New Roman" w:cs="Times New Roman"/>
          <w:noProof/>
          <w:lang w:val="en-GB"/>
        </w:rPr>
        <w:t>4.</w:t>
      </w:r>
      <w:r w:rsidRPr="00812DE2">
        <w:rPr>
          <w:rFonts w:ascii="Times New Roman" w:hAnsi="Times New Roman" w:cs="Times New Roman"/>
          <w:noProof/>
          <w:lang w:val="en-GB"/>
        </w:rPr>
        <w:tab/>
        <w:t xml:space="preserve">Rasmussen T, Haaber J, Dahl IM, et al. </w:t>
      </w:r>
      <w:r w:rsidRPr="009018DF">
        <w:rPr>
          <w:rFonts w:ascii="Times New Roman" w:hAnsi="Times New Roman" w:cs="Times New Roman"/>
          <w:noProof/>
          <w:lang w:val="en-GB"/>
        </w:rPr>
        <w:t xml:space="preserve">Identification of translocation products but not K-RAS mutations in memory B cells from patients with multiple myeloma. </w:t>
      </w:r>
      <w:r w:rsidRPr="009018DF">
        <w:rPr>
          <w:rFonts w:ascii="Times New Roman" w:hAnsi="Times New Roman" w:cs="Times New Roman"/>
          <w:i/>
          <w:iCs/>
          <w:noProof/>
          <w:lang w:val="en-GB"/>
        </w:rPr>
        <w:t>Haematologica</w:t>
      </w:r>
      <w:r w:rsidRPr="009018DF">
        <w:rPr>
          <w:rFonts w:ascii="Times New Roman" w:hAnsi="Times New Roman" w:cs="Times New Roman"/>
          <w:noProof/>
          <w:lang w:val="en-GB"/>
        </w:rPr>
        <w:t xml:space="preserve">. 2010;95(10):1730–1737. </w:t>
      </w:r>
    </w:p>
    <w:p w14:paraId="57E32B41"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5.</w:t>
      </w:r>
      <w:r w:rsidRPr="009018DF">
        <w:rPr>
          <w:rFonts w:ascii="Times New Roman" w:hAnsi="Times New Roman" w:cs="Times New Roman"/>
          <w:noProof/>
          <w:lang w:val="en-GB"/>
        </w:rPr>
        <w:tab/>
        <w:t xml:space="preserve">Kim D, Park CY, Medeiros BC, Weissman IL. CD19-CD45 low/- CD38 high/CD138+ plasma cells enrich for human tumorigenic myeloma cells. </w:t>
      </w:r>
      <w:r w:rsidRPr="009018DF">
        <w:rPr>
          <w:rFonts w:ascii="Times New Roman" w:hAnsi="Times New Roman" w:cs="Times New Roman"/>
          <w:i/>
          <w:iCs/>
          <w:noProof/>
          <w:lang w:val="en-GB"/>
        </w:rPr>
        <w:t>Leukemia</w:t>
      </w:r>
      <w:r w:rsidRPr="009018DF">
        <w:rPr>
          <w:rFonts w:ascii="Times New Roman" w:hAnsi="Times New Roman" w:cs="Times New Roman"/>
          <w:noProof/>
          <w:lang w:val="en-GB"/>
        </w:rPr>
        <w:t xml:space="preserve">. 2012;26(12):2530–7. </w:t>
      </w:r>
    </w:p>
    <w:p w14:paraId="40FF5180"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6.</w:t>
      </w:r>
      <w:r w:rsidRPr="009018DF">
        <w:rPr>
          <w:rFonts w:ascii="Times New Roman" w:hAnsi="Times New Roman" w:cs="Times New Roman"/>
          <w:noProof/>
          <w:lang w:val="en-GB"/>
        </w:rPr>
        <w:tab/>
        <w:t xml:space="preserve">Cenci S, van Anken E, Sitia R. Proteostenosis and plasma cell pathophysiology. </w:t>
      </w:r>
      <w:r w:rsidRPr="009018DF">
        <w:rPr>
          <w:rFonts w:ascii="Times New Roman" w:hAnsi="Times New Roman" w:cs="Times New Roman"/>
          <w:i/>
          <w:iCs/>
          <w:noProof/>
          <w:lang w:val="en-GB"/>
        </w:rPr>
        <w:t>Curr. Opin. Cell Biol.</w:t>
      </w:r>
      <w:r w:rsidRPr="009018DF">
        <w:rPr>
          <w:rFonts w:ascii="Times New Roman" w:hAnsi="Times New Roman" w:cs="Times New Roman"/>
          <w:noProof/>
          <w:lang w:val="en-GB"/>
        </w:rPr>
        <w:t xml:space="preserve"> 2011;23(2):216–22. </w:t>
      </w:r>
    </w:p>
    <w:p w14:paraId="1DE68321"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7.</w:t>
      </w:r>
      <w:r w:rsidRPr="009018DF">
        <w:rPr>
          <w:rFonts w:ascii="Times New Roman" w:hAnsi="Times New Roman" w:cs="Times New Roman"/>
          <w:noProof/>
          <w:lang w:val="en-GB"/>
        </w:rPr>
        <w:tab/>
        <w:t xml:space="preserve">Boise LH, Kaufman JL, Bahlis NJ, Lonial S, Lee KP. The Tao of myeloma.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2014;124(12):1873–9. </w:t>
      </w:r>
    </w:p>
    <w:p w14:paraId="2F41447C"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8.</w:t>
      </w:r>
      <w:r w:rsidRPr="009018DF">
        <w:rPr>
          <w:rFonts w:ascii="Times New Roman" w:hAnsi="Times New Roman" w:cs="Times New Roman"/>
          <w:noProof/>
          <w:lang w:val="en-GB"/>
        </w:rPr>
        <w:tab/>
        <w:t xml:space="preserve">Hallek M, Bergsagel PL, Anderson KC. Multiple myeloma: increasing evidence for a multistep transformation process.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1998;91(1):3–21. </w:t>
      </w:r>
    </w:p>
    <w:p w14:paraId="75ED0510"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9.</w:t>
      </w:r>
      <w:r w:rsidRPr="009018DF">
        <w:rPr>
          <w:rFonts w:ascii="Times New Roman" w:hAnsi="Times New Roman" w:cs="Times New Roman"/>
          <w:noProof/>
          <w:lang w:val="en-GB"/>
        </w:rPr>
        <w:tab/>
        <w:t xml:space="preserve">Bergsagel PL, Kuehl WM, Zhan F, et al. Cyclin D dysregulation: an early and unifying pathogenic event in multiple myeloma.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2005;106(1):296–303. </w:t>
      </w:r>
    </w:p>
    <w:p w14:paraId="20E8239C"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10.</w:t>
      </w:r>
      <w:r w:rsidRPr="009018DF">
        <w:rPr>
          <w:rFonts w:ascii="Times New Roman" w:hAnsi="Times New Roman" w:cs="Times New Roman"/>
          <w:noProof/>
          <w:lang w:val="en-GB"/>
        </w:rPr>
        <w:tab/>
        <w:t xml:space="preserve">Zhan F, Hardin J, Kordsmeier B, et al. Global gene expression profiling of multiple myeloma, monoclonal gammopathy of undetermined significance, and normal bone marrow plasma cells.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2002;99(5):1745–57. </w:t>
      </w:r>
    </w:p>
    <w:p w14:paraId="04AAE7A0"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11.</w:t>
      </w:r>
      <w:r w:rsidRPr="009018DF">
        <w:rPr>
          <w:rFonts w:ascii="Times New Roman" w:hAnsi="Times New Roman" w:cs="Times New Roman"/>
          <w:noProof/>
          <w:lang w:val="en-GB"/>
        </w:rPr>
        <w:tab/>
        <w:t xml:space="preserve">Bergsagel PL, Kuehl WM. Chromosome translocations in multiple myeloma. </w:t>
      </w:r>
      <w:r w:rsidRPr="009018DF">
        <w:rPr>
          <w:rFonts w:ascii="Times New Roman" w:hAnsi="Times New Roman" w:cs="Times New Roman"/>
          <w:i/>
          <w:iCs/>
          <w:noProof/>
          <w:lang w:val="en-GB"/>
        </w:rPr>
        <w:t>Oncogene</w:t>
      </w:r>
      <w:r w:rsidRPr="009018DF">
        <w:rPr>
          <w:rFonts w:ascii="Times New Roman" w:hAnsi="Times New Roman" w:cs="Times New Roman"/>
          <w:noProof/>
          <w:lang w:val="en-GB"/>
        </w:rPr>
        <w:t xml:space="preserve">. 2001;20(40):5611–5622. </w:t>
      </w:r>
    </w:p>
    <w:p w14:paraId="2B849156"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12.</w:t>
      </w:r>
      <w:r w:rsidRPr="009018DF">
        <w:rPr>
          <w:rFonts w:ascii="Times New Roman" w:hAnsi="Times New Roman" w:cs="Times New Roman"/>
          <w:noProof/>
          <w:lang w:val="en-GB"/>
        </w:rPr>
        <w:tab/>
        <w:t xml:space="preserve">Bergsagel PL, Chesi M, Nardini E, et al. Promiscuous translocations into immunoglobulin heavy chain switch regions in multiple myeloma. </w:t>
      </w:r>
      <w:r w:rsidRPr="00170C80">
        <w:rPr>
          <w:rFonts w:ascii="Times New Roman" w:hAnsi="Times New Roman" w:cs="Times New Roman"/>
          <w:i/>
          <w:iCs/>
          <w:noProof/>
        </w:rPr>
        <w:t>Proc. Natl. Acad. Sci. U. S. A.</w:t>
      </w:r>
      <w:r w:rsidRPr="00170C80">
        <w:rPr>
          <w:rFonts w:ascii="Times New Roman" w:hAnsi="Times New Roman" w:cs="Times New Roman"/>
          <w:noProof/>
        </w:rPr>
        <w:t xml:space="preserve"> 1996;93(24):13931–6. </w:t>
      </w:r>
    </w:p>
    <w:p w14:paraId="17C84A2A" w14:textId="77777777" w:rsidR="00170C80" w:rsidRPr="009018DF" w:rsidRDefault="00170C80" w:rsidP="00170C80">
      <w:pPr>
        <w:spacing w:before="0" w:after="0"/>
        <w:ind w:left="640" w:hanging="640"/>
        <w:rPr>
          <w:rFonts w:ascii="Times New Roman" w:hAnsi="Times New Roman" w:cs="Times New Roman"/>
          <w:noProof/>
          <w:lang w:val="de-DE"/>
        </w:rPr>
      </w:pPr>
      <w:r w:rsidRPr="00170C80">
        <w:rPr>
          <w:rFonts w:ascii="Times New Roman" w:hAnsi="Times New Roman" w:cs="Times New Roman"/>
          <w:noProof/>
        </w:rPr>
        <w:t>13.</w:t>
      </w:r>
      <w:r w:rsidRPr="00170C80">
        <w:rPr>
          <w:rFonts w:ascii="Times New Roman" w:hAnsi="Times New Roman" w:cs="Times New Roman"/>
          <w:noProof/>
        </w:rPr>
        <w:tab/>
        <w:t xml:space="preserve">Chesi M, Nardini E, Brents LA, et al. </w:t>
      </w:r>
      <w:r w:rsidRPr="009018DF">
        <w:rPr>
          <w:rFonts w:ascii="Times New Roman" w:hAnsi="Times New Roman" w:cs="Times New Roman"/>
          <w:noProof/>
          <w:lang w:val="en-GB"/>
        </w:rPr>
        <w:t xml:space="preserve">Frequent translocation t(4;14)(p16.3;q32.3) in multiple myeloma is associated with increased expression and activating mutations of fibroblast growth </w:t>
      </w:r>
      <w:r w:rsidRPr="009018DF">
        <w:rPr>
          <w:rFonts w:ascii="Times New Roman" w:hAnsi="Times New Roman" w:cs="Times New Roman"/>
          <w:noProof/>
          <w:lang w:val="en-GB"/>
        </w:rPr>
        <w:lastRenderedPageBreak/>
        <w:t xml:space="preserve">factor receptor 3. </w:t>
      </w:r>
      <w:r w:rsidRPr="009018DF">
        <w:rPr>
          <w:rFonts w:ascii="Times New Roman" w:hAnsi="Times New Roman" w:cs="Times New Roman"/>
          <w:i/>
          <w:iCs/>
          <w:noProof/>
          <w:lang w:val="de-DE"/>
        </w:rPr>
        <w:t>Nat. Genet.</w:t>
      </w:r>
      <w:r w:rsidRPr="009018DF">
        <w:rPr>
          <w:rFonts w:ascii="Times New Roman" w:hAnsi="Times New Roman" w:cs="Times New Roman"/>
          <w:noProof/>
          <w:lang w:val="de-DE"/>
        </w:rPr>
        <w:t xml:space="preserve"> 1997;16(3):260–4. </w:t>
      </w:r>
    </w:p>
    <w:p w14:paraId="79D1F064"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de-DE"/>
        </w:rPr>
        <w:t>14.</w:t>
      </w:r>
      <w:r w:rsidRPr="009018DF">
        <w:rPr>
          <w:rFonts w:ascii="Times New Roman" w:hAnsi="Times New Roman" w:cs="Times New Roman"/>
          <w:noProof/>
          <w:lang w:val="de-DE"/>
        </w:rPr>
        <w:tab/>
        <w:t xml:space="preserve">Rasmussen T, Theilgaard-Mönch K, Hudlebusch HR, et al. </w:t>
      </w:r>
      <w:r w:rsidRPr="009018DF">
        <w:rPr>
          <w:rFonts w:ascii="Times New Roman" w:hAnsi="Times New Roman" w:cs="Times New Roman"/>
          <w:noProof/>
          <w:lang w:val="en-GB"/>
        </w:rPr>
        <w:t xml:space="preserve">Occurrence of dysregulated oncogenes in primary plasma cells representing consecutive stages of myeloma pathogenesis: indications for different disease entities. </w:t>
      </w:r>
      <w:r w:rsidRPr="00170C80">
        <w:rPr>
          <w:rFonts w:ascii="Times New Roman" w:hAnsi="Times New Roman" w:cs="Times New Roman"/>
          <w:i/>
          <w:iCs/>
          <w:noProof/>
        </w:rPr>
        <w:t>Br. J. Haematol.</w:t>
      </w:r>
      <w:r w:rsidRPr="00170C80">
        <w:rPr>
          <w:rFonts w:ascii="Times New Roman" w:hAnsi="Times New Roman" w:cs="Times New Roman"/>
          <w:noProof/>
        </w:rPr>
        <w:t xml:space="preserve"> 2003;123(2):253–62. </w:t>
      </w:r>
    </w:p>
    <w:p w14:paraId="060022F2" w14:textId="77777777" w:rsidR="00170C80" w:rsidRPr="009018DF" w:rsidRDefault="00170C80" w:rsidP="00170C80">
      <w:pPr>
        <w:spacing w:before="0" w:after="0"/>
        <w:ind w:left="640" w:hanging="640"/>
        <w:rPr>
          <w:rFonts w:ascii="Times New Roman" w:hAnsi="Times New Roman" w:cs="Times New Roman"/>
          <w:noProof/>
          <w:lang w:val="de-DE"/>
        </w:rPr>
      </w:pPr>
      <w:r w:rsidRPr="00170C80">
        <w:rPr>
          <w:rFonts w:ascii="Times New Roman" w:hAnsi="Times New Roman" w:cs="Times New Roman"/>
          <w:noProof/>
        </w:rPr>
        <w:t>15.</w:t>
      </w:r>
      <w:r w:rsidRPr="00170C80">
        <w:rPr>
          <w:rFonts w:ascii="Times New Roman" w:hAnsi="Times New Roman" w:cs="Times New Roman"/>
          <w:noProof/>
        </w:rPr>
        <w:tab/>
        <w:t xml:space="preserve">Davies FE, Dring AM, Li C, et al. </w:t>
      </w:r>
      <w:r w:rsidRPr="009018DF">
        <w:rPr>
          <w:rFonts w:ascii="Times New Roman" w:hAnsi="Times New Roman" w:cs="Times New Roman"/>
          <w:noProof/>
          <w:lang w:val="en-GB"/>
        </w:rPr>
        <w:t xml:space="preserve">Insights into the multistep transformation of MGUS to myeloma using microarray expression analysis. </w:t>
      </w:r>
      <w:r w:rsidRPr="009018DF">
        <w:rPr>
          <w:rFonts w:ascii="Times New Roman" w:hAnsi="Times New Roman" w:cs="Times New Roman"/>
          <w:i/>
          <w:iCs/>
          <w:noProof/>
          <w:lang w:val="de-DE"/>
        </w:rPr>
        <w:t>Blood</w:t>
      </w:r>
      <w:r w:rsidRPr="009018DF">
        <w:rPr>
          <w:rFonts w:ascii="Times New Roman" w:hAnsi="Times New Roman" w:cs="Times New Roman"/>
          <w:noProof/>
          <w:lang w:val="de-DE"/>
        </w:rPr>
        <w:t xml:space="preserve">. 2003;102(13):4504–11. </w:t>
      </w:r>
    </w:p>
    <w:p w14:paraId="4E493FB5"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de-DE"/>
        </w:rPr>
        <w:t>16.</w:t>
      </w:r>
      <w:r w:rsidRPr="009018DF">
        <w:rPr>
          <w:rFonts w:ascii="Times New Roman" w:hAnsi="Times New Roman" w:cs="Times New Roman"/>
          <w:noProof/>
          <w:lang w:val="de-DE"/>
        </w:rPr>
        <w:tab/>
        <w:t xml:space="preserve">Rasmussen T, Kuehl M, Lodahl M, Johnsen HE, Dahl IMS. </w:t>
      </w:r>
      <w:r w:rsidRPr="009018DF">
        <w:rPr>
          <w:rFonts w:ascii="Times New Roman" w:hAnsi="Times New Roman" w:cs="Times New Roman"/>
          <w:noProof/>
          <w:lang w:val="en-GB"/>
        </w:rPr>
        <w:t xml:space="preserve">Possible roles for activating RAS mutations in the MGUS to MM transition and in the intramedullary to extramedullary transition in some plasma cell tumors.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2005;105(1):317–23. </w:t>
      </w:r>
    </w:p>
    <w:p w14:paraId="6B1DD985"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17.</w:t>
      </w:r>
      <w:r w:rsidRPr="009018DF">
        <w:rPr>
          <w:rFonts w:ascii="Times New Roman" w:hAnsi="Times New Roman" w:cs="Times New Roman"/>
          <w:noProof/>
          <w:lang w:val="en-GB"/>
        </w:rPr>
        <w:tab/>
        <w:t xml:space="preserve">Chapman MA, Lawrence MS, Keats JJ, et al. Initial genome sequencing and analysis of multiple myeloma. </w:t>
      </w:r>
      <w:r w:rsidRPr="009018DF">
        <w:rPr>
          <w:rFonts w:ascii="Times New Roman" w:hAnsi="Times New Roman" w:cs="Times New Roman"/>
          <w:i/>
          <w:iCs/>
          <w:noProof/>
          <w:lang w:val="en-GB"/>
        </w:rPr>
        <w:t>Nature</w:t>
      </w:r>
      <w:r w:rsidRPr="009018DF">
        <w:rPr>
          <w:rFonts w:ascii="Times New Roman" w:hAnsi="Times New Roman" w:cs="Times New Roman"/>
          <w:noProof/>
          <w:lang w:val="en-GB"/>
        </w:rPr>
        <w:t xml:space="preserve">. 2011;471(7339):467–472. </w:t>
      </w:r>
    </w:p>
    <w:p w14:paraId="732EAA31" w14:textId="77777777" w:rsidR="00170C80" w:rsidRPr="009018DF" w:rsidRDefault="00170C80" w:rsidP="00170C80">
      <w:pPr>
        <w:spacing w:before="0" w:after="0"/>
        <w:ind w:left="640" w:hanging="640"/>
        <w:rPr>
          <w:rFonts w:ascii="Times New Roman" w:hAnsi="Times New Roman" w:cs="Times New Roman"/>
          <w:noProof/>
          <w:lang w:val="de-DE"/>
        </w:rPr>
      </w:pPr>
      <w:r w:rsidRPr="009018DF">
        <w:rPr>
          <w:rFonts w:ascii="Times New Roman" w:hAnsi="Times New Roman" w:cs="Times New Roman"/>
          <w:noProof/>
          <w:lang w:val="en-GB"/>
        </w:rPr>
        <w:t>18.</w:t>
      </w:r>
      <w:r w:rsidRPr="009018DF">
        <w:rPr>
          <w:rFonts w:ascii="Times New Roman" w:hAnsi="Times New Roman" w:cs="Times New Roman"/>
          <w:noProof/>
          <w:lang w:val="en-GB"/>
        </w:rPr>
        <w:tab/>
        <w:t xml:space="preserve">Egan JB, Shi CX, Tembe W, et al. Whole-genome sequencing of multiple myeloma from diagnosis to plasma cell leukemia reveals genomic initiating events, evolution, and clonal tides. </w:t>
      </w:r>
      <w:r w:rsidRPr="009018DF">
        <w:rPr>
          <w:rFonts w:ascii="Times New Roman" w:hAnsi="Times New Roman" w:cs="Times New Roman"/>
          <w:i/>
          <w:iCs/>
          <w:noProof/>
          <w:lang w:val="de-DE"/>
        </w:rPr>
        <w:t>Blood</w:t>
      </w:r>
      <w:r w:rsidRPr="009018DF">
        <w:rPr>
          <w:rFonts w:ascii="Times New Roman" w:hAnsi="Times New Roman" w:cs="Times New Roman"/>
          <w:noProof/>
          <w:lang w:val="de-DE"/>
        </w:rPr>
        <w:t xml:space="preserve">. 2012;120(5):1060–1066. </w:t>
      </w:r>
    </w:p>
    <w:p w14:paraId="604402C6"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de-DE"/>
        </w:rPr>
        <w:t>19.</w:t>
      </w:r>
      <w:r w:rsidRPr="009018DF">
        <w:rPr>
          <w:rFonts w:ascii="Times New Roman" w:hAnsi="Times New Roman" w:cs="Times New Roman"/>
          <w:noProof/>
          <w:lang w:val="de-DE"/>
        </w:rPr>
        <w:tab/>
        <w:t xml:space="preserve">Leich E, Weißbach S, Klein H-U, et al. </w:t>
      </w:r>
      <w:r w:rsidRPr="009018DF">
        <w:rPr>
          <w:rFonts w:ascii="Times New Roman" w:hAnsi="Times New Roman" w:cs="Times New Roman"/>
          <w:noProof/>
          <w:lang w:val="en-GB"/>
        </w:rPr>
        <w:t xml:space="preserve">Multiple myeloma is affected by multiple and heterogeneous somatic mutations in adhesion- and receptor tyrosine kinase signaling molecules. </w:t>
      </w:r>
      <w:r w:rsidRPr="00170C80">
        <w:rPr>
          <w:rFonts w:ascii="Times New Roman" w:hAnsi="Times New Roman" w:cs="Times New Roman"/>
          <w:i/>
          <w:iCs/>
          <w:noProof/>
        </w:rPr>
        <w:t>Blood Cancer J.</w:t>
      </w:r>
      <w:r w:rsidRPr="00170C80">
        <w:rPr>
          <w:rFonts w:ascii="Times New Roman" w:hAnsi="Times New Roman" w:cs="Times New Roman"/>
          <w:noProof/>
        </w:rPr>
        <w:t xml:space="preserve"> 2013;3(2):e102–e102. </w:t>
      </w:r>
    </w:p>
    <w:p w14:paraId="2C2B5234"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20.</w:t>
      </w:r>
      <w:r w:rsidRPr="00170C80">
        <w:rPr>
          <w:rFonts w:ascii="Times New Roman" w:hAnsi="Times New Roman" w:cs="Times New Roman"/>
          <w:noProof/>
        </w:rPr>
        <w:tab/>
        <w:t xml:space="preserve">Vicente-Dueñas C, Romero-Camarero I, González-Herrero I, et al. </w:t>
      </w:r>
      <w:r w:rsidRPr="009018DF">
        <w:rPr>
          <w:rFonts w:ascii="Times New Roman" w:hAnsi="Times New Roman" w:cs="Times New Roman"/>
          <w:noProof/>
          <w:lang w:val="en-GB"/>
        </w:rPr>
        <w:t xml:space="preserve">A novel molecular mechanism involved in multiple myeloma development revealed by targeting MafB to haematopoietic progenitors. </w:t>
      </w:r>
      <w:r w:rsidRPr="009018DF">
        <w:rPr>
          <w:rFonts w:ascii="Times New Roman" w:hAnsi="Times New Roman" w:cs="Times New Roman"/>
          <w:i/>
          <w:iCs/>
          <w:noProof/>
          <w:lang w:val="en-GB"/>
        </w:rPr>
        <w:t>EMBO J.</w:t>
      </w:r>
      <w:r w:rsidRPr="009018DF">
        <w:rPr>
          <w:rFonts w:ascii="Times New Roman" w:hAnsi="Times New Roman" w:cs="Times New Roman"/>
          <w:noProof/>
          <w:lang w:val="en-GB"/>
        </w:rPr>
        <w:t xml:space="preserve"> 2012;31(18):3704–3717. </w:t>
      </w:r>
    </w:p>
    <w:p w14:paraId="14FD5A6D"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21.</w:t>
      </w:r>
      <w:r w:rsidRPr="009018DF">
        <w:rPr>
          <w:rFonts w:ascii="Times New Roman" w:hAnsi="Times New Roman" w:cs="Times New Roman"/>
          <w:noProof/>
          <w:lang w:val="en-GB"/>
        </w:rPr>
        <w:tab/>
        <w:t xml:space="preserve">Rasmussen T, Lodahl M, Hancke S, Johnsen HE. In multiple myeloma clonotypic CD38- /CD19+ / CD27+ memory B cells recirculate through bone marrow, peripheral blood and lymph nodes. </w:t>
      </w:r>
      <w:r w:rsidRPr="00170C80">
        <w:rPr>
          <w:rFonts w:ascii="Times New Roman" w:hAnsi="Times New Roman" w:cs="Times New Roman"/>
          <w:i/>
          <w:iCs/>
          <w:noProof/>
        </w:rPr>
        <w:t>Leuk. Lymphoma</w:t>
      </w:r>
      <w:r w:rsidRPr="00170C80">
        <w:rPr>
          <w:rFonts w:ascii="Times New Roman" w:hAnsi="Times New Roman" w:cs="Times New Roman"/>
          <w:noProof/>
        </w:rPr>
        <w:t xml:space="preserve">. 2004;45(7):1413–7. </w:t>
      </w:r>
    </w:p>
    <w:p w14:paraId="5682D0A7" w14:textId="77777777" w:rsidR="00170C80" w:rsidRPr="00170C80" w:rsidRDefault="00170C80" w:rsidP="00170C80">
      <w:pPr>
        <w:spacing w:before="0" w:after="0"/>
        <w:ind w:left="640" w:hanging="640"/>
        <w:rPr>
          <w:rFonts w:ascii="Times New Roman" w:hAnsi="Times New Roman" w:cs="Times New Roman"/>
          <w:noProof/>
        </w:rPr>
      </w:pPr>
      <w:r w:rsidRPr="00170C80">
        <w:rPr>
          <w:rFonts w:ascii="Times New Roman" w:hAnsi="Times New Roman" w:cs="Times New Roman"/>
          <w:noProof/>
        </w:rPr>
        <w:t>22.</w:t>
      </w:r>
      <w:r w:rsidRPr="00170C80">
        <w:rPr>
          <w:rFonts w:ascii="Times New Roman" w:hAnsi="Times New Roman" w:cs="Times New Roman"/>
          <w:noProof/>
        </w:rPr>
        <w:tab/>
        <w:t xml:space="preserve">Matsui W, Wang Q, Barber JP, et al. </w:t>
      </w:r>
      <w:r w:rsidRPr="009018DF">
        <w:rPr>
          <w:rFonts w:ascii="Times New Roman" w:hAnsi="Times New Roman" w:cs="Times New Roman"/>
          <w:noProof/>
          <w:lang w:val="en-GB"/>
        </w:rPr>
        <w:t xml:space="preserve">Clonogenic multiple myeloma progenitors, stem cell properties, and drug resistance. </w:t>
      </w:r>
      <w:r w:rsidRPr="00170C80">
        <w:rPr>
          <w:rFonts w:ascii="Times New Roman" w:hAnsi="Times New Roman" w:cs="Times New Roman"/>
          <w:i/>
          <w:iCs/>
          <w:noProof/>
        </w:rPr>
        <w:t>Cancer Res.</w:t>
      </w:r>
      <w:r w:rsidRPr="00170C80">
        <w:rPr>
          <w:rFonts w:ascii="Times New Roman" w:hAnsi="Times New Roman" w:cs="Times New Roman"/>
          <w:noProof/>
        </w:rPr>
        <w:t xml:space="preserve"> 2008;68(1):190–7. </w:t>
      </w:r>
    </w:p>
    <w:p w14:paraId="738B7453"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23.</w:t>
      </w:r>
      <w:r w:rsidRPr="00170C80">
        <w:rPr>
          <w:rFonts w:ascii="Times New Roman" w:hAnsi="Times New Roman" w:cs="Times New Roman"/>
          <w:noProof/>
        </w:rPr>
        <w:tab/>
        <w:t xml:space="preserve">Paino T, Ocio EM, Paiva B, et al. </w:t>
      </w:r>
      <w:r w:rsidRPr="009018DF">
        <w:rPr>
          <w:rFonts w:ascii="Times New Roman" w:hAnsi="Times New Roman" w:cs="Times New Roman"/>
          <w:noProof/>
          <w:lang w:val="en-GB"/>
        </w:rPr>
        <w:t xml:space="preserve">CD20 positive cells are undetectable in the majority of multiple myeloma cell lines and are not associated with a cancer stem cell phenotype. </w:t>
      </w:r>
      <w:r w:rsidRPr="009018DF">
        <w:rPr>
          <w:rFonts w:ascii="Times New Roman" w:hAnsi="Times New Roman" w:cs="Times New Roman"/>
          <w:i/>
          <w:iCs/>
          <w:noProof/>
          <w:lang w:val="en-GB"/>
        </w:rPr>
        <w:t>Haematologica</w:t>
      </w:r>
      <w:r w:rsidRPr="009018DF">
        <w:rPr>
          <w:rFonts w:ascii="Times New Roman" w:hAnsi="Times New Roman" w:cs="Times New Roman"/>
          <w:noProof/>
          <w:lang w:val="en-GB"/>
        </w:rPr>
        <w:t xml:space="preserve">. 2012;97(7):1110–1114. </w:t>
      </w:r>
    </w:p>
    <w:p w14:paraId="47FA964D"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24.</w:t>
      </w:r>
      <w:r w:rsidRPr="009018DF">
        <w:rPr>
          <w:rFonts w:ascii="Times New Roman" w:hAnsi="Times New Roman" w:cs="Times New Roman"/>
          <w:noProof/>
          <w:lang w:val="en-GB"/>
        </w:rPr>
        <w:tab/>
        <w:t xml:space="preserve">Yaccoby S, Epstein J. The proliferative potential of myeloma plasma cells manifest in the SCID-hu host.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1999;94(10):3576–3582. </w:t>
      </w:r>
    </w:p>
    <w:p w14:paraId="7364F571"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25.</w:t>
      </w:r>
      <w:r w:rsidRPr="009018DF">
        <w:rPr>
          <w:rFonts w:ascii="Times New Roman" w:hAnsi="Times New Roman" w:cs="Times New Roman"/>
          <w:noProof/>
          <w:lang w:val="en-GB"/>
        </w:rPr>
        <w:tab/>
        <w:t xml:space="preserve">Guikema JEJ, Vellenga E, Bakkus MHC, Bos NA. Myeloma clonotypic B cells are hampered in their ability to undergo B-cell differentiation in vitro. </w:t>
      </w:r>
      <w:r w:rsidRPr="009018DF">
        <w:rPr>
          <w:rFonts w:ascii="Times New Roman" w:hAnsi="Times New Roman" w:cs="Times New Roman"/>
          <w:i/>
          <w:iCs/>
          <w:noProof/>
          <w:lang w:val="en-GB"/>
        </w:rPr>
        <w:t>Br. J. Haematol.</w:t>
      </w:r>
      <w:r w:rsidRPr="009018DF">
        <w:rPr>
          <w:rFonts w:ascii="Times New Roman" w:hAnsi="Times New Roman" w:cs="Times New Roman"/>
          <w:noProof/>
          <w:lang w:val="en-GB"/>
        </w:rPr>
        <w:t xml:space="preserve"> 2002;119(1):54–61. </w:t>
      </w:r>
    </w:p>
    <w:p w14:paraId="0328D85B"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lastRenderedPageBreak/>
        <w:t>26.</w:t>
      </w:r>
      <w:r w:rsidRPr="009018DF">
        <w:rPr>
          <w:rFonts w:ascii="Times New Roman" w:hAnsi="Times New Roman" w:cs="Times New Roman"/>
          <w:noProof/>
          <w:lang w:val="en-GB"/>
        </w:rPr>
        <w:tab/>
        <w:t xml:space="preserve">Rasmussen T, Jensen L, Johnsen HE. The clonal hierachy in multiple myeloma. </w:t>
      </w:r>
      <w:r w:rsidRPr="009018DF">
        <w:rPr>
          <w:rFonts w:ascii="Times New Roman" w:hAnsi="Times New Roman" w:cs="Times New Roman"/>
          <w:i/>
          <w:iCs/>
          <w:noProof/>
          <w:lang w:val="en-GB"/>
        </w:rPr>
        <w:t>Acta Oncol.</w:t>
      </w:r>
      <w:r w:rsidRPr="009018DF">
        <w:rPr>
          <w:rFonts w:ascii="Times New Roman" w:hAnsi="Times New Roman" w:cs="Times New Roman"/>
          <w:noProof/>
          <w:lang w:val="en-GB"/>
        </w:rPr>
        <w:t xml:space="preserve"> 2000;39(7):765–70. </w:t>
      </w:r>
    </w:p>
    <w:p w14:paraId="5100C88A"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27.</w:t>
      </w:r>
      <w:r w:rsidRPr="009018DF">
        <w:rPr>
          <w:rFonts w:ascii="Times New Roman" w:hAnsi="Times New Roman" w:cs="Times New Roman"/>
          <w:noProof/>
          <w:lang w:val="en-GB"/>
        </w:rPr>
        <w:tab/>
        <w:t xml:space="preserve">Pfeifer S, Perez-Andres M, Ludwig H, Sahota SS, Zojer N. Evaluating the clonal hierarchy in light-chain multiple myeloma: implications against the myeloma stem cell hypothesis. </w:t>
      </w:r>
      <w:r w:rsidRPr="00170C80">
        <w:rPr>
          <w:rFonts w:ascii="Times New Roman" w:hAnsi="Times New Roman" w:cs="Times New Roman"/>
          <w:i/>
          <w:iCs/>
          <w:noProof/>
        </w:rPr>
        <w:t>Leukemia</w:t>
      </w:r>
      <w:r w:rsidRPr="00170C80">
        <w:rPr>
          <w:rFonts w:ascii="Times New Roman" w:hAnsi="Times New Roman" w:cs="Times New Roman"/>
          <w:noProof/>
        </w:rPr>
        <w:t xml:space="preserve">. 2011;25(7):1213–6. </w:t>
      </w:r>
    </w:p>
    <w:p w14:paraId="261A39CB"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28.</w:t>
      </w:r>
      <w:r w:rsidRPr="00170C80">
        <w:rPr>
          <w:rFonts w:ascii="Times New Roman" w:hAnsi="Times New Roman" w:cs="Times New Roman"/>
          <w:noProof/>
        </w:rPr>
        <w:tab/>
        <w:t xml:space="preserve">Van Valckenborgh E, Matsui W, Agarwal P, et al. </w:t>
      </w:r>
      <w:r w:rsidRPr="009018DF">
        <w:rPr>
          <w:rFonts w:ascii="Times New Roman" w:hAnsi="Times New Roman" w:cs="Times New Roman"/>
          <w:noProof/>
          <w:lang w:val="en-GB"/>
        </w:rPr>
        <w:t xml:space="preserve">Tumor-initiating capacity of CD138- and CD138+ tumor cells in the 5T33 multiple myeloma model. </w:t>
      </w:r>
      <w:r w:rsidRPr="009018DF">
        <w:rPr>
          <w:rFonts w:ascii="Times New Roman" w:hAnsi="Times New Roman" w:cs="Times New Roman"/>
          <w:i/>
          <w:iCs/>
          <w:noProof/>
          <w:lang w:val="en-GB"/>
        </w:rPr>
        <w:t>Leukemia</w:t>
      </w:r>
      <w:r w:rsidRPr="009018DF">
        <w:rPr>
          <w:rFonts w:ascii="Times New Roman" w:hAnsi="Times New Roman" w:cs="Times New Roman"/>
          <w:noProof/>
          <w:lang w:val="en-GB"/>
        </w:rPr>
        <w:t xml:space="preserve">. 2012;26(6):1436–9. </w:t>
      </w:r>
    </w:p>
    <w:p w14:paraId="5727DB30"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29.</w:t>
      </w:r>
      <w:r w:rsidRPr="009018DF">
        <w:rPr>
          <w:rFonts w:ascii="Times New Roman" w:hAnsi="Times New Roman" w:cs="Times New Roman"/>
          <w:noProof/>
          <w:lang w:val="en-GB"/>
        </w:rPr>
        <w:tab/>
        <w:t xml:space="preserve">Johnsen HE, Bøgsted M, Schmitz A, et al. The myeloma stem cell concept, revisited: from phenomenology to operational terms. </w:t>
      </w:r>
      <w:r w:rsidRPr="009018DF">
        <w:rPr>
          <w:rFonts w:ascii="Times New Roman" w:hAnsi="Times New Roman" w:cs="Times New Roman"/>
          <w:i/>
          <w:iCs/>
          <w:noProof/>
          <w:lang w:val="en-GB"/>
        </w:rPr>
        <w:t>Haematologica</w:t>
      </w:r>
      <w:r w:rsidRPr="009018DF">
        <w:rPr>
          <w:rFonts w:ascii="Times New Roman" w:hAnsi="Times New Roman" w:cs="Times New Roman"/>
          <w:noProof/>
          <w:lang w:val="en-GB"/>
        </w:rPr>
        <w:t xml:space="preserve">. 2016;101(12):1451–1459. </w:t>
      </w:r>
    </w:p>
    <w:p w14:paraId="2F10B45A"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30.</w:t>
      </w:r>
      <w:r w:rsidRPr="009018DF">
        <w:rPr>
          <w:rFonts w:ascii="Times New Roman" w:hAnsi="Times New Roman" w:cs="Times New Roman"/>
          <w:noProof/>
          <w:lang w:val="en-GB"/>
        </w:rPr>
        <w:tab/>
        <w:t xml:space="preserve">Hajek R, Okubote SA, Svachova H. Myeloma stem cell concepts, heterogeneity and plasticity of multiple myeloma. </w:t>
      </w:r>
      <w:r w:rsidRPr="009018DF">
        <w:rPr>
          <w:rFonts w:ascii="Times New Roman" w:hAnsi="Times New Roman" w:cs="Times New Roman"/>
          <w:i/>
          <w:iCs/>
          <w:noProof/>
          <w:lang w:val="en-GB"/>
        </w:rPr>
        <w:t>Br. J. Haematol.</w:t>
      </w:r>
      <w:r w:rsidRPr="009018DF">
        <w:rPr>
          <w:rFonts w:ascii="Times New Roman" w:hAnsi="Times New Roman" w:cs="Times New Roman"/>
          <w:noProof/>
          <w:lang w:val="en-GB"/>
        </w:rPr>
        <w:t xml:space="preserve"> 2013;163(5):551–564. </w:t>
      </w:r>
    </w:p>
    <w:p w14:paraId="2EE3BA76" w14:textId="77777777" w:rsidR="00170C80" w:rsidRPr="009018DF" w:rsidRDefault="00170C80" w:rsidP="00170C80">
      <w:pPr>
        <w:spacing w:before="0" w:after="0"/>
        <w:ind w:left="640" w:hanging="640"/>
        <w:rPr>
          <w:rFonts w:ascii="Times New Roman" w:hAnsi="Times New Roman" w:cs="Times New Roman"/>
          <w:noProof/>
          <w:lang w:val="de-DE"/>
        </w:rPr>
      </w:pPr>
      <w:r w:rsidRPr="009018DF">
        <w:rPr>
          <w:rFonts w:ascii="Times New Roman" w:hAnsi="Times New Roman" w:cs="Times New Roman"/>
          <w:noProof/>
          <w:lang w:val="en-GB"/>
        </w:rPr>
        <w:t>31.</w:t>
      </w:r>
      <w:r w:rsidRPr="009018DF">
        <w:rPr>
          <w:rFonts w:ascii="Times New Roman" w:hAnsi="Times New Roman" w:cs="Times New Roman"/>
          <w:noProof/>
          <w:lang w:val="en-GB"/>
        </w:rPr>
        <w:tab/>
        <w:t xml:space="preserve">Visvader JE. Cells of origin in cancer. </w:t>
      </w:r>
      <w:r w:rsidRPr="009018DF">
        <w:rPr>
          <w:rFonts w:ascii="Times New Roman" w:hAnsi="Times New Roman" w:cs="Times New Roman"/>
          <w:i/>
          <w:iCs/>
          <w:noProof/>
          <w:lang w:val="de-DE"/>
        </w:rPr>
        <w:t>Nature</w:t>
      </w:r>
      <w:r w:rsidRPr="009018DF">
        <w:rPr>
          <w:rFonts w:ascii="Times New Roman" w:hAnsi="Times New Roman" w:cs="Times New Roman"/>
          <w:noProof/>
          <w:lang w:val="de-DE"/>
        </w:rPr>
        <w:t xml:space="preserve">. 2011;469(7330):314–22. </w:t>
      </w:r>
    </w:p>
    <w:p w14:paraId="71750B91"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de-DE"/>
        </w:rPr>
        <w:t>32.</w:t>
      </w:r>
      <w:r w:rsidRPr="009018DF">
        <w:rPr>
          <w:rFonts w:ascii="Times New Roman" w:hAnsi="Times New Roman" w:cs="Times New Roman"/>
          <w:noProof/>
          <w:lang w:val="de-DE"/>
        </w:rPr>
        <w:tab/>
        <w:t xml:space="preserve">Hanahan D, Weinberg RA. </w:t>
      </w:r>
      <w:r w:rsidRPr="009018DF">
        <w:rPr>
          <w:rFonts w:ascii="Times New Roman" w:hAnsi="Times New Roman" w:cs="Times New Roman"/>
          <w:noProof/>
          <w:lang w:val="en-GB"/>
        </w:rPr>
        <w:t xml:space="preserve">Hallmarks of Cancer: The Next Generation. </w:t>
      </w:r>
      <w:r w:rsidRPr="009018DF">
        <w:rPr>
          <w:rFonts w:ascii="Times New Roman" w:hAnsi="Times New Roman" w:cs="Times New Roman"/>
          <w:i/>
          <w:iCs/>
          <w:noProof/>
          <w:lang w:val="en-GB"/>
        </w:rPr>
        <w:t>Cell</w:t>
      </w:r>
      <w:r w:rsidRPr="009018DF">
        <w:rPr>
          <w:rFonts w:ascii="Times New Roman" w:hAnsi="Times New Roman" w:cs="Times New Roman"/>
          <w:noProof/>
          <w:lang w:val="en-GB"/>
        </w:rPr>
        <w:t xml:space="preserve">. 2011;144(5):646–674. </w:t>
      </w:r>
    </w:p>
    <w:p w14:paraId="3249BD8D"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33.</w:t>
      </w:r>
      <w:r w:rsidRPr="009018DF">
        <w:rPr>
          <w:rFonts w:ascii="Times New Roman" w:hAnsi="Times New Roman" w:cs="Times New Roman"/>
          <w:noProof/>
          <w:lang w:val="en-GB"/>
        </w:rPr>
        <w:tab/>
        <w:t xml:space="preserve">Yaccoby S. The phenotypic plasticity of myeloma plasma cells as expressed by dedifferentiation into an immature, resilient, and apoptosis-resistant phenotype. </w:t>
      </w:r>
      <w:r w:rsidRPr="009018DF">
        <w:rPr>
          <w:rFonts w:ascii="Times New Roman" w:hAnsi="Times New Roman" w:cs="Times New Roman"/>
          <w:i/>
          <w:iCs/>
          <w:noProof/>
          <w:lang w:val="en-GB"/>
        </w:rPr>
        <w:t>Clin. Cancer Res.</w:t>
      </w:r>
      <w:r w:rsidRPr="009018DF">
        <w:rPr>
          <w:rFonts w:ascii="Times New Roman" w:hAnsi="Times New Roman" w:cs="Times New Roman"/>
          <w:noProof/>
          <w:lang w:val="en-GB"/>
        </w:rPr>
        <w:t xml:space="preserve"> 2005;11(21):7599–606. </w:t>
      </w:r>
    </w:p>
    <w:p w14:paraId="51F99813"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34.</w:t>
      </w:r>
      <w:r w:rsidRPr="009018DF">
        <w:rPr>
          <w:rFonts w:ascii="Times New Roman" w:hAnsi="Times New Roman" w:cs="Times New Roman"/>
          <w:noProof/>
          <w:lang w:val="en-GB"/>
        </w:rPr>
        <w:tab/>
        <w:t xml:space="preserve">Bam R, Khan S, Ling W, et al. Primary myeloma interaction and growth in coculture with healthy donor hematopoietic bone marrow. </w:t>
      </w:r>
      <w:r w:rsidRPr="009018DF">
        <w:rPr>
          <w:rFonts w:ascii="Times New Roman" w:hAnsi="Times New Roman" w:cs="Times New Roman"/>
          <w:i/>
          <w:iCs/>
          <w:noProof/>
          <w:lang w:val="en-GB"/>
        </w:rPr>
        <w:t>BMC Cancer</w:t>
      </w:r>
      <w:r w:rsidRPr="009018DF">
        <w:rPr>
          <w:rFonts w:ascii="Times New Roman" w:hAnsi="Times New Roman" w:cs="Times New Roman"/>
          <w:noProof/>
          <w:lang w:val="en-GB"/>
        </w:rPr>
        <w:t xml:space="preserve">. 2015;15(1):864. </w:t>
      </w:r>
    </w:p>
    <w:p w14:paraId="6F4BE02D"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35.</w:t>
      </w:r>
      <w:r w:rsidRPr="009018DF">
        <w:rPr>
          <w:rFonts w:ascii="Times New Roman" w:hAnsi="Times New Roman" w:cs="Times New Roman"/>
          <w:noProof/>
          <w:lang w:val="en-GB"/>
        </w:rPr>
        <w:tab/>
        <w:t xml:space="preserve">Zhan F, Huang Y, Colla S, et al. The molecular classification of multiple myeloma.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2006;108(6):2020–8. </w:t>
      </w:r>
    </w:p>
    <w:p w14:paraId="4CE3FEEE"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36.</w:t>
      </w:r>
      <w:r w:rsidRPr="009018DF">
        <w:rPr>
          <w:rFonts w:ascii="Times New Roman" w:hAnsi="Times New Roman" w:cs="Times New Roman"/>
          <w:noProof/>
          <w:lang w:val="en-GB"/>
        </w:rPr>
        <w:tab/>
        <w:t xml:space="preserve">Mulligan G, Mitsiades C, Bryant B, et al. Gene expression profiling and correlation with outcome in clinical trials of the proteasome inhibitor bortezomib. </w:t>
      </w:r>
      <w:r w:rsidRPr="00170C80">
        <w:rPr>
          <w:rFonts w:ascii="Times New Roman" w:hAnsi="Times New Roman" w:cs="Times New Roman"/>
          <w:i/>
          <w:iCs/>
          <w:noProof/>
        </w:rPr>
        <w:t>Blood</w:t>
      </w:r>
      <w:r w:rsidRPr="00170C80">
        <w:rPr>
          <w:rFonts w:ascii="Times New Roman" w:hAnsi="Times New Roman" w:cs="Times New Roman"/>
          <w:noProof/>
        </w:rPr>
        <w:t xml:space="preserve">. 2007;109(8):3177–3188. </w:t>
      </w:r>
    </w:p>
    <w:p w14:paraId="61B7CF8B"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37.</w:t>
      </w:r>
      <w:r w:rsidRPr="00170C80">
        <w:rPr>
          <w:rFonts w:ascii="Times New Roman" w:hAnsi="Times New Roman" w:cs="Times New Roman"/>
          <w:noProof/>
        </w:rPr>
        <w:tab/>
        <w:t xml:space="preserve">Avet-Loiseau H, Li C, Magrangeas F, et al. </w:t>
      </w:r>
      <w:r w:rsidRPr="009018DF">
        <w:rPr>
          <w:rFonts w:ascii="Times New Roman" w:hAnsi="Times New Roman" w:cs="Times New Roman"/>
          <w:noProof/>
          <w:lang w:val="en-GB"/>
        </w:rPr>
        <w:t xml:space="preserve">Prognostic Significance of Copy-Number Alterations in Multiple Myeloma. </w:t>
      </w:r>
      <w:r w:rsidRPr="009018DF">
        <w:rPr>
          <w:rFonts w:ascii="Times New Roman" w:hAnsi="Times New Roman" w:cs="Times New Roman"/>
          <w:i/>
          <w:iCs/>
          <w:noProof/>
          <w:lang w:val="en-GB"/>
        </w:rPr>
        <w:t>J. Clin. Oncol.</w:t>
      </w:r>
      <w:r w:rsidRPr="009018DF">
        <w:rPr>
          <w:rFonts w:ascii="Times New Roman" w:hAnsi="Times New Roman" w:cs="Times New Roman"/>
          <w:noProof/>
          <w:lang w:val="en-GB"/>
        </w:rPr>
        <w:t xml:space="preserve"> 2009;27(27):4585–4590. </w:t>
      </w:r>
    </w:p>
    <w:p w14:paraId="63A1F497"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38.</w:t>
      </w:r>
      <w:r w:rsidRPr="009018DF">
        <w:rPr>
          <w:rFonts w:ascii="Times New Roman" w:hAnsi="Times New Roman" w:cs="Times New Roman"/>
          <w:noProof/>
          <w:lang w:val="en-GB"/>
        </w:rPr>
        <w:tab/>
        <w:t xml:space="preserve">Samur MK, Shah PK, Wang X, et al. The shaping and functional consequences of the dosage effect landscape in multiple myeloma. </w:t>
      </w:r>
      <w:r w:rsidRPr="009018DF">
        <w:rPr>
          <w:rFonts w:ascii="Times New Roman" w:hAnsi="Times New Roman" w:cs="Times New Roman"/>
          <w:i/>
          <w:iCs/>
          <w:noProof/>
          <w:lang w:val="en-GB"/>
        </w:rPr>
        <w:t>BMC Genomics</w:t>
      </w:r>
      <w:r w:rsidRPr="009018DF">
        <w:rPr>
          <w:rFonts w:ascii="Times New Roman" w:hAnsi="Times New Roman" w:cs="Times New Roman"/>
          <w:noProof/>
          <w:lang w:val="en-GB"/>
        </w:rPr>
        <w:t xml:space="preserve">. 2013;14(1):672. </w:t>
      </w:r>
    </w:p>
    <w:p w14:paraId="573130AD"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39.</w:t>
      </w:r>
      <w:r w:rsidRPr="009018DF">
        <w:rPr>
          <w:rFonts w:ascii="Times New Roman" w:hAnsi="Times New Roman" w:cs="Times New Roman"/>
          <w:noProof/>
          <w:lang w:val="en-GB"/>
        </w:rPr>
        <w:tab/>
        <w:t xml:space="preserve">Johnsen HE, Bergkvist KS, Schmitz A, et al. Cell of origin associated classification of B-cell malignancies by gene signatures of the normal B-cell hierarchy. </w:t>
      </w:r>
      <w:r w:rsidRPr="00170C80">
        <w:rPr>
          <w:rFonts w:ascii="Times New Roman" w:hAnsi="Times New Roman" w:cs="Times New Roman"/>
          <w:i/>
          <w:iCs/>
          <w:noProof/>
        </w:rPr>
        <w:t>Leuk. Lymphoma</w:t>
      </w:r>
      <w:r w:rsidRPr="00170C80">
        <w:rPr>
          <w:rFonts w:ascii="Times New Roman" w:hAnsi="Times New Roman" w:cs="Times New Roman"/>
          <w:noProof/>
        </w:rPr>
        <w:t xml:space="preserve">. 2014;55(6):1251–1260. </w:t>
      </w:r>
    </w:p>
    <w:p w14:paraId="1525454D" w14:textId="77777777" w:rsidR="00170C80" w:rsidRPr="00170C80" w:rsidRDefault="00170C80" w:rsidP="00170C80">
      <w:pPr>
        <w:spacing w:before="0" w:after="0"/>
        <w:ind w:left="640" w:hanging="640"/>
        <w:rPr>
          <w:rFonts w:ascii="Times New Roman" w:hAnsi="Times New Roman" w:cs="Times New Roman"/>
          <w:noProof/>
        </w:rPr>
      </w:pPr>
      <w:r w:rsidRPr="00170C80">
        <w:rPr>
          <w:rFonts w:ascii="Times New Roman" w:hAnsi="Times New Roman" w:cs="Times New Roman"/>
          <w:noProof/>
        </w:rPr>
        <w:t>40.</w:t>
      </w:r>
      <w:r w:rsidRPr="00170C80">
        <w:rPr>
          <w:rFonts w:ascii="Times New Roman" w:hAnsi="Times New Roman" w:cs="Times New Roman"/>
          <w:noProof/>
        </w:rPr>
        <w:tab/>
        <w:t xml:space="preserve">Kjeldsen MK, Perez-Andres M, Schmitz A, et al. </w:t>
      </w:r>
      <w:r w:rsidRPr="009018DF">
        <w:rPr>
          <w:rFonts w:ascii="Times New Roman" w:hAnsi="Times New Roman" w:cs="Times New Roman"/>
          <w:noProof/>
          <w:lang w:val="en-GB"/>
        </w:rPr>
        <w:t xml:space="preserve">Multiparametric flow cytometry for </w:t>
      </w:r>
      <w:r w:rsidRPr="009018DF">
        <w:rPr>
          <w:rFonts w:ascii="Times New Roman" w:hAnsi="Times New Roman" w:cs="Times New Roman"/>
          <w:noProof/>
          <w:lang w:val="en-GB"/>
        </w:rPr>
        <w:lastRenderedPageBreak/>
        <w:t xml:space="preserve">identification and fluorescence activated cell sorting of five distinct B-cell subpopulations in normal tonsil tissue. </w:t>
      </w:r>
      <w:r w:rsidRPr="00170C80">
        <w:rPr>
          <w:rFonts w:ascii="Times New Roman" w:hAnsi="Times New Roman" w:cs="Times New Roman"/>
          <w:i/>
          <w:iCs/>
          <w:noProof/>
        </w:rPr>
        <w:t>Am. J. Clin. Pathol.</w:t>
      </w:r>
      <w:r w:rsidRPr="00170C80">
        <w:rPr>
          <w:rFonts w:ascii="Times New Roman" w:hAnsi="Times New Roman" w:cs="Times New Roman"/>
          <w:noProof/>
        </w:rPr>
        <w:t xml:space="preserve"> 2011;136(6):960–9. </w:t>
      </w:r>
    </w:p>
    <w:p w14:paraId="51E05664" w14:textId="77777777" w:rsidR="00170C80" w:rsidRPr="009018DF" w:rsidRDefault="00170C80" w:rsidP="00170C80">
      <w:pPr>
        <w:spacing w:before="0" w:after="0"/>
        <w:ind w:left="640" w:hanging="640"/>
        <w:rPr>
          <w:rFonts w:ascii="Times New Roman" w:hAnsi="Times New Roman" w:cs="Times New Roman"/>
          <w:noProof/>
          <w:lang w:val="de-DE"/>
        </w:rPr>
      </w:pPr>
      <w:r w:rsidRPr="00170C80">
        <w:rPr>
          <w:rFonts w:ascii="Times New Roman" w:hAnsi="Times New Roman" w:cs="Times New Roman"/>
          <w:noProof/>
        </w:rPr>
        <w:t>41.</w:t>
      </w:r>
      <w:r w:rsidRPr="00170C80">
        <w:rPr>
          <w:rFonts w:ascii="Times New Roman" w:hAnsi="Times New Roman" w:cs="Times New Roman"/>
          <w:noProof/>
        </w:rPr>
        <w:tab/>
        <w:t xml:space="preserve">Bergkvist KS, Nyegaard M, Bøgsted M, et al. </w:t>
      </w:r>
      <w:r w:rsidRPr="009018DF">
        <w:rPr>
          <w:rFonts w:ascii="Times New Roman" w:hAnsi="Times New Roman" w:cs="Times New Roman"/>
          <w:noProof/>
          <w:lang w:val="en-GB"/>
        </w:rPr>
        <w:t xml:space="preserve">Validation and implementation of a method for microarray gene expression profiling of minor B-cell subpopulations in man. </w:t>
      </w:r>
      <w:r w:rsidRPr="009018DF">
        <w:rPr>
          <w:rFonts w:ascii="Times New Roman" w:hAnsi="Times New Roman" w:cs="Times New Roman"/>
          <w:i/>
          <w:iCs/>
          <w:noProof/>
          <w:lang w:val="de-DE"/>
        </w:rPr>
        <w:t>BMC Immunol.</w:t>
      </w:r>
      <w:r w:rsidRPr="009018DF">
        <w:rPr>
          <w:rFonts w:ascii="Times New Roman" w:hAnsi="Times New Roman" w:cs="Times New Roman"/>
          <w:noProof/>
          <w:lang w:val="de-DE"/>
        </w:rPr>
        <w:t xml:space="preserve"> 2014;15(1):3. </w:t>
      </w:r>
    </w:p>
    <w:p w14:paraId="265F15BE"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de-DE"/>
        </w:rPr>
        <w:t>42.</w:t>
      </w:r>
      <w:r w:rsidRPr="009018DF">
        <w:rPr>
          <w:rFonts w:ascii="Times New Roman" w:hAnsi="Times New Roman" w:cs="Times New Roman"/>
          <w:noProof/>
          <w:lang w:val="de-DE"/>
        </w:rPr>
        <w:tab/>
        <w:t xml:space="preserve">Rasmussen SM, Bilgrau AE, Schmitz A, et al. </w:t>
      </w:r>
      <w:r w:rsidRPr="009018DF">
        <w:rPr>
          <w:rFonts w:ascii="Times New Roman" w:hAnsi="Times New Roman" w:cs="Times New Roman"/>
          <w:noProof/>
          <w:lang w:val="en-GB"/>
        </w:rPr>
        <w:t xml:space="preserve">Stable phenotype of B-cell subsets following cryopreservation and thawing of normal human lymphocytes stored in a tissue biobank. </w:t>
      </w:r>
      <w:r w:rsidRPr="009018DF">
        <w:rPr>
          <w:rFonts w:ascii="Times New Roman" w:hAnsi="Times New Roman" w:cs="Times New Roman"/>
          <w:i/>
          <w:iCs/>
          <w:noProof/>
          <w:lang w:val="en-GB"/>
        </w:rPr>
        <w:t>Cytom. Part B - Clin. Cytom.</w:t>
      </w:r>
      <w:r w:rsidRPr="009018DF">
        <w:rPr>
          <w:rFonts w:ascii="Times New Roman" w:hAnsi="Times New Roman" w:cs="Times New Roman"/>
          <w:noProof/>
          <w:lang w:val="en-GB"/>
        </w:rPr>
        <w:t xml:space="preserve"> 2015;88(1):40–49. </w:t>
      </w:r>
    </w:p>
    <w:p w14:paraId="28D1E494"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43.</w:t>
      </w:r>
      <w:r w:rsidRPr="009018DF">
        <w:rPr>
          <w:rFonts w:ascii="Times New Roman" w:hAnsi="Times New Roman" w:cs="Times New Roman"/>
          <w:noProof/>
          <w:lang w:val="en-GB"/>
        </w:rPr>
        <w:tab/>
        <w:t xml:space="preserve">Dybkær K, Bøgsted M, Falgreen S, et al. Diffuse large B-cell lymphoma classification system that associates normal B-cell subset phenotypes with prognosis. </w:t>
      </w:r>
      <w:r w:rsidRPr="00170C80">
        <w:rPr>
          <w:rFonts w:ascii="Times New Roman" w:hAnsi="Times New Roman" w:cs="Times New Roman"/>
          <w:i/>
          <w:iCs/>
          <w:noProof/>
        </w:rPr>
        <w:t>J. Clin. Oncol.</w:t>
      </w:r>
      <w:r w:rsidRPr="00170C80">
        <w:rPr>
          <w:rFonts w:ascii="Times New Roman" w:hAnsi="Times New Roman" w:cs="Times New Roman"/>
          <w:noProof/>
        </w:rPr>
        <w:t xml:space="preserve"> 2015;33(12):1379–88. </w:t>
      </w:r>
    </w:p>
    <w:p w14:paraId="173AD158" w14:textId="77777777" w:rsidR="00170C80" w:rsidRPr="00812DE2"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44.</w:t>
      </w:r>
      <w:r w:rsidRPr="00170C80">
        <w:rPr>
          <w:rFonts w:ascii="Times New Roman" w:hAnsi="Times New Roman" w:cs="Times New Roman"/>
          <w:noProof/>
        </w:rPr>
        <w:tab/>
        <w:t xml:space="preserve">Bergkvist KS, Nørgaard MA, Bøgsted M, et al. </w:t>
      </w:r>
      <w:r w:rsidRPr="009018DF">
        <w:rPr>
          <w:rFonts w:ascii="Times New Roman" w:hAnsi="Times New Roman" w:cs="Times New Roman"/>
          <w:noProof/>
          <w:lang w:val="en-GB"/>
        </w:rPr>
        <w:t xml:space="preserve">Characterization of memory B cells from thymus and its impact for DLBCL classification. </w:t>
      </w:r>
      <w:r w:rsidRPr="00812DE2">
        <w:rPr>
          <w:rFonts w:ascii="Times New Roman" w:hAnsi="Times New Roman" w:cs="Times New Roman"/>
          <w:i/>
          <w:iCs/>
          <w:noProof/>
          <w:lang w:val="en-GB"/>
        </w:rPr>
        <w:t>Exp. Hematol.</w:t>
      </w:r>
      <w:r w:rsidRPr="00812DE2">
        <w:rPr>
          <w:rFonts w:ascii="Times New Roman" w:hAnsi="Times New Roman" w:cs="Times New Roman"/>
          <w:noProof/>
          <w:lang w:val="en-GB"/>
        </w:rPr>
        <w:t xml:space="preserve"> 2016;44(10):982–990.e11. </w:t>
      </w:r>
    </w:p>
    <w:p w14:paraId="467DCCB3" w14:textId="77777777" w:rsidR="00170C80" w:rsidRPr="00170C80" w:rsidRDefault="00170C80" w:rsidP="00170C80">
      <w:pPr>
        <w:spacing w:before="0" w:after="0"/>
        <w:ind w:left="640" w:hanging="640"/>
        <w:rPr>
          <w:rFonts w:ascii="Times New Roman" w:hAnsi="Times New Roman" w:cs="Times New Roman"/>
          <w:noProof/>
        </w:rPr>
      </w:pPr>
      <w:r w:rsidRPr="00812DE2">
        <w:rPr>
          <w:rFonts w:ascii="Times New Roman" w:hAnsi="Times New Roman" w:cs="Times New Roman"/>
          <w:noProof/>
          <w:lang w:val="en-GB"/>
        </w:rPr>
        <w:t>45.</w:t>
      </w:r>
      <w:r w:rsidRPr="00812DE2">
        <w:rPr>
          <w:rFonts w:ascii="Times New Roman" w:hAnsi="Times New Roman" w:cs="Times New Roman"/>
          <w:noProof/>
          <w:lang w:val="en-GB"/>
        </w:rPr>
        <w:tab/>
        <w:t xml:space="preserve">Michaelsen TY, Richter J, Brøndum RF, et al. </w:t>
      </w:r>
      <w:r w:rsidRPr="009018DF">
        <w:rPr>
          <w:rFonts w:ascii="Times New Roman" w:hAnsi="Times New Roman" w:cs="Times New Roman"/>
          <w:noProof/>
          <w:lang w:val="en-GB"/>
        </w:rPr>
        <w:t xml:space="preserve">A B-cell-associated gene signature classification of Diffuse Large B-cell Lymphoma by the NanoString technology. </w:t>
      </w:r>
      <w:r w:rsidRPr="00170C80">
        <w:rPr>
          <w:rFonts w:ascii="Times New Roman" w:hAnsi="Times New Roman" w:cs="Times New Roman"/>
          <w:i/>
          <w:iCs/>
          <w:noProof/>
        </w:rPr>
        <w:t>Under Rev. Blood Adv.</w:t>
      </w:r>
      <w:r w:rsidRPr="00170C80">
        <w:rPr>
          <w:rFonts w:ascii="Times New Roman" w:hAnsi="Times New Roman" w:cs="Times New Roman"/>
          <w:noProof/>
        </w:rPr>
        <w:t xml:space="preserve"> 2019;2(13):1542–1546. </w:t>
      </w:r>
    </w:p>
    <w:p w14:paraId="6322BD8D" w14:textId="77777777" w:rsidR="00170C80" w:rsidRPr="00170C80" w:rsidRDefault="00170C80" w:rsidP="00170C80">
      <w:pPr>
        <w:spacing w:before="0" w:after="0"/>
        <w:ind w:left="640" w:hanging="640"/>
        <w:rPr>
          <w:rFonts w:ascii="Times New Roman" w:hAnsi="Times New Roman" w:cs="Times New Roman"/>
          <w:noProof/>
        </w:rPr>
      </w:pPr>
      <w:r w:rsidRPr="00170C80">
        <w:rPr>
          <w:rFonts w:ascii="Times New Roman" w:hAnsi="Times New Roman" w:cs="Times New Roman"/>
          <w:noProof/>
        </w:rPr>
        <w:t>46.</w:t>
      </w:r>
      <w:r w:rsidRPr="00170C80">
        <w:rPr>
          <w:rFonts w:ascii="Times New Roman" w:hAnsi="Times New Roman" w:cs="Times New Roman"/>
          <w:noProof/>
        </w:rPr>
        <w:tab/>
        <w:t xml:space="preserve">Nørgaard CH, Jakobsen LH, Gentles AJ, et al. </w:t>
      </w:r>
      <w:r w:rsidRPr="009018DF">
        <w:rPr>
          <w:rFonts w:ascii="Times New Roman" w:hAnsi="Times New Roman" w:cs="Times New Roman"/>
          <w:noProof/>
          <w:lang w:val="en-GB"/>
        </w:rPr>
        <w:t xml:space="preserve">Subtype assignment of CLL based on B-cell subset associated gene signatures from normal bone marrow – A proof of concept study. </w:t>
      </w:r>
      <w:r w:rsidRPr="00170C80">
        <w:rPr>
          <w:rFonts w:ascii="Times New Roman" w:hAnsi="Times New Roman" w:cs="Times New Roman"/>
          <w:i/>
          <w:iCs/>
          <w:noProof/>
        </w:rPr>
        <w:t>PLoS One</w:t>
      </w:r>
      <w:r w:rsidRPr="00170C80">
        <w:rPr>
          <w:rFonts w:ascii="Times New Roman" w:hAnsi="Times New Roman" w:cs="Times New Roman"/>
          <w:noProof/>
        </w:rPr>
        <w:t xml:space="preserve">. 2018;13(3):e0193249. </w:t>
      </w:r>
    </w:p>
    <w:p w14:paraId="46CEB1D9"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47.</w:t>
      </w:r>
      <w:r w:rsidRPr="00170C80">
        <w:rPr>
          <w:rFonts w:ascii="Times New Roman" w:hAnsi="Times New Roman" w:cs="Times New Roman"/>
          <w:noProof/>
        </w:rPr>
        <w:tab/>
        <w:t xml:space="preserve">Petri A, Dybkær K, Bøgsted M, et al. </w:t>
      </w:r>
      <w:r w:rsidRPr="009018DF">
        <w:rPr>
          <w:rFonts w:ascii="Times New Roman" w:hAnsi="Times New Roman" w:cs="Times New Roman"/>
          <w:noProof/>
          <w:lang w:val="en-GB"/>
        </w:rPr>
        <w:t xml:space="preserve">Long Noncoding RNA Expression during Human B-Cell Development. </w:t>
      </w:r>
      <w:r w:rsidRPr="009018DF">
        <w:rPr>
          <w:rFonts w:ascii="Times New Roman" w:hAnsi="Times New Roman" w:cs="Times New Roman"/>
          <w:i/>
          <w:iCs/>
          <w:noProof/>
          <w:lang w:val="en-GB"/>
        </w:rPr>
        <w:t>PLoS One</w:t>
      </w:r>
      <w:r w:rsidRPr="009018DF">
        <w:rPr>
          <w:rFonts w:ascii="Times New Roman" w:hAnsi="Times New Roman" w:cs="Times New Roman"/>
          <w:noProof/>
          <w:lang w:val="en-GB"/>
        </w:rPr>
        <w:t xml:space="preserve">. 2015;10(9):e0138236. </w:t>
      </w:r>
    </w:p>
    <w:p w14:paraId="0289B3B1" w14:textId="77777777" w:rsidR="00170C80" w:rsidRPr="00812DE2"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48.</w:t>
      </w:r>
      <w:r w:rsidRPr="009018DF">
        <w:rPr>
          <w:rFonts w:ascii="Times New Roman" w:hAnsi="Times New Roman" w:cs="Times New Roman"/>
          <w:noProof/>
          <w:lang w:val="en-GB"/>
        </w:rPr>
        <w:tab/>
        <w:t xml:space="preserve">Brazma A, Hingamp P, Quackenbush J, et al. Minimum information about a microarray experiment (MIAME)-toward standards for microarray data. </w:t>
      </w:r>
      <w:r w:rsidRPr="00812DE2">
        <w:rPr>
          <w:rFonts w:ascii="Times New Roman" w:hAnsi="Times New Roman" w:cs="Times New Roman"/>
          <w:i/>
          <w:iCs/>
          <w:noProof/>
        </w:rPr>
        <w:t>Nat. Genet.</w:t>
      </w:r>
      <w:r w:rsidRPr="00812DE2">
        <w:rPr>
          <w:rFonts w:ascii="Times New Roman" w:hAnsi="Times New Roman" w:cs="Times New Roman"/>
          <w:noProof/>
        </w:rPr>
        <w:t xml:space="preserve"> 2001;29(4):365–71. </w:t>
      </w:r>
    </w:p>
    <w:p w14:paraId="77BF4951" w14:textId="77777777" w:rsidR="00170C80" w:rsidRPr="009018DF" w:rsidRDefault="00170C80" w:rsidP="00170C80">
      <w:pPr>
        <w:spacing w:before="0" w:after="0"/>
        <w:ind w:left="640" w:hanging="640"/>
        <w:rPr>
          <w:rFonts w:ascii="Times New Roman" w:hAnsi="Times New Roman" w:cs="Times New Roman"/>
          <w:noProof/>
          <w:lang w:val="en-GB"/>
        </w:rPr>
      </w:pPr>
      <w:r w:rsidRPr="00812DE2">
        <w:rPr>
          <w:rFonts w:ascii="Times New Roman" w:hAnsi="Times New Roman" w:cs="Times New Roman"/>
          <w:noProof/>
        </w:rPr>
        <w:t>49.</w:t>
      </w:r>
      <w:r w:rsidRPr="00812DE2">
        <w:rPr>
          <w:rFonts w:ascii="Times New Roman" w:hAnsi="Times New Roman" w:cs="Times New Roman"/>
          <w:noProof/>
        </w:rPr>
        <w:tab/>
        <w:t xml:space="preserve">Barlogie B, Mitchell A, van Rhee F, et al. </w:t>
      </w:r>
      <w:r w:rsidRPr="009018DF">
        <w:rPr>
          <w:rFonts w:ascii="Times New Roman" w:hAnsi="Times New Roman" w:cs="Times New Roman"/>
          <w:noProof/>
          <w:lang w:val="en-GB"/>
        </w:rPr>
        <w:t xml:space="preserve">Curing myeloma at last: defining criteria and providing the evidence.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2014;124(20):3043–51. </w:t>
      </w:r>
    </w:p>
    <w:p w14:paraId="006C953A"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50.</w:t>
      </w:r>
      <w:r w:rsidRPr="009018DF">
        <w:rPr>
          <w:rFonts w:ascii="Times New Roman" w:hAnsi="Times New Roman" w:cs="Times New Roman"/>
          <w:noProof/>
          <w:lang w:val="en-GB"/>
        </w:rPr>
        <w:tab/>
        <w:t xml:space="preserve">Broyl A, Hose D, Lokhorst H, et al. Gene expression profiling for molecular classification of multiple myeloma in newly diagnosed patients.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2010;116(14):2543–2553. </w:t>
      </w:r>
    </w:p>
    <w:p w14:paraId="60A592BB"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51.</w:t>
      </w:r>
      <w:r w:rsidRPr="009018DF">
        <w:rPr>
          <w:rFonts w:ascii="Times New Roman" w:hAnsi="Times New Roman" w:cs="Times New Roman"/>
          <w:noProof/>
          <w:lang w:val="en-GB"/>
        </w:rPr>
        <w:tab/>
        <w:t xml:space="preserve">Morgan GJ, Davies FE, Gregory WM, et al. Cyclophosphamide, thalidomide, and dexamethasone as induction therapy for newly diagnosed multiple myeloma patients destined for autologous stem-cell transplantation: MRC Myeloma IX randomized trial results. </w:t>
      </w:r>
      <w:r w:rsidRPr="009018DF">
        <w:rPr>
          <w:rFonts w:ascii="Times New Roman" w:hAnsi="Times New Roman" w:cs="Times New Roman"/>
          <w:i/>
          <w:iCs/>
          <w:noProof/>
          <w:lang w:val="en-GB"/>
        </w:rPr>
        <w:t>Haematologica</w:t>
      </w:r>
      <w:r w:rsidRPr="009018DF">
        <w:rPr>
          <w:rFonts w:ascii="Times New Roman" w:hAnsi="Times New Roman" w:cs="Times New Roman"/>
          <w:noProof/>
          <w:lang w:val="en-GB"/>
        </w:rPr>
        <w:t xml:space="preserve">. 2012;97(3):442–450. </w:t>
      </w:r>
    </w:p>
    <w:p w14:paraId="4AFB06C5"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52.</w:t>
      </w:r>
      <w:r w:rsidRPr="009018DF">
        <w:rPr>
          <w:rFonts w:ascii="Times New Roman" w:hAnsi="Times New Roman" w:cs="Times New Roman"/>
          <w:noProof/>
          <w:lang w:val="en-GB"/>
        </w:rPr>
        <w:tab/>
        <w:t xml:space="preserve">Richardson PG, Sonneveld P, Schuster MW, et al. Bortezomib or High-Dose Dexamethasone </w:t>
      </w:r>
      <w:r w:rsidRPr="009018DF">
        <w:rPr>
          <w:rFonts w:ascii="Times New Roman" w:hAnsi="Times New Roman" w:cs="Times New Roman"/>
          <w:noProof/>
          <w:lang w:val="en-GB"/>
        </w:rPr>
        <w:lastRenderedPageBreak/>
        <w:t xml:space="preserve">for Relapsed Multiple Myeloma. </w:t>
      </w:r>
      <w:r w:rsidRPr="00170C80">
        <w:rPr>
          <w:rFonts w:ascii="Times New Roman" w:hAnsi="Times New Roman" w:cs="Times New Roman"/>
          <w:i/>
          <w:iCs/>
          <w:noProof/>
        </w:rPr>
        <w:t>N. Engl. J. Med.</w:t>
      </w:r>
      <w:r w:rsidRPr="00170C80">
        <w:rPr>
          <w:rFonts w:ascii="Times New Roman" w:hAnsi="Times New Roman" w:cs="Times New Roman"/>
          <w:noProof/>
        </w:rPr>
        <w:t xml:space="preserve"> 2005;352(24):2487–2498. </w:t>
      </w:r>
    </w:p>
    <w:p w14:paraId="1B3F9C05"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53.</w:t>
      </w:r>
      <w:r w:rsidRPr="00170C80">
        <w:rPr>
          <w:rFonts w:ascii="Times New Roman" w:hAnsi="Times New Roman" w:cs="Times New Roman"/>
          <w:noProof/>
        </w:rPr>
        <w:tab/>
        <w:t xml:space="preserve">Chauhan D, Tian Z, Nicholson B, et al. </w:t>
      </w:r>
      <w:r w:rsidRPr="009018DF">
        <w:rPr>
          <w:rFonts w:ascii="Times New Roman" w:hAnsi="Times New Roman" w:cs="Times New Roman"/>
          <w:noProof/>
          <w:lang w:val="en-GB"/>
        </w:rPr>
        <w:t xml:space="preserve">A Small Molecule Inhibitor of Ubiquitin-Specific Protease-7 Induces Apoptosis in Multiple Myeloma Cells and Overcomes Bortezomib Resistance. </w:t>
      </w:r>
      <w:r w:rsidRPr="009018DF">
        <w:rPr>
          <w:rFonts w:ascii="Times New Roman" w:hAnsi="Times New Roman" w:cs="Times New Roman"/>
          <w:i/>
          <w:iCs/>
          <w:noProof/>
          <w:lang w:val="en-GB"/>
        </w:rPr>
        <w:t>Cancer Cell</w:t>
      </w:r>
      <w:r w:rsidRPr="009018DF">
        <w:rPr>
          <w:rFonts w:ascii="Times New Roman" w:hAnsi="Times New Roman" w:cs="Times New Roman"/>
          <w:noProof/>
          <w:lang w:val="en-GB"/>
        </w:rPr>
        <w:t xml:space="preserve">. 2012;22(3):345–358. </w:t>
      </w:r>
    </w:p>
    <w:p w14:paraId="7251273B"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54.</w:t>
      </w:r>
      <w:r w:rsidRPr="009018DF">
        <w:rPr>
          <w:rFonts w:ascii="Times New Roman" w:hAnsi="Times New Roman" w:cs="Times New Roman"/>
          <w:noProof/>
          <w:lang w:val="en-GB"/>
        </w:rPr>
        <w:tab/>
        <w:t xml:space="preserve">Lopez-Corral L, Corchete LA, Sarasquete ME, et al. Transcriptome analysis reveals molecular profiles associated with evolving steps of monoclonal gammopathies. </w:t>
      </w:r>
      <w:r w:rsidRPr="009018DF">
        <w:rPr>
          <w:rFonts w:ascii="Times New Roman" w:hAnsi="Times New Roman" w:cs="Times New Roman"/>
          <w:i/>
          <w:iCs/>
          <w:noProof/>
          <w:lang w:val="en-GB"/>
        </w:rPr>
        <w:t>Haematologica</w:t>
      </w:r>
      <w:r w:rsidRPr="009018DF">
        <w:rPr>
          <w:rFonts w:ascii="Times New Roman" w:hAnsi="Times New Roman" w:cs="Times New Roman"/>
          <w:noProof/>
          <w:lang w:val="en-GB"/>
        </w:rPr>
        <w:t xml:space="preserve">. 2014;99(8):1365–1372. </w:t>
      </w:r>
    </w:p>
    <w:p w14:paraId="2E5B0436"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55.</w:t>
      </w:r>
      <w:r w:rsidRPr="009018DF">
        <w:rPr>
          <w:rFonts w:ascii="Times New Roman" w:hAnsi="Times New Roman" w:cs="Times New Roman"/>
          <w:noProof/>
          <w:lang w:val="en-GB"/>
        </w:rPr>
        <w:tab/>
        <w:t xml:space="preserve">Mattioli M, Agnelli L, Fabris S, et al. Gene expression profiling of plasma cell dyscrasias reveals molecular patterns associated with distinct IGH translocations in multiple myeloma. </w:t>
      </w:r>
      <w:r w:rsidRPr="009018DF">
        <w:rPr>
          <w:rFonts w:ascii="Times New Roman" w:hAnsi="Times New Roman" w:cs="Times New Roman"/>
          <w:i/>
          <w:iCs/>
          <w:noProof/>
          <w:lang w:val="en-GB"/>
        </w:rPr>
        <w:t>Oncogene</w:t>
      </w:r>
      <w:r w:rsidRPr="009018DF">
        <w:rPr>
          <w:rFonts w:ascii="Times New Roman" w:hAnsi="Times New Roman" w:cs="Times New Roman"/>
          <w:noProof/>
          <w:lang w:val="en-GB"/>
        </w:rPr>
        <w:t xml:space="preserve">. 2005;24(15):2461–73. </w:t>
      </w:r>
    </w:p>
    <w:p w14:paraId="74BD562B"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56.</w:t>
      </w:r>
      <w:r w:rsidRPr="009018DF">
        <w:rPr>
          <w:rFonts w:ascii="Times New Roman" w:hAnsi="Times New Roman" w:cs="Times New Roman"/>
          <w:noProof/>
          <w:lang w:val="en-GB"/>
        </w:rPr>
        <w:tab/>
        <w:t xml:space="preserve">Chng WJ, Kumar S, VanWier S, et al. Molecular dissection of hyperdiploid multiple myeloma by gene expression profiling. </w:t>
      </w:r>
      <w:r w:rsidRPr="00170C80">
        <w:rPr>
          <w:rFonts w:ascii="Times New Roman" w:hAnsi="Times New Roman" w:cs="Times New Roman"/>
          <w:i/>
          <w:iCs/>
          <w:noProof/>
        </w:rPr>
        <w:t>Cancer Res.</w:t>
      </w:r>
      <w:r w:rsidRPr="00170C80">
        <w:rPr>
          <w:rFonts w:ascii="Times New Roman" w:hAnsi="Times New Roman" w:cs="Times New Roman"/>
          <w:noProof/>
        </w:rPr>
        <w:t xml:space="preserve"> 2007;67(7):2982–2989. </w:t>
      </w:r>
    </w:p>
    <w:p w14:paraId="1E9FA590"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57.</w:t>
      </w:r>
      <w:r w:rsidRPr="00170C80">
        <w:rPr>
          <w:rFonts w:ascii="Times New Roman" w:hAnsi="Times New Roman" w:cs="Times New Roman"/>
          <w:noProof/>
        </w:rPr>
        <w:tab/>
        <w:t xml:space="preserve">Tiedemann RE, Zhu YX, Schmidt J, et al. </w:t>
      </w:r>
      <w:r w:rsidRPr="009018DF">
        <w:rPr>
          <w:rFonts w:ascii="Times New Roman" w:hAnsi="Times New Roman" w:cs="Times New Roman"/>
          <w:noProof/>
          <w:lang w:val="en-GB"/>
        </w:rPr>
        <w:t xml:space="preserve">Kinome-wide RNAi studies in human multiple myeloma identify vulnerable kinase targets, including a lymphoid-restricted kinase, GRK6.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2010;115(8):1594–1604. </w:t>
      </w:r>
    </w:p>
    <w:p w14:paraId="6D9F3530"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58.</w:t>
      </w:r>
      <w:r w:rsidRPr="009018DF">
        <w:rPr>
          <w:rFonts w:ascii="Times New Roman" w:hAnsi="Times New Roman" w:cs="Times New Roman"/>
          <w:noProof/>
          <w:lang w:val="en-GB"/>
        </w:rPr>
        <w:tab/>
        <w:t xml:space="preserve">Falgreen S, Dybkær K, Young KH, et al. Predicting response to multidrug regimens in cancer patients using cell line experiments and regularised regression models. </w:t>
      </w:r>
      <w:r w:rsidRPr="00170C80">
        <w:rPr>
          <w:rFonts w:ascii="Times New Roman" w:hAnsi="Times New Roman" w:cs="Times New Roman"/>
          <w:i/>
          <w:iCs/>
          <w:noProof/>
        </w:rPr>
        <w:t>BMC Cancer</w:t>
      </w:r>
      <w:r w:rsidRPr="00170C80">
        <w:rPr>
          <w:rFonts w:ascii="Times New Roman" w:hAnsi="Times New Roman" w:cs="Times New Roman"/>
          <w:noProof/>
        </w:rPr>
        <w:t xml:space="preserve">. 2015;15:235. </w:t>
      </w:r>
    </w:p>
    <w:p w14:paraId="0FC87544"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59.</w:t>
      </w:r>
      <w:r w:rsidRPr="00170C80">
        <w:rPr>
          <w:rFonts w:ascii="Times New Roman" w:hAnsi="Times New Roman" w:cs="Times New Roman"/>
          <w:noProof/>
        </w:rPr>
        <w:tab/>
        <w:t xml:space="preserve">Gentleman RC, Carey VJ, Bates DM, et al. </w:t>
      </w:r>
      <w:r w:rsidRPr="009018DF">
        <w:rPr>
          <w:rFonts w:ascii="Times New Roman" w:hAnsi="Times New Roman" w:cs="Times New Roman"/>
          <w:noProof/>
          <w:lang w:val="en-GB"/>
        </w:rPr>
        <w:t xml:space="preserve">Bioconductor: open software development for computational biology and bioinformatics. </w:t>
      </w:r>
      <w:r w:rsidRPr="009018DF">
        <w:rPr>
          <w:rFonts w:ascii="Times New Roman" w:hAnsi="Times New Roman" w:cs="Times New Roman"/>
          <w:i/>
          <w:iCs/>
          <w:noProof/>
          <w:lang w:val="en-GB"/>
        </w:rPr>
        <w:t>Genome Biol.</w:t>
      </w:r>
      <w:r w:rsidRPr="009018DF">
        <w:rPr>
          <w:rFonts w:ascii="Times New Roman" w:hAnsi="Times New Roman" w:cs="Times New Roman"/>
          <w:noProof/>
          <w:lang w:val="en-GB"/>
        </w:rPr>
        <w:t xml:space="preserve"> 2004;5(10):R80. </w:t>
      </w:r>
    </w:p>
    <w:p w14:paraId="18476AE0"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60.</w:t>
      </w:r>
      <w:r w:rsidRPr="009018DF">
        <w:rPr>
          <w:rFonts w:ascii="Times New Roman" w:hAnsi="Times New Roman" w:cs="Times New Roman"/>
          <w:noProof/>
          <w:lang w:val="en-GB"/>
        </w:rPr>
        <w:tab/>
        <w:t xml:space="preserve">R Core Team. R : A Language and Environment for Statistical Computing. Vienna, Austria, Austria: R Foundation for Statistical Computing, Vienna, Austria; 2017. </w:t>
      </w:r>
    </w:p>
    <w:p w14:paraId="06DBDD8F"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61.</w:t>
      </w:r>
      <w:r w:rsidRPr="009018DF">
        <w:rPr>
          <w:rFonts w:ascii="Times New Roman" w:hAnsi="Times New Roman" w:cs="Times New Roman"/>
          <w:noProof/>
          <w:lang w:val="en-GB"/>
        </w:rPr>
        <w:tab/>
        <w:t xml:space="preserve">Xie Y. knitr: A General-Purpose Package for Dynamic Report Generation in R. 2017; </w:t>
      </w:r>
    </w:p>
    <w:p w14:paraId="3BCF63AF"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62.</w:t>
      </w:r>
      <w:r w:rsidRPr="009018DF">
        <w:rPr>
          <w:rFonts w:ascii="Times New Roman" w:hAnsi="Times New Roman" w:cs="Times New Roman"/>
          <w:noProof/>
          <w:lang w:val="en-GB"/>
        </w:rPr>
        <w:tab/>
        <w:t xml:space="preserve">Irizarry RA, Hobbs B, Collin F, et al. Exploration, normalization, and summaries of high density oligonucleotide array probe level data. </w:t>
      </w:r>
      <w:r w:rsidRPr="009018DF">
        <w:rPr>
          <w:rFonts w:ascii="Times New Roman" w:hAnsi="Times New Roman" w:cs="Times New Roman"/>
          <w:i/>
          <w:iCs/>
          <w:noProof/>
          <w:lang w:val="en-GB"/>
        </w:rPr>
        <w:t>Biostatistics</w:t>
      </w:r>
      <w:r w:rsidRPr="009018DF">
        <w:rPr>
          <w:rFonts w:ascii="Times New Roman" w:hAnsi="Times New Roman" w:cs="Times New Roman"/>
          <w:noProof/>
          <w:lang w:val="en-GB"/>
        </w:rPr>
        <w:t xml:space="preserve">. 2003;4(2):249–64. </w:t>
      </w:r>
    </w:p>
    <w:p w14:paraId="1E2FF4E9"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63.</w:t>
      </w:r>
      <w:r w:rsidRPr="009018DF">
        <w:rPr>
          <w:rFonts w:ascii="Times New Roman" w:hAnsi="Times New Roman" w:cs="Times New Roman"/>
          <w:noProof/>
          <w:lang w:val="en-GB"/>
        </w:rPr>
        <w:tab/>
        <w:t xml:space="preserve">Gautier L, Cope L, Bolstad BM, Irizarry RA. affy--analysis of Affymetrix GeneChip data at the probe level. </w:t>
      </w:r>
      <w:r w:rsidRPr="009018DF">
        <w:rPr>
          <w:rFonts w:ascii="Times New Roman" w:hAnsi="Times New Roman" w:cs="Times New Roman"/>
          <w:i/>
          <w:iCs/>
          <w:noProof/>
          <w:lang w:val="en-GB"/>
        </w:rPr>
        <w:t>Bioinformatics</w:t>
      </w:r>
      <w:r w:rsidRPr="009018DF">
        <w:rPr>
          <w:rFonts w:ascii="Times New Roman" w:hAnsi="Times New Roman" w:cs="Times New Roman"/>
          <w:noProof/>
          <w:lang w:val="en-GB"/>
        </w:rPr>
        <w:t xml:space="preserve">. 2004;20(3):307–15. </w:t>
      </w:r>
    </w:p>
    <w:p w14:paraId="30D35B4C"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64.</w:t>
      </w:r>
      <w:r w:rsidRPr="009018DF">
        <w:rPr>
          <w:rFonts w:ascii="Times New Roman" w:hAnsi="Times New Roman" w:cs="Times New Roman"/>
          <w:noProof/>
          <w:lang w:val="en-GB"/>
        </w:rPr>
        <w:tab/>
        <w:t xml:space="preserve">Friedman J, Hastie T, Tibshirani R. Regularization Paths for Generalized Linear Models via Coordinate Descent. </w:t>
      </w:r>
      <w:r w:rsidRPr="00170C80">
        <w:rPr>
          <w:rFonts w:ascii="Times New Roman" w:hAnsi="Times New Roman" w:cs="Times New Roman"/>
          <w:i/>
          <w:iCs/>
          <w:noProof/>
        </w:rPr>
        <w:t>J. Stat. Softw.</w:t>
      </w:r>
      <w:r w:rsidRPr="00170C80">
        <w:rPr>
          <w:rFonts w:ascii="Times New Roman" w:hAnsi="Times New Roman" w:cs="Times New Roman"/>
          <w:noProof/>
        </w:rPr>
        <w:t xml:space="preserve"> 2010;33(1):1–22. </w:t>
      </w:r>
    </w:p>
    <w:p w14:paraId="3762457B"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65.</w:t>
      </w:r>
      <w:r w:rsidRPr="00170C80">
        <w:rPr>
          <w:rFonts w:ascii="Times New Roman" w:hAnsi="Times New Roman" w:cs="Times New Roman"/>
          <w:noProof/>
        </w:rPr>
        <w:tab/>
        <w:t xml:space="preserve">Boegsted M, Holst JM, Fogd K, et al. </w:t>
      </w:r>
      <w:r w:rsidRPr="009018DF">
        <w:rPr>
          <w:rFonts w:ascii="Times New Roman" w:hAnsi="Times New Roman" w:cs="Times New Roman"/>
          <w:noProof/>
          <w:lang w:val="en-GB"/>
        </w:rPr>
        <w:t xml:space="preserve">Generation of a predictive melphalan resistance index by drug screen of B-cell cancer cell lines. </w:t>
      </w:r>
      <w:r w:rsidRPr="009018DF">
        <w:rPr>
          <w:rFonts w:ascii="Times New Roman" w:hAnsi="Times New Roman" w:cs="Times New Roman"/>
          <w:i/>
          <w:iCs/>
          <w:noProof/>
          <w:lang w:val="en-GB"/>
        </w:rPr>
        <w:t>PLoS One</w:t>
      </w:r>
      <w:r w:rsidRPr="009018DF">
        <w:rPr>
          <w:rFonts w:ascii="Times New Roman" w:hAnsi="Times New Roman" w:cs="Times New Roman"/>
          <w:noProof/>
          <w:lang w:val="en-GB"/>
        </w:rPr>
        <w:t xml:space="preserve">. 2011;6(4):e19322. </w:t>
      </w:r>
    </w:p>
    <w:p w14:paraId="5010557A"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66.</w:t>
      </w:r>
      <w:r w:rsidRPr="009018DF">
        <w:rPr>
          <w:rFonts w:ascii="Times New Roman" w:hAnsi="Times New Roman" w:cs="Times New Roman"/>
          <w:noProof/>
          <w:lang w:val="en-GB"/>
        </w:rPr>
        <w:tab/>
        <w:t xml:space="preserve">Bøgsted M, Bilgrau AE, Wardell CP, et al. Proof of the concept to use a malignant B cell line </w:t>
      </w:r>
      <w:r w:rsidRPr="009018DF">
        <w:rPr>
          <w:rFonts w:ascii="Times New Roman" w:hAnsi="Times New Roman" w:cs="Times New Roman"/>
          <w:noProof/>
          <w:lang w:val="en-GB"/>
        </w:rPr>
        <w:lastRenderedPageBreak/>
        <w:t xml:space="preserve">drug screen strategy for identification and weight of melphalan resistance genes in multiple myeloma. </w:t>
      </w:r>
      <w:r w:rsidRPr="00170C80">
        <w:rPr>
          <w:rFonts w:ascii="Times New Roman" w:hAnsi="Times New Roman" w:cs="Times New Roman"/>
          <w:i/>
          <w:iCs/>
          <w:noProof/>
        </w:rPr>
        <w:t>PLoS One</w:t>
      </w:r>
      <w:r w:rsidRPr="00170C80">
        <w:rPr>
          <w:rFonts w:ascii="Times New Roman" w:hAnsi="Times New Roman" w:cs="Times New Roman"/>
          <w:noProof/>
        </w:rPr>
        <w:t xml:space="preserve">. 2013;8(12):e83252. </w:t>
      </w:r>
    </w:p>
    <w:p w14:paraId="1DAC0256" w14:textId="77777777" w:rsidR="00170C80" w:rsidRPr="00170C80" w:rsidRDefault="00170C80" w:rsidP="00170C80">
      <w:pPr>
        <w:spacing w:before="0" w:after="0"/>
        <w:ind w:left="640" w:hanging="640"/>
        <w:rPr>
          <w:rFonts w:ascii="Times New Roman" w:hAnsi="Times New Roman" w:cs="Times New Roman"/>
          <w:noProof/>
        </w:rPr>
      </w:pPr>
      <w:r w:rsidRPr="00170C80">
        <w:rPr>
          <w:rFonts w:ascii="Times New Roman" w:hAnsi="Times New Roman" w:cs="Times New Roman"/>
          <w:noProof/>
        </w:rPr>
        <w:t>67.</w:t>
      </w:r>
      <w:r w:rsidRPr="00170C80">
        <w:rPr>
          <w:rFonts w:ascii="Times New Roman" w:hAnsi="Times New Roman" w:cs="Times New Roman"/>
          <w:noProof/>
        </w:rPr>
        <w:tab/>
        <w:t xml:space="preserve">Laursen MB, Falgreen S, Bødker JS, et al. </w:t>
      </w:r>
      <w:r w:rsidRPr="009018DF">
        <w:rPr>
          <w:rFonts w:ascii="Times New Roman" w:hAnsi="Times New Roman" w:cs="Times New Roman"/>
          <w:noProof/>
          <w:lang w:val="en-GB"/>
        </w:rPr>
        <w:t xml:space="preserve">Human B-cell cancer cell lines as a preclinical model for studies of drug effect in diffuse large B-cell lymphoma and multiple myeloma. </w:t>
      </w:r>
      <w:r w:rsidRPr="00170C80">
        <w:rPr>
          <w:rFonts w:ascii="Times New Roman" w:hAnsi="Times New Roman" w:cs="Times New Roman"/>
          <w:i/>
          <w:iCs/>
          <w:noProof/>
        </w:rPr>
        <w:t>Exp. Hematol.</w:t>
      </w:r>
      <w:r w:rsidRPr="00170C80">
        <w:rPr>
          <w:rFonts w:ascii="Times New Roman" w:hAnsi="Times New Roman" w:cs="Times New Roman"/>
          <w:noProof/>
        </w:rPr>
        <w:t xml:space="preserve"> 2014;42(11):927–938. </w:t>
      </w:r>
    </w:p>
    <w:p w14:paraId="6AE26EFD"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68.</w:t>
      </w:r>
      <w:r w:rsidRPr="00170C80">
        <w:rPr>
          <w:rFonts w:ascii="Times New Roman" w:hAnsi="Times New Roman" w:cs="Times New Roman"/>
          <w:noProof/>
        </w:rPr>
        <w:tab/>
        <w:t xml:space="preserve">Falgreen S, Laursen MB, Bødker JS, et al. </w:t>
      </w:r>
      <w:r w:rsidRPr="009018DF">
        <w:rPr>
          <w:rFonts w:ascii="Times New Roman" w:hAnsi="Times New Roman" w:cs="Times New Roman"/>
          <w:noProof/>
          <w:lang w:val="en-GB"/>
        </w:rPr>
        <w:t xml:space="preserve">Exposure time independent summary statistics for assessment of drug dependent cell line growth inhibition. </w:t>
      </w:r>
      <w:r w:rsidRPr="009018DF">
        <w:rPr>
          <w:rFonts w:ascii="Times New Roman" w:hAnsi="Times New Roman" w:cs="Times New Roman"/>
          <w:i/>
          <w:iCs/>
          <w:noProof/>
          <w:lang w:val="en-GB"/>
        </w:rPr>
        <w:t>BMC Bioinformatics</w:t>
      </w:r>
      <w:r w:rsidRPr="009018DF">
        <w:rPr>
          <w:rFonts w:ascii="Times New Roman" w:hAnsi="Times New Roman" w:cs="Times New Roman"/>
          <w:noProof/>
          <w:lang w:val="en-GB"/>
        </w:rPr>
        <w:t xml:space="preserve">. 2014;15(1):168. </w:t>
      </w:r>
    </w:p>
    <w:p w14:paraId="0BC8C045"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69.</w:t>
      </w:r>
      <w:r w:rsidRPr="009018DF">
        <w:rPr>
          <w:rFonts w:ascii="Times New Roman" w:hAnsi="Times New Roman" w:cs="Times New Roman"/>
          <w:noProof/>
          <w:lang w:val="en-GB"/>
        </w:rPr>
        <w:tab/>
        <w:t xml:space="preserve">Therneau TM. A Package for Survival Analysis in S. 2015; </w:t>
      </w:r>
    </w:p>
    <w:p w14:paraId="2F84E152"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70.</w:t>
      </w:r>
      <w:r w:rsidRPr="009018DF">
        <w:rPr>
          <w:rFonts w:ascii="Times New Roman" w:hAnsi="Times New Roman" w:cs="Times New Roman"/>
          <w:noProof/>
          <w:lang w:val="en-GB"/>
        </w:rPr>
        <w:tab/>
        <w:t xml:space="preserve">Cline MS, Blume J, Cawley S, et al. ANOSVA: a statistical method for detecting splice variation from expression data. </w:t>
      </w:r>
      <w:r w:rsidRPr="009018DF">
        <w:rPr>
          <w:rFonts w:ascii="Times New Roman" w:hAnsi="Times New Roman" w:cs="Times New Roman"/>
          <w:i/>
          <w:iCs/>
          <w:noProof/>
          <w:lang w:val="en-GB"/>
        </w:rPr>
        <w:t>Bioinformatics</w:t>
      </w:r>
      <w:r w:rsidRPr="009018DF">
        <w:rPr>
          <w:rFonts w:ascii="Times New Roman" w:hAnsi="Times New Roman" w:cs="Times New Roman"/>
          <w:noProof/>
          <w:lang w:val="en-GB"/>
        </w:rPr>
        <w:t xml:space="preserve">. 2005;21 Suppl 1(Suppl 1):i107-15. </w:t>
      </w:r>
    </w:p>
    <w:p w14:paraId="17C4E0DB"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71.</w:t>
      </w:r>
      <w:r w:rsidRPr="009018DF">
        <w:rPr>
          <w:rFonts w:ascii="Times New Roman" w:hAnsi="Times New Roman" w:cs="Times New Roman"/>
          <w:noProof/>
          <w:lang w:val="en-GB"/>
        </w:rPr>
        <w:tab/>
        <w:t xml:space="preserve">Carlson M. GO.db: A set of annotation maps describing the entire Gene Ontology. 2017; </w:t>
      </w:r>
    </w:p>
    <w:p w14:paraId="76F2F1C5"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72.</w:t>
      </w:r>
      <w:r w:rsidRPr="009018DF">
        <w:rPr>
          <w:rFonts w:ascii="Times New Roman" w:hAnsi="Times New Roman" w:cs="Times New Roman"/>
          <w:noProof/>
          <w:lang w:val="en-GB"/>
        </w:rPr>
        <w:tab/>
        <w:t xml:space="preserve">Holm S. A Simple Sequentially Rejective Multiple Test Procedure. </w:t>
      </w:r>
      <w:r w:rsidRPr="009018DF">
        <w:rPr>
          <w:rFonts w:ascii="Times New Roman" w:hAnsi="Times New Roman" w:cs="Times New Roman"/>
          <w:i/>
          <w:iCs/>
          <w:noProof/>
          <w:lang w:val="en-GB"/>
        </w:rPr>
        <w:t xml:space="preserve">Scand. </w:t>
      </w:r>
      <w:r w:rsidRPr="00170C80">
        <w:rPr>
          <w:rFonts w:ascii="Times New Roman" w:hAnsi="Times New Roman" w:cs="Times New Roman"/>
          <w:i/>
          <w:iCs/>
          <w:noProof/>
        </w:rPr>
        <w:t>J. Stat.</w:t>
      </w:r>
      <w:r w:rsidRPr="00170C80">
        <w:rPr>
          <w:rFonts w:ascii="Times New Roman" w:hAnsi="Times New Roman" w:cs="Times New Roman"/>
          <w:noProof/>
        </w:rPr>
        <w:t xml:space="preserve"> 1979;6(2):65–70. </w:t>
      </w:r>
    </w:p>
    <w:p w14:paraId="613205F4" w14:textId="77777777" w:rsidR="00170C80" w:rsidRPr="00170C80" w:rsidRDefault="00170C80" w:rsidP="00170C80">
      <w:pPr>
        <w:spacing w:before="0" w:after="0"/>
        <w:ind w:left="640" w:hanging="640"/>
        <w:rPr>
          <w:rFonts w:ascii="Times New Roman" w:hAnsi="Times New Roman" w:cs="Times New Roman"/>
          <w:noProof/>
        </w:rPr>
      </w:pPr>
      <w:r w:rsidRPr="00170C80">
        <w:rPr>
          <w:rFonts w:ascii="Times New Roman" w:hAnsi="Times New Roman" w:cs="Times New Roman"/>
          <w:noProof/>
        </w:rPr>
        <w:t>73.</w:t>
      </w:r>
      <w:r w:rsidRPr="00170C80">
        <w:rPr>
          <w:rFonts w:ascii="Times New Roman" w:hAnsi="Times New Roman" w:cs="Times New Roman"/>
          <w:noProof/>
        </w:rPr>
        <w:tab/>
        <w:t xml:space="preserve">McShane LM, Cavenagh MM, Lively TG, et al. </w:t>
      </w:r>
      <w:r w:rsidRPr="009018DF">
        <w:rPr>
          <w:rFonts w:ascii="Times New Roman" w:hAnsi="Times New Roman" w:cs="Times New Roman"/>
          <w:noProof/>
          <w:lang w:val="en-GB"/>
        </w:rPr>
        <w:t xml:space="preserve">Criteria for the use of omics-based predictors in clinical trials: explanation and elaboration. </w:t>
      </w:r>
      <w:r w:rsidRPr="00170C80">
        <w:rPr>
          <w:rFonts w:ascii="Times New Roman" w:hAnsi="Times New Roman" w:cs="Times New Roman"/>
          <w:i/>
          <w:iCs/>
          <w:noProof/>
        </w:rPr>
        <w:t>BMC Med.</w:t>
      </w:r>
      <w:r w:rsidRPr="00170C80">
        <w:rPr>
          <w:rFonts w:ascii="Times New Roman" w:hAnsi="Times New Roman" w:cs="Times New Roman"/>
          <w:noProof/>
        </w:rPr>
        <w:t xml:space="preserve"> 2013;11:220. </w:t>
      </w:r>
    </w:p>
    <w:p w14:paraId="571B575A"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74.</w:t>
      </w:r>
      <w:r w:rsidRPr="00170C80">
        <w:rPr>
          <w:rFonts w:ascii="Times New Roman" w:hAnsi="Times New Roman" w:cs="Times New Roman"/>
          <w:noProof/>
        </w:rPr>
        <w:tab/>
        <w:t xml:space="preserve">McShane LM, Altman DG, Sauerbrei W, et al. </w:t>
      </w:r>
      <w:r w:rsidRPr="009018DF">
        <w:rPr>
          <w:rFonts w:ascii="Times New Roman" w:hAnsi="Times New Roman" w:cs="Times New Roman"/>
          <w:noProof/>
          <w:lang w:val="en-GB"/>
        </w:rPr>
        <w:t xml:space="preserve">Reporting recommendations for tumor marker prognostic studies. </w:t>
      </w:r>
      <w:r w:rsidRPr="009018DF">
        <w:rPr>
          <w:rFonts w:ascii="Times New Roman" w:hAnsi="Times New Roman" w:cs="Times New Roman"/>
          <w:i/>
          <w:iCs/>
          <w:noProof/>
          <w:lang w:val="en-GB"/>
        </w:rPr>
        <w:t>J. Clin. Oncol.</w:t>
      </w:r>
      <w:r w:rsidRPr="009018DF">
        <w:rPr>
          <w:rFonts w:ascii="Times New Roman" w:hAnsi="Times New Roman" w:cs="Times New Roman"/>
          <w:noProof/>
          <w:lang w:val="en-GB"/>
        </w:rPr>
        <w:t xml:space="preserve"> 2005;23(36):9067–72. </w:t>
      </w:r>
    </w:p>
    <w:p w14:paraId="4EF2FF3F"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75.</w:t>
      </w:r>
      <w:r w:rsidRPr="009018DF">
        <w:rPr>
          <w:rFonts w:ascii="Times New Roman" w:hAnsi="Times New Roman" w:cs="Times New Roman"/>
          <w:noProof/>
          <w:lang w:val="en-GB"/>
        </w:rPr>
        <w:tab/>
        <w:t xml:space="preserve">Falgreen S, Ellern Bilgrau A, Brøndum RF, et al. hemaClass.org: Online One-By-One Microarray Normalization and Classification of Hematological Cancers for Precision Medicine. </w:t>
      </w:r>
      <w:r w:rsidRPr="009018DF">
        <w:rPr>
          <w:rFonts w:ascii="Times New Roman" w:hAnsi="Times New Roman" w:cs="Times New Roman"/>
          <w:i/>
          <w:iCs/>
          <w:noProof/>
          <w:lang w:val="en-GB"/>
        </w:rPr>
        <w:t>PLoS One</w:t>
      </w:r>
      <w:r w:rsidRPr="009018DF">
        <w:rPr>
          <w:rFonts w:ascii="Times New Roman" w:hAnsi="Times New Roman" w:cs="Times New Roman"/>
          <w:noProof/>
          <w:lang w:val="en-GB"/>
        </w:rPr>
        <w:t xml:space="preserve">. 2016;11(10):. </w:t>
      </w:r>
    </w:p>
    <w:p w14:paraId="5B36EEC6"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76.</w:t>
      </w:r>
      <w:r w:rsidRPr="009018DF">
        <w:rPr>
          <w:rFonts w:ascii="Times New Roman" w:hAnsi="Times New Roman" w:cs="Times New Roman"/>
          <w:noProof/>
          <w:lang w:val="en-GB"/>
        </w:rPr>
        <w:tab/>
        <w:t xml:space="preserve">Greaves M, Maley CC. Clonal evolution in cancer. </w:t>
      </w:r>
      <w:r w:rsidRPr="009018DF">
        <w:rPr>
          <w:rFonts w:ascii="Times New Roman" w:hAnsi="Times New Roman" w:cs="Times New Roman"/>
          <w:i/>
          <w:iCs/>
          <w:noProof/>
          <w:lang w:val="en-GB"/>
        </w:rPr>
        <w:t>Nature</w:t>
      </w:r>
      <w:r w:rsidRPr="009018DF">
        <w:rPr>
          <w:rFonts w:ascii="Times New Roman" w:hAnsi="Times New Roman" w:cs="Times New Roman"/>
          <w:noProof/>
          <w:lang w:val="en-GB"/>
        </w:rPr>
        <w:t xml:space="preserve">. 2012;481(7381):306–13. </w:t>
      </w:r>
    </w:p>
    <w:p w14:paraId="6573086E"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t>77.</w:t>
      </w:r>
      <w:r w:rsidRPr="009018DF">
        <w:rPr>
          <w:rFonts w:ascii="Times New Roman" w:hAnsi="Times New Roman" w:cs="Times New Roman"/>
          <w:noProof/>
          <w:lang w:val="en-GB"/>
        </w:rPr>
        <w:tab/>
        <w:t xml:space="preserve">Corre J, Munshi N, Avet-Loiseau H. Genetics of multiple myeloma: another heterogeneity level?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2015;125(12):1870–1876. </w:t>
      </w:r>
    </w:p>
    <w:p w14:paraId="09175063"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78.</w:t>
      </w:r>
      <w:r w:rsidRPr="009018DF">
        <w:rPr>
          <w:rFonts w:ascii="Times New Roman" w:hAnsi="Times New Roman" w:cs="Times New Roman"/>
          <w:noProof/>
          <w:lang w:val="en-GB"/>
        </w:rPr>
        <w:tab/>
        <w:t xml:space="preserve">Kuehl WM, Bergsagel PL. Multiple myeloma: evolving genetic events and host interactions. </w:t>
      </w:r>
      <w:r w:rsidRPr="00170C80">
        <w:rPr>
          <w:rFonts w:ascii="Times New Roman" w:hAnsi="Times New Roman" w:cs="Times New Roman"/>
          <w:i/>
          <w:iCs/>
          <w:noProof/>
        </w:rPr>
        <w:t>Nat. Rev. Cancer</w:t>
      </w:r>
      <w:r w:rsidRPr="00170C80">
        <w:rPr>
          <w:rFonts w:ascii="Times New Roman" w:hAnsi="Times New Roman" w:cs="Times New Roman"/>
          <w:noProof/>
        </w:rPr>
        <w:t xml:space="preserve">. 2002;2(3):175–87. </w:t>
      </w:r>
    </w:p>
    <w:p w14:paraId="5E739312" w14:textId="77777777" w:rsidR="00170C80" w:rsidRPr="00170C80" w:rsidRDefault="00170C80" w:rsidP="00170C80">
      <w:pPr>
        <w:spacing w:before="0" w:after="0"/>
        <w:ind w:left="640" w:hanging="640"/>
        <w:rPr>
          <w:rFonts w:ascii="Times New Roman" w:hAnsi="Times New Roman" w:cs="Times New Roman"/>
          <w:noProof/>
        </w:rPr>
      </w:pPr>
      <w:r w:rsidRPr="00170C80">
        <w:rPr>
          <w:rFonts w:ascii="Times New Roman" w:hAnsi="Times New Roman" w:cs="Times New Roman"/>
          <w:noProof/>
        </w:rPr>
        <w:t>79.</w:t>
      </w:r>
      <w:r w:rsidRPr="00170C80">
        <w:rPr>
          <w:rFonts w:ascii="Times New Roman" w:hAnsi="Times New Roman" w:cs="Times New Roman"/>
          <w:noProof/>
        </w:rPr>
        <w:tab/>
        <w:t xml:space="preserve">van Dongen JJM, Lhermitte L, Böttcher S, et al. </w:t>
      </w:r>
      <w:r w:rsidRPr="009018DF">
        <w:rPr>
          <w:rFonts w:ascii="Times New Roman" w:hAnsi="Times New Roman" w:cs="Times New Roman"/>
          <w:noProof/>
          <w:lang w:val="en-GB"/>
        </w:rPr>
        <w:t xml:space="preserve">EuroFlow antibody panels for standardized n-dimensional flow cytometric immunophenotyping of normal, reactive and malignant leukocytes. </w:t>
      </w:r>
      <w:r w:rsidRPr="00170C80">
        <w:rPr>
          <w:rFonts w:ascii="Times New Roman" w:hAnsi="Times New Roman" w:cs="Times New Roman"/>
          <w:i/>
          <w:iCs/>
          <w:noProof/>
        </w:rPr>
        <w:t>Leukemia</w:t>
      </w:r>
      <w:r w:rsidRPr="00170C80">
        <w:rPr>
          <w:rFonts w:ascii="Times New Roman" w:hAnsi="Times New Roman" w:cs="Times New Roman"/>
          <w:noProof/>
        </w:rPr>
        <w:t xml:space="preserve">. 2012;26(9):1908–75. </w:t>
      </w:r>
    </w:p>
    <w:p w14:paraId="12DE00B8" w14:textId="77777777" w:rsidR="00170C80" w:rsidRPr="009018DF" w:rsidRDefault="00170C80" w:rsidP="00170C80">
      <w:pPr>
        <w:spacing w:before="0" w:after="0"/>
        <w:ind w:left="640" w:hanging="640"/>
        <w:rPr>
          <w:rFonts w:ascii="Times New Roman" w:hAnsi="Times New Roman" w:cs="Times New Roman"/>
          <w:noProof/>
          <w:lang w:val="en-GB"/>
        </w:rPr>
      </w:pPr>
      <w:r w:rsidRPr="00170C80">
        <w:rPr>
          <w:rFonts w:ascii="Times New Roman" w:hAnsi="Times New Roman" w:cs="Times New Roman"/>
          <w:noProof/>
        </w:rPr>
        <w:t>80.</w:t>
      </w:r>
      <w:r w:rsidRPr="00170C80">
        <w:rPr>
          <w:rFonts w:ascii="Times New Roman" w:hAnsi="Times New Roman" w:cs="Times New Roman"/>
          <w:noProof/>
        </w:rPr>
        <w:tab/>
        <w:t xml:space="preserve">Paiva B, Perez-Andres M, Gutierrez ML, et al. </w:t>
      </w:r>
      <w:r w:rsidRPr="009018DF">
        <w:rPr>
          <w:rFonts w:ascii="Times New Roman" w:hAnsi="Times New Roman" w:cs="Times New Roman"/>
          <w:noProof/>
          <w:lang w:val="en-GB"/>
        </w:rPr>
        <w:t xml:space="preserve">CD56+ Clonal Plasma Cells In Multiple Myeloma Are Associated With Unique Disease Characteristics and Have a Counterpart Of CD56+ Normal Plasma Cells With Increased Maturity. </w:t>
      </w:r>
      <w:r w:rsidRPr="009018DF">
        <w:rPr>
          <w:rFonts w:ascii="Times New Roman" w:hAnsi="Times New Roman" w:cs="Times New Roman"/>
          <w:i/>
          <w:iCs/>
          <w:noProof/>
          <w:lang w:val="en-GB"/>
        </w:rPr>
        <w:t>Blood</w:t>
      </w:r>
      <w:r w:rsidRPr="009018DF">
        <w:rPr>
          <w:rFonts w:ascii="Times New Roman" w:hAnsi="Times New Roman" w:cs="Times New Roman"/>
          <w:noProof/>
          <w:lang w:val="en-GB"/>
        </w:rPr>
        <w:t xml:space="preserve">. 2013;122(21):. </w:t>
      </w:r>
    </w:p>
    <w:p w14:paraId="69CE4AE3" w14:textId="77777777" w:rsidR="00170C80" w:rsidRPr="009018DF" w:rsidRDefault="00170C80" w:rsidP="00170C80">
      <w:pPr>
        <w:spacing w:before="0" w:after="0"/>
        <w:ind w:left="640" w:hanging="640"/>
        <w:rPr>
          <w:rFonts w:ascii="Times New Roman" w:hAnsi="Times New Roman" w:cs="Times New Roman"/>
          <w:noProof/>
          <w:lang w:val="en-GB"/>
        </w:rPr>
      </w:pPr>
      <w:r w:rsidRPr="009018DF">
        <w:rPr>
          <w:rFonts w:ascii="Times New Roman" w:hAnsi="Times New Roman" w:cs="Times New Roman"/>
          <w:noProof/>
          <w:lang w:val="en-GB"/>
        </w:rPr>
        <w:lastRenderedPageBreak/>
        <w:t>81.</w:t>
      </w:r>
      <w:r w:rsidRPr="009018DF">
        <w:rPr>
          <w:rFonts w:ascii="Times New Roman" w:hAnsi="Times New Roman" w:cs="Times New Roman"/>
          <w:noProof/>
          <w:lang w:val="en-GB"/>
        </w:rPr>
        <w:tab/>
        <w:t xml:space="preserve">Alizadeh AA, Eisen MB, Davis RE, et al. Distinct types of diffuse large B-cell lymphoma identified by gene expression profiling. </w:t>
      </w:r>
      <w:r w:rsidRPr="009018DF">
        <w:rPr>
          <w:rFonts w:ascii="Times New Roman" w:hAnsi="Times New Roman" w:cs="Times New Roman"/>
          <w:i/>
          <w:iCs/>
          <w:noProof/>
          <w:lang w:val="en-GB"/>
        </w:rPr>
        <w:t>Nature</w:t>
      </w:r>
      <w:r w:rsidRPr="009018DF">
        <w:rPr>
          <w:rFonts w:ascii="Times New Roman" w:hAnsi="Times New Roman" w:cs="Times New Roman"/>
          <w:noProof/>
          <w:lang w:val="en-GB"/>
        </w:rPr>
        <w:t xml:space="preserve">. 2000;403(6769):503–11. </w:t>
      </w:r>
    </w:p>
    <w:p w14:paraId="2A1BE193" w14:textId="77777777" w:rsidR="00170C80" w:rsidRPr="00170C80" w:rsidRDefault="00170C80" w:rsidP="00170C80">
      <w:pPr>
        <w:spacing w:before="0" w:after="0"/>
        <w:ind w:left="640" w:hanging="640"/>
        <w:rPr>
          <w:rFonts w:ascii="Times New Roman" w:hAnsi="Times New Roman" w:cs="Times New Roman"/>
          <w:noProof/>
        </w:rPr>
      </w:pPr>
      <w:r w:rsidRPr="009018DF">
        <w:rPr>
          <w:rFonts w:ascii="Times New Roman" w:hAnsi="Times New Roman" w:cs="Times New Roman"/>
          <w:noProof/>
          <w:lang w:val="en-GB"/>
        </w:rPr>
        <w:t>82.</w:t>
      </w:r>
      <w:r w:rsidRPr="009018DF">
        <w:rPr>
          <w:rFonts w:ascii="Times New Roman" w:hAnsi="Times New Roman" w:cs="Times New Roman"/>
          <w:noProof/>
          <w:lang w:val="en-GB"/>
        </w:rPr>
        <w:tab/>
        <w:t xml:space="preserve">Engelhardt M, Terpos E, Kleber M, et al. European Myeloma Network recommendations on the evaluation and treatment of newly diagnosed patients with multiple myeloma. </w:t>
      </w:r>
      <w:r w:rsidRPr="00170C80">
        <w:rPr>
          <w:rFonts w:ascii="Times New Roman" w:hAnsi="Times New Roman" w:cs="Times New Roman"/>
          <w:i/>
          <w:iCs/>
          <w:noProof/>
        </w:rPr>
        <w:t>Haematologica</w:t>
      </w:r>
      <w:r w:rsidRPr="00170C80">
        <w:rPr>
          <w:rFonts w:ascii="Times New Roman" w:hAnsi="Times New Roman" w:cs="Times New Roman"/>
          <w:noProof/>
        </w:rPr>
        <w:t xml:space="preserve">. 2014;99(2):232–242. </w:t>
      </w:r>
    </w:p>
    <w:p w14:paraId="5A96F2EC" w14:textId="713F837E" w:rsidR="00F85D82" w:rsidRPr="00B6133E" w:rsidRDefault="00D45DC5">
      <w:pPr>
        <w:widowControl/>
        <w:autoSpaceDE/>
        <w:autoSpaceDN/>
        <w:adjustRightInd/>
        <w:spacing w:before="0" w:after="0"/>
        <w:jc w:val="left"/>
        <w:rPr>
          <w:rFonts w:ascii="Times New Roman" w:hAnsi="Times New Roman" w:cs="Times New Roman"/>
          <w:b/>
          <w:bCs/>
          <w:iCs/>
          <w:caps/>
          <w:sz w:val="28"/>
          <w:szCs w:val="28"/>
          <w:lang w:val="en-US"/>
        </w:rPr>
      </w:pPr>
      <w:r w:rsidRPr="00B6133E">
        <w:rPr>
          <w:rFonts w:ascii="Times New Roman" w:hAnsi="Times New Roman" w:cs="Times New Roman"/>
          <w:lang w:val="en-US"/>
        </w:rPr>
        <w:fldChar w:fldCharType="end"/>
      </w:r>
      <w:r w:rsidR="00F85D82" w:rsidRPr="00B6133E">
        <w:rPr>
          <w:rFonts w:ascii="Times New Roman" w:hAnsi="Times New Roman" w:cs="Times New Roman"/>
          <w:lang w:val="en-US"/>
        </w:rPr>
        <w:br w:type="page"/>
      </w:r>
    </w:p>
    <w:p w14:paraId="69884D73" w14:textId="5C7C09DC" w:rsidR="00651421" w:rsidRPr="00B6133E" w:rsidRDefault="00651421" w:rsidP="00B6133E">
      <w:pPr>
        <w:pStyle w:val="Overskrift2"/>
      </w:pPr>
      <w:r w:rsidRPr="00B6133E">
        <w:lastRenderedPageBreak/>
        <w:t>Table</w:t>
      </w:r>
      <w:r w:rsidR="00633382" w:rsidRPr="00B6133E">
        <w:t>s</w:t>
      </w:r>
      <w:r w:rsidRPr="00B6133E">
        <w:t xml:space="preserve"> </w:t>
      </w:r>
      <w:r w:rsidR="00F143B9" w:rsidRPr="00B6133E">
        <w:t xml:space="preserve">and figure </w:t>
      </w:r>
      <w:r w:rsidRPr="00B6133E">
        <w:t>legends</w:t>
      </w:r>
    </w:p>
    <w:p w14:paraId="5C153713" w14:textId="77777777" w:rsidR="00F143B9" w:rsidRPr="00B6133E" w:rsidRDefault="00F143B9" w:rsidP="00F143B9">
      <w:pPr>
        <w:rPr>
          <w:rFonts w:ascii="Times New Roman" w:hAnsi="Times New Roman" w:cs="Times New Roman"/>
          <w:lang w:val="en-US"/>
        </w:rPr>
      </w:pPr>
    </w:p>
    <w:tbl>
      <w:tblPr>
        <w:tblStyle w:val="Lysskygge11"/>
        <w:tblW w:w="5000" w:type="pct"/>
        <w:tblLayout w:type="fixed"/>
        <w:tblLook w:val="04A0" w:firstRow="1" w:lastRow="0" w:firstColumn="1" w:lastColumn="0" w:noHBand="0" w:noVBand="1"/>
      </w:tblPr>
      <w:tblGrid>
        <w:gridCol w:w="1138"/>
        <w:gridCol w:w="237"/>
        <w:gridCol w:w="517"/>
        <w:gridCol w:w="322"/>
        <w:gridCol w:w="285"/>
        <w:gridCol w:w="353"/>
        <w:gridCol w:w="351"/>
        <w:gridCol w:w="328"/>
        <w:gridCol w:w="370"/>
        <w:gridCol w:w="370"/>
        <w:gridCol w:w="391"/>
        <w:gridCol w:w="378"/>
        <w:gridCol w:w="490"/>
        <w:gridCol w:w="262"/>
        <w:gridCol w:w="391"/>
        <w:gridCol w:w="389"/>
        <w:gridCol w:w="351"/>
        <w:gridCol w:w="305"/>
        <w:gridCol w:w="303"/>
        <w:gridCol w:w="324"/>
        <w:gridCol w:w="449"/>
        <w:gridCol w:w="449"/>
        <w:gridCol w:w="233"/>
        <w:gridCol w:w="651"/>
      </w:tblGrid>
      <w:tr w:rsidR="00F35A29" w:rsidRPr="00812DE2" w14:paraId="5C94AEFE" w14:textId="77777777" w:rsidTr="00B22E77">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000" w:type="pct"/>
            <w:gridSpan w:val="24"/>
            <w:noWrap/>
          </w:tcPr>
          <w:p w14:paraId="2D101224" w14:textId="69B7B07A" w:rsidR="00F35A29" w:rsidRPr="00B6133E" w:rsidRDefault="00F35A29" w:rsidP="00ED25EA">
            <w:pPr>
              <w:widowControl/>
              <w:autoSpaceDE/>
              <w:autoSpaceDN/>
              <w:adjustRightInd/>
              <w:spacing w:before="60" w:line="480" w:lineRule="auto"/>
              <w:jc w:val="left"/>
              <w:rPr>
                <w:rFonts w:ascii="Times New Roman" w:hAnsi="Times New Roman" w:cs="Times New Roman"/>
                <w:b w:val="0"/>
                <w:sz w:val="20"/>
                <w:szCs w:val="20"/>
              </w:rPr>
            </w:pPr>
            <w:r w:rsidRPr="00B6133E">
              <w:rPr>
                <w:rFonts w:ascii="Times New Roman" w:hAnsi="Times New Roman" w:cs="Times New Roman"/>
              </w:rPr>
              <w:t>Table 1</w:t>
            </w:r>
            <w:r w:rsidR="006D3C92" w:rsidRPr="00B6133E">
              <w:rPr>
                <w:rFonts w:ascii="Times New Roman" w:hAnsi="Times New Roman" w:cs="Times New Roman"/>
              </w:rPr>
              <w:t xml:space="preserve"> </w:t>
            </w:r>
            <w:r w:rsidRPr="00B6133E">
              <w:rPr>
                <w:rFonts w:ascii="Times New Roman" w:hAnsi="Times New Roman" w:cs="Times New Roman"/>
              </w:rPr>
              <w:t>BAGS defined subtype analysis.</w:t>
            </w:r>
          </w:p>
        </w:tc>
      </w:tr>
      <w:tr w:rsidR="00E04845" w:rsidRPr="00812DE2" w14:paraId="5225AE37"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000" w:type="pct"/>
            <w:gridSpan w:val="24"/>
            <w:noWrap/>
          </w:tcPr>
          <w:p w14:paraId="4F0A1DCA" w14:textId="43ACA83C" w:rsidR="00E04845" w:rsidRPr="00B6133E" w:rsidRDefault="00E04845">
            <w:pPr>
              <w:widowControl/>
              <w:autoSpaceDE/>
              <w:autoSpaceDN/>
              <w:adjustRightInd/>
              <w:spacing w:after="0" w:line="480" w:lineRule="auto"/>
              <w:jc w:val="center"/>
              <w:rPr>
                <w:rFonts w:ascii="Times New Roman" w:hAnsi="Times New Roman" w:cs="Times New Roman"/>
              </w:rPr>
            </w:pPr>
            <w:r w:rsidRPr="00B6133E">
              <w:rPr>
                <w:rFonts w:ascii="Times New Roman" w:hAnsi="Times New Roman" w:cs="Times New Roman"/>
              </w:rPr>
              <w:t>Frequencies across data sets (P= 0.</w:t>
            </w:r>
            <w:r w:rsidR="0064783A" w:rsidRPr="00B6133E">
              <w:rPr>
                <w:rFonts w:ascii="Times New Roman" w:hAnsi="Times New Roman" w:cs="Times New Roman"/>
              </w:rPr>
              <w:t>90</w:t>
            </w:r>
            <w:r w:rsidRPr="00B6133E">
              <w:rPr>
                <w:rFonts w:ascii="Times New Roman" w:hAnsi="Times New Roman" w:cs="Times New Roman"/>
              </w:rPr>
              <w:t>).</w:t>
            </w:r>
          </w:p>
        </w:tc>
      </w:tr>
      <w:tr w:rsidR="004A592D" w:rsidRPr="00B6133E" w14:paraId="4CE123DC"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hideMark/>
          </w:tcPr>
          <w:p w14:paraId="0A995A09" w14:textId="77777777" w:rsidR="009A472B" w:rsidRPr="00B6133E" w:rsidRDefault="009A472B"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Group</w:t>
            </w:r>
          </w:p>
        </w:tc>
        <w:tc>
          <w:tcPr>
            <w:tcW w:w="435" w:type="pct"/>
            <w:gridSpan w:val="2"/>
            <w:noWrap/>
            <w:hideMark/>
          </w:tcPr>
          <w:p w14:paraId="381FCDE2" w14:textId="77777777" w:rsidR="009A472B" w:rsidRPr="00B6133E" w:rsidRDefault="00FB11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proofErr w:type="spellStart"/>
            <w:r w:rsidRPr="00B6133E">
              <w:rPr>
                <w:rFonts w:ascii="Times New Roman" w:hAnsi="Times New Roman" w:cs="Times New Roman"/>
                <w:b/>
                <w:sz w:val="20"/>
                <w:szCs w:val="20"/>
              </w:rPr>
              <w:t>Pre</w:t>
            </w:r>
            <w:r w:rsidR="009A472B" w:rsidRPr="00B6133E">
              <w:rPr>
                <w:rFonts w:ascii="Times New Roman" w:hAnsi="Times New Roman" w:cs="Times New Roman"/>
                <w:b/>
                <w:sz w:val="20"/>
                <w:szCs w:val="20"/>
              </w:rPr>
              <w:t>BI</w:t>
            </w:r>
            <w:proofErr w:type="spellEnd"/>
            <w:r w:rsidRPr="00B6133E">
              <w:rPr>
                <w:rFonts w:ascii="Times New Roman" w:hAnsi="Times New Roman" w:cs="Times New Roman"/>
                <w:b/>
                <w:sz w:val="20"/>
                <w:szCs w:val="20"/>
              </w:rPr>
              <w:t xml:space="preserve"> (%</w:t>
            </w:r>
            <w:r w:rsidR="00942CFB" w:rsidRPr="00B6133E">
              <w:rPr>
                <w:rFonts w:ascii="Times New Roman" w:hAnsi="Times New Roman" w:cs="Times New Roman"/>
                <w:b/>
                <w:sz w:val="20"/>
                <w:szCs w:val="20"/>
              </w:rPr>
              <w:t>)</w:t>
            </w:r>
          </w:p>
        </w:tc>
        <w:tc>
          <w:tcPr>
            <w:tcW w:w="513" w:type="pct"/>
            <w:gridSpan w:val="3"/>
            <w:noWrap/>
            <w:hideMark/>
          </w:tcPr>
          <w:p w14:paraId="372A1CF0" w14:textId="77777777" w:rsidR="009A472B" w:rsidRPr="00B6133E" w:rsidRDefault="00FB11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proofErr w:type="spellStart"/>
            <w:r w:rsidRPr="00B6133E">
              <w:rPr>
                <w:rFonts w:ascii="Times New Roman" w:hAnsi="Times New Roman" w:cs="Times New Roman"/>
                <w:b/>
                <w:sz w:val="20"/>
                <w:szCs w:val="20"/>
              </w:rPr>
              <w:t>Pre</w:t>
            </w:r>
            <w:r w:rsidR="009A472B" w:rsidRPr="00B6133E">
              <w:rPr>
                <w:rFonts w:ascii="Times New Roman" w:hAnsi="Times New Roman" w:cs="Times New Roman"/>
                <w:b/>
                <w:sz w:val="20"/>
                <w:szCs w:val="20"/>
              </w:rPr>
              <w:t>BII</w:t>
            </w:r>
            <w:proofErr w:type="spellEnd"/>
            <w:r w:rsidRPr="00B6133E">
              <w:rPr>
                <w:rFonts w:ascii="Times New Roman" w:hAnsi="Times New Roman" w:cs="Times New Roman"/>
                <w:b/>
                <w:sz w:val="20"/>
                <w:szCs w:val="20"/>
              </w:rPr>
              <w:t xml:space="preserve"> (%</w:t>
            </w:r>
            <w:r w:rsidR="00942CFB" w:rsidRPr="00B6133E">
              <w:rPr>
                <w:rFonts w:ascii="Times New Roman" w:hAnsi="Times New Roman" w:cs="Times New Roman"/>
                <w:b/>
                <w:sz w:val="20"/>
                <w:szCs w:val="20"/>
              </w:rPr>
              <w:t>)</w:t>
            </w:r>
          </w:p>
        </w:tc>
        <w:tc>
          <w:tcPr>
            <w:tcW w:w="554" w:type="pct"/>
            <w:gridSpan w:val="3"/>
            <w:noWrap/>
            <w:hideMark/>
          </w:tcPr>
          <w:p w14:paraId="65A4E1C0" w14:textId="77777777" w:rsidR="009A472B" w:rsidRPr="00B6133E" w:rsidRDefault="00FB11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proofErr w:type="spellStart"/>
            <w:r w:rsidRPr="00B6133E">
              <w:rPr>
                <w:rFonts w:ascii="Times New Roman" w:hAnsi="Times New Roman" w:cs="Times New Roman"/>
                <w:b/>
                <w:sz w:val="20"/>
                <w:szCs w:val="20"/>
              </w:rPr>
              <w:t>Im</w:t>
            </w:r>
            <w:proofErr w:type="spellEnd"/>
            <w:r w:rsidRPr="00B6133E">
              <w:rPr>
                <w:rFonts w:ascii="Times New Roman" w:hAnsi="Times New Roman" w:cs="Times New Roman"/>
                <w:b/>
                <w:sz w:val="20"/>
                <w:szCs w:val="20"/>
              </w:rPr>
              <w:t xml:space="preserve"> (%</w:t>
            </w:r>
            <w:r w:rsidR="00942CFB" w:rsidRPr="00B6133E">
              <w:rPr>
                <w:rFonts w:ascii="Times New Roman" w:hAnsi="Times New Roman" w:cs="Times New Roman"/>
                <w:b/>
                <w:sz w:val="20"/>
                <w:szCs w:val="20"/>
              </w:rPr>
              <w:t>)</w:t>
            </w:r>
          </w:p>
        </w:tc>
        <w:tc>
          <w:tcPr>
            <w:tcW w:w="653" w:type="pct"/>
            <w:gridSpan w:val="3"/>
            <w:noWrap/>
            <w:hideMark/>
          </w:tcPr>
          <w:p w14:paraId="0175764B" w14:textId="77777777" w:rsidR="009A472B" w:rsidRPr="00B6133E" w:rsidRDefault="00FB11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N</w:t>
            </w:r>
            <w:r w:rsidR="00942CFB" w:rsidRPr="00B6133E">
              <w:rPr>
                <w:rFonts w:ascii="Times New Roman" w:hAnsi="Times New Roman" w:cs="Times New Roman"/>
                <w:b/>
                <w:sz w:val="20"/>
                <w:szCs w:val="20"/>
              </w:rPr>
              <w:t xml:space="preserve"> (%)</w:t>
            </w:r>
          </w:p>
        </w:tc>
        <w:tc>
          <w:tcPr>
            <w:tcW w:w="541" w:type="pct"/>
            <w:gridSpan w:val="3"/>
            <w:noWrap/>
            <w:hideMark/>
          </w:tcPr>
          <w:p w14:paraId="1247D22C" w14:textId="77777777" w:rsidR="009A472B" w:rsidRPr="00B6133E" w:rsidRDefault="00FB11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M</w:t>
            </w:r>
            <w:r w:rsidR="00942CFB" w:rsidRPr="00B6133E">
              <w:rPr>
                <w:rFonts w:ascii="Times New Roman" w:hAnsi="Times New Roman" w:cs="Times New Roman"/>
                <w:b/>
                <w:sz w:val="20"/>
                <w:szCs w:val="20"/>
              </w:rPr>
              <w:t xml:space="preserve"> (%)</w:t>
            </w:r>
          </w:p>
        </w:tc>
        <w:tc>
          <w:tcPr>
            <w:tcW w:w="497" w:type="pct"/>
            <w:gridSpan w:val="3"/>
            <w:noWrap/>
            <w:hideMark/>
          </w:tcPr>
          <w:p w14:paraId="68569AEE" w14:textId="77777777" w:rsidR="009A472B" w:rsidRPr="00B6133E" w:rsidRDefault="00FB11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PC</w:t>
            </w:r>
            <w:r w:rsidR="00942CFB" w:rsidRPr="00B6133E">
              <w:rPr>
                <w:rFonts w:ascii="Times New Roman" w:hAnsi="Times New Roman" w:cs="Times New Roman"/>
                <w:b/>
                <w:sz w:val="20"/>
                <w:szCs w:val="20"/>
              </w:rPr>
              <w:t xml:space="preserve"> (%)</w:t>
            </w:r>
          </w:p>
        </w:tc>
        <w:tc>
          <w:tcPr>
            <w:tcW w:w="634" w:type="pct"/>
            <w:gridSpan w:val="3"/>
            <w:noWrap/>
            <w:hideMark/>
          </w:tcPr>
          <w:p w14:paraId="5D828399" w14:textId="77777777" w:rsidR="009A472B"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 xml:space="preserve">UC </w:t>
            </w:r>
            <w:r w:rsidR="00942CFB" w:rsidRPr="00B6133E">
              <w:rPr>
                <w:rFonts w:ascii="Times New Roman" w:hAnsi="Times New Roman" w:cs="Times New Roman"/>
                <w:b/>
                <w:sz w:val="20"/>
                <w:szCs w:val="20"/>
              </w:rPr>
              <w:t>(%)</w:t>
            </w:r>
          </w:p>
        </w:tc>
        <w:tc>
          <w:tcPr>
            <w:tcW w:w="460" w:type="pct"/>
            <w:gridSpan w:val="2"/>
            <w:noWrap/>
            <w:hideMark/>
          </w:tcPr>
          <w:p w14:paraId="72FF72B9" w14:textId="77777777" w:rsidR="009A472B" w:rsidRPr="00B6133E" w:rsidRDefault="009A472B"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Sum</w:t>
            </w:r>
          </w:p>
        </w:tc>
      </w:tr>
      <w:tr w:rsidR="004A592D" w:rsidRPr="00B6133E" w14:paraId="39141E92"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hideMark/>
          </w:tcPr>
          <w:p w14:paraId="7429841D" w14:textId="77777777" w:rsidR="009A472B" w:rsidRPr="00B6133E" w:rsidRDefault="009A472B"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UAMS</w:t>
            </w:r>
          </w:p>
        </w:tc>
        <w:tc>
          <w:tcPr>
            <w:tcW w:w="435" w:type="pct"/>
            <w:gridSpan w:val="2"/>
            <w:noWrap/>
            <w:hideMark/>
          </w:tcPr>
          <w:p w14:paraId="77BE3A87" w14:textId="77777777" w:rsidR="009A472B" w:rsidRPr="00B6133E" w:rsidRDefault="009A472B"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 (1)</w:t>
            </w:r>
          </w:p>
        </w:tc>
        <w:tc>
          <w:tcPr>
            <w:tcW w:w="513" w:type="pct"/>
            <w:gridSpan w:val="3"/>
            <w:noWrap/>
            <w:hideMark/>
          </w:tcPr>
          <w:p w14:paraId="57D83FC2" w14:textId="77777777" w:rsidR="009A472B" w:rsidRPr="00B6133E" w:rsidRDefault="009A472B"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29 (5)</w:t>
            </w:r>
          </w:p>
        </w:tc>
        <w:tc>
          <w:tcPr>
            <w:tcW w:w="554" w:type="pct"/>
            <w:gridSpan w:val="3"/>
            <w:noWrap/>
            <w:hideMark/>
          </w:tcPr>
          <w:p w14:paraId="1E12D2EA" w14:textId="77777777" w:rsidR="009A472B" w:rsidRPr="00B6133E" w:rsidRDefault="009A472B"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58 (10)</w:t>
            </w:r>
          </w:p>
        </w:tc>
        <w:tc>
          <w:tcPr>
            <w:tcW w:w="653" w:type="pct"/>
            <w:gridSpan w:val="3"/>
            <w:noWrap/>
            <w:hideMark/>
          </w:tcPr>
          <w:p w14:paraId="533221E4" w14:textId="77777777" w:rsidR="009A472B" w:rsidRPr="00B6133E" w:rsidRDefault="009A472B"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143 (26)</w:t>
            </w:r>
          </w:p>
        </w:tc>
        <w:tc>
          <w:tcPr>
            <w:tcW w:w="541" w:type="pct"/>
            <w:gridSpan w:val="3"/>
            <w:noWrap/>
            <w:hideMark/>
          </w:tcPr>
          <w:p w14:paraId="454AFB39" w14:textId="77777777" w:rsidR="009A472B" w:rsidRPr="00B6133E" w:rsidRDefault="009A472B"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219 (39)</w:t>
            </w:r>
          </w:p>
        </w:tc>
        <w:tc>
          <w:tcPr>
            <w:tcW w:w="497" w:type="pct"/>
            <w:gridSpan w:val="3"/>
            <w:noWrap/>
            <w:hideMark/>
          </w:tcPr>
          <w:p w14:paraId="689499EA" w14:textId="77777777" w:rsidR="009A472B" w:rsidRPr="00B6133E" w:rsidRDefault="009A472B"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23 (4)</w:t>
            </w:r>
          </w:p>
        </w:tc>
        <w:tc>
          <w:tcPr>
            <w:tcW w:w="634" w:type="pct"/>
            <w:gridSpan w:val="3"/>
            <w:noWrap/>
            <w:hideMark/>
          </w:tcPr>
          <w:p w14:paraId="27E1888A" w14:textId="77777777" w:rsidR="009A472B" w:rsidRPr="00B6133E" w:rsidRDefault="009A472B"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84 (15)</w:t>
            </w:r>
          </w:p>
        </w:tc>
        <w:tc>
          <w:tcPr>
            <w:tcW w:w="460" w:type="pct"/>
            <w:gridSpan w:val="2"/>
            <w:noWrap/>
            <w:hideMark/>
          </w:tcPr>
          <w:p w14:paraId="123FEA81" w14:textId="77777777" w:rsidR="009A472B" w:rsidRPr="00B6133E" w:rsidRDefault="009A472B"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559</w:t>
            </w:r>
          </w:p>
        </w:tc>
      </w:tr>
      <w:tr w:rsidR="004A592D" w:rsidRPr="00B6133E" w14:paraId="787EDD0C"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hideMark/>
          </w:tcPr>
          <w:p w14:paraId="53E59A5C" w14:textId="77777777" w:rsidR="009A472B" w:rsidRPr="00B6133E" w:rsidRDefault="009A472B" w:rsidP="00ED25EA">
            <w:pPr>
              <w:widowControl/>
              <w:autoSpaceDE/>
              <w:autoSpaceDN/>
              <w:adjustRightInd/>
              <w:spacing w:before="60" w:line="480" w:lineRule="auto"/>
              <w:jc w:val="center"/>
              <w:rPr>
                <w:rFonts w:ascii="Times New Roman" w:hAnsi="Times New Roman" w:cs="Times New Roman"/>
                <w:sz w:val="20"/>
                <w:szCs w:val="20"/>
              </w:rPr>
            </w:pPr>
            <w:proofErr w:type="spellStart"/>
            <w:r w:rsidRPr="00B6133E">
              <w:rPr>
                <w:rFonts w:ascii="Times New Roman" w:hAnsi="Times New Roman" w:cs="Times New Roman"/>
                <w:sz w:val="20"/>
                <w:szCs w:val="20"/>
              </w:rPr>
              <w:t>Hovon</w:t>
            </w:r>
            <w:proofErr w:type="spellEnd"/>
            <w:r w:rsidRPr="00B6133E">
              <w:rPr>
                <w:rFonts w:ascii="Times New Roman" w:hAnsi="Times New Roman" w:cs="Times New Roman"/>
                <w:sz w:val="20"/>
                <w:szCs w:val="20"/>
              </w:rPr>
              <w:t xml:space="preserve"> 65</w:t>
            </w:r>
          </w:p>
        </w:tc>
        <w:tc>
          <w:tcPr>
            <w:tcW w:w="435" w:type="pct"/>
            <w:gridSpan w:val="2"/>
            <w:noWrap/>
            <w:hideMark/>
          </w:tcPr>
          <w:p w14:paraId="2A5F94AA" w14:textId="77777777" w:rsidR="009A472B" w:rsidRPr="00B6133E" w:rsidRDefault="009A472B"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(1)</w:t>
            </w:r>
          </w:p>
        </w:tc>
        <w:tc>
          <w:tcPr>
            <w:tcW w:w="513" w:type="pct"/>
            <w:gridSpan w:val="3"/>
            <w:noWrap/>
            <w:hideMark/>
          </w:tcPr>
          <w:p w14:paraId="2FD6FE0C" w14:textId="77777777" w:rsidR="009A472B" w:rsidRPr="00B6133E" w:rsidRDefault="009A472B"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19 (6)</w:t>
            </w:r>
          </w:p>
        </w:tc>
        <w:tc>
          <w:tcPr>
            <w:tcW w:w="554" w:type="pct"/>
            <w:gridSpan w:val="3"/>
            <w:noWrap/>
            <w:hideMark/>
          </w:tcPr>
          <w:p w14:paraId="65DCE65A" w14:textId="77777777" w:rsidR="009A472B" w:rsidRPr="00B6133E" w:rsidRDefault="009A472B"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45 (14)</w:t>
            </w:r>
          </w:p>
        </w:tc>
        <w:tc>
          <w:tcPr>
            <w:tcW w:w="653" w:type="pct"/>
            <w:gridSpan w:val="3"/>
            <w:noWrap/>
            <w:hideMark/>
          </w:tcPr>
          <w:p w14:paraId="667DFC49" w14:textId="77777777" w:rsidR="009A472B" w:rsidRPr="00B6133E" w:rsidRDefault="009A472B"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61 (19)</w:t>
            </w:r>
          </w:p>
        </w:tc>
        <w:tc>
          <w:tcPr>
            <w:tcW w:w="541" w:type="pct"/>
            <w:gridSpan w:val="3"/>
            <w:noWrap/>
            <w:hideMark/>
          </w:tcPr>
          <w:p w14:paraId="0A446473" w14:textId="77777777" w:rsidR="009A472B" w:rsidRPr="00B6133E" w:rsidRDefault="009A472B"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134 (42)</w:t>
            </w:r>
          </w:p>
        </w:tc>
        <w:tc>
          <w:tcPr>
            <w:tcW w:w="497" w:type="pct"/>
            <w:gridSpan w:val="3"/>
            <w:noWrap/>
            <w:hideMark/>
          </w:tcPr>
          <w:p w14:paraId="7CCE40C7" w14:textId="51BED9A4" w:rsidR="009A472B" w:rsidRPr="00B6133E" w:rsidRDefault="009A472B" w:rsidP="00BD1D89">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 xml:space="preserve">11 </w:t>
            </w:r>
          </w:p>
        </w:tc>
        <w:tc>
          <w:tcPr>
            <w:tcW w:w="634" w:type="pct"/>
            <w:gridSpan w:val="3"/>
            <w:noWrap/>
            <w:hideMark/>
          </w:tcPr>
          <w:p w14:paraId="0F980A8E" w14:textId="77777777" w:rsidR="009A472B" w:rsidRPr="00B6133E" w:rsidRDefault="009A472B"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48 (15)</w:t>
            </w:r>
          </w:p>
        </w:tc>
        <w:tc>
          <w:tcPr>
            <w:tcW w:w="460" w:type="pct"/>
            <w:gridSpan w:val="2"/>
            <w:noWrap/>
            <w:hideMark/>
          </w:tcPr>
          <w:p w14:paraId="56D9B197" w14:textId="77777777" w:rsidR="009A472B" w:rsidRPr="00B6133E" w:rsidRDefault="009A472B"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320</w:t>
            </w:r>
          </w:p>
        </w:tc>
      </w:tr>
      <w:tr w:rsidR="004A592D" w:rsidRPr="00B6133E" w14:paraId="2C682565"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tcPr>
          <w:p w14:paraId="35F3047B" w14:textId="77777777" w:rsidR="00BB11C6" w:rsidRPr="00B6133E" w:rsidRDefault="00BB11C6"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Myeloma IX</w:t>
            </w:r>
          </w:p>
        </w:tc>
        <w:tc>
          <w:tcPr>
            <w:tcW w:w="435" w:type="pct"/>
            <w:gridSpan w:val="2"/>
            <w:noWrap/>
          </w:tcPr>
          <w:p w14:paraId="46FFA48C"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 (0)</w:t>
            </w:r>
          </w:p>
        </w:tc>
        <w:tc>
          <w:tcPr>
            <w:tcW w:w="513" w:type="pct"/>
            <w:gridSpan w:val="3"/>
            <w:noWrap/>
          </w:tcPr>
          <w:p w14:paraId="58585BBC"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14 (6)</w:t>
            </w:r>
          </w:p>
        </w:tc>
        <w:tc>
          <w:tcPr>
            <w:tcW w:w="554" w:type="pct"/>
            <w:gridSpan w:val="3"/>
            <w:noWrap/>
          </w:tcPr>
          <w:p w14:paraId="50C42312"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23 (9)</w:t>
            </w:r>
          </w:p>
        </w:tc>
        <w:tc>
          <w:tcPr>
            <w:tcW w:w="653" w:type="pct"/>
            <w:gridSpan w:val="3"/>
            <w:noWrap/>
          </w:tcPr>
          <w:p w14:paraId="0F825956"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59 (24)</w:t>
            </w:r>
          </w:p>
        </w:tc>
        <w:tc>
          <w:tcPr>
            <w:tcW w:w="541" w:type="pct"/>
            <w:gridSpan w:val="3"/>
            <w:noWrap/>
          </w:tcPr>
          <w:p w14:paraId="16A9EC05"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105 (43)</w:t>
            </w:r>
          </w:p>
        </w:tc>
        <w:tc>
          <w:tcPr>
            <w:tcW w:w="497" w:type="pct"/>
            <w:gridSpan w:val="3"/>
            <w:noWrap/>
          </w:tcPr>
          <w:p w14:paraId="0FD04300"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 (3)</w:t>
            </w:r>
          </w:p>
        </w:tc>
        <w:tc>
          <w:tcPr>
            <w:tcW w:w="634" w:type="pct"/>
            <w:gridSpan w:val="3"/>
            <w:noWrap/>
          </w:tcPr>
          <w:p w14:paraId="43A71FE8"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37 (15)</w:t>
            </w:r>
          </w:p>
        </w:tc>
        <w:tc>
          <w:tcPr>
            <w:tcW w:w="460" w:type="pct"/>
            <w:gridSpan w:val="2"/>
            <w:noWrap/>
          </w:tcPr>
          <w:p w14:paraId="7D7FD700"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247</w:t>
            </w:r>
          </w:p>
        </w:tc>
      </w:tr>
      <w:tr w:rsidR="004A592D" w:rsidRPr="00B6133E" w14:paraId="2A438481"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tcPr>
          <w:p w14:paraId="326F5A0D" w14:textId="07704428" w:rsidR="00BB11C6" w:rsidRPr="00B6133E" w:rsidRDefault="007204D2"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IFM-</w:t>
            </w:r>
            <w:r w:rsidR="00BB11C6" w:rsidRPr="00B6133E">
              <w:rPr>
                <w:rFonts w:ascii="Times New Roman" w:hAnsi="Times New Roman" w:cs="Times New Roman"/>
                <w:sz w:val="20"/>
                <w:szCs w:val="20"/>
              </w:rPr>
              <w:t>DFCI</w:t>
            </w:r>
          </w:p>
        </w:tc>
        <w:tc>
          <w:tcPr>
            <w:tcW w:w="435" w:type="pct"/>
            <w:gridSpan w:val="2"/>
            <w:noWrap/>
          </w:tcPr>
          <w:p w14:paraId="74DE6DB3" w14:textId="77777777" w:rsidR="00BB11C6" w:rsidRPr="00B6133E" w:rsidRDefault="00BB11C6"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(1)</w:t>
            </w:r>
          </w:p>
        </w:tc>
        <w:tc>
          <w:tcPr>
            <w:tcW w:w="513" w:type="pct"/>
            <w:gridSpan w:val="3"/>
            <w:noWrap/>
          </w:tcPr>
          <w:p w14:paraId="14236916" w14:textId="0369639B" w:rsidR="00BB11C6" w:rsidRPr="00B6133E" w:rsidRDefault="0064783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 xml:space="preserve">11 </w:t>
            </w:r>
            <w:r w:rsidR="00BB11C6" w:rsidRPr="00B6133E">
              <w:rPr>
                <w:rFonts w:ascii="Times New Roman" w:hAnsi="Times New Roman" w:cs="Times New Roman"/>
                <w:sz w:val="20"/>
                <w:szCs w:val="20"/>
              </w:rPr>
              <w:t>(</w:t>
            </w:r>
            <w:r w:rsidRPr="00B6133E">
              <w:rPr>
                <w:rFonts w:ascii="Times New Roman" w:hAnsi="Times New Roman" w:cs="Times New Roman"/>
                <w:sz w:val="20"/>
                <w:szCs w:val="20"/>
              </w:rPr>
              <w:t>6</w:t>
            </w:r>
            <w:r w:rsidR="00BB11C6" w:rsidRPr="00B6133E">
              <w:rPr>
                <w:rFonts w:ascii="Times New Roman" w:hAnsi="Times New Roman" w:cs="Times New Roman"/>
                <w:sz w:val="20"/>
                <w:szCs w:val="20"/>
              </w:rPr>
              <w:t>)</w:t>
            </w:r>
          </w:p>
        </w:tc>
        <w:tc>
          <w:tcPr>
            <w:tcW w:w="554" w:type="pct"/>
            <w:gridSpan w:val="3"/>
            <w:noWrap/>
          </w:tcPr>
          <w:p w14:paraId="2D832A9D" w14:textId="77777777" w:rsidR="00BB11C6" w:rsidRPr="00B6133E" w:rsidRDefault="00BB11C6"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21 (12)</w:t>
            </w:r>
          </w:p>
        </w:tc>
        <w:tc>
          <w:tcPr>
            <w:tcW w:w="653" w:type="pct"/>
            <w:gridSpan w:val="3"/>
            <w:noWrap/>
          </w:tcPr>
          <w:p w14:paraId="1C0696AA" w14:textId="7D1EE18F" w:rsidR="00BB11C6" w:rsidRPr="00B6133E" w:rsidRDefault="0064783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 xml:space="preserve">38 </w:t>
            </w:r>
            <w:r w:rsidR="00BB11C6" w:rsidRPr="00B6133E">
              <w:rPr>
                <w:rFonts w:ascii="Times New Roman" w:hAnsi="Times New Roman" w:cs="Times New Roman"/>
                <w:sz w:val="20"/>
                <w:szCs w:val="20"/>
              </w:rPr>
              <w:t>(22)</w:t>
            </w:r>
          </w:p>
        </w:tc>
        <w:tc>
          <w:tcPr>
            <w:tcW w:w="541" w:type="pct"/>
            <w:gridSpan w:val="3"/>
            <w:noWrap/>
          </w:tcPr>
          <w:p w14:paraId="43CEB221" w14:textId="24C02A41" w:rsidR="00BB11C6" w:rsidRPr="00B6133E" w:rsidRDefault="0064783A"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 xml:space="preserve">68 </w:t>
            </w:r>
            <w:r w:rsidR="00BB11C6" w:rsidRPr="00B6133E">
              <w:rPr>
                <w:rFonts w:ascii="Times New Roman" w:hAnsi="Times New Roman" w:cs="Times New Roman"/>
                <w:sz w:val="20"/>
                <w:szCs w:val="20"/>
              </w:rPr>
              <w:t>(40)</w:t>
            </w:r>
          </w:p>
        </w:tc>
        <w:tc>
          <w:tcPr>
            <w:tcW w:w="497" w:type="pct"/>
            <w:gridSpan w:val="3"/>
            <w:noWrap/>
          </w:tcPr>
          <w:p w14:paraId="6B946292" w14:textId="77777777" w:rsidR="00BB11C6" w:rsidRPr="00B6133E" w:rsidRDefault="00BB11C6"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 (2)</w:t>
            </w:r>
          </w:p>
        </w:tc>
        <w:tc>
          <w:tcPr>
            <w:tcW w:w="634" w:type="pct"/>
            <w:gridSpan w:val="3"/>
            <w:noWrap/>
          </w:tcPr>
          <w:p w14:paraId="369658ED" w14:textId="7B21CA77" w:rsidR="00BB11C6" w:rsidRPr="00B6133E" w:rsidRDefault="0064783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 xml:space="preserve">26 </w:t>
            </w:r>
            <w:r w:rsidR="00BB11C6" w:rsidRPr="00B6133E">
              <w:rPr>
                <w:rFonts w:ascii="Times New Roman" w:hAnsi="Times New Roman" w:cs="Times New Roman"/>
                <w:sz w:val="20"/>
                <w:szCs w:val="20"/>
              </w:rPr>
              <w:t>(15)</w:t>
            </w:r>
          </w:p>
        </w:tc>
        <w:tc>
          <w:tcPr>
            <w:tcW w:w="460" w:type="pct"/>
            <w:gridSpan w:val="2"/>
            <w:noWrap/>
          </w:tcPr>
          <w:p w14:paraId="40DE4680" w14:textId="5A6122AD" w:rsidR="00BB11C6" w:rsidRPr="00B6133E" w:rsidRDefault="0064783A" w:rsidP="00B22E77">
            <w:pPr>
              <w:widowControl/>
              <w:tabs>
                <w:tab w:val="center" w:pos="237"/>
              </w:tabs>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170</w:t>
            </w:r>
          </w:p>
        </w:tc>
      </w:tr>
      <w:tr w:rsidR="004A592D" w:rsidRPr="00B6133E" w14:paraId="481FFF57"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hideMark/>
          </w:tcPr>
          <w:p w14:paraId="7B3F00D5" w14:textId="77777777" w:rsidR="00BB11C6" w:rsidRPr="00B6133E" w:rsidRDefault="00BB11C6"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Sum</w:t>
            </w:r>
            <w:r w:rsidR="00546976" w:rsidRPr="00B6133E">
              <w:rPr>
                <w:rFonts w:ascii="Times New Roman" w:hAnsi="Times New Roman" w:cs="Times New Roman"/>
                <w:sz w:val="20"/>
                <w:szCs w:val="20"/>
              </w:rPr>
              <w:t>*</w:t>
            </w:r>
          </w:p>
        </w:tc>
        <w:tc>
          <w:tcPr>
            <w:tcW w:w="435" w:type="pct"/>
            <w:gridSpan w:val="2"/>
            <w:noWrap/>
            <w:hideMark/>
          </w:tcPr>
          <w:p w14:paraId="3B0FDF85"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 (1)</w:t>
            </w:r>
          </w:p>
        </w:tc>
        <w:tc>
          <w:tcPr>
            <w:tcW w:w="513" w:type="pct"/>
            <w:gridSpan w:val="3"/>
            <w:noWrap/>
            <w:hideMark/>
          </w:tcPr>
          <w:p w14:paraId="6AFEB9C5"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75 (6)</w:t>
            </w:r>
          </w:p>
        </w:tc>
        <w:tc>
          <w:tcPr>
            <w:tcW w:w="554" w:type="pct"/>
            <w:gridSpan w:val="3"/>
            <w:noWrap/>
            <w:hideMark/>
          </w:tcPr>
          <w:p w14:paraId="4929AD35"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147 (11)</w:t>
            </w:r>
          </w:p>
        </w:tc>
        <w:tc>
          <w:tcPr>
            <w:tcW w:w="653" w:type="pct"/>
            <w:gridSpan w:val="3"/>
            <w:noWrap/>
            <w:hideMark/>
          </w:tcPr>
          <w:p w14:paraId="5EE6A0CB"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302 (23)</w:t>
            </w:r>
          </w:p>
        </w:tc>
        <w:tc>
          <w:tcPr>
            <w:tcW w:w="541" w:type="pct"/>
            <w:gridSpan w:val="3"/>
            <w:noWrap/>
            <w:hideMark/>
          </w:tcPr>
          <w:p w14:paraId="50B38415"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528 (41)</w:t>
            </w:r>
          </w:p>
        </w:tc>
        <w:tc>
          <w:tcPr>
            <w:tcW w:w="497" w:type="pct"/>
            <w:gridSpan w:val="3"/>
            <w:noWrap/>
            <w:hideMark/>
          </w:tcPr>
          <w:p w14:paraId="11DEE888"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46 (4)</w:t>
            </w:r>
          </w:p>
        </w:tc>
        <w:tc>
          <w:tcPr>
            <w:tcW w:w="634" w:type="pct"/>
            <w:gridSpan w:val="3"/>
            <w:noWrap/>
            <w:hideMark/>
          </w:tcPr>
          <w:p w14:paraId="2F8B6726" w14:textId="77777777" w:rsidR="00BB11C6" w:rsidRPr="00B6133E" w:rsidRDefault="00BB11C6"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196 (15)</w:t>
            </w:r>
          </w:p>
        </w:tc>
        <w:tc>
          <w:tcPr>
            <w:tcW w:w="460" w:type="pct"/>
            <w:gridSpan w:val="2"/>
            <w:noWrap/>
            <w:hideMark/>
          </w:tcPr>
          <w:p w14:paraId="1200EA0F" w14:textId="5B7C32F8" w:rsidR="00BB11C6" w:rsidRPr="00B6133E" w:rsidRDefault="0064783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1296</w:t>
            </w:r>
          </w:p>
        </w:tc>
      </w:tr>
      <w:tr w:rsidR="00F35A29" w:rsidRPr="00B6133E" w14:paraId="4CCD52C2"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5000" w:type="pct"/>
            <w:gridSpan w:val="24"/>
            <w:noWrap/>
          </w:tcPr>
          <w:p w14:paraId="0E9387CC" w14:textId="77777777" w:rsidR="00F35A29" w:rsidRPr="00B6133E" w:rsidRDefault="00F35A29" w:rsidP="00ED25EA">
            <w:pPr>
              <w:widowControl/>
              <w:autoSpaceDE/>
              <w:autoSpaceDN/>
              <w:adjustRightInd/>
              <w:spacing w:before="60" w:line="480" w:lineRule="auto"/>
              <w:jc w:val="center"/>
              <w:rPr>
                <w:rFonts w:ascii="Times New Roman" w:hAnsi="Times New Roman" w:cs="Times New Roman"/>
                <w:b w:val="0"/>
                <w:sz w:val="20"/>
                <w:szCs w:val="20"/>
              </w:rPr>
            </w:pPr>
          </w:p>
        </w:tc>
      </w:tr>
      <w:tr w:rsidR="00E04845" w:rsidRPr="00812DE2" w14:paraId="436B8F7A"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000" w:type="pct"/>
            <w:gridSpan w:val="24"/>
            <w:noWrap/>
          </w:tcPr>
          <w:p w14:paraId="7BECB869" w14:textId="00BB3EFF" w:rsidR="00E04845" w:rsidRPr="00B6133E" w:rsidRDefault="001779C4">
            <w:pPr>
              <w:widowControl/>
              <w:autoSpaceDE/>
              <w:autoSpaceDN/>
              <w:adjustRightInd/>
              <w:spacing w:after="0" w:line="480" w:lineRule="auto"/>
              <w:jc w:val="center"/>
              <w:rPr>
                <w:rFonts w:ascii="Times New Roman" w:hAnsi="Times New Roman" w:cs="Times New Roman"/>
              </w:rPr>
            </w:pPr>
            <w:r w:rsidRPr="00B6133E">
              <w:rPr>
                <w:rFonts w:ascii="Times New Roman" w:hAnsi="Times New Roman" w:cs="Times New Roman"/>
              </w:rPr>
              <w:t>A</w:t>
            </w:r>
            <w:r w:rsidR="00E04845" w:rsidRPr="00B6133E">
              <w:rPr>
                <w:rFonts w:ascii="Times New Roman" w:hAnsi="Times New Roman" w:cs="Times New Roman"/>
              </w:rPr>
              <w:t>ssociation with the TC classification (P</w:t>
            </w:r>
            <w:r w:rsidR="00D60CD8" w:rsidRPr="00B6133E">
              <w:rPr>
                <w:rFonts w:ascii="Times New Roman" w:hAnsi="Times New Roman" w:cs="Times New Roman"/>
              </w:rPr>
              <w:t>&lt; 0.001</w:t>
            </w:r>
            <w:r w:rsidR="00E04845" w:rsidRPr="00B6133E">
              <w:rPr>
                <w:rFonts w:ascii="Times New Roman" w:hAnsi="Times New Roman" w:cs="Times New Roman"/>
              </w:rPr>
              <w:t>).</w:t>
            </w:r>
          </w:p>
        </w:tc>
      </w:tr>
      <w:tr w:rsidR="004A592D" w:rsidRPr="00B6133E" w14:paraId="176007C9"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hideMark/>
          </w:tcPr>
          <w:p w14:paraId="106C1490" w14:textId="77777777" w:rsidR="00EC0862" w:rsidRPr="00B6133E" w:rsidRDefault="00EC0862"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Group</w:t>
            </w:r>
          </w:p>
        </w:tc>
        <w:tc>
          <w:tcPr>
            <w:tcW w:w="583" w:type="pct"/>
            <w:gridSpan w:val="3"/>
            <w:noWrap/>
            <w:hideMark/>
          </w:tcPr>
          <w:p w14:paraId="1D5D989A"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proofErr w:type="spellStart"/>
            <w:r w:rsidRPr="00B6133E">
              <w:rPr>
                <w:rFonts w:ascii="Times New Roman" w:hAnsi="Times New Roman" w:cs="Times New Roman"/>
                <w:b/>
                <w:sz w:val="20"/>
                <w:szCs w:val="20"/>
              </w:rPr>
              <w:t>PreBI</w:t>
            </w:r>
            <w:proofErr w:type="spellEnd"/>
            <w:r w:rsidRPr="00B6133E">
              <w:rPr>
                <w:rFonts w:ascii="Times New Roman" w:hAnsi="Times New Roman" w:cs="Times New Roman"/>
                <w:b/>
                <w:sz w:val="20"/>
                <w:szCs w:val="20"/>
              </w:rPr>
              <w:t xml:space="preserve"> (%)</w:t>
            </w:r>
          </w:p>
        </w:tc>
        <w:tc>
          <w:tcPr>
            <w:tcW w:w="535" w:type="pct"/>
            <w:gridSpan w:val="3"/>
            <w:noWrap/>
            <w:hideMark/>
          </w:tcPr>
          <w:p w14:paraId="2AB41FF1"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proofErr w:type="spellStart"/>
            <w:r w:rsidRPr="00B6133E">
              <w:rPr>
                <w:rFonts w:ascii="Times New Roman" w:hAnsi="Times New Roman" w:cs="Times New Roman"/>
                <w:b/>
                <w:sz w:val="20"/>
                <w:szCs w:val="20"/>
              </w:rPr>
              <w:t>PreBII</w:t>
            </w:r>
            <w:proofErr w:type="spellEnd"/>
            <w:r w:rsidRPr="00B6133E">
              <w:rPr>
                <w:rFonts w:ascii="Times New Roman" w:hAnsi="Times New Roman" w:cs="Times New Roman"/>
                <w:b/>
                <w:sz w:val="20"/>
                <w:szCs w:val="20"/>
              </w:rPr>
              <w:t xml:space="preserve"> (%)</w:t>
            </w:r>
          </w:p>
        </w:tc>
        <w:tc>
          <w:tcPr>
            <w:tcW w:w="587" w:type="pct"/>
            <w:gridSpan w:val="3"/>
            <w:noWrap/>
            <w:hideMark/>
          </w:tcPr>
          <w:p w14:paraId="5B3A2BC7"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proofErr w:type="spellStart"/>
            <w:r w:rsidRPr="00B6133E">
              <w:rPr>
                <w:rFonts w:ascii="Times New Roman" w:hAnsi="Times New Roman" w:cs="Times New Roman"/>
                <w:b/>
                <w:sz w:val="20"/>
                <w:szCs w:val="20"/>
              </w:rPr>
              <w:t>Im</w:t>
            </w:r>
            <w:proofErr w:type="spellEnd"/>
            <w:r w:rsidRPr="00B6133E">
              <w:rPr>
                <w:rFonts w:ascii="Times New Roman" w:hAnsi="Times New Roman" w:cs="Times New Roman"/>
                <w:b/>
                <w:sz w:val="20"/>
                <w:szCs w:val="20"/>
              </w:rPr>
              <w:t xml:space="preserve"> (%)</w:t>
            </w:r>
          </w:p>
        </w:tc>
        <w:tc>
          <w:tcPr>
            <w:tcW w:w="586" w:type="pct"/>
            <w:gridSpan w:val="3"/>
            <w:noWrap/>
            <w:hideMark/>
          </w:tcPr>
          <w:p w14:paraId="61AE5937"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N (%)</w:t>
            </w:r>
          </w:p>
        </w:tc>
        <w:tc>
          <w:tcPr>
            <w:tcW w:w="587" w:type="pct"/>
            <w:gridSpan w:val="3"/>
            <w:noWrap/>
            <w:hideMark/>
          </w:tcPr>
          <w:p w14:paraId="78A190B5"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M (%)</w:t>
            </w:r>
          </w:p>
        </w:tc>
        <w:tc>
          <w:tcPr>
            <w:tcW w:w="483" w:type="pct"/>
            <w:gridSpan w:val="3"/>
            <w:noWrap/>
            <w:hideMark/>
          </w:tcPr>
          <w:p w14:paraId="69396803"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PC (%)</w:t>
            </w:r>
          </w:p>
        </w:tc>
        <w:tc>
          <w:tcPr>
            <w:tcW w:w="587" w:type="pct"/>
            <w:gridSpan w:val="3"/>
            <w:noWrap/>
            <w:hideMark/>
          </w:tcPr>
          <w:p w14:paraId="5A582975"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UC (%)</w:t>
            </w:r>
          </w:p>
        </w:tc>
        <w:tc>
          <w:tcPr>
            <w:tcW w:w="339" w:type="pct"/>
            <w:noWrap/>
            <w:hideMark/>
          </w:tcPr>
          <w:p w14:paraId="033B5CB4"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Sum</w:t>
            </w:r>
          </w:p>
        </w:tc>
      </w:tr>
      <w:tr w:rsidR="004A592D" w:rsidRPr="00B6133E" w14:paraId="6E24866C"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vAlign w:val="bottom"/>
            <w:hideMark/>
          </w:tcPr>
          <w:p w14:paraId="5A176BCF" w14:textId="2A6C7279" w:rsidR="005A540C" w:rsidRPr="00B6133E" w:rsidRDefault="005A540C" w:rsidP="005A540C">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4p16</w:t>
            </w:r>
          </w:p>
        </w:tc>
        <w:tc>
          <w:tcPr>
            <w:tcW w:w="583" w:type="pct"/>
            <w:gridSpan w:val="3"/>
            <w:noWrap/>
            <w:vAlign w:val="bottom"/>
            <w:hideMark/>
          </w:tcPr>
          <w:p w14:paraId="4F8FC11C" w14:textId="1D706623"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 (1)</w:t>
            </w:r>
          </w:p>
        </w:tc>
        <w:tc>
          <w:tcPr>
            <w:tcW w:w="535" w:type="pct"/>
            <w:gridSpan w:val="3"/>
            <w:noWrap/>
            <w:vAlign w:val="bottom"/>
            <w:hideMark/>
          </w:tcPr>
          <w:p w14:paraId="58F03200" w14:textId="7C0B0FB3"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21 (12)</w:t>
            </w:r>
          </w:p>
        </w:tc>
        <w:tc>
          <w:tcPr>
            <w:tcW w:w="587" w:type="pct"/>
            <w:gridSpan w:val="3"/>
            <w:noWrap/>
            <w:vAlign w:val="bottom"/>
            <w:hideMark/>
          </w:tcPr>
          <w:p w14:paraId="11BB1A3F" w14:textId="4F662EB4"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7 (4)</w:t>
            </w:r>
          </w:p>
        </w:tc>
        <w:tc>
          <w:tcPr>
            <w:tcW w:w="586" w:type="pct"/>
            <w:gridSpan w:val="3"/>
            <w:noWrap/>
            <w:vAlign w:val="bottom"/>
            <w:hideMark/>
          </w:tcPr>
          <w:p w14:paraId="51EA9A1C" w14:textId="1E1A7FCB"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45 (25)</w:t>
            </w:r>
          </w:p>
        </w:tc>
        <w:tc>
          <w:tcPr>
            <w:tcW w:w="587" w:type="pct"/>
            <w:gridSpan w:val="3"/>
            <w:noWrap/>
            <w:vAlign w:val="bottom"/>
            <w:hideMark/>
          </w:tcPr>
          <w:p w14:paraId="3026F8FE" w14:textId="79A53E66"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78 (44)</w:t>
            </w:r>
          </w:p>
        </w:tc>
        <w:tc>
          <w:tcPr>
            <w:tcW w:w="483" w:type="pct"/>
            <w:gridSpan w:val="3"/>
            <w:noWrap/>
            <w:vAlign w:val="bottom"/>
            <w:hideMark/>
          </w:tcPr>
          <w:p w14:paraId="622AF36D" w14:textId="5357BCF9"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 (2)</w:t>
            </w:r>
          </w:p>
        </w:tc>
        <w:tc>
          <w:tcPr>
            <w:tcW w:w="587" w:type="pct"/>
            <w:gridSpan w:val="3"/>
            <w:noWrap/>
            <w:vAlign w:val="bottom"/>
            <w:hideMark/>
          </w:tcPr>
          <w:p w14:paraId="24C97D8F" w14:textId="67F98847"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22 (12)</w:t>
            </w:r>
          </w:p>
        </w:tc>
        <w:tc>
          <w:tcPr>
            <w:tcW w:w="339" w:type="pct"/>
            <w:noWrap/>
            <w:vAlign w:val="bottom"/>
            <w:hideMark/>
          </w:tcPr>
          <w:p w14:paraId="60E28C12" w14:textId="6AEDF43E"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177</w:t>
            </w:r>
          </w:p>
        </w:tc>
      </w:tr>
      <w:tr w:rsidR="004A592D" w:rsidRPr="00B6133E" w14:paraId="69097EE1"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vAlign w:val="bottom"/>
            <w:hideMark/>
          </w:tcPr>
          <w:p w14:paraId="0A45CF0E" w14:textId="45BFD04E" w:rsidR="005A540C" w:rsidRPr="00B6133E" w:rsidRDefault="005A540C" w:rsidP="005A540C">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MAF</w:t>
            </w:r>
          </w:p>
        </w:tc>
        <w:tc>
          <w:tcPr>
            <w:tcW w:w="583" w:type="pct"/>
            <w:gridSpan w:val="3"/>
            <w:noWrap/>
            <w:vAlign w:val="bottom"/>
            <w:hideMark/>
          </w:tcPr>
          <w:p w14:paraId="3324FC44" w14:textId="6AA71BD2"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(2)</w:t>
            </w:r>
          </w:p>
        </w:tc>
        <w:tc>
          <w:tcPr>
            <w:tcW w:w="535" w:type="pct"/>
            <w:gridSpan w:val="3"/>
            <w:noWrap/>
            <w:vAlign w:val="bottom"/>
            <w:hideMark/>
          </w:tcPr>
          <w:p w14:paraId="2CEE8EAD" w14:textId="27E33F2D"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 (5)</w:t>
            </w:r>
          </w:p>
        </w:tc>
        <w:tc>
          <w:tcPr>
            <w:tcW w:w="587" w:type="pct"/>
            <w:gridSpan w:val="3"/>
            <w:noWrap/>
            <w:vAlign w:val="bottom"/>
            <w:hideMark/>
          </w:tcPr>
          <w:p w14:paraId="56E451BF" w14:textId="53FB6CCD"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12 (15)</w:t>
            </w:r>
          </w:p>
        </w:tc>
        <w:tc>
          <w:tcPr>
            <w:tcW w:w="586" w:type="pct"/>
            <w:gridSpan w:val="3"/>
            <w:noWrap/>
            <w:vAlign w:val="bottom"/>
            <w:hideMark/>
          </w:tcPr>
          <w:p w14:paraId="1020F07F" w14:textId="6F89CAF0"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25 (30)</w:t>
            </w:r>
          </w:p>
        </w:tc>
        <w:tc>
          <w:tcPr>
            <w:tcW w:w="587" w:type="pct"/>
            <w:gridSpan w:val="3"/>
            <w:noWrap/>
            <w:vAlign w:val="bottom"/>
            <w:hideMark/>
          </w:tcPr>
          <w:p w14:paraId="5AB6DF06" w14:textId="143B4A8F"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31 (38)</w:t>
            </w:r>
          </w:p>
        </w:tc>
        <w:tc>
          <w:tcPr>
            <w:tcW w:w="483" w:type="pct"/>
            <w:gridSpan w:val="3"/>
            <w:noWrap/>
            <w:vAlign w:val="bottom"/>
            <w:hideMark/>
          </w:tcPr>
          <w:p w14:paraId="3496CD6F" w14:textId="41A7FCAE"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 (1)</w:t>
            </w:r>
          </w:p>
        </w:tc>
        <w:tc>
          <w:tcPr>
            <w:tcW w:w="587" w:type="pct"/>
            <w:gridSpan w:val="3"/>
            <w:noWrap/>
            <w:vAlign w:val="bottom"/>
            <w:hideMark/>
          </w:tcPr>
          <w:p w14:paraId="1853F684" w14:textId="649589E8"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7 (9)</w:t>
            </w:r>
          </w:p>
        </w:tc>
        <w:tc>
          <w:tcPr>
            <w:tcW w:w="339" w:type="pct"/>
            <w:noWrap/>
            <w:vAlign w:val="bottom"/>
            <w:hideMark/>
          </w:tcPr>
          <w:p w14:paraId="6824DB9A" w14:textId="57D87C4C"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82</w:t>
            </w:r>
          </w:p>
        </w:tc>
      </w:tr>
      <w:tr w:rsidR="004A592D" w:rsidRPr="00B6133E" w14:paraId="4B56435B"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vAlign w:val="bottom"/>
            <w:hideMark/>
          </w:tcPr>
          <w:p w14:paraId="2C557912" w14:textId="2725427B" w:rsidR="005A540C" w:rsidRPr="00B6133E" w:rsidRDefault="005A540C" w:rsidP="005A540C">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6p21</w:t>
            </w:r>
          </w:p>
        </w:tc>
        <w:tc>
          <w:tcPr>
            <w:tcW w:w="583" w:type="pct"/>
            <w:gridSpan w:val="3"/>
            <w:noWrap/>
            <w:vAlign w:val="bottom"/>
            <w:hideMark/>
          </w:tcPr>
          <w:p w14:paraId="661280A0" w14:textId="5B743E7A"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 (1)</w:t>
            </w:r>
          </w:p>
        </w:tc>
        <w:tc>
          <w:tcPr>
            <w:tcW w:w="535" w:type="pct"/>
            <w:gridSpan w:val="3"/>
            <w:noWrap/>
            <w:vAlign w:val="bottom"/>
            <w:hideMark/>
          </w:tcPr>
          <w:p w14:paraId="6EDD7933" w14:textId="158DA757"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(2)</w:t>
            </w:r>
          </w:p>
        </w:tc>
        <w:tc>
          <w:tcPr>
            <w:tcW w:w="587" w:type="pct"/>
            <w:gridSpan w:val="3"/>
            <w:noWrap/>
            <w:vAlign w:val="bottom"/>
            <w:hideMark/>
          </w:tcPr>
          <w:p w14:paraId="417F9C21" w14:textId="76595FFC"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12 (14)</w:t>
            </w:r>
          </w:p>
        </w:tc>
        <w:tc>
          <w:tcPr>
            <w:tcW w:w="586" w:type="pct"/>
            <w:gridSpan w:val="3"/>
            <w:noWrap/>
            <w:vAlign w:val="bottom"/>
            <w:hideMark/>
          </w:tcPr>
          <w:p w14:paraId="5795688A" w14:textId="5DC44D44"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19 (22)</w:t>
            </w:r>
          </w:p>
        </w:tc>
        <w:tc>
          <w:tcPr>
            <w:tcW w:w="587" w:type="pct"/>
            <w:gridSpan w:val="3"/>
            <w:noWrap/>
            <w:vAlign w:val="bottom"/>
            <w:hideMark/>
          </w:tcPr>
          <w:p w14:paraId="19D86C13" w14:textId="4ED51A52"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36 (42)</w:t>
            </w:r>
          </w:p>
        </w:tc>
        <w:tc>
          <w:tcPr>
            <w:tcW w:w="483" w:type="pct"/>
            <w:gridSpan w:val="3"/>
            <w:noWrap/>
            <w:vAlign w:val="bottom"/>
            <w:hideMark/>
          </w:tcPr>
          <w:p w14:paraId="1EB6C4A2" w14:textId="605F95DA"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(2)</w:t>
            </w:r>
          </w:p>
        </w:tc>
        <w:tc>
          <w:tcPr>
            <w:tcW w:w="587" w:type="pct"/>
            <w:gridSpan w:val="3"/>
            <w:noWrap/>
            <w:vAlign w:val="bottom"/>
            <w:hideMark/>
          </w:tcPr>
          <w:p w14:paraId="64A24960" w14:textId="4E04B2C6"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14 (16)</w:t>
            </w:r>
          </w:p>
        </w:tc>
        <w:tc>
          <w:tcPr>
            <w:tcW w:w="339" w:type="pct"/>
            <w:noWrap/>
            <w:vAlign w:val="bottom"/>
            <w:hideMark/>
          </w:tcPr>
          <w:p w14:paraId="40E5CF80" w14:textId="254B22F5"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86</w:t>
            </w:r>
          </w:p>
        </w:tc>
      </w:tr>
      <w:tr w:rsidR="004A592D" w:rsidRPr="00B6133E" w14:paraId="6C736A2D"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vAlign w:val="bottom"/>
            <w:hideMark/>
          </w:tcPr>
          <w:p w14:paraId="4762DC70" w14:textId="4E88E05A" w:rsidR="005A540C" w:rsidRPr="00B6133E" w:rsidRDefault="005A540C" w:rsidP="005A540C">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11q13</w:t>
            </w:r>
          </w:p>
        </w:tc>
        <w:tc>
          <w:tcPr>
            <w:tcW w:w="583" w:type="pct"/>
            <w:gridSpan w:val="3"/>
            <w:noWrap/>
            <w:vAlign w:val="bottom"/>
            <w:hideMark/>
          </w:tcPr>
          <w:p w14:paraId="36AFA17C" w14:textId="7413C43E"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0 (0)</w:t>
            </w:r>
          </w:p>
        </w:tc>
        <w:tc>
          <w:tcPr>
            <w:tcW w:w="535" w:type="pct"/>
            <w:gridSpan w:val="3"/>
            <w:noWrap/>
            <w:vAlign w:val="bottom"/>
            <w:hideMark/>
          </w:tcPr>
          <w:p w14:paraId="0AD2E200" w14:textId="355C7FC7"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 (2)</w:t>
            </w:r>
          </w:p>
        </w:tc>
        <w:tc>
          <w:tcPr>
            <w:tcW w:w="587" w:type="pct"/>
            <w:gridSpan w:val="3"/>
            <w:noWrap/>
            <w:vAlign w:val="bottom"/>
            <w:hideMark/>
          </w:tcPr>
          <w:p w14:paraId="5734C635" w14:textId="389EB582"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11 (7)</w:t>
            </w:r>
          </w:p>
        </w:tc>
        <w:tc>
          <w:tcPr>
            <w:tcW w:w="586" w:type="pct"/>
            <w:gridSpan w:val="3"/>
            <w:noWrap/>
            <w:vAlign w:val="bottom"/>
            <w:hideMark/>
          </w:tcPr>
          <w:p w14:paraId="1EA4BF8A" w14:textId="3BA60941"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46 (29)</w:t>
            </w:r>
          </w:p>
        </w:tc>
        <w:tc>
          <w:tcPr>
            <w:tcW w:w="587" w:type="pct"/>
            <w:gridSpan w:val="3"/>
            <w:noWrap/>
            <w:vAlign w:val="bottom"/>
            <w:hideMark/>
          </w:tcPr>
          <w:p w14:paraId="3154D445" w14:textId="6BBDD1F6"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81 (51)</w:t>
            </w:r>
          </w:p>
        </w:tc>
        <w:tc>
          <w:tcPr>
            <w:tcW w:w="483" w:type="pct"/>
            <w:gridSpan w:val="3"/>
            <w:noWrap/>
            <w:vAlign w:val="bottom"/>
            <w:hideMark/>
          </w:tcPr>
          <w:p w14:paraId="1E602B51" w14:textId="6C2CB1EA"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 (2)</w:t>
            </w:r>
          </w:p>
        </w:tc>
        <w:tc>
          <w:tcPr>
            <w:tcW w:w="587" w:type="pct"/>
            <w:gridSpan w:val="3"/>
            <w:noWrap/>
            <w:vAlign w:val="bottom"/>
          </w:tcPr>
          <w:p w14:paraId="6A6A8A81" w14:textId="09B25F6A"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15 (9)</w:t>
            </w:r>
          </w:p>
        </w:tc>
        <w:tc>
          <w:tcPr>
            <w:tcW w:w="339" w:type="pct"/>
            <w:noWrap/>
            <w:vAlign w:val="bottom"/>
          </w:tcPr>
          <w:p w14:paraId="14506D07" w14:textId="1B030D4C"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160</w:t>
            </w:r>
          </w:p>
        </w:tc>
      </w:tr>
      <w:tr w:rsidR="004A592D" w:rsidRPr="00B6133E" w14:paraId="6CB61117"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vAlign w:val="bottom"/>
            <w:hideMark/>
          </w:tcPr>
          <w:p w14:paraId="22BD28E0" w14:textId="5F21E164" w:rsidR="005A540C" w:rsidRPr="00B6133E" w:rsidRDefault="005A540C" w:rsidP="005A540C">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D1</w:t>
            </w:r>
          </w:p>
        </w:tc>
        <w:tc>
          <w:tcPr>
            <w:tcW w:w="583" w:type="pct"/>
            <w:gridSpan w:val="3"/>
            <w:noWrap/>
            <w:vAlign w:val="bottom"/>
            <w:hideMark/>
          </w:tcPr>
          <w:p w14:paraId="4DD5DBD6" w14:textId="31D0AFCA"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(0)</w:t>
            </w:r>
          </w:p>
        </w:tc>
        <w:tc>
          <w:tcPr>
            <w:tcW w:w="535" w:type="pct"/>
            <w:gridSpan w:val="3"/>
            <w:noWrap/>
            <w:vAlign w:val="bottom"/>
            <w:hideMark/>
          </w:tcPr>
          <w:p w14:paraId="205F7F01" w14:textId="2DF4B8E4"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11 (3)</w:t>
            </w:r>
          </w:p>
        </w:tc>
        <w:tc>
          <w:tcPr>
            <w:tcW w:w="587" w:type="pct"/>
            <w:gridSpan w:val="3"/>
            <w:noWrap/>
            <w:vAlign w:val="bottom"/>
            <w:hideMark/>
          </w:tcPr>
          <w:p w14:paraId="0A98102D" w14:textId="2065DADF"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63 (15)</w:t>
            </w:r>
          </w:p>
        </w:tc>
        <w:tc>
          <w:tcPr>
            <w:tcW w:w="586" w:type="pct"/>
            <w:gridSpan w:val="3"/>
            <w:noWrap/>
            <w:vAlign w:val="bottom"/>
            <w:hideMark/>
          </w:tcPr>
          <w:p w14:paraId="06B1346A" w14:textId="7E8A60E5"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89 (21)</w:t>
            </w:r>
          </w:p>
        </w:tc>
        <w:tc>
          <w:tcPr>
            <w:tcW w:w="587" w:type="pct"/>
            <w:gridSpan w:val="3"/>
            <w:noWrap/>
            <w:vAlign w:val="bottom"/>
            <w:hideMark/>
          </w:tcPr>
          <w:p w14:paraId="57348479" w14:textId="1DB420C3"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157 (37)</w:t>
            </w:r>
          </w:p>
        </w:tc>
        <w:tc>
          <w:tcPr>
            <w:tcW w:w="483" w:type="pct"/>
            <w:gridSpan w:val="3"/>
            <w:noWrap/>
            <w:vAlign w:val="bottom"/>
            <w:hideMark/>
          </w:tcPr>
          <w:p w14:paraId="14CAF81E" w14:textId="22599E27"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19 (5)</w:t>
            </w:r>
          </w:p>
        </w:tc>
        <w:tc>
          <w:tcPr>
            <w:tcW w:w="587" w:type="pct"/>
            <w:gridSpan w:val="3"/>
            <w:noWrap/>
            <w:vAlign w:val="bottom"/>
            <w:hideMark/>
          </w:tcPr>
          <w:p w14:paraId="499D486D" w14:textId="6314F251"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81 (19)</w:t>
            </w:r>
          </w:p>
        </w:tc>
        <w:tc>
          <w:tcPr>
            <w:tcW w:w="339" w:type="pct"/>
            <w:noWrap/>
            <w:vAlign w:val="bottom"/>
            <w:hideMark/>
          </w:tcPr>
          <w:p w14:paraId="31F059E9" w14:textId="35A0F773"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422</w:t>
            </w:r>
          </w:p>
        </w:tc>
      </w:tr>
      <w:tr w:rsidR="004A592D" w:rsidRPr="00B6133E" w14:paraId="79F42162"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vAlign w:val="bottom"/>
            <w:hideMark/>
          </w:tcPr>
          <w:p w14:paraId="1FBA8A35" w14:textId="7B41D170" w:rsidR="005A540C" w:rsidRPr="00B6133E" w:rsidRDefault="005A540C" w:rsidP="005A540C">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D1plusD2</w:t>
            </w:r>
          </w:p>
        </w:tc>
        <w:tc>
          <w:tcPr>
            <w:tcW w:w="583" w:type="pct"/>
            <w:gridSpan w:val="3"/>
            <w:noWrap/>
            <w:vAlign w:val="bottom"/>
            <w:hideMark/>
          </w:tcPr>
          <w:p w14:paraId="5254C7A1" w14:textId="270CADA6"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0 (0)</w:t>
            </w:r>
          </w:p>
        </w:tc>
        <w:tc>
          <w:tcPr>
            <w:tcW w:w="535" w:type="pct"/>
            <w:gridSpan w:val="3"/>
            <w:noWrap/>
            <w:vAlign w:val="bottom"/>
            <w:hideMark/>
          </w:tcPr>
          <w:p w14:paraId="197B440E" w14:textId="2C6E8BCD"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 (20)</w:t>
            </w:r>
          </w:p>
        </w:tc>
        <w:tc>
          <w:tcPr>
            <w:tcW w:w="587" w:type="pct"/>
            <w:gridSpan w:val="3"/>
            <w:noWrap/>
            <w:vAlign w:val="bottom"/>
            <w:hideMark/>
          </w:tcPr>
          <w:p w14:paraId="28EE9B63" w14:textId="27F610CA"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(10)</w:t>
            </w:r>
          </w:p>
        </w:tc>
        <w:tc>
          <w:tcPr>
            <w:tcW w:w="586" w:type="pct"/>
            <w:gridSpan w:val="3"/>
            <w:noWrap/>
            <w:vAlign w:val="bottom"/>
            <w:hideMark/>
          </w:tcPr>
          <w:p w14:paraId="64CBF7AF" w14:textId="25EEDCA4"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(10)</w:t>
            </w:r>
          </w:p>
        </w:tc>
        <w:tc>
          <w:tcPr>
            <w:tcW w:w="587" w:type="pct"/>
            <w:gridSpan w:val="3"/>
            <w:noWrap/>
            <w:vAlign w:val="bottom"/>
            <w:hideMark/>
          </w:tcPr>
          <w:p w14:paraId="7FE9E2CA" w14:textId="57934F73"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9 (45)</w:t>
            </w:r>
          </w:p>
        </w:tc>
        <w:tc>
          <w:tcPr>
            <w:tcW w:w="483" w:type="pct"/>
            <w:gridSpan w:val="3"/>
            <w:noWrap/>
            <w:vAlign w:val="bottom"/>
            <w:hideMark/>
          </w:tcPr>
          <w:p w14:paraId="4AAE6701" w14:textId="495BE0BE"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0 (0)</w:t>
            </w:r>
          </w:p>
        </w:tc>
        <w:tc>
          <w:tcPr>
            <w:tcW w:w="587" w:type="pct"/>
            <w:gridSpan w:val="3"/>
            <w:noWrap/>
            <w:vAlign w:val="bottom"/>
            <w:hideMark/>
          </w:tcPr>
          <w:p w14:paraId="1FB26283" w14:textId="64C9BD6D"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 (15)</w:t>
            </w:r>
          </w:p>
        </w:tc>
        <w:tc>
          <w:tcPr>
            <w:tcW w:w="339" w:type="pct"/>
            <w:noWrap/>
            <w:vAlign w:val="bottom"/>
            <w:hideMark/>
          </w:tcPr>
          <w:p w14:paraId="197A0A91" w14:textId="2A74E7B9"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20</w:t>
            </w:r>
          </w:p>
        </w:tc>
      </w:tr>
      <w:tr w:rsidR="004A592D" w:rsidRPr="00B6133E" w14:paraId="7409940A"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vAlign w:val="bottom"/>
            <w:hideMark/>
          </w:tcPr>
          <w:p w14:paraId="25B19C19" w14:textId="61EA77FA" w:rsidR="005A540C" w:rsidRPr="00B6133E" w:rsidRDefault="005A540C" w:rsidP="005A540C">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lastRenderedPageBreak/>
              <w:t>D2</w:t>
            </w:r>
          </w:p>
        </w:tc>
        <w:tc>
          <w:tcPr>
            <w:tcW w:w="583" w:type="pct"/>
            <w:gridSpan w:val="3"/>
            <w:noWrap/>
            <w:vAlign w:val="bottom"/>
            <w:hideMark/>
          </w:tcPr>
          <w:p w14:paraId="29BE2959" w14:textId="7B098E81"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 (1)</w:t>
            </w:r>
          </w:p>
        </w:tc>
        <w:tc>
          <w:tcPr>
            <w:tcW w:w="535" w:type="pct"/>
            <w:gridSpan w:val="3"/>
            <w:noWrap/>
            <w:vAlign w:val="bottom"/>
            <w:hideMark/>
          </w:tcPr>
          <w:p w14:paraId="7F4512FF" w14:textId="38ACDF27"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16 (13)</w:t>
            </w:r>
          </w:p>
        </w:tc>
        <w:tc>
          <w:tcPr>
            <w:tcW w:w="587" w:type="pct"/>
            <w:gridSpan w:val="3"/>
            <w:noWrap/>
            <w:vAlign w:val="bottom"/>
            <w:hideMark/>
          </w:tcPr>
          <w:p w14:paraId="17F6AE69" w14:textId="5AF9B169"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12 (10)</w:t>
            </w:r>
          </w:p>
        </w:tc>
        <w:tc>
          <w:tcPr>
            <w:tcW w:w="586" w:type="pct"/>
            <w:gridSpan w:val="3"/>
            <w:noWrap/>
            <w:vAlign w:val="bottom"/>
            <w:hideMark/>
          </w:tcPr>
          <w:p w14:paraId="6D8DA9AA" w14:textId="3817E59B"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15 (12)</w:t>
            </w:r>
          </w:p>
        </w:tc>
        <w:tc>
          <w:tcPr>
            <w:tcW w:w="587" w:type="pct"/>
            <w:gridSpan w:val="3"/>
            <w:noWrap/>
            <w:vAlign w:val="bottom"/>
            <w:hideMark/>
          </w:tcPr>
          <w:p w14:paraId="6EB2CF73" w14:textId="07D04AB2"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53 (44)</w:t>
            </w:r>
          </w:p>
        </w:tc>
        <w:tc>
          <w:tcPr>
            <w:tcW w:w="483" w:type="pct"/>
            <w:gridSpan w:val="3"/>
            <w:noWrap/>
            <w:vAlign w:val="bottom"/>
            <w:hideMark/>
          </w:tcPr>
          <w:p w14:paraId="5CCD4FCF" w14:textId="5CCE4AE8"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7 (6)</w:t>
            </w:r>
          </w:p>
        </w:tc>
        <w:tc>
          <w:tcPr>
            <w:tcW w:w="587" w:type="pct"/>
            <w:gridSpan w:val="3"/>
            <w:noWrap/>
            <w:vAlign w:val="bottom"/>
            <w:hideMark/>
          </w:tcPr>
          <w:p w14:paraId="4B7B9ABB" w14:textId="711C819E"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17 (14)</w:t>
            </w:r>
          </w:p>
        </w:tc>
        <w:tc>
          <w:tcPr>
            <w:tcW w:w="339" w:type="pct"/>
            <w:noWrap/>
            <w:vAlign w:val="bottom"/>
            <w:hideMark/>
          </w:tcPr>
          <w:p w14:paraId="5FEBCC4D" w14:textId="6DA57458"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121</w:t>
            </w:r>
          </w:p>
        </w:tc>
      </w:tr>
      <w:tr w:rsidR="004A592D" w:rsidRPr="00B6133E" w14:paraId="648306CE"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vAlign w:val="bottom"/>
            <w:hideMark/>
          </w:tcPr>
          <w:p w14:paraId="2E813D51" w14:textId="7F6D4E2C" w:rsidR="005A540C" w:rsidRPr="00B6133E" w:rsidRDefault="005A540C" w:rsidP="005A540C">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Unclassified</w:t>
            </w:r>
          </w:p>
        </w:tc>
        <w:tc>
          <w:tcPr>
            <w:tcW w:w="583" w:type="pct"/>
            <w:gridSpan w:val="3"/>
            <w:noWrap/>
            <w:vAlign w:val="bottom"/>
            <w:hideMark/>
          </w:tcPr>
          <w:p w14:paraId="2F1A25AB" w14:textId="1F5CF814"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 (0)</w:t>
            </w:r>
          </w:p>
        </w:tc>
        <w:tc>
          <w:tcPr>
            <w:tcW w:w="535" w:type="pct"/>
            <w:gridSpan w:val="3"/>
            <w:noWrap/>
            <w:vAlign w:val="bottom"/>
            <w:hideMark/>
          </w:tcPr>
          <w:p w14:paraId="1923D16A" w14:textId="4CA5E81D"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12 (5)</w:t>
            </w:r>
          </w:p>
        </w:tc>
        <w:tc>
          <w:tcPr>
            <w:tcW w:w="587" w:type="pct"/>
            <w:gridSpan w:val="3"/>
            <w:noWrap/>
            <w:vAlign w:val="bottom"/>
            <w:hideMark/>
          </w:tcPr>
          <w:p w14:paraId="0E257D24" w14:textId="13C67A01"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28 (12)</w:t>
            </w:r>
          </w:p>
        </w:tc>
        <w:tc>
          <w:tcPr>
            <w:tcW w:w="586" w:type="pct"/>
            <w:gridSpan w:val="3"/>
            <w:noWrap/>
            <w:vAlign w:val="bottom"/>
            <w:hideMark/>
          </w:tcPr>
          <w:p w14:paraId="4F3E994E" w14:textId="40432732"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60 (26)</w:t>
            </w:r>
          </w:p>
        </w:tc>
        <w:tc>
          <w:tcPr>
            <w:tcW w:w="587" w:type="pct"/>
            <w:gridSpan w:val="3"/>
            <w:noWrap/>
            <w:vAlign w:val="bottom"/>
            <w:hideMark/>
          </w:tcPr>
          <w:p w14:paraId="2F8C2D43" w14:textId="6B4370CB"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81 (36)</w:t>
            </w:r>
          </w:p>
        </w:tc>
        <w:tc>
          <w:tcPr>
            <w:tcW w:w="483" w:type="pct"/>
            <w:gridSpan w:val="3"/>
            <w:noWrap/>
            <w:vAlign w:val="bottom"/>
            <w:hideMark/>
          </w:tcPr>
          <w:p w14:paraId="2FB13AB5" w14:textId="154B0E77"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10 (4)</w:t>
            </w:r>
          </w:p>
        </w:tc>
        <w:tc>
          <w:tcPr>
            <w:tcW w:w="587" w:type="pct"/>
            <w:gridSpan w:val="3"/>
            <w:noWrap/>
            <w:vAlign w:val="bottom"/>
            <w:hideMark/>
          </w:tcPr>
          <w:p w14:paraId="3D2603A7" w14:textId="7B76A24D"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36 (16)</w:t>
            </w:r>
          </w:p>
        </w:tc>
        <w:tc>
          <w:tcPr>
            <w:tcW w:w="339" w:type="pct"/>
            <w:noWrap/>
            <w:vAlign w:val="bottom"/>
            <w:hideMark/>
          </w:tcPr>
          <w:p w14:paraId="7666E599" w14:textId="113D5139" w:rsidR="005A540C" w:rsidRPr="00B6133E" w:rsidRDefault="005A540C" w:rsidP="005A540C">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228</w:t>
            </w:r>
          </w:p>
        </w:tc>
      </w:tr>
      <w:tr w:rsidR="004A592D" w:rsidRPr="00B6133E" w14:paraId="26A840CA"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4" w:type="pct"/>
            <w:gridSpan w:val="2"/>
            <w:noWrap/>
            <w:vAlign w:val="bottom"/>
            <w:hideMark/>
          </w:tcPr>
          <w:p w14:paraId="11A90027" w14:textId="54FF869C" w:rsidR="005A540C" w:rsidRPr="00B6133E" w:rsidRDefault="005A540C" w:rsidP="005A540C">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Sum</w:t>
            </w:r>
          </w:p>
        </w:tc>
        <w:tc>
          <w:tcPr>
            <w:tcW w:w="583" w:type="pct"/>
            <w:gridSpan w:val="3"/>
            <w:noWrap/>
            <w:vAlign w:val="bottom"/>
            <w:hideMark/>
          </w:tcPr>
          <w:p w14:paraId="1B77A08D" w14:textId="69DBE91C"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 (1)</w:t>
            </w:r>
          </w:p>
        </w:tc>
        <w:tc>
          <w:tcPr>
            <w:tcW w:w="535" w:type="pct"/>
            <w:gridSpan w:val="3"/>
            <w:noWrap/>
            <w:vAlign w:val="bottom"/>
            <w:hideMark/>
          </w:tcPr>
          <w:p w14:paraId="57570688" w14:textId="348ABA3A"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73 (6)</w:t>
            </w:r>
          </w:p>
        </w:tc>
        <w:tc>
          <w:tcPr>
            <w:tcW w:w="587" w:type="pct"/>
            <w:gridSpan w:val="3"/>
            <w:noWrap/>
            <w:vAlign w:val="bottom"/>
            <w:hideMark/>
          </w:tcPr>
          <w:p w14:paraId="40A269EB" w14:textId="491721DB"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147 (11)</w:t>
            </w:r>
          </w:p>
        </w:tc>
        <w:tc>
          <w:tcPr>
            <w:tcW w:w="586" w:type="pct"/>
            <w:gridSpan w:val="3"/>
            <w:noWrap/>
            <w:vAlign w:val="bottom"/>
            <w:hideMark/>
          </w:tcPr>
          <w:p w14:paraId="31C64665" w14:textId="177A9FC9"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301 (23)</w:t>
            </w:r>
          </w:p>
        </w:tc>
        <w:tc>
          <w:tcPr>
            <w:tcW w:w="587" w:type="pct"/>
            <w:gridSpan w:val="3"/>
            <w:noWrap/>
            <w:vAlign w:val="bottom"/>
            <w:hideMark/>
          </w:tcPr>
          <w:p w14:paraId="1E876B5B" w14:textId="6BEE8188"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526 (41)</w:t>
            </w:r>
          </w:p>
        </w:tc>
        <w:tc>
          <w:tcPr>
            <w:tcW w:w="483" w:type="pct"/>
            <w:gridSpan w:val="3"/>
            <w:noWrap/>
            <w:vAlign w:val="bottom"/>
            <w:hideMark/>
          </w:tcPr>
          <w:p w14:paraId="4C2E53A8" w14:textId="37EC2E46"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46 (4)</w:t>
            </w:r>
          </w:p>
        </w:tc>
        <w:tc>
          <w:tcPr>
            <w:tcW w:w="587" w:type="pct"/>
            <w:gridSpan w:val="3"/>
            <w:noWrap/>
            <w:vAlign w:val="bottom"/>
            <w:hideMark/>
          </w:tcPr>
          <w:p w14:paraId="284C2674" w14:textId="7AB8149C"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195 (15)</w:t>
            </w:r>
          </w:p>
        </w:tc>
        <w:tc>
          <w:tcPr>
            <w:tcW w:w="339" w:type="pct"/>
            <w:noWrap/>
            <w:vAlign w:val="bottom"/>
            <w:hideMark/>
          </w:tcPr>
          <w:p w14:paraId="0C6C027E" w14:textId="02FB9512" w:rsidR="005A540C" w:rsidRPr="00B6133E" w:rsidRDefault="005A540C" w:rsidP="005A540C">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1296</w:t>
            </w:r>
          </w:p>
        </w:tc>
      </w:tr>
      <w:tr w:rsidR="00F35A29" w:rsidRPr="00B6133E" w14:paraId="3027313A"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5000" w:type="pct"/>
            <w:gridSpan w:val="24"/>
            <w:noWrap/>
          </w:tcPr>
          <w:p w14:paraId="1FCA54E2" w14:textId="77777777" w:rsidR="00F35A29" w:rsidRPr="00B6133E" w:rsidRDefault="00F35A29" w:rsidP="00ED25EA">
            <w:pPr>
              <w:widowControl/>
              <w:autoSpaceDE/>
              <w:autoSpaceDN/>
              <w:adjustRightInd/>
              <w:spacing w:before="60" w:line="480" w:lineRule="auto"/>
              <w:jc w:val="center"/>
              <w:rPr>
                <w:rFonts w:ascii="Times New Roman" w:hAnsi="Times New Roman" w:cs="Times New Roman"/>
                <w:b w:val="0"/>
                <w:sz w:val="20"/>
                <w:szCs w:val="20"/>
              </w:rPr>
            </w:pPr>
          </w:p>
        </w:tc>
      </w:tr>
      <w:tr w:rsidR="00E04845" w:rsidRPr="00B6133E" w14:paraId="705D63BB"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000" w:type="pct"/>
            <w:gridSpan w:val="24"/>
            <w:noWrap/>
          </w:tcPr>
          <w:p w14:paraId="6A9850B7" w14:textId="08927257" w:rsidR="00E04845" w:rsidRPr="00B6133E" w:rsidRDefault="00E04845" w:rsidP="00100E22">
            <w:pPr>
              <w:widowControl/>
              <w:autoSpaceDE/>
              <w:autoSpaceDN/>
              <w:adjustRightInd/>
              <w:spacing w:after="0" w:line="480" w:lineRule="auto"/>
              <w:jc w:val="center"/>
              <w:rPr>
                <w:rFonts w:ascii="Times New Roman" w:hAnsi="Times New Roman" w:cs="Times New Roman"/>
              </w:rPr>
            </w:pPr>
            <w:r w:rsidRPr="00B6133E">
              <w:rPr>
                <w:rFonts w:ascii="Times New Roman" w:hAnsi="Times New Roman" w:cs="Times New Roman"/>
              </w:rPr>
              <w:t xml:space="preserve">ISS stage III </w:t>
            </w:r>
            <w:r w:rsidR="00546976" w:rsidRPr="00B6133E">
              <w:rPr>
                <w:rFonts w:ascii="Times New Roman" w:hAnsi="Times New Roman" w:cs="Times New Roman"/>
              </w:rPr>
              <w:t>with increased frequencies</w:t>
            </w:r>
            <w:r w:rsidRPr="00B6133E">
              <w:rPr>
                <w:rFonts w:ascii="Times New Roman" w:hAnsi="Times New Roman" w:cs="Times New Roman"/>
              </w:rPr>
              <w:t xml:space="preserve"> in  the </w:t>
            </w:r>
            <w:proofErr w:type="spellStart"/>
            <w:r w:rsidRPr="00B6133E">
              <w:rPr>
                <w:rFonts w:ascii="Times New Roman" w:hAnsi="Times New Roman" w:cs="Times New Roman"/>
              </w:rPr>
              <w:t>PreBII</w:t>
            </w:r>
            <w:proofErr w:type="spellEnd"/>
            <w:r w:rsidRPr="00B6133E">
              <w:rPr>
                <w:rFonts w:ascii="Times New Roman" w:hAnsi="Times New Roman" w:cs="Times New Roman"/>
              </w:rPr>
              <w:t xml:space="preserve"> and M subtypes.</w:t>
            </w:r>
            <w:r w:rsidR="00F26581" w:rsidRPr="00B6133E">
              <w:rPr>
                <w:rFonts w:ascii="Times New Roman" w:hAnsi="Times New Roman" w:cs="Times New Roman"/>
              </w:rPr>
              <w:t xml:space="preserve"> (P= 0.032).</w:t>
            </w:r>
          </w:p>
        </w:tc>
      </w:tr>
      <w:tr w:rsidR="004A592D" w:rsidRPr="00B6133E" w14:paraId="6BD28A3C"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591" w:type="pct"/>
            <w:noWrap/>
            <w:hideMark/>
          </w:tcPr>
          <w:p w14:paraId="49C7E250" w14:textId="77777777" w:rsidR="00EC0862" w:rsidRPr="00B6133E" w:rsidRDefault="00EC0862"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Group</w:t>
            </w:r>
          </w:p>
        </w:tc>
        <w:tc>
          <w:tcPr>
            <w:tcW w:w="391" w:type="pct"/>
            <w:gridSpan w:val="2"/>
            <w:noWrap/>
            <w:hideMark/>
          </w:tcPr>
          <w:p w14:paraId="1441E7C3"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proofErr w:type="spellStart"/>
            <w:r w:rsidRPr="00B6133E">
              <w:rPr>
                <w:rFonts w:ascii="Times New Roman" w:hAnsi="Times New Roman" w:cs="Times New Roman"/>
                <w:b/>
                <w:sz w:val="20"/>
                <w:szCs w:val="20"/>
              </w:rPr>
              <w:t>PreBI</w:t>
            </w:r>
            <w:proofErr w:type="spellEnd"/>
            <w:r w:rsidRPr="00B6133E">
              <w:rPr>
                <w:rFonts w:ascii="Times New Roman" w:hAnsi="Times New Roman" w:cs="Times New Roman"/>
                <w:b/>
                <w:sz w:val="20"/>
                <w:szCs w:val="20"/>
              </w:rPr>
              <w:t xml:space="preserve"> (%)</w:t>
            </w:r>
          </w:p>
        </w:tc>
        <w:tc>
          <w:tcPr>
            <w:tcW w:w="498" w:type="pct"/>
            <w:gridSpan w:val="3"/>
            <w:noWrap/>
            <w:hideMark/>
          </w:tcPr>
          <w:p w14:paraId="3F64EF5E"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proofErr w:type="spellStart"/>
            <w:r w:rsidRPr="00B6133E">
              <w:rPr>
                <w:rFonts w:ascii="Times New Roman" w:hAnsi="Times New Roman" w:cs="Times New Roman"/>
                <w:b/>
                <w:sz w:val="20"/>
                <w:szCs w:val="20"/>
              </w:rPr>
              <w:t>PreBII</w:t>
            </w:r>
            <w:proofErr w:type="spellEnd"/>
            <w:r w:rsidRPr="00B6133E">
              <w:rPr>
                <w:rFonts w:ascii="Times New Roman" w:hAnsi="Times New Roman" w:cs="Times New Roman"/>
                <w:b/>
                <w:sz w:val="20"/>
                <w:szCs w:val="20"/>
              </w:rPr>
              <w:t xml:space="preserve"> (%)</w:t>
            </w:r>
          </w:p>
        </w:tc>
        <w:tc>
          <w:tcPr>
            <w:tcW w:w="544" w:type="pct"/>
            <w:gridSpan w:val="3"/>
            <w:noWrap/>
            <w:hideMark/>
          </w:tcPr>
          <w:p w14:paraId="1E3FC696"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proofErr w:type="spellStart"/>
            <w:r w:rsidRPr="00B6133E">
              <w:rPr>
                <w:rFonts w:ascii="Times New Roman" w:hAnsi="Times New Roman" w:cs="Times New Roman"/>
                <w:b/>
                <w:sz w:val="20"/>
                <w:szCs w:val="20"/>
              </w:rPr>
              <w:t>Im</w:t>
            </w:r>
            <w:proofErr w:type="spellEnd"/>
            <w:r w:rsidRPr="00B6133E">
              <w:rPr>
                <w:rFonts w:ascii="Times New Roman" w:hAnsi="Times New Roman" w:cs="Times New Roman"/>
                <w:b/>
                <w:sz w:val="20"/>
                <w:szCs w:val="20"/>
              </w:rPr>
              <w:t xml:space="preserve"> (%)</w:t>
            </w:r>
          </w:p>
        </w:tc>
        <w:tc>
          <w:tcPr>
            <w:tcW w:w="591" w:type="pct"/>
            <w:gridSpan w:val="3"/>
            <w:noWrap/>
            <w:hideMark/>
          </w:tcPr>
          <w:p w14:paraId="0FB22F61"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N (%)</w:t>
            </w:r>
          </w:p>
        </w:tc>
        <w:tc>
          <w:tcPr>
            <w:tcW w:w="593" w:type="pct"/>
            <w:gridSpan w:val="3"/>
            <w:noWrap/>
            <w:hideMark/>
          </w:tcPr>
          <w:p w14:paraId="41D04945"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M (%)</w:t>
            </w:r>
          </w:p>
        </w:tc>
        <w:tc>
          <w:tcPr>
            <w:tcW w:w="542" w:type="pct"/>
            <w:gridSpan w:val="3"/>
            <w:noWrap/>
            <w:hideMark/>
          </w:tcPr>
          <w:p w14:paraId="6E97BC46"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PC (%)</w:t>
            </w:r>
          </w:p>
        </w:tc>
        <w:tc>
          <w:tcPr>
            <w:tcW w:w="558" w:type="pct"/>
            <w:gridSpan w:val="3"/>
            <w:noWrap/>
            <w:hideMark/>
          </w:tcPr>
          <w:p w14:paraId="4E1EABF6"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UC (%)</w:t>
            </w:r>
          </w:p>
        </w:tc>
        <w:tc>
          <w:tcPr>
            <w:tcW w:w="693" w:type="pct"/>
            <w:gridSpan w:val="3"/>
            <w:noWrap/>
            <w:hideMark/>
          </w:tcPr>
          <w:p w14:paraId="09B7D0D1"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rPr>
            </w:pPr>
            <w:r w:rsidRPr="00B6133E">
              <w:rPr>
                <w:rFonts w:ascii="Times New Roman" w:hAnsi="Times New Roman" w:cs="Times New Roman"/>
                <w:b/>
                <w:sz w:val="20"/>
                <w:szCs w:val="20"/>
              </w:rPr>
              <w:t>Sum</w:t>
            </w:r>
          </w:p>
        </w:tc>
      </w:tr>
      <w:tr w:rsidR="004A592D" w:rsidRPr="00B6133E" w14:paraId="10FB6C7D"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91" w:type="pct"/>
            <w:noWrap/>
            <w:hideMark/>
          </w:tcPr>
          <w:p w14:paraId="070E155D" w14:textId="77777777" w:rsidR="00EC0862" w:rsidRPr="00B6133E" w:rsidRDefault="00EC0862"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Stage I</w:t>
            </w:r>
          </w:p>
        </w:tc>
        <w:tc>
          <w:tcPr>
            <w:tcW w:w="391" w:type="pct"/>
            <w:gridSpan w:val="2"/>
            <w:noWrap/>
            <w:hideMark/>
          </w:tcPr>
          <w:p w14:paraId="4256441C"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(0)</w:t>
            </w:r>
          </w:p>
        </w:tc>
        <w:tc>
          <w:tcPr>
            <w:tcW w:w="498" w:type="pct"/>
            <w:gridSpan w:val="3"/>
            <w:noWrap/>
            <w:hideMark/>
          </w:tcPr>
          <w:p w14:paraId="027FD046"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 (2)</w:t>
            </w:r>
          </w:p>
        </w:tc>
        <w:tc>
          <w:tcPr>
            <w:tcW w:w="544" w:type="pct"/>
            <w:gridSpan w:val="3"/>
            <w:noWrap/>
            <w:hideMark/>
          </w:tcPr>
          <w:p w14:paraId="7C65C8B2"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51 (12)</w:t>
            </w:r>
          </w:p>
        </w:tc>
        <w:tc>
          <w:tcPr>
            <w:tcW w:w="591" w:type="pct"/>
            <w:gridSpan w:val="3"/>
            <w:noWrap/>
            <w:hideMark/>
          </w:tcPr>
          <w:p w14:paraId="67D14881"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115 (28)</w:t>
            </w:r>
          </w:p>
        </w:tc>
        <w:tc>
          <w:tcPr>
            <w:tcW w:w="593" w:type="pct"/>
            <w:gridSpan w:val="3"/>
            <w:noWrap/>
            <w:hideMark/>
          </w:tcPr>
          <w:p w14:paraId="62D766BC"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149 (36)</w:t>
            </w:r>
          </w:p>
        </w:tc>
        <w:tc>
          <w:tcPr>
            <w:tcW w:w="542" w:type="pct"/>
            <w:gridSpan w:val="3"/>
            <w:noWrap/>
            <w:hideMark/>
          </w:tcPr>
          <w:p w14:paraId="7C8D2D62"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18 (4)</w:t>
            </w:r>
          </w:p>
        </w:tc>
        <w:tc>
          <w:tcPr>
            <w:tcW w:w="558" w:type="pct"/>
            <w:gridSpan w:val="3"/>
            <w:noWrap/>
            <w:hideMark/>
          </w:tcPr>
          <w:p w14:paraId="4F1308CE"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72 (17)</w:t>
            </w:r>
          </w:p>
        </w:tc>
        <w:tc>
          <w:tcPr>
            <w:tcW w:w="693" w:type="pct"/>
            <w:gridSpan w:val="3"/>
            <w:noWrap/>
            <w:hideMark/>
          </w:tcPr>
          <w:p w14:paraId="28459896"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415</w:t>
            </w:r>
          </w:p>
        </w:tc>
      </w:tr>
      <w:tr w:rsidR="004A592D" w:rsidRPr="00B6133E" w14:paraId="1B3DC52B"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591" w:type="pct"/>
            <w:noWrap/>
            <w:hideMark/>
          </w:tcPr>
          <w:p w14:paraId="187DC184" w14:textId="77777777" w:rsidR="00EC0862" w:rsidRPr="00B6133E" w:rsidRDefault="00EC0862"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Stage II</w:t>
            </w:r>
          </w:p>
        </w:tc>
        <w:tc>
          <w:tcPr>
            <w:tcW w:w="391" w:type="pct"/>
            <w:gridSpan w:val="2"/>
            <w:noWrap/>
            <w:hideMark/>
          </w:tcPr>
          <w:p w14:paraId="2B75B115"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 (0)</w:t>
            </w:r>
          </w:p>
        </w:tc>
        <w:tc>
          <w:tcPr>
            <w:tcW w:w="498" w:type="pct"/>
            <w:gridSpan w:val="3"/>
            <w:noWrap/>
            <w:hideMark/>
          </w:tcPr>
          <w:p w14:paraId="5D173B15"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18 (7)</w:t>
            </w:r>
          </w:p>
        </w:tc>
        <w:tc>
          <w:tcPr>
            <w:tcW w:w="544" w:type="pct"/>
            <w:gridSpan w:val="3"/>
            <w:noWrap/>
            <w:hideMark/>
          </w:tcPr>
          <w:p w14:paraId="5F428745"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25 (9)</w:t>
            </w:r>
          </w:p>
        </w:tc>
        <w:tc>
          <w:tcPr>
            <w:tcW w:w="591" w:type="pct"/>
            <w:gridSpan w:val="3"/>
            <w:noWrap/>
            <w:hideMark/>
          </w:tcPr>
          <w:p w14:paraId="164C3876"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65 (24)</w:t>
            </w:r>
          </w:p>
        </w:tc>
        <w:tc>
          <w:tcPr>
            <w:tcW w:w="593" w:type="pct"/>
            <w:gridSpan w:val="3"/>
            <w:noWrap/>
            <w:hideMark/>
          </w:tcPr>
          <w:p w14:paraId="051ECAE8"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105 (39)</w:t>
            </w:r>
          </w:p>
        </w:tc>
        <w:tc>
          <w:tcPr>
            <w:tcW w:w="542" w:type="pct"/>
            <w:gridSpan w:val="3"/>
            <w:noWrap/>
            <w:hideMark/>
          </w:tcPr>
          <w:p w14:paraId="095AD710"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15 (6)</w:t>
            </w:r>
          </w:p>
        </w:tc>
        <w:tc>
          <w:tcPr>
            <w:tcW w:w="558" w:type="pct"/>
            <w:gridSpan w:val="3"/>
            <w:noWrap/>
            <w:hideMark/>
          </w:tcPr>
          <w:p w14:paraId="7CF93DCD"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39 (15)</w:t>
            </w:r>
          </w:p>
        </w:tc>
        <w:tc>
          <w:tcPr>
            <w:tcW w:w="693" w:type="pct"/>
            <w:gridSpan w:val="3"/>
            <w:noWrap/>
            <w:hideMark/>
          </w:tcPr>
          <w:p w14:paraId="00C4DC22"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268</w:t>
            </w:r>
          </w:p>
        </w:tc>
      </w:tr>
      <w:tr w:rsidR="004A592D" w:rsidRPr="00B6133E" w14:paraId="702F39D8"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91" w:type="pct"/>
            <w:noWrap/>
            <w:hideMark/>
          </w:tcPr>
          <w:p w14:paraId="2BC1BAAC" w14:textId="77777777" w:rsidR="00EC0862" w:rsidRPr="00B6133E" w:rsidRDefault="00EC0862"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Stage III</w:t>
            </w:r>
          </w:p>
        </w:tc>
        <w:tc>
          <w:tcPr>
            <w:tcW w:w="391" w:type="pct"/>
            <w:gridSpan w:val="2"/>
            <w:noWrap/>
            <w:hideMark/>
          </w:tcPr>
          <w:p w14:paraId="4223125E"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 (1)</w:t>
            </w:r>
          </w:p>
        </w:tc>
        <w:tc>
          <w:tcPr>
            <w:tcW w:w="498" w:type="pct"/>
            <w:gridSpan w:val="3"/>
            <w:noWrap/>
            <w:hideMark/>
          </w:tcPr>
          <w:p w14:paraId="568472FB"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19 (10)</w:t>
            </w:r>
          </w:p>
        </w:tc>
        <w:tc>
          <w:tcPr>
            <w:tcW w:w="544" w:type="pct"/>
            <w:gridSpan w:val="3"/>
            <w:noWrap/>
            <w:hideMark/>
          </w:tcPr>
          <w:p w14:paraId="323BECA3"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22 (11)</w:t>
            </w:r>
          </w:p>
        </w:tc>
        <w:tc>
          <w:tcPr>
            <w:tcW w:w="591" w:type="pct"/>
            <w:gridSpan w:val="3"/>
            <w:noWrap/>
            <w:hideMark/>
          </w:tcPr>
          <w:p w14:paraId="3FF200CE"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33 (17)</w:t>
            </w:r>
          </w:p>
        </w:tc>
        <w:tc>
          <w:tcPr>
            <w:tcW w:w="593" w:type="pct"/>
            <w:gridSpan w:val="3"/>
            <w:noWrap/>
            <w:hideMark/>
          </w:tcPr>
          <w:p w14:paraId="4215C5A3"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89 (46)</w:t>
            </w:r>
          </w:p>
        </w:tc>
        <w:tc>
          <w:tcPr>
            <w:tcW w:w="542" w:type="pct"/>
            <w:gridSpan w:val="3"/>
            <w:noWrap/>
            <w:hideMark/>
          </w:tcPr>
          <w:p w14:paraId="584BE025"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5 (3)</w:t>
            </w:r>
          </w:p>
        </w:tc>
        <w:tc>
          <w:tcPr>
            <w:tcW w:w="558" w:type="pct"/>
            <w:gridSpan w:val="3"/>
            <w:noWrap/>
            <w:hideMark/>
          </w:tcPr>
          <w:p w14:paraId="71E2D4CA"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23 (12)</w:t>
            </w:r>
          </w:p>
        </w:tc>
        <w:tc>
          <w:tcPr>
            <w:tcW w:w="693" w:type="pct"/>
            <w:gridSpan w:val="3"/>
            <w:noWrap/>
            <w:hideMark/>
          </w:tcPr>
          <w:p w14:paraId="260A320F"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193</w:t>
            </w:r>
          </w:p>
        </w:tc>
      </w:tr>
      <w:tr w:rsidR="004A592D" w:rsidRPr="00B6133E" w14:paraId="4B8F536A" w14:textId="77777777" w:rsidTr="00B22E77">
        <w:trPr>
          <w:trHeight w:val="255"/>
        </w:trPr>
        <w:tc>
          <w:tcPr>
            <w:cnfStyle w:val="001000000000" w:firstRow="0" w:lastRow="0" w:firstColumn="1" w:lastColumn="0" w:oddVBand="0" w:evenVBand="0" w:oddHBand="0" w:evenHBand="0" w:firstRowFirstColumn="0" w:firstRowLastColumn="0" w:lastRowFirstColumn="0" w:lastRowLastColumn="0"/>
            <w:tcW w:w="591" w:type="pct"/>
            <w:noWrap/>
            <w:hideMark/>
          </w:tcPr>
          <w:p w14:paraId="5ECB0FD9" w14:textId="77777777" w:rsidR="00EC0862" w:rsidRPr="00B6133E" w:rsidRDefault="00EC0862" w:rsidP="00ED25EA">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NA</w:t>
            </w:r>
          </w:p>
        </w:tc>
        <w:tc>
          <w:tcPr>
            <w:tcW w:w="391" w:type="pct"/>
            <w:gridSpan w:val="2"/>
            <w:noWrap/>
            <w:hideMark/>
          </w:tcPr>
          <w:p w14:paraId="2F2BE5C1"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 (0)</w:t>
            </w:r>
          </w:p>
        </w:tc>
        <w:tc>
          <w:tcPr>
            <w:tcW w:w="498" w:type="pct"/>
            <w:gridSpan w:val="3"/>
            <w:noWrap/>
            <w:hideMark/>
          </w:tcPr>
          <w:p w14:paraId="4219E27F"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17 (7)</w:t>
            </w:r>
          </w:p>
        </w:tc>
        <w:tc>
          <w:tcPr>
            <w:tcW w:w="544" w:type="pct"/>
            <w:gridSpan w:val="3"/>
            <w:noWrap/>
            <w:hideMark/>
          </w:tcPr>
          <w:p w14:paraId="7613039E"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28 (11)</w:t>
            </w:r>
          </w:p>
        </w:tc>
        <w:tc>
          <w:tcPr>
            <w:tcW w:w="591" w:type="pct"/>
            <w:gridSpan w:val="3"/>
            <w:noWrap/>
            <w:hideMark/>
          </w:tcPr>
          <w:p w14:paraId="527EAA4D"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50 (20)</w:t>
            </w:r>
          </w:p>
        </w:tc>
        <w:tc>
          <w:tcPr>
            <w:tcW w:w="593" w:type="pct"/>
            <w:gridSpan w:val="3"/>
            <w:noWrap/>
            <w:hideMark/>
          </w:tcPr>
          <w:p w14:paraId="60582702"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115 (46)</w:t>
            </w:r>
          </w:p>
        </w:tc>
        <w:tc>
          <w:tcPr>
            <w:tcW w:w="542" w:type="pct"/>
            <w:gridSpan w:val="3"/>
            <w:noWrap/>
            <w:hideMark/>
          </w:tcPr>
          <w:p w14:paraId="30DD6C2B"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 (2)</w:t>
            </w:r>
          </w:p>
        </w:tc>
        <w:tc>
          <w:tcPr>
            <w:tcW w:w="558" w:type="pct"/>
            <w:gridSpan w:val="3"/>
            <w:noWrap/>
            <w:hideMark/>
          </w:tcPr>
          <w:p w14:paraId="398B6B70"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35 (14)</w:t>
            </w:r>
          </w:p>
        </w:tc>
        <w:tc>
          <w:tcPr>
            <w:tcW w:w="693" w:type="pct"/>
            <w:gridSpan w:val="3"/>
            <w:noWrap/>
            <w:hideMark/>
          </w:tcPr>
          <w:p w14:paraId="34A57BE8" w14:textId="77777777" w:rsidR="00EC0862" w:rsidRPr="00B6133E" w:rsidRDefault="00EC0862" w:rsidP="00ED25EA">
            <w:pPr>
              <w:widowControl/>
              <w:autoSpaceDE/>
              <w:autoSpaceDN/>
              <w:adjustRightInd/>
              <w:spacing w:before="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250</w:t>
            </w:r>
          </w:p>
        </w:tc>
      </w:tr>
      <w:tr w:rsidR="004A592D" w:rsidRPr="00B6133E" w14:paraId="30E26E04" w14:textId="77777777" w:rsidTr="00B22E7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91" w:type="pct"/>
            <w:noWrap/>
            <w:hideMark/>
          </w:tcPr>
          <w:p w14:paraId="547FE512" w14:textId="753919D1" w:rsidR="00EC0862" w:rsidRPr="00B6133E" w:rsidRDefault="00EC0862">
            <w:pPr>
              <w:widowControl/>
              <w:autoSpaceDE/>
              <w:autoSpaceDN/>
              <w:adjustRightInd/>
              <w:spacing w:before="60" w:line="480" w:lineRule="auto"/>
              <w:jc w:val="center"/>
              <w:rPr>
                <w:rFonts w:ascii="Times New Roman" w:hAnsi="Times New Roman" w:cs="Times New Roman"/>
                <w:sz w:val="20"/>
                <w:szCs w:val="20"/>
              </w:rPr>
            </w:pPr>
            <w:r w:rsidRPr="00B6133E">
              <w:rPr>
                <w:rFonts w:ascii="Times New Roman" w:hAnsi="Times New Roman" w:cs="Times New Roman"/>
                <w:sz w:val="20"/>
                <w:szCs w:val="20"/>
              </w:rPr>
              <w:t>Sum</w:t>
            </w:r>
          </w:p>
        </w:tc>
        <w:tc>
          <w:tcPr>
            <w:tcW w:w="391" w:type="pct"/>
            <w:gridSpan w:val="2"/>
            <w:noWrap/>
            <w:hideMark/>
          </w:tcPr>
          <w:p w14:paraId="4983BC07"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6 (1)</w:t>
            </w:r>
          </w:p>
        </w:tc>
        <w:tc>
          <w:tcPr>
            <w:tcW w:w="498" w:type="pct"/>
            <w:gridSpan w:val="3"/>
            <w:noWrap/>
            <w:hideMark/>
          </w:tcPr>
          <w:p w14:paraId="5DD1463D"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62 (6)</w:t>
            </w:r>
          </w:p>
        </w:tc>
        <w:tc>
          <w:tcPr>
            <w:tcW w:w="544" w:type="pct"/>
            <w:gridSpan w:val="3"/>
            <w:noWrap/>
            <w:hideMark/>
          </w:tcPr>
          <w:p w14:paraId="40806901"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126 (11)</w:t>
            </w:r>
          </w:p>
        </w:tc>
        <w:tc>
          <w:tcPr>
            <w:tcW w:w="591" w:type="pct"/>
            <w:gridSpan w:val="3"/>
            <w:noWrap/>
            <w:hideMark/>
          </w:tcPr>
          <w:p w14:paraId="194912D9"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263 (23)</w:t>
            </w:r>
          </w:p>
        </w:tc>
        <w:tc>
          <w:tcPr>
            <w:tcW w:w="593" w:type="pct"/>
            <w:gridSpan w:val="3"/>
            <w:noWrap/>
            <w:hideMark/>
          </w:tcPr>
          <w:p w14:paraId="2364CD40"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458 (41)</w:t>
            </w:r>
          </w:p>
        </w:tc>
        <w:tc>
          <w:tcPr>
            <w:tcW w:w="542" w:type="pct"/>
            <w:gridSpan w:val="3"/>
            <w:noWrap/>
            <w:hideMark/>
          </w:tcPr>
          <w:p w14:paraId="6D22CF7D"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42 (4)</w:t>
            </w:r>
          </w:p>
        </w:tc>
        <w:tc>
          <w:tcPr>
            <w:tcW w:w="558" w:type="pct"/>
            <w:gridSpan w:val="3"/>
            <w:noWrap/>
            <w:hideMark/>
          </w:tcPr>
          <w:p w14:paraId="6B7ED3F0"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169 (15)</w:t>
            </w:r>
          </w:p>
        </w:tc>
        <w:tc>
          <w:tcPr>
            <w:tcW w:w="693" w:type="pct"/>
            <w:gridSpan w:val="3"/>
            <w:noWrap/>
            <w:hideMark/>
          </w:tcPr>
          <w:p w14:paraId="7B957CD2" w14:textId="77777777" w:rsidR="00EC0862" w:rsidRPr="00B6133E" w:rsidRDefault="00EC0862" w:rsidP="00ED25EA">
            <w:pPr>
              <w:widowControl/>
              <w:autoSpaceDE/>
              <w:autoSpaceDN/>
              <w:adjustRightInd/>
              <w:spacing w:before="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B6133E">
              <w:rPr>
                <w:rFonts w:ascii="Times New Roman" w:hAnsi="Times New Roman" w:cs="Times New Roman"/>
                <w:sz w:val="20"/>
                <w:szCs w:val="20"/>
              </w:rPr>
              <w:t>1126</w:t>
            </w:r>
          </w:p>
        </w:tc>
      </w:tr>
    </w:tbl>
    <w:p w14:paraId="79A34E51" w14:textId="620BCE1B" w:rsidR="00E04845" w:rsidRPr="00B6133E" w:rsidRDefault="00E04845" w:rsidP="00100E22">
      <w:pPr>
        <w:pStyle w:val="Listeafsnit"/>
        <w:spacing w:after="0" w:line="480" w:lineRule="auto"/>
        <w:ind w:left="0"/>
        <w:rPr>
          <w:rFonts w:ascii="Times New Roman" w:hAnsi="Times New Roman" w:cs="Times New Roman"/>
          <w:lang w:val="en-US"/>
        </w:rPr>
      </w:pPr>
      <w:r w:rsidRPr="00B6133E">
        <w:rPr>
          <w:rFonts w:ascii="Times New Roman" w:hAnsi="Times New Roman" w:cs="Times New Roman"/>
          <w:lang w:val="en-US"/>
        </w:rPr>
        <w:t xml:space="preserve">The BAGS-defined subtype analysis was performed across 4 different clinical cohorts (N = </w:t>
      </w:r>
      <w:r w:rsidR="004A592D" w:rsidRPr="00B6133E">
        <w:rPr>
          <w:rFonts w:ascii="Times New Roman" w:hAnsi="Times New Roman" w:cs="Times New Roman"/>
          <w:lang w:val="en-US"/>
        </w:rPr>
        <w:t xml:space="preserve">1296 </w:t>
      </w:r>
      <w:r w:rsidRPr="00B6133E">
        <w:rPr>
          <w:rFonts w:ascii="Times New Roman" w:hAnsi="Times New Roman" w:cs="Times New Roman"/>
          <w:lang w:val="en-US"/>
        </w:rPr>
        <w:t>cases) following assignment of the data sets according to the restricted multinomial classifier.</w:t>
      </w:r>
      <w:r w:rsidR="00546976" w:rsidRPr="00B6133E">
        <w:rPr>
          <w:rFonts w:ascii="Times New Roman" w:hAnsi="Times New Roman" w:cs="Times New Roman"/>
          <w:lang w:val="en-US"/>
        </w:rPr>
        <w:t xml:space="preserve"> </w:t>
      </w:r>
    </w:p>
    <w:p w14:paraId="28D5C484" w14:textId="2BE0B4AD" w:rsidR="00ED25EA" w:rsidRPr="00B6133E" w:rsidRDefault="00ED25EA" w:rsidP="00100E22">
      <w:pPr>
        <w:widowControl/>
        <w:autoSpaceDE/>
        <w:autoSpaceDN/>
        <w:adjustRightInd/>
        <w:spacing w:before="0" w:after="0" w:line="480" w:lineRule="auto"/>
        <w:jc w:val="left"/>
        <w:rPr>
          <w:rFonts w:ascii="Times New Roman" w:hAnsi="Times New Roman" w:cs="Times New Roman"/>
          <w:lang w:val="en-US"/>
        </w:rPr>
      </w:pPr>
      <w:r w:rsidRPr="00B6133E">
        <w:rPr>
          <w:rFonts w:ascii="Times New Roman" w:hAnsi="Times New Roman" w:cs="Times New Roman"/>
          <w:lang w:val="en-US"/>
        </w:rPr>
        <w:br w:type="page"/>
      </w:r>
    </w:p>
    <w:p w14:paraId="66801794" w14:textId="77777777" w:rsidR="00ED25EA" w:rsidRPr="00B6133E" w:rsidRDefault="00ED25EA" w:rsidP="00ED25EA">
      <w:pPr>
        <w:pStyle w:val="Listeafsnit"/>
        <w:spacing w:after="0" w:line="480" w:lineRule="auto"/>
        <w:ind w:left="0"/>
        <w:rPr>
          <w:rFonts w:ascii="Times New Roman" w:hAnsi="Times New Roman" w:cs="Times New Roman"/>
          <w:sz w:val="20"/>
          <w:szCs w:val="20"/>
          <w:lang w:val="en-US"/>
        </w:rPr>
      </w:pPr>
    </w:p>
    <w:tbl>
      <w:tblPr>
        <w:tblStyle w:val="Lysskygge1"/>
        <w:tblW w:w="5000" w:type="pct"/>
        <w:tblLook w:val="04A0" w:firstRow="1" w:lastRow="0" w:firstColumn="1" w:lastColumn="0" w:noHBand="0" w:noVBand="1"/>
      </w:tblPr>
      <w:tblGrid>
        <w:gridCol w:w="1965"/>
        <w:gridCol w:w="1322"/>
        <w:gridCol w:w="1290"/>
        <w:gridCol w:w="1225"/>
        <w:gridCol w:w="1322"/>
        <w:gridCol w:w="1291"/>
        <w:gridCol w:w="1222"/>
      </w:tblGrid>
      <w:tr w:rsidR="009C7A9A" w:rsidRPr="00812DE2" w14:paraId="6ECEAF45" w14:textId="77777777" w:rsidTr="00774CEB">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00" w:type="pct"/>
            <w:gridSpan w:val="7"/>
            <w:noWrap/>
            <w:vAlign w:val="center"/>
          </w:tcPr>
          <w:p w14:paraId="0900627B" w14:textId="4D6D596B" w:rsidR="009C7A9A" w:rsidRPr="00B6133E" w:rsidRDefault="008B43C8" w:rsidP="008B43C8">
            <w:pPr>
              <w:widowControl/>
              <w:autoSpaceDE/>
              <w:autoSpaceDN/>
              <w:adjustRightInd/>
              <w:spacing w:after="0" w:line="480" w:lineRule="auto"/>
              <w:jc w:val="left"/>
              <w:rPr>
                <w:rFonts w:ascii="Times New Roman" w:hAnsi="Times New Roman" w:cs="Times New Roman"/>
              </w:rPr>
            </w:pPr>
            <w:r w:rsidRPr="00B6133E">
              <w:rPr>
                <w:rFonts w:ascii="Times New Roman" w:hAnsi="Times New Roman" w:cs="Times New Roman"/>
              </w:rPr>
              <w:t>Table</w:t>
            </w:r>
            <w:r w:rsidR="00933BB9" w:rsidRPr="00B6133E">
              <w:rPr>
                <w:rFonts w:ascii="Times New Roman" w:hAnsi="Times New Roman" w:cs="Times New Roman"/>
              </w:rPr>
              <w:t xml:space="preserve"> 2</w:t>
            </w:r>
            <w:r w:rsidR="009C7A9A" w:rsidRPr="00B6133E">
              <w:rPr>
                <w:rFonts w:ascii="Times New Roman" w:hAnsi="Times New Roman" w:cs="Times New Roman"/>
              </w:rPr>
              <w:t xml:space="preserve"> Cox proportional hazards regression analysis.</w:t>
            </w:r>
          </w:p>
        </w:tc>
      </w:tr>
      <w:tr w:rsidR="009C7A9A" w:rsidRPr="00812DE2" w14:paraId="0F586906" w14:textId="77777777" w:rsidTr="00774CE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00" w:type="pct"/>
            <w:gridSpan w:val="7"/>
            <w:noWrap/>
          </w:tcPr>
          <w:p w14:paraId="0A26D8D0" w14:textId="4B41A05D" w:rsidR="009C7A9A" w:rsidRPr="00B6133E" w:rsidRDefault="009C7A9A" w:rsidP="008B43C8">
            <w:pPr>
              <w:widowControl/>
              <w:autoSpaceDE/>
              <w:autoSpaceDN/>
              <w:adjustRightInd/>
              <w:spacing w:after="0" w:line="480" w:lineRule="auto"/>
              <w:jc w:val="center"/>
              <w:rPr>
                <w:rFonts w:ascii="Times New Roman" w:hAnsi="Times New Roman" w:cs="Times New Roman"/>
                <w:b w:val="0"/>
              </w:rPr>
            </w:pPr>
            <w:r w:rsidRPr="00B6133E">
              <w:rPr>
                <w:rFonts w:ascii="Times New Roman" w:hAnsi="Times New Roman" w:cs="Times New Roman"/>
              </w:rPr>
              <w:t>Combined PFS, n = 642, number of events = 311</w:t>
            </w:r>
          </w:p>
        </w:tc>
      </w:tr>
      <w:tr w:rsidR="009C7A9A" w:rsidRPr="00B6133E" w14:paraId="70E7B164"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tcPr>
          <w:p w14:paraId="4DC1CD44"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p>
        </w:tc>
        <w:tc>
          <w:tcPr>
            <w:tcW w:w="650" w:type="pct"/>
            <w:noWrap/>
            <w:vAlign w:val="center"/>
          </w:tcPr>
          <w:p w14:paraId="1EEC8B7D" w14:textId="77777777" w:rsidR="009C7A9A" w:rsidRPr="00B6133E" w:rsidRDefault="009C7A9A" w:rsidP="00ED25EA">
            <w:pPr>
              <w:widowControl/>
              <w:autoSpaceDE/>
              <w:autoSpaceDN/>
              <w:adjustRightInd/>
              <w:spacing w:before="0" w:after="0" w:line="48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Hazard ratio</w:t>
            </w:r>
          </w:p>
        </w:tc>
        <w:tc>
          <w:tcPr>
            <w:tcW w:w="684" w:type="pct"/>
            <w:noWrap/>
            <w:vAlign w:val="center"/>
          </w:tcPr>
          <w:p w14:paraId="73AFEF75"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95% CI</w:t>
            </w:r>
          </w:p>
        </w:tc>
        <w:tc>
          <w:tcPr>
            <w:tcW w:w="650" w:type="pct"/>
            <w:noWrap/>
            <w:vAlign w:val="center"/>
          </w:tcPr>
          <w:p w14:paraId="3F824C6C"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P value</w:t>
            </w:r>
          </w:p>
        </w:tc>
        <w:tc>
          <w:tcPr>
            <w:tcW w:w="650" w:type="pct"/>
            <w:noWrap/>
            <w:vAlign w:val="center"/>
          </w:tcPr>
          <w:p w14:paraId="04BA9AE3" w14:textId="77777777" w:rsidR="009C7A9A" w:rsidRPr="00B6133E" w:rsidRDefault="009C7A9A" w:rsidP="00ED25EA">
            <w:pPr>
              <w:widowControl/>
              <w:autoSpaceDE/>
              <w:autoSpaceDN/>
              <w:adjustRightInd/>
              <w:spacing w:before="0" w:after="0" w:line="48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Hazard ratio</w:t>
            </w:r>
          </w:p>
        </w:tc>
        <w:tc>
          <w:tcPr>
            <w:tcW w:w="684" w:type="pct"/>
            <w:noWrap/>
            <w:vAlign w:val="center"/>
          </w:tcPr>
          <w:p w14:paraId="05D4AD2B"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95% CI</w:t>
            </w:r>
          </w:p>
        </w:tc>
        <w:tc>
          <w:tcPr>
            <w:tcW w:w="650" w:type="pct"/>
            <w:noWrap/>
            <w:vAlign w:val="center"/>
          </w:tcPr>
          <w:p w14:paraId="4B03EEA9"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P value</w:t>
            </w:r>
          </w:p>
        </w:tc>
      </w:tr>
      <w:tr w:rsidR="00100E22" w:rsidRPr="00B6133E" w14:paraId="5CF9751A"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038D4E08"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Pre-BII</w:t>
            </w:r>
          </w:p>
        </w:tc>
        <w:tc>
          <w:tcPr>
            <w:tcW w:w="650" w:type="pct"/>
            <w:noWrap/>
            <w:hideMark/>
          </w:tcPr>
          <w:p w14:paraId="5EF73064" w14:textId="77777777" w:rsidR="009C7A9A" w:rsidRPr="00B6133E" w:rsidRDefault="009C7A9A" w:rsidP="00B22E77">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4C0861F7"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78A3214F"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2541D913" w14:textId="77777777" w:rsidR="009C7A9A" w:rsidRPr="00B6133E" w:rsidRDefault="009C7A9A" w:rsidP="00B22E77">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6A316DAA"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054902B4"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r>
      <w:tr w:rsidR="009C7A9A" w:rsidRPr="00B6133E" w14:paraId="0FD053A2"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690E4BBF"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Immature</w:t>
            </w:r>
          </w:p>
        </w:tc>
        <w:tc>
          <w:tcPr>
            <w:tcW w:w="650" w:type="pct"/>
            <w:noWrap/>
            <w:hideMark/>
          </w:tcPr>
          <w:p w14:paraId="647CCE67"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0.45</w:t>
            </w:r>
          </w:p>
        </w:tc>
        <w:tc>
          <w:tcPr>
            <w:tcW w:w="684" w:type="pct"/>
            <w:noWrap/>
            <w:hideMark/>
          </w:tcPr>
          <w:p w14:paraId="23073477"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(0.26-0.76)</w:t>
            </w:r>
          </w:p>
        </w:tc>
        <w:tc>
          <w:tcPr>
            <w:tcW w:w="650" w:type="pct"/>
            <w:noWrap/>
            <w:hideMark/>
          </w:tcPr>
          <w:p w14:paraId="6674740C"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0.0032</w:t>
            </w:r>
          </w:p>
        </w:tc>
        <w:tc>
          <w:tcPr>
            <w:tcW w:w="650" w:type="pct"/>
            <w:noWrap/>
            <w:hideMark/>
          </w:tcPr>
          <w:p w14:paraId="1C94E0C1"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0.48</w:t>
            </w:r>
          </w:p>
        </w:tc>
        <w:tc>
          <w:tcPr>
            <w:tcW w:w="684" w:type="pct"/>
            <w:noWrap/>
            <w:hideMark/>
          </w:tcPr>
          <w:p w14:paraId="167F1146"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(0.28-0.83)</w:t>
            </w:r>
          </w:p>
        </w:tc>
        <w:tc>
          <w:tcPr>
            <w:tcW w:w="650" w:type="pct"/>
            <w:noWrap/>
            <w:hideMark/>
          </w:tcPr>
          <w:p w14:paraId="23C67702"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0.0085</w:t>
            </w:r>
          </w:p>
        </w:tc>
      </w:tr>
      <w:tr w:rsidR="00100E22" w:rsidRPr="00B6133E" w14:paraId="79548237"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46252167"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Naive</w:t>
            </w:r>
          </w:p>
        </w:tc>
        <w:tc>
          <w:tcPr>
            <w:tcW w:w="650" w:type="pct"/>
            <w:noWrap/>
            <w:hideMark/>
          </w:tcPr>
          <w:p w14:paraId="197F4510"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0.41</w:t>
            </w:r>
          </w:p>
        </w:tc>
        <w:tc>
          <w:tcPr>
            <w:tcW w:w="684" w:type="pct"/>
            <w:noWrap/>
            <w:hideMark/>
          </w:tcPr>
          <w:p w14:paraId="428925B8"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(0.25-0.66)</w:t>
            </w:r>
          </w:p>
        </w:tc>
        <w:tc>
          <w:tcPr>
            <w:tcW w:w="650" w:type="pct"/>
            <w:noWrap/>
            <w:hideMark/>
          </w:tcPr>
          <w:p w14:paraId="2278D272" w14:textId="79EED1D3" w:rsidR="009C7A9A" w:rsidRPr="00B6133E" w:rsidRDefault="00D60CD8" w:rsidP="00D60CD8">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102E27A6"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0.39</w:t>
            </w:r>
          </w:p>
        </w:tc>
        <w:tc>
          <w:tcPr>
            <w:tcW w:w="684" w:type="pct"/>
            <w:noWrap/>
            <w:hideMark/>
          </w:tcPr>
          <w:p w14:paraId="55B3C2AD"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(0.24-0.63)</w:t>
            </w:r>
          </w:p>
        </w:tc>
        <w:tc>
          <w:tcPr>
            <w:tcW w:w="650" w:type="pct"/>
            <w:noWrap/>
            <w:hideMark/>
          </w:tcPr>
          <w:p w14:paraId="6C40499A" w14:textId="59F47AB2"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9C7A9A" w:rsidRPr="00B6133E" w14:paraId="1CC6E444"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3A148020"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Memory</w:t>
            </w:r>
          </w:p>
        </w:tc>
        <w:tc>
          <w:tcPr>
            <w:tcW w:w="650" w:type="pct"/>
            <w:noWrap/>
            <w:hideMark/>
          </w:tcPr>
          <w:p w14:paraId="3F84271D"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0.61</w:t>
            </w:r>
          </w:p>
        </w:tc>
        <w:tc>
          <w:tcPr>
            <w:tcW w:w="684" w:type="pct"/>
            <w:noWrap/>
            <w:hideMark/>
          </w:tcPr>
          <w:p w14:paraId="4BDD550F"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(0.39-0.95)</w:t>
            </w:r>
          </w:p>
        </w:tc>
        <w:tc>
          <w:tcPr>
            <w:tcW w:w="650" w:type="pct"/>
            <w:noWrap/>
            <w:hideMark/>
          </w:tcPr>
          <w:p w14:paraId="0514EBE8"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0.027</w:t>
            </w:r>
          </w:p>
        </w:tc>
        <w:tc>
          <w:tcPr>
            <w:tcW w:w="650" w:type="pct"/>
            <w:noWrap/>
            <w:hideMark/>
          </w:tcPr>
          <w:p w14:paraId="0EAAD363"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0.58</w:t>
            </w:r>
          </w:p>
        </w:tc>
        <w:tc>
          <w:tcPr>
            <w:tcW w:w="684" w:type="pct"/>
            <w:noWrap/>
            <w:hideMark/>
          </w:tcPr>
          <w:p w14:paraId="4A7C47F8"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(0.37-0.92)</w:t>
            </w:r>
          </w:p>
        </w:tc>
        <w:tc>
          <w:tcPr>
            <w:tcW w:w="650" w:type="pct"/>
            <w:noWrap/>
            <w:hideMark/>
          </w:tcPr>
          <w:p w14:paraId="1CE1C81E"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0.02</w:t>
            </w:r>
          </w:p>
        </w:tc>
      </w:tr>
      <w:tr w:rsidR="00100E22" w:rsidRPr="00B6133E" w14:paraId="6DEDE863"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152FD57B"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proofErr w:type="spellStart"/>
            <w:r w:rsidRPr="00B6133E">
              <w:rPr>
                <w:rFonts w:ascii="Times New Roman" w:hAnsi="Times New Roman" w:cs="Times New Roman"/>
                <w:color w:val="000000"/>
                <w:sz w:val="20"/>
                <w:szCs w:val="20"/>
              </w:rPr>
              <w:t>Plasmacell</w:t>
            </w:r>
            <w:proofErr w:type="spellEnd"/>
          </w:p>
        </w:tc>
        <w:tc>
          <w:tcPr>
            <w:tcW w:w="650" w:type="pct"/>
            <w:noWrap/>
            <w:hideMark/>
          </w:tcPr>
          <w:p w14:paraId="671D7BD0"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0.28</w:t>
            </w:r>
          </w:p>
        </w:tc>
        <w:tc>
          <w:tcPr>
            <w:tcW w:w="684" w:type="pct"/>
            <w:noWrap/>
            <w:hideMark/>
          </w:tcPr>
          <w:p w14:paraId="7123DA3D"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(0.13-0.6)</w:t>
            </w:r>
          </w:p>
        </w:tc>
        <w:tc>
          <w:tcPr>
            <w:tcW w:w="650" w:type="pct"/>
            <w:noWrap/>
            <w:hideMark/>
          </w:tcPr>
          <w:p w14:paraId="077843C9" w14:textId="1313E000"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2BCD1F9B"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w:t>
            </w:r>
          </w:p>
        </w:tc>
        <w:tc>
          <w:tcPr>
            <w:tcW w:w="684" w:type="pct"/>
            <w:noWrap/>
            <w:hideMark/>
          </w:tcPr>
          <w:p w14:paraId="77424FE0"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(0.14-0.64)</w:t>
            </w:r>
          </w:p>
        </w:tc>
        <w:tc>
          <w:tcPr>
            <w:tcW w:w="650" w:type="pct"/>
            <w:noWrap/>
            <w:hideMark/>
          </w:tcPr>
          <w:p w14:paraId="45FF4B05"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0.0018</w:t>
            </w:r>
          </w:p>
        </w:tc>
      </w:tr>
      <w:tr w:rsidR="009C7A9A" w:rsidRPr="00B6133E" w14:paraId="695697D3"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5AF91B8B"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4p16</w:t>
            </w:r>
          </w:p>
        </w:tc>
        <w:tc>
          <w:tcPr>
            <w:tcW w:w="650" w:type="pct"/>
            <w:noWrap/>
            <w:hideMark/>
          </w:tcPr>
          <w:p w14:paraId="21A28DD2" w14:textId="77777777" w:rsidR="009C7A9A" w:rsidRPr="00B6133E" w:rsidRDefault="009C7A9A" w:rsidP="00B22E77">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74278176"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2A9E7358"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1BBBCAF7" w14:textId="77777777" w:rsidR="009C7A9A" w:rsidRPr="00B6133E" w:rsidRDefault="009C7A9A" w:rsidP="00B22E77">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0E6630F6"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01710EEF"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r>
      <w:tr w:rsidR="00100E22" w:rsidRPr="00B6133E" w14:paraId="26314F6F"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3A0B71EA"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MAF</w:t>
            </w:r>
          </w:p>
        </w:tc>
        <w:tc>
          <w:tcPr>
            <w:tcW w:w="650" w:type="pct"/>
            <w:noWrap/>
            <w:hideMark/>
          </w:tcPr>
          <w:p w14:paraId="641DF167"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0.47</w:t>
            </w:r>
          </w:p>
        </w:tc>
        <w:tc>
          <w:tcPr>
            <w:tcW w:w="684" w:type="pct"/>
            <w:noWrap/>
            <w:hideMark/>
          </w:tcPr>
          <w:p w14:paraId="6BC2DCA0"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(0.29-0.77)</w:t>
            </w:r>
          </w:p>
        </w:tc>
        <w:tc>
          <w:tcPr>
            <w:tcW w:w="650" w:type="pct"/>
            <w:noWrap/>
            <w:hideMark/>
          </w:tcPr>
          <w:p w14:paraId="2D96C8A8"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0.0026</w:t>
            </w:r>
          </w:p>
        </w:tc>
        <w:tc>
          <w:tcPr>
            <w:tcW w:w="650" w:type="pct"/>
            <w:noWrap/>
            <w:hideMark/>
          </w:tcPr>
          <w:p w14:paraId="0C9CA97B"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0.53</w:t>
            </w:r>
          </w:p>
        </w:tc>
        <w:tc>
          <w:tcPr>
            <w:tcW w:w="684" w:type="pct"/>
            <w:noWrap/>
            <w:hideMark/>
          </w:tcPr>
          <w:p w14:paraId="711E7BFE"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(0.32-0.86)</w:t>
            </w:r>
          </w:p>
        </w:tc>
        <w:tc>
          <w:tcPr>
            <w:tcW w:w="650" w:type="pct"/>
            <w:noWrap/>
            <w:hideMark/>
          </w:tcPr>
          <w:p w14:paraId="3987B4D6"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0.011</w:t>
            </w:r>
          </w:p>
        </w:tc>
      </w:tr>
      <w:tr w:rsidR="009C7A9A" w:rsidRPr="00B6133E" w14:paraId="1346BD8A"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4CC1190F"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6p21</w:t>
            </w:r>
          </w:p>
        </w:tc>
        <w:tc>
          <w:tcPr>
            <w:tcW w:w="650" w:type="pct"/>
            <w:noWrap/>
            <w:hideMark/>
          </w:tcPr>
          <w:p w14:paraId="26EB3615"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0.23</w:t>
            </w:r>
          </w:p>
        </w:tc>
        <w:tc>
          <w:tcPr>
            <w:tcW w:w="684" w:type="pct"/>
            <w:noWrap/>
            <w:hideMark/>
          </w:tcPr>
          <w:p w14:paraId="2886911B"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(0.07-0.73)</w:t>
            </w:r>
          </w:p>
        </w:tc>
        <w:tc>
          <w:tcPr>
            <w:tcW w:w="650" w:type="pct"/>
            <w:noWrap/>
            <w:hideMark/>
          </w:tcPr>
          <w:p w14:paraId="4D798B9B"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0.013</w:t>
            </w:r>
          </w:p>
        </w:tc>
        <w:tc>
          <w:tcPr>
            <w:tcW w:w="650" w:type="pct"/>
            <w:noWrap/>
            <w:hideMark/>
          </w:tcPr>
          <w:p w14:paraId="4AED8822"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0.17</w:t>
            </w:r>
          </w:p>
        </w:tc>
        <w:tc>
          <w:tcPr>
            <w:tcW w:w="684" w:type="pct"/>
            <w:noWrap/>
            <w:hideMark/>
          </w:tcPr>
          <w:p w14:paraId="158C5D7E"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(0.05-0.54)</w:t>
            </w:r>
          </w:p>
        </w:tc>
        <w:tc>
          <w:tcPr>
            <w:tcW w:w="650" w:type="pct"/>
            <w:noWrap/>
            <w:hideMark/>
          </w:tcPr>
          <w:p w14:paraId="44EB55C8"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0.0027</w:t>
            </w:r>
          </w:p>
        </w:tc>
      </w:tr>
      <w:tr w:rsidR="00100E22" w:rsidRPr="00B6133E" w14:paraId="3DBC1834"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1BE20F7B"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11q13</w:t>
            </w:r>
          </w:p>
        </w:tc>
        <w:tc>
          <w:tcPr>
            <w:tcW w:w="650" w:type="pct"/>
            <w:noWrap/>
            <w:hideMark/>
          </w:tcPr>
          <w:p w14:paraId="4A78ABF0"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0.36</w:t>
            </w:r>
          </w:p>
        </w:tc>
        <w:tc>
          <w:tcPr>
            <w:tcW w:w="684" w:type="pct"/>
            <w:noWrap/>
            <w:hideMark/>
          </w:tcPr>
          <w:p w14:paraId="1268F041"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(0.26-0.52)</w:t>
            </w:r>
          </w:p>
        </w:tc>
        <w:tc>
          <w:tcPr>
            <w:tcW w:w="650" w:type="pct"/>
            <w:noWrap/>
            <w:hideMark/>
          </w:tcPr>
          <w:p w14:paraId="5ED5ADD3" w14:textId="7C851199" w:rsidR="009C7A9A" w:rsidRPr="00B6133E" w:rsidRDefault="00D60CD8" w:rsidP="00ED25EA">
            <w:pPr>
              <w:widowControl/>
              <w:autoSpaceDE/>
              <w:autoSpaceDN/>
              <w:adjustRightInd/>
              <w:spacing w:before="0" w:after="0" w:line="48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467A6B0B"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0.31</w:t>
            </w:r>
          </w:p>
        </w:tc>
        <w:tc>
          <w:tcPr>
            <w:tcW w:w="684" w:type="pct"/>
            <w:noWrap/>
            <w:hideMark/>
          </w:tcPr>
          <w:p w14:paraId="61695458"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(0.22-0.45)</w:t>
            </w:r>
          </w:p>
        </w:tc>
        <w:tc>
          <w:tcPr>
            <w:tcW w:w="650" w:type="pct"/>
            <w:noWrap/>
            <w:hideMark/>
          </w:tcPr>
          <w:p w14:paraId="20D59B86" w14:textId="1801243A"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9C7A9A" w:rsidRPr="00B6133E" w14:paraId="7741E8A7"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73F96964"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D1</w:t>
            </w:r>
          </w:p>
        </w:tc>
        <w:tc>
          <w:tcPr>
            <w:tcW w:w="650" w:type="pct"/>
            <w:noWrap/>
            <w:hideMark/>
          </w:tcPr>
          <w:p w14:paraId="424D0DC0"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0.35</w:t>
            </w:r>
          </w:p>
        </w:tc>
        <w:tc>
          <w:tcPr>
            <w:tcW w:w="684" w:type="pct"/>
            <w:noWrap/>
            <w:hideMark/>
          </w:tcPr>
          <w:p w14:paraId="2115524C"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(0.26-0.47)</w:t>
            </w:r>
          </w:p>
        </w:tc>
        <w:tc>
          <w:tcPr>
            <w:tcW w:w="650" w:type="pct"/>
            <w:noWrap/>
            <w:hideMark/>
          </w:tcPr>
          <w:p w14:paraId="4A02F564" w14:textId="7ED79278" w:rsidR="009C7A9A" w:rsidRPr="00B6133E" w:rsidRDefault="00D60CD8"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6E8CD79D"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w:t>
            </w:r>
          </w:p>
        </w:tc>
        <w:tc>
          <w:tcPr>
            <w:tcW w:w="684" w:type="pct"/>
            <w:noWrap/>
            <w:hideMark/>
          </w:tcPr>
          <w:p w14:paraId="2C389D85"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(0.22-0.41)</w:t>
            </w:r>
          </w:p>
        </w:tc>
        <w:tc>
          <w:tcPr>
            <w:tcW w:w="650" w:type="pct"/>
            <w:noWrap/>
            <w:hideMark/>
          </w:tcPr>
          <w:p w14:paraId="12FFB7FC" w14:textId="2F1AF7C9" w:rsidR="009C7A9A" w:rsidRPr="00B6133E" w:rsidRDefault="00D60CD8"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100E22" w:rsidRPr="00B6133E" w14:paraId="7FC3BC8D"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36875205"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D1plusD2</w:t>
            </w:r>
          </w:p>
        </w:tc>
        <w:tc>
          <w:tcPr>
            <w:tcW w:w="650" w:type="pct"/>
            <w:noWrap/>
            <w:hideMark/>
          </w:tcPr>
          <w:p w14:paraId="00624D55"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0.27</w:t>
            </w:r>
          </w:p>
        </w:tc>
        <w:tc>
          <w:tcPr>
            <w:tcW w:w="684" w:type="pct"/>
            <w:noWrap/>
            <w:hideMark/>
          </w:tcPr>
          <w:p w14:paraId="563D5C3E"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(0.12-0.63)</w:t>
            </w:r>
          </w:p>
        </w:tc>
        <w:tc>
          <w:tcPr>
            <w:tcW w:w="650" w:type="pct"/>
            <w:noWrap/>
            <w:hideMark/>
          </w:tcPr>
          <w:p w14:paraId="0B08905E"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0.0024</w:t>
            </w:r>
          </w:p>
        </w:tc>
        <w:tc>
          <w:tcPr>
            <w:tcW w:w="650" w:type="pct"/>
            <w:noWrap/>
            <w:hideMark/>
          </w:tcPr>
          <w:p w14:paraId="62971FD7"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0.27</w:t>
            </w:r>
          </w:p>
        </w:tc>
        <w:tc>
          <w:tcPr>
            <w:tcW w:w="684" w:type="pct"/>
            <w:noWrap/>
            <w:hideMark/>
          </w:tcPr>
          <w:p w14:paraId="5AAD7610"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(0.12-0.62)</w:t>
            </w:r>
          </w:p>
        </w:tc>
        <w:tc>
          <w:tcPr>
            <w:tcW w:w="650" w:type="pct"/>
            <w:noWrap/>
            <w:hideMark/>
          </w:tcPr>
          <w:p w14:paraId="4B97206C"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0.0021</w:t>
            </w:r>
          </w:p>
        </w:tc>
      </w:tr>
      <w:tr w:rsidR="009C7A9A" w:rsidRPr="00B6133E" w14:paraId="27DE051F"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13256DF4"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D2</w:t>
            </w:r>
          </w:p>
        </w:tc>
        <w:tc>
          <w:tcPr>
            <w:tcW w:w="650" w:type="pct"/>
            <w:noWrap/>
            <w:hideMark/>
          </w:tcPr>
          <w:p w14:paraId="1DF7DF84"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0.38</w:t>
            </w:r>
          </w:p>
        </w:tc>
        <w:tc>
          <w:tcPr>
            <w:tcW w:w="684" w:type="pct"/>
            <w:noWrap/>
            <w:hideMark/>
          </w:tcPr>
          <w:p w14:paraId="4946956E"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(0.25-0.57)</w:t>
            </w:r>
          </w:p>
        </w:tc>
        <w:tc>
          <w:tcPr>
            <w:tcW w:w="650" w:type="pct"/>
            <w:noWrap/>
            <w:hideMark/>
          </w:tcPr>
          <w:p w14:paraId="33DF8BEE" w14:textId="38A0ACF7" w:rsidR="009C7A9A" w:rsidRPr="00B6133E" w:rsidRDefault="00D60CD8" w:rsidP="00ED25EA">
            <w:pPr>
              <w:widowControl/>
              <w:autoSpaceDE/>
              <w:autoSpaceDN/>
              <w:adjustRightInd/>
              <w:spacing w:before="0" w:after="0" w:line="48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220803AD"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0.25</w:t>
            </w:r>
          </w:p>
        </w:tc>
        <w:tc>
          <w:tcPr>
            <w:tcW w:w="684" w:type="pct"/>
            <w:noWrap/>
            <w:hideMark/>
          </w:tcPr>
          <w:p w14:paraId="2881D200"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(0.16-0.39)</w:t>
            </w:r>
          </w:p>
        </w:tc>
        <w:tc>
          <w:tcPr>
            <w:tcW w:w="650" w:type="pct"/>
            <w:noWrap/>
            <w:hideMark/>
          </w:tcPr>
          <w:p w14:paraId="17620EC9" w14:textId="07185C7F" w:rsidR="009C7A9A" w:rsidRPr="00B6133E" w:rsidRDefault="00D60CD8"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100E22" w:rsidRPr="00B6133E" w14:paraId="5D190A01"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0B773069"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Hovon65</w:t>
            </w:r>
          </w:p>
        </w:tc>
        <w:tc>
          <w:tcPr>
            <w:tcW w:w="650" w:type="pct"/>
            <w:noWrap/>
            <w:hideMark/>
          </w:tcPr>
          <w:p w14:paraId="7688DDD2" w14:textId="77777777" w:rsidR="009C7A9A" w:rsidRPr="00B6133E" w:rsidRDefault="009C7A9A" w:rsidP="00B22E77">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7BB2AB89"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106B967E"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0A790CA9" w14:textId="77777777" w:rsidR="009C7A9A" w:rsidRPr="00B6133E" w:rsidRDefault="009C7A9A" w:rsidP="00B22E77">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60E75B4D"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26A683BF"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r>
      <w:tr w:rsidR="009C7A9A" w:rsidRPr="00B6133E" w14:paraId="6B2B3F0C"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24A1BD7A"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proofErr w:type="spellStart"/>
            <w:r w:rsidRPr="00B6133E">
              <w:rPr>
                <w:rFonts w:ascii="Times New Roman" w:hAnsi="Times New Roman" w:cs="Times New Roman"/>
                <w:color w:val="000000"/>
                <w:sz w:val="20"/>
                <w:szCs w:val="20"/>
              </w:rPr>
              <w:t>MyelomaIX</w:t>
            </w:r>
            <w:proofErr w:type="spellEnd"/>
          </w:p>
        </w:tc>
        <w:tc>
          <w:tcPr>
            <w:tcW w:w="650" w:type="pct"/>
            <w:noWrap/>
            <w:hideMark/>
          </w:tcPr>
          <w:p w14:paraId="6BEEC77C"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1.16</w:t>
            </w:r>
          </w:p>
        </w:tc>
        <w:tc>
          <w:tcPr>
            <w:tcW w:w="684" w:type="pct"/>
            <w:noWrap/>
            <w:hideMark/>
          </w:tcPr>
          <w:p w14:paraId="4267DBE7"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(0.84-1.6)</w:t>
            </w:r>
          </w:p>
        </w:tc>
        <w:tc>
          <w:tcPr>
            <w:tcW w:w="650" w:type="pct"/>
            <w:noWrap/>
            <w:hideMark/>
          </w:tcPr>
          <w:p w14:paraId="256C1080"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0.38</w:t>
            </w:r>
          </w:p>
        </w:tc>
        <w:tc>
          <w:tcPr>
            <w:tcW w:w="650" w:type="pct"/>
            <w:noWrap/>
            <w:hideMark/>
          </w:tcPr>
          <w:p w14:paraId="3DC1C156"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1.15</w:t>
            </w:r>
          </w:p>
        </w:tc>
        <w:tc>
          <w:tcPr>
            <w:tcW w:w="684" w:type="pct"/>
            <w:noWrap/>
            <w:hideMark/>
          </w:tcPr>
          <w:p w14:paraId="4D22DAFB"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(0.83-1.59)</w:t>
            </w:r>
          </w:p>
        </w:tc>
        <w:tc>
          <w:tcPr>
            <w:tcW w:w="650" w:type="pct"/>
            <w:noWrap/>
            <w:hideMark/>
          </w:tcPr>
          <w:p w14:paraId="4D37A7C0"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0.41</w:t>
            </w:r>
          </w:p>
        </w:tc>
      </w:tr>
      <w:tr w:rsidR="00100E22" w:rsidRPr="00B6133E" w14:paraId="33371B6E"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751EA871"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UAMS</w:t>
            </w:r>
          </w:p>
        </w:tc>
        <w:tc>
          <w:tcPr>
            <w:tcW w:w="650" w:type="pct"/>
            <w:noWrap/>
            <w:hideMark/>
          </w:tcPr>
          <w:p w14:paraId="3430E545"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0.37</w:t>
            </w:r>
          </w:p>
        </w:tc>
        <w:tc>
          <w:tcPr>
            <w:tcW w:w="684" w:type="pct"/>
            <w:noWrap/>
            <w:hideMark/>
          </w:tcPr>
          <w:p w14:paraId="52D86966"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(0.29-0.48)</w:t>
            </w:r>
          </w:p>
        </w:tc>
        <w:tc>
          <w:tcPr>
            <w:tcW w:w="650" w:type="pct"/>
            <w:noWrap/>
            <w:hideMark/>
          </w:tcPr>
          <w:p w14:paraId="53504605" w14:textId="4CA122AB"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499B1119"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0.33</w:t>
            </w:r>
          </w:p>
        </w:tc>
        <w:tc>
          <w:tcPr>
            <w:tcW w:w="684" w:type="pct"/>
            <w:noWrap/>
            <w:hideMark/>
          </w:tcPr>
          <w:p w14:paraId="5CEBB968"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(0.26-0.42)</w:t>
            </w:r>
          </w:p>
        </w:tc>
        <w:tc>
          <w:tcPr>
            <w:tcW w:w="650" w:type="pct"/>
            <w:noWrap/>
            <w:hideMark/>
          </w:tcPr>
          <w:p w14:paraId="5A34B601" w14:textId="5CBBCC3E" w:rsidR="009C7A9A" w:rsidRPr="00B6133E" w:rsidRDefault="00554A42" w:rsidP="00ED25EA">
            <w:pPr>
              <w:widowControl/>
              <w:autoSpaceDE/>
              <w:autoSpaceDN/>
              <w:adjustRightInd/>
              <w:spacing w:before="0" w:after="0" w:line="48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9C7A9A" w:rsidRPr="00B6133E" w14:paraId="6BD76C9B"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tcPr>
          <w:p w14:paraId="64242758"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p>
        </w:tc>
        <w:tc>
          <w:tcPr>
            <w:tcW w:w="650" w:type="pct"/>
            <w:noWrap/>
          </w:tcPr>
          <w:p w14:paraId="5A0659BF" w14:textId="77777777" w:rsidR="009C7A9A" w:rsidRPr="00B6133E" w:rsidRDefault="009C7A9A" w:rsidP="00ED25EA">
            <w:pPr>
              <w:widowControl/>
              <w:autoSpaceDE/>
              <w:autoSpaceDN/>
              <w:adjustRightInd/>
              <w:spacing w:before="0" w:after="0" w:line="48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p>
        </w:tc>
        <w:tc>
          <w:tcPr>
            <w:tcW w:w="684" w:type="pct"/>
            <w:noWrap/>
          </w:tcPr>
          <w:p w14:paraId="40ADDB1D"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p>
        </w:tc>
        <w:tc>
          <w:tcPr>
            <w:tcW w:w="650" w:type="pct"/>
            <w:noWrap/>
          </w:tcPr>
          <w:p w14:paraId="68BBC27F"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p>
        </w:tc>
        <w:tc>
          <w:tcPr>
            <w:tcW w:w="650" w:type="pct"/>
            <w:noWrap/>
          </w:tcPr>
          <w:p w14:paraId="06216F9C" w14:textId="77777777" w:rsidR="009C7A9A" w:rsidRPr="00B6133E" w:rsidRDefault="009C7A9A" w:rsidP="00ED25EA">
            <w:pPr>
              <w:widowControl/>
              <w:autoSpaceDE/>
              <w:autoSpaceDN/>
              <w:adjustRightInd/>
              <w:spacing w:before="0" w:after="0" w:line="48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p>
        </w:tc>
        <w:tc>
          <w:tcPr>
            <w:tcW w:w="684" w:type="pct"/>
            <w:noWrap/>
          </w:tcPr>
          <w:p w14:paraId="4BC3759C"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p>
        </w:tc>
        <w:tc>
          <w:tcPr>
            <w:tcW w:w="650" w:type="pct"/>
            <w:noWrap/>
          </w:tcPr>
          <w:p w14:paraId="2483B585"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p>
        </w:tc>
      </w:tr>
      <w:tr w:rsidR="009C7A9A" w:rsidRPr="00812DE2" w14:paraId="205E2D04" w14:textId="77777777" w:rsidTr="00774CE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00" w:type="pct"/>
            <w:gridSpan w:val="7"/>
            <w:noWrap/>
          </w:tcPr>
          <w:p w14:paraId="426E667A" w14:textId="64FFFC48" w:rsidR="009C7A9A" w:rsidRPr="00B6133E" w:rsidRDefault="009C7A9A" w:rsidP="00C91A6F">
            <w:pPr>
              <w:widowControl/>
              <w:autoSpaceDE/>
              <w:autoSpaceDN/>
              <w:adjustRightInd/>
              <w:spacing w:after="0" w:line="480" w:lineRule="auto"/>
              <w:jc w:val="center"/>
              <w:rPr>
                <w:rFonts w:ascii="Times New Roman" w:hAnsi="Times New Roman" w:cs="Times New Roman"/>
                <w:color w:val="000000"/>
              </w:rPr>
            </w:pPr>
            <w:r w:rsidRPr="00B6133E">
              <w:rPr>
                <w:rFonts w:ascii="Times New Roman" w:hAnsi="Times New Roman" w:cs="Times New Roman"/>
              </w:rPr>
              <w:t>Combined OS, n= 642, number of events= 236</w:t>
            </w:r>
          </w:p>
        </w:tc>
      </w:tr>
      <w:tr w:rsidR="009C7A9A" w:rsidRPr="00B6133E" w14:paraId="052EA171"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tcPr>
          <w:p w14:paraId="57F1ABFF"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p>
        </w:tc>
        <w:tc>
          <w:tcPr>
            <w:tcW w:w="650" w:type="pct"/>
            <w:noWrap/>
            <w:vAlign w:val="center"/>
          </w:tcPr>
          <w:p w14:paraId="6D6042A8" w14:textId="77777777" w:rsidR="009C7A9A" w:rsidRPr="00B6133E" w:rsidRDefault="009C7A9A" w:rsidP="00ED25EA">
            <w:pPr>
              <w:widowControl/>
              <w:autoSpaceDE/>
              <w:autoSpaceDN/>
              <w:adjustRightInd/>
              <w:spacing w:before="0" w:after="0" w:line="48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Hazard ratio</w:t>
            </w:r>
          </w:p>
        </w:tc>
        <w:tc>
          <w:tcPr>
            <w:tcW w:w="684" w:type="pct"/>
            <w:noWrap/>
            <w:vAlign w:val="center"/>
          </w:tcPr>
          <w:p w14:paraId="20EA0BE3"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95% CI</w:t>
            </w:r>
          </w:p>
        </w:tc>
        <w:tc>
          <w:tcPr>
            <w:tcW w:w="650" w:type="pct"/>
            <w:noWrap/>
            <w:vAlign w:val="center"/>
          </w:tcPr>
          <w:p w14:paraId="4DD6C9D2"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P value</w:t>
            </w:r>
          </w:p>
        </w:tc>
        <w:tc>
          <w:tcPr>
            <w:tcW w:w="650" w:type="pct"/>
            <w:noWrap/>
            <w:vAlign w:val="center"/>
          </w:tcPr>
          <w:p w14:paraId="44096CA2" w14:textId="77777777" w:rsidR="009C7A9A" w:rsidRPr="00B6133E" w:rsidRDefault="009C7A9A" w:rsidP="00ED25EA">
            <w:pPr>
              <w:widowControl/>
              <w:autoSpaceDE/>
              <w:autoSpaceDN/>
              <w:adjustRightInd/>
              <w:spacing w:before="0" w:after="0" w:line="48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Hazard ratio</w:t>
            </w:r>
          </w:p>
        </w:tc>
        <w:tc>
          <w:tcPr>
            <w:tcW w:w="684" w:type="pct"/>
            <w:noWrap/>
            <w:vAlign w:val="center"/>
          </w:tcPr>
          <w:p w14:paraId="3899598B"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95% CI</w:t>
            </w:r>
          </w:p>
        </w:tc>
        <w:tc>
          <w:tcPr>
            <w:tcW w:w="650" w:type="pct"/>
            <w:noWrap/>
            <w:vAlign w:val="center"/>
          </w:tcPr>
          <w:p w14:paraId="6E0D0967"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b/>
                <w:sz w:val="20"/>
                <w:szCs w:val="20"/>
              </w:rPr>
              <w:t>P value</w:t>
            </w:r>
          </w:p>
        </w:tc>
      </w:tr>
      <w:tr w:rsidR="00100E22" w:rsidRPr="00B6133E" w14:paraId="19E23C79"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68F42A9D"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Pre-BII</w:t>
            </w:r>
          </w:p>
        </w:tc>
        <w:tc>
          <w:tcPr>
            <w:tcW w:w="650" w:type="pct"/>
            <w:noWrap/>
            <w:hideMark/>
          </w:tcPr>
          <w:p w14:paraId="7A13BC92" w14:textId="77777777" w:rsidR="009C7A9A" w:rsidRPr="00B6133E" w:rsidRDefault="009C7A9A" w:rsidP="00B22E77">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623630B0"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53F6AF52"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39B0BF65" w14:textId="77777777" w:rsidR="009C7A9A" w:rsidRPr="00B6133E" w:rsidRDefault="009C7A9A" w:rsidP="00B22E77">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4CAB6107"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65B6337D"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r>
      <w:tr w:rsidR="009C7A9A" w:rsidRPr="00B6133E" w14:paraId="7B61659C"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17369D51"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Immature</w:t>
            </w:r>
          </w:p>
        </w:tc>
        <w:tc>
          <w:tcPr>
            <w:tcW w:w="650" w:type="pct"/>
            <w:noWrap/>
            <w:hideMark/>
          </w:tcPr>
          <w:p w14:paraId="253DD81C"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0.31</w:t>
            </w:r>
          </w:p>
        </w:tc>
        <w:tc>
          <w:tcPr>
            <w:tcW w:w="684" w:type="pct"/>
            <w:noWrap/>
            <w:hideMark/>
          </w:tcPr>
          <w:p w14:paraId="5098800A"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(0.18-0.51)</w:t>
            </w:r>
          </w:p>
        </w:tc>
        <w:tc>
          <w:tcPr>
            <w:tcW w:w="650" w:type="pct"/>
            <w:noWrap/>
            <w:hideMark/>
          </w:tcPr>
          <w:p w14:paraId="0574DF9F" w14:textId="4B7E4A85" w:rsidR="009C7A9A" w:rsidRPr="00B6133E" w:rsidRDefault="00D60CD8"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6FB37E06"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0.36</w:t>
            </w:r>
          </w:p>
        </w:tc>
        <w:tc>
          <w:tcPr>
            <w:tcW w:w="684" w:type="pct"/>
            <w:noWrap/>
            <w:hideMark/>
          </w:tcPr>
          <w:p w14:paraId="53F68CE9"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(0.21-0.62)</w:t>
            </w:r>
          </w:p>
        </w:tc>
        <w:tc>
          <w:tcPr>
            <w:tcW w:w="650" w:type="pct"/>
            <w:noWrap/>
            <w:hideMark/>
          </w:tcPr>
          <w:p w14:paraId="3488B3AB" w14:textId="46FDAD87" w:rsidR="009C7A9A" w:rsidRPr="00B6133E" w:rsidRDefault="00D60CD8"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100E22" w:rsidRPr="00B6133E" w14:paraId="29538B16"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6283FE3E"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Naive</w:t>
            </w:r>
          </w:p>
        </w:tc>
        <w:tc>
          <w:tcPr>
            <w:tcW w:w="650" w:type="pct"/>
            <w:noWrap/>
            <w:hideMark/>
          </w:tcPr>
          <w:p w14:paraId="7CBD7200"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0.19</w:t>
            </w:r>
          </w:p>
        </w:tc>
        <w:tc>
          <w:tcPr>
            <w:tcW w:w="684" w:type="pct"/>
            <w:noWrap/>
            <w:hideMark/>
          </w:tcPr>
          <w:p w14:paraId="0ACB7645"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(0.12-0.3)</w:t>
            </w:r>
          </w:p>
        </w:tc>
        <w:tc>
          <w:tcPr>
            <w:tcW w:w="650" w:type="pct"/>
            <w:noWrap/>
            <w:hideMark/>
          </w:tcPr>
          <w:p w14:paraId="3A84E9BE" w14:textId="0CF6EC63"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1807EC1A"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0.19</w:t>
            </w:r>
          </w:p>
        </w:tc>
        <w:tc>
          <w:tcPr>
            <w:tcW w:w="684" w:type="pct"/>
            <w:noWrap/>
            <w:hideMark/>
          </w:tcPr>
          <w:p w14:paraId="02F95F44"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(0.12-0.31)</w:t>
            </w:r>
          </w:p>
        </w:tc>
        <w:tc>
          <w:tcPr>
            <w:tcW w:w="650" w:type="pct"/>
            <w:noWrap/>
            <w:hideMark/>
          </w:tcPr>
          <w:p w14:paraId="33C8618F" w14:textId="77D74B5B"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9C7A9A" w:rsidRPr="00B6133E" w14:paraId="061D7DE1"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050B9733"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Memory</w:t>
            </w:r>
          </w:p>
        </w:tc>
        <w:tc>
          <w:tcPr>
            <w:tcW w:w="650" w:type="pct"/>
            <w:noWrap/>
            <w:hideMark/>
          </w:tcPr>
          <w:p w14:paraId="28B42897"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0.33</w:t>
            </w:r>
          </w:p>
        </w:tc>
        <w:tc>
          <w:tcPr>
            <w:tcW w:w="684" w:type="pct"/>
            <w:noWrap/>
            <w:hideMark/>
          </w:tcPr>
          <w:p w14:paraId="2285F103"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(0.22-0.5)</w:t>
            </w:r>
          </w:p>
        </w:tc>
        <w:tc>
          <w:tcPr>
            <w:tcW w:w="650" w:type="pct"/>
            <w:noWrap/>
            <w:hideMark/>
          </w:tcPr>
          <w:p w14:paraId="077BD6DC" w14:textId="1972E782" w:rsidR="009C7A9A" w:rsidRPr="00B6133E" w:rsidRDefault="00D60CD8"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34EE7670"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0.34</w:t>
            </w:r>
          </w:p>
        </w:tc>
        <w:tc>
          <w:tcPr>
            <w:tcW w:w="684" w:type="pct"/>
            <w:noWrap/>
            <w:hideMark/>
          </w:tcPr>
          <w:p w14:paraId="3B426939"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(0.23-0.52)</w:t>
            </w:r>
          </w:p>
        </w:tc>
        <w:tc>
          <w:tcPr>
            <w:tcW w:w="650" w:type="pct"/>
            <w:noWrap/>
            <w:hideMark/>
          </w:tcPr>
          <w:p w14:paraId="7DCB94EF" w14:textId="68282D08" w:rsidR="009C7A9A" w:rsidRPr="00B6133E" w:rsidRDefault="00D60CD8" w:rsidP="00CB3526">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100E22" w:rsidRPr="00B6133E" w14:paraId="12D61FE3"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3472C754"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proofErr w:type="spellStart"/>
            <w:r w:rsidRPr="00B6133E">
              <w:rPr>
                <w:rFonts w:ascii="Times New Roman" w:hAnsi="Times New Roman" w:cs="Times New Roman"/>
                <w:color w:val="000000"/>
                <w:sz w:val="20"/>
                <w:szCs w:val="20"/>
              </w:rPr>
              <w:t>Plasmacell</w:t>
            </w:r>
            <w:proofErr w:type="spellEnd"/>
          </w:p>
        </w:tc>
        <w:tc>
          <w:tcPr>
            <w:tcW w:w="650" w:type="pct"/>
            <w:noWrap/>
            <w:hideMark/>
          </w:tcPr>
          <w:p w14:paraId="3255A9E6"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w:t>
            </w:r>
          </w:p>
        </w:tc>
        <w:tc>
          <w:tcPr>
            <w:tcW w:w="684" w:type="pct"/>
            <w:noWrap/>
            <w:hideMark/>
          </w:tcPr>
          <w:p w14:paraId="1B63A1DE"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(0.03-0.28)</w:t>
            </w:r>
          </w:p>
        </w:tc>
        <w:tc>
          <w:tcPr>
            <w:tcW w:w="650" w:type="pct"/>
            <w:noWrap/>
            <w:hideMark/>
          </w:tcPr>
          <w:p w14:paraId="584575CC" w14:textId="68547EB2"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7BC4FD21"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0.11</w:t>
            </w:r>
          </w:p>
        </w:tc>
        <w:tc>
          <w:tcPr>
            <w:tcW w:w="684" w:type="pct"/>
            <w:noWrap/>
            <w:hideMark/>
          </w:tcPr>
          <w:p w14:paraId="4F2FDC04"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(0.04-0.32)</w:t>
            </w:r>
          </w:p>
        </w:tc>
        <w:tc>
          <w:tcPr>
            <w:tcW w:w="650" w:type="pct"/>
            <w:noWrap/>
            <w:hideMark/>
          </w:tcPr>
          <w:p w14:paraId="7A185732" w14:textId="0C8D56FF"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9C7A9A" w:rsidRPr="00B6133E" w14:paraId="0418522C"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3B9211B8"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lastRenderedPageBreak/>
              <w:t>4p16</w:t>
            </w:r>
          </w:p>
        </w:tc>
        <w:tc>
          <w:tcPr>
            <w:tcW w:w="650" w:type="pct"/>
            <w:noWrap/>
            <w:hideMark/>
          </w:tcPr>
          <w:p w14:paraId="6DBE99E8" w14:textId="77777777" w:rsidR="009C7A9A" w:rsidRPr="00B6133E" w:rsidRDefault="009C7A9A" w:rsidP="00B22E77">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44233FDC"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1755A807"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4C1BC47F" w14:textId="77777777" w:rsidR="009C7A9A" w:rsidRPr="00B6133E" w:rsidRDefault="009C7A9A" w:rsidP="00B22E77">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604E1F91"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301DD8F1"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r>
      <w:tr w:rsidR="00100E22" w:rsidRPr="00B6133E" w14:paraId="5AEF6D70"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34151370"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MAF</w:t>
            </w:r>
          </w:p>
        </w:tc>
        <w:tc>
          <w:tcPr>
            <w:tcW w:w="650" w:type="pct"/>
            <w:noWrap/>
            <w:hideMark/>
          </w:tcPr>
          <w:p w14:paraId="27978508"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0.53</w:t>
            </w:r>
          </w:p>
        </w:tc>
        <w:tc>
          <w:tcPr>
            <w:tcW w:w="684" w:type="pct"/>
            <w:noWrap/>
            <w:hideMark/>
          </w:tcPr>
          <w:p w14:paraId="7AD75979"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(0.3-0.93)</w:t>
            </w:r>
          </w:p>
        </w:tc>
        <w:tc>
          <w:tcPr>
            <w:tcW w:w="650" w:type="pct"/>
            <w:noWrap/>
            <w:hideMark/>
          </w:tcPr>
          <w:p w14:paraId="3290616E"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0.027</w:t>
            </w:r>
          </w:p>
        </w:tc>
        <w:tc>
          <w:tcPr>
            <w:tcW w:w="650" w:type="pct"/>
            <w:noWrap/>
            <w:hideMark/>
          </w:tcPr>
          <w:p w14:paraId="67F69725"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0.59</w:t>
            </w:r>
          </w:p>
        </w:tc>
        <w:tc>
          <w:tcPr>
            <w:tcW w:w="684" w:type="pct"/>
            <w:noWrap/>
            <w:hideMark/>
          </w:tcPr>
          <w:p w14:paraId="7A114CA4"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(0.34-1.05)</w:t>
            </w:r>
          </w:p>
        </w:tc>
        <w:tc>
          <w:tcPr>
            <w:tcW w:w="650" w:type="pct"/>
            <w:noWrap/>
            <w:hideMark/>
          </w:tcPr>
          <w:p w14:paraId="04B6267E"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0.072</w:t>
            </w:r>
          </w:p>
        </w:tc>
      </w:tr>
      <w:tr w:rsidR="009C7A9A" w:rsidRPr="00B6133E" w14:paraId="4CF0442E"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2E464E56"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6p21</w:t>
            </w:r>
          </w:p>
        </w:tc>
        <w:tc>
          <w:tcPr>
            <w:tcW w:w="650" w:type="pct"/>
            <w:noWrap/>
            <w:hideMark/>
          </w:tcPr>
          <w:p w14:paraId="5A37FB41"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0.43</w:t>
            </w:r>
          </w:p>
        </w:tc>
        <w:tc>
          <w:tcPr>
            <w:tcW w:w="684" w:type="pct"/>
            <w:noWrap/>
            <w:hideMark/>
          </w:tcPr>
          <w:p w14:paraId="30AEC76D"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(0.13-1.36)</w:t>
            </w:r>
          </w:p>
        </w:tc>
        <w:tc>
          <w:tcPr>
            <w:tcW w:w="650" w:type="pct"/>
            <w:noWrap/>
            <w:hideMark/>
          </w:tcPr>
          <w:p w14:paraId="3C258022"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0.15</w:t>
            </w:r>
          </w:p>
        </w:tc>
        <w:tc>
          <w:tcPr>
            <w:tcW w:w="650" w:type="pct"/>
            <w:noWrap/>
            <w:hideMark/>
          </w:tcPr>
          <w:p w14:paraId="05B16289"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0.51</w:t>
            </w:r>
          </w:p>
        </w:tc>
        <w:tc>
          <w:tcPr>
            <w:tcW w:w="684" w:type="pct"/>
            <w:noWrap/>
            <w:hideMark/>
          </w:tcPr>
          <w:p w14:paraId="011DCE82"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(0.16-1.65)</w:t>
            </w:r>
          </w:p>
        </w:tc>
        <w:tc>
          <w:tcPr>
            <w:tcW w:w="650" w:type="pct"/>
            <w:noWrap/>
            <w:hideMark/>
          </w:tcPr>
          <w:p w14:paraId="6F87EF32"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0.26</w:t>
            </w:r>
          </w:p>
        </w:tc>
      </w:tr>
      <w:tr w:rsidR="00100E22" w:rsidRPr="00B6133E" w14:paraId="7422F734"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38747732"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11q13</w:t>
            </w:r>
          </w:p>
        </w:tc>
        <w:tc>
          <w:tcPr>
            <w:tcW w:w="650" w:type="pct"/>
            <w:noWrap/>
            <w:hideMark/>
          </w:tcPr>
          <w:p w14:paraId="670D94E0"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0.48</w:t>
            </w:r>
          </w:p>
        </w:tc>
        <w:tc>
          <w:tcPr>
            <w:tcW w:w="684" w:type="pct"/>
            <w:noWrap/>
            <w:hideMark/>
          </w:tcPr>
          <w:p w14:paraId="0F153BCE"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(0.33-0.71)</w:t>
            </w:r>
          </w:p>
        </w:tc>
        <w:tc>
          <w:tcPr>
            <w:tcW w:w="650" w:type="pct"/>
            <w:noWrap/>
            <w:hideMark/>
          </w:tcPr>
          <w:p w14:paraId="3CA40CED" w14:textId="254F306E"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7C90B7AF"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0.51</w:t>
            </w:r>
          </w:p>
        </w:tc>
        <w:tc>
          <w:tcPr>
            <w:tcW w:w="684" w:type="pct"/>
            <w:noWrap/>
            <w:hideMark/>
          </w:tcPr>
          <w:p w14:paraId="56E3C1BD"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(0.35-0.76)</w:t>
            </w:r>
          </w:p>
        </w:tc>
        <w:tc>
          <w:tcPr>
            <w:tcW w:w="650" w:type="pct"/>
            <w:noWrap/>
            <w:hideMark/>
          </w:tcPr>
          <w:p w14:paraId="7A8C5197" w14:textId="6A01C3D9" w:rsidR="009C7A9A" w:rsidRPr="00B6133E" w:rsidRDefault="00D60CD8"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9C7A9A" w:rsidRPr="00B6133E" w14:paraId="1316D86E"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7C726EB6"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D1</w:t>
            </w:r>
          </w:p>
        </w:tc>
        <w:tc>
          <w:tcPr>
            <w:tcW w:w="650" w:type="pct"/>
            <w:noWrap/>
            <w:hideMark/>
          </w:tcPr>
          <w:p w14:paraId="4D0E40D1"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0.37</w:t>
            </w:r>
          </w:p>
        </w:tc>
        <w:tc>
          <w:tcPr>
            <w:tcW w:w="684" w:type="pct"/>
            <w:noWrap/>
            <w:hideMark/>
          </w:tcPr>
          <w:p w14:paraId="36D95FC7"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(0.26-0.51)</w:t>
            </w:r>
          </w:p>
        </w:tc>
        <w:tc>
          <w:tcPr>
            <w:tcW w:w="650" w:type="pct"/>
            <w:noWrap/>
            <w:hideMark/>
          </w:tcPr>
          <w:p w14:paraId="4C3C2491" w14:textId="60C35E81" w:rsidR="009C7A9A" w:rsidRPr="00B6133E" w:rsidRDefault="00D60CD8"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c>
          <w:tcPr>
            <w:tcW w:w="650" w:type="pct"/>
            <w:noWrap/>
            <w:hideMark/>
          </w:tcPr>
          <w:p w14:paraId="3A53AF42"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0.39</w:t>
            </w:r>
          </w:p>
        </w:tc>
        <w:tc>
          <w:tcPr>
            <w:tcW w:w="684" w:type="pct"/>
            <w:noWrap/>
            <w:hideMark/>
          </w:tcPr>
          <w:p w14:paraId="377755FD"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(0.28-0.55)</w:t>
            </w:r>
          </w:p>
        </w:tc>
        <w:tc>
          <w:tcPr>
            <w:tcW w:w="650" w:type="pct"/>
            <w:noWrap/>
            <w:hideMark/>
          </w:tcPr>
          <w:p w14:paraId="782A8AAC" w14:textId="420D72AC" w:rsidR="009C7A9A" w:rsidRPr="00B6133E" w:rsidRDefault="00D60CD8"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&lt; 0.001</w:t>
            </w:r>
          </w:p>
        </w:tc>
      </w:tr>
      <w:tr w:rsidR="00100E22" w:rsidRPr="00B6133E" w14:paraId="7924B0A4"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6E79B5D2"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D1plusD2</w:t>
            </w:r>
          </w:p>
        </w:tc>
        <w:tc>
          <w:tcPr>
            <w:tcW w:w="650" w:type="pct"/>
            <w:noWrap/>
            <w:hideMark/>
          </w:tcPr>
          <w:p w14:paraId="4E412C87"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0.41</w:t>
            </w:r>
          </w:p>
        </w:tc>
        <w:tc>
          <w:tcPr>
            <w:tcW w:w="684" w:type="pct"/>
            <w:noWrap/>
            <w:hideMark/>
          </w:tcPr>
          <w:p w14:paraId="35561EF8"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(0.17-1.02)</w:t>
            </w:r>
          </w:p>
        </w:tc>
        <w:tc>
          <w:tcPr>
            <w:tcW w:w="650" w:type="pct"/>
            <w:noWrap/>
            <w:hideMark/>
          </w:tcPr>
          <w:p w14:paraId="43EEE776"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0.056</w:t>
            </w:r>
          </w:p>
        </w:tc>
        <w:tc>
          <w:tcPr>
            <w:tcW w:w="650" w:type="pct"/>
            <w:noWrap/>
            <w:hideMark/>
          </w:tcPr>
          <w:p w14:paraId="3F326BC4"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0.31</w:t>
            </w:r>
          </w:p>
        </w:tc>
        <w:tc>
          <w:tcPr>
            <w:tcW w:w="684" w:type="pct"/>
            <w:noWrap/>
            <w:hideMark/>
          </w:tcPr>
          <w:p w14:paraId="0C5D0623"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(0.12-0.78)</w:t>
            </w:r>
          </w:p>
        </w:tc>
        <w:tc>
          <w:tcPr>
            <w:tcW w:w="650" w:type="pct"/>
            <w:noWrap/>
            <w:hideMark/>
          </w:tcPr>
          <w:p w14:paraId="67C12E93"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0.013</w:t>
            </w:r>
          </w:p>
        </w:tc>
      </w:tr>
      <w:tr w:rsidR="009C7A9A" w:rsidRPr="00B6133E" w14:paraId="52514009"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0F996B5B"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D2</w:t>
            </w:r>
          </w:p>
        </w:tc>
        <w:tc>
          <w:tcPr>
            <w:tcW w:w="650" w:type="pct"/>
            <w:noWrap/>
            <w:hideMark/>
          </w:tcPr>
          <w:p w14:paraId="0BB84B91"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0.53</w:t>
            </w:r>
          </w:p>
        </w:tc>
        <w:tc>
          <w:tcPr>
            <w:tcW w:w="684" w:type="pct"/>
            <w:noWrap/>
            <w:hideMark/>
          </w:tcPr>
          <w:p w14:paraId="3837B46C"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(0.34-0.83)</w:t>
            </w:r>
          </w:p>
        </w:tc>
        <w:tc>
          <w:tcPr>
            <w:tcW w:w="650" w:type="pct"/>
            <w:noWrap/>
            <w:hideMark/>
          </w:tcPr>
          <w:p w14:paraId="4C11564B"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0.0056</w:t>
            </w:r>
          </w:p>
        </w:tc>
        <w:tc>
          <w:tcPr>
            <w:tcW w:w="650" w:type="pct"/>
            <w:noWrap/>
            <w:hideMark/>
          </w:tcPr>
          <w:p w14:paraId="50286AE3"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0.47</w:t>
            </w:r>
          </w:p>
        </w:tc>
        <w:tc>
          <w:tcPr>
            <w:tcW w:w="684" w:type="pct"/>
            <w:noWrap/>
            <w:hideMark/>
          </w:tcPr>
          <w:p w14:paraId="39997908"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(0.3-0.75)</w:t>
            </w:r>
          </w:p>
        </w:tc>
        <w:tc>
          <w:tcPr>
            <w:tcW w:w="650" w:type="pct"/>
            <w:noWrap/>
            <w:hideMark/>
          </w:tcPr>
          <w:p w14:paraId="4FC4F754"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0.0014</w:t>
            </w:r>
          </w:p>
        </w:tc>
      </w:tr>
      <w:tr w:rsidR="00100E22" w:rsidRPr="00B6133E" w14:paraId="0B7690DC"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1212700A"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Hovon65</w:t>
            </w:r>
          </w:p>
        </w:tc>
        <w:tc>
          <w:tcPr>
            <w:tcW w:w="650" w:type="pct"/>
            <w:noWrap/>
            <w:hideMark/>
          </w:tcPr>
          <w:p w14:paraId="6860F025" w14:textId="77777777" w:rsidR="009C7A9A" w:rsidRPr="00B6133E" w:rsidRDefault="009C7A9A" w:rsidP="00B22E77">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69E9A457"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435282D5"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4F720E6E" w14:textId="77777777" w:rsidR="009C7A9A" w:rsidRPr="00B6133E" w:rsidRDefault="009C7A9A" w:rsidP="00B22E77">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w:t>
            </w:r>
          </w:p>
        </w:tc>
        <w:tc>
          <w:tcPr>
            <w:tcW w:w="684" w:type="pct"/>
            <w:noWrap/>
            <w:hideMark/>
          </w:tcPr>
          <w:p w14:paraId="65A05EC3"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c>
          <w:tcPr>
            <w:tcW w:w="650" w:type="pct"/>
            <w:noWrap/>
            <w:hideMark/>
          </w:tcPr>
          <w:p w14:paraId="54603FA5"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w:t>
            </w:r>
          </w:p>
        </w:tc>
      </w:tr>
      <w:tr w:rsidR="009C7A9A" w:rsidRPr="00B6133E" w14:paraId="399499DA" w14:textId="77777777" w:rsidTr="00774CEB">
        <w:trPr>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5E9FFB52"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proofErr w:type="spellStart"/>
            <w:r w:rsidRPr="00B6133E">
              <w:rPr>
                <w:rFonts w:ascii="Times New Roman" w:hAnsi="Times New Roman" w:cs="Times New Roman"/>
                <w:color w:val="000000"/>
                <w:sz w:val="20"/>
                <w:szCs w:val="20"/>
              </w:rPr>
              <w:t>MyelomaIX</w:t>
            </w:r>
            <w:proofErr w:type="spellEnd"/>
          </w:p>
        </w:tc>
        <w:tc>
          <w:tcPr>
            <w:tcW w:w="650" w:type="pct"/>
            <w:noWrap/>
            <w:hideMark/>
          </w:tcPr>
          <w:p w14:paraId="3A7969DB"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1.23</w:t>
            </w:r>
          </w:p>
        </w:tc>
        <w:tc>
          <w:tcPr>
            <w:tcW w:w="684" w:type="pct"/>
            <w:noWrap/>
            <w:hideMark/>
          </w:tcPr>
          <w:p w14:paraId="5EDED411"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(0.81-1.85)</w:t>
            </w:r>
          </w:p>
        </w:tc>
        <w:tc>
          <w:tcPr>
            <w:tcW w:w="650" w:type="pct"/>
            <w:noWrap/>
            <w:hideMark/>
          </w:tcPr>
          <w:p w14:paraId="257A8464"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0.33</w:t>
            </w:r>
          </w:p>
        </w:tc>
        <w:tc>
          <w:tcPr>
            <w:tcW w:w="650" w:type="pct"/>
            <w:noWrap/>
            <w:hideMark/>
          </w:tcPr>
          <w:p w14:paraId="6835BF9A" w14:textId="77777777" w:rsidR="009C7A9A" w:rsidRPr="00B6133E" w:rsidRDefault="009C7A9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1.24</w:t>
            </w:r>
          </w:p>
        </w:tc>
        <w:tc>
          <w:tcPr>
            <w:tcW w:w="684" w:type="pct"/>
            <w:noWrap/>
            <w:hideMark/>
          </w:tcPr>
          <w:p w14:paraId="71045786"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(0.82-1.88)</w:t>
            </w:r>
          </w:p>
        </w:tc>
        <w:tc>
          <w:tcPr>
            <w:tcW w:w="650" w:type="pct"/>
            <w:noWrap/>
            <w:hideMark/>
          </w:tcPr>
          <w:p w14:paraId="4E9EB50D" w14:textId="77777777" w:rsidR="009C7A9A" w:rsidRPr="00B6133E" w:rsidRDefault="009C7A9A" w:rsidP="00ED25EA">
            <w:pPr>
              <w:widowControl/>
              <w:autoSpaceDE/>
              <w:autoSpaceDN/>
              <w:adjustRightInd/>
              <w:spacing w:before="0" w:after="0" w:line="48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0.31</w:t>
            </w:r>
          </w:p>
        </w:tc>
      </w:tr>
      <w:tr w:rsidR="00100E22" w:rsidRPr="00B6133E" w14:paraId="3E7F62B4" w14:textId="77777777" w:rsidTr="009C7A9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34" w:type="pct"/>
            <w:noWrap/>
            <w:hideMark/>
          </w:tcPr>
          <w:p w14:paraId="14DF09C7" w14:textId="77777777" w:rsidR="009C7A9A" w:rsidRPr="00B6133E" w:rsidRDefault="009C7A9A" w:rsidP="00ED25EA">
            <w:pPr>
              <w:widowControl/>
              <w:autoSpaceDE/>
              <w:autoSpaceDN/>
              <w:adjustRightInd/>
              <w:spacing w:before="0" w:after="0" w:line="480" w:lineRule="auto"/>
              <w:jc w:val="left"/>
              <w:rPr>
                <w:rFonts w:ascii="Times New Roman" w:hAnsi="Times New Roman" w:cs="Times New Roman"/>
                <w:color w:val="000000"/>
                <w:sz w:val="20"/>
                <w:szCs w:val="20"/>
              </w:rPr>
            </w:pPr>
            <w:r w:rsidRPr="00B6133E">
              <w:rPr>
                <w:rFonts w:ascii="Times New Roman" w:hAnsi="Times New Roman" w:cs="Times New Roman"/>
                <w:color w:val="000000"/>
                <w:sz w:val="20"/>
                <w:szCs w:val="20"/>
              </w:rPr>
              <w:t>UAMS</w:t>
            </w:r>
          </w:p>
        </w:tc>
        <w:tc>
          <w:tcPr>
            <w:tcW w:w="650" w:type="pct"/>
            <w:noWrap/>
            <w:hideMark/>
          </w:tcPr>
          <w:p w14:paraId="4B86D901"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0.91</w:t>
            </w:r>
          </w:p>
        </w:tc>
        <w:tc>
          <w:tcPr>
            <w:tcW w:w="684" w:type="pct"/>
            <w:noWrap/>
            <w:hideMark/>
          </w:tcPr>
          <w:p w14:paraId="0F3FE0AB"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(0.68-1.21)</w:t>
            </w:r>
          </w:p>
        </w:tc>
        <w:tc>
          <w:tcPr>
            <w:tcW w:w="650" w:type="pct"/>
            <w:noWrap/>
            <w:hideMark/>
          </w:tcPr>
          <w:p w14:paraId="209AC9C7"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0.5</w:t>
            </w:r>
          </w:p>
        </w:tc>
        <w:tc>
          <w:tcPr>
            <w:tcW w:w="650" w:type="pct"/>
            <w:noWrap/>
            <w:hideMark/>
          </w:tcPr>
          <w:p w14:paraId="6D3B9FF9" w14:textId="77777777" w:rsidR="009C7A9A" w:rsidRPr="00B6133E" w:rsidRDefault="009C7A9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0.87</w:t>
            </w:r>
          </w:p>
        </w:tc>
        <w:tc>
          <w:tcPr>
            <w:tcW w:w="684" w:type="pct"/>
            <w:noWrap/>
            <w:hideMark/>
          </w:tcPr>
          <w:p w14:paraId="2374F4A4"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(0.65-1.17)</w:t>
            </w:r>
          </w:p>
        </w:tc>
        <w:tc>
          <w:tcPr>
            <w:tcW w:w="650" w:type="pct"/>
            <w:noWrap/>
            <w:hideMark/>
          </w:tcPr>
          <w:p w14:paraId="58DA01AE" w14:textId="77777777" w:rsidR="009C7A9A" w:rsidRPr="00B6133E" w:rsidRDefault="009C7A9A" w:rsidP="00ED25EA">
            <w:pPr>
              <w:widowControl/>
              <w:autoSpaceDE/>
              <w:autoSpaceDN/>
              <w:adjustRightInd/>
              <w:spacing w:before="0" w:after="0" w:line="48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6133E">
              <w:rPr>
                <w:rFonts w:ascii="Times New Roman" w:hAnsi="Times New Roman" w:cs="Times New Roman"/>
                <w:color w:val="000000"/>
                <w:sz w:val="20"/>
                <w:szCs w:val="20"/>
              </w:rPr>
              <w:t>0.35</w:t>
            </w:r>
          </w:p>
        </w:tc>
      </w:tr>
    </w:tbl>
    <w:p w14:paraId="35FD729F" w14:textId="461BD82F" w:rsidR="009A2C7F" w:rsidRPr="00B6133E" w:rsidRDefault="009A2C7F" w:rsidP="00D9310F">
      <w:pPr>
        <w:spacing w:after="0" w:line="480" w:lineRule="auto"/>
        <w:rPr>
          <w:rFonts w:ascii="Times New Roman" w:hAnsi="Times New Roman" w:cs="Times New Roman"/>
          <w:lang w:val="en-US"/>
        </w:rPr>
      </w:pPr>
      <w:r w:rsidRPr="00B6133E">
        <w:rPr>
          <w:rFonts w:ascii="Times New Roman" w:hAnsi="Times New Roman" w:cs="Times New Roman"/>
          <w:lang w:val="en-US"/>
        </w:rPr>
        <w:t xml:space="preserve">Cox proportional hazards regression analysis in the meta data set </w:t>
      </w:r>
      <w:r w:rsidR="00633382" w:rsidRPr="00B6133E">
        <w:rPr>
          <w:rFonts w:ascii="Times New Roman" w:hAnsi="Times New Roman" w:cs="Times New Roman"/>
          <w:lang w:val="en-US"/>
        </w:rPr>
        <w:t>for BAGS subtypes based on PFS and OS</w:t>
      </w:r>
      <w:r w:rsidRPr="00B6133E">
        <w:rPr>
          <w:rFonts w:ascii="Times New Roman" w:hAnsi="Times New Roman" w:cs="Times New Roman"/>
          <w:lang w:val="en-US"/>
        </w:rPr>
        <w:t>, demonstrating added independent significance to the TC classification staging system.</w:t>
      </w:r>
      <w:r w:rsidR="00473708" w:rsidRPr="00B6133E">
        <w:rPr>
          <w:rFonts w:ascii="Times New Roman" w:hAnsi="Times New Roman" w:cs="Times New Roman"/>
          <w:lang w:val="en-US"/>
        </w:rPr>
        <w:t xml:space="preserve"> Columns on the left show results for a univariate analysis with each of the covariates, while columns on the right show results from the multivariate model. The Pre-BI class was dropped from the analysis due to, too few observations in this group.</w:t>
      </w:r>
    </w:p>
    <w:p w14:paraId="57231534" w14:textId="77777777" w:rsidR="00C01569" w:rsidRPr="00B6133E" w:rsidRDefault="00C01569" w:rsidP="00A21532">
      <w:pPr>
        <w:spacing w:before="0" w:after="0" w:line="480" w:lineRule="auto"/>
        <w:jc w:val="left"/>
        <w:rPr>
          <w:rFonts w:ascii="Times New Roman" w:hAnsi="Times New Roman" w:cs="Times New Roman"/>
          <w:sz w:val="28"/>
          <w:szCs w:val="28"/>
          <w:lang w:val="en-US"/>
        </w:rPr>
      </w:pPr>
      <w:r w:rsidRPr="00B6133E">
        <w:rPr>
          <w:rFonts w:ascii="Times New Roman" w:hAnsi="Times New Roman" w:cs="Times New Roman"/>
          <w:lang w:val="en-US"/>
        </w:rPr>
        <w:br w:type="page"/>
      </w:r>
    </w:p>
    <w:p w14:paraId="77F144C1" w14:textId="475DC089" w:rsidR="00C01569" w:rsidRPr="00B6133E" w:rsidRDefault="009164C5" w:rsidP="00B6133E">
      <w:pPr>
        <w:pStyle w:val="Overskrift2"/>
      </w:pPr>
      <w:r w:rsidRPr="00B6133E">
        <w:lastRenderedPageBreak/>
        <w:t>Figure legends</w:t>
      </w:r>
      <w:bookmarkEnd w:id="8"/>
      <w:r w:rsidR="00CE0DA0" w:rsidRPr="00B6133E">
        <w:t xml:space="preserve"> </w:t>
      </w:r>
    </w:p>
    <w:p w14:paraId="7DE78A49" w14:textId="18F51B56" w:rsidR="00C01569" w:rsidRPr="00B6133E" w:rsidRDefault="00C01569" w:rsidP="00826CA4">
      <w:pPr>
        <w:pStyle w:val="Overskrift3"/>
        <w:rPr>
          <w:rFonts w:ascii="Times New Roman" w:hAnsi="Times New Roman" w:cs="Times New Roman"/>
        </w:rPr>
      </w:pPr>
      <w:r w:rsidRPr="00B6133E">
        <w:rPr>
          <w:rFonts w:ascii="Times New Roman" w:hAnsi="Times New Roman" w:cs="Times New Roman"/>
        </w:rPr>
        <w:t>Figure 1 E</w:t>
      </w:r>
      <w:r w:rsidR="006E3B80" w:rsidRPr="00B6133E">
        <w:rPr>
          <w:rFonts w:ascii="Times New Roman" w:hAnsi="Times New Roman" w:cs="Times New Roman"/>
        </w:rPr>
        <w:t xml:space="preserve">xpression of membrane </w:t>
      </w:r>
      <w:r w:rsidRPr="00B6133E">
        <w:rPr>
          <w:rFonts w:ascii="Times New Roman" w:hAnsi="Times New Roman" w:cs="Times New Roman"/>
        </w:rPr>
        <w:t>markers, transcription factors, and B-cell subset-specific genes</w:t>
      </w:r>
      <w:r w:rsidR="006A232A" w:rsidRPr="00B6133E">
        <w:rPr>
          <w:rFonts w:ascii="Times New Roman" w:hAnsi="Times New Roman" w:cs="Times New Roman"/>
        </w:rPr>
        <w:t xml:space="preserve"> in normal </w:t>
      </w:r>
      <w:r w:rsidR="009B70BC" w:rsidRPr="00B6133E">
        <w:rPr>
          <w:rFonts w:ascii="Times New Roman" w:hAnsi="Times New Roman" w:cs="Times New Roman"/>
        </w:rPr>
        <w:t>BM</w:t>
      </w:r>
      <w:r w:rsidR="006A232A" w:rsidRPr="00B6133E">
        <w:rPr>
          <w:rFonts w:ascii="Times New Roman" w:hAnsi="Times New Roman" w:cs="Times New Roman"/>
        </w:rPr>
        <w:t xml:space="preserve"> tissue</w:t>
      </w:r>
      <w:r w:rsidRPr="00B6133E">
        <w:rPr>
          <w:rFonts w:ascii="Times New Roman" w:hAnsi="Times New Roman" w:cs="Times New Roman"/>
        </w:rPr>
        <w:t>.</w:t>
      </w:r>
    </w:p>
    <w:p w14:paraId="36B0FB32" w14:textId="10B7F5AA" w:rsidR="00C210E7" w:rsidRPr="00B6133E" w:rsidRDefault="00333982" w:rsidP="005D4F6B">
      <w:pPr>
        <w:spacing w:before="0" w:after="0" w:line="480" w:lineRule="auto"/>
        <w:rPr>
          <w:rFonts w:ascii="Times New Roman" w:hAnsi="Times New Roman" w:cs="Times New Roman"/>
          <w:lang w:val="en-US"/>
        </w:rPr>
      </w:pPr>
      <w:r w:rsidRPr="00B6133E">
        <w:rPr>
          <w:rFonts w:ascii="Times New Roman" w:hAnsi="Times New Roman" w:cs="Times New Roman"/>
          <w:b/>
          <w:lang w:val="en-US"/>
        </w:rPr>
        <w:t xml:space="preserve">A) </w:t>
      </w:r>
      <w:r w:rsidR="00F95D60" w:rsidRPr="00B6133E">
        <w:rPr>
          <w:rFonts w:ascii="Times New Roman" w:hAnsi="Times New Roman" w:cs="Times New Roman"/>
          <w:lang w:val="en-US"/>
        </w:rPr>
        <w:t xml:space="preserve">B-cells </w:t>
      </w:r>
      <w:r w:rsidR="00F56EE4" w:rsidRPr="00B6133E">
        <w:rPr>
          <w:rFonts w:ascii="Times New Roman" w:hAnsi="Times New Roman" w:cs="Times New Roman"/>
          <w:lang w:val="en-US"/>
        </w:rPr>
        <w:t xml:space="preserve">of the BM </w:t>
      </w:r>
      <w:r w:rsidR="00F95D60" w:rsidRPr="00B6133E">
        <w:rPr>
          <w:rFonts w:ascii="Times New Roman" w:hAnsi="Times New Roman" w:cs="Times New Roman"/>
          <w:lang w:val="en-US"/>
        </w:rPr>
        <w:t xml:space="preserve">were defined by flow cytometry as CD19+, CD45+, and CD3− and were </w:t>
      </w:r>
      <w:r w:rsidR="00F56EE4" w:rsidRPr="00B6133E">
        <w:rPr>
          <w:rFonts w:ascii="Times New Roman" w:hAnsi="Times New Roman" w:cs="Times New Roman"/>
          <w:lang w:val="en-US"/>
        </w:rPr>
        <w:t>additionally</w:t>
      </w:r>
      <w:r w:rsidR="00F95D60" w:rsidRPr="00B6133E">
        <w:rPr>
          <w:rFonts w:ascii="Times New Roman" w:hAnsi="Times New Roman" w:cs="Times New Roman"/>
          <w:lang w:val="en-US"/>
        </w:rPr>
        <w:t xml:space="preserve"> divided </w:t>
      </w:r>
      <w:r w:rsidR="00F56EE4" w:rsidRPr="00B6133E">
        <w:rPr>
          <w:rFonts w:ascii="Times New Roman" w:hAnsi="Times New Roman" w:cs="Times New Roman"/>
          <w:lang w:val="en-US"/>
        </w:rPr>
        <w:t xml:space="preserve">by </w:t>
      </w:r>
      <w:r w:rsidR="001A26CF" w:rsidRPr="00B6133E">
        <w:rPr>
          <w:rFonts w:ascii="Times New Roman" w:hAnsi="Times New Roman" w:cs="Times New Roman"/>
          <w:lang w:val="en-US"/>
        </w:rPr>
        <w:t xml:space="preserve">surface marker </w:t>
      </w:r>
      <w:r w:rsidR="00F95D60" w:rsidRPr="00B6133E">
        <w:rPr>
          <w:rFonts w:ascii="Times New Roman" w:hAnsi="Times New Roman" w:cs="Times New Roman"/>
          <w:lang w:val="en-US"/>
        </w:rPr>
        <w:t>expression of CD10, CD20, CD27, CD38</w:t>
      </w:r>
      <w:r w:rsidR="009B70BC" w:rsidRPr="00B6133E">
        <w:rPr>
          <w:rFonts w:ascii="Times New Roman" w:hAnsi="Times New Roman" w:cs="Times New Roman"/>
          <w:lang w:val="en-US"/>
        </w:rPr>
        <w:t>,</w:t>
      </w:r>
      <w:r w:rsidR="00F95D60" w:rsidRPr="00B6133E">
        <w:rPr>
          <w:rFonts w:ascii="Times New Roman" w:hAnsi="Times New Roman" w:cs="Times New Roman"/>
          <w:lang w:val="en-US"/>
        </w:rPr>
        <w:t xml:space="preserve"> and CD34</w:t>
      </w:r>
      <w:r w:rsidR="009B70BC" w:rsidRPr="00B6133E">
        <w:rPr>
          <w:rFonts w:ascii="Times New Roman" w:hAnsi="Times New Roman" w:cs="Times New Roman"/>
          <w:lang w:val="en-US"/>
        </w:rPr>
        <w:t>,</w:t>
      </w:r>
      <w:r w:rsidR="00F95D60" w:rsidRPr="00B6133E">
        <w:rPr>
          <w:rFonts w:ascii="Times New Roman" w:hAnsi="Times New Roman" w:cs="Times New Roman"/>
          <w:lang w:val="en-US"/>
        </w:rPr>
        <w:t xml:space="preserve"> published in detail</w:t>
      </w:r>
      <w:r w:rsidR="009B70BC" w:rsidRPr="00B6133E">
        <w:rPr>
          <w:rFonts w:ascii="Times New Roman" w:hAnsi="Times New Roman" w:cs="Times New Roman"/>
          <w:lang w:val="en-US"/>
        </w:rPr>
        <w:t xml:space="preserve"> previously</w:t>
      </w:r>
      <w:r w:rsidR="00C60F0B" w:rsidRPr="00B6133E">
        <w:rPr>
          <w:rFonts w:ascii="Times New Roman" w:hAnsi="Times New Roman" w:cs="Times New Roman"/>
          <w:lang w:val="en-US"/>
        </w:rPr>
        <w:fldChar w:fldCharType="begin" w:fldLock="1"/>
      </w:r>
      <w:r w:rsidR="000C6F5F" w:rsidRPr="00B6133E">
        <w:rPr>
          <w:rFonts w:ascii="Times New Roman" w:hAnsi="Times New Roman" w:cs="Times New Roman"/>
          <w:lang w:val="en-US"/>
        </w:rPr>
        <w:instrText>ADDIN CSL_CITATION {"citationItems":[{"id":"ITEM-1","itemData":{"DOI":"10.1016/j.exphem.2016.06.001","ISSN":"18732399","PMID":"27297329","abstract":"The rare memory B cells in thymus (Thy) are considered the cells of origin for primary mediastinal large B-cell lymphoma. The objectives of the present study were to characterize the normal memory B-cell compartment in Thy and to support its association with primary mediastinal B-cell lymphoma. Seven paired human tissue samples from Thy and sternum bone marrow (BM) were harvested during cardiac surgery. B-cell subsets were phenotyped by Euroflow standard and fluorescence-activated cell sorting for microarray analysis on the Human Exon 1.0 ST Arrays platform. Differentially expressed genes between Thy and BM memory B cells were identified and correlated with the molecular subclasses of diffuse large B-cell lymphoma. Within Thy, 4% (median; range 2%–14%) of the CD45+ hematopoietic cells were CD19+ B cells, with a major fraction being CD27+/CD38– memory B cells (median 80%, range 76%–93%). The BM contained 14% (median; range 3%–27%), of which only a minor fraction (median 5%, range 2%–10%) were memory B cells. Global gene expression analysis of the memory B-cell subsets from the two compartments identified 133 genes upregulated in Thy, including AICDA, REL, STAT1, TNF family, SLAMF1, CD80, and CD86. In addition, exons 4 and 5 in the 3′ end of AICDA were more highly expressed in Thy than in BM. The Thy memory B-cell gene profile was overexpressed in primary mediastinal B-cell lymphoma compared with other diffuse large B-cell lymphoma subclasses. The present study describes a Thy memory B-cell subset and its gene profile correlated with primary mediastinal B-cell lymphomas, suggesting origin from Thy memory B cells.","author":[{"dropping-particle":"","family":"Bergkvist","given":"Kim Steve","non-dropping-particle":"","parse-names":false,"suffix":""},{"dropping-particle":"","family":"Nørgaard","given":"Martin Agge","non-dropping-particle":"","parse-names":false,"suffix":""},{"dropping-particle":"","family":"Bøgsted","given":"Martin","non-dropping-particle":"","parse-names":false,"suffix":""},{"dropping-particle":"","family":"Schmitz","given":"Alexander","non-dropping-particle":"","parse-names":false,"suffix":""},{"dropping-particle":"","family":"Nyegaard","given":"Mette","non-dropping-particle":"","parse-names":false,"suffix":""},{"dropping-particle":"","family":"Gaihede","given":"Michael","non-dropping-particle":"","parse-names":false,"suffix":""},{"dropping-particle":"","family":"Bæch","given":"John","non-dropping-particle":"","parse-names":false,"suffix":""},{"dropping-particle":"","family":"Grønholdt","given":"Marie Louise","non-dropping-particle":"","parse-names":false,"suffix":""},{"dropping-particle":"","family":"Jensen","given":"Frank Svendsen","non-dropping-particle":"","parse-names":false,"suffix":""},{"dropping-particle":"","family":"Johansen","given":"Preben","non-dropping-particle":"","parse-names":false,"suffix":""},{"dropping-particle":"","family":"Urup","given":"Thomas","non-dropping-particle":"","parse-names":false,"suffix":""},{"dropping-particle":"","family":"El-Galaly","given":"Tarec C.","non-dropping-particle":"","parse-names":false,"suffix":""},{"dropping-particle":"","family":"Madsen","given":"Jakob","non-dropping-particle":"","parse-names":false,"suffix":""},{"dropping-particle":"","family":"Bødker","given":"Julie Støve","non-dropping-particle":"","parse-names":false,"suffix":""},{"dropping-particle":"","family":"Dybkær","given":"Karen","non-dropping-particle":"","parse-names":false,"suffix":""},{"dropping-particle":"","family":"Johnsen","given":"Hans Erik","non-dropping-particle":"","parse-names":false,"suffix":""}],"container-title":"Experimental Hematology","id":"ITEM-1","issue":"10","issued":{"date-parts":[["2016","10"]]},"page":"982-990.e11","publisher":"ISEH - International Society for Experimental Hematology","title":"Characterization of memory B cells from thymus and its impact for DLBCL classification","type":"article-journal","volume":"44"},"uris":["http://www.mendeley.com/documents/?uuid=58e9bd17-32fc-476d-a5f4-196f2d41bf26"]}],"mendeley":{"formattedCitation":"&lt;sup&gt;44&lt;/sup&gt;","plainTextFormattedCitation":"44","previouslyFormattedCitation":"&lt;sup&gt;44&lt;/sup&gt;"},"properties":{"noteIndex":0},"schema":"https://github.com/citation-style-language/schema/raw/master/csl-citation.json"}</w:instrText>
      </w:r>
      <w:r w:rsidR="00C60F0B" w:rsidRPr="00B6133E">
        <w:rPr>
          <w:rFonts w:ascii="Times New Roman" w:hAnsi="Times New Roman" w:cs="Times New Roman"/>
          <w:lang w:val="en-US"/>
        </w:rPr>
        <w:fldChar w:fldCharType="separate"/>
      </w:r>
      <w:r w:rsidR="000E342D" w:rsidRPr="00B6133E">
        <w:rPr>
          <w:rFonts w:ascii="Times New Roman" w:hAnsi="Times New Roman" w:cs="Times New Roman"/>
          <w:noProof/>
          <w:vertAlign w:val="superscript"/>
          <w:lang w:val="en-US"/>
        </w:rPr>
        <w:t>44</w:t>
      </w:r>
      <w:r w:rsidR="00C60F0B" w:rsidRPr="00B6133E">
        <w:rPr>
          <w:rFonts w:ascii="Times New Roman" w:hAnsi="Times New Roman" w:cs="Times New Roman"/>
          <w:lang w:val="en-US"/>
        </w:rPr>
        <w:fldChar w:fldCharType="end"/>
      </w:r>
      <w:r w:rsidR="00F95D60" w:rsidRPr="00B6133E">
        <w:rPr>
          <w:rFonts w:ascii="Times New Roman" w:hAnsi="Times New Roman" w:cs="Times New Roman"/>
          <w:lang w:val="en-US"/>
        </w:rPr>
        <w:t xml:space="preserve">. </w:t>
      </w:r>
    </w:p>
    <w:p w14:paraId="3EA17D90" w14:textId="4108FCAE" w:rsidR="00C210E7" w:rsidRPr="00B6133E" w:rsidRDefault="00F95D60" w:rsidP="005D4F6B">
      <w:pPr>
        <w:spacing w:before="0" w:after="0" w:line="480" w:lineRule="auto"/>
        <w:rPr>
          <w:rFonts w:ascii="Times New Roman" w:hAnsi="Times New Roman" w:cs="Times New Roman"/>
          <w:lang w:val="en-US"/>
        </w:rPr>
      </w:pPr>
      <w:r w:rsidRPr="00B6133E">
        <w:rPr>
          <w:rFonts w:ascii="Times New Roman" w:hAnsi="Times New Roman" w:cs="Times New Roman"/>
          <w:lang w:val="en-US"/>
        </w:rPr>
        <w:t xml:space="preserve">The data quality of the differentiating B-cell subset compartments was validated as illustrated </w:t>
      </w:r>
      <w:r w:rsidR="00DE7176" w:rsidRPr="00B6133E">
        <w:rPr>
          <w:rFonts w:ascii="Times New Roman" w:hAnsi="Times New Roman" w:cs="Times New Roman"/>
          <w:lang w:val="en-US"/>
        </w:rPr>
        <w:t xml:space="preserve">by </w:t>
      </w:r>
      <w:r w:rsidR="006A232A" w:rsidRPr="00B6133E">
        <w:rPr>
          <w:rFonts w:ascii="Times New Roman" w:hAnsi="Times New Roman" w:cs="Times New Roman"/>
          <w:lang w:val="en-US"/>
        </w:rPr>
        <w:t xml:space="preserve">normalized histograms </w:t>
      </w:r>
      <w:r w:rsidR="007D5CB3" w:rsidRPr="00B6133E">
        <w:rPr>
          <w:rFonts w:ascii="Times New Roman" w:hAnsi="Times New Roman" w:cs="Times New Roman"/>
          <w:lang w:val="en-US"/>
        </w:rPr>
        <w:t xml:space="preserve">of </w:t>
      </w:r>
      <w:r w:rsidR="006A232A" w:rsidRPr="00B6133E">
        <w:rPr>
          <w:rFonts w:ascii="Times New Roman" w:hAnsi="Times New Roman" w:cs="Times New Roman"/>
          <w:lang w:val="en-US"/>
        </w:rPr>
        <w:t>(</w:t>
      </w:r>
      <w:r w:rsidR="006A232A" w:rsidRPr="00B6133E">
        <w:rPr>
          <w:rFonts w:ascii="Times New Roman" w:hAnsi="Times New Roman" w:cs="Times New Roman"/>
          <w:b/>
          <w:lang w:val="en-US"/>
        </w:rPr>
        <w:t>A</w:t>
      </w:r>
      <w:r w:rsidR="006A232A" w:rsidRPr="00B6133E">
        <w:rPr>
          <w:rFonts w:ascii="Times New Roman" w:hAnsi="Times New Roman" w:cs="Times New Roman"/>
          <w:lang w:val="en-US"/>
        </w:rPr>
        <w:t xml:space="preserve">) the </w:t>
      </w:r>
      <w:r w:rsidRPr="00B6133E">
        <w:rPr>
          <w:rFonts w:ascii="Times New Roman" w:hAnsi="Times New Roman" w:cs="Times New Roman"/>
          <w:lang w:val="en-US"/>
        </w:rPr>
        <w:t xml:space="preserve">mean </w:t>
      </w:r>
      <w:r w:rsidR="006A232A" w:rsidRPr="00B6133E">
        <w:rPr>
          <w:rFonts w:ascii="Times New Roman" w:hAnsi="Times New Roman" w:cs="Times New Roman"/>
          <w:lang w:val="en-US"/>
        </w:rPr>
        <w:t>fluorescence intensities (</w:t>
      </w:r>
      <w:r w:rsidRPr="00B6133E">
        <w:rPr>
          <w:rFonts w:ascii="Times New Roman" w:hAnsi="Times New Roman" w:cs="Times New Roman"/>
          <w:lang w:val="en-US"/>
        </w:rPr>
        <w:t>M</w:t>
      </w:r>
      <w:r w:rsidR="006A232A" w:rsidRPr="00B6133E">
        <w:rPr>
          <w:rFonts w:ascii="Times New Roman" w:hAnsi="Times New Roman" w:cs="Times New Roman"/>
          <w:lang w:val="en-US"/>
        </w:rPr>
        <w:t>FI</w:t>
      </w:r>
      <w:r w:rsidR="009B70BC" w:rsidRPr="00B6133E">
        <w:rPr>
          <w:rFonts w:ascii="Times New Roman" w:hAnsi="Times New Roman" w:cs="Times New Roman"/>
          <w:lang w:val="en-US"/>
        </w:rPr>
        <w:t>s</w:t>
      </w:r>
      <w:r w:rsidR="006A232A" w:rsidRPr="00B6133E">
        <w:rPr>
          <w:rFonts w:ascii="Times New Roman" w:hAnsi="Times New Roman" w:cs="Times New Roman"/>
          <w:lang w:val="en-US"/>
        </w:rPr>
        <w:t>) CD markers based on merge</w:t>
      </w:r>
      <w:r w:rsidRPr="00B6133E">
        <w:rPr>
          <w:rFonts w:ascii="Times New Roman" w:hAnsi="Times New Roman" w:cs="Times New Roman"/>
          <w:lang w:val="en-US"/>
        </w:rPr>
        <w:t>d MFC</w:t>
      </w:r>
      <w:r w:rsidR="006A232A" w:rsidRPr="00B6133E">
        <w:rPr>
          <w:rFonts w:ascii="Times New Roman" w:hAnsi="Times New Roman" w:cs="Times New Roman"/>
          <w:lang w:val="en-US"/>
        </w:rPr>
        <w:t xml:space="preserve"> reanalysis of pure sorted populations resulting from seven independent sorting procedures. </w:t>
      </w:r>
      <w:r w:rsidR="007D5CB3" w:rsidRPr="00B6133E">
        <w:rPr>
          <w:rFonts w:ascii="Times New Roman" w:hAnsi="Times New Roman" w:cs="Times New Roman"/>
          <w:lang w:val="en-US"/>
        </w:rPr>
        <w:t>Broke</w:t>
      </w:r>
      <w:r w:rsidR="000F507C" w:rsidRPr="00B6133E">
        <w:rPr>
          <w:rFonts w:ascii="Times New Roman" w:hAnsi="Times New Roman" w:cs="Times New Roman"/>
          <w:lang w:val="en-US"/>
        </w:rPr>
        <w:t>n</w:t>
      </w:r>
      <w:r w:rsidRPr="00B6133E">
        <w:rPr>
          <w:rFonts w:ascii="Times New Roman" w:hAnsi="Times New Roman" w:cs="Times New Roman"/>
          <w:lang w:val="en-US"/>
        </w:rPr>
        <w:t xml:space="preserve"> lines </w:t>
      </w:r>
      <w:r w:rsidR="007D5CB3" w:rsidRPr="00B6133E">
        <w:rPr>
          <w:rFonts w:ascii="Times New Roman" w:hAnsi="Times New Roman" w:cs="Times New Roman"/>
          <w:lang w:val="en-US"/>
        </w:rPr>
        <w:t xml:space="preserve">represents </w:t>
      </w:r>
      <w:r w:rsidR="00DE7176" w:rsidRPr="00B6133E">
        <w:rPr>
          <w:rFonts w:ascii="Times New Roman" w:hAnsi="Times New Roman" w:cs="Times New Roman"/>
          <w:lang w:val="en-US"/>
        </w:rPr>
        <w:t xml:space="preserve">MFI values </w:t>
      </w:r>
      <w:r w:rsidRPr="00B6133E">
        <w:rPr>
          <w:rFonts w:ascii="Times New Roman" w:hAnsi="Times New Roman" w:cs="Times New Roman"/>
          <w:lang w:val="en-US"/>
        </w:rPr>
        <w:t xml:space="preserve">for each sorted B-cell subset. </w:t>
      </w:r>
    </w:p>
    <w:p w14:paraId="545AD354" w14:textId="01D45E16" w:rsidR="00C210E7" w:rsidRPr="00B6133E" w:rsidRDefault="00333982" w:rsidP="005D4F6B">
      <w:pPr>
        <w:spacing w:before="0" w:after="0" w:line="480" w:lineRule="auto"/>
        <w:rPr>
          <w:rFonts w:ascii="Times New Roman" w:hAnsi="Times New Roman" w:cs="Times New Roman"/>
          <w:lang w:val="en-US"/>
        </w:rPr>
      </w:pPr>
      <w:r w:rsidRPr="00B6133E">
        <w:rPr>
          <w:rFonts w:ascii="Times New Roman" w:hAnsi="Times New Roman" w:cs="Times New Roman"/>
          <w:b/>
          <w:lang w:val="en-US"/>
        </w:rPr>
        <w:t>B</w:t>
      </w:r>
      <w:r w:rsidRPr="00B6133E">
        <w:rPr>
          <w:rFonts w:ascii="Times New Roman" w:hAnsi="Times New Roman" w:cs="Times New Roman"/>
          <w:lang w:val="en-US"/>
        </w:rPr>
        <w:t>)</w:t>
      </w:r>
      <w:r w:rsidR="00057479" w:rsidRPr="00B6133E">
        <w:rPr>
          <w:rFonts w:ascii="Times New Roman" w:hAnsi="Times New Roman" w:cs="Times New Roman"/>
          <w:lang w:val="en-US"/>
        </w:rPr>
        <w:t xml:space="preserve"> </w:t>
      </w:r>
      <w:r w:rsidR="006A232A" w:rsidRPr="00B6133E">
        <w:rPr>
          <w:rFonts w:ascii="Times New Roman" w:hAnsi="Times New Roman" w:cs="Times New Roman"/>
          <w:lang w:val="en-US"/>
        </w:rPr>
        <w:t xml:space="preserve">Principal component analysis of the </w:t>
      </w:r>
      <w:r w:rsidR="00F95D60" w:rsidRPr="00B6133E">
        <w:rPr>
          <w:rFonts w:ascii="Times New Roman" w:hAnsi="Times New Roman" w:cs="Times New Roman"/>
          <w:lang w:val="en-US"/>
        </w:rPr>
        <w:t>M</w:t>
      </w:r>
      <w:r w:rsidR="006A232A" w:rsidRPr="00B6133E">
        <w:rPr>
          <w:rFonts w:ascii="Times New Roman" w:hAnsi="Times New Roman" w:cs="Times New Roman"/>
          <w:lang w:val="en-US"/>
        </w:rPr>
        <w:t xml:space="preserve">FI </w:t>
      </w:r>
      <w:r w:rsidR="008A71CD" w:rsidRPr="00B6133E">
        <w:rPr>
          <w:rFonts w:ascii="Times New Roman" w:hAnsi="Times New Roman" w:cs="Times New Roman"/>
          <w:lang w:val="en-US"/>
        </w:rPr>
        <w:t xml:space="preserve">values </w:t>
      </w:r>
      <w:r w:rsidR="006A232A" w:rsidRPr="00B6133E">
        <w:rPr>
          <w:rFonts w:ascii="Times New Roman" w:hAnsi="Times New Roman" w:cs="Times New Roman"/>
          <w:lang w:val="en-US"/>
        </w:rPr>
        <w:t xml:space="preserve">for each sorted cell in all samples. </w:t>
      </w:r>
      <w:r w:rsidR="008A71CD" w:rsidRPr="00B6133E">
        <w:rPr>
          <w:rFonts w:ascii="Times New Roman" w:hAnsi="Times New Roman" w:cs="Times New Roman"/>
          <w:lang w:val="en-US"/>
        </w:rPr>
        <w:t>The c</w:t>
      </w:r>
      <w:r w:rsidR="006A232A" w:rsidRPr="00B6133E">
        <w:rPr>
          <w:rFonts w:ascii="Times New Roman" w:hAnsi="Times New Roman" w:cs="Times New Roman"/>
          <w:lang w:val="en-US"/>
        </w:rPr>
        <w:t xml:space="preserve">ells are coded </w:t>
      </w:r>
      <w:r w:rsidR="008A71CD" w:rsidRPr="00B6133E">
        <w:rPr>
          <w:rFonts w:ascii="Times New Roman" w:hAnsi="Times New Roman" w:cs="Times New Roman"/>
          <w:lang w:val="en-US"/>
        </w:rPr>
        <w:t xml:space="preserve">with a color </w:t>
      </w:r>
      <w:r w:rsidR="006A232A" w:rsidRPr="00B6133E">
        <w:rPr>
          <w:rFonts w:ascii="Times New Roman" w:hAnsi="Times New Roman" w:cs="Times New Roman"/>
          <w:lang w:val="en-US"/>
        </w:rPr>
        <w:t xml:space="preserve">according to their original subset. The dots </w:t>
      </w:r>
      <w:r w:rsidR="008A71CD" w:rsidRPr="00B6133E">
        <w:rPr>
          <w:rFonts w:ascii="Times New Roman" w:hAnsi="Times New Roman" w:cs="Times New Roman"/>
          <w:lang w:val="en-US"/>
        </w:rPr>
        <w:t xml:space="preserve">represents </w:t>
      </w:r>
      <w:r w:rsidR="006A232A" w:rsidRPr="00B6133E">
        <w:rPr>
          <w:rFonts w:ascii="Times New Roman" w:hAnsi="Times New Roman" w:cs="Times New Roman"/>
          <w:lang w:val="en-US"/>
        </w:rPr>
        <w:t>mean values for each sorted B-cell subset.</w:t>
      </w:r>
      <w:r w:rsidR="00F95D60" w:rsidRPr="00B6133E">
        <w:rPr>
          <w:rFonts w:ascii="Times New Roman" w:hAnsi="Times New Roman" w:cs="Times New Roman"/>
          <w:lang w:val="en-US"/>
        </w:rPr>
        <w:t xml:space="preserve"> </w:t>
      </w:r>
    </w:p>
    <w:p w14:paraId="3B6A2B70" w14:textId="11335C97" w:rsidR="00C210E7" w:rsidRPr="00B6133E" w:rsidRDefault="00333982" w:rsidP="005D4F6B">
      <w:pPr>
        <w:spacing w:before="0" w:after="0" w:line="480" w:lineRule="auto"/>
        <w:rPr>
          <w:rFonts w:ascii="Times New Roman" w:hAnsi="Times New Roman" w:cs="Times New Roman"/>
          <w:b/>
          <w:lang w:val="en-US"/>
        </w:rPr>
      </w:pPr>
      <w:r w:rsidRPr="00B6133E">
        <w:rPr>
          <w:rFonts w:ascii="Times New Roman" w:hAnsi="Times New Roman" w:cs="Times New Roman"/>
          <w:b/>
          <w:lang w:val="en-US"/>
        </w:rPr>
        <w:t>C</w:t>
      </w:r>
      <w:r w:rsidRPr="00B6133E">
        <w:rPr>
          <w:rFonts w:ascii="Times New Roman" w:hAnsi="Times New Roman" w:cs="Times New Roman"/>
          <w:lang w:val="en-US"/>
        </w:rPr>
        <w:t xml:space="preserve">) </w:t>
      </w:r>
      <w:r w:rsidR="006A232A" w:rsidRPr="00B6133E">
        <w:rPr>
          <w:rFonts w:ascii="Times New Roman" w:hAnsi="Times New Roman" w:cs="Times New Roman"/>
          <w:lang w:val="en-US"/>
        </w:rPr>
        <w:t>The most var</w:t>
      </w:r>
      <w:r w:rsidR="008A71CD" w:rsidRPr="00B6133E">
        <w:rPr>
          <w:rFonts w:ascii="Times New Roman" w:hAnsi="Times New Roman" w:cs="Times New Roman"/>
          <w:lang w:val="en-US"/>
        </w:rPr>
        <w:t>iable</w:t>
      </w:r>
      <w:r w:rsidR="006A232A" w:rsidRPr="00B6133E">
        <w:rPr>
          <w:rFonts w:ascii="Times New Roman" w:hAnsi="Times New Roman" w:cs="Times New Roman"/>
          <w:lang w:val="en-US"/>
        </w:rPr>
        <w:t xml:space="preserve"> probe sets were </w:t>
      </w:r>
      <w:r w:rsidR="008A71CD" w:rsidRPr="00B6133E">
        <w:rPr>
          <w:rFonts w:ascii="Times New Roman" w:hAnsi="Times New Roman" w:cs="Times New Roman"/>
          <w:lang w:val="en-US"/>
        </w:rPr>
        <w:t>used</w:t>
      </w:r>
      <w:r w:rsidR="006A232A" w:rsidRPr="00B6133E">
        <w:rPr>
          <w:rFonts w:ascii="Times New Roman" w:hAnsi="Times New Roman" w:cs="Times New Roman"/>
          <w:lang w:val="en-US"/>
        </w:rPr>
        <w:t xml:space="preserve"> in unsupervised hierarchical clustering analysis of the surface markers</w:t>
      </w:r>
      <w:r w:rsidR="00057479" w:rsidRPr="00B6133E">
        <w:rPr>
          <w:rFonts w:ascii="Times New Roman" w:hAnsi="Times New Roman" w:cs="Times New Roman"/>
          <w:lang w:val="en-US"/>
        </w:rPr>
        <w:t xml:space="preserve"> MME</w:t>
      </w:r>
      <w:r w:rsidR="000F507C" w:rsidRPr="00B6133E">
        <w:rPr>
          <w:rFonts w:ascii="Times New Roman" w:hAnsi="Times New Roman" w:cs="Times New Roman"/>
          <w:lang w:val="en-US"/>
        </w:rPr>
        <w:t xml:space="preserve"> </w:t>
      </w:r>
      <w:r w:rsidR="00057479" w:rsidRPr="00B6133E">
        <w:rPr>
          <w:rFonts w:ascii="Times New Roman" w:hAnsi="Times New Roman" w:cs="Times New Roman"/>
          <w:lang w:val="en-US"/>
        </w:rPr>
        <w:t>=</w:t>
      </w:r>
      <w:r w:rsidR="000F507C" w:rsidRPr="00B6133E">
        <w:rPr>
          <w:rFonts w:ascii="Times New Roman" w:hAnsi="Times New Roman" w:cs="Times New Roman"/>
          <w:lang w:val="en-US"/>
        </w:rPr>
        <w:t xml:space="preserve"> </w:t>
      </w:r>
      <w:r w:rsidR="00057479" w:rsidRPr="00B6133E">
        <w:rPr>
          <w:rFonts w:ascii="Times New Roman" w:hAnsi="Times New Roman" w:cs="Times New Roman"/>
          <w:lang w:val="en-US"/>
        </w:rPr>
        <w:t>CD10, CD34, CD38, CD27, PTPRC</w:t>
      </w:r>
      <w:r w:rsidR="000F507C" w:rsidRPr="00B6133E">
        <w:rPr>
          <w:rFonts w:ascii="Times New Roman" w:hAnsi="Times New Roman" w:cs="Times New Roman"/>
          <w:lang w:val="en-US"/>
        </w:rPr>
        <w:t xml:space="preserve"> </w:t>
      </w:r>
      <w:r w:rsidR="00057479" w:rsidRPr="00B6133E">
        <w:rPr>
          <w:rFonts w:ascii="Times New Roman" w:hAnsi="Times New Roman" w:cs="Times New Roman"/>
          <w:lang w:val="en-US"/>
        </w:rPr>
        <w:t>=</w:t>
      </w:r>
      <w:r w:rsidR="000F507C" w:rsidRPr="00B6133E">
        <w:rPr>
          <w:rFonts w:ascii="Times New Roman" w:hAnsi="Times New Roman" w:cs="Times New Roman"/>
          <w:lang w:val="en-US"/>
        </w:rPr>
        <w:t xml:space="preserve"> </w:t>
      </w:r>
      <w:r w:rsidR="00057479" w:rsidRPr="00B6133E">
        <w:rPr>
          <w:rFonts w:ascii="Times New Roman" w:hAnsi="Times New Roman" w:cs="Times New Roman"/>
          <w:lang w:val="en-US"/>
        </w:rPr>
        <w:t>CD45, MS4A</w:t>
      </w:r>
      <w:r w:rsidR="000F507C" w:rsidRPr="00B6133E">
        <w:rPr>
          <w:rFonts w:ascii="Times New Roman" w:hAnsi="Times New Roman" w:cs="Times New Roman"/>
          <w:lang w:val="en-US"/>
        </w:rPr>
        <w:t xml:space="preserve"> </w:t>
      </w:r>
      <w:r w:rsidR="00057479" w:rsidRPr="00B6133E">
        <w:rPr>
          <w:rFonts w:ascii="Times New Roman" w:hAnsi="Times New Roman" w:cs="Times New Roman"/>
          <w:lang w:val="en-US"/>
        </w:rPr>
        <w:t>=</w:t>
      </w:r>
      <w:r w:rsidR="000F507C" w:rsidRPr="00B6133E">
        <w:rPr>
          <w:rFonts w:ascii="Times New Roman" w:hAnsi="Times New Roman" w:cs="Times New Roman"/>
          <w:lang w:val="en-US"/>
        </w:rPr>
        <w:t xml:space="preserve"> </w:t>
      </w:r>
      <w:r w:rsidR="00057479" w:rsidRPr="00B6133E">
        <w:rPr>
          <w:rFonts w:ascii="Times New Roman" w:hAnsi="Times New Roman" w:cs="Times New Roman"/>
          <w:lang w:val="en-US"/>
        </w:rPr>
        <w:t>CD20 and CD19</w:t>
      </w:r>
      <w:r w:rsidR="00057479" w:rsidRPr="00B6133E">
        <w:rPr>
          <w:rFonts w:ascii="Times New Roman" w:hAnsi="Times New Roman" w:cs="Times New Roman"/>
          <w:lang w:val="en-GB"/>
        </w:rPr>
        <w:t xml:space="preserve"> </w:t>
      </w:r>
      <w:r w:rsidR="00057479" w:rsidRPr="00B6133E">
        <w:rPr>
          <w:rFonts w:ascii="Times New Roman" w:hAnsi="Times New Roman" w:cs="Times New Roman"/>
          <w:lang w:val="en-US"/>
        </w:rPr>
        <w:t>used for FACS.</w:t>
      </w:r>
    </w:p>
    <w:p w14:paraId="5963BECB" w14:textId="21CEE571" w:rsidR="00D9310F" w:rsidRPr="00B6133E" w:rsidRDefault="00333982" w:rsidP="00D9310F">
      <w:pPr>
        <w:spacing w:before="0" w:after="0" w:line="480" w:lineRule="auto"/>
        <w:rPr>
          <w:rFonts w:ascii="Times New Roman" w:hAnsi="Times New Roman" w:cs="Times New Roman"/>
          <w:lang w:val="en-GB"/>
        </w:rPr>
      </w:pPr>
      <w:r w:rsidRPr="00B6133E">
        <w:rPr>
          <w:rFonts w:ascii="Times New Roman" w:hAnsi="Times New Roman" w:cs="Times New Roman"/>
          <w:b/>
          <w:lang w:val="en-US"/>
        </w:rPr>
        <w:t>D</w:t>
      </w:r>
      <w:r w:rsidRPr="00B6133E">
        <w:rPr>
          <w:rFonts w:ascii="Times New Roman" w:hAnsi="Times New Roman" w:cs="Times New Roman"/>
          <w:lang w:val="en-US"/>
        </w:rPr>
        <w:t xml:space="preserve">) </w:t>
      </w:r>
      <w:r w:rsidR="006A232A" w:rsidRPr="00B6133E">
        <w:rPr>
          <w:rFonts w:ascii="Times New Roman" w:hAnsi="Times New Roman" w:cs="Times New Roman"/>
          <w:lang w:val="en-US"/>
        </w:rPr>
        <w:t>B-cell differentiation–specific genes</w:t>
      </w:r>
      <w:r w:rsidR="00321675" w:rsidRPr="00B6133E">
        <w:rPr>
          <w:rFonts w:ascii="Times New Roman" w:hAnsi="Times New Roman" w:cs="Times New Roman"/>
          <w:lang w:val="en-US"/>
        </w:rPr>
        <w:t xml:space="preserve"> (n</w:t>
      </w:r>
      <w:r w:rsidR="000F507C" w:rsidRPr="00B6133E">
        <w:rPr>
          <w:rFonts w:ascii="Times New Roman" w:hAnsi="Times New Roman" w:cs="Times New Roman"/>
          <w:lang w:val="en-US"/>
        </w:rPr>
        <w:t xml:space="preserve"> </w:t>
      </w:r>
      <w:r w:rsidR="00321675" w:rsidRPr="00B6133E">
        <w:rPr>
          <w:rFonts w:ascii="Times New Roman" w:hAnsi="Times New Roman" w:cs="Times New Roman"/>
          <w:lang w:val="en-US"/>
        </w:rPr>
        <w:t>=</w:t>
      </w:r>
      <w:r w:rsidR="000F507C" w:rsidRPr="00B6133E">
        <w:rPr>
          <w:rFonts w:ascii="Times New Roman" w:hAnsi="Times New Roman" w:cs="Times New Roman"/>
          <w:lang w:val="en-US"/>
        </w:rPr>
        <w:t xml:space="preserve"> </w:t>
      </w:r>
      <w:r w:rsidR="00321675" w:rsidRPr="00B6133E">
        <w:rPr>
          <w:rFonts w:ascii="Times New Roman" w:hAnsi="Times New Roman" w:cs="Times New Roman"/>
          <w:lang w:val="en-US"/>
        </w:rPr>
        <w:t>45)</w:t>
      </w:r>
      <w:r w:rsidR="00F95D60" w:rsidRPr="00B6133E">
        <w:rPr>
          <w:rFonts w:ascii="Times New Roman" w:hAnsi="Times New Roman" w:cs="Times New Roman"/>
          <w:lang w:val="en-US"/>
        </w:rPr>
        <w:t>, summarized from</w:t>
      </w:r>
      <w:r w:rsidR="006A232A" w:rsidRPr="00B6133E">
        <w:rPr>
          <w:rFonts w:ascii="Times New Roman" w:hAnsi="Times New Roman" w:cs="Times New Roman"/>
          <w:lang w:val="en-US"/>
        </w:rPr>
        <w:t xml:space="preserve"> a literature review</w:t>
      </w:r>
      <w:r w:rsidR="00321675" w:rsidRPr="00B6133E">
        <w:rPr>
          <w:rFonts w:ascii="Times New Roman" w:hAnsi="Times New Roman" w:cs="Times New Roman"/>
          <w:lang w:val="en-US"/>
        </w:rPr>
        <w:t xml:space="preserve"> of transcriptional</w:t>
      </w:r>
      <w:r w:rsidR="00D93C67" w:rsidRPr="00B6133E">
        <w:rPr>
          <w:rFonts w:ascii="Times New Roman" w:hAnsi="Times New Roman" w:cs="Times New Roman"/>
          <w:lang w:val="en-US"/>
        </w:rPr>
        <w:t xml:space="preserve"> regulation of B </w:t>
      </w:r>
      <w:proofErr w:type="spellStart"/>
      <w:r w:rsidR="00D93C67" w:rsidRPr="00B6133E">
        <w:rPr>
          <w:rFonts w:ascii="Times New Roman" w:hAnsi="Times New Roman" w:cs="Times New Roman"/>
          <w:lang w:val="en-US"/>
        </w:rPr>
        <w:t>lymphopoiesis</w:t>
      </w:r>
      <w:proofErr w:type="spellEnd"/>
      <w:r w:rsidR="00D93C67" w:rsidRPr="00B6133E">
        <w:rPr>
          <w:rFonts w:ascii="Times New Roman" w:hAnsi="Times New Roman" w:cs="Times New Roman"/>
          <w:lang w:val="en-US"/>
        </w:rPr>
        <w:t>.</w:t>
      </w:r>
      <w:r w:rsidR="006A232A" w:rsidRPr="00B6133E">
        <w:rPr>
          <w:rFonts w:ascii="Times New Roman" w:hAnsi="Times New Roman" w:cs="Times New Roman"/>
          <w:lang w:val="en-US"/>
        </w:rPr>
        <w:t xml:space="preserve"> The color</w:t>
      </w:r>
      <w:r w:rsidR="008A71CD" w:rsidRPr="00B6133E">
        <w:rPr>
          <w:rFonts w:ascii="Times New Roman" w:hAnsi="Times New Roman" w:cs="Times New Roman"/>
          <w:lang w:val="en-US"/>
        </w:rPr>
        <w:t xml:space="preserve">s at the </w:t>
      </w:r>
      <w:r w:rsidR="006A232A" w:rsidRPr="00B6133E">
        <w:rPr>
          <w:rFonts w:ascii="Times New Roman" w:hAnsi="Times New Roman" w:cs="Times New Roman"/>
          <w:lang w:val="en-US"/>
        </w:rPr>
        <w:t xml:space="preserve">top of D indicate the relative gene expression </w:t>
      </w:r>
      <w:r w:rsidR="008A71CD" w:rsidRPr="00B6133E">
        <w:rPr>
          <w:rFonts w:ascii="Times New Roman" w:hAnsi="Times New Roman" w:cs="Times New Roman"/>
          <w:lang w:val="en-US"/>
        </w:rPr>
        <w:t xml:space="preserve">for </w:t>
      </w:r>
      <w:r w:rsidR="006A232A" w:rsidRPr="00B6133E">
        <w:rPr>
          <w:rFonts w:ascii="Times New Roman" w:hAnsi="Times New Roman" w:cs="Times New Roman"/>
          <w:lang w:val="en-US"/>
        </w:rPr>
        <w:t>each sample, with blue</w:t>
      </w:r>
      <w:r w:rsidR="009B70BC" w:rsidRPr="00B6133E">
        <w:rPr>
          <w:rFonts w:ascii="Times New Roman" w:hAnsi="Times New Roman" w:cs="Times New Roman"/>
          <w:lang w:val="en-US"/>
        </w:rPr>
        <w:t xml:space="preserve"> </w:t>
      </w:r>
      <w:r w:rsidR="008A71CD" w:rsidRPr="00B6133E">
        <w:rPr>
          <w:rFonts w:ascii="Times New Roman" w:hAnsi="Times New Roman" w:cs="Times New Roman"/>
          <w:lang w:val="en-US"/>
        </w:rPr>
        <w:t>representing</w:t>
      </w:r>
      <w:r w:rsidR="009B70BC" w:rsidRPr="00B6133E">
        <w:rPr>
          <w:rFonts w:ascii="Times New Roman" w:hAnsi="Times New Roman" w:cs="Times New Roman"/>
          <w:lang w:val="en-US"/>
        </w:rPr>
        <w:t xml:space="preserve"> </w:t>
      </w:r>
      <w:r w:rsidR="006A232A" w:rsidRPr="00B6133E">
        <w:rPr>
          <w:rFonts w:ascii="Times New Roman" w:hAnsi="Times New Roman" w:cs="Times New Roman"/>
          <w:lang w:val="en-US"/>
        </w:rPr>
        <w:t xml:space="preserve">high and brown </w:t>
      </w:r>
      <w:r w:rsidR="008A71CD" w:rsidRPr="00B6133E">
        <w:rPr>
          <w:rFonts w:ascii="Times New Roman" w:hAnsi="Times New Roman" w:cs="Times New Roman"/>
          <w:lang w:val="en-US"/>
        </w:rPr>
        <w:t>representing</w:t>
      </w:r>
      <w:r w:rsidR="009B70BC" w:rsidRPr="00B6133E">
        <w:rPr>
          <w:rFonts w:ascii="Times New Roman" w:hAnsi="Times New Roman" w:cs="Times New Roman"/>
          <w:lang w:val="en-US"/>
        </w:rPr>
        <w:t xml:space="preserve"> </w:t>
      </w:r>
      <w:r w:rsidR="006A232A" w:rsidRPr="00B6133E">
        <w:rPr>
          <w:rFonts w:ascii="Times New Roman" w:hAnsi="Times New Roman" w:cs="Times New Roman"/>
          <w:lang w:val="en-US"/>
        </w:rPr>
        <w:t>low.</w:t>
      </w:r>
      <w:r w:rsidR="00D9310F" w:rsidRPr="00B6133E">
        <w:rPr>
          <w:rFonts w:ascii="Times New Roman" w:hAnsi="Times New Roman" w:cs="Times New Roman"/>
          <w:lang w:val="en-GB"/>
        </w:rPr>
        <w:t xml:space="preserve"> </w:t>
      </w:r>
    </w:p>
    <w:p w14:paraId="26FAE414" w14:textId="77777777" w:rsidR="00D9310F" w:rsidRPr="00B6133E" w:rsidRDefault="00D9310F">
      <w:pPr>
        <w:widowControl/>
        <w:autoSpaceDE/>
        <w:autoSpaceDN/>
        <w:adjustRightInd/>
        <w:spacing w:before="0" w:after="0"/>
        <w:jc w:val="left"/>
        <w:rPr>
          <w:rFonts w:ascii="Times New Roman" w:hAnsi="Times New Roman" w:cs="Times New Roman"/>
          <w:b/>
          <w:color w:val="000000"/>
          <w:lang w:val="en-GB" w:eastAsia="en-US"/>
        </w:rPr>
      </w:pPr>
      <w:r w:rsidRPr="00B6133E">
        <w:rPr>
          <w:rFonts w:ascii="Times New Roman" w:hAnsi="Times New Roman" w:cs="Times New Roman"/>
          <w:lang w:val="en-GB"/>
        </w:rPr>
        <w:br w:type="page"/>
      </w:r>
    </w:p>
    <w:p w14:paraId="754A58B2" w14:textId="1944D999" w:rsidR="00C01569" w:rsidRPr="00B6133E" w:rsidRDefault="00D9310F" w:rsidP="00826CA4">
      <w:pPr>
        <w:pStyle w:val="Overskrift3"/>
        <w:rPr>
          <w:rFonts w:ascii="Times New Roman" w:hAnsi="Times New Roman" w:cs="Times New Roman"/>
        </w:rPr>
      </w:pPr>
      <w:r w:rsidRPr="00B6133E">
        <w:rPr>
          <w:rFonts w:ascii="Times New Roman" w:hAnsi="Times New Roman" w:cs="Times New Roman"/>
          <w:lang w:val="en-GB"/>
        </w:rPr>
        <w:lastRenderedPageBreak/>
        <w:t>F</w:t>
      </w:r>
      <w:proofErr w:type="spellStart"/>
      <w:r w:rsidR="00C01569" w:rsidRPr="00B6133E">
        <w:rPr>
          <w:rFonts w:ascii="Times New Roman" w:hAnsi="Times New Roman" w:cs="Times New Roman"/>
        </w:rPr>
        <w:t>igure</w:t>
      </w:r>
      <w:proofErr w:type="spellEnd"/>
      <w:r w:rsidR="00C01569" w:rsidRPr="00B6133E">
        <w:rPr>
          <w:rFonts w:ascii="Times New Roman" w:hAnsi="Times New Roman" w:cs="Times New Roman"/>
        </w:rPr>
        <w:t xml:space="preserve"> 2 Meta-analysis of the prognostic impact of assigned BAGS subtypes. </w:t>
      </w:r>
    </w:p>
    <w:p w14:paraId="48DEDBED" w14:textId="5609CE03" w:rsidR="00C210E7" w:rsidRPr="00B6133E" w:rsidRDefault="001D108B">
      <w:pPr>
        <w:pStyle w:val="Brdtekst"/>
        <w:spacing w:before="0" w:after="0" w:line="480" w:lineRule="auto"/>
        <w:rPr>
          <w:rFonts w:ascii="Times New Roman" w:hAnsi="Times New Roman"/>
          <w:b/>
          <w:color w:val="000000"/>
          <w:lang w:val="en-US" w:eastAsia="en-US"/>
        </w:rPr>
      </w:pPr>
      <w:r w:rsidRPr="00B6133E">
        <w:rPr>
          <w:rFonts w:ascii="Times New Roman" w:hAnsi="Times New Roman"/>
          <w:lang w:val="en-US"/>
        </w:rPr>
        <w:t>Progression</w:t>
      </w:r>
      <w:r w:rsidR="00E77832" w:rsidRPr="00B6133E">
        <w:rPr>
          <w:rFonts w:ascii="Times New Roman" w:hAnsi="Times New Roman"/>
          <w:lang w:val="en-US"/>
        </w:rPr>
        <w:t>-</w:t>
      </w:r>
      <w:r w:rsidRPr="00B6133E">
        <w:rPr>
          <w:rFonts w:ascii="Times New Roman" w:hAnsi="Times New Roman"/>
          <w:lang w:val="en-US"/>
        </w:rPr>
        <w:t xml:space="preserve">free </w:t>
      </w:r>
      <w:r w:rsidRPr="00B6133E">
        <w:rPr>
          <w:rFonts w:ascii="Times New Roman" w:hAnsi="Times New Roman"/>
          <w:b/>
          <w:lang w:val="en-US"/>
        </w:rPr>
        <w:t>(A)</w:t>
      </w:r>
      <w:r w:rsidRPr="00B6133E">
        <w:rPr>
          <w:rFonts w:ascii="Times New Roman" w:hAnsi="Times New Roman"/>
          <w:lang w:val="en-US"/>
        </w:rPr>
        <w:t xml:space="preserve"> and overall </w:t>
      </w:r>
      <w:r w:rsidR="00C01569" w:rsidRPr="00B6133E">
        <w:rPr>
          <w:rFonts w:ascii="Times New Roman" w:hAnsi="Times New Roman"/>
          <w:lang w:val="en-US"/>
        </w:rPr>
        <w:t xml:space="preserve">survival </w:t>
      </w:r>
      <w:r w:rsidR="00C01569" w:rsidRPr="00B6133E">
        <w:rPr>
          <w:rFonts w:ascii="Times New Roman" w:hAnsi="Times New Roman"/>
          <w:b/>
          <w:lang w:val="en-US"/>
        </w:rPr>
        <w:t>(</w:t>
      </w:r>
      <w:r w:rsidRPr="00B6133E">
        <w:rPr>
          <w:rFonts w:ascii="Times New Roman" w:hAnsi="Times New Roman"/>
          <w:b/>
          <w:lang w:val="en-US"/>
        </w:rPr>
        <w:t>B</w:t>
      </w:r>
      <w:r w:rsidR="00C01569" w:rsidRPr="00B6133E">
        <w:rPr>
          <w:rFonts w:ascii="Times New Roman" w:hAnsi="Times New Roman"/>
          <w:b/>
          <w:lang w:val="en-US"/>
        </w:rPr>
        <w:t>)</w:t>
      </w:r>
      <w:r w:rsidR="00C01569" w:rsidRPr="00B6133E">
        <w:rPr>
          <w:rFonts w:ascii="Times New Roman" w:hAnsi="Times New Roman"/>
          <w:lang w:val="en-US"/>
        </w:rPr>
        <w:t xml:space="preserve"> were compared between BAGS subtypes for </w:t>
      </w:r>
      <w:r w:rsidRPr="00B6133E">
        <w:rPr>
          <w:rFonts w:ascii="Times New Roman" w:hAnsi="Times New Roman"/>
          <w:lang w:val="en-US"/>
        </w:rPr>
        <w:t>high</w:t>
      </w:r>
      <w:r w:rsidR="00E77832" w:rsidRPr="00B6133E">
        <w:rPr>
          <w:rFonts w:ascii="Times New Roman" w:hAnsi="Times New Roman"/>
          <w:lang w:val="en-US"/>
        </w:rPr>
        <w:t>-</w:t>
      </w:r>
      <w:r w:rsidRPr="00B6133E">
        <w:rPr>
          <w:rFonts w:ascii="Times New Roman" w:hAnsi="Times New Roman"/>
          <w:lang w:val="en-US"/>
        </w:rPr>
        <w:t xml:space="preserve">dose </w:t>
      </w:r>
      <w:proofErr w:type="spellStart"/>
      <w:r w:rsidRPr="00B6133E">
        <w:rPr>
          <w:rFonts w:ascii="Times New Roman" w:hAnsi="Times New Roman"/>
          <w:lang w:val="en-US"/>
        </w:rPr>
        <w:t>melphalan</w:t>
      </w:r>
      <w:proofErr w:type="spellEnd"/>
      <w:r w:rsidR="00E77832" w:rsidRPr="00B6133E">
        <w:rPr>
          <w:rFonts w:ascii="Times New Roman" w:hAnsi="Times New Roman"/>
          <w:lang w:val="en-US"/>
        </w:rPr>
        <w:t>–</w:t>
      </w:r>
      <w:r w:rsidR="00C01569" w:rsidRPr="00B6133E">
        <w:rPr>
          <w:rFonts w:ascii="Times New Roman" w:hAnsi="Times New Roman"/>
          <w:lang w:val="en-US"/>
        </w:rPr>
        <w:t>treated patients</w:t>
      </w:r>
      <w:r w:rsidRPr="00B6133E">
        <w:rPr>
          <w:rFonts w:ascii="Times New Roman" w:hAnsi="Times New Roman"/>
          <w:lang w:val="en-US"/>
        </w:rPr>
        <w:t xml:space="preserve"> in published </w:t>
      </w:r>
      <w:r w:rsidR="00584104" w:rsidRPr="00B6133E">
        <w:rPr>
          <w:rFonts w:ascii="Times New Roman" w:hAnsi="Times New Roman"/>
          <w:lang w:val="en-US"/>
        </w:rPr>
        <w:t xml:space="preserve">prospective </w:t>
      </w:r>
      <w:r w:rsidRPr="00B6133E">
        <w:rPr>
          <w:rFonts w:ascii="Times New Roman" w:hAnsi="Times New Roman"/>
          <w:lang w:val="en-US"/>
        </w:rPr>
        <w:t>clinical trials.</w:t>
      </w:r>
      <w:r w:rsidR="00C01569" w:rsidRPr="00B6133E">
        <w:rPr>
          <w:rFonts w:ascii="Times New Roman" w:hAnsi="Times New Roman"/>
          <w:lang w:val="en-US"/>
        </w:rPr>
        <w:t xml:space="preserve"> </w:t>
      </w:r>
      <w:r w:rsidR="00321675" w:rsidRPr="00B6133E">
        <w:rPr>
          <w:rFonts w:ascii="Times New Roman" w:hAnsi="Times New Roman"/>
          <w:lang w:val="en-US"/>
        </w:rPr>
        <w:t>P-values are results from log-rank tests. The subtypes numbers given as n are the numbers of events/number of assigned patients wit</w:t>
      </w:r>
      <w:r w:rsidR="008D2CA1" w:rsidRPr="00B6133E">
        <w:rPr>
          <w:rFonts w:ascii="Times New Roman" w:hAnsi="Times New Roman"/>
          <w:lang w:val="en-US"/>
        </w:rPr>
        <w:t>h</w:t>
      </w:r>
      <w:r w:rsidR="00321675" w:rsidRPr="00B6133E">
        <w:rPr>
          <w:rFonts w:ascii="Times New Roman" w:hAnsi="Times New Roman"/>
          <w:lang w:val="en-US"/>
        </w:rPr>
        <w:t xml:space="preserve"> the subtype</w:t>
      </w:r>
      <w:r w:rsidR="008D2CA1" w:rsidRPr="00B6133E">
        <w:rPr>
          <w:rFonts w:ascii="Times New Roman" w:hAnsi="Times New Roman"/>
          <w:lang w:val="en-US"/>
        </w:rPr>
        <w:t>s in the meta data set</w:t>
      </w:r>
      <w:r w:rsidR="00321675" w:rsidRPr="00B6133E">
        <w:rPr>
          <w:rFonts w:ascii="Times New Roman" w:hAnsi="Times New Roman"/>
          <w:lang w:val="en-US"/>
        </w:rPr>
        <w:t xml:space="preserve">. </w:t>
      </w:r>
      <w:r w:rsidR="00C01569" w:rsidRPr="00B6133E">
        <w:rPr>
          <w:rFonts w:ascii="Times New Roman" w:hAnsi="Times New Roman"/>
          <w:lang w:val="en-US"/>
        </w:rPr>
        <w:t>The BAGS subtypes are color coded</w:t>
      </w:r>
      <w:r w:rsidRPr="00B6133E">
        <w:rPr>
          <w:rFonts w:ascii="Times New Roman" w:hAnsi="Times New Roman"/>
          <w:lang w:val="en-US"/>
        </w:rPr>
        <w:t xml:space="preserve"> as in </w:t>
      </w:r>
      <w:r w:rsidRPr="00B6133E">
        <w:rPr>
          <w:rFonts w:ascii="Times New Roman" w:hAnsi="Times New Roman"/>
          <w:b/>
          <w:lang w:val="en-US"/>
        </w:rPr>
        <w:t>Figure 1</w:t>
      </w:r>
      <w:r w:rsidRPr="00B6133E">
        <w:rPr>
          <w:rFonts w:ascii="Times New Roman" w:hAnsi="Times New Roman"/>
          <w:lang w:val="en-US"/>
        </w:rPr>
        <w:t>.</w:t>
      </w:r>
    </w:p>
    <w:p w14:paraId="0AB82DE0" w14:textId="77777777" w:rsidR="00D5543D" w:rsidRPr="00B6133E" w:rsidRDefault="00D5543D" w:rsidP="00826CA4">
      <w:pPr>
        <w:pStyle w:val="Overskrift3"/>
        <w:rPr>
          <w:rFonts w:ascii="Times New Roman" w:hAnsi="Times New Roman" w:cs="Times New Roman"/>
        </w:rPr>
      </w:pPr>
    </w:p>
    <w:p w14:paraId="56C4A3EB" w14:textId="77777777" w:rsidR="00D5543D" w:rsidRPr="00B6133E" w:rsidRDefault="00D5543D" w:rsidP="00826CA4">
      <w:pPr>
        <w:pStyle w:val="Overskrift3"/>
        <w:rPr>
          <w:rFonts w:ascii="Times New Roman" w:hAnsi="Times New Roman" w:cs="Times New Roman"/>
        </w:rPr>
      </w:pPr>
    </w:p>
    <w:p w14:paraId="28A80058" w14:textId="513135A9" w:rsidR="001D108B" w:rsidRPr="00B6133E" w:rsidRDefault="003A62E5" w:rsidP="00826CA4">
      <w:pPr>
        <w:pStyle w:val="Overskrift3"/>
        <w:rPr>
          <w:rFonts w:ascii="Times New Roman" w:hAnsi="Times New Roman" w:cs="Times New Roman"/>
        </w:rPr>
      </w:pPr>
      <w:r w:rsidRPr="00B6133E">
        <w:rPr>
          <w:rFonts w:ascii="Times New Roman" w:hAnsi="Times New Roman" w:cs="Times New Roman"/>
        </w:rPr>
        <w:t xml:space="preserve">Figure 3: </w:t>
      </w:r>
      <w:r w:rsidR="004F172E" w:rsidRPr="00B6133E">
        <w:rPr>
          <w:rFonts w:ascii="Times New Roman" w:hAnsi="Times New Roman" w:cs="Times New Roman"/>
        </w:rPr>
        <w:t>BAGS subtype b</w:t>
      </w:r>
      <w:r w:rsidRPr="00B6133E">
        <w:rPr>
          <w:rFonts w:ascii="Times New Roman" w:hAnsi="Times New Roman" w:cs="Times New Roman"/>
        </w:rPr>
        <w:t xml:space="preserve">oxplots </w:t>
      </w:r>
      <w:r w:rsidR="008B20CF" w:rsidRPr="00B6133E">
        <w:rPr>
          <w:rFonts w:ascii="Times New Roman" w:hAnsi="Times New Roman" w:cs="Times New Roman"/>
        </w:rPr>
        <w:t>with correlation</w:t>
      </w:r>
      <w:r w:rsidRPr="00B6133E">
        <w:rPr>
          <w:rFonts w:ascii="Times New Roman" w:hAnsi="Times New Roman" w:cs="Times New Roman"/>
        </w:rPr>
        <w:t xml:space="preserve"> to proliferation</w:t>
      </w:r>
      <w:r w:rsidR="004F172E" w:rsidRPr="00B6133E">
        <w:rPr>
          <w:rFonts w:ascii="Times New Roman" w:hAnsi="Times New Roman" w:cs="Times New Roman"/>
        </w:rPr>
        <w:t xml:space="preserve">, </w:t>
      </w:r>
      <w:proofErr w:type="spellStart"/>
      <w:r w:rsidR="004F172E" w:rsidRPr="00B6133E">
        <w:rPr>
          <w:rFonts w:ascii="Times New Roman" w:hAnsi="Times New Roman" w:cs="Times New Roman"/>
        </w:rPr>
        <w:t>melphalan</w:t>
      </w:r>
      <w:proofErr w:type="spellEnd"/>
      <w:r w:rsidR="004F172E" w:rsidRPr="00B6133E">
        <w:rPr>
          <w:rFonts w:ascii="Times New Roman" w:hAnsi="Times New Roman" w:cs="Times New Roman"/>
        </w:rPr>
        <w:t xml:space="preserve"> resistance</w:t>
      </w:r>
      <w:r w:rsidR="00E77832" w:rsidRPr="00B6133E">
        <w:rPr>
          <w:rFonts w:ascii="Times New Roman" w:hAnsi="Times New Roman" w:cs="Times New Roman"/>
        </w:rPr>
        <w:t>,</w:t>
      </w:r>
      <w:r w:rsidR="00822C03" w:rsidRPr="00B6133E">
        <w:rPr>
          <w:rFonts w:ascii="Times New Roman" w:hAnsi="Times New Roman" w:cs="Times New Roman"/>
        </w:rPr>
        <w:t xml:space="preserve"> and beta-</w:t>
      </w:r>
      <w:r w:rsidRPr="00B6133E">
        <w:rPr>
          <w:rFonts w:ascii="Times New Roman" w:hAnsi="Times New Roman" w:cs="Times New Roman"/>
        </w:rPr>
        <w:t xml:space="preserve">2 </w:t>
      </w:r>
      <w:proofErr w:type="spellStart"/>
      <w:r w:rsidRPr="00B6133E">
        <w:rPr>
          <w:rFonts w:ascii="Times New Roman" w:hAnsi="Times New Roman" w:cs="Times New Roman"/>
        </w:rPr>
        <w:t>microglobulin</w:t>
      </w:r>
      <w:proofErr w:type="spellEnd"/>
      <w:r w:rsidRPr="00B6133E">
        <w:rPr>
          <w:rFonts w:ascii="Times New Roman" w:hAnsi="Times New Roman" w:cs="Times New Roman"/>
        </w:rPr>
        <w:t>.</w:t>
      </w:r>
    </w:p>
    <w:p w14:paraId="43E7E6FE" w14:textId="443FE49F" w:rsidR="004817A7" w:rsidRPr="00B6133E" w:rsidRDefault="00E77832" w:rsidP="00A72EEA">
      <w:pPr>
        <w:pStyle w:val="Brdtekst"/>
        <w:spacing w:before="0" w:after="0" w:line="480" w:lineRule="auto"/>
        <w:rPr>
          <w:rFonts w:ascii="Times New Roman" w:hAnsi="Times New Roman"/>
          <w:lang w:val="en-US"/>
        </w:rPr>
      </w:pPr>
      <w:r w:rsidRPr="00B6133E">
        <w:rPr>
          <w:rFonts w:ascii="Times New Roman" w:hAnsi="Times New Roman"/>
          <w:lang w:val="en-US"/>
        </w:rPr>
        <w:t>T</w:t>
      </w:r>
      <w:r w:rsidR="005646B2" w:rsidRPr="00B6133E">
        <w:rPr>
          <w:rFonts w:ascii="Times New Roman" w:hAnsi="Times New Roman"/>
          <w:lang w:val="en-US"/>
        </w:rPr>
        <w:t>he</w:t>
      </w:r>
      <w:r w:rsidR="006142B7" w:rsidRPr="00B6133E">
        <w:rPr>
          <w:rFonts w:ascii="Times New Roman" w:hAnsi="Times New Roman"/>
          <w:lang w:val="en-US"/>
        </w:rPr>
        <w:t xml:space="preserve"> </w:t>
      </w:r>
      <w:r w:rsidR="00321675" w:rsidRPr="00B6133E">
        <w:rPr>
          <w:rFonts w:ascii="Times New Roman" w:hAnsi="Times New Roman"/>
          <w:lang w:val="en-US"/>
        </w:rPr>
        <w:t xml:space="preserve">individual </w:t>
      </w:r>
      <w:r w:rsidR="006142B7" w:rsidRPr="00B6133E">
        <w:rPr>
          <w:rFonts w:ascii="Times New Roman" w:hAnsi="Times New Roman"/>
          <w:lang w:val="en-US"/>
        </w:rPr>
        <w:t xml:space="preserve">adjusted </w:t>
      </w:r>
      <w:r w:rsidRPr="00B6133E">
        <w:rPr>
          <w:rFonts w:ascii="Times New Roman" w:hAnsi="Times New Roman"/>
          <w:lang w:val="en-US"/>
        </w:rPr>
        <w:t>proliferation i</w:t>
      </w:r>
      <w:r w:rsidR="006142B7" w:rsidRPr="00B6133E">
        <w:rPr>
          <w:rFonts w:ascii="Times New Roman" w:hAnsi="Times New Roman"/>
          <w:lang w:val="en-US"/>
        </w:rPr>
        <w:t>ndex</w:t>
      </w:r>
      <w:r w:rsidR="00333982" w:rsidRPr="00B6133E">
        <w:rPr>
          <w:rFonts w:ascii="Times New Roman" w:hAnsi="Times New Roman"/>
          <w:lang w:val="en-US"/>
        </w:rPr>
        <w:t xml:space="preserve"> </w:t>
      </w:r>
      <w:r w:rsidR="004F172E" w:rsidRPr="00B6133E">
        <w:rPr>
          <w:rFonts w:ascii="Times New Roman" w:hAnsi="Times New Roman"/>
          <w:lang w:val="en-US"/>
        </w:rPr>
        <w:t>(PI) risk profiling</w:t>
      </w:r>
      <w:r w:rsidR="00333982" w:rsidRPr="00B6133E">
        <w:rPr>
          <w:rFonts w:ascii="Times New Roman" w:hAnsi="Times New Roman"/>
          <w:lang w:val="en-US"/>
        </w:rPr>
        <w:t xml:space="preserve"> </w:t>
      </w:r>
      <w:r w:rsidR="00333982" w:rsidRPr="00B6133E">
        <w:rPr>
          <w:rFonts w:ascii="Times New Roman" w:hAnsi="Times New Roman"/>
          <w:b/>
          <w:lang w:val="en-US"/>
        </w:rPr>
        <w:t>(A)</w:t>
      </w:r>
      <w:r w:rsidR="004F172E" w:rsidRPr="00B6133E">
        <w:rPr>
          <w:rFonts w:ascii="Times New Roman" w:hAnsi="Times New Roman"/>
          <w:lang w:val="en-US"/>
        </w:rPr>
        <w:t xml:space="preserve">, </w:t>
      </w:r>
      <w:proofErr w:type="spellStart"/>
      <w:r w:rsidRPr="00B6133E">
        <w:rPr>
          <w:rFonts w:ascii="Times New Roman" w:hAnsi="Times New Roman"/>
          <w:lang w:val="en-US"/>
        </w:rPr>
        <w:t>m</w:t>
      </w:r>
      <w:r w:rsidR="004F172E" w:rsidRPr="00B6133E">
        <w:rPr>
          <w:rFonts w:ascii="Times New Roman" w:hAnsi="Times New Roman"/>
          <w:lang w:val="en-US"/>
        </w:rPr>
        <w:t>elphalan</w:t>
      </w:r>
      <w:proofErr w:type="spellEnd"/>
      <w:r w:rsidR="004F172E" w:rsidRPr="00B6133E">
        <w:rPr>
          <w:rFonts w:ascii="Times New Roman" w:hAnsi="Times New Roman"/>
          <w:lang w:val="en-US"/>
        </w:rPr>
        <w:t xml:space="preserve"> drug resistance </w:t>
      </w:r>
      <w:r w:rsidR="00CF6348" w:rsidRPr="00B6133E">
        <w:rPr>
          <w:rFonts w:ascii="Times New Roman" w:hAnsi="Times New Roman"/>
          <w:lang w:val="en-US"/>
        </w:rPr>
        <w:t>probability (</w:t>
      </w:r>
      <w:r w:rsidR="004F172E" w:rsidRPr="00B6133E">
        <w:rPr>
          <w:rFonts w:ascii="Times New Roman" w:hAnsi="Times New Roman"/>
          <w:lang w:val="en-US"/>
        </w:rPr>
        <w:t>index</w:t>
      </w:r>
      <w:r w:rsidR="00CF6348" w:rsidRPr="00B6133E">
        <w:rPr>
          <w:rFonts w:ascii="Times New Roman" w:hAnsi="Times New Roman"/>
          <w:lang w:val="en-US"/>
        </w:rPr>
        <w:t>)</w:t>
      </w:r>
      <w:r w:rsidR="00333982" w:rsidRPr="00B6133E">
        <w:rPr>
          <w:rFonts w:ascii="Times New Roman" w:hAnsi="Times New Roman"/>
          <w:lang w:val="en-US"/>
        </w:rPr>
        <w:t xml:space="preserve"> </w:t>
      </w:r>
      <w:r w:rsidR="00333982" w:rsidRPr="00B6133E">
        <w:rPr>
          <w:rFonts w:ascii="Times New Roman" w:hAnsi="Times New Roman"/>
          <w:b/>
          <w:lang w:val="en-US"/>
        </w:rPr>
        <w:t>(B)</w:t>
      </w:r>
      <w:r w:rsidRPr="00B6133E">
        <w:rPr>
          <w:rFonts w:ascii="Times New Roman" w:hAnsi="Times New Roman"/>
          <w:lang w:val="en-US"/>
        </w:rPr>
        <w:t>,</w:t>
      </w:r>
      <w:r w:rsidR="004F172E" w:rsidRPr="00B6133E">
        <w:rPr>
          <w:rFonts w:ascii="Times New Roman" w:hAnsi="Times New Roman"/>
          <w:lang w:val="en-US"/>
        </w:rPr>
        <w:t xml:space="preserve"> and </w:t>
      </w:r>
      <w:r w:rsidRPr="00B6133E">
        <w:rPr>
          <w:rFonts w:ascii="Times New Roman" w:hAnsi="Times New Roman"/>
          <w:lang w:val="en-US"/>
        </w:rPr>
        <w:t>b</w:t>
      </w:r>
      <w:r w:rsidR="004F172E" w:rsidRPr="00B6133E">
        <w:rPr>
          <w:rFonts w:ascii="Times New Roman" w:hAnsi="Times New Roman"/>
          <w:lang w:val="en-US"/>
        </w:rPr>
        <w:t xml:space="preserve">eta-2 </w:t>
      </w:r>
      <w:proofErr w:type="spellStart"/>
      <w:r w:rsidR="004F172E" w:rsidRPr="00B6133E">
        <w:rPr>
          <w:rFonts w:ascii="Times New Roman" w:hAnsi="Times New Roman"/>
          <w:lang w:val="en-US"/>
        </w:rPr>
        <w:t>microglobulin</w:t>
      </w:r>
      <w:proofErr w:type="spellEnd"/>
      <w:r w:rsidR="004F172E" w:rsidRPr="00B6133E">
        <w:rPr>
          <w:rFonts w:ascii="Times New Roman" w:hAnsi="Times New Roman"/>
          <w:lang w:val="en-US"/>
        </w:rPr>
        <w:t xml:space="preserve"> plasma level</w:t>
      </w:r>
      <w:r w:rsidR="00333982" w:rsidRPr="00B6133E">
        <w:rPr>
          <w:rFonts w:ascii="Times New Roman" w:hAnsi="Times New Roman"/>
          <w:lang w:val="en-US"/>
        </w:rPr>
        <w:t xml:space="preserve"> </w:t>
      </w:r>
      <w:r w:rsidR="00333982" w:rsidRPr="00B6133E">
        <w:rPr>
          <w:rFonts w:ascii="Times New Roman" w:hAnsi="Times New Roman"/>
          <w:b/>
          <w:lang w:val="en-US"/>
        </w:rPr>
        <w:t>(C)</w:t>
      </w:r>
      <w:r w:rsidR="004F172E" w:rsidRPr="00B6133E">
        <w:rPr>
          <w:rFonts w:ascii="Times New Roman" w:hAnsi="Times New Roman"/>
          <w:lang w:val="en-US"/>
        </w:rPr>
        <w:t>, respectively</w:t>
      </w:r>
      <w:r w:rsidR="008F62A9" w:rsidRPr="00B6133E">
        <w:rPr>
          <w:rFonts w:ascii="Times New Roman" w:hAnsi="Times New Roman"/>
          <w:lang w:val="en-US"/>
        </w:rPr>
        <w:t xml:space="preserve"> per BAGS subtype</w:t>
      </w:r>
      <w:r w:rsidR="00EA5E10" w:rsidRPr="00B6133E">
        <w:rPr>
          <w:rFonts w:ascii="Times New Roman" w:hAnsi="Times New Roman"/>
          <w:lang w:val="en-US"/>
        </w:rPr>
        <w:t xml:space="preserve"> cases from </w:t>
      </w:r>
      <w:r w:rsidR="005A1B44" w:rsidRPr="00B6133E">
        <w:rPr>
          <w:rFonts w:ascii="Times New Roman" w:hAnsi="Times New Roman"/>
          <w:lang w:val="en-US"/>
        </w:rPr>
        <w:t xml:space="preserve">analysis of </w:t>
      </w:r>
      <w:r w:rsidR="00EA5E10" w:rsidRPr="00B6133E">
        <w:rPr>
          <w:rFonts w:ascii="Times New Roman" w:hAnsi="Times New Roman"/>
          <w:lang w:val="en-US"/>
        </w:rPr>
        <w:t>the meta dataset</w:t>
      </w:r>
      <w:r w:rsidR="008F62A9" w:rsidRPr="00B6133E">
        <w:rPr>
          <w:rFonts w:ascii="Times New Roman" w:hAnsi="Times New Roman"/>
          <w:lang w:val="en-US"/>
        </w:rPr>
        <w:t>.</w:t>
      </w:r>
      <w:r w:rsidR="000F507C" w:rsidRPr="00B6133E">
        <w:rPr>
          <w:rFonts w:ascii="Times New Roman" w:hAnsi="Times New Roman"/>
          <w:lang w:val="en-US"/>
        </w:rPr>
        <w:t xml:space="preserve"> </w:t>
      </w:r>
      <w:r w:rsidR="00B75EDF" w:rsidRPr="00B6133E">
        <w:rPr>
          <w:rFonts w:ascii="Times New Roman" w:hAnsi="Times New Roman"/>
          <w:lang w:val="en-US"/>
        </w:rPr>
        <w:t xml:space="preserve">The BAGS subtypes are color coded as in </w:t>
      </w:r>
      <w:r w:rsidR="00B75EDF" w:rsidRPr="00B6133E">
        <w:rPr>
          <w:rFonts w:ascii="Times New Roman" w:hAnsi="Times New Roman"/>
          <w:b/>
          <w:lang w:val="en-US"/>
        </w:rPr>
        <w:t>Figure 1</w:t>
      </w:r>
      <w:r w:rsidR="00B75EDF" w:rsidRPr="00B6133E">
        <w:rPr>
          <w:rFonts w:ascii="Times New Roman" w:hAnsi="Times New Roman"/>
          <w:lang w:val="en-US"/>
        </w:rPr>
        <w:t>.</w:t>
      </w:r>
    </w:p>
    <w:p w14:paraId="329580CE" w14:textId="77777777" w:rsidR="00C565C9" w:rsidRPr="00B6133E" w:rsidRDefault="00C565C9" w:rsidP="00A72EEA">
      <w:pPr>
        <w:pStyle w:val="Brdtekst"/>
        <w:spacing w:before="0" w:after="0" w:line="480" w:lineRule="auto"/>
        <w:rPr>
          <w:rFonts w:ascii="Times New Roman" w:hAnsi="Times New Roman"/>
          <w:lang w:val="en-US"/>
        </w:rPr>
      </w:pPr>
    </w:p>
    <w:sectPr w:rsidR="00C565C9" w:rsidRPr="00B6133E" w:rsidSect="00B22E77">
      <w:headerReference w:type="default" r:id="rId10"/>
      <w:footerReference w:type="even" r:id="rId11"/>
      <w:footerReference w:type="default" r:id="rId12"/>
      <w:footnotePr>
        <w:pos w:val="beneathText"/>
      </w:footnotePr>
      <w:type w:val="continuous"/>
      <w:pgSz w:w="11905" w:h="16837"/>
      <w:pgMar w:top="1701" w:right="1134" w:bottom="1701" w:left="1134" w:header="708" w:footer="708" w:gutter="0"/>
      <w:lnNumType w:countBy="1" w:restart="continuous"/>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A8C325B" w16cid:durableId="1CFFA9A8"/>
  <w16cid:commentId w16cid:paraId="48C66AB2" w16cid:durableId="1CFFC472"/>
  <w16cid:commentId w16cid:paraId="5B2A0E5D" w16cid:durableId="1CFFC4C2"/>
  <w16cid:commentId w16cid:paraId="53947AC6" w16cid:durableId="1CFFC50C"/>
  <w16cid:commentId w16cid:paraId="5F4A4238" w16cid:durableId="1CFFA9E2"/>
  <w16cid:commentId w16cid:paraId="0FF3C645" w16cid:durableId="1D0000C6"/>
  <w16cid:commentId w16cid:paraId="7166AD28" w16cid:durableId="1CFFC542"/>
  <w16cid:commentId w16cid:paraId="21498C61" w16cid:durableId="1D0003A6"/>
  <w16cid:commentId w16cid:paraId="7103D4F3" w16cid:durableId="1CFFFD65"/>
  <w16cid:commentId w16cid:paraId="68D807FA" w16cid:durableId="1D000455"/>
  <w16cid:commentId w16cid:paraId="6DB6850C" w16cid:durableId="1D00051C"/>
  <w16cid:commentId w16cid:paraId="0305BAF4" w16cid:durableId="1D00054D"/>
  <w16cid:commentId w16cid:paraId="44C4F7EF" w16cid:durableId="1D000571"/>
  <w16cid:commentId w16cid:paraId="5138FFEC" w16cid:durableId="1D000634"/>
  <w16cid:commentId w16cid:paraId="0DD32776" w16cid:durableId="1D000945"/>
  <w16cid:commentId w16cid:paraId="5D7AA1A1" w16cid:durableId="1CFFFE0B"/>
  <w16cid:commentId w16cid:paraId="277AD038" w16cid:durableId="1D001685"/>
  <w16cid:commentId w16cid:paraId="198B47FB" w16cid:durableId="1D000A5B"/>
  <w16cid:commentId w16cid:paraId="5E6E457A" w16cid:durableId="1D000AF4"/>
  <w16cid:commentId w16cid:paraId="0411F015" w16cid:durableId="1D000B57"/>
  <w16cid:commentId w16cid:paraId="2F528FDF" w16cid:durableId="1D000C95"/>
  <w16cid:commentId w16cid:paraId="76BC2B99" w16cid:durableId="1D000E35"/>
  <w16cid:commentId w16cid:paraId="1F27429D" w16cid:durableId="1D000F37"/>
  <w16cid:commentId w16cid:paraId="40EBCD22" w16cid:durableId="1D000F82"/>
  <w16cid:commentId w16cid:paraId="4912E505" w16cid:durableId="1D00116C"/>
  <w16cid:commentId w16cid:paraId="70A2E04A" w16cid:durableId="1CFFFCF5"/>
  <w16cid:commentId w16cid:paraId="27AB989C" w16cid:durableId="1CFFFF1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B72AE7" w14:textId="77777777" w:rsidR="003D4413" w:rsidRDefault="003D4413" w:rsidP="004852D9">
      <w:r>
        <w:separator/>
      </w:r>
    </w:p>
    <w:p w14:paraId="00F59665" w14:textId="77777777" w:rsidR="003D4413" w:rsidRDefault="003D4413" w:rsidP="004852D9"/>
    <w:p w14:paraId="68975630" w14:textId="77777777" w:rsidR="003D4413" w:rsidRDefault="003D4413" w:rsidP="004852D9"/>
  </w:endnote>
  <w:endnote w:type="continuationSeparator" w:id="0">
    <w:p w14:paraId="724B9825" w14:textId="77777777" w:rsidR="003D4413" w:rsidRDefault="003D4413" w:rsidP="004852D9">
      <w:r>
        <w:continuationSeparator/>
      </w:r>
    </w:p>
    <w:p w14:paraId="5918BA20" w14:textId="77777777" w:rsidR="003D4413" w:rsidRDefault="003D4413" w:rsidP="004852D9"/>
    <w:p w14:paraId="24A9530A" w14:textId="77777777" w:rsidR="003D4413" w:rsidRDefault="003D4413" w:rsidP="004852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ヒラギノ角ゴ Pro W3">
    <w:charset w:val="80"/>
    <w:family w:val="swiss"/>
    <w:pitch w:val="variable"/>
    <w:sig w:usb0="E00002FF" w:usb1="7AC7FFFF" w:usb2="00000012" w:usb3="00000000" w:csb0="0002000D" w:csb1="00000000"/>
  </w:font>
  <w:font w:name="Tahoma">
    <w:panose1 w:val="020B0604030504040204"/>
    <w:charset w:val="00"/>
    <w:family w:val="swiss"/>
    <w:pitch w:val="variable"/>
    <w:sig w:usb0="E1002EFF" w:usb1="C000605B" w:usb2="00000029" w:usb3="00000000" w:csb0="000101FF" w:csb1="00000000"/>
  </w:font>
  <w:font w:name="Diverda Sans Com Light">
    <w:altName w:val="Diverda Sans Com Ligh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A52C12" w14:textId="77777777" w:rsidR="003D4413" w:rsidRDefault="003D4413" w:rsidP="004852D9">
    <w:pPr>
      <w:pStyle w:val="Sidefod"/>
      <w:rPr>
        <w:rStyle w:val="Sidetal"/>
      </w:rPr>
    </w:pPr>
    <w:r>
      <w:rPr>
        <w:rStyle w:val="Sidetal"/>
      </w:rPr>
      <w:fldChar w:fldCharType="begin"/>
    </w:r>
    <w:r>
      <w:rPr>
        <w:rStyle w:val="Sidetal"/>
      </w:rPr>
      <w:instrText xml:space="preserve">PAGE  </w:instrText>
    </w:r>
    <w:r>
      <w:rPr>
        <w:rStyle w:val="Sidetal"/>
      </w:rPr>
      <w:fldChar w:fldCharType="end"/>
    </w:r>
  </w:p>
  <w:p w14:paraId="4998938B" w14:textId="77777777" w:rsidR="003D4413" w:rsidRDefault="003D4413" w:rsidP="004852D9">
    <w:pPr>
      <w:pStyle w:val="Sidefo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0292539"/>
      <w:docPartObj>
        <w:docPartGallery w:val="Page Numbers (Bottom of Page)"/>
        <w:docPartUnique/>
      </w:docPartObj>
    </w:sdtPr>
    <w:sdtEndPr/>
    <w:sdtContent>
      <w:p w14:paraId="0FA1DFBF" w14:textId="77777777" w:rsidR="003D4413" w:rsidRDefault="003D4413">
        <w:pPr>
          <w:pStyle w:val="Sidefod"/>
          <w:jc w:val="center"/>
        </w:pPr>
        <w:r>
          <w:fldChar w:fldCharType="begin"/>
        </w:r>
        <w:r>
          <w:instrText>PAGE   \* MERGEFORMAT</w:instrText>
        </w:r>
        <w:r>
          <w:fldChar w:fldCharType="separate"/>
        </w:r>
        <w:r w:rsidR="008F0BB3">
          <w:rPr>
            <w:noProof/>
          </w:rPr>
          <w:t>1</w:t>
        </w:r>
        <w:r>
          <w:fldChar w:fldCharType="end"/>
        </w:r>
      </w:p>
    </w:sdtContent>
  </w:sdt>
  <w:p w14:paraId="50115BDB" w14:textId="77777777" w:rsidR="003D4413" w:rsidRPr="00FC1632" w:rsidRDefault="003D4413" w:rsidP="004852D9">
    <w:pPr>
      <w:pStyle w:val="Sidefo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B7831E" w14:textId="77777777" w:rsidR="003D4413" w:rsidRDefault="003D4413" w:rsidP="004852D9">
      <w:r>
        <w:separator/>
      </w:r>
    </w:p>
    <w:p w14:paraId="2F2DD092" w14:textId="77777777" w:rsidR="003D4413" w:rsidRDefault="003D4413" w:rsidP="004852D9"/>
    <w:p w14:paraId="0BA72D23" w14:textId="77777777" w:rsidR="003D4413" w:rsidRDefault="003D4413" w:rsidP="004852D9"/>
  </w:footnote>
  <w:footnote w:type="continuationSeparator" w:id="0">
    <w:p w14:paraId="3E233DF1" w14:textId="77777777" w:rsidR="003D4413" w:rsidRDefault="003D4413" w:rsidP="004852D9">
      <w:r>
        <w:continuationSeparator/>
      </w:r>
    </w:p>
    <w:p w14:paraId="690C197F" w14:textId="77777777" w:rsidR="003D4413" w:rsidRDefault="003D4413" w:rsidP="004852D9"/>
    <w:p w14:paraId="103AF9E7" w14:textId="77777777" w:rsidR="003D4413" w:rsidRDefault="003D4413" w:rsidP="004852D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892E13" w14:textId="60DA8DE1" w:rsidR="003D4413" w:rsidRPr="007A0458" w:rsidRDefault="003D4413" w:rsidP="007A0458">
    <w:pPr>
      <w:spacing w:before="0" w:after="0" w:line="480" w:lineRule="auto"/>
      <w:jc w:val="center"/>
      <w:rPr>
        <w:color w:val="808080" w:themeColor="background1" w:themeShade="80"/>
        <w:sz w:val="20"/>
        <w:szCs w:val="20"/>
        <w:lang w:val="en-US"/>
      </w:rPr>
    </w:pPr>
    <w:r w:rsidRPr="007A0458">
      <w:rPr>
        <w:color w:val="808080" w:themeColor="background1" w:themeShade="80"/>
        <w:sz w:val="20"/>
        <w:szCs w:val="20"/>
        <w:lang w:val="en-US"/>
      </w:rPr>
      <w:t>B-cell subset phenotype classification of MM subtypes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D13C72DC"/>
    <w:lvl w:ilvl="0">
      <w:start w:val="1"/>
      <w:numFmt w:val="bullet"/>
      <w:pStyle w:val="Opstilling-punkttegn2"/>
      <w:lvlText w:val=""/>
      <w:lvlJc w:val="left"/>
      <w:pPr>
        <w:tabs>
          <w:tab w:val="num" w:pos="643"/>
        </w:tabs>
        <w:ind w:left="643" w:hanging="360"/>
      </w:pPr>
      <w:rPr>
        <w:rFonts w:ascii="Symbol" w:hAnsi="Symbol" w:hint="default"/>
      </w:rPr>
    </w:lvl>
  </w:abstractNum>
  <w:abstractNum w:abstractNumId="1" w15:restartNumberingAfterBreak="0">
    <w:nsid w:val="FFFFFF88"/>
    <w:multiLevelType w:val="singleLevel"/>
    <w:tmpl w:val="F260DB36"/>
    <w:lvl w:ilvl="0">
      <w:start w:val="1"/>
      <w:numFmt w:val="decimal"/>
      <w:pStyle w:val="Opstilling-talellerbogst"/>
      <w:lvlText w:val="%1."/>
      <w:lvlJc w:val="left"/>
      <w:pPr>
        <w:tabs>
          <w:tab w:val="num" w:pos="360"/>
        </w:tabs>
        <w:ind w:left="360" w:hanging="360"/>
      </w:pPr>
    </w:lvl>
  </w:abstractNum>
  <w:abstractNum w:abstractNumId="2" w15:restartNumberingAfterBreak="0">
    <w:nsid w:val="FFFFFF89"/>
    <w:multiLevelType w:val="singleLevel"/>
    <w:tmpl w:val="5750F13C"/>
    <w:lvl w:ilvl="0">
      <w:start w:val="1"/>
      <w:numFmt w:val="bullet"/>
      <w:pStyle w:val="Opstilling-punkttegn"/>
      <w:lvlText w:val=""/>
      <w:lvlJc w:val="left"/>
      <w:pPr>
        <w:tabs>
          <w:tab w:val="num" w:pos="360"/>
        </w:tabs>
        <w:ind w:left="360" w:hanging="360"/>
      </w:pPr>
      <w:rPr>
        <w:rFonts w:ascii="Symbol" w:hAnsi="Symbol" w:hint="default"/>
      </w:rPr>
    </w:lvl>
  </w:abstractNum>
  <w:abstractNum w:abstractNumId="3" w15:restartNumberingAfterBreak="0">
    <w:nsid w:val="00000001"/>
    <w:multiLevelType w:val="singleLevel"/>
    <w:tmpl w:val="00000001"/>
    <w:name w:val="WW8Num1"/>
    <w:lvl w:ilvl="0">
      <w:start w:val="1"/>
      <w:numFmt w:val="bullet"/>
      <w:lvlText w:val=""/>
      <w:lvlJc w:val="left"/>
      <w:pPr>
        <w:tabs>
          <w:tab w:val="num" w:pos="2024"/>
        </w:tabs>
        <w:ind w:left="2024" w:hanging="360"/>
      </w:pPr>
      <w:rPr>
        <w:rFonts w:ascii="Symbol" w:hAnsi="Symbol"/>
      </w:rPr>
    </w:lvl>
  </w:abstractNum>
  <w:abstractNum w:abstractNumId="4" w15:restartNumberingAfterBreak="0">
    <w:nsid w:val="00000002"/>
    <w:multiLevelType w:val="singleLevel"/>
    <w:tmpl w:val="00000002"/>
    <w:name w:val="WW8Num2"/>
    <w:lvl w:ilvl="0">
      <w:start w:val="1"/>
      <w:numFmt w:val="bullet"/>
      <w:lvlText w:val=""/>
      <w:lvlJc w:val="left"/>
      <w:pPr>
        <w:tabs>
          <w:tab w:val="num" w:pos="2024"/>
        </w:tabs>
        <w:ind w:left="2024" w:hanging="360"/>
      </w:pPr>
      <w:rPr>
        <w:rFonts w:ascii="Symbol" w:hAnsi="Symbol"/>
      </w:rPr>
    </w:lvl>
  </w:abstractNum>
  <w:abstractNum w:abstractNumId="5" w15:restartNumberingAfterBreak="0">
    <w:nsid w:val="0A6902C5"/>
    <w:multiLevelType w:val="hybridMultilevel"/>
    <w:tmpl w:val="63BCBAD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6" w15:restartNumberingAfterBreak="0">
    <w:nsid w:val="0ACE2E9F"/>
    <w:multiLevelType w:val="hybridMultilevel"/>
    <w:tmpl w:val="915C0D82"/>
    <w:lvl w:ilvl="0" w:tplc="2A14B4A4">
      <w:start w:val="1"/>
      <w:numFmt w:val="upperLetter"/>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7" w15:restartNumberingAfterBreak="0">
    <w:nsid w:val="0BCA6EC2"/>
    <w:multiLevelType w:val="hybridMultilevel"/>
    <w:tmpl w:val="B1301978"/>
    <w:lvl w:ilvl="0" w:tplc="A16A01FA">
      <w:start w:val="76"/>
      <w:numFmt w:val="decimal"/>
      <w:lvlText w:val="%1)"/>
      <w:lvlJc w:val="left"/>
      <w:pPr>
        <w:ind w:left="1664" w:hanging="360"/>
      </w:pPr>
    </w:lvl>
    <w:lvl w:ilvl="1" w:tplc="08090019">
      <w:start w:val="1"/>
      <w:numFmt w:val="lowerLetter"/>
      <w:lvlText w:val="%2."/>
      <w:lvlJc w:val="left"/>
      <w:pPr>
        <w:ind w:left="2384" w:hanging="360"/>
      </w:pPr>
    </w:lvl>
    <w:lvl w:ilvl="2" w:tplc="0809001B">
      <w:start w:val="1"/>
      <w:numFmt w:val="lowerRoman"/>
      <w:lvlText w:val="%3."/>
      <w:lvlJc w:val="right"/>
      <w:pPr>
        <w:ind w:left="3104" w:hanging="180"/>
      </w:pPr>
    </w:lvl>
    <w:lvl w:ilvl="3" w:tplc="0809000F">
      <w:start w:val="1"/>
      <w:numFmt w:val="decimal"/>
      <w:lvlText w:val="%4."/>
      <w:lvlJc w:val="left"/>
      <w:pPr>
        <w:ind w:left="3824" w:hanging="360"/>
      </w:pPr>
    </w:lvl>
    <w:lvl w:ilvl="4" w:tplc="08090019">
      <w:start w:val="1"/>
      <w:numFmt w:val="lowerLetter"/>
      <w:lvlText w:val="%5."/>
      <w:lvlJc w:val="left"/>
      <w:pPr>
        <w:ind w:left="4544" w:hanging="360"/>
      </w:pPr>
    </w:lvl>
    <w:lvl w:ilvl="5" w:tplc="0809001B">
      <w:start w:val="1"/>
      <w:numFmt w:val="lowerRoman"/>
      <w:lvlText w:val="%6."/>
      <w:lvlJc w:val="right"/>
      <w:pPr>
        <w:ind w:left="5264" w:hanging="180"/>
      </w:pPr>
    </w:lvl>
    <w:lvl w:ilvl="6" w:tplc="0809000F">
      <w:start w:val="1"/>
      <w:numFmt w:val="decimal"/>
      <w:lvlText w:val="%7."/>
      <w:lvlJc w:val="left"/>
      <w:pPr>
        <w:ind w:left="5984" w:hanging="360"/>
      </w:pPr>
    </w:lvl>
    <w:lvl w:ilvl="7" w:tplc="08090019">
      <w:start w:val="1"/>
      <w:numFmt w:val="lowerLetter"/>
      <w:lvlText w:val="%8."/>
      <w:lvlJc w:val="left"/>
      <w:pPr>
        <w:ind w:left="6704" w:hanging="360"/>
      </w:pPr>
    </w:lvl>
    <w:lvl w:ilvl="8" w:tplc="0809001B">
      <w:start w:val="1"/>
      <w:numFmt w:val="lowerRoman"/>
      <w:lvlText w:val="%9."/>
      <w:lvlJc w:val="right"/>
      <w:pPr>
        <w:ind w:left="7424" w:hanging="180"/>
      </w:pPr>
    </w:lvl>
  </w:abstractNum>
  <w:abstractNum w:abstractNumId="8" w15:restartNumberingAfterBreak="0">
    <w:nsid w:val="0C735182"/>
    <w:multiLevelType w:val="multilevel"/>
    <w:tmpl w:val="474EE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FDC1969"/>
    <w:multiLevelType w:val="hybridMultilevel"/>
    <w:tmpl w:val="047A1E06"/>
    <w:lvl w:ilvl="0" w:tplc="FFF856DE">
      <w:start w:val="1"/>
      <w:numFmt w:val="bullet"/>
      <w:lvlText w:val="-"/>
      <w:lvlJc w:val="left"/>
      <w:pPr>
        <w:ind w:left="720" w:hanging="360"/>
      </w:pPr>
      <w:rPr>
        <w:rFonts w:ascii="Cambria" w:eastAsia="Times New Roman" w:hAnsi="Cambria" w:cs="Garamond"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0" w15:restartNumberingAfterBreak="0">
    <w:nsid w:val="109E39DF"/>
    <w:multiLevelType w:val="multilevel"/>
    <w:tmpl w:val="A62E9BE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116A4E5D"/>
    <w:multiLevelType w:val="hybridMultilevel"/>
    <w:tmpl w:val="089C8BBC"/>
    <w:lvl w:ilvl="0" w:tplc="EE0AA4A0">
      <w:start w:val="1"/>
      <w:numFmt w:val="lowerLetter"/>
      <w:lvlText w:val="b%1)"/>
      <w:lvlJc w:val="left"/>
      <w:pPr>
        <w:ind w:left="1004"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2" w15:restartNumberingAfterBreak="0">
    <w:nsid w:val="140244D8"/>
    <w:multiLevelType w:val="hybridMultilevel"/>
    <w:tmpl w:val="28661C2C"/>
    <w:lvl w:ilvl="0" w:tplc="04060011">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3" w15:restartNumberingAfterBreak="0">
    <w:nsid w:val="185F2601"/>
    <w:multiLevelType w:val="hybridMultilevel"/>
    <w:tmpl w:val="63BCBAD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1D6D2074"/>
    <w:multiLevelType w:val="hybridMultilevel"/>
    <w:tmpl w:val="63BCBAD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221252F9"/>
    <w:multiLevelType w:val="hybridMultilevel"/>
    <w:tmpl w:val="4C608A40"/>
    <w:lvl w:ilvl="0" w:tplc="30CEC082">
      <w:start w:val="1"/>
      <w:numFmt w:val="lowerLetter"/>
      <w:lvlText w:val="%1)"/>
      <w:lvlJc w:val="left"/>
      <w:pPr>
        <w:ind w:left="720" w:hanging="360"/>
      </w:pPr>
      <w:rPr>
        <w:b/>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22746991"/>
    <w:multiLevelType w:val="multilevel"/>
    <w:tmpl w:val="34C4C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4561D80"/>
    <w:multiLevelType w:val="multilevel"/>
    <w:tmpl w:val="EC26214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4976751"/>
    <w:multiLevelType w:val="hybridMultilevel"/>
    <w:tmpl w:val="A3BCF102"/>
    <w:lvl w:ilvl="0" w:tplc="908EFFFA">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8840713"/>
    <w:multiLevelType w:val="hybridMultilevel"/>
    <w:tmpl w:val="0D68D280"/>
    <w:lvl w:ilvl="0" w:tplc="895646D4">
      <w:start w:val="1"/>
      <w:numFmt w:val="decimal"/>
      <w:lvlText w:val="%1)"/>
      <w:lvlJc w:val="left"/>
      <w:pPr>
        <w:tabs>
          <w:tab w:val="num" w:pos="360"/>
        </w:tabs>
        <w:ind w:left="360" w:hanging="360"/>
      </w:pPr>
      <w:rPr>
        <w:i w:val="0"/>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0" w15:restartNumberingAfterBreak="0">
    <w:nsid w:val="2A036038"/>
    <w:multiLevelType w:val="multilevel"/>
    <w:tmpl w:val="10AE2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AE54B8F"/>
    <w:multiLevelType w:val="hybridMultilevel"/>
    <w:tmpl w:val="B9F47BD0"/>
    <w:lvl w:ilvl="0" w:tplc="04060011">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 w15:restartNumberingAfterBreak="0">
    <w:nsid w:val="2B1B73AE"/>
    <w:multiLevelType w:val="hybridMultilevel"/>
    <w:tmpl w:val="449C60BC"/>
    <w:lvl w:ilvl="0" w:tplc="04060001">
      <w:start w:val="1"/>
      <w:numFmt w:val="bullet"/>
      <w:lvlText w:val=""/>
      <w:lvlJc w:val="left"/>
      <w:pPr>
        <w:ind w:left="153" w:hanging="360"/>
      </w:pPr>
      <w:rPr>
        <w:rFonts w:ascii="Symbol" w:hAnsi="Symbol" w:hint="default"/>
      </w:rPr>
    </w:lvl>
    <w:lvl w:ilvl="1" w:tplc="04060003" w:tentative="1">
      <w:start w:val="1"/>
      <w:numFmt w:val="bullet"/>
      <w:lvlText w:val="o"/>
      <w:lvlJc w:val="left"/>
      <w:pPr>
        <w:ind w:left="873" w:hanging="360"/>
      </w:pPr>
      <w:rPr>
        <w:rFonts w:ascii="Courier New" w:hAnsi="Courier New" w:cs="Courier New" w:hint="default"/>
      </w:rPr>
    </w:lvl>
    <w:lvl w:ilvl="2" w:tplc="04060005" w:tentative="1">
      <w:start w:val="1"/>
      <w:numFmt w:val="bullet"/>
      <w:lvlText w:val=""/>
      <w:lvlJc w:val="left"/>
      <w:pPr>
        <w:ind w:left="1593" w:hanging="360"/>
      </w:pPr>
      <w:rPr>
        <w:rFonts w:ascii="Wingdings" w:hAnsi="Wingdings" w:hint="default"/>
      </w:rPr>
    </w:lvl>
    <w:lvl w:ilvl="3" w:tplc="04060001" w:tentative="1">
      <w:start w:val="1"/>
      <w:numFmt w:val="bullet"/>
      <w:lvlText w:val=""/>
      <w:lvlJc w:val="left"/>
      <w:pPr>
        <w:ind w:left="2313" w:hanging="360"/>
      </w:pPr>
      <w:rPr>
        <w:rFonts w:ascii="Symbol" w:hAnsi="Symbol" w:hint="default"/>
      </w:rPr>
    </w:lvl>
    <w:lvl w:ilvl="4" w:tplc="04060003" w:tentative="1">
      <w:start w:val="1"/>
      <w:numFmt w:val="bullet"/>
      <w:lvlText w:val="o"/>
      <w:lvlJc w:val="left"/>
      <w:pPr>
        <w:ind w:left="3033" w:hanging="360"/>
      </w:pPr>
      <w:rPr>
        <w:rFonts w:ascii="Courier New" w:hAnsi="Courier New" w:cs="Courier New" w:hint="default"/>
      </w:rPr>
    </w:lvl>
    <w:lvl w:ilvl="5" w:tplc="04060005" w:tentative="1">
      <w:start w:val="1"/>
      <w:numFmt w:val="bullet"/>
      <w:lvlText w:val=""/>
      <w:lvlJc w:val="left"/>
      <w:pPr>
        <w:ind w:left="3753" w:hanging="360"/>
      </w:pPr>
      <w:rPr>
        <w:rFonts w:ascii="Wingdings" w:hAnsi="Wingdings" w:hint="default"/>
      </w:rPr>
    </w:lvl>
    <w:lvl w:ilvl="6" w:tplc="04060001" w:tentative="1">
      <w:start w:val="1"/>
      <w:numFmt w:val="bullet"/>
      <w:lvlText w:val=""/>
      <w:lvlJc w:val="left"/>
      <w:pPr>
        <w:ind w:left="4473" w:hanging="360"/>
      </w:pPr>
      <w:rPr>
        <w:rFonts w:ascii="Symbol" w:hAnsi="Symbol" w:hint="default"/>
      </w:rPr>
    </w:lvl>
    <w:lvl w:ilvl="7" w:tplc="04060003" w:tentative="1">
      <w:start w:val="1"/>
      <w:numFmt w:val="bullet"/>
      <w:lvlText w:val="o"/>
      <w:lvlJc w:val="left"/>
      <w:pPr>
        <w:ind w:left="5193" w:hanging="360"/>
      </w:pPr>
      <w:rPr>
        <w:rFonts w:ascii="Courier New" w:hAnsi="Courier New" w:cs="Courier New" w:hint="default"/>
      </w:rPr>
    </w:lvl>
    <w:lvl w:ilvl="8" w:tplc="04060005" w:tentative="1">
      <w:start w:val="1"/>
      <w:numFmt w:val="bullet"/>
      <w:lvlText w:val=""/>
      <w:lvlJc w:val="left"/>
      <w:pPr>
        <w:ind w:left="5913" w:hanging="360"/>
      </w:pPr>
      <w:rPr>
        <w:rFonts w:ascii="Wingdings" w:hAnsi="Wingdings" w:hint="default"/>
      </w:rPr>
    </w:lvl>
  </w:abstractNum>
  <w:abstractNum w:abstractNumId="23" w15:restartNumberingAfterBreak="0">
    <w:nsid w:val="2F754846"/>
    <w:multiLevelType w:val="hybridMultilevel"/>
    <w:tmpl w:val="36CA477E"/>
    <w:lvl w:ilvl="0" w:tplc="04060011">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4" w15:restartNumberingAfterBreak="0">
    <w:nsid w:val="2FEF1620"/>
    <w:multiLevelType w:val="hybridMultilevel"/>
    <w:tmpl w:val="3CB2E2F0"/>
    <w:lvl w:ilvl="0" w:tplc="04060011">
      <w:start w:val="1"/>
      <w:numFmt w:val="decimal"/>
      <w:lvlText w:val="%1)"/>
      <w:lvlJc w:val="left"/>
      <w:pPr>
        <w:ind w:left="720" w:hanging="360"/>
      </w:pPr>
    </w:lvl>
    <w:lvl w:ilvl="1" w:tplc="04060011">
      <w:start w:val="1"/>
      <w:numFmt w:val="decimal"/>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353F7013"/>
    <w:multiLevelType w:val="hybridMultilevel"/>
    <w:tmpl w:val="CB340202"/>
    <w:lvl w:ilvl="0" w:tplc="7D884C54">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A174666"/>
    <w:multiLevelType w:val="hybridMultilevel"/>
    <w:tmpl w:val="DF66E326"/>
    <w:lvl w:ilvl="0" w:tplc="04060017">
      <w:start w:val="1"/>
      <w:numFmt w:val="lowerLetter"/>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3AD241E7"/>
    <w:multiLevelType w:val="hybridMultilevel"/>
    <w:tmpl w:val="EBBE8110"/>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8" w15:restartNumberingAfterBreak="0">
    <w:nsid w:val="3B3A4F0B"/>
    <w:multiLevelType w:val="hybridMultilevel"/>
    <w:tmpl w:val="31804F2A"/>
    <w:lvl w:ilvl="0" w:tplc="0406000F">
      <w:start w:val="1"/>
      <w:numFmt w:val="decimal"/>
      <w:lvlText w:val="%1."/>
      <w:lvlJc w:val="left"/>
      <w:pPr>
        <w:tabs>
          <w:tab w:val="num" w:pos="720"/>
        </w:tabs>
        <w:ind w:left="720" w:hanging="360"/>
      </w:pPr>
    </w:lvl>
    <w:lvl w:ilvl="1" w:tplc="04060019" w:tentative="1">
      <w:start w:val="1"/>
      <w:numFmt w:val="lowerLetter"/>
      <w:lvlText w:val="%2."/>
      <w:lvlJc w:val="left"/>
      <w:pPr>
        <w:tabs>
          <w:tab w:val="num" w:pos="1440"/>
        </w:tabs>
        <w:ind w:left="1440" w:hanging="360"/>
      </w:pPr>
    </w:lvl>
    <w:lvl w:ilvl="2" w:tplc="0406001B" w:tentative="1">
      <w:start w:val="1"/>
      <w:numFmt w:val="lowerRoman"/>
      <w:lvlText w:val="%3."/>
      <w:lvlJc w:val="right"/>
      <w:pPr>
        <w:tabs>
          <w:tab w:val="num" w:pos="2160"/>
        </w:tabs>
        <w:ind w:left="2160" w:hanging="180"/>
      </w:pPr>
    </w:lvl>
    <w:lvl w:ilvl="3" w:tplc="0406000F" w:tentative="1">
      <w:start w:val="1"/>
      <w:numFmt w:val="decimal"/>
      <w:lvlText w:val="%4."/>
      <w:lvlJc w:val="left"/>
      <w:pPr>
        <w:tabs>
          <w:tab w:val="num" w:pos="2880"/>
        </w:tabs>
        <w:ind w:left="2880" w:hanging="360"/>
      </w:pPr>
    </w:lvl>
    <w:lvl w:ilvl="4" w:tplc="04060019" w:tentative="1">
      <w:start w:val="1"/>
      <w:numFmt w:val="lowerLetter"/>
      <w:lvlText w:val="%5."/>
      <w:lvlJc w:val="left"/>
      <w:pPr>
        <w:tabs>
          <w:tab w:val="num" w:pos="3600"/>
        </w:tabs>
        <w:ind w:left="3600" w:hanging="360"/>
      </w:pPr>
    </w:lvl>
    <w:lvl w:ilvl="5" w:tplc="0406001B" w:tentative="1">
      <w:start w:val="1"/>
      <w:numFmt w:val="lowerRoman"/>
      <w:lvlText w:val="%6."/>
      <w:lvlJc w:val="right"/>
      <w:pPr>
        <w:tabs>
          <w:tab w:val="num" w:pos="4320"/>
        </w:tabs>
        <w:ind w:left="4320" w:hanging="180"/>
      </w:pPr>
    </w:lvl>
    <w:lvl w:ilvl="6" w:tplc="0406000F" w:tentative="1">
      <w:start w:val="1"/>
      <w:numFmt w:val="decimal"/>
      <w:lvlText w:val="%7."/>
      <w:lvlJc w:val="left"/>
      <w:pPr>
        <w:tabs>
          <w:tab w:val="num" w:pos="5040"/>
        </w:tabs>
        <w:ind w:left="5040" w:hanging="360"/>
      </w:pPr>
    </w:lvl>
    <w:lvl w:ilvl="7" w:tplc="04060019" w:tentative="1">
      <w:start w:val="1"/>
      <w:numFmt w:val="lowerLetter"/>
      <w:lvlText w:val="%8."/>
      <w:lvlJc w:val="left"/>
      <w:pPr>
        <w:tabs>
          <w:tab w:val="num" w:pos="5760"/>
        </w:tabs>
        <w:ind w:left="5760" w:hanging="360"/>
      </w:pPr>
    </w:lvl>
    <w:lvl w:ilvl="8" w:tplc="0406001B" w:tentative="1">
      <w:start w:val="1"/>
      <w:numFmt w:val="lowerRoman"/>
      <w:lvlText w:val="%9."/>
      <w:lvlJc w:val="right"/>
      <w:pPr>
        <w:tabs>
          <w:tab w:val="num" w:pos="6480"/>
        </w:tabs>
        <w:ind w:left="6480" w:hanging="180"/>
      </w:pPr>
    </w:lvl>
  </w:abstractNum>
  <w:abstractNum w:abstractNumId="29" w15:restartNumberingAfterBreak="0">
    <w:nsid w:val="40F6657D"/>
    <w:multiLevelType w:val="hybridMultilevel"/>
    <w:tmpl w:val="7EDC3BD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44EF5965"/>
    <w:multiLevelType w:val="hybridMultilevel"/>
    <w:tmpl w:val="70226A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47097151"/>
    <w:multiLevelType w:val="hybridMultilevel"/>
    <w:tmpl w:val="A14455E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4CAE6219"/>
    <w:multiLevelType w:val="hybridMultilevel"/>
    <w:tmpl w:val="E926F04C"/>
    <w:lvl w:ilvl="0" w:tplc="04060017">
      <w:start w:val="1"/>
      <w:numFmt w:val="lowerLetter"/>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3" w15:restartNumberingAfterBreak="0">
    <w:nsid w:val="4DAF7A75"/>
    <w:multiLevelType w:val="hybridMultilevel"/>
    <w:tmpl w:val="F80443F4"/>
    <w:lvl w:ilvl="0" w:tplc="04060017">
      <w:start w:val="1"/>
      <w:numFmt w:val="lowerLetter"/>
      <w:lvlText w:val="%1)"/>
      <w:lvlJc w:val="left"/>
      <w:pPr>
        <w:ind w:left="1080" w:hanging="360"/>
      </w:pPr>
      <w:rPr>
        <w:rFonts w:hint="default"/>
      </w:rPr>
    </w:lvl>
    <w:lvl w:ilvl="1" w:tplc="04060019" w:tentative="1">
      <w:start w:val="1"/>
      <w:numFmt w:val="lowerLetter"/>
      <w:lvlText w:val="%2."/>
      <w:lvlJc w:val="left"/>
      <w:pPr>
        <w:ind w:left="1800" w:hanging="360"/>
      </w:pPr>
    </w:lvl>
    <w:lvl w:ilvl="2" w:tplc="0406001B" w:tentative="1">
      <w:start w:val="1"/>
      <w:numFmt w:val="lowerRoman"/>
      <w:lvlText w:val="%3."/>
      <w:lvlJc w:val="right"/>
      <w:pPr>
        <w:ind w:left="2520" w:hanging="180"/>
      </w:pPr>
    </w:lvl>
    <w:lvl w:ilvl="3" w:tplc="0406000F" w:tentative="1">
      <w:start w:val="1"/>
      <w:numFmt w:val="decimal"/>
      <w:lvlText w:val="%4."/>
      <w:lvlJc w:val="left"/>
      <w:pPr>
        <w:ind w:left="3240" w:hanging="360"/>
      </w:pPr>
    </w:lvl>
    <w:lvl w:ilvl="4" w:tplc="04060019" w:tentative="1">
      <w:start w:val="1"/>
      <w:numFmt w:val="lowerLetter"/>
      <w:lvlText w:val="%5."/>
      <w:lvlJc w:val="left"/>
      <w:pPr>
        <w:ind w:left="3960" w:hanging="360"/>
      </w:pPr>
    </w:lvl>
    <w:lvl w:ilvl="5" w:tplc="0406001B" w:tentative="1">
      <w:start w:val="1"/>
      <w:numFmt w:val="lowerRoman"/>
      <w:lvlText w:val="%6."/>
      <w:lvlJc w:val="right"/>
      <w:pPr>
        <w:ind w:left="4680" w:hanging="180"/>
      </w:pPr>
    </w:lvl>
    <w:lvl w:ilvl="6" w:tplc="0406000F" w:tentative="1">
      <w:start w:val="1"/>
      <w:numFmt w:val="decimal"/>
      <w:lvlText w:val="%7."/>
      <w:lvlJc w:val="left"/>
      <w:pPr>
        <w:ind w:left="5400" w:hanging="360"/>
      </w:pPr>
    </w:lvl>
    <w:lvl w:ilvl="7" w:tplc="04060019" w:tentative="1">
      <w:start w:val="1"/>
      <w:numFmt w:val="lowerLetter"/>
      <w:lvlText w:val="%8."/>
      <w:lvlJc w:val="left"/>
      <w:pPr>
        <w:ind w:left="6120" w:hanging="360"/>
      </w:pPr>
    </w:lvl>
    <w:lvl w:ilvl="8" w:tplc="0406001B" w:tentative="1">
      <w:start w:val="1"/>
      <w:numFmt w:val="lowerRoman"/>
      <w:lvlText w:val="%9."/>
      <w:lvlJc w:val="right"/>
      <w:pPr>
        <w:ind w:left="6840" w:hanging="180"/>
      </w:pPr>
    </w:lvl>
  </w:abstractNum>
  <w:abstractNum w:abstractNumId="34" w15:restartNumberingAfterBreak="0">
    <w:nsid w:val="4DE76990"/>
    <w:multiLevelType w:val="hybridMultilevel"/>
    <w:tmpl w:val="DC66C426"/>
    <w:lvl w:ilvl="0" w:tplc="9F249F40">
      <w:start w:val="1"/>
      <w:numFmt w:val="decimal"/>
      <w:lvlText w:val="%1)"/>
      <w:lvlJc w:val="left"/>
      <w:pPr>
        <w:ind w:left="720" w:hanging="360"/>
      </w:pPr>
      <w:rPr>
        <w:sz w:val="20"/>
        <w:szCs w:val="20"/>
      </w:rPr>
    </w:lvl>
    <w:lvl w:ilvl="1" w:tplc="04060019">
      <w:start w:val="1"/>
      <w:numFmt w:val="decimal"/>
      <w:lvlText w:val="%2."/>
      <w:lvlJc w:val="left"/>
      <w:pPr>
        <w:tabs>
          <w:tab w:val="num" w:pos="1440"/>
        </w:tabs>
        <w:ind w:left="1440" w:hanging="360"/>
      </w:pPr>
    </w:lvl>
    <w:lvl w:ilvl="2" w:tplc="0406001B">
      <w:start w:val="1"/>
      <w:numFmt w:val="decimal"/>
      <w:lvlText w:val="%3."/>
      <w:lvlJc w:val="left"/>
      <w:pPr>
        <w:tabs>
          <w:tab w:val="num" w:pos="2160"/>
        </w:tabs>
        <w:ind w:left="2160" w:hanging="360"/>
      </w:pPr>
    </w:lvl>
    <w:lvl w:ilvl="3" w:tplc="0406000F">
      <w:start w:val="1"/>
      <w:numFmt w:val="decimal"/>
      <w:lvlText w:val="%4."/>
      <w:lvlJc w:val="left"/>
      <w:pPr>
        <w:tabs>
          <w:tab w:val="num" w:pos="2880"/>
        </w:tabs>
        <w:ind w:left="2880" w:hanging="360"/>
      </w:pPr>
    </w:lvl>
    <w:lvl w:ilvl="4" w:tplc="04060019">
      <w:start w:val="1"/>
      <w:numFmt w:val="decimal"/>
      <w:lvlText w:val="%5."/>
      <w:lvlJc w:val="left"/>
      <w:pPr>
        <w:tabs>
          <w:tab w:val="num" w:pos="3600"/>
        </w:tabs>
        <w:ind w:left="3600" w:hanging="360"/>
      </w:pPr>
    </w:lvl>
    <w:lvl w:ilvl="5" w:tplc="0406001B">
      <w:start w:val="1"/>
      <w:numFmt w:val="decimal"/>
      <w:lvlText w:val="%6."/>
      <w:lvlJc w:val="left"/>
      <w:pPr>
        <w:tabs>
          <w:tab w:val="num" w:pos="4320"/>
        </w:tabs>
        <w:ind w:left="4320" w:hanging="360"/>
      </w:pPr>
    </w:lvl>
    <w:lvl w:ilvl="6" w:tplc="0406000F">
      <w:start w:val="1"/>
      <w:numFmt w:val="decimal"/>
      <w:lvlText w:val="%7."/>
      <w:lvlJc w:val="left"/>
      <w:pPr>
        <w:tabs>
          <w:tab w:val="num" w:pos="5040"/>
        </w:tabs>
        <w:ind w:left="5040" w:hanging="360"/>
      </w:pPr>
    </w:lvl>
    <w:lvl w:ilvl="7" w:tplc="04060019">
      <w:start w:val="1"/>
      <w:numFmt w:val="decimal"/>
      <w:lvlText w:val="%8."/>
      <w:lvlJc w:val="left"/>
      <w:pPr>
        <w:tabs>
          <w:tab w:val="num" w:pos="5760"/>
        </w:tabs>
        <w:ind w:left="5760" w:hanging="360"/>
      </w:pPr>
    </w:lvl>
    <w:lvl w:ilvl="8" w:tplc="0406001B">
      <w:start w:val="1"/>
      <w:numFmt w:val="decimal"/>
      <w:lvlText w:val="%9."/>
      <w:lvlJc w:val="left"/>
      <w:pPr>
        <w:tabs>
          <w:tab w:val="num" w:pos="6480"/>
        </w:tabs>
        <w:ind w:left="6480" w:hanging="360"/>
      </w:pPr>
    </w:lvl>
  </w:abstractNum>
  <w:abstractNum w:abstractNumId="35" w15:restartNumberingAfterBreak="0">
    <w:nsid w:val="525131DD"/>
    <w:multiLevelType w:val="hybridMultilevel"/>
    <w:tmpl w:val="483EF39A"/>
    <w:lvl w:ilvl="0" w:tplc="04060001">
      <w:start w:val="1"/>
      <w:numFmt w:val="bullet"/>
      <w:lvlText w:val=""/>
      <w:lvlJc w:val="left"/>
      <w:pPr>
        <w:ind w:left="360" w:hanging="360"/>
      </w:pPr>
      <w:rPr>
        <w:rFonts w:ascii="Symbol" w:hAnsi="Symbol" w:hint="default"/>
      </w:rPr>
    </w:lvl>
    <w:lvl w:ilvl="1" w:tplc="04060003" w:tentative="1">
      <w:start w:val="1"/>
      <w:numFmt w:val="bullet"/>
      <w:lvlText w:val="o"/>
      <w:lvlJc w:val="left"/>
      <w:pPr>
        <w:ind w:left="1080" w:hanging="360"/>
      </w:pPr>
      <w:rPr>
        <w:rFonts w:ascii="Courier New" w:hAnsi="Courier New" w:cs="Courier New" w:hint="default"/>
      </w:rPr>
    </w:lvl>
    <w:lvl w:ilvl="2" w:tplc="04060005" w:tentative="1">
      <w:start w:val="1"/>
      <w:numFmt w:val="bullet"/>
      <w:lvlText w:val=""/>
      <w:lvlJc w:val="left"/>
      <w:pPr>
        <w:ind w:left="1800" w:hanging="360"/>
      </w:pPr>
      <w:rPr>
        <w:rFonts w:ascii="Wingdings" w:hAnsi="Wingdings" w:hint="default"/>
      </w:rPr>
    </w:lvl>
    <w:lvl w:ilvl="3" w:tplc="04060001" w:tentative="1">
      <w:start w:val="1"/>
      <w:numFmt w:val="bullet"/>
      <w:lvlText w:val=""/>
      <w:lvlJc w:val="left"/>
      <w:pPr>
        <w:ind w:left="2520" w:hanging="360"/>
      </w:pPr>
      <w:rPr>
        <w:rFonts w:ascii="Symbol" w:hAnsi="Symbol" w:hint="default"/>
      </w:rPr>
    </w:lvl>
    <w:lvl w:ilvl="4" w:tplc="04060003" w:tentative="1">
      <w:start w:val="1"/>
      <w:numFmt w:val="bullet"/>
      <w:lvlText w:val="o"/>
      <w:lvlJc w:val="left"/>
      <w:pPr>
        <w:ind w:left="3240" w:hanging="360"/>
      </w:pPr>
      <w:rPr>
        <w:rFonts w:ascii="Courier New" w:hAnsi="Courier New" w:cs="Courier New" w:hint="default"/>
      </w:rPr>
    </w:lvl>
    <w:lvl w:ilvl="5" w:tplc="04060005" w:tentative="1">
      <w:start w:val="1"/>
      <w:numFmt w:val="bullet"/>
      <w:lvlText w:val=""/>
      <w:lvlJc w:val="left"/>
      <w:pPr>
        <w:ind w:left="3960" w:hanging="360"/>
      </w:pPr>
      <w:rPr>
        <w:rFonts w:ascii="Wingdings" w:hAnsi="Wingdings" w:hint="default"/>
      </w:rPr>
    </w:lvl>
    <w:lvl w:ilvl="6" w:tplc="04060001" w:tentative="1">
      <w:start w:val="1"/>
      <w:numFmt w:val="bullet"/>
      <w:lvlText w:val=""/>
      <w:lvlJc w:val="left"/>
      <w:pPr>
        <w:ind w:left="4680" w:hanging="360"/>
      </w:pPr>
      <w:rPr>
        <w:rFonts w:ascii="Symbol" w:hAnsi="Symbol" w:hint="default"/>
      </w:rPr>
    </w:lvl>
    <w:lvl w:ilvl="7" w:tplc="04060003" w:tentative="1">
      <w:start w:val="1"/>
      <w:numFmt w:val="bullet"/>
      <w:lvlText w:val="o"/>
      <w:lvlJc w:val="left"/>
      <w:pPr>
        <w:ind w:left="5400" w:hanging="360"/>
      </w:pPr>
      <w:rPr>
        <w:rFonts w:ascii="Courier New" w:hAnsi="Courier New" w:cs="Courier New" w:hint="default"/>
      </w:rPr>
    </w:lvl>
    <w:lvl w:ilvl="8" w:tplc="04060005" w:tentative="1">
      <w:start w:val="1"/>
      <w:numFmt w:val="bullet"/>
      <w:lvlText w:val=""/>
      <w:lvlJc w:val="left"/>
      <w:pPr>
        <w:ind w:left="6120" w:hanging="360"/>
      </w:pPr>
      <w:rPr>
        <w:rFonts w:ascii="Wingdings" w:hAnsi="Wingdings" w:hint="default"/>
      </w:rPr>
    </w:lvl>
  </w:abstractNum>
  <w:abstractNum w:abstractNumId="36" w15:restartNumberingAfterBreak="0">
    <w:nsid w:val="55E162D7"/>
    <w:multiLevelType w:val="hybridMultilevel"/>
    <w:tmpl w:val="EB10474A"/>
    <w:lvl w:ilvl="0" w:tplc="04060001">
      <w:start w:val="1"/>
      <w:numFmt w:val="bullet"/>
      <w:lvlText w:val=""/>
      <w:lvlJc w:val="left"/>
      <w:pPr>
        <w:ind w:left="720" w:hanging="360"/>
      </w:pPr>
      <w:rPr>
        <w:rFonts w:ascii="Symbol" w:hAnsi="Symbol"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7" w15:restartNumberingAfterBreak="0">
    <w:nsid w:val="563D2704"/>
    <w:multiLevelType w:val="hybridMultilevel"/>
    <w:tmpl w:val="7576CD54"/>
    <w:lvl w:ilvl="0" w:tplc="08090011">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8EC1530"/>
    <w:multiLevelType w:val="hybridMultilevel"/>
    <w:tmpl w:val="2DC41C34"/>
    <w:lvl w:ilvl="0" w:tplc="19C06376">
      <w:start w:val="1"/>
      <w:numFmt w:val="decimal"/>
      <w:lvlText w:val="%1)"/>
      <w:lvlJc w:val="left"/>
      <w:pPr>
        <w:ind w:left="720" w:hanging="360"/>
      </w:pPr>
      <w:rPr>
        <w:rFonts w:asciiTheme="minorHAnsi" w:eastAsiaTheme="minorEastAsia" w:hAnsi="Calibri" w:cstheme="minorBidi" w:hint="default"/>
        <w:color w:val="000000"/>
        <w:sz w:val="40"/>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9" w15:restartNumberingAfterBreak="0">
    <w:nsid w:val="612A5150"/>
    <w:multiLevelType w:val="hybridMultilevel"/>
    <w:tmpl w:val="340C1FB6"/>
    <w:lvl w:ilvl="0" w:tplc="9B047580">
      <w:start w:val="1"/>
      <w:numFmt w:val="upperLetter"/>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0" w15:restartNumberingAfterBreak="0">
    <w:nsid w:val="69844649"/>
    <w:multiLevelType w:val="hybridMultilevel"/>
    <w:tmpl w:val="4F7E18D2"/>
    <w:lvl w:ilvl="0" w:tplc="04060001">
      <w:start w:val="1"/>
      <w:numFmt w:val="bullet"/>
      <w:lvlText w:val=""/>
      <w:lvlJc w:val="left"/>
      <w:pPr>
        <w:tabs>
          <w:tab w:val="num" w:pos="2085"/>
        </w:tabs>
        <w:ind w:left="2085" w:hanging="360"/>
      </w:pPr>
      <w:rPr>
        <w:rFonts w:ascii="Symbol" w:hAnsi="Symbol" w:hint="default"/>
      </w:rPr>
    </w:lvl>
    <w:lvl w:ilvl="1" w:tplc="04060003" w:tentative="1">
      <w:start w:val="1"/>
      <w:numFmt w:val="bullet"/>
      <w:lvlText w:val="o"/>
      <w:lvlJc w:val="left"/>
      <w:pPr>
        <w:tabs>
          <w:tab w:val="num" w:pos="2805"/>
        </w:tabs>
        <w:ind w:left="2805" w:hanging="360"/>
      </w:pPr>
      <w:rPr>
        <w:rFonts w:ascii="Courier New" w:hAnsi="Courier New" w:cs="Courier New" w:hint="default"/>
      </w:rPr>
    </w:lvl>
    <w:lvl w:ilvl="2" w:tplc="04060005" w:tentative="1">
      <w:start w:val="1"/>
      <w:numFmt w:val="bullet"/>
      <w:lvlText w:val=""/>
      <w:lvlJc w:val="left"/>
      <w:pPr>
        <w:tabs>
          <w:tab w:val="num" w:pos="3525"/>
        </w:tabs>
        <w:ind w:left="3525" w:hanging="360"/>
      </w:pPr>
      <w:rPr>
        <w:rFonts w:ascii="Wingdings" w:hAnsi="Wingdings" w:hint="default"/>
      </w:rPr>
    </w:lvl>
    <w:lvl w:ilvl="3" w:tplc="04060001" w:tentative="1">
      <w:start w:val="1"/>
      <w:numFmt w:val="bullet"/>
      <w:lvlText w:val=""/>
      <w:lvlJc w:val="left"/>
      <w:pPr>
        <w:tabs>
          <w:tab w:val="num" w:pos="4245"/>
        </w:tabs>
        <w:ind w:left="4245" w:hanging="360"/>
      </w:pPr>
      <w:rPr>
        <w:rFonts w:ascii="Symbol" w:hAnsi="Symbol" w:hint="default"/>
      </w:rPr>
    </w:lvl>
    <w:lvl w:ilvl="4" w:tplc="04060003" w:tentative="1">
      <w:start w:val="1"/>
      <w:numFmt w:val="bullet"/>
      <w:lvlText w:val="o"/>
      <w:lvlJc w:val="left"/>
      <w:pPr>
        <w:tabs>
          <w:tab w:val="num" w:pos="4965"/>
        </w:tabs>
        <w:ind w:left="4965" w:hanging="360"/>
      </w:pPr>
      <w:rPr>
        <w:rFonts w:ascii="Courier New" w:hAnsi="Courier New" w:cs="Courier New" w:hint="default"/>
      </w:rPr>
    </w:lvl>
    <w:lvl w:ilvl="5" w:tplc="04060005" w:tentative="1">
      <w:start w:val="1"/>
      <w:numFmt w:val="bullet"/>
      <w:lvlText w:val=""/>
      <w:lvlJc w:val="left"/>
      <w:pPr>
        <w:tabs>
          <w:tab w:val="num" w:pos="5685"/>
        </w:tabs>
        <w:ind w:left="5685" w:hanging="360"/>
      </w:pPr>
      <w:rPr>
        <w:rFonts w:ascii="Wingdings" w:hAnsi="Wingdings" w:hint="default"/>
      </w:rPr>
    </w:lvl>
    <w:lvl w:ilvl="6" w:tplc="04060001" w:tentative="1">
      <w:start w:val="1"/>
      <w:numFmt w:val="bullet"/>
      <w:lvlText w:val=""/>
      <w:lvlJc w:val="left"/>
      <w:pPr>
        <w:tabs>
          <w:tab w:val="num" w:pos="6405"/>
        </w:tabs>
        <w:ind w:left="6405" w:hanging="360"/>
      </w:pPr>
      <w:rPr>
        <w:rFonts w:ascii="Symbol" w:hAnsi="Symbol" w:hint="default"/>
      </w:rPr>
    </w:lvl>
    <w:lvl w:ilvl="7" w:tplc="04060003" w:tentative="1">
      <w:start w:val="1"/>
      <w:numFmt w:val="bullet"/>
      <w:lvlText w:val="o"/>
      <w:lvlJc w:val="left"/>
      <w:pPr>
        <w:tabs>
          <w:tab w:val="num" w:pos="7125"/>
        </w:tabs>
        <w:ind w:left="7125" w:hanging="360"/>
      </w:pPr>
      <w:rPr>
        <w:rFonts w:ascii="Courier New" w:hAnsi="Courier New" w:cs="Courier New" w:hint="default"/>
      </w:rPr>
    </w:lvl>
    <w:lvl w:ilvl="8" w:tplc="04060005" w:tentative="1">
      <w:start w:val="1"/>
      <w:numFmt w:val="bullet"/>
      <w:lvlText w:val=""/>
      <w:lvlJc w:val="left"/>
      <w:pPr>
        <w:tabs>
          <w:tab w:val="num" w:pos="7845"/>
        </w:tabs>
        <w:ind w:left="7845" w:hanging="360"/>
      </w:pPr>
      <w:rPr>
        <w:rFonts w:ascii="Wingdings" w:hAnsi="Wingdings" w:hint="default"/>
      </w:rPr>
    </w:lvl>
  </w:abstractNum>
  <w:abstractNum w:abstractNumId="41" w15:restartNumberingAfterBreak="0">
    <w:nsid w:val="6BEE55FF"/>
    <w:multiLevelType w:val="hybridMultilevel"/>
    <w:tmpl w:val="A192E46C"/>
    <w:lvl w:ilvl="0" w:tplc="04060011">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2" w15:restartNumberingAfterBreak="0">
    <w:nsid w:val="6C553913"/>
    <w:multiLevelType w:val="hybridMultilevel"/>
    <w:tmpl w:val="9AB2450A"/>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43" w15:restartNumberingAfterBreak="0">
    <w:nsid w:val="6D6B6164"/>
    <w:multiLevelType w:val="hybridMultilevel"/>
    <w:tmpl w:val="17BCCE9C"/>
    <w:lvl w:ilvl="0" w:tplc="04060001">
      <w:start w:val="1"/>
      <w:numFmt w:val="bullet"/>
      <w:lvlText w:val=""/>
      <w:lvlJc w:val="left"/>
      <w:pPr>
        <w:ind w:left="360" w:hanging="360"/>
      </w:pPr>
      <w:rPr>
        <w:rFonts w:ascii="Symbol" w:hAnsi="Symbol" w:hint="default"/>
      </w:rPr>
    </w:lvl>
    <w:lvl w:ilvl="1" w:tplc="04060003" w:tentative="1">
      <w:start w:val="1"/>
      <w:numFmt w:val="bullet"/>
      <w:lvlText w:val="o"/>
      <w:lvlJc w:val="left"/>
      <w:pPr>
        <w:ind w:left="1080" w:hanging="360"/>
      </w:pPr>
      <w:rPr>
        <w:rFonts w:ascii="Courier New" w:hAnsi="Courier New" w:cs="Courier New" w:hint="default"/>
      </w:rPr>
    </w:lvl>
    <w:lvl w:ilvl="2" w:tplc="04060005" w:tentative="1">
      <w:start w:val="1"/>
      <w:numFmt w:val="bullet"/>
      <w:lvlText w:val=""/>
      <w:lvlJc w:val="left"/>
      <w:pPr>
        <w:ind w:left="1800" w:hanging="360"/>
      </w:pPr>
      <w:rPr>
        <w:rFonts w:ascii="Wingdings" w:hAnsi="Wingdings" w:hint="default"/>
      </w:rPr>
    </w:lvl>
    <w:lvl w:ilvl="3" w:tplc="04060001" w:tentative="1">
      <w:start w:val="1"/>
      <w:numFmt w:val="bullet"/>
      <w:lvlText w:val=""/>
      <w:lvlJc w:val="left"/>
      <w:pPr>
        <w:ind w:left="2520" w:hanging="360"/>
      </w:pPr>
      <w:rPr>
        <w:rFonts w:ascii="Symbol" w:hAnsi="Symbol" w:hint="default"/>
      </w:rPr>
    </w:lvl>
    <w:lvl w:ilvl="4" w:tplc="04060003" w:tentative="1">
      <w:start w:val="1"/>
      <w:numFmt w:val="bullet"/>
      <w:lvlText w:val="o"/>
      <w:lvlJc w:val="left"/>
      <w:pPr>
        <w:ind w:left="3240" w:hanging="360"/>
      </w:pPr>
      <w:rPr>
        <w:rFonts w:ascii="Courier New" w:hAnsi="Courier New" w:cs="Courier New" w:hint="default"/>
      </w:rPr>
    </w:lvl>
    <w:lvl w:ilvl="5" w:tplc="04060005" w:tentative="1">
      <w:start w:val="1"/>
      <w:numFmt w:val="bullet"/>
      <w:lvlText w:val=""/>
      <w:lvlJc w:val="left"/>
      <w:pPr>
        <w:ind w:left="3960" w:hanging="360"/>
      </w:pPr>
      <w:rPr>
        <w:rFonts w:ascii="Wingdings" w:hAnsi="Wingdings" w:hint="default"/>
      </w:rPr>
    </w:lvl>
    <w:lvl w:ilvl="6" w:tplc="04060001" w:tentative="1">
      <w:start w:val="1"/>
      <w:numFmt w:val="bullet"/>
      <w:lvlText w:val=""/>
      <w:lvlJc w:val="left"/>
      <w:pPr>
        <w:ind w:left="4680" w:hanging="360"/>
      </w:pPr>
      <w:rPr>
        <w:rFonts w:ascii="Symbol" w:hAnsi="Symbol" w:hint="default"/>
      </w:rPr>
    </w:lvl>
    <w:lvl w:ilvl="7" w:tplc="04060003" w:tentative="1">
      <w:start w:val="1"/>
      <w:numFmt w:val="bullet"/>
      <w:lvlText w:val="o"/>
      <w:lvlJc w:val="left"/>
      <w:pPr>
        <w:ind w:left="5400" w:hanging="360"/>
      </w:pPr>
      <w:rPr>
        <w:rFonts w:ascii="Courier New" w:hAnsi="Courier New" w:cs="Courier New" w:hint="default"/>
      </w:rPr>
    </w:lvl>
    <w:lvl w:ilvl="8" w:tplc="04060005" w:tentative="1">
      <w:start w:val="1"/>
      <w:numFmt w:val="bullet"/>
      <w:lvlText w:val=""/>
      <w:lvlJc w:val="left"/>
      <w:pPr>
        <w:ind w:left="6120" w:hanging="360"/>
      </w:pPr>
      <w:rPr>
        <w:rFonts w:ascii="Wingdings" w:hAnsi="Wingdings" w:hint="default"/>
      </w:rPr>
    </w:lvl>
  </w:abstractNum>
  <w:abstractNum w:abstractNumId="44" w15:restartNumberingAfterBreak="0">
    <w:nsid w:val="74301AF9"/>
    <w:multiLevelType w:val="multilevel"/>
    <w:tmpl w:val="F3D4A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8B34566"/>
    <w:multiLevelType w:val="multilevel"/>
    <w:tmpl w:val="4C3E5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14"/>
  </w:num>
  <w:num w:numId="3">
    <w:abstractNumId w:val="12"/>
  </w:num>
  <w:num w:numId="4">
    <w:abstractNumId w:val="0"/>
  </w:num>
  <w:num w:numId="5">
    <w:abstractNumId w:val="30"/>
  </w:num>
  <w:num w:numId="6">
    <w:abstractNumId w:val="9"/>
  </w:num>
  <w:num w:numId="7">
    <w:abstractNumId w:val="39"/>
  </w:num>
  <w:num w:numId="8">
    <w:abstractNumId w:val="41"/>
  </w:num>
  <w:num w:numId="9">
    <w:abstractNumId w:val="38"/>
  </w:num>
  <w:num w:numId="10">
    <w:abstractNumId w:val="33"/>
  </w:num>
  <w:num w:numId="11">
    <w:abstractNumId w:val="23"/>
  </w:num>
  <w:num w:numId="12">
    <w:abstractNumId w:val="1"/>
  </w:num>
  <w:num w:numId="13">
    <w:abstractNumId w:val="19"/>
  </w:num>
  <w:num w:numId="14">
    <w:abstractNumId w:val="26"/>
  </w:num>
  <w:num w:numId="15">
    <w:abstractNumId w:val="11"/>
  </w:num>
  <w:num w:numId="16">
    <w:abstractNumId w:val="40"/>
  </w:num>
  <w:num w:numId="17">
    <w:abstractNumId w:val="5"/>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6"/>
  </w:num>
  <w:num w:numId="21">
    <w:abstractNumId w:val="21"/>
  </w:num>
  <w:num w:numId="22">
    <w:abstractNumId w:val="13"/>
  </w:num>
  <w:num w:numId="23">
    <w:abstractNumId w:val="6"/>
  </w:num>
  <w:num w:numId="24">
    <w:abstractNumId w:val="15"/>
  </w:num>
  <w:num w:numId="25">
    <w:abstractNumId w:val="22"/>
  </w:num>
  <w:num w:numId="26">
    <w:abstractNumId w:val="32"/>
  </w:num>
  <w:num w:numId="27">
    <w:abstractNumId w:val="3"/>
  </w:num>
  <w:num w:numId="28">
    <w:abstractNumId w:val="29"/>
  </w:num>
  <w:num w:numId="29">
    <w:abstractNumId w:val="8"/>
  </w:num>
  <w:num w:numId="30">
    <w:abstractNumId w:val="44"/>
  </w:num>
  <w:num w:numId="31">
    <w:abstractNumId w:val="24"/>
  </w:num>
  <w:num w:numId="32">
    <w:abstractNumId w:val="42"/>
  </w:num>
  <w:num w:numId="33">
    <w:abstractNumId w:val="35"/>
  </w:num>
  <w:num w:numId="34">
    <w:abstractNumId w:val="43"/>
  </w:num>
  <w:num w:numId="35">
    <w:abstractNumId w:val="37"/>
  </w:num>
  <w:num w:numId="36">
    <w:abstractNumId w:val="25"/>
  </w:num>
  <w:num w:numId="37">
    <w:abstractNumId w:val="18"/>
  </w:num>
  <w:num w:numId="38">
    <w:abstractNumId w:val="2"/>
  </w:num>
  <w:num w:numId="39">
    <w:abstractNumId w:val="45"/>
  </w:num>
  <w:num w:numId="40">
    <w:abstractNumId w:val="17"/>
  </w:num>
  <w:num w:numId="41">
    <w:abstractNumId w:val="20"/>
  </w:num>
  <w:num w:numId="42">
    <w:abstractNumId w:val="16"/>
  </w:num>
  <w:num w:numId="43">
    <w:abstractNumId w:val="31"/>
  </w:num>
  <w:num w:numId="44">
    <w:abstractNumId w:val="7"/>
    <w:lvlOverride w:ilvl="0">
      <w:startOverride w:val="7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hideSpellingErrors/>
  <w:hideGrammaticalErrors/>
  <w:activeWritingStyle w:appName="MSWord" w:lang="da-DK"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da-DK"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de-DE" w:vendorID="64" w:dllVersion="131078" w:nlCheck="1"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drawingGridHorizontalSpacing w:val="120"/>
  <w:displayHorizontalDrawingGridEvery w:val="2"/>
  <w:displayVerticalDrawingGridEvery w:val="2"/>
  <w:characterSpacingControl w:val="doNotCompress"/>
  <w:hdrShapeDefaults>
    <o:shapedefaults v:ext="edit" spidmax="141313"/>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7F8C"/>
    <w:rsid w:val="000008BB"/>
    <w:rsid w:val="000016CC"/>
    <w:rsid w:val="0000204E"/>
    <w:rsid w:val="00002356"/>
    <w:rsid w:val="00002D07"/>
    <w:rsid w:val="0000324C"/>
    <w:rsid w:val="00003612"/>
    <w:rsid w:val="000046B1"/>
    <w:rsid w:val="000051B2"/>
    <w:rsid w:val="000065A2"/>
    <w:rsid w:val="0000691E"/>
    <w:rsid w:val="00007673"/>
    <w:rsid w:val="0001010B"/>
    <w:rsid w:val="00010143"/>
    <w:rsid w:val="00010E30"/>
    <w:rsid w:val="00010ED9"/>
    <w:rsid w:val="0001159E"/>
    <w:rsid w:val="000136CB"/>
    <w:rsid w:val="00015034"/>
    <w:rsid w:val="00015747"/>
    <w:rsid w:val="000158BF"/>
    <w:rsid w:val="00015A5A"/>
    <w:rsid w:val="0001663A"/>
    <w:rsid w:val="00016DB8"/>
    <w:rsid w:val="00017239"/>
    <w:rsid w:val="0001755B"/>
    <w:rsid w:val="000175FC"/>
    <w:rsid w:val="00017692"/>
    <w:rsid w:val="00017B9A"/>
    <w:rsid w:val="00017D97"/>
    <w:rsid w:val="00017E1B"/>
    <w:rsid w:val="00020ABB"/>
    <w:rsid w:val="00020B60"/>
    <w:rsid w:val="00020C3B"/>
    <w:rsid w:val="0002156F"/>
    <w:rsid w:val="00021E66"/>
    <w:rsid w:val="0002275F"/>
    <w:rsid w:val="00022A99"/>
    <w:rsid w:val="00022AA9"/>
    <w:rsid w:val="00022C69"/>
    <w:rsid w:val="00024028"/>
    <w:rsid w:val="00024042"/>
    <w:rsid w:val="0002517F"/>
    <w:rsid w:val="00025482"/>
    <w:rsid w:val="00026661"/>
    <w:rsid w:val="0002786F"/>
    <w:rsid w:val="00030DB2"/>
    <w:rsid w:val="000310B7"/>
    <w:rsid w:val="000319C2"/>
    <w:rsid w:val="00032AB6"/>
    <w:rsid w:val="00032CE8"/>
    <w:rsid w:val="000330A7"/>
    <w:rsid w:val="00033756"/>
    <w:rsid w:val="00033AB8"/>
    <w:rsid w:val="00034359"/>
    <w:rsid w:val="0003455A"/>
    <w:rsid w:val="000353C4"/>
    <w:rsid w:val="00035BD7"/>
    <w:rsid w:val="000370F8"/>
    <w:rsid w:val="000375E1"/>
    <w:rsid w:val="00037A3B"/>
    <w:rsid w:val="0004197E"/>
    <w:rsid w:val="00041DE7"/>
    <w:rsid w:val="00042332"/>
    <w:rsid w:val="00044C2B"/>
    <w:rsid w:val="00045169"/>
    <w:rsid w:val="00046512"/>
    <w:rsid w:val="00047749"/>
    <w:rsid w:val="0005058C"/>
    <w:rsid w:val="000505F9"/>
    <w:rsid w:val="00050B81"/>
    <w:rsid w:val="00050CD4"/>
    <w:rsid w:val="0005100C"/>
    <w:rsid w:val="000528A1"/>
    <w:rsid w:val="00053266"/>
    <w:rsid w:val="000550DA"/>
    <w:rsid w:val="00056806"/>
    <w:rsid w:val="00057349"/>
    <w:rsid w:val="00057479"/>
    <w:rsid w:val="000602A0"/>
    <w:rsid w:val="00060656"/>
    <w:rsid w:val="00060A87"/>
    <w:rsid w:val="0006100F"/>
    <w:rsid w:val="00061EF1"/>
    <w:rsid w:val="00062906"/>
    <w:rsid w:val="00063544"/>
    <w:rsid w:val="0006407D"/>
    <w:rsid w:val="00064BD0"/>
    <w:rsid w:val="00065D3F"/>
    <w:rsid w:val="00066031"/>
    <w:rsid w:val="00066CC6"/>
    <w:rsid w:val="0007101E"/>
    <w:rsid w:val="00071B20"/>
    <w:rsid w:val="00073024"/>
    <w:rsid w:val="000740FD"/>
    <w:rsid w:val="0007465D"/>
    <w:rsid w:val="000747CE"/>
    <w:rsid w:val="00074B7C"/>
    <w:rsid w:val="00074CC9"/>
    <w:rsid w:val="00075B97"/>
    <w:rsid w:val="000763DC"/>
    <w:rsid w:val="000771AA"/>
    <w:rsid w:val="0008096E"/>
    <w:rsid w:val="0008217C"/>
    <w:rsid w:val="0008265C"/>
    <w:rsid w:val="00082EF8"/>
    <w:rsid w:val="000838EC"/>
    <w:rsid w:val="00083A00"/>
    <w:rsid w:val="00084684"/>
    <w:rsid w:val="00084D61"/>
    <w:rsid w:val="0008512A"/>
    <w:rsid w:val="0008588F"/>
    <w:rsid w:val="00086921"/>
    <w:rsid w:val="000906FE"/>
    <w:rsid w:val="000912A4"/>
    <w:rsid w:val="00091A24"/>
    <w:rsid w:val="00091D20"/>
    <w:rsid w:val="000926D3"/>
    <w:rsid w:val="00092ACE"/>
    <w:rsid w:val="00093F08"/>
    <w:rsid w:val="0009442D"/>
    <w:rsid w:val="00094BE2"/>
    <w:rsid w:val="000950A9"/>
    <w:rsid w:val="00096975"/>
    <w:rsid w:val="000A05C7"/>
    <w:rsid w:val="000A0AD1"/>
    <w:rsid w:val="000A1001"/>
    <w:rsid w:val="000A15F4"/>
    <w:rsid w:val="000A1ABD"/>
    <w:rsid w:val="000A27BD"/>
    <w:rsid w:val="000A34A0"/>
    <w:rsid w:val="000A35E2"/>
    <w:rsid w:val="000A39B3"/>
    <w:rsid w:val="000A420C"/>
    <w:rsid w:val="000A4E6F"/>
    <w:rsid w:val="000A5EA6"/>
    <w:rsid w:val="000A62A9"/>
    <w:rsid w:val="000A66C2"/>
    <w:rsid w:val="000B0B28"/>
    <w:rsid w:val="000B1659"/>
    <w:rsid w:val="000B167B"/>
    <w:rsid w:val="000B1CF3"/>
    <w:rsid w:val="000B1ED9"/>
    <w:rsid w:val="000B20FC"/>
    <w:rsid w:val="000B2722"/>
    <w:rsid w:val="000B2EA0"/>
    <w:rsid w:val="000B3740"/>
    <w:rsid w:val="000B5A57"/>
    <w:rsid w:val="000B6110"/>
    <w:rsid w:val="000B6804"/>
    <w:rsid w:val="000B7091"/>
    <w:rsid w:val="000B7290"/>
    <w:rsid w:val="000B76AD"/>
    <w:rsid w:val="000B796A"/>
    <w:rsid w:val="000C069A"/>
    <w:rsid w:val="000C0AA6"/>
    <w:rsid w:val="000C0E41"/>
    <w:rsid w:val="000C1ECB"/>
    <w:rsid w:val="000C21FA"/>
    <w:rsid w:val="000C3EBF"/>
    <w:rsid w:val="000C50BC"/>
    <w:rsid w:val="000C54FD"/>
    <w:rsid w:val="000C6168"/>
    <w:rsid w:val="000C6E01"/>
    <w:rsid w:val="000C6F5F"/>
    <w:rsid w:val="000C7413"/>
    <w:rsid w:val="000C76B8"/>
    <w:rsid w:val="000D0202"/>
    <w:rsid w:val="000D03D8"/>
    <w:rsid w:val="000D07CB"/>
    <w:rsid w:val="000D0927"/>
    <w:rsid w:val="000D10CE"/>
    <w:rsid w:val="000D1AA5"/>
    <w:rsid w:val="000D2F8A"/>
    <w:rsid w:val="000D2FC5"/>
    <w:rsid w:val="000D30DE"/>
    <w:rsid w:val="000D32C6"/>
    <w:rsid w:val="000D478C"/>
    <w:rsid w:val="000D55E9"/>
    <w:rsid w:val="000D6013"/>
    <w:rsid w:val="000D6327"/>
    <w:rsid w:val="000D652B"/>
    <w:rsid w:val="000D6E82"/>
    <w:rsid w:val="000D75C5"/>
    <w:rsid w:val="000D7B3C"/>
    <w:rsid w:val="000D7B7E"/>
    <w:rsid w:val="000D7F58"/>
    <w:rsid w:val="000E1337"/>
    <w:rsid w:val="000E1510"/>
    <w:rsid w:val="000E1C6A"/>
    <w:rsid w:val="000E3245"/>
    <w:rsid w:val="000E3317"/>
    <w:rsid w:val="000E342D"/>
    <w:rsid w:val="000E34E1"/>
    <w:rsid w:val="000E5293"/>
    <w:rsid w:val="000E6200"/>
    <w:rsid w:val="000E6348"/>
    <w:rsid w:val="000E78B6"/>
    <w:rsid w:val="000E7FD1"/>
    <w:rsid w:val="000F11B1"/>
    <w:rsid w:val="000F154B"/>
    <w:rsid w:val="000F25E5"/>
    <w:rsid w:val="000F29EC"/>
    <w:rsid w:val="000F3DE1"/>
    <w:rsid w:val="000F3EF3"/>
    <w:rsid w:val="000F4364"/>
    <w:rsid w:val="000F4EC7"/>
    <w:rsid w:val="000F507C"/>
    <w:rsid w:val="000F574C"/>
    <w:rsid w:val="000F5F21"/>
    <w:rsid w:val="000F7A38"/>
    <w:rsid w:val="00100B94"/>
    <w:rsid w:val="00100E22"/>
    <w:rsid w:val="0010169A"/>
    <w:rsid w:val="00102590"/>
    <w:rsid w:val="001034E0"/>
    <w:rsid w:val="00104EFD"/>
    <w:rsid w:val="00105ED3"/>
    <w:rsid w:val="00106E8D"/>
    <w:rsid w:val="00107A0C"/>
    <w:rsid w:val="00110C6D"/>
    <w:rsid w:val="00110D30"/>
    <w:rsid w:val="001119E3"/>
    <w:rsid w:val="00112381"/>
    <w:rsid w:val="001129CD"/>
    <w:rsid w:val="00113BA0"/>
    <w:rsid w:val="00115CF0"/>
    <w:rsid w:val="001169AD"/>
    <w:rsid w:val="00116A79"/>
    <w:rsid w:val="00117A87"/>
    <w:rsid w:val="001202DD"/>
    <w:rsid w:val="001203E7"/>
    <w:rsid w:val="00120B2C"/>
    <w:rsid w:val="00121522"/>
    <w:rsid w:val="00121BD6"/>
    <w:rsid w:val="00121D80"/>
    <w:rsid w:val="00122984"/>
    <w:rsid w:val="0012354F"/>
    <w:rsid w:val="00124FC4"/>
    <w:rsid w:val="0012508B"/>
    <w:rsid w:val="001251E0"/>
    <w:rsid w:val="001254C9"/>
    <w:rsid w:val="00125706"/>
    <w:rsid w:val="00127121"/>
    <w:rsid w:val="00127362"/>
    <w:rsid w:val="00127D03"/>
    <w:rsid w:val="00130C9D"/>
    <w:rsid w:val="00130D88"/>
    <w:rsid w:val="00131215"/>
    <w:rsid w:val="001314C0"/>
    <w:rsid w:val="001318B0"/>
    <w:rsid w:val="001327E1"/>
    <w:rsid w:val="00132AE4"/>
    <w:rsid w:val="00133CF4"/>
    <w:rsid w:val="001362DC"/>
    <w:rsid w:val="00136A85"/>
    <w:rsid w:val="001375DF"/>
    <w:rsid w:val="00137D50"/>
    <w:rsid w:val="0014295F"/>
    <w:rsid w:val="00143C96"/>
    <w:rsid w:val="00143D97"/>
    <w:rsid w:val="00143FD3"/>
    <w:rsid w:val="001447BB"/>
    <w:rsid w:val="00145831"/>
    <w:rsid w:val="001461A9"/>
    <w:rsid w:val="00146E9C"/>
    <w:rsid w:val="00150B17"/>
    <w:rsid w:val="00150C2B"/>
    <w:rsid w:val="00151162"/>
    <w:rsid w:val="001526F2"/>
    <w:rsid w:val="00152874"/>
    <w:rsid w:val="00153CEB"/>
    <w:rsid w:val="00155398"/>
    <w:rsid w:val="00155449"/>
    <w:rsid w:val="00155C1D"/>
    <w:rsid w:val="00155C4A"/>
    <w:rsid w:val="001567EB"/>
    <w:rsid w:val="00156B31"/>
    <w:rsid w:val="00157ACB"/>
    <w:rsid w:val="00157BBD"/>
    <w:rsid w:val="00157BD0"/>
    <w:rsid w:val="001609F2"/>
    <w:rsid w:val="0016165C"/>
    <w:rsid w:val="00161915"/>
    <w:rsid w:val="00161A16"/>
    <w:rsid w:val="00162050"/>
    <w:rsid w:val="0016250E"/>
    <w:rsid w:val="00162747"/>
    <w:rsid w:val="00163095"/>
    <w:rsid w:val="00163A6B"/>
    <w:rsid w:val="00165A73"/>
    <w:rsid w:val="0016640F"/>
    <w:rsid w:val="00166F0C"/>
    <w:rsid w:val="001670B9"/>
    <w:rsid w:val="00167562"/>
    <w:rsid w:val="00167972"/>
    <w:rsid w:val="0017050E"/>
    <w:rsid w:val="00170BEF"/>
    <w:rsid w:val="00170C80"/>
    <w:rsid w:val="00171D75"/>
    <w:rsid w:val="00172685"/>
    <w:rsid w:val="0017384F"/>
    <w:rsid w:val="0017546E"/>
    <w:rsid w:val="001755DC"/>
    <w:rsid w:val="00176271"/>
    <w:rsid w:val="001775E1"/>
    <w:rsid w:val="00177832"/>
    <w:rsid w:val="001778A6"/>
    <w:rsid w:val="001779C4"/>
    <w:rsid w:val="001779DE"/>
    <w:rsid w:val="00177C5D"/>
    <w:rsid w:val="001805DE"/>
    <w:rsid w:val="00180994"/>
    <w:rsid w:val="001814E7"/>
    <w:rsid w:val="00181A7C"/>
    <w:rsid w:val="001825C1"/>
    <w:rsid w:val="00182B98"/>
    <w:rsid w:val="0018304B"/>
    <w:rsid w:val="0018451C"/>
    <w:rsid w:val="00184804"/>
    <w:rsid w:val="00184F2E"/>
    <w:rsid w:val="00185211"/>
    <w:rsid w:val="00185E3F"/>
    <w:rsid w:val="00186F26"/>
    <w:rsid w:val="00186F33"/>
    <w:rsid w:val="001873E8"/>
    <w:rsid w:val="00190026"/>
    <w:rsid w:val="00191A26"/>
    <w:rsid w:val="00192424"/>
    <w:rsid w:val="001926EB"/>
    <w:rsid w:val="00192F8C"/>
    <w:rsid w:val="001930D3"/>
    <w:rsid w:val="00193283"/>
    <w:rsid w:val="00194B64"/>
    <w:rsid w:val="00195166"/>
    <w:rsid w:val="001968C6"/>
    <w:rsid w:val="00196C36"/>
    <w:rsid w:val="001A050B"/>
    <w:rsid w:val="001A111A"/>
    <w:rsid w:val="001A26CF"/>
    <w:rsid w:val="001A30E8"/>
    <w:rsid w:val="001A3868"/>
    <w:rsid w:val="001A4B0B"/>
    <w:rsid w:val="001A4CE3"/>
    <w:rsid w:val="001A5BDC"/>
    <w:rsid w:val="001A6776"/>
    <w:rsid w:val="001A734D"/>
    <w:rsid w:val="001B024C"/>
    <w:rsid w:val="001B0A2C"/>
    <w:rsid w:val="001B0AAA"/>
    <w:rsid w:val="001B1559"/>
    <w:rsid w:val="001B1E4B"/>
    <w:rsid w:val="001B2304"/>
    <w:rsid w:val="001B2397"/>
    <w:rsid w:val="001B25C1"/>
    <w:rsid w:val="001B3DB3"/>
    <w:rsid w:val="001B46CD"/>
    <w:rsid w:val="001B52C2"/>
    <w:rsid w:val="001B5C25"/>
    <w:rsid w:val="001B65AB"/>
    <w:rsid w:val="001B6F31"/>
    <w:rsid w:val="001C0542"/>
    <w:rsid w:val="001C0BD9"/>
    <w:rsid w:val="001C3321"/>
    <w:rsid w:val="001C40C3"/>
    <w:rsid w:val="001C454E"/>
    <w:rsid w:val="001C4A4E"/>
    <w:rsid w:val="001C4FB1"/>
    <w:rsid w:val="001C55A3"/>
    <w:rsid w:val="001C6112"/>
    <w:rsid w:val="001C660A"/>
    <w:rsid w:val="001C6699"/>
    <w:rsid w:val="001C70B9"/>
    <w:rsid w:val="001C7484"/>
    <w:rsid w:val="001C749D"/>
    <w:rsid w:val="001C7738"/>
    <w:rsid w:val="001C78A6"/>
    <w:rsid w:val="001D0205"/>
    <w:rsid w:val="001D0880"/>
    <w:rsid w:val="001D0C60"/>
    <w:rsid w:val="001D108B"/>
    <w:rsid w:val="001D4509"/>
    <w:rsid w:val="001D467A"/>
    <w:rsid w:val="001D488F"/>
    <w:rsid w:val="001D48CA"/>
    <w:rsid w:val="001D4B0C"/>
    <w:rsid w:val="001D615F"/>
    <w:rsid w:val="001D617C"/>
    <w:rsid w:val="001D65A2"/>
    <w:rsid w:val="001D683A"/>
    <w:rsid w:val="001E02A6"/>
    <w:rsid w:val="001E1699"/>
    <w:rsid w:val="001E198B"/>
    <w:rsid w:val="001E1AF2"/>
    <w:rsid w:val="001E2406"/>
    <w:rsid w:val="001E2853"/>
    <w:rsid w:val="001E28D9"/>
    <w:rsid w:val="001E3BE3"/>
    <w:rsid w:val="001E3DCF"/>
    <w:rsid w:val="001E46F9"/>
    <w:rsid w:val="001E48A0"/>
    <w:rsid w:val="001E4A84"/>
    <w:rsid w:val="001E4E8C"/>
    <w:rsid w:val="001E5025"/>
    <w:rsid w:val="001E5341"/>
    <w:rsid w:val="001E5399"/>
    <w:rsid w:val="001E604E"/>
    <w:rsid w:val="001E639A"/>
    <w:rsid w:val="001E6D97"/>
    <w:rsid w:val="001E6F92"/>
    <w:rsid w:val="001E7054"/>
    <w:rsid w:val="001F073E"/>
    <w:rsid w:val="001F0D4A"/>
    <w:rsid w:val="001F104B"/>
    <w:rsid w:val="001F20A3"/>
    <w:rsid w:val="001F20E7"/>
    <w:rsid w:val="001F3AEA"/>
    <w:rsid w:val="001F3DAD"/>
    <w:rsid w:val="001F4915"/>
    <w:rsid w:val="001F4E2E"/>
    <w:rsid w:val="001F5610"/>
    <w:rsid w:val="001F5A7A"/>
    <w:rsid w:val="001F5B7F"/>
    <w:rsid w:val="001F5D09"/>
    <w:rsid w:val="001F615D"/>
    <w:rsid w:val="001F77ED"/>
    <w:rsid w:val="001F7D26"/>
    <w:rsid w:val="00201524"/>
    <w:rsid w:val="00202491"/>
    <w:rsid w:val="002035A7"/>
    <w:rsid w:val="00203A73"/>
    <w:rsid w:val="00203B94"/>
    <w:rsid w:val="002045C2"/>
    <w:rsid w:val="002059EC"/>
    <w:rsid w:val="00205F83"/>
    <w:rsid w:val="00206F71"/>
    <w:rsid w:val="002072DC"/>
    <w:rsid w:val="00207AA1"/>
    <w:rsid w:val="00207B02"/>
    <w:rsid w:val="00210DED"/>
    <w:rsid w:val="00211073"/>
    <w:rsid w:val="002112FE"/>
    <w:rsid w:val="00211DA4"/>
    <w:rsid w:val="0021314F"/>
    <w:rsid w:val="00213205"/>
    <w:rsid w:val="002132F3"/>
    <w:rsid w:val="0021473A"/>
    <w:rsid w:val="002148C3"/>
    <w:rsid w:val="00214938"/>
    <w:rsid w:val="002160DE"/>
    <w:rsid w:val="00216C73"/>
    <w:rsid w:val="00216F26"/>
    <w:rsid w:val="002202AD"/>
    <w:rsid w:val="002205E4"/>
    <w:rsid w:val="00220C55"/>
    <w:rsid w:val="00220F14"/>
    <w:rsid w:val="002211FE"/>
    <w:rsid w:val="00221311"/>
    <w:rsid w:val="0022158C"/>
    <w:rsid w:val="00222827"/>
    <w:rsid w:val="00224439"/>
    <w:rsid w:val="0022478B"/>
    <w:rsid w:val="00226954"/>
    <w:rsid w:val="002273AC"/>
    <w:rsid w:val="00231290"/>
    <w:rsid w:val="00231646"/>
    <w:rsid w:val="00231E04"/>
    <w:rsid w:val="00232DD0"/>
    <w:rsid w:val="00233230"/>
    <w:rsid w:val="00233989"/>
    <w:rsid w:val="00234C08"/>
    <w:rsid w:val="00234EC2"/>
    <w:rsid w:val="002352D6"/>
    <w:rsid w:val="002353CE"/>
    <w:rsid w:val="002375EE"/>
    <w:rsid w:val="00241431"/>
    <w:rsid w:val="00242899"/>
    <w:rsid w:val="0024454E"/>
    <w:rsid w:val="00244F09"/>
    <w:rsid w:val="00244FCC"/>
    <w:rsid w:val="002457FE"/>
    <w:rsid w:val="00245E77"/>
    <w:rsid w:val="0024637B"/>
    <w:rsid w:val="00246B51"/>
    <w:rsid w:val="00246BC0"/>
    <w:rsid w:val="00246C45"/>
    <w:rsid w:val="0024711F"/>
    <w:rsid w:val="002500C1"/>
    <w:rsid w:val="002506EC"/>
    <w:rsid w:val="002516D9"/>
    <w:rsid w:val="00251712"/>
    <w:rsid w:val="00251C49"/>
    <w:rsid w:val="00253530"/>
    <w:rsid w:val="00253ACA"/>
    <w:rsid w:val="00253C91"/>
    <w:rsid w:val="0025518D"/>
    <w:rsid w:val="00256822"/>
    <w:rsid w:val="002572EA"/>
    <w:rsid w:val="00260850"/>
    <w:rsid w:val="002612C9"/>
    <w:rsid w:val="0026488E"/>
    <w:rsid w:val="002649BE"/>
    <w:rsid w:val="00264E7A"/>
    <w:rsid w:val="00264F11"/>
    <w:rsid w:val="00266837"/>
    <w:rsid w:val="00267F8A"/>
    <w:rsid w:val="002705A7"/>
    <w:rsid w:val="00271A0F"/>
    <w:rsid w:val="00271B4D"/>
    <w:rsid w:val="0027254C"/>
    <w:rsid w:val="00272893"/>
    <w:rsid w:val="00272BCB"/>
    <w:rsid w:val="00273867"/>
    <w:rsid w:val="0027477A"/>
    <w:rsid w:val="00274B5E"/>
    <w:rsid w:val="00274EA5"/>
    <w:rsid w:val="00276C32"/>
    <w:rsid w:val="00276DF6"/>
    <w:rsid w:val="00277636"/>
    <w:rsid w:val="00277FB6"/>
    <w:rsid w:val="00280016"/>
    <w:rsid w:val="00280DA0"/>
    <w:rsid w:val="00280E88"/>
    <w:rsid w:val="00281936"/>
    <w:rsid w:val="00282783"/>
    <w:rsid w:val="002827B1"/>
    <w:rsid w:val="0028383F"/>
    <w:rsid w:val="00283AF5"/>
    <w:rsid w:val="00284705"/>
    <w:rsid w:val="00284B85"/>
    <w:rsid w:val="00284CEB"/>
    <w:rsid w:val="00285C4F"/>
    <w:rsid w:val="0028612A"/>
    <w:rsid w:val="002862D6"/>
    <w:rsid w:val="00287673"/>
    <w:rsid w:val="00291077"/>
    <w:rsid w:val="002911C9"/>
    <w:rsid w:val="00292B90"/>
    <w:rsid w:val="002930D6"/>
    <w:rsid w:val="00293D9A"/>
    <w:rsid w:val="00294124"/>
    <w:rsid w:val="00295744"/>
    <w:rsid w:val="00295A2E"/>
    <w:rsid w:val="00297472"/>
    <w:rsid w:val="00297598"/>
    <w:rsid w:val="00297750"/>
    <w:rsid w:val="002A21CB"/>
    <w:rsid w:val="002A2ABA"/>
    <w:rsid w:val="002A2B9F"/>
    <w:rsid w:val="002A5DEB"/>
    <w:rsid w:val="002A7967"/>
    <w:rsid w:val="002B02AB"/>
    <w:rsid w:val="002B096E"/>
    <w:rsid w:val="002B0B48"/>
    <w:rsid w:val="002B0BCF"/>
    <w:rsid w:val="002B1240"/>
    <w:rsid w:val="002B1DFA"/>
    <w:rsid w:val="002B2698"/>
    <w:rsid w:val="002B26E2"/>
    <w:rsid w:val="002B27E8"/>
    <w:rsid w:val="002B4130"/>
    <w:rsid w:val="002B4DBE"/>
    <w:rsid w:val="002B52F9"/>
    <w:rsid w:val="002B5353"/>
    <w:rsid w:val="002B67A2"/>
    <w:rsid w:val="002B6B45"/>
    <w:rsid w:val="002B6E50"/>
    <w:rsid w:val="002B724E"/>
    <w:rsid w:val="002B7B5F"/>
    <w:rsid w:val="002B7DD1"/>
    <w:rsid w:val="002B7F8C"/>
    <w:rsid w:val="002C0425"/>
    <w:rsid w:val="002C10BC"/>
    <w:rsid w:val="002C341C"/>
    <w:rsid w:val="002C3A22"/>
    <w:rsid w:val="002C493A"/>
    <w:rsid w:val="002C5155"/>
    <w:rsid w:val="002C6041"/>
    <w:rsid w:val="002C6FC3"/>
    <w:rsid w:val="002D0040"/>
    <w:rsid w:val="002D1473"/>
    <w:rsid w:val="002D1F16"/>
    <w:rsid w:val="002D1FF0"/>
    <w:rsid w:val="002D3237"/>
    <w:rsid w:val="002D451F"/>
    <w:rsid w:val="002D55AE"/>
    <w:rsid w:val="002D5E2E"/>
    <w:rsid w:val="002D676F"/>
    <w:rsid w:val="002D780D"/>
    <w:rsid w:val="002D7EC0"/>
    <w:rsid w:val="002E165F"/>
    <w:rsid w:val="002E2CE8"/>
    <w:rsid w:val="002E327E"/>
    <w:rsid w:val="002E4332"/>
    <w:rsid w:val="002E461F"/>
    <w:rsid w:val="002E524F"/>
    <w:rsid w:val="002E5646"/>
    <w:rsid w:val="002E56AE"/>
    <w:rsid w:val="002E5913"/>
    <w:rsid w:val="002E5A9F"/>
    <w:rsid w:val="002E63A7"/>
    <w:rsid w:val="002E7B52"/>
    <w:rsid w:val="002F0576"/>
    <w:rsid w:val="002F0E01"/>
    <w:rsid w:val="002F0FED"/>
    <w:rsid w:val="002F2535"/>
    <w:rsid w:val="002F2989"/>
    <w:rsid w:val="002F29C4"/>
    <w:rsid w:val="002F2A19"/>
    <w:rsid w:val="002F2AD5"/>
    <w:rsid w:val="002F3939"/>
    <w:rsid w:val="002F3D44"/>
    <w:rsid w:val="002F4137"/>
    <w:rsid w:val="002F4222"/>
    <w:rsid w:val="002F47D1"/>
    <w:rsid w:val="002F56C3"/>
    <w:rsid w:val="002F57AC"/>
    <w:rsid w:val="002F6450"/>
    <w:rsid w:val="002F64D0"/>
    <w:rsid w:val="002F754B"/>
    <w:rsid w:val="002F757C"/>
    <w:rsid w:val="002F7B92"/>
    <w:rsid w:val="0030038A"/>
    <w:rsid w:val="00301780"/>
    <w:rsid w:val="003020B4"/>
    <w:rsid w:val="00304378"/>
    <w:rsid w:val="00305251"/>
    <w:rsid w:val="0030590A"/>
    <w:rsid w:val="00310088"/>
    <w:rsid w:val="003105AB"/>
    <w:rsid w:val="003117C0"/>
    <w:rsid w:val="00311B71"/>
    <w:rsid w:val="00311E26"/>
    <w:rsid w:val="003129AF"/>
    <w:rsid w:val="00314201"/>
    <w:rsid w:val="003142E1"/>
    <w:rsid w:val="003143DF"/>
    <w:rsid w:val="003165C1"/>
    <w:rsid w:val="00316BD5"/>
    <w:rsid w:val="00316F7E"/>
    <w:rsid w:val="00317073"/>
    <w:rsid w:val="00317079"/>
    <w:rsid w:val="00317103"/>
    <w:rsid w:val="0032049A"/>
    <w:rsid w:val="00321151"/>
    <w:rsid w:val="0032127E"/>
    <w:rsid w:val="0032127F"/>
    <w:rsid w:val="003214E1"/>
    <w:rsid w:val="0032159A"/>
    <w:rsid w:val="00321675"/>
    <w:rsid w:val="0032196F"/>
    <w:rsid w:val="003227DF"/>
    <w:rsid w:val="003227E2"/>
    <w:rsid w:val="00322B2C"/>
    <w:rsid w:val="0032310E"/>
    <w:rsid w:val="003262C0"/>
    <w:rsid w:val="00330286"/>
    <w:rsid w:val="003308C8"/>
    <w:rsid w:val="00332097"/>
    <w:rsid w:val="003323F0"/>
    <w:rsid w:val="00332F2A"/>
    <w:rsid w:val="00333982"/>
    <w:rsid w:val="00333DC6"/>
    <w:rsid w:val="003345C6"/>
    <w:rsid w:val="00334677"/>
    <w:rsid w:val="00335320"/>
    <w:rsid w:val="00335557"/>
    <w:rsid w:val="00335703"/>
    <w:rsid w:val="0033584E"/>
    <w:rsid w:val="00335992"/>
    <w:rsid w:val="00335ABE"/>
    <w:rsid w:val="003363D4"/>
    <w:rsid w:val="00336C60"/>
    <w:rsid w:val="003403A0"/>
    <w:rsid w:val="00340D15"/>
    <w:rsid w:val="0034148E"/>
    <w:rsid w:val="003414D2"/>
    <w:rsid w:val="00341B4C"/>
    <w:rsid w:val="00341E93"/>
    <w:rsid w:val="003425B2"/>
    <w:rsid w:val="0034362A"/>
    <w:rsid w:val="00343A85"/>
    <w:rsid w:val="0034524F"/>
    <w:rsid w:val="00345459"/>
    <w:rsid w:val="003455CA"/>
    <w:rsid w:val="00345671"/>
    <w:rsid w:val="00345C9B"/>
    <w:rsid w:val="003467C6"/>
    <w:rsid w:val="00346F73"/>
    <w:rsid w:val="003501F3"/>
    <w:rsid w:val="00351E69"/>
    <w:rsid w:val="00352299"/>
    <w:rsid w:val="00352A7D"/>
    <w:rsid w:val="0035354C"/>
    <w:rsid w:val="003536B6"/>
    <w:rsid w:val="003541F4"/>
    <w:rsid w:val="00354C63"/>
    <w:rsid w:val="00355A45"/>
    <w:rsid w:val="00355C95"/>
    <w:rsid w:val="00355FFE"/>
    <w:rsid w:val="00356AEB"/>
    <w:rsid w:val="00356B50"/>
    <w:rsid w:val="003606AD"/>
    <w:rsid w:val="00360DE4"/>
    <w:rsid w:val="00361099"/>
    <w:rsid w:val="003618F0"/>
    <w:rsid w:val="0036212E"/>
    <w:rsid w:val="00362823"/>
    <w:rsid w:val="00362E31"/>
    <w:rsid w:val="0036323F"/>
    <w:rsid w:val="0036384B"/>
    <w:rsid w:val="003639F5"/>
    <w:rsid w:val="00363EAC"/>
    <w:rsid w:val="00364FBB"/>
    <w:rsid w:val="0036504A"/>
    <w:rsid w:val="00365E8D"/>
    <w:rsid w:val="00366372"/>
    <w:rsid w:val="00370226"/>
    <w:rsid w:val="003702DE"/>
    <w:rsid w:val="0037095E"/>
    <w:rsid w:val="003719C7"/>
    <w:rsid w:val="0037216F"/>
    <w:rsid w:val="0037241C"/>
    <w:rsid w:val="00372DED"/>
    <w:rsid w:val="003739E1"/>
    <w:rsid w:val="00373CD7"/>
    <w:rsid w:val="00373FBB"/>
    <w:rsid w:val="0037440A"/>
    <w:rsid w:val="00374760"/>
    <w:rsid w:val="00374CA0"/>
    <w:rsid w:val="00375406"/>
    <w:rsid w:val="003769E2"/>
    <w:rsid w:val="00376B9C"/>
    <w:rsid w:val="00376DA4"/>
    <w:rsid w:val="00377C42"/>
    <w:rsid w:val="003804D3"/>
    <w:rsid w:val="00380839"/>
    <w:rsid w:val="00381766"/>
    <w:rsid w:val="00381A1C"/>
    <w:rsid w:val="0038222F"/>
    <w:rsid w:val="00384603"/>
    <w:rsid w:val="00384E14"/>
    <w:rsid w:val="0038519E"/>
    <w:rsid w:val="003859CA"/>
    <w:rsid w:val="00385C19"/>
    <w:rsid w:val="0038698D"/>
    <w:rsid w:val="003873F6"/>
    <w:rsid w:val="003876C6"/>
    <w:rsid w:val="00387F79"/>
    <w:rsid w:val="00390150"/>
    <w:rsid w:val="00390454"/>
    <w:rsid w:val="00390455"/>
    <w:rsid w:val="00390CD8"/>
    <w:rsid w:val="0039169C"/>
    <w:rsid w:val="00391AE2"/>
    <w:rsid w:val="00391B18"/>
    <w:rsid w:val="003926E7"/>
    <w:rsid w:val="00392CE7"/>
    <w:rsid w:val="003944AC"/>
    <w:rsid w:val="00394D82"/>
    <w:rsid w:val="00395044"/>
    <w:rsid w:val="003952F8"/>
    <w:rsid w:val="00395505"/>
    <w:rsid w:val="00395DA4"/>
    <w:rsid w:val="003965B0"/>
    <w:rsid w:val="00396CB9"/>
    <w:rsid w:val="00396E53"/>
    <w:rsid w:val="00397846"/>
    <w:rsid w:val="00397DB8"/>
    <w:rsid w:val="003A1050"/>
    <w:rsid w:val="003A4FD2"/>
    <w:rsid w:val="003A518E"/>
    <w:rsid w:val="003A58A8"/>
    <w:rsid w:val="003A593B"/>
    <w:rsid w:val="003A5B3B"/>
    <w:rsid w:val="003A62E5"/>
    <w:rsid w:val="003A643E"/>
    <w:rsid w:val="003A76F9"/>
    <w:rsid w:val="003B0197"/>
    <w:rsid w:val="003B0755"/>
    <w:rsid w:val="003B21A9"/>
    <w:rsid w:val="003B314F"/>
    <w:rsid w:val="003B3F81"/>
    <w:rsid w:val="003B66FB"/>
    <w:rsid w:val="003B6766"/>
    <w:rsid w:val="003B703F"/>
    <w:rsid w:val="003C03E5"/>
    <w:rsid w:val="003C0FD9"/>
    <w:rsid w:val="003C1836"/>
    <w:rsid w:val="003C1A92"/>
    <w:rsid w:val="003C275C"/>
    <w:rsid w:val="003C3813"/>
    <w:rsid w:val="003C3E63"/>
    <w:rsid w:val="003C494E"/>
    <w:rsid w:val="003C50C1"/>
    <w:rsid w:val="003C5703"/>
    <w:rsid w:val="003C6B47"/>
    <w:rsid w:val="003C700F"/>
    <w:rsid w:val="003C7248"/>
    <w:rsid w:val="003C78FA"/>
    <w:rsid w:val="003C7F50"/>
    <w:rsid w:val="003D026E"/>
    <w:rsid w:val="003D0AA5"/>
    <w:rsid w:val="003D1600"/>
    <w:rsid w:val="003D2876"/>
    <w:rsid w:val="003D2972"/>
    <w:rsid w:val="003D3002"/>
    <w:rsid w:val="003D30DE"/>
    <w:rsid w:val="003D31E6"/>
    <w:rsid w:val="003D3BF1"/>
    <w:rsid w:val="003D4413"/>
    <w:rsid w:val="003D529A"/>
    <w:rsid w:val="003D56F4"/>
    <w:rsid w:val="003D5BF5"/>
    <w:rsid w:val="003D6DC9"/>
    <w:rsid w:val="003D6EC7"/>
    <w:rsid w:val="003D70AC"/>
    <w:rsid w:val="003D7611"/>
    <w:rsid w:val="003D7F39"/>
    <w:rsid w:val="003E0180"/>
    <w:rsid w:val="003E0D1B"/>
    <w:rsid w:val="003E1DCA"/>
    <w:rsid w:val="003E21FE"/>
    <w:rsid w:val="003E4E71"/>
    <w:rsid w:val="003E6044"/>
    <w:rsid w:val="003E7C25"/>
    <w:rsid w:val="003E7D35"/>
    <w:rsid w:val="003E7E31"/>
    <w:rsid w:val="003F0311"/>
    <w:rsid w:val="003F2F4D"/>
    <w:rsid w:val="003F3753"/>
    <w:rsid w:val="003F390A"/>
    <w:rsid w:val="003F3D2E"/>
    <w:rsid w:val="003F6486"/>
    <w:rsid w:val="003F66E1"/>
    <w:rsid w:val="003F6CDF"/>
    <w:rsid w:val="003F6F0A"/>
    <w:rsid w:val="003F72F8"/>
    <w:rsid w:val="003F737F"/>
    <w:rsid w:val="003F7604"/>
    <w:rsid w:val="003F7E70"/>
    <w:rsid w:val="00400DEB"/>
    <w:rsid w:val="00401B24"/>
    <w:rsid w:val="00401FB1"/>
    <w:rsid w:val="00402135"/>
    <w:rsid w:val="0040241F"/>
    <w:rsid w:val="00402BE8"/>
    <w:rsid w:val="0040382D"/>
    <w:rsid w:val="00403E6D"/>
    <w:rsid w:val="00404AAE"/>
    <w:rsid w:val="00404F45"/>
    <w:rsid w:val="00405006"/>
    <w:rsid w:val="00405C3E"/>
    <w:rsid w:val="00407E1C"/>
    <w:rsid w:val="00410BB4"/>
    <w:rsid w:val="0041124B"/>
    <w:rsid w:val="00411352"/>
    <w:rsid w:val="00411781"/>
    <w:rsid w:val="004124FC"/>
    <w:rsid w:val="00412CA5"/>
    <w:rsid w:val="00413989"/>
    <w:rsid w:val="00413F29"/>
    <w:rsid w:val="00415C68"/>
    <w:rsid w:val="00416801"/>
    <w:rsid w:val="00416A67"/>
    <w:rsid w:val="00417684"/>
    <w:rsid w:val="0042038F"/>
    <w:rsid w:val="00421745"/>
    <w:rsid w:val="00422709"/>
    <w:rsid w:val="00422DA9"/>
    <w:rsid w:val="00423E7C"/>
    <w:rsid w:val="004242E7"/>
    <w:rsid w:val="00425635"/>
    <w:rsid w:val="00425D40"/>
    <w:rsid w:val="00425D86"/>
    <w:rsid w:val="0042683E"/>
    <w:rsid w:val="00427796"/>
    <w:rsid w:val="0042787B"/>
    <w:rsid w:val="00430334"/>
    <w:rsid w:val="00430CC8"/>
    <w:rsid w:val="00430EB9"/>
    <w:rsid w:val="0043281F"/>
    <w:rsid w:val="004354DF"/>
    <w:rsid w:val="00435B83"/>
    <w:rsid w:val="004373AB"/>
    <w:rsid w:val="004402E5"/>
    <w:rsid w:val="00441795"/>
    <w:rsid w:val="00441E66"/>
    <w:rsid w:val="0044269E"/>
    <w:rsid w:val="00442AEF"/>
    <w:rsid w:val="00442FB1"/>
    <w:rsid w:val="004443BD"/>
    <w:rsid w:val="00444426"/>
    <w:rsid w:val="004445AB"/>
    <w:rsid w:val="00445144"/>
    <w:rsid w:val="004452D4"/>
    <w:rsid w:val="00446215"/>
    <w:rsid w:val="00446790"/>
    <w:rsid w:val="00446CC5"/>
    <w:rsid w:val="00446E1B"/>
    <w:rsid w:val="00447C2D"/>
    <w:rsid w:val="004513C8"/>
    <w:rsid w:val="00451655"/>
    <w:rsid w:val="0045355A"/>
    <w:rsid w:val="00453CA9"/>
    <w:rsid w:val="00455136"/>
    <w:rsid w:val="00455140"/>
    <w:rsid w:val="00457141"/>
    <w:rsid w:val="004577E0"/>
    <w:rsid w:val="00457899"/>
    <w:rsid w:val="00457CEB"/>
    <w:rsid w:val="00460173"/>
    <w:rsid w:val="004611F0"/>
    <w:rsid w:val="00461660"/>
    <w:rsid w:val="004617AC"/>
    <w:rsid w:val="004626EC"/>
    <w:rsid w:val="0046299E"/>
    <w:rsid w:val="00462AE7"/>
    <w:rsid w:val="004638A4"/>
    <w:rsid w:val="00463D14"/>
    <w:rsid w:val="00463E3F"/>
    <w:rsid w:val="004648D9"/>
    <w:rsid w:val="00464A08"/>
    <w:rsid w:val="00465C37"/>
    <w:rsid w:val="00465CFE"/>
    <w:rsid w:val="00466D04"/>
    <w:rsid w:val="0046717A"/>
    <w:rsid w:val="00467CAE"/>
    <w:rsid w:val="00467F4D"/>
    <w:rsid w:val="00471066"/>
    <w:rsid w:val="0047108A"/>
    <w:rsid w:val="0047125D"/>
    <w:rsid w:val="00471E48"/>
    <w:rsid w:val="00471F96"/>
    <w:rsid w:val="0047223D"/>
    <w:rsid w:val="00472C91"/>
    <w:rsid w:val="0047301B"/>
    <w:rsid w:val="00473708"/>
    <w:rsid w:val="00474782"/>
    <w:rsid w:val="00474FB9"/>
    <w:rsid w:val="004750FF"/>
    <w:rsid w:val="0047510D"/>
    <w:rsid w:val="004759CC"/>
    <w:rsid w:val="00475DE8"/>
    <w:rsid w:val="00475EC6"/>
    <w:rsid w:val="004762F1"/>
    <w:rsid w:val="00480493"/>
    <w:rsid w:val="00481520"/>
    <w:rsid w:val="004817A7"/>
    <w:rsid w:val="00481B82"/>
    <w:rsid w:val="00482ED3"/>
    <w:rsid w:val="00483EFD"/>
    <w:rsid w:val="004845BF"/>
    <w:rsid w:val="004852D9"/>
    <w:rsid w:val="0048569B"/>
    <w:rsid w:val="00485A06"/>
    <w:rsid w:val="00487F39"/>
    <w:rsid w:val="00487F9E"/>
    <w:rsid w:val="00490243"/>
    <w:rsid w:val="00490982"/>
    <w:rsid w:val="004922F4"/>
    <w:rsid w:val="0049238E"/>
    <w:rsid w:val="00493538"/>
    <w:rsid w:val="004961BB"/>
    <w:rsid w:val="004A0673"/>
    <w:rsid w:val="004A1105"/>
    <w:rsid w:val="004A1C37"/>
    <w:rsid w:val="004A22D8"/>
    <w:rsid w:val="004A290F"/>
    <w:rsid w:val="004A3694"/>
    <w:rsid w:val="004A453E"/>
    <w:rsid w:val="004A4A34"/>
    <w:rsid w:val="004A592D"/>
    <w:rsid w:val="004A6038"/>
    <w:rsid w:val="004A6193"/>
    <w:rsid w:val="004A72D2"/>
    <w:rsid w:val="004B024E"/>
    <w:rsid w:val="004B09FF"/>
    <w:rsid w:val="004B0FD8"/>
    <w:rsid w:val="004B1596"/>
    <w:rsid w:val="004B177A"/>
    <w:rsid w:val="004B2096"/>
    <w:rsid w:val="004B234E"/>
    <w:rsid w:val="004B274D"/>
    <w:rsid w:val="004B28FB"/>
    <w:rsid w:val="004B2E89"/>
    <w:rsid w:val="004B30D9"/>
    <w:rsid w:val="004B3708"/>
    <w:rsid w:val="004B372A"/>
    <w:rsid w:val="004B38FC"/>
    <w:rsid w:val="004B3DA6"/>
    <w:rsid w:val="004B3F85"/>
    <w:rsid w:val="004B6D16"/>
    <w:rsid w:val="004B73C3"/>
    <w:rsid w:val="004C0DB7"/>
    <w:rsid w:val="004C1848"/>
    <w:rsid w:val="004C2F3B"/>
    <w:rsid w:val="004C3C75"/>
    <w:rsid w:val="004C3D21"/>
    <w:rsid w:val="004C3F9B"/>
    <w:rsid w:val="004C4605"/>
    <w:rsid w:val="004C59F7"/>
    <w:rsid w:val="004C66A8"/>
    <w:rsid w:val="004C67F3"/>
    <w:rsid w:val="004C76F0"/>
    <w:rsid w:val="004C77B6"/>
    <w:rsid w:val="004C7B01"/>
    <w:rsid w:val="004C7B8C"/>
    <w:rsid w:val="004C7F90"/>
    <w:rsid w:val="004D06E3"/>
    <w:rsid w:val="004D132B"/>
    <w:rsid w:val="004D1B15"/>
    <w:rsid w:val="004D20DD"/>
    <w:rsid w:val="004D216C"/>
    <w:rsid w:val="004D227B"/>
    <w:rsid w:val="004D27DB"/>
    <w:rsid w:val="004D5BF5"/>
    <w:rsid w:val="004D662F"/>
    <w:rsid w:val="004D6C97"/>
    <w:rsid w:val="004E0115"/>
    <w:rsid w:val="004E0340"/>
    <w:rsid w:val="004E076E"/>
    <w:rsid w:val="004E0A1C"/>
    <w:rsid w:val="004E0B34"/>
    <w:rsid w:val="004E0EEE"/>
    <w:rsid w:val="004E1C52"/>
    <w:rsid w:val="004E24BF"/>
    <w:rsid w:val="004E25BA"/>
    <w:rsid w:val="004E2C18"/>
    <w:rsid w:val="004E2CF3"/>
    <w:rsid w:val="004E33C2"/>
    <w:rsid w:val="004E3422"/>
    <w:rsid w:val="004E3C0C"/>
    <w:rsid w:val="004E3FEE"/>
    <w:rsid w:val="004E5885"/>
    <w:rsid w:val="004E5C78"/>
    <w:rsid w:val="004E60AE"/>
    <w:rsid w:val="004E61C0"/>
    <w:rsid w:val="004E7AAB"/>
    <w:rsid w:val="004F1650"/>
    <w:rsid w:val="004F172E"/>
    <w:rsid w:val="004F1920"/>
    <w:rsid w:val="004F19E0"/>
    <w:rsid w:val="004F1DD3"/>
    <w:rsid w:val="004F1FFE"/>
    <w:rsid w:val="004F28F7"/>
    <w:rsid w:val="004F2BDC"/>
    <w:rsid w:val="004F33EA"/>
    <w:rsid w:val="004F38EE"/>
    <w:rsid w:val="004F44E8"/>
    <w:rsid w:val="004F5073"/>
    <w:rsid w:val="004F5CA5"/>
    <w:rsid w:val="004F5D60"/>
    <w:rsid w:val="004F5E36"/>
    <w:rsid w:val="004F602D"/>
    <w:rsid w:val="004F72A2"/>
    <w:rsid w:val="0050182E"/>
    <w:rsid w:val="0050185C"/>
    <w:rsid w:val="00501BE0"/>
    <w:rsid w:val="005025F5"/>
    <w:rsid w:val="00502D04"/>
    <w:rsid w:val="00502DAE"/>
    <w:rsid w:val="0050301B"/>
    <w:rsid w:val="00503136"/>
    <w:rsid w:val="005039EC"/>
    <w:rsid w:val="00503D36"/>
    <w:rsid w:val="0050559C"/>
    <w:rsid w:val="00505A92"/>
    <w:rsid w:val="00505AD8"/>
    <w:rsid w:val="0050627D"/>
    <w:rsid w:val="005065AB"/>
    <w:rsid w:val="00506670"/>
    <w:rsid w:val="00507FDB"/>
    <w:rsid w:val="005101BF"/>
    <w:rsid w:val="00510651"/>
    <w:rsid w:val="00510663"/>
    <w:rsid w:val="00511275"/>
    <w:rsid w:val="005112E2"/>
    <w:rsid w:val="00512EC5"/>
    <w:rsid w:val="00513392"/>
    <w:rsid w:val="005136A2"/>
    <w:rsid w:val="00513DB2"/>
    <w:rsid w:val="005141DE"/>
    <w:rsid w:val="00514519"/>
    <w:rsid w:val="0051495E"/>
    <w:rsid w:val="00514A8D"/>
    <w:rsid w:val="00514AF7"/>
    <w:rsid w:val="00516934"/>
    <w:rsid w:val="0052010B"/>
    <w:rsid w:val="00520C76"/>
    <w:rsid w:val="00521088"/>
    <w:rsid w:val="00521297"/>
    <w:rsid w:val="0052187A"/>
    <w:rsid w:val="00525420"/>
    <w:rsid w:val="00525A06"/>
    <w:rsid w:val="00526605"/>
    <w:rsid w:val="00526613"/>
    <w:rsid w:val="005266EA"/>
    <w:rsid w:val="005272A9"/>
    <w:rsid w:val="00527899"/>
    <w:rsid w:val="00527BE0"/>
    <w:rsid w:val="0053068D"/>
    <w:rsid w:val="00531D8D"/>
    <w:rsid w:val="00532265"/>
    <w:rsid w:val="0053258E"/>
    <w:rsid w:val="00534FD7"/>
    <w:rsid w:val="00535811"/>
    <w:rsid w:val="00536710"/>
    <w:rsid w:val="00537C85"/>
    <w:rsid w:val="00540279"/>
    <w:rsid w:val="005412F3"/>
    <w:rsid w:val="00541CC0"/>
    <w:rsid w:val="00542EDC"/>
    <w:rsid w:val="00543B51"/>
    <w:rsid w:val="00544268"/>
    <w:rsid w:val="0054474F"/>
    <w:rsid w:val="00545EF6"/>
    <w:rsid w:val="00546027"/>
    <w:rsid w:val="00546443"/>
    <w:rsid w:val="00546468"/>
    <w:rsid w:val="00546976"/>
    <w:rsid w:val="0054793A"/>
    <w:rsid w:val="005527FD"/>
    <w:rsid w:val="00552A8C"/>
    <w:rsid w:val="00552D7C"/>
    <w:rsid w:val="00553D0F"/>
    <w:rsid w:val="00554549"/>
    <w:rsid w:val="00554A42"/>
    <w:rsid w:val="00556770"/>
    <w:rsid w:val="00556E83"/>
    <w:rsid w:val="00560960"/>
    <w:rsid w:val="00561775"/>
    <w:rsid w:val="005628C9"/>
    <w:rsid w:val="00562934"/>
    <w:rsid w:val="005634A6"/>
    <w:rsid w:val="00563D5F"/>
    <w:rsid w:val="005640B5"/>
    <w:rsid w:val="00564688"/>
    <w:rsid w:val="005646B2"/>
    <w:rsid w:val="00565534"/>
    <w:rsid w:val="00565CAF"/>
    <w:rsid w:val="00565FFC"/>
    <w:rsid w:val="005672F6"/>
    <w:rsid w:val="0056769A"/>
    <w:rsid w:val="00567B31"/>
    <w:rsid w:val="00567C77"/>
    <w:rsid w:val="005711FB"/>
    <w:rsid w:val="00571C93"/>
    <w:rsid w:val="00571D28"/>
    <w:rsid w:val="00571DF2"/>
    <w:rsid w:val="005725AB"/>
    <w:rsid w:val="00574203"/>
    <w:rsid w:val="00575501"/>
    <w:rsid w:val="005770D9"/>
    <w:rsid w:val="005800F5"/>
    <w:rsid w:val="00580378"/>
    <w:rsid w:val="0058132A"/>
    <w:rsid w:val="0058191F"/>
    <w:rsid w:val="00581EDC"/>
    <w:rsid w:val="005829F6"/>
    <w:rsid w:val="00584104"/>
    <w:rsid w:val="00584472"/>
    <w:rsid w:val="005845F9"/>
    <w:rsid w:val="00584966"/>
    <w:rsid w:val="00584E0B"/>
    <w:rsid w:val="005859BA"/>
    <w:rsid w:val="00585DF3"/>
    <w:rsid w:val="00586CB4"/>
    <w:rsid w:val="0058717D"/>
    <w:rsid w:val="00587292"/>
    <w:rsid w:val="00587912"/>
    <w:rsid w:val="00587973"/>
    <w:rsid w:val="00587D83"/>
    <w:rsid w:val="00587E30"/>
    <w:rsid w:val="00590368"/>
    <w:rsid w:val="00590406"/>
    <w:rsid w:val="0059161E"/>
    <w:rsid w:val="00591A84"/>
    <w:rsid w:val="00591DEF"/>
    <w:rsid w:val="00592B65"/>
    <w:rsid w:val="00592D43"/>
    <w:rsid w:val="005934B8"/>
    <w:rsid w:val="00594FA7"/>
    <w:rsid w:val="005962E8"/>
    <w:rsid w:val="005966F2"/>
    <w:rsid w:val="00596FB5"/>
    <w:rsid w:val="0059728F"/>
    <w:rsid w:val="00597B07"/>
    <w:rsid w:val="005A0A09"/>
    <w:rsid w:val="005A11F7"/>
    <w:rsid w:val="005A1363"/>
    <w:rsid w:val="005A13D1"/>
    <w:rsid w:val="005A199A"/>
    <w:rsid w:val="005A1B44"/>
    <w:rsid w:val="005A33A2"/>
    <w:rsid w:val="005A51E0"/>
    <w:rsid w:val="005A5400"/>
    <w:rsid w:val="005A540C"/>
    <w:rsid w:val="005A58BF"/>
    <w:rsid w:val="005A6640"/>
    <w:rsid w:val="005A665E"/>
    <w:rsid w:val="005A6C7B"/>
    <w:rsid w:val="005A6DB0"/>
    <w:rsid w:val="005A6F3B"/>
    <w:rsid w:val="005B0029"/>
    <w:rsid w:val="005B04FE"/>
    <w:rsid w:val="005B0C66"/>
    <w:rsid w:val="005B1583"/>
    <w:rsid w:val="005B21BB"/>
    <w:rsid w:val="005B33AE"/>
    <w:rsid w:val="005B4300"/>
    <w:rsid w:val="005B6257"/>
    <w:rsid w:val="005B6AD2"/>
    <w:rsid w:val="005B72DD"/>
    <w:rsid w:val="005B77DC"/>
    <w:rsid w:val="005C09A8"/>
    <w:rsid w:val="005C0EF0"/>
    <w:rsid w:val="005C1B7C"/>
    <w:rsid w:val="005C3661"/>
    <w:rsid w:val="005C377E"/>
    <w:rsid w:val="005C427A"/>
    <w:rsid w:val="005C4366"/>
    <w:rsid w:val="005C4833"/>
    <w:rsid w:val="005C4ADD"/>
    <w:rsid w:val="005C5A73"/>
    <w:rsid w:val="005C61F7"/>
    <w:rsid w:val="005C7502"/>
    <w:rsid w:val="005D0063"/>
    <w:rsid w:val="005D07C6"/>
    <w:rsid w:val="005D17FC"/>
    <w:rsid w:val="005D203A"/>
    <w:rsid w:val="005D3ED4"/>
    <w:rsid w:val="005D4363"/>
    <w:rsid w:val="005D4967"/>
    <w:rsid w:val="005D4B40"/>
    <w:rsid w:val="005D4F6B"/>
    <w:rsid w:val="005D715F"/>
    <w:rsid w:val="005D7A4F"/>
    <w:rsid w:val="005E0D7D"/>
    <w:rsid w:val="005E26AC"/>
    <w:rsid w:val="005E2888"/>
    <w:rsid w:val="005E2A47"/>
    <w:rsid w:val="005E2B08"/>
    <w:rsid w:val="005E335B"/>
    <w:rsid w:val="005E351B"/>
    <w:rsid w:val="005E39C3"/>
    <w:rsid w:val="005E4AA3"/>
    <w:rsid w:val="005E4B21"/>
    <w:rsid w:val="005E4D88"/>
    <w:rsid w:val="005E59E5"/>
    <w:rsid w:val="005E612C"/>
    <w:rsid w:val="005E618B"/>
    <w:rsid w:val="005E63A6"/>
    <w:rsid w:val="005E6436"/>
    <w:rsid w:val="005F2369"/>
    <w:rsid w:val="005F2C39"/>
    <w:rsid w:val="005F2E54"/>
    <w:rsid w:val="005F2EC7"/>
    <w:rsid w:val="005F305E"/>
    <w:rsid w:val="005F32A8"/>
    <w:rsid w:val="005F32BF"/>
    <w:rsid w:val="005F339D"/>
    <w:rsid w:val="005F4277"/>
    <w:rsid w:val="005F458B"/>
    <w:rsid w:val="005F474A"/>
    <w:rsid w:val="005F48CB"/>
    <w:rsid w:val="005F4CE6"/>
    <w:rsid w:val="005F53E9"/>
    <w:rsid w:val="005F5D3B"/>
    <w:rsid w:val="005F647E"/>
    <w:rsid w:val="005F7335"/>
    <w:rsid w:val="00601AF5"/>
    <w:rsid w:val="0060247A"/>
    <w:rsid w:val="006032A0"/>
    <w:rsid w:val="00603620"/>
    <w:rsid w:val="00604173"/>
    <w:rsid w:val="00604510"/>
    <w:rsid w:val="006054CB"/>
    <w:rsid w:val="0060582D"/>
    <w:rsid w:val="00605B9F"/>
    <w:rsid w:val="00605C76"/>
    <w:rsid w:val="00607CFF"/>
    <w:rsid w:val="006103A0"/>
    <w:rsid w:val="00610C42"/>
    <w:rsid w:val="00611AD0"/>
    <w:rsid w:val="00611B5D"/>
    <w:rsid w:val="006120E0"/>
    <w:rsid w:val="0061236D"/>
    <w:rsid w:val="00613B19"/>
    <w:rsid w:val="00613E3E"/>
    <w:rsid w:val="006142B7"/>
    <w:rsid w:val="00614343"/>
    <w:rsid w:val="00615633"/>
    <w:rsid w:val="00616C05"/>
    <w:rsid w:val="00617279"/>
    <w:rsid w:val="00617EF4"/>
    <w:rsid w:val="006225AA"/>
    <w:rsid w:val="0062269B"/>
    <w:rsid w:val="00622F5C"/>
    <w:rsid w:val="0062345D"/>
    <w:rsid w:val="00623A3A"/>
    <w:rsid w:val="0062437D"/>
    <w:rsid w:val="00624E75"/>
    <w:rsid w:val="00625E78"/>
    <w:rsid w:val="00625FBB"/>
    <w:rsid w:val="00627F51"/>
    <w:rsid w:val="006306B7"/>
    <w:rsid w:val="00631545"/>
    <w:rsid w:val="00632093"/>
    <w:rsid w:val="00632DB2"/>
    <w:rsid w:val="00633382"/>
    <w:rsid w:val="006333D3"/>
    <w:rsid w:val="00635AD7"/>
    <w:rsid w:val="00635D54"/>
    <w:rsid w:val="00636DF4"/>
    <w:rsid w:val="0063706E"/>
    <w:rsid w:val="006401AC"/>
    <w:rsid w:val="006411CE"/>
    <w:rsid w:val="0064156D"/>
    <w:rsid w:val="00641FBA"/>
    <w:rsid w:val="00642940"/>
    <w:rsid w:val="00642944"/>
    <w:rsid w:val="00642A98"/>
    <w:rsid w:val="00642C28"/>
    <w:rsid w:val="00644529"/>
    <w:rsid w:val="00645B2D"/>
    <w:rsid w:val="00645E75"/>
    <w:rsid w:val="00646130"/>
    <w:rsid w:val="006463AC"/>
    <w:rsid w:val="006463E4"/>
    <w:rsid w:val="006469F5"/>
    <w:rsid w:val="00646B7D"/>
    <w:rsid w:val="0064783A"/>
    <w:rsid w:val="00647953"/>
    <w:rsid w:val="00647EB8"/>
    <w:rsid w:val="0065031F"/>
    <w:rsid w:val="006507E0"/>
    <w:rsid w:val="00650C74"/>
    <w:rsid w:val="00651421"/>
    <w:rsid w:val="00651A97"/>
    <w:rsid w:val="00651ACF"/>
    <w:rsid w:val="006521DD"/>
    <w:rsid w:val="006528CB"/>
    <w:rsid w:val="00652BEF"/>
    <w:rsid w:val="00653E5B"/>
    <w:rsid w:val="00654AEA"/>
    <w:rsid w:val="00655A99"/>
    <w:rsid w:val="00656223"/>
    <w:rsid w:val="00657485"/>
    <w:rsid w:val="00657C5E"/>
    <w:rsid w:val="006602E9"/>
    <w:rsid w:val="00660A48"/>
    <w:rsid w:val="0066105D"/>
    <w:rsid w:val="0066212B"/>
    <w:rsid w:val="006621A0"/>
    <w:rsid w:val="00662720"/>
    <w:rsid w:val="0066279F"/>
    <w:rsid w:val="00662B04"/>
    <w:rsid w:val="00662FC0"/>
    <w:rsid w:val="006633C5"/>
    <w:rsid w:val="00663B00"/>
    <w:rsid w:val="00664E83"/>
    <w:rsid w:val="00666B5F"/>
    <w:rsid w:val="00666DBA"/>
    <w:rsid w:val="0066785D"/>
    <w:rsid w:val="006678CA"/>
    <w:rsid w:val="00670849"/>
    <w:rsid w:val="00671B75"/>
    <w:rsid w:val="00672E42"/>
    <w:rsid w:val="0067331F"/>
    <w:rsid w:val="006746B7"/>
    <w:rsid w:val="00674BE6"/>
    <w:rsid w:val="006750F1"/>
    <w:rsid w:val="0067532F"/>
    <w:rsid w:val="00675678"/>
    <w:rsid w:val="00675B36"/>
    <w:rsid w:val="00676290"/>
    <w:rsid w:val="0067646F"/>
    <w:rsid w:val="006768CE"/>
    <w:rsid w:val="00676E56"/>
    <w:rsid w:val="006800D8"/>
    <w:rsid w:val="0068151B"/>
    <w:rsid w:val="006815A5"/>
    <w:rsid w:val="00681DA6"/>
    <w:rsid w:val="00682248"/>
    <w:rsid w:val="00682A2F"/>
    <w:rsid w:val="00682FB9"/>
    <w:rsid w:val="006835B2"/>
    <w:rsid w:val="00683AD9"/>
    <w:rsid w:val="00683B25"/>
    <w:rsid w:val="00683CA0"/>
    <w:rsid w:val="00684AC2"/>
    <w:rsid w:val="00685270"/>
    <w:rsid w:val="00685F11"/>
    <w:rsid w:val="00687227"/>
    <w:rsid w:val="00687A17"/>
    <w:rsid w:val="0069005A"/>
    <w:rsid w:val="006909E1"/>
    <w:rsid w:val="0069105D"/>
    <w:rsid w:val="00693C52"/>
    <w:rsid w:val="006941E2"/>
    <w:rsid w:val="0069464B"/>
    <w:rsid w:val="00694838"/>
    <w:rsid w:val="00694D75"/>
    <w:rsid w:val="00695927"/>
    <w:rsid w:val="00695A4D"/>
    <w:rsid w:val="006978EC"/>
    <w:rsid w:val="00697F6F"/>
    <w:rsid w:val="006A091D"/>
    <w:rsid w:val="006A0E26"/>
    <w:rsid w:val="006A0F38"/>
    <w:rsid w:val="006A1042"/>
    <w:rsid w:val="006A179E"/>
    <w:rsid w:val="006A232A"/>
    <w:rsid w:val="006A2C7D"/>
    <w:rsid w:val="006A2D72"/>
    <w:rsid w:val="006A2EB4"/>
    <w:rsid w:val="006A3F16"/>
    <w:rsid w:val="006A40D3"/>
    <w:rsid w:val="006A5BC8"/>
    <w:rsid w:val="006A628E"/>
    <w:rsid w:val="006A62B6"/>
    <w:rsid w:val="006A6774"/>
    <w:rsid w:val="006A7D25"/>
    <w:rsid w:val="006B04CD"/>
    <w:rsid w:val="006B092E"/>
    <w:rsid w:val="006B14CA"/>
    <w:rsid w:val="006B1808"/>
    <w:rsid w:val="006B268D"/>
    <w:rsid w:val="006B28DD"/>
    <w:rsid w:val="006B293C"/>
    <w:rsid w:val="006B3051"/>
    <w:rsid w:val="006B4C8A"/>
    <w:rsid w:val="006B4DAA"/>
    <w:rsid w:val="006B4DC9"/>
    <w:rsid w:val="006B531D"/>
    <w:rsid w:val="006B72F8"/>
    <w:rsid w:val="006C1031"/>
    <w:rsid w:val="006C1CEC"/>
    <w:rsid w:val="006C25BC"/>
    <w:rsid w:val="006C31C7"/>
    <w:rsid w:val="006C3284"/>
    <w:rsid w:val="006C34F1"/>
    <w:rsid w:val="006C380B"/>
    <w:rsid w:val="006C3A3B"/>
    <w:rsid w:val="006C3D8A"/>
    <w:rsid w:val="006C3DF4"/>
    <w:rsid w:val="006C4BD3"/>
    <w:rsid w:val="006C59BA"/>
    <w:rsid w:val="006C6032"/>
    <w:rsid w:val="006C6ABE"/>
    <w:rsid w:val="006C6FD7"/>
    <w:rsid w:val="006D00DE"/>
    <w:rsid w:val="006D021D"/>
    <w:rsid w:val="006D040F"/>
    <w:rsid w:val="006D12BB"/>
    <w:rsid w:val="006D1763"/>
    <w:rsid w:val="006D1B3E"/>
    <w:rsid w:val="006D305E"/>
    <w:rsid w:val="006D353A"/>
    <w:rsid w:val="006D3C92"/>
    <w:rsid w:val="006D42B1"/>
    <w:rsid w:val="006D4A34"/>
    <w:rsid w:val="006D56B3"/>
    <w:rsid w:val="006D5A1A"/>
    <w:rsid w:val="006D5E0D"/>
    <w:rsid w:val="006D676F"/>
    <w:rsid w:val="006D6BA4"/>
    <w:rsid w:val="006E02A8"/>
    <w:rsid w:val="006E02B3"/>
    <w:rsid w:val="006E0315"/>
    <w:rsid w:val="006E1888"/>
    <w:rsid w:val="006E1C73"/>
    <w:rsid w:val="006E303D"/>
    <w:rsid w:val="006E31D9"/>
    <w:rsid w:val="006E3B5C"/>
    <w:rsid w:val="006E3B80"/>
    <w:rsid w:val="006E3E77"/>
    <w:rsid w:val="006E47B0"/>
    <w:rsid w:val="006E5535"/>
    <w:rsid w:val="006F0B6B"/>
    <w:rsid w:val="006F10EE"/>
    <w:rsid w:val="006F3102"/>
    <w:rsid w:val="006F31EC"/>
    <w:rsid w:val="006F35A6"/>
    <w:rsid w:val="006F3701"/>
    <w:rsid w:val="006F3AB3"/>
    <w:rsid w:val="006F3FB7"/>
    <w:rsid w:val="006F41C4"/>
    <w:rsid w:val="006F42DD"/>
    <w:rsid w:val="006F47B8"/>
    <w:rsid w:val="006F5812"/>
    <w:rsid w:val="006F67D2"/>
    <w:rsid w:val="00701B79"/>
    <w:rsid w:val="007025FF"/>
    <w:rsid w:val="007026D6"/>
    <w:rsid w:val="00703A22"/>
    <w:rsid w:val="00705E52"/>
    <w:rsid w:val="00706325"/>
    <w:rsid w:val="00706530"/>
    <w:rsid w:val="00706D01"/>
    <w:rsid w:val="00707765"/>
    <w:rsid w:val="0071040D"/>
    <w:rsid w:val="00711362"/>
    <w:rsid w:val="007114DD"/>
    <w:rsid w:val="007115A2"/>
    <w:rsid w:val="007123D5"/>
    <w:rsid w:val="00712801"/>
    <w:rsid w:val="0071299F"/>
    <w:rsid w:val="00712E8E"/>
    <w:rsid w:val="00712F97"/>
    <w:rsid w:val="0071367A"/>
    <w:rsid w:val="00714FB2"/>
    <w:rsid w:val="00715011"/>
    <w:rsid w:val="007158BD"/>
    <w:rsid w:val="00715C96"/>
    <w:rsid w:val="007164CB"/>
    <w:rsid w:val="00716A7F"/>
    <w:rsid w:val="0071710E"/>
    <w:rsid w:val="007172A4"/>
    <w:rsid w:val="0071759B"/>
    <w:rsid w:val="00717852"/>
    <w:rsid w:val="00717C1A"/>
    <w:rsid w:val="00717D37"/>
    <w:rsid w:val="00720412"/>
    <w:rsid w:val="007204D2"/>
    <w:rsid w:val="007205C2"/>
    <w:rsid w:val="00721104"/>
    <w:rsid w:val="0072154F"/>
    <w:rsid w:val="007218E7"/>
    <w:rsid w:val="00721B66"/>
    <w:rsid w:val="00721DC2"/>
    <w:rsid w:val="00722A35"/>
    <w:rsid w:val="007240AE"/>
    <w:rsid w:val="007243DA"/>
    <w:rsid w:val="00724B36"/>
    <w:rsid w:val="0072517F"/>
    <w:rsid w:val="007251DA"/>
    <w:rsid w:val="0072780A"/>
    <w:rsid w:val="007279B0"/>
    <w:rsid w:val="00727AC7"/>
    <w:rsid w:val="007302F8"/>
    <w:rsid w:val="0073127D"/>
    <w:rsid w:val="007323D2"/>
    <w:rsid w:val="00733190"/>
    <w:rsid w:val="00733ABA"/>
    <w:rsid w:val="00733E64"/>
    <w:rsid w:val="00735C19"/>
    <w:rsid w:val="00735DFB"/>
    <w:rsid w:val="007360E7"/>
    <w:rsid w:val="00736A0C"/>
    <w:rsid w:val="00736D69"/>
    <w:rsid w:val="00740567"/>
    <w:rsid w:val="00740904"/>
    <w:rsid w:val="00740AA1"/>
    <w:rsid w:val="00740C64"/>
    <w:rsid w:val="00740C71"/>
    <w:rsid w:val="00742327"/>
    <w:rsid w:val="0074370D"/>
    <w:rsid w:val="00744188"/>
    <w:rsid w:val="007449BF"/>
    <w:rsid w:val="0074517F"/>
    <w:rsid w:val="00745489"/>
    <w:rsid w:val="007466DF"/>
    <w:rsid w:val="007474B6"/>
    <w:rsid w:val="0074775B"/>
    <w:rsid w:val="007500D8"/>
    <w:rsid w:val="0075015B"/>
    <w:rsid w:val="00750271"/>
    <w:rsid w:val="007513F1"/>
    <w:rsid w:val="00751F66"/>
    <w:rsid w:val="007538C3"/>
    <w:rsid w:val="00754725"/>
    <w:rsid w:val="00754CC1"/>
    <w:rsid w:val="0075695A"/>
    <w:rsid w:val="00757302"/>
    <w:rsid w:val="00757ED6"/>
    <w:rsid w:val="00760D4C"/>
    <w:rsid w:val="00760F9D"/>
    <w:rsid w:val="00761516"/>
    <w:rsid w:val="00761BBF"/>
    <w:rsid w:val="007620B0"/>
    <w:rsid w:val="007657EF"/>
    <w:rsid w:val="00765F32"/>
    <w:rsid w:val="007705E7"/>
    <w:rsid w:val="007706FC"/>
    <w:rsid w:val="0077420F"/>
    <w:rsid w:val="0077426E"/>
    <w:rsid w:val="00774CC3"/>
    <w:rsid w:val="00774CEB"/>
    <w:rsid w:val="00781C14"/>
    <w:rsid w:val="00783D41"/>
    <w:rsid w:val="00784EBE"/>
    <w:rsid w:val="00785A98"/>
    <w:rsid w:val="00785AE2"/>
    <w:rsid w:val="00785DFA"/>
    <w:rsid w:val="007865AA"/>
    <w:rsid w:val="00786C14"/>
    <w:rsid w:val="00787C32"/>
    <w:rsid w:val="00787C53"/>
    <w:rsid w:val="00787E6B"/>
    <w:rsid w:val="00787F35"/>
    <w:rsid w:val="0079060E"/>
    <w:rsid w:val="007921DC"/>
    <w:rsid w:val="00792589"/>
    <w:rsid w:val="00792E77"/>
    <w:rsid w:val="0079308E"/>
    <w:rsid w:val="007933BA"/>
    <w:rsid w:val="007934DF"/>
    <w:rsid w:val="00794230"/>
    <w:rsid w:val="0079423F"/>
    <w:rsid w:val="0079441F"/>
    <w:rsid w:val="00794C01"/>
    <w:rsid w:val="0079593C"/>
    <w:rsid w:val="0079789F"/>
    <w:rsid w:val="00797AA2"/>
    <w:rsid w:val="00797E6C"/>
    <w:rsid w:val="007A0458"/>
    <w:rsid w:val="007A05AD"/>
    <w:rsid w:val="007A0880"/>
    <w:rsid w:val="007A11D0"/>
    <w:rsid w:val="007A166C"/>
    <w:rsid w:val="007A16F9"/>
    <w:rsid w:val="007A1742"/>
    <w:rsid w:val="007A30BE"/>
    <w:rsid w:val="007A4D6F"/>
    <w:rsid w:val="007A4F18"/>
    <w:rsid w:val="007A4FF7"/>
    <w:rsid w:val="007A51D6"/>
    <w:rsid w:val="007A6931"/>
    <w:rsid w:val="007A755E"/>
    <w:rsid w:val="007A7F72"/>
    <w:rsid w:val="007B0164"/>
    <w:rsid w:val="007B096D"/>
    <w:rsid w:val="007B1007"/>
    <w:rsid w:val="007B12D0"/>
    <w:rsid w:val="007B1C78"/>
    <w:rsid w:val="007B2977"/>
    <w:rsid w:val="007B2EF3"/>
    <w:rsid w:val="007B3B43"/>
    <w:rsid w:val="007B4871"/>
    <w:rsid w:val="007B4EFC"/>
    <w:rsid w:val="007B6BC9"/>
    <w:rsid w:val="007B6E05"/>
    <w:rsid w:val="007B7FCF"/>
    <w:rsid w:val="007C1AAA"/>
    <w:rsid w:val="007C2328"/>
    <w:rsid w:val="007C3597"/>
    <w:rsid w:val="007C3C38"/>
    <w:rsid w:val="007C4175"/>
    <w:rsid w:val="007C4A13"/>
    <w:rsid w:val="007C4B7D"/>
    <w:rsid w:val="007C5723"/>
    <w:rsid w:val="007C63EE"/>
    <w:rsid w:val="007C7575"/>
    <w:rsid w:val="007C758B"/>
    <w:rsid w:val="007D0025"/>
    <w:rsid w:val="007D02C0"/>
    <w:rsid w:val="007D157F"/>
    <w:rsid w:val="007D1646"/>
    <w:rsid w:val="007D32B8"/>
    <w:rsid w:val="007D4AA3"/>
    <w:rsid w:val="007D5403"/>
    <w:rsid w:val="007D56EE"/>
    <w:rsid w:val="007D5CB3"/>
    <w:rsid w:val="007D6ADE"/>
    <w:rsid w:val="007D6CDF"/>
    <w:rsid w:val="007D7B72"/>
    <w:rsid w:val="007E028B"/>
    <w:rsid w:val="007E1950"/>
    <w:rsid w:val="007E22AA"/>
    <w:rsid w:val="007E2750"/>
    <w:rsid w:val="007E2904"/>
    <w:rsid w:val="007E3C7B"/>
    <w:rsid w:val="007E41F5"/>
    <w:rsid w:val="007E425C"/>
    <w:rsid w:val="007E500F"/>
    <w:rsid w:val="007E5BD0"/>
    <w:rsid w:val="007E5CC6"/>
    <w:rsid w:val="007E5F56"/>
    <w:rsid w:val="007E6E36"/>
    <w:rsid w:val="007E7738"/>
    <w:rsid w:val="007F24E0"/>
    <w:rsid w:val="007F401E"/>
    <w:rsid w:val="007F4998"/>
    <w:rsid w:val="007F5AC5"/>
    <w:rsid w:val="007F5D80"/>
    <w:rsid w:val="007F69A7"/>
    <w:rsid w:val="007F72B2"/>
    <w:rsid w:val="007F7AB5"/>
    <w:rsid w:val="0080045B"/>
    <w:rsid w:val="00800786"/>
    <w:rsid w:val="00800B01"/>
    <w:rsid w:val="0080129A"/>
    <w:rsid w:val="00801C4D"/>
    <w:rsid w:val="008034E1"/>
    <w:rsid w:val="0080458F"/>
    <w:rsid w:val="008058EB"/>
    <w:rsid w:val="00806274"/>
    <w:rsid w:val="008068E9"/>
    <w:rsid w:val="0080736A"/>
    <w:rsid w:val="00807C0D"/>
    <w:rsid w:val="00807E33"/>
    <w:rsid w:val="008102C3"/>
    <w:rsid w:val="0081066D"/>
    <w:rsid w:val="00811770"/>
    <w:rsid w:val="00811B1B"/>
    <w:rsid w:val="00811CEA"/>
    <w:rsid w:val="008127DC"/>
    <w:rsid w:val="00812DE2"/>
    <w:rsid w:val="0081333A"/>
    <w:rsid w:val="00813930"/>
    <w:rsid w:val="00814C60"/>
    <w:rsid w:val="00815029"/>
    <w:rsid w:val="00815081"/>
    <w:rsid w:val="00815360"/>
    <w:rsid w:val="00815BF9"/>
    <w:rsid w:val="0081631C"/>
    <w:rsid w:val="0081795D"/>
    <w:rsid w:val="0082101F"/>
    <w:rsid w:val="00822C03"/>
    <w:rsid w:val="00823579"/>
    <w:rsid w:val="00823936"/>
    <w:rsid w:val="008239AB"/>
    <w:rsid w:val="00825E37"/>
    <w:rsid w:val="00825F1D"/>
    <w:rsid w:val="00826023"/>
    <w:rsid w:val="00826502"/>
    <w:rsid w:val="00826CA4"/>
    <w:rsid w:val="00826D2C"/>
    <w:rsid w:val="00826E9C"/>
    <w:rsid w:val="00831385"/>
    <w:rsid w:val="00831B22"/>
    <w:rsid w:val="00833FA0"/>
    <w:rsid w:val="00834C72"/>
    <w:rsid w:val="00834F03"/>
    <w:rsid w:val="00835853"/>
    <w:rsid w:val="00835888"/>
    <w:rsid w:val="00836173"/>
    <w:rsid w:val="0083687A"/>
    <w:rsid w:val="008371DF"/>
    <w:rsid w:val="00840BB0"/>
    <w:rsid w:val="00840C4D"/>
    <w:rsid w:val="00842557"/>
    <w:rsid w:val="0084292E"/>
    <w:rsid w:val="00842A53"/>
    <w:rsid w:val="0084484C"/>
    <w:rsid w:val="00844FB8"/>
    <w:rsid w:val="00845693"/>
    <w:rsid w:val="0084717D"/>
    <w:rsid w:val="0084740D"/>
    <w:rsid w:val="00847536"/>
    <w:rsid w:val="0084780F"/>
    <w:rsid w:val="00850F66"/>
    <w:rsid w:val="0085473F"/>
    <w:rsid w:val="00854A1D"/>
    <w:rsid w:val="00854DCC"/>
    <w:rsid w:val="00854F37"/>
    <w:rsid w:val="0085741D"/>
    <w:rsid w:val="0086032A"/>
    <w:rsid w:val="008629EF"/>
    <w:rsid w:val="00862DA8"/>
    <w:rsid w:val="00863462"/>
    <w:rsid w:val="00863797"/>
    <w:rsid w:val="00863873"/>
    <w:rsid w:val="00863A6D"/>
    <w:rsid w:val="00864112"/>
    <w:rsid w:val="00864E1E"/>
    <w:rsid w:val="008662DE"/>
    <w:rsid w:val="00866350"/>
    <w:rsid w:val="00867AEA"/>
    <w:rsid w:val="008703AD"/>
    <w:rsid w:val="00870B65"/>
    <w:rsid w:val="00872653"/>
    <w:rsid w:val="0087367F"/>
    <w:rsid w:val="00873B08"/>
    <w:rsid w:val="008740C1"/>
    <w:rsid w:val="008743C3"/>
    <w:rsid w:val="008747E5"/>
    <w:rsid w:val="0087486F"/>
    <w:rsid w:val="00874AC3"/>
    <w:rsid w:val="00874C48"/>
    <w:rsid w:val="0087506C"/>
    <w:rsid w:val="008762DA"/>
    <w:rsid w:val="00876E8F"/>
    <w:rsid w:val="00876EC1"/>
    <w:rsid w:val="0087780A"/>
    <w:rsid w:val="0088057E"/>
    <w:rsid w:val="00880DFF"/>
    <w:rsid w:val="008815F5"/>
    <w:rsid w:val="0088180E"/>
    <w:rsid w:val="00881A89"/>
    <w:rsid w:val="00881BEF"/>
    <w:rsid w:val="00881F25"/>
    <w:rsid w:val="0088277B"/>
    <w:rsid w:val="00883413"/>
    <w:rsid w:val="0088594B"/>
    <w:rsid w:val="00886FAD"/>
    <w:rsid w:val="00887152"/>
    <w:rsid w:val="0088742E"/>
    <w:rsid w:val="008878AD"/>
    <w:rsid w:val="0089097A"/>
    <w:rsid w:val="00890BB8"/>
    <w:rsid w:val="00891C73"/>
    <w:rsid w:val="00891DF8"/>
    <w:rsid w:val="008921F7"/>
    <w:rsid w:val="00892347"/>
    <w:rsid w:val="008927AA"/>
    <w:rsid w:val="00892C12"/>
    <w:rsid w:val="00893726"/>
    <w:rsid w:val="00893F00"/>
    <w:rsid w:val="0089442C"/>
    <w:rsid w:val="008960D7"/>
    <w:rsid w:val="008963BB"/>
    <w:rsid w:val="00897330"/>
    <w:rsid w:val="008978C8"/>
    <w:rsid w:val="008A04A6"/>
    <w:rsid w:val="008A0BC6"/>
    <w:rsid w:val="008A0D2F"/>
    <w:rsid w:val="008A0D6F"/>
    <w:rsid w:val="008A1A18"/>
    <w:rsid w:val="008A1C5A"/>
    <w:rsid w:val="008A270B"/>
    <w:rsid w:val="008A3638"/>
    <w:rsid w:val="008A45D2"/>
    <w:rsid w:val="008A50C8"/>
    <w:rsid w:val="008A57C9"/>
    <w:rsid w:val="008A5BFB"/>
    <w:rsid w:val="008A67FD"/>
    <w:rsid w:val="008A6B3A"/>
    <w:rsid w:val="008A6D2B"/>
    <w:rsid w:val="008A71CD"/>
    <w:rsid w:val="008A7F0A"/>
    <w:rsid w:val="008B075E"/>
    <w:rsid w:val="008B1949"/>
    <w:rsid w:val="008B1C64"/>
    <w:rsid w:val="008B209D"/>
    <w:rsid w:val="008B20CF"/>
    <w:rsid w:val="008B20D4"/>
    <w:rsid w:val="008B26E1"/>
    <w:rsid w:val="008B3A4D"/>
    <w:rsid w:val="008B43C8"/>
    <w:rsid w:val="008B4EB6"/>
    <w:rsid w:val="008B63F9"/>
    <w:rsid w:val="008B69B6"/>
    <w:rsid w:val="008B6A4F"/>
    <w:rsid w:val="008B7093"/>
    <w:rsid w:val="008B7298"/>
    <w:rsid w:val="008B7766"/>
    <w:rsid w:val="008B7FC1"/>
    <w:rsid w:val="008C02B9"/>
    <w:rsid w:val="008C200D"/>
    <w:rsid w:val="008C2976"/>
    <w:rsid w:val="008C4175"/>
    <w:rsid w:val="008C427C"/>
    <w:rsid w:val="008C65D6"/>
    <w:rsid w:val="008C669C"/>
    <w:rsid w:val="008C745A"/>
    <w:rsid w:val="008C74AF"/>
    <w:rsid w:val="008D0545"/>
    <w:rsid w:val="008D07CD"/>
    <w:rsid w:val="008D2175"/>
    <w:rsid w:val="008D2573"/>
    <w:rsid w:val="008D26DC"/>
    <w:rsid w:val="008D2CA1"/>
    <w:rsid w:val="008D31B8"/>
    <w:rsid w:val="008D4D8C"/>
    <w:rsid w:val="008D6D0E"/>
    <w:rsid w:val="008D6E1C"/>
    <w:rsid w:val="008D751D"/>
    <w:rsid w:val="008D78CB"/>
    <w:rsid w:val="008D7A7D"/>
    <w:rsid w:val="008E146A"/>
    <w:rsid w:val="008E1734"/>
    <w:rsid w:val="008E51B9"/>
    <w:rsid w:val="008E5D20"/>
    <w:rsid w:val="008E5DE8"/>
    <w:rsid w:val="008E6497"/>
    <w:rsid w:val="008E6941"/>
    <w:rsid w:val="008E7419"/>
    <w:rsid w:val="008F0612"/>
    <w:rsid w:val="008F08A6"/>
    <w:rsid w:val="008F0A42"/>
    <w:rsid w:val="008F0BB3"/>
    <w:rsid w:val="008F20FB"/>
    <w:rsid w:val="008F2F94"/>
    <w:rsid w:val="008F3518"/>
    <w:rsid w:val="008F3910"/>
    <w:rsid w:val="008F4F31"/>
    <w:rsid w:val="008F5245"/>
    <w:rsid w:val="008F5373"/>
    <w:rsid w:val="008F56BB"/>
    <w:rsid w:val="008F62A5"/>
    <w:rsid w:val="008F62A9"/>
    <w:rsid w:val="008F63BE"/>
    <w:rsid w:val="008F6500"/>
    <w:rsid w:val="008F746F"/>
    <w:rsid w:val="008F7A71"/>
    <w:rsid w:val="008F7B22"/>
    <w:rsid w:val="009018DF"/>
    <w:rsid w:val="00901C63"/>
    <w:rsid w:val="00902793"/>
    <w:rsid w:val="009036D4"/>
    <w:rsid w:val="0090393C"/>
    <w:rsid w:val="00903C6B"/>
    <w:rsid w:val="00903CB6"/>
    <w:rsid w:val="00904103"/>
    <w:rsid w:val="00904374"/>
    <w:rsid w:val="00904393"/>
    <w:rsid w:val="00904F7A"/>
    <w:rsid w:val="00906957"/>
    <w:rsid w:val="0090731E"/>
    <w:rsid w:val="00907693"/>
    <w:rsid w:val="00907D4B"/>
    <w:rsid w:val="00910FD2"/>
    <w:rsid w:val="0091105A"/>
    <w:rsid w:val="00911498"/>
    <w:rsid w:val="00911914"/>
    <w:rsid w:val="00912199"/>
    <w:rsid w:val="00912721"/>
    <w:rsid w:val="00912D3D"/>
    <w:rsid w:val="00914566"/>
    <w:rsid w:val="00914890"/>
    <w:rsid w:val="00914CBE"/>
    <w:rsid w:val="00914FFF"/>
    <w:rsid w:val="009152B8"/>
    <w:rsid w:val="009164C5"/>
    <w:rsid w:val="00916771"/>
    <w:rsid w:val="00916C2E"/>
    <w:rsid w:val="009171E0"/>
    <w:rsid w:val="00917568"/>
    <w:rsid w:val="00924323"/>
    <w:rsid w:val="009248F1"/>
    <w:rsid w:val="00925D11"/>
    <w:rsid w:val="00925D38"/>
    <w:rsid w:val="00925EB1"/>
    <w:rsid w:val="00926253"/>
    <w:rsid w:val="009265D0"/>
    <w:rsid w:val="009266EE"/>
    <w:rsid w:val="00926B7C"/>
    <w:rsid w:val="00926D77"/>
    <w:rsid w:val="00927A24"/>
    <w:rsid w:val="00930B08"/>
    <w:rsid w:val="00931454"/>
    <w:rsid w:val="00931C00"/>
    <w:rsid w:val="00932634"/>
    <w:rsid w:val="009328EC"/>
    <w:rsid w:val="00932F72"/>
    <w:rsid w:val="009331FF"/>
    <w:rsid w:val="0093360C"/>
    <w:rsid w:val="00933BB9"/>
    <w:rsid w:val="00933E84"/>
    <w:rsid w:val="009346E7"/>
    <w:rsid w:val="00934975"/>
    <w:rsid w:val="00935973"/>
    <w:rsid w:val="00937C0B"/>
    <w:rsid w:val="009406FD"/>
    <w:rsid w:val="009409C1"/>
    <w:rsid w:val="00940B5D"/>
    <w:rsid w:val="009411CC"/>
    <w:rsid w:val="00942CFB"/>
    <w:rsid w:val="00943C28"/>
    <w:rsid w:val="00945C5C"/>
    <w:rsid w:val="009460DD"/>
    <w:rsid w:val="0094637F"/>
    <w:rsid w:val="00946B0B"/>
    <w:rsid w:val="00947393"/>
    <w:rsid w:val="00951936"/>
    <w:rsid w:val="00952B9F"/>
    <w:rsid w:val="00954A98"/>
    <w:rsid w:val="0095501B"/>
    <w:rsid w:val="0095560B"/>
    <w:rsid w:val="00955CE8"/>
    <w:rsid w:val="0095648A"/>
    <w:rsid w:val="00956DAC"/>
    <w:rsid w:val="009573B5"/>
    <w:rsid w:val="00960198"/>
    <w:rsid w:val="00961429"/>
    <w:rsid w:val="00961573"/>
    <w:rsid w:val="00962F40"/>
    <w:rsid w:val="00965000"/>
    <w:rsid w:val="00965451"/>
    <w:rsid w:val="0096563A"/>
    <w:rsid w:val="00965F32"/>
    <w:rsid w:val="0096630B"/>
    <w:rsid w:val="00966508"/>
    <w:rsid w:val="0096677B"/>
    <w:rsid w:val="009668EF"/>
    <w:rsid w:val="00966D3A"/>
    <w:rsid w:val="00967479"/>
    <w:rsid w:val="009675EC"/>
    <w:rsid w:val="009679C6"/>
    <w:rsid w:val="00967BD5"/>
    <w:rsid w:val="00967D16"/>
    <w:rsid w:val="009703C7"/>
    <w:rsid w:val="009707B9"/>
    <w:rsid w:val="00970874"/>
    <w:rsid w:val="00971183"/>
    <w:rsid w:val="00971460"/>
    <w:rsid w:val="009714C7"/>
    <w:rsid w:val="00971D74"/>
    <w:rsid w:val="0097212E"/>
    <w:rsid w:val="00972AD5"/>
    <w:rsid w:val="0097350C"/>
    <w:rsid w:val="009745D1"/>
    <w:rsid w:val="00975392"/>
    <w:rsid w:val="00975467"/>
    <w:rsid w:val="00975664"/>
    <w:rsid w:val="0097602A"/>
    <w:rsid w:val="009761AA"/>
    <w:rsid w:val="0097632F"/>
    <w:rsid w:val="009763AB"/>
    <w:rsid w:val="00977590"/>
    <w:rsid w:val="009801E4"/>
    <w:rsid w:val="00980922"/>
    <w:rsid w:val="00981797"/>
    <w:rsid w:val="00981DA4"/>
    <w:rsid w:val="00982171"/>
    <w:rsid w:val="00982572"/>
    <w:rsid w:val="00983853"/>
    <w:rsid w:val="0098456E"/>
    <w:rsid w:val="0098469C"/>
    <w:rsid w:val="00984E54"/>
    <w:rsid w:val="00985008"/>
    <w:rsid w:val="00986297"/>
    <w:rsid w:val="00987407"/>
    <w:rsid w:val="00987D84"/>
    <w:rsid w:val="00990EEF"/>
    <w:rsid w:val="00991452"/>
    <w:rsid w:val="00991ED5"/>
    <w:rsid w:val="00992943"/>
    <w:rsid w:val="00992A83"/>
    <w:rsid w:val="00992FAB"/>
    <w:rsid w:val="00994FE0"/>
    <w:rsid w:val="009950D3"/>
    <w:rsid w:val="009956A2"/>
    <w:rsid w:val="00996378"/>
    <w:rsid w:val="009968D1"/>
    <w:rsid w:val="009A2C7F"/>
    <w:rsid w:val="009A472B"/>
    <w:rsid w:val="009A4E5A"/>
    <w:rsid w:val="009A4EBA"/>
    <w:rsid w:val="009A56CD"/>
    <w:rsid w:val="009A612B"/>
    <w:rsid w:val="009A6A4B"/>
    <w:rsid w:val="009A6E81"/>
    <w:rsid w:val="009A7EAB"/>
    <w:rsid w:val="009B011B"/>
    <w:rsid w:val="009B0B5A"/>
    <w:rsid w:val="009B18F6"/>
    <w:rsid w:val="009B2E92"/>
    <w:rsid w:val="009B3C52"/>
    <w:rsid w:val="009B434E"/>
    <w:rsid w:val="009B47FD"/>
    <w:rsid w:val="009B4FF9"/>
    <w:rsid w:val="009B551C"/>
    <w:rsid w:val="009B5561"/>
    <w:rsid w:val="009B5762"/>
    <w:rsid w:val="009B5BA6"/>
    <w:rsid w:val="009B5BEC"/>
    <w:rsid w:val="009B674A"/>
    <w:rsid w:val="009B69FD"/>
    <w:rsid w:val="009B70BC"/>
    <w:rsid w:val="009B7402"/>
    <w:rsid w:val="009B75D2"/>
    <w:rsid w:val="009C017B"/>
    <w:rsid w:val="009C1047"/>
    <w:rsid w:val="009C17B8"/>
    <w:rsid w:val="009C2A94"/>
    <w:rsid w:val="009C3B31"/>
    <w:rsid w:val="009C4FAD"/>
    <w:rsid w:val="009C5152"/>
    <w:rsid w:val="009C6157"/>
    <w:rsid w:val="009C6C2E"/>
    <w:rsid w:val="009C7A9A"/>
    <w:rsid w:val="009D106F"/>
    <w:rsid w:val="009D1AB3"/>
    <w:rsid w:val="009D34BC"/>
    <w:rsid w:val="009D363E"/>
    <w:rsid w:val="009D38AD"/>
    <w:rsid w:val="009D3D18"/>
    <w:rsid w:val="009D3F2F"/>
    <w:rsid w:val="009D43BB"/>
    <w:rsid w:val="009D4B23"/>
    <w:rsid w:val="009D5051"/>
    <w:rsid w:val="009D60E5"/>
    <w:rsid w:val="009E01F0"/>
    <w:rsid w:val="009E06C3"/>
    <w:rsid w:val="009E1596"/>
    <w:rsid w:val="009E1CF5"/>
    <w:rsid w:val="009E2258"/>
    <w:rsid w:val="009E253D"/>
    <w:rsid w:val="009E3084"/>
    <w:rsid w:val="009E3890"/>
    <w:rsid w:val="009E3CB0"/>
    <w:rsid w:val="009E5AA7"/>
    <w:rsid w:val="009E5C35"/>
    <w:rsid w:val="009E6983"/>
    <w:rsid w:val="009F0497"/>
    <w:rsid w:val="009F0704"/>
    <w:rsid w:val="009F1122"/>
    <w:rsid w:val="009F15A0"/>
    <w:rsid w:val="009F2A85"/>
    <w:rsid w:val="009F4417"/>
    <w:rsid w:val="009F48D0"/>
    <w:rsid w:val="009F4C2B"/>
    <w:rsid w:val="009F4CBE"/>
    <w:rsid w:val="009F54D7"/>
    <w:rsid w:val="009F5580"/>
    <w:rsid w:val="009F6059"/>
    <w:rsid w:val="009F6E9A"/>
    <w:rsid w:val="009F7C5D"/>
    <w:rsid w:val="00A02D2A"/>
    <w:rsid w:val="00A031CD"/>
    <w:rsid w:val="00A03301"/>
    <w:rsid w:val="00A0341D"/>
    <w:rsid w:val="00A036E9"/>
    <w:rsid w:val="00A03873"/>
    <w:rsid w:val="00A03F88"/>
    <w:rsid w:val="00A04488"/>
    <w:rsid w:val="00A04A6C"/>
    <w:rsid w:val="00A10057"/>
    <w:rsid w:val="00A10119"/>
    <w:rsid w:val="00A1021A"/>
    <w:rsid w:val="00A1025E"/>
    <w:rsid w:val="00A102CE"/>
    <w:rsid w:val="00A1136A"/>
    <w:rsid w:val="00A11450"/>
    <w:rsid w:val="00A11FAD"/>
    <w:rsid w:val="00A12435"/>
    <w:rsid w:val="00A12EC9"/>
    <w:rsid w:val="00A12F23"/>
    <w:rsid w:val="00A13525"/>
    <w:rsid w:val="00A13E87"/>
    <w:rsid w:val="00A14078"/>
    <w:rsid w:val="00A145D7"/>
    <w:rsid w:val="00A1626A"/>
    <w:rsid w:val="00A16471"/>
    <w:rsid w:val="00A16EAB"/>
    <w:rsid w:val="00A21532"/>
    <w:rsid w:val="00A216A3"/>
    <w:rsid w:val="00A22356"/>
    <w:rsid w:val="00A22799"/>
    <w:rsid w:val="00A23612"/>
    <w:rsid w:val="00A23DCB"/>
    <w:rsid w:val="00A23FA4"/>
    <w:rsid w:val="00A249AB"/>
    <w:rsid w:val="00A25209"/>
    <w:rsid w:val="00A2621C"/>
    <w:rsid w:val="00A26235"/>
    <w:rsid w:val="00A26742"/>
    <w:rsid w:val="00A268B7"/>
    <w:rsid w:val="00A27497"/>
    <w:rsid w:val="00A27808"/>
    <w:rsid w:val="00A27ED4"/>
    <w:rsid w:val="00A30DA6"/>
    <w:rsid w:val="00A312BE"/>
    <w:rsid w:val="00A314FE"/>
    <w:rsid w:val="00A31EBD"/>
    <w:rsid w:val="00A31F30"/>
    <w:rsid w:val="00A3287F"/>
    <w:rsid w:val="00A32C3D"/>
    <w:rsid w:val="00A33D07"/>
    <w:rsid w:val="00A34782"/>
    <w:rsid w:val="00A3498F"/>
    <w:rsid w:val="00A356A4"/>
    <w:rsid w:val="00A36072"/>
    <w:rsid w:val="00A3683B"/>
    <w:rsid w:val="00A3768A"/>
    <w:rsid w:val="00A37E62"/>
    <w:rsid w:val="00A40206"/>
    <w:rsid w:val="00A41BF4"/>
    <w:rsid w:val="00A4321B"/>
    <w:rsid w:val="00A434F4"/>
    <w:rsid w:val="00A4411B"/>
    <w:rsid w:val="00A44188"/>
    <w:rsid w:val="00A448D4"/>
    <w:rsid w:val="00A44FEF"/>
    <w:rsid w:val="00A45106"/>
    <w:rsid w:val="00A45BEC"/>
    <w:rsid w:val="00A47A82"/>
    <w:rsid w:val="00A50120"/>
    <w:rsid w:val="00A5129D"/>
    <w:rsid w:val="00A515A9"/>
    <w:rsid w:val="00A52253"/>
    <w:rsid w:val="00A5260B"/>
    <w:rsid w:val="00A52FFC"/>
    <w:rsid w:val="00A534DB"/>
    <w:rsid w:val="00A535CC"/>
    <w:rsid w:val="00A53714"/>
    <w:rsid w:val="00A540D9"/>
    <w:rsid w:val="00A54173"/>
    <w:rsid w:val="00A54BF8"/>
    <w:rsid w:val="00A54DE4"/>
    <w:rsid w:val="00A55078"/>
    <w:rsid w:val="00A55201"/>
    <w:rsid w:val="00A5589B"/>
    <w:rsid w:val="00A56C13"/>
    <w:rsid w:val="00A56EAF"/>
    <w:rsid w:val="00A57341"/>
    <w:rsid w:val="00A609AE"/>
    <w:rsid w:val="00A60BCE"/>
    <w:rsid w:val="00A610DA"/>
    <w:rsid w:val="00A61664"/>
    <w:rsid w:val="00A62ABC"/>
    <w:rsid w:val="00A64173"/>
    <w:rsid w:val="00A65AA4"/>
    <w:rsid w:val="00A65C9C"/>
    <w:rsid w:val="00A66864"/>
    <w:rsid w:val="00A66C72"/>
    <w:rsid w:val="00A66DDE"/>
    <w:rsid w:val="00A676E0"/>
    <w:rsid w:val="00A67DC8"/>
    <w:rsid w:val="00A702A4"/>
    <w:rsid w:val="00A72224"/>
    <w:rsid w:val="00A72B25"/>
    <w:rsid w:val="00A72C2E"/>
    <w:rsid w:val="00A72D70"/>
    <w:rsid w:val="00A72EEA"/>
    <w:rsid w:val="00A72F6A"/>
    <w:rsid w:val="00A73E27"/>
    <w:rsid w:val="00A74217"/>
    <w:rsid w:val="00A74331"/>
    <w:rsid w:val="00A74FAB"/>
    <w:rsid w:val="00A75AA9"/>
    <w:rsid w:val="00A75DD6"/>
    <w:rsid w:val="00A75FAF"/>
    <w:rsid w:val="00A816A2"/>
    <w:rsid w:val="00A81F7B"/>
    <w:rsid w:val="00A820B0"/>
    <w:rsid w:val="00A82184"/>
    <w:rsid w:val="00A823DF"/>
    <w:rsid w:val="00A82492"/>
    <w:rsid w:val="00A82DC7"/>
    <w:rsid w:val="00A82EAC"/>
    <w:rsid w:val="00A83800"/>
    <w:rsid w:val="00A83A69"/>
    <w:rsid w:val="00A83E98"/>
    <w:rsid w:val="00A8472A"/>
    <w:rsid w:val="00A84857"/>
    <w:rsid w:val="00A84992"/>
    <w:rsid w:val="00A849BF"/>
    <w:rsid w:val="00A84CFA"/>
    <w:rsid w:val="00A85832"/>
    <w:rsid w:val="00A85CBE"/>
    <w:rsid w:val="00A85E36"/>
    <w:rsid w:val="00A866DB"/>
    <w:rsid w:val="00A87F12"/>
    <w:rsid w:val="00A915B0"/>
    <w:rsid w:val="00A9206A"/>
    <w:rsid w:val="00A932FA"/>
    <w:rsid w:val="00A94819"/>
    <w:rsid w:val="00A95AF6"/>
    <w:rsid w:val="00A96155"/>
    <w:rsid w:val="00A97B07"/>
    <w:rsid w:val="00A97D18"/>
    <w:rsid w:val="00AA095D"/>
    <w:rsid w:val="00AA142A"/>
    <w:rsid w:val="00AA2C8E"/>
    <w:rsid w:val="00AA2CC1"/>
    <w:rsid w:val="00AA3006"/>
    <w:rsid w:val="00AA339B"/>
    <w:rsid w:val="00AA3596"/>
    <w:rsid w:val="00AA3CC2"/>
    <w:rsid w:val="00AA52F1"/>
    <w:rsid w:val="00AA5BC3"/>
    <w:rsid w:val="00AA5D12"/>
    <w:rsid w:val="00AA6474"/>
    <w:rsid w:val="00AA758E"/>
    <w:rsid w:val="00AA798A"/>
    <w:rsid w:val="00AB0F13"/>
    <w:rsid w:val="00AB1735"/>
    <w:rsid w:val="00AB1977"/>
    <w:rsid w:val="00AB2187"/>
    <w:rsid w:val="00AB38DD"/>
    <w:rsid w:val="00AB41F5"/>
    <w:rsid w:val="00AB5929"/>
    <w:rsid w:val="00AB60E8"/>
    <w:rsid w:val="00AB6274"/>
    <w:rsid w:val="00AB64C8"/>
    <w:rsid w:val="00AB66B2"/>
    <w:rsid w:val="00AB690B"/>
    <w:rsid w:val="00AB743D"/>
    <w:rsid w:val="00AC1343"/>
    <w:rsid w:val="00AC1AF9"/>
    <w:rsid w:val="00AC3BFB"/>
    <w:rsid w:val="00AC466B"/>
    <w:rsid w:val="00AC4AC9"/>
    <w:rsid w:val="00AC5C71"/>
    <w:rsid w:val="00AC62B8"/>
    <w:rsid w:val="00AC6B65"/>
    <w:rsid w:val="00AC6CC8"/>
    <w:rsid w:val="00AC7222"/>
    <w:rsid w:val="00AC7B19"/>
    <w:rsid w:val="00AD0281"/>
    <w:rsid w:val="00AD08CA"/>
    <w:rsid w:val="00AD0C80"/>
    <w:rsid w:val="00AD0F6C"/>
    <w:rsid w:val="00AD28D5"/>
    <w:rsid w:val="00AD2B4B"/>
    <w:rsid w:val="00AD3913"/>
    <w:rsid w:val="00AD3C7E"/>
    <w:rsid w:val="00AD3EAD"/>
    <w:rsid w:val="00AD6C9D"/>
    <w:rsid w:val="00AD71BF"/>
    <w:rsid w:val="00AD7D60"/>
    <w:rsid w:val="00AD7E3E"/>
    <w:rsid w:val="00AE1704"/>
    <w:rsid w:val="00AE1892"/>
    <w:rsid w:val="00AE1C2C"/>
    <w:rsid w:val="00AE24AF"/>
    <w:rsid w:val="00AE30E0"/>
    <w:rsid w:val="00AE4253"/>
    <w:rsid w:val="00AE4610"/>
    <w:rsid w:val="00AE4783"/>
    <w:rsid w:val="00AE4B12"/>
    <w:rsid w:val="00AE4EF5"/>
    <w:rsid w:val="00AE5619"/>
    <w:rsid w:val="00AE5A8F"/>
    <w:rsid w:val="00AE5ECA"/>
    <w:rsid w:val="00AE621A"/>
    <w:rsid w:val="00AE6330"/>
    <w:rsid w:val="00AE64E0"/>
    <w:rsid w:val="00AF2499"/>
    <w:rsid w:val="00AF2820"/>
    <w:rsid w:val="00AF2C62"/>
    <w:rsid w:val="00AF2C74"/>
    <w:rsid w:val="00AF2D2F"/>
    <w:rsid w:val="00AF306A"/>
    <w:rsid w:val="00AF3134"/>
    <w:rsid w:val="00AF3FDA"/>
    <w:rsid w:val="00AF56A7"/>
    <w:rsid w:val="00AF6566"/>
    <w:rsid w:val="00AF7187"/>
    <w:rsid w:val="00AF740E"/>
    <w:rsid w:val="00AF74E8"/>
    <w:rsid w:val="00B010FA"/>
    <w:rsid w:val="00B016A9"/>
    <w:rsid w:val="00B024F9"/>
    <w:rsid w:val="00B034E5"/>
    <w:rsid w:val="00B03659"/>
    <w:rsid w:val="00B054AB"/>
    <w:rsid w:val="00B06CE2"/>
    <w:rsid w:val="00B07936"/>
    <w:rsid w:val="00B07B56"/>
    <w:rsid w:val="00B07DF8"/>
    <w:rsid w:val="00B10181"/>
    <w:rsid w:val="00B118F6"/>
    <w:rsid w:val="00B12A52"/>
    <w:rsid w:val="00B1305E"/>
    <w:rsid w:val="00B13C20"/>
    <w:rsid w:val="00B13F07"/>
    <w:rsid w:val="00B142DF"/>
    <w:rsid w:val="00B14DA0"/>
    <w:rsid w:val="00B15FAF"/>
    <w:rsid w:val="00B16893"/>
    <w:rsid w:val="00B17EEC"/>
    <w:rsid w:val="00B2015B"/>
    <w:rsid w:val="00B20234"/>
    <w:rsid w:val="00B203AA"/>
    <w:rsid w:val="00B20591"/>
    <w:rsid w:val="00B212AF"/>
    <w:rsid w:val="00B21B13"/>
    <w:rsid w:val="00B22E77"/>
    <w:rsid w:val="00B23966"/>
    <w:rsid w:val="00B23EEE"/>
    <w:rsid w:val="00B23F8C"/>
    <w:rsid w:val="00B23F91"/>
    <w:rsid w:val="00B25730"/>
    <w:rsid w:val="00B26FC6"/>
    <w:rsid w:val="00B27007"/>
    <w:rsid w:val="00B27154"/>
    <w:rsid w:val="00B2748B"/>
    <w:rsid w:val="00B30901"/>
    <w:rsid w:val="00B310CF"/>
    <w:rsid w:val="00B3115E"/>
    <w:rsid w:val="00B3291B"/>
    <w:rsid w:val="00B32F95"/>
    <w:rsid w:val="00B3304F"/>
    <w:rsid w:val="00B35010"/>
    <w:rsid w:val="00B36456"/>
    <w:rsid w:val="00B40973"/>
    <w:rsid w:val="00B4117D"/>
    <w:rsid w:val="00B411AA"/>
    <w:rsid w:val="00B42807"/>
    <w:rsid w:val="00B4280C"/>
    <w:rsid w:val="00B42ADD"/>
    <w:rsid w:val="00B42C5E"/>
    <w:rsid w:val="00B439E6"/>
    <w:rsid w:val="00B43AF3"/>
    <w:rsid w:val="00B441FE"/>
    <w:rsid w:val="00B44758"/>
    <w:rsid w:val="00B50AC1"/>
    <w:rsid w:val="00B50E88"/>
    <w:rsid w:val="00B51311"/>
    <w:rsid w:val="00B5208C"/>
    <w:rsid w:val="00B522D7"/>
    <w:rsid w:val="00B52311"/>
    <w:rsid w:val="00B52386"/>
    <w:rsid w:val="00B52DE4"/>
    <w:rsid w:val="00B53317"/>
    <w:rsid w:val="00B533EB"/>
    <w:rsid w:val="00B5449F"/>
    <w:rsid w:val="00B54A86"/>
    <w:rsid w:val="00B5559B"/>
    <w:rsid w:val="00B5564B"/>
    <w:rsid w:val="00B5752B"/>
    <w:rsid w:val="00B57954"/>
    <w:rsid w:val="00B6104A"/>
    <w:rsid w:val="00B6133E"/>
    <w:rsid w:val="00B616F1"/>
    <w:rsid w:val="00B61D7C"/>
    <w:rsid w:val="00B62A01"/>
    <w:rsid w:val="00B630F7"/>
    <w:rsid w:val="00B63CE5"/>
    <w:rsid w:val="00B640F9"/>
    <w:rsid w:val="00B643E3"/>
    <w:rsid w:val="00B645A3"/>
    <w:rsid w:val="00B64755"/>
    <w:rsid w:val="00B65F7A"/>
    <w:rsid w:val="00B66E6A"/>
    <w:rsid w:val="00B6755B"/>
    <w:rsid w:val="00B67C8B"/>
    <w:rsid w:val="00B7199C"/>
    <w:rsid w:val="00B72745"/>
    <w:rsid w:val="00B729B4"/>
    <w:rsid w:val="00B73A1E"/>
    <w:rsid w:val="00B74975"/>
    <w:rsid w:val="00B750FD"/>
    <w:rsid w:val="00B75D2E"/>
    <w:rsid w:val="00B75EDF"/>
    <w:rsid w:val="00B75FB4"/>
    <w:rsid w:val="00B76B3E"/>
    <w:rsid w:val="00B80836"/>
    <w:rsid w:val="00B80BEB"/>
    <w:rsid w:val="00B80E8A"/>
    <w:rsid w:val="00B81497"/>
    <w:rsid w:val="00B84B60"/>
    <w:rsid w:val="00B85AE4"/>
    <w:rsid w:val="00B913B9"/>
    <w:rsid w:val="00B922AA"/>
    <w:rsid w:val="00B92E56"/>
    <w:rsid w:val="00B93B36"/>
    <w:rsid w:val="00B94006"/>
    <w:rsid w:val="00B94C0D"/>
    <w:rsid w:val="00B95855"/>
    <w:rsid w:val="00B95BD2"/>
    <w:rsid w:val="00B95D99"/>
    <w:rsid w:val="00B95F96"/>
    <w:rsid w:val="00B96782"/>
    <w:rsid w:val="00B96900"/>
    <w:rsid w:val="00B97879"/>
    <w:rsid w:val="00B97FF8"/>
    <w:rsid w:val="00BA052F"/>
    <w:rsid w:val="00BA0CDC"/>
    <w:rsid w:val="00BA4040"/>
    <w:rsid w:val="00BA40CA"/>
    <w:rsid w:val="00BA4AA2"/>
    <w:rsid w:val="00BA539B"/>
    <w:rsid w:val="00BA5448"/>
    <w:rsid w:val="00BA5806"/>
    <w:rsid w:val="00BA5844"/>
    <w:rsid w:val="00BA6929"/>
    <w:rsid w:val="00BA6C27"/>
    <w:rsid w:val="00BA74A2"/>
    <w:rsid w:val="00BA74C9"/>
    <w:rsid w:val="00BB001C"/>
    <w:rsid w:val="00BB0AE6"/>
    <w:rsid w:val="00BB0B5F"/>
    <w:rsid w:val="00BB10EF"/>
    <w:rsid w:val="00BB11C6"/>
    <w:rsid w:val="00BB186C"/>
    <w:rsid w:val="00BB21E3"/>
    <w:rsid w:val="00BB30E6"/>
    <w:rsid w:val="00BB3216"/>
    <w:rsid w:val="00BB379A"/>
    <w:rsid w:val="00BB386F"/>
    <w:rsid w:val="00BB527D"/>
    <w:rsid w:val="00BB5B03"/>
    <w:rsid w:val="00BB6091"/>
    <w:rsid w:val="00BB674D"/>
    <w:rsid w:val="00BB72ED"/>
    <w:rsid w:val="00BC0E47"/>
    <w:rsid w:val="00BC1274"/>
    <w:rsid w:val="00BC13D3"/>
    <w:rsid w:val="00BC200D"/>
    <w:rsid w:val="00BC2E37"/>
    <w:rsid w:val="00BC4070"/>
    <w:rsid w:val="00BC40A1"/>
    <w:rsid w:val="00BC43C1"/>
    <w:rsid w:val="00BC5388"/>
    <w:rsid w:val="00BC59BE"/>
    <w:rsid w:val="00BC63D1"/>
    <w:rsid w:val="00BC67CA"/>
    <w:rsid w:val="00BD09B0"/>
    <w:rsid w:val="00BD0C5A"/>
    <w:rsid w:val="00BD1D89"/>
    <w:rsid w:val="00BD338E"/>
    <w:rsid w:val="00BD33D6"/>
    <w:rsid w:val="00BD442B"/>
    <w:rsid w:val="00BD4758"/>
    <w:rsid w:val="00BD5AFF"/>
    <w:rsid w:val="00BD5BFF"/>
    <w:rsid w:val="00BD6D6F"/>
    <w:rsid w:val="00BD6EBE"/>
    <w:rsid w:val="00BE21EE"/>
    <w:rsid w:val="00BE2641"/>
    <w:rsid w:val="00BE2D2E"/>
    <w:rsid w:val="00BE4E19"/>
    <w:rsid w:val="00BE54C1"/>
    <w:rsid w:val="00BE59FA"/>
    <w:rsid w:val="00BE5C24"/>
    <w:rsid w:val="00BE5EB3"/>
    <w:rsid w:val="00BE69C7"/>
    <w:rsid w:val="00BE6D7A"/>
    <w:rsid w:val="00BE78DE"/>
    <w:rsid w:val="00BE7E4E"/>
    <w:rsid w:val="00BF0198"/>
    <w:rsid w:val="00BF0956"/>
    <w:rsid w:val="00BF2BC6"/>
    <w:rsid w:val="00BF2F5E"/>
    <w:rsid w:val="00BF358B"/>
    <w:rsid w:val="00BF3D66"/>
    <w:rsid w:val="00BF461F"/>
    <w:rsid w:val="00BF535C"/>
    <w:rsid w:val="00BF58BA"/>
    <w:rsid w:val="00BF63D7"/>
    <w:rsid w:val="00BF686F"/>
    <w:rsid w:val="00BF7241"/>
    <w:rsid w:val="00BF7679"/>
    <w:rsid w:val="00BF7822"/>
    <w:rsid w:val="00C00074"/>
    <w:rsid w:val="00C01145"/>
    <w:rsid w:val="00C01401"/>
    <w:rsid w:val="00C01569"/>
    <w:rsid w:val="00C026A2"/>
    <w:rsid w:val="00C043F2"/>
    <w:rsid w:val="00C045D5"/>
    <w:rsid w:val="00C04F2D"/>
    <w:rsid w:val="00C0580C"/>
    <w:rsid w:val="00C05A84"/>
    <w:rsid w:val="00C05D31"/>
    <w:rsid w:val="00C06E2C"/>
    <w:rsid w:val="00C072AC"/>
    <w:rsid w:val="00C073A6"/>
    <w:rsid w:val="00C07622"/>
    <w:rsid w:val="00C07B4E"/>
    <w:rsid w:val="00C118DC"/>
    <w:rsid w:val="00C11F02"/>
    <w:rsid w:val="00C122A3"/>
    <w:rsid w:val="00C13BC6"/>
    <w:rsid w:val="00C145FC"/>
    <w:rsid w:val="00C1541A"/>
    <w:rsid w:val="00C1618B"/>
    <w:rsid w:val="00C16657"/>
    <w:rsid w:val="00C16773"/>
    <w:rsid w:val="00C179E5"/>
    <w:rsid w:val="00C208FD"/>
    <w:rsid w:val="00C20D0C"/>
    <w:rsid w:val="00C210E7"/>
    <w:rsid w:val="00C215F5"/>
    <w:rsid w:val="00C21E64"/>
    <w:rsid w:val="00C2216E"/>
    <w:rsid w:val="00C22C0F"/>
    <w:rsid w:val="00C23234"/>
    <w:rsid w:val="00C24EA8"/>
    <w:rsid w:val="00C24F58"/>
    <w:rsid w:val="00C30044"/>
    <w:rsid w:val="00C30993"/>
    <w:rsid w:val="00C315EC"/>
    <w:rsid w:val="00C32661"/>
    <w:rsid w:val="00C32E83"/>
    <w:rsid w:val="00C33FDE"/>
    <w:rsid w:val="00C352BB"/>
    <w:rsid w:val="00C35E1C"/>
    <w:rsid w:val="00C3643A"/>
    <w:rsid w:val="00C37A70"/>
    <w:rsid w:val="00C40692"/>
    <w:rsid w:val="00C423C2"/>
    <w:rsid w:val="00C42C17"/>
    <w:rsid w:val="00C4353D"/>
    <w:rsid w:val="00C4355A"/>
    <w:rsid w:val="00C440A5"/>
    <w:rsid w:val="00C441DD"/>
    <w:rsid w:val="00C446CB"/>
    <w:rsid w:val="00C447AB"/>
    <w:rsid w:val="00C45725"/>
    <w:rsid w:val="00C45A2F"/>
    <w:rsid w:val="00C45A8A"/>
    <w:rsid w:val="00C477BC"/>
    <w:rsid w:val="00C47A3E"/>
    <w:rsid w:val="00C47C97"/>
    <w:rsid w:val="00C507CF"/>
    <w:rsid w:val="00C50853"/>
    <w:rsid w:val="00C508B2"/>
    <w:rsid w:val="00C510D7"/>
    <w:rsid w:val="00C51411"/>
    <w:rsid w:val="00C51650"/>
    <w:rsid w:val="00C51DED"/>
    <w:rsid w:val="00C51EA2"/>
    <w:rsid w:val="00C52535"/>
    <w:rsid w:val="00C525A0"/>
    <w:rsid w:val="00C53FE2"/>
    <w:rsid w:val="00C55ADF"/>
    <w:rsid w:val="00C55BF3"/>
    <w:rsid w:val="00C563BA"/>
    <w:rsid w:val="00C565C9"/>
    <w:rsid w:val="00C56EF5"/>
    <w:rsid w:val="00C57832"/>
    <w:rsid w:val="00C600FE"/>
    <w:rsid w:val="00C605B7"/>
    <w:rsid w:val="00C60F0B"/>
    <w:rsid w:val="00C611A7"/>
    <w:rsid w:val="00C6140A"/>
    <w:rsid w:val="00C6194A"/>
    <w:rsid w:val="00C61B2E"/>
    <w:rsid w:val="00C61BB5"/>
    <w:rsid w:val="00C61D85"/>
    <w:rsid w:val="00C61E23"/>
    <w:rsid w:val="00C61FD0"/>
    <w:rsid w:val="00C62507"/>
    <w:rsid w:val="00C62AD9"/>
    <w:rsid w:val="00C62D70"/>
    <w:rsid w:val="00C62E17"/>
    <w:rsid w:val="00C6303E"/>
    <w:rsid w:val="00C64BCD"/>
    <w:rsid w:val="00C6545B"/>
    <w:rsid w:val="00C65DAA"/>
    <w:rsid w:val="00C65E9E"/>
    <w:rsid w:val="00C674F3"/>
    <w:rsid w:val="00C67507"/>
    <w:rsid w:val="00C678C2"/>
    <w:rsid w:val="00C67D4A"/>
    <w:rsid w:val="00C700DB"/>
    <w:rsid w:val="00C712C2"/>
    <w:rsid w:val="00C71A19"/>
    <w:rsid w:val="00C71BC2"/>
    <w:rsid w:val="00C71E16"/>
    <w:rsid w:val="00C7284A"/>
    <w:rsid w:val="00C7338F"/>
    <w:rsid w:val="00C7366E"/>
    <w:rsid w:val="00C74826"/>
    <w:rsid w:val="00C74AA8"/>
    <w:rsid w:val="00C74B89"/>
    <w:rsid w:val="00C74D82"/>
    <w:rsid w:val="00C764C0"/>
    <w:rsid w:val="00C765E6"/>
    <w:rsid w:val="00C76900"/>
    <w:rsid w:val="00C81D2B"/>
    <w:rsid w:val="00C832E1"/>
    <w:rsid w:val="00C83BEB"/>
    <w:rsid w:val="00C83E63"/>
    <w:rsid w:val="00C85245"/>
    <w:rsid w:val="00C8681E"/>
    <w:rsid w:val="00C86F16"/>
    <w:rsid w:val="00C9079F"/>
    <w:rsid w:val="00C90FA3"/>
    <w:rsid w:val="00C916C0"/>
    <w:rsid w:val="00C91A6F"/>
    <w:rsid w:val="00C91BB7"/>
    <w:rsid w:val="00C91C39"/>
    <w:rsid w:val="00C930BC"/>
    <w:rsid w:val="00C93243"/>
    <w:rsid w:val="00C932AF"/>
    <w:rsid w:val="00C950A6"/>
    <w:rsid w:val="00C9552B"/>
    <w:rsid w:val="00C95B6A"/>
    <w:rsid w:val="00C96E99"/>
    <w:rsid w:val="00CA0708"/>
    <w:rsid w:val="00CA1983"/>
    <w:rsid w:val="00CA2197"/>
    <w:rsid w:val="00CA2824"/>
    <w:rsid w:val="00CA3EE1"/>
    <w:rsid w:val="00CA500E"/>
    <w:rsid w:val="00CA5413"/>
    <w:rsid w:val="00CA550E"/>
    <w:rsid w:val="00CA5EB3"/>
    <w:rsid w:val="00CA60AE"/>
    <w:rsid w:val="00CA6D2A"/>
    <w:rsid w:val="00CA74C7"/>
    <w:rsid w:val="00CA7523"/>
    <w:rsid w:val="00CA7F88"/>
    <w:rsid w:val="00CB0F2D"/>
    <w:rsid w:val="00CB10B0"/>
    <w:rsid w:val="00CB197F"/>
    <w:rsid w:val="00CB3526"/>
    <w:rsid w:val="00CB3E6C"/>
    <w:rsid w:val="00CB412C"/>
    <w:rsid w:val="00CB4F34"/>
    <w:rsid w:val="00CB514A"/>
    <w:rsid w:val="00CB6F18"/>
    <w:rsid w:val="00CC12C6"/>
    <w:rsid w:val="00CC1B1F"/>
    <w:rsid w:val="00CC2AAB"/>
    <w:rsid w:val="00CC2B4C"/>
    <w:rsid w:val="00CC2F1F"/>
    <w:rsid w:val="00CC3586"/>
    <w:rsid w:val="00CC4B70"/>
    <w:rsid w:val="00CC4BF0"/>
    <w:rsid w:val="00CC5BE8"/>
    <w:rsid w:val="00CC68CB"/>
    <w:rsid w:val="00CC73CC"/>
    <w:rsid w:val="00CD0CFB"/>
    <w:rsid w:val="00CD295B"/>
    <w:rsid w:val="00CD2AD8"/>
    <w:rsid w:val="00CD2C6E"/>
    <w:rsid w:val="00CD2C7F"/>
    <w:rsid w:val="00CD33C7"/>
    <w:rsid w:val="00CD3F28"/>
    <w:rsid w:val="00CD463A"/>
    <w:rsid w:val="00CD4AE5"/>
    <w:rsid w:val="00CD5F01"/>
    <w:rsid w:val="00CD679E"/>
    <w:rsid w:val="00CD6E47"/>
    <w:rsid w:val="00CD756F"/>
    <w:rsid w:val="00CD76D8"/>
    <w:rsid w:val="00CD775F"/>
    <w:rsid w:val="00CE0011"/>
    <w:rsid w:val="00CE07D4"/>
    <w:rsid w:val="00CE0C77"/>
    <w:rsid w:val="00CE0DA0"/>
    <w:rsid w:val="00CE120E"/>
    <w:rsid w:val="00CE124D"/>
    <w:rsid w:val="00CE2DC5"/>
    <w:rsid w:val="00CE589B"/>
    <w:rsid w:val="00CE6655"/>
    <w:rsid w:val="00CE6732"/>
    <w:rsid w:val="00CE764A"/>
    <w:rsid w:val="00CE7844"/>
    <w:rsid w:val="00CE790F"/>
    <w:rsid w:val="00CF0882"/>
    <w:rsid w:val="00CF0A78"/>
    <w:rsid w:val="00CF1FBF"/>
    <w:rsid w:val="00CF2748"/>
    <w:rsid w:val="00CF28D3"/>
    <w:rsid w:val="00CF2C5B"/>
    <w:rsid w:val="00CF2FE5"/>
    <w:rsid w:val="00CF3293"/>
    <w:rsid w:val="00CF338D"/>
    <w:rsid w:val="00CF5154"/>
    <w:rsid w:val="00CF595E"/>
    <w:rsid w:val="00CF6348"/>
    <w:rsid w:val="00CF6C42"/>
    <w:rsid w:val="00CF75AC"/>
    <w:rsid w:val="00D01348"/>
    <w:rsid w:val="00D013F6"/>
    <w:rsid w:val="00D01D5B"/>
    <w:rsid w:val="00D02037"/>
    <w:rsid w:val="00D02A82"/>
    <w:rsid w:val="00D0574C"/>
    <w:rsid w:val="00D05809"/>
    <w:rsid w:val="00D06D14"/>
    <w:rsid w:val="00D06DC2"/>
    <w:rsid w:val="00D0715E"/>
    <w:rsid w:val="00D07784"/>
    <w:rsid w:val="00D07A25"/>
    <w:rsid w:val="00D11E90"/>
    <w:rsid w:val="00D11F36"/>
    <w:rsid w:val="00D15130"/>
    <w:rsid w:val="00D16C9A"/>
    <w:rsid w:val="00D17033"/>
    <w:rsid w:val="00D172B7"/>
    <w:rsid w:val="00D203BA"/>
    <w:rsid w:val="00D212FF"/>
    <w:rsid w:val="00D2177B"/>
    <w:rsid w:val="00D240C6"/>
    <w:rsid w:val="00D25151"/>
    <w:rsid w:val="00D25F1F"/>
    <w:rsid w:val="00D26304"/>
    <w:rsid w:val="00D272C1"/>
    <w:rsid w:val="00D313A0"/>
    <w:rsid w:val="00D339BC"/>
    <w:rsid w:val="00D33AD5"/>
    <w:rsid w:val="00D33DE2"/>
    <w:rsid w:val="00D343F7"/>
    <w:rsid w:val="00D3469A"/>
    <w:rsid w:val="00D34B6A"/>
    <w:rsid w:val="00D34F33"/>
    <w:rsid w:val="00D352AF"/>
    <w:rsid w:val="00D357AB"/>
    <w:rsid w:val="00D35B74"/>
    <w:rsid w:val="00D362F1"/>
    <w:rsid w:val="00D36523"/>
    <w:rsid w:val="00D36EA3"/>
    <w:rsid w:val="00D40B4B"/>
    <w:rsid w:val="00D41161"/>
    <w:rsid w:val="00D433ED"/>
    <w:rsid w:val="00D44263"/>
    <w:rsid w:val="00D446D9"/>
    <w:rsid w:val="00D45192"/>
    <w:rsid w:val="00D457EE"/>
    <w:rsid w:val="00D45A46"/>
    <w:rsid w:val="00D45DC5"/>
    <w:rsid w:val="00D45E09"/>
    <w:rsid w:val="00D462DA"/>
    <w:rsid w:val="00D4764E"/>
    <w:rsid w:val="00D47A51"/>
    <w:rsid w:val="00D47DC9"/>
    <w:rsid w:val="00D511E5"/>
    <w:rsid w:val="00D52649"/>
    <w:rsid w:val="00D5409E"/>
    <w:rsid w:val="00D55176"/>
    <w:rsid w:val="00D5543D"/>
    <w:rsid w:val="00D55E97"/>
    <w:rsid w:val="00D56788"/>
    <w:rsid w:val="00D574F2"/>
    <w:rsid w:val="00D6055D"/>
    <w:rsid w:val="00D60CD8"/>
    <w:rsid w:val="00D60CDB"/>
    <w:rsid w:val="00D60DA3"/>
    <w:rsid w:val="00D614C3"/>
    <w:rsid w:val="00D625E8"/>
    <w:rsid w:val="00D6270B"/>
    <w:rsid w:val="00D65015"/>
    <w:rsid w:val="00D65A94"/>
    <w:rsid w:val="00D66B56"/>
    <w:rsid w:val="00D679FE"/>
    <w:rsid w:val="00D709A3"/>
    <w:rsid w:val="00D70A86"/>
    <w:rsid w:val="00D71087"/>
    <w:rsid w:val="00D71F49"/>
    <w:rsid w:val="00D7350B"/>
    <w:rsid w:val="00D7362B"/>
    <w:rsid w:val="00D73837"/>
    <w:rsid w:val="00D73AC5"/>
    <w:rsid w:val="00D73B8C"/>
    <w:rsid w:val="00D74614"/>
    <w:rsid w:val="00D75294"/>
    <w:rsid w:val="00D75C56"/>
    <w:rsid w:val="00D75FED"/>
    <w:rsid w:val="00D77449"/>
    <w:rsid w:val="00D77DD8"/>
    <w:rsid w:val="00D80B75"/>
    <w:rsid w:val="00D81689"/>
    <w:rsid w:val="00D81E22"/>
    <w:rsid w:val="00D84A48"/>
    <w:rsid w:val="00D85C6D"/>
    <w:rsid w:val="00D85D29"/>
    <w:rsid w:val="00D872DE"/>
    <w:rsid w:val="00D87655"/>
    <w:rsid w:val="00D87AA5"/>
    <w:rsid w:val="00D87D85"/>
    <w:rsid w:val="00D90B9F"/>
    <w:rsid w:val="00D9150C"/>
    <w:rsid w:val="00D921C9"/>
    <w:rsid w:val="00D9254A"/>
    <w:rsid w:val="00D927B9"/>
    <w:rsid w:val="00D92D08"/>
    <w:rsid w:val="00D92F0E"/>
    <w:rsid w:val="00D9310F"/>
    <w:rsid w:val="00D93772"/>
    <w:rsid w:val="00D93B62"/>
    <w:rsid w:val="00D93C67"/>
    <w:rsid w:val="00D94C62"/>
    <w:rsid w:val="00D953B2"/>
    <w:rsid w:val="00D95C2B"/>
    <w:rsid w:val="00D95C80"/>
    <w:rsid w:val="00D95E80"/>
    <w:rsid w:val="00D95FAD"/>
    <w:rsid w:val="00D95FBE"/>
    <w:rsid w:val="00D967D6"/>
    <w:rsid w:val="00D96BA9"/>
    <w:rsid w:val="00D97DB2"/>
    <w:rsid w:val="00DA0269"/>
    <w:rsid w:val="00DA029F"/>
    <w:rsid w:val="00DA0564"/>
    <w:rsid w:val="00DA061E"/>
    <w:rsid w:val="00DA0CBA"/>
    <w:rsid w:val="00DA214D"/>
    <w:rsid w:val="00DA2C10"/>
    <w:rsid w:val="00DA4BCF"/>
    <w:rsid w:val="00DA4DE5"/>
    <w:rsid w:val="00DA50EF"/>
    <w:rsid w:val="00DA548F"/>
    <w:rsid w:val="00DA5EC8"/>
    <w:rsid w:val="00DA617E"/>
    <w:rsid w:val="00DA6D23"/>
    <w:rsid w:val="00DA7B7A"/>
    <w:rsid w:val="00DB13E9"/>
    <w:rsid w:val="00DB2546"/>
    <w:rsid w:val="00DB2A3B"/>
    <w:rsid w:val="00DB493F"/>
    <w:rsid w:val="00DB607B"/>
    <w:rsid w:val="00DB6346"/>
    <w:rsid w:val="00DC0492"/>
    <w:rsid w:val="00DC0E09"/>
    <w:rsid w:val="00DC156A"/>
    <w:rsid w:val="00DC17EC"/>
    <w:rsid w:val="00DC2ABF"/>
    <w:rsid w:val="00DC47BF"/>
    <w:rsid w:val="00DC62A8"/>
    <w:rsid w:val="00DC6452"/>
    <w:rsid w:val="00DC6B4F"/>
    <w:rsid w:val="00DC6CF5"/>
    <w:rsid w:val="00DD272C"/>
    <w:rsid w:val="00DD46A8"/>
    <w:rsid w:val="00DD4A5C"/>
    <w:rsid w:val="00DD5B13"/>
    <w:rsid w:val="00DE099E"/>
    <w:rsid w:val="00DE0E94"/>
    <w:rsid w:val="00DE0F99"/>
    <w:rsid w:val="00DE2473"/>
    <w:rsid w:val="00DE2B2E"/>
    <w:rsid w:val="00DE2DEB"/>
    <w:rsid w:val="00DE3CEA"/>
    <w:rsid w:val="00DE49C8"/>
    <w:rsid w:val="00DE4B1C"/>
    <w:rsid w:val="00DE5231"/>
    <w:rsid w:val="00DE593E"/>
    <w:rsid w:val="00DE6173"/>
    <w:rsid w:val="00DE7176"/>
    <w:rsid w:val="00DF04F8"/>
    <w:rsid w:val="00DF0BC5"/>
    <w:rsid w:val="00DF11CE"/>
    <w:rsid w:val="00DF18A2"/>
    <w:rsid w:val="00DF1912"/>
    <w:rsid w:val="00DF2A8C"/>
    <w:rsid w:val="00DF2AB0"/>
    <w:rsid w:val="00DF3856"/>
    <w:rsid w:val="00DF3A17"/>
    <w:rsid w:val="00DF3C07"/>
    <w:rsid w:val="00DF65AD"/>
    <w:rsid w:val="00DF6BD7"/>
    <w:rsid w:val="00E0072D"/>
    <w:rsid w:val="00E009B0"/>
    <w:rsid w:val="00E00A05"/>
    <w:rsid w:val="00E00B04"/>
    <w:rsid w:val="00E0197F"/>
    <w:rsid w:val="00E0207E"/>
    <w:rsid w:val="00E026CF"/>
    <w:rsid w:val="00E02F5D"/>
    <w:rsid w:val="00E031CD"/>
    <w:rsid w:val="00E0404B"/>
    <w:rsid w:val="00E04098"/>
    <w:rsid w:val="00E04845"/>
    <w:rsid w:val="00E0540A"/>
    <w:rsid w:val="00E05567"/>
    <w:rsid w:val="00E05679"/>
    <w:rsid w:val="00E06482"/>
    <w:rsid w:val="00E06640"/>
    <w:rsid w:val="00E0689C"/>
    <w:rsid w:val="00E071B8"/>
    <w:rsid w:val="00E073A9"/>
    <w:rsid w:val="00E105B1"/>
    <w:rsid w:val="00E11A19"/>
    <w:rsid w:val="00E12260"/>
    <w:rsid w:val="00E128F9"/>
    <w:rsid w:val="00E129CE"/>
    <w:rsid w:val="00E12EF1"/>
    <w:rsid w:val="00E13964"/>
    <w:rsid w:val="00E14435"/>
    <w:rsid w:val="00E14A8E"/>
    <w:rsid w:val="00E14E6F"/>
    <w:rsid w:val="00E15A2D"/>
    <w:rsid w:val="00E15A58"/>
    <w:rsid w:val="00E1627F"/>
    <w:rsid w:val="00E16D3C"/>
    <w:rsid w:val="00E16D75"/>
    <w:rsid w:val="00E16E82"/>
    <w:rsid w:val="00E172F5"/>
    <w:rsid w:val="00E1771A"/>
    <w:rsid w:val="00E2191C"/>
    <w:rsid w:val="00E219F6"/>
    <w:rsid w:val="00E22E69"/>
    <w:rsid w:val="00E23C84"/>
    <w:rsid w:val="00E249E8"/>
    <w:rsid w:val="00E252F6"/>
    <w:rsid w:val="00E25A8F"/>
    <w:rsid w:val="00E26139"/>
    <w:rsid w:val="00E26166"/>
    <w:rsid w:val="00E26268"/>
    <w:rsid w:val="00E26CCA"/>
    <w:rsid w:val="00E27609"/>
    <w:rsid w:val="00E27DB4"/>
    <w:rsid w:val="00E302E1"/>
    <w:rsid w:val="00E32BF7"/>
    <w:rsid w:val="00E32BFE"/>
    <w:rsid w:val="00E3326E"/>
    <w:rsid w:val="00E33FAF"/>
    <w:rsid w:val="00E34883"/>
    <w:rsid w:val="00E34ECE"/>
    <w:rsid w:val="00E361EA"/>
    <w:rsid w:val="00E361F0"/>
    <w:rsid w:val="00E379B6"/>
    <w:rsid w:val="00E37F8D"/>
    <w:rsid w:val="00E37FDC"/>
    <w:rsid w:val="00E4010E"/>
    <w:rsid w:val="00E407AE"/>
    <w:rsid w:val="00E407FB"/>
    <w:rsid w:val="00E41B12"/>
    <w:rsid w:val="00E426E6"/>
    <w:rsid w:val="00E4496C"/>
    <w:rsid w:val="00E451CE"/>
    <w:rsid w:val="00E45915"/>
    <w:rsid w:val="00E4624B"/>
    <w:rsid w:val="00E46C6E"/>
    <w:rsid w:val="00E4775A"/>
    <w:rsid w:val="00E47F37"/>
    <w:rsid w:val="00E507EC"/>
    <w:rsid w:val="00E50AFC"/>
    <w:rsid w:val="00E52E19"/>
    <w:rsid w:val="00E53915"/>
    <w:rsid w:val="00E53993"/>
    <w:rsid w:val="00E53F74"/>
    <w:rsid w:val="00E54CF1"/>
    <w:rsid w:val="00E560CF"/>
    <w:rsid w:val="00E56135"/>
    <w:rsid w:val="00E56224"/>
    <w:rsid w:val="00E56625"/>
    <w:rsid w:val="00E56C66"/>
    <w:rsid w:val="00E60159"/>
    <w:rsid w:val="00E609E8"/>
    <w:rsid w:val="00E612A5"/>
    <w:rsid w:val="00E6194C"/>
    <w:rsid w:val="00E63830"/>
    <w:rsid w:val="00E64694"/>
    <w:rsid w:val="00E65610"/>
    <w:rsid w:val="00E6624C"/>
    <w:rsid w:val="00E66D3B"/>
    <w:rsid w:val="00E67156"/>
    <w:rsid w:val="00E67EE9"/>
    <w:rsid w:val="00E704B1"/>
    <w:rsid w:val="00E708D5"/>
    <w:rsid w:val="00E70F30"/>
    <w:rsid w:val="00E727E3"/>
    <w:rsid w:val="00E74098"/>
    <w:rsid w:val="00E74EA9"/>
    <w:rsid w:val="00E75547"/>
    <w:rsid w:val="00E75BBF"/>
    <w:rsid w:val="00E75E15"/>
    <w:rsid w:val="00E76FB0"/>
    <w:rsid w:val="00E77387"/>
    <w:rsid w:val="00E77832"/>
    <w:rsid w:val="00E80903"/>
    <w:rsid w:val="00E815F5"/>
    <w:rsid w:val="00E821AF"/>
    <w:rsid w:val="00E830DC"/>
    <w:rsid w:val="00E841B4"/>
    <w:rsid w:val="00E843C2"/>
    <w:rsid w:val="00E85066"/>
    <w:rsid w:val="00E851D8"/>
    <w:rsid w:val="00E85386"/>
    <w:rsid w:val="00E85940"/>
    <w:rsid w:val="00E863AE"/>
    <w:rsid w:val="00E90F43"/>
    <w:rsid w:val="00E9366C"/>
    <w:rsid w:val="00E938A7"/>
    <w:rsid w:val="00E93B17"/>
    <w:rsid w:val="00E93B4C"/>
    <w:rsid w:val="00E942C4"/>
    <w:rsid w:val="00E9464D"/>
    <w:rsid w:val="00E94EBB"/>
    <w:rsid w:val="00E958E5"/>
    <w:rsid w:val="00E95A3D"/>
    <w:rsid w:val="00E96658"/>
    <w:rsid w:val="00E979FC"/>
    <w:rsid w:val="00E97C64"/>
    <w:rsid w:val="00EA0267"/>
    <w:rsid w:val="00EA088C"/>
    <w:rsid w:val="00EA0B3F"/>
    <w:rsid w:val="00EA18DB"/>
    <w:rsid w:val="00EA27A6"/>
    <w:rsid w:val="00EA2BEB"/>
    <w:rsid w:val="00EA32C8"/>
    <w:rsid w:val="00EA33B8"/>
    <w:rsid w:val="00EA3561"/>
    <w:rsid w:val="00EA3CA6"/>
    <w:rsid w:val="00EA46CA"/>
    <w:rsid w:val="00EA4987"/>
    <w:rsid w:val="00EA4BA6"/>
    <w:rsid w:val="00EA4D8F"/>
    <w:rsid w:val="00EA5E10"/>
    <w:rsid w:val="00EA7B1C"/>
    <w:rsid w:val="00EB0B0A"/>
    <w:rsid w:val="00EB0FA6"/>
    <w:rsid w:val="00EB3A60"/>
    <w:rsid w:val="00EB4C3C"/>
    <w:rsid w:val="00EB6379"/>
    <w:rsid w:val="00EB641B"/>
    <w:rsid w:val="00EB6F20"/>
    <w:rsid w:val="00EB6F8C"/>
    <w:rsid w:val="00EB7885"/>
    <w:rsid w:val="00EB7BC5"/>
    <w:rsid w:val="00EC0862"/>
    <w:rsid w:val="00EC087D"/>
    <w:rsid w:val="00EC0BD9"/>
    <w:rsid w:val="00EC0FBB"/>
    <w:rsid w:val="00EC1456"/>
    <w:rsid w:val="00EC2C3E"/>
    <w:rsid w:val="00EC3BFC"/>
    <w:rsid w:val="00EC54FA"/>
    <w:rsid w:val="00EC575E"/>
    <w:rsid w:val="00EC5B61"/>
    <w:rsid w:val="00EC67D2"/>
    <w:rsid w:val="00EC72D6"/>
    <w:rsid w:val="00EC73A7"/>
    <w:rsid w:val="00EC76E3"/>
    <w:rsid w:val="00EC7BE0"/>
    <w:rsid w:val="00ED09AF"/>
    <w:rsid w:val="00ED102B"/>
    <w:rsid w:val="00ED1F94"/>
    <w:rsid w:val="00ED212A"/>
    <w:rsid w:val="00ED25EA"/>
    <w:rsid w:val="00ED2D62"/>
    <w:rsid w:val="00ED35B2"/>
    <w:rsid w:val="00ED5343"/>
    <w:rsid w:val="00ED5CE4"/>
    <w:rsid w:val="00ED6162"/>
    <w:rsid w:val="00ED6253"/>
    <w:rsid w:val="00ED6905"/>
    <w:rsid w:val="00ED783A"/>
    <w:rsid w:val="00ED78C3"/>
    <w:rsid w:val="00ED793D"/>
    <w:rsid w:val="00ED799C"/>
    <w:rsid w:val="00EE022C"/>
    <w:rsid w:val="00EE0B9A"/>
    <w:rsid w:val="00EE169F"/>
    <w:rsid w:val="00EE1E4B"/>
    <w:rsid w:val="00EE2A26"/>
    <w:rsid w:val="00EE4594"/>
    <w:rsid w:val="00EE595A"/>
    <w:rsid w:val="00EE5B77"/>
    <w:rsid w:val="00EE6495"/>
    <w:rsid w:val="00EE69E9"/>
    <w:rsid w:val="00EE7A3B"/>
    <w:rsid w:val="00EF094E"/>
    <w:rsid w:val="00EF1E31"/>
    <w:rsid w:val="00EF213E"/>
    <w:rsid w:val="00EF3C3F"/>
    <w:rsid w:val="00EF52CD"/>
    <w:rsid w:val="00EF585A"/>
    <w:rsid w:val="00EF586C"/>
    <w:rsid w:val="00EF59B9"/>
    <w:rsid w:val="00EF6B1B"/>
    <w:rsid w:val="00EF70C1"/>
    <w:rsid w:val="00EF727A"/>
    <w:rsid w:val="00EF78B4"/>
    <w:rsid w:val="00F0033D"/>
    <w:rsid w:val="00F00CED"/>
    <w:rsid w:val="00F0156A"/>
    <w:rsid w:val="00F02359"/>
    <w:rsid w:val="00F02402"/>
    <w:rsid w:val="00F024FA"/>
    <w:rsid w:val="00F02795"/>
    <w:rsid w:val="00F02BEE"/>
    <w:rsid w:val="00F02E9B"/>
    <w:rsid w:val="00F03A8D"/>
    <w:rsid w:val="00F0476E"/>
    <w:rsid w:val="00F05E51"/>
    <w:rsid w:val="00F061F5"/>
    <w:rsid w:val="00F0753E"/>
    <w:rsid w:val="00F10406"/>
    <w:rsid w:val="00F118EA"/>
    <w:rsid w:val="00F11928"/>
    <w:rsid w:val="00F11D61"/>
    <w:rsid w:val="00F122F9"/>
    <w:rsid w:val="00F12FF2"/>
    <w:rsid w:val="00F13DF0"/>
    <w:rsid w:val="00F14214"/>
    <w:rsid w:val="00F143B9"/>
    <w:rsid w:val="00F148BF"/>
    <w:rsid w:val="00F14FCC"/>
    <w:rsid w:val="00F1501A"/>
    <w:rsid w:val="00F152B7"/>
    <w:rsid w:val="00F1592A"/>
    <w:rsid w:val="00F16E1D"/>
    <w:rsid w:val="00F16FAA"/>
    <w:rsid w:val="00F20A73"/>
    <w:rsid w:val="00F20EC5"/>
    <w:rsid w:val="00F221E0"/>
    <w:rsid w:val="00F234A0"/>
    <w:rsid w:val="00F23932"/>
    <w:rsid w:val="00F25526"/>
    <w:rsid w:val="00F25A65"/>
    <w:rsid w:val="00F260A3"/>
    <w:rsid w:val="00F26581"/>
    <w:rsid w:val="00F27672"/>
    <w:rsid w:val="00F27778"/>
    <w:rsid w:val="00F27D2B"/>
    <w:rsid w:val="00F302DB"/>
    <w:rsid w:val="00F30333"/>
    <w:rsid w:val="00F306BD"/>
    <w:rsid w:val="00F31117"/>
    <w:rsid w:val="00F3326E"/>
    <w:rsid w:val="00F3430F"/>
    <w:rsid w:val="00F35A29"/>
    <w:rsid w:val="00F35AE8"/>
    <w:rsid w:val="00F35D57"/>
    <w:rsid w:val="00F367C4"/>
    <w:rsid w:val="00F36A8A"/>
    <w:rsid w:val="00F40774"/>
    <w:rsid w:val="00F40B2C"/>
    <w:rsid w:val="00F4133A"/>
    <w:rsid w:val="00F416D0"/>
    <w:rsid w:val="00F42956"/>
    <w:rsid w:val="00F42D50"/>
    <w:rsid w:val="00F43537"/>
    <w:rsid w:val="00F46E1B"/>
    <w:rsid w:val="00F47596"/>
    <w:rsid w:val="00F47EED"/>
    <w:rsid w:val="00F50029"/>
    <w:rsid w:val="00F500C5"/>
    <w:rsid w:val="00F504E3"/>
    <w:rsid w:val="00F508CA"/>
    <w:rsid w:val="00F51AB3"/>
    <w:rsid w:val="00F52573"/>
    <w:rsid w:val="00F5281A"/>
    <w:rsid w:val="00F530E4"/>
    <w:rsid w:val="00F533DB"/>
    <w:rsid w:val="00F53FB9"/>
    <w:rsid w:val="00F54092"/>
    <w:rsid w:val="00F5500E"/>
    <w:rsid w:val="00F55BE0"/>
    <w:rsid w:val="00F55D9E"/>
    <w:rsid w:val="00F56059"/>
    <w:rsid w:val="00F56EE4"/>
    <w:rsid w:val="00F5708B"/>
    <w:rsid w:val="00F57825"/>
    <w:rsid w:val="00F600C2"/>
    <w:rsid w:val="00F602E0"/>
    <w:rsid w:val="00F61F5E"/>
    <w:rsid w:val="00F62760"/>
    <w:rsid w:val="00F62C5F"/>
    <w:rsid w:val="00F63F90"/>
    <w:rsid w:val="00F6428E"/>
    <w:rsid w:val="00F6474D"/>
    <w:rsid w:val="00F6483E"/>
    <w:rsid w:val="00F65912"/>
    <w:rsid w:val="00F65EE4"/>
    <w:rsid w:val="00F66411"/>
    <w:rsid w:val="00F6683A"/>
    <w:rsid w:val="00F66B83"/>
    <w:rsid w:val="00F66CC0"/>
    <w:rsid w:val="00F67346"/>
    <w:rsid w:val="00F67799"/>
    <w:rsid w:val="00F70DB7"/>
    <w:rsid w:val="00F71F0B"/>
    <w:rsid w:val="00F740B6"/>
    <w:rsid w:val="00F7442F"/>
    <w:rsid w:val="00F7443E"/>
    <w:rsid w:val="00F74BE8"/>
    <w:rsid w:val="00F754D3"/>
    <w:rsid w:val="00F7614F"/>
    <w:rsid w:val="00F76598"/>
    <w:rsid w:val="00F77CCF"/>
    <w:rsid w:val="00F8067A"/>
    <w:rsid w:val="00F807A9"/>
    <w:rsid w:val="00F80EBE"/>
    <w:rsid w:val="00F816BC"/>
    <w:rsid w:val="00F81769"/>
    <w:rsid w:val="00F81C31"/>
    <w:rsid w:val="00F81FF2"/>
    <w:rsid w:val="00F82606"/>
    <w:rsid w:val="00F8308E"/>
    <w:rsid w:val="00F835F5"/>
    <w:rsid w:val="00F83E5C"/>
    <w:rsid w:val="00F84C6B"/>
    <w:rsid w:val="00F85429"/>
    <w:rsid w:val="00F85D82"/>
    <w:rsid w:val="00F863E6"/>
    <w:rsid w:val="00F865B5"/>
    <w:rsid w:val="00F90690"/>
    <w:rsid w:val="00F909B5"/>
    <w:rsid w:val="00F921DC"/>
    <w:rsid w:val="00F92FCE"/>
    <w:rsid w:val="00F937B6"/>
    <w:rsid w:val="00F94266"/>
    <w:rsid w:val="00F94378"/>
    <w:rsid w:val="00F95D60"/>
    <w:rsid w:val="00F9626B"/>
    <w:rsid w:val="00F967BA"/>
    <w:rsid w:val="00F96806"/>
    <w:rsid w:val="00F97346"/>
    <w:rsid w:val="00F9763C"/>
    <w:rsid w:val="00FA04B6"/>
    <w:rsid w:val="00FA1E6A"/>
    <w:rsid w:val="00FA22C4"/>
    <w:rsid w:val="00FA368A"/>
    <w:rsid w:val="00FA5037"/>
    <w:rsid w:val="00FA57CF"/>
    <w:rsid w:val="00FA5C54"/>
    <w:rsid w:val="00FA6118"/>
    <w:rsid w:val="00FA722C"/>
    <w:rsid w:val="00FB1162"/>
    <w:rsid w:val="00FB1712"/>
    <w:rsid w:val="00FB187C"/>
    <w:rsid w:val="00FB1FA1"/>
    <w:rsid w:val="00FB2422"/>
    <w:rsid w:val="00FB3205"/>
    <w:rsid w:val="00FB376F"/>
    <w:rsid w:val="00FB37A9"/>
    <w:rsid w:val="00FB3AEF"/>
    <w:rsid w:val="00FB50EA"/>
    <w:rsid w:val="00FB5129"/>
    <w:rsid w:val="00FB5935"/>
    <w:rsid w:val="00FB6AE7"/>
    <w:rsid w:val="00FB6D43"/>
    <w:rsid w:val="00FB709F"/>
    <w:rsid w:val="00FB7684"/>
    <w:rsid w:val="00FB7E07"/>
    <w:rsid w:val="00FC025D"/>
    <w:rsid w:val="00FC09C7"/>
    <w:rsid w:val="00FC0AEC"/>
    <w:rsid w:val="00FC1474"/>
    <w:rsid w:val="00FC3143"/>
    <w:rsid w:val="00FC4161"/>
    <w:rsid w:val="00FC47A1"/>
    <w:rsid w:val="00FC48CD"/>
    <w:rsid w:val="00FC49DC"/>
    <w:rsid w:val="00FC6B61"/>
    <w:rsid w:val="00FC6CE2"/>
    <w:rsid w:val="00FC6CE7"/>
    <w:rsid w:val="00FD1212"/>
    <w:rsid w:val="00FD179C"/>
    <w:rsid w:val="00FD180B"/>
    <w:rsid w:val="00FD3819"/>
    <w:rsid w:val="00FD3C08"/>
    <w:rsid w:val="00FD3E75"/>
    <w:rsid w:val="00FD501F"/>
    <w:rsid w:val="00FD51B3"/>
    <w:rsid w:val="00FD60F2"/>
    <w:rsid w:val="00FD6BE0"/>
    <w:rsid w:val="00FD6DD7"/>
    <w:rsid w:val="00FD737D"/>
    <w:rsid w:val="00FD7F98"/>
    <w:rsid w:val="00FE01E6"/>
    <w:rsid w:val="00FE34FE"/>
    <w:rsid w:val="00FE4B1A"/>
    <w:rsid w:val="00FE50A2"/>
    <w:rsid w:val="00FE6189"/>
    <w:rsid w:val="00FE6319"/>
    <w:rsid w:val="00FE679F"/>
    <w:rsid w:val="00FE797E"/>
    <w:rsid w:val="00FE7EA4"/>
    <w:rsid w:val="00FF03AA"/>
    <w:rsid w:val="00FF0DCB"/>
    <w:rsid w:val="00FF13F9"/>
    <w:rsid w:val="00FF1521"/>
    <w:rsid w:val="00FF511D"/>
    <w:rsid w:val="00FF530C"/>
    <w:rsid w:val="00FF5957"/>
    <w:rsid w:val="00FF67B4"/>
    <w:rsid w:val="00FF759D"/>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1313"/>
    <o:shapelayout v:ext="edit">
      <o:idmap v:ext="edit" data="1"/>
    </o:shapelayout>
  </w:shapeDefaults>
  <w:decimalSymbol w:val=","/>
  <w:listSeparator w:val=";"/>
  <w14:docId w14:val="18180007"/>
  <w15:docId w15:val="{BC2010D0-936E-4C11-9AFF-4CC62DEE6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a-DK" w:eastAsia="da-DK" w:bidi="ar-SA"/>
      </w:rPr>
    </w:rPrDefault>
    <w:pPrDefault>
      <w:pPr>
        <w:spacing w:line="360" w:lineRule="auto"/>
      </w:pPr>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52D9"/>
    <w:pPr>
      <w:widowControl w:val="0"/>
      <w:autoSpaceDE w:val="0"/>
      <w:autoSpaceDN w:val="0"/>
      <w:adjustRightInd w:val="0"/>
      <w:spacing w:before="120" w:after="120"/>
      <w:jc w:val="both"/>
    </w:pPr>
    <w:rPr>
      <w:rFonts w:ascii="Cambria" w:hAnsi="Cambria" w:cs="Garamond"/>
      <w:sz w:val="24"/>
      <w:szCs w:val="24"/>
    </w:rPr>
  </w:style>
  <w:style w:type="paragraph" w:styleId="Overskrift1">
    <w:name w:val="heading 1"/>
    <w:basedOn w:val="Normal"/>
    <w:next w:val="Normal"/>
    <w:link w:val="Overskrift1Tegn"/>
    <w:uiPriority w:val="99"/>
    <w:qFormat/>
    <w:rsid w:val="00ED6905"/>
    <w:pPr>
      <w:keepNext/>
      <w:spacing w:before="240" w:after="60"/>
      <w:outlineLvl w:val="0"/>
    </w:pPr>
    <w:rPr>
      <w:rFonts w:cs="Times New Roman"/>
      <w:b/>
      <w:bCs/>
      <w:caps/>
      <w:kern w:val="32"/>
      <w:sz w:val="32"/>
      <w:szCs w:val="32"/>
    </w:rPr>
  </w:style>
  <w:style w:type="paragraph" w:styleId="Overskrift2">
    <w:name w:val="heading 2"/>
    <w:basedOn w:val="Normal"/>
    <w:next w:val="Normal"/>
    <w:link w:val="Overskrift2Tegn"/>
    <w:autoRedefine/>
    <w:qFormat/>
    <w:rsid w:val="00B6133E"/>
    <w:pPr>
      <w:keepNext/>
      <w:spacing w:before="0" w:after="0" w:line="480" w:lineRule="auto"/>
      <w:jc w:val="center"/>
      <w:outlineLvl w:val="1"/>
    </w:pPr>
    <w:rPr>
      <w:rFonts w:ascii="Times New Roman" w:hAnsi="Times New Roman" w:cs="Times New Roman"/>
      <w:b/>
      <w:bCs/>
      <w:iCs/>
      <w:caps/>
      <w:szCs w:val="28"/>
      <w:lang w:val="en-US"/>
    </w:rPr>
  </w:style>
  <w:style w:type="paragraph" w:styleId="Overskrift3">
    <w:name w:val="heading 3"/>
    <w:basedOn w:val="Normal"/>
    <w:next w:val="Normal"/>
    <w:link w:val="Overskrift3Tegn"/>
    <w:autoRedefine/>
    <w:qFormat/>
    <w:rsid w:val="00826CA4"/>
    <w:pPr>
      <w:keepNext/>
      <w:spacing w:before="60" w:after="0" w:line="480" w:lineRule="auto"/>
      <w:jc w:val="left"/>
      <w:outlineLvl w:val="2"/>
    </w:pPr>
    <w:rPr>
      <w:rFonts w:cs="Arial"/>
      <w:b/>
      <w:color w:val="000000"/>
      <w:lang w:val="en-US" w:eastAsia="en-US"/>
    </w:rPr>
  </w:style>
  <w:style w:type="paragraph" w:styleId="Overskrift4">
    <w:name w:val="heading 4"/>
    <w:basedOn w:val="Normal"/>
    <w:next w:val="Normal"/>
    <w:link w:val="Overskrift4Tegn"/>
    <w:qFormat/>
    <w:rsid w:val="00E96658"/>
    <w:pPr>
      <w:keepNext/>
      <w:tabs>
        <w:tab w:val="num" w:pos="864"/>
      </w:tabs>
      <w:spacing w:before="240" w:after="60"/>
      <w:ind w:left="864" w:hanging="864"/>
      <w:outlineLvl w:val="3"/>
    </w:pPr>
    <w:rPr>
      <w:rFonts w:ascii="Times New Roman" w:hAnsi="Times New Roman" w:cs="Times New Roman"/>
      <w:b/>
      <w:bCs/>
      <w:sz w:val="28"/>
      <w:szCs w:val="28"/>
    </w:rPr>
  </w:style>
  <w:style w:type="paragraph" w:styleId="Overskrift5">
    <w:name w:val="heading 5"/>
    <w:basedOn w:val="Normal"/>
    <w:next w:val="Normal"/>
    <w:qFormat/>
    <w:rsid w:val="00E96658"/>
    <w:pPr>
      <w:tabs>
        <w:tab w:val="num" w:pos="1008"/>
      </w:tabs>
      <w:spacing w:before="240" w:after="60"/>
      <w:ind w:left="1008" w:hanging="1008"/>
      <w:outlineLvl w:val="4"/>
    </w:pPr>
    <w:rPr>
      <w:b/>
      <w:bCs/>
      <w:i/>
      <w:iCs/>
      <w:sz w:val="26"/>
      <w:szCs w:val="26"/>
    </w:rPr>
  </w:style>
  <w:style w:type="paragraph" w:styleId="Overskrift6">
    <w:name w:val="heading 6"/>
    <w:basedOn w:val="Normal"/>
    <w:next w:val="Normal"/>
    <w:qFormat/>
    <w:rsid w:val="00E96658"/>
    <w:pPr>
      <w:tabs>
        <w:tab w:val="num" w:pos="1152"/>
      </w:tabs>
      <w:spacing w:before="240" w:after="60"/>
      <w:ind w:left="1152" w:hanging="1152"/>
      <w:outlineLvl w:val="5"/>
    </w:pPr>
    <w:rPr>
      <w:b/>
      <w:bCs/>
      <w:sz w:val="22"/>
      <w:szCs w:val="22"/>
    </w:rPr>
  </w:style>
  <w:style w:type="paragraph" w:styleId="Overskrift7">
    <w:name w:val="heading 7"/>
    <w:basedOn w:val="Normal"/>
    <w:next w:val="Normal"/>
    <w:qFormat/>
    <w:rsid w:val="00E96658"/>
    <w:pPr>
      <w:tabs>
        <w:tab w:val="num" w:pos="1296"/>
      </w:tabs>
      <w:spacing w:before="240" w:after="60"/>
      <w:ind w:left="1296" w:hanging="1296"/>
      <w:outlineLvl w:val="6"/>
    </w:pPr>
  </w:style>
  <w:style w:type="paragraph" w:styleId="Overskrift8">
    <w:name w:val="heading 8"/>
    <w:basedOn w:val="Normal"/>
    <w:next w:val="Normal"/>
    <w:qFormat/>
    <w:rsid w:val="00E96658"/>
    <w:pPr>
      <w:tabs>
        <w:tab w:val="num" w:pos="1440"/>
      </w:tabs>
      <w:spacing w:before="240" w:after="60"/>
      <w:ind w:left="1440" w:hanging="1440"/>
      <w:outlineLvl w:val="7"/>
    </w:pPr>
    <w:rPr>
      <w:i/>
      <w:iCs/>
    </w:rPr>
  </w:style>
  <w:style w:type="paragraph" w:styleId="Overskrift9">
    <w:name w:val="heading 9"/>
    <w:basedOn w:val="Normal"/>
    <w:next w:val="Normal"/>
    <w:qFormat/>
    <w:rsid w:val="00E96658"/>
    <w:pPr>
      <w:tabs>
        <w:tab w:val="num" w:pos="1584"/>
      </w:tabs>
      <w:spacing w:before="240" w:after="60"/>
      <w:ind w:left="1584" w:hanging="1584"/>
      <w:outlineLvl w:val="8"/>
    </w:pPr>
    <w:rPr>
      <w:rFonts w:ascii="Arial" w:hAnsi="Arial" w:cs="Arial"/>
      <w:sz w:val="22"/>
      <w:szCs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customStyle="1" w:styleId="Typografi1">
    <w:name w:val="Typografi1"/>
    <w:basedOn w:val="Normal"/>
    <w:rsid w:val="00B63CE5"/>
  </w:style>
  <w:style w:type="paragraph" w:styleId="Indholdsfortegnelse1">
    <w:name w:val="toc 1"/>
    <w:basedOn w:val="Normal"/>
    <w:next w:val="Normal"/>
    <w:autoRedefine/>
    <w:semiHidden/>
    <w:rsid w:val="00E96658"/>
  </w:style>
  <w:style w:type="paragraph" w:styleId="Indholdsfortegnelse2">
    <w:name w:val="toc 2"/>
    <w:basedOn w:val="Normal"/>
    <w:next w:val="Normal"/>
    <w:autoRedefine/>
    <w:semiHidden/>
    <w:rsid w:val="00E96658"/>
    <w:pPr>
      <w:ind w:left="240"/>
    </w:pPr>
  </w:style>
  <w:style w:type="paragraph" w:styleId="Indholdsfortegnelse3">
    <w:name w:val="toc 3"/>
    <w:basedOn w:val="Normal"/>
    <w:next w:val="Normal"/>
    <w:autoRedefine/>
    <w:semiHidden/>
    <w:rsid w:val="00E96658"/>
    <w:pPr>
      <w:ind w:left="480"/>
    </w:pPr>
  </w:style>
  <w:style w:type="character" w:styleId="Hyperlink">
    <w:name w:val="Hyperlink"/>
    <w:rsid w:val="00E96658"/>
    <w:rPr>
      <w:rFonts w:ascii="Arial" w:hAnsi="Arial" w:cs="Arial" w:hint="default"/>
      <w:color w:val="660000"/>
      <w:u w:val="single"/>
    </w:rPr>
  </w:style>
  <w:style w:type="paragraph" w:customStyle="1" w:styleId="name">
    <w:name w:val="name"/>
    <w:basedOn w:val="Normal"/>
    <w:rsid w:val="00E96658"/>
    <w:pPr>
      <w:spacing w:before="100" w:beforeAutospacing="1" w:after="100" w:afterAutospacing="1"/>
    </w:pPr>
  </w:style>
  <w:style w:type="paragraph" w:customStyle="1" w:styleId="address">
    <w:name w:val="address"/>
    <w:basedOn w:val="Normal"/>
    <w:rsid w:val="00E96658"/>
    <w:pPr>
      <w:spacing w:before="100" w:beforeAutospacing="1" w:after="100" w:afterAutospacing="1"/>
    </w:pPr>
  </w:style>
  <w:style w:type="paragraph" w:styleId="NormalWeb">
    <w:name w:val="Normal (Web)"/>
    <w:basedOn w:val="Normal"/>
    <w:uiPriority w:val="99"/>
    <w:rsid w:val="00E96658"/>
    <w:pPr>
      <w:spacing w:before="100" w:beforeAutospacing="1" w:after="100" w:afterAutospacing="1"/>
    </w:pPr>
  </w:style>
  <w:style w:type="table" w:styleId="Tabel-Gitter">
    <w:name w:val="Table Grid"/>
    <w:basedOn w:val="Tabel-Normal"/>
    <w:uiPriority w:val="59"/>
    <w:rsid w:val="00E966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artekst">
    <w:name w:val="annotation text"/>
    <w:basedOn w:val="Normal"/>
    <w:link w:val="KommentartekstTegn"/>
    <w:uiPriority w:val="99"/>
    <w:semiHidden/>
    <w:rsid w:val="00E96658"/>
    <w:rPr>
      <w:rFonts w:cs="Times New Roman"/>
      <w:sz w:val="20"/>
      <w:szCs w:val="20"/>
    </w:rPr>
  </w:style>
  <w:style w:type="paragraph" w:customStyle="1" w:styleId="Speciel">
    <w:name w:val="Speciel"/>
    <w:rsid w:val="00E96658"/>
    <w:rPr>
      <w:rFonts w:eastAsia="ヒラギノ角ゴ Pro W3"/>
      <w:color w:val="000000"/>
    </w:rPr>
  </w:style>
  <w:style w:type="character" w:styleId="Fremhv">
    <w:name w:val="Emphasis"/>
    <w:uiPriority w:val="20"/>
    <w:qFormat/>
    <w:rsid w:val="00ED6905"/>
    <w:rPr>
      <w:iCs/>
      <w:sz w:val="16"/>
    </w:rPr>
  </w:style>
  <w:style w:type="paragraph" w:styleId="Sidehoved">
    <w:name w:val="header"/>
    <w:basedOn w:val="Normal"/>
    <w:rsid w:val="00E96658"/>
    <w:pPr>
      <w:tabs>
        <w:tab w:val="center" w:pos="4819"/>
        <w:tab w:val="right" w:pos="9638"/>
      </w:tabs>
    </w:pPr>
  </w:style>
  <w:style w:type="paragraph" w:styleId="Sidefod">
    <w:name w:val="footer"/>
    <w:basedOn w:val="Normal"/>
    <w:link w:val="SidefodTegn"/>
    <w:uiPriority w:val="99"/>
    <w:rsid w:val="00E96658"/>
    <w:pPr>
      <w:tabs>
        <w:tab w:val="center" w:pos="4819"/>
        <w:tab w:val="right" w:pos="9638"/>
      </w:tabs>
    </w:pPr>
  </w:style>
  <w:style w:type="character" w:styleId="Sidetal">
    <w:name w:val="page number"/>
    <w:basedOn w:val="Standardskrifttypeiafsnit"/>
    <w:rsid w:val="00E96658"/>
  </w:style>
  <w:style w:type="character" w:customStyle="1" w:styleId="Overskrift3Tegn">
    <w:name w:val="Overskrift 3 Tegn"/>
    <w:link w:val="Overskrift3"/>
    <w:rsid w:val="00826CA4"/>
    <w:rPr>
      <w:rFonts w:ascii="Cambria" w:hAnsi="Cambria" w:cs="Arial"/>
      <w:b/>
      <w:color w:val="000000"/>
      <w:sz w:val="24"/>
      <w:szCs w:val="24"/>
      <w:lang w:val="en-US" w:eastAsia="en-US"/>
    </w:rPr>
  </w:style>
  <w:style w:type="character" w:customStyle="1" w:styleId="Overskrift2Tegn">
    <w:name w:val="Overskrift 2 Tegn"/>
    <w:link w:val="Overskrift2"/>
    <w:rsid w:val="00B6133E"/>
    <w:rPr>
      <w:b/>
      <w:bCs/>
      <w:iCs/>
      <w:caps/>
      <w:sz w:val="24"/>
      <w:szCs w:val="28"/>
      <w:lang w:val="en-US"/>
    </w:rPr>
  </w:style>
  <w:style w:type="paragraph" w:styleId="Markeringsbobletekst">
    <w:name w:val="Balloon Text"/>
    <w:basedOn w:val="Normal"/>
    <w:link w:val="MarkeringsbobletekstTegn"/>
    <w:uiPriority w:val="99"/>
    <w:semiHidden/>
    <w:rsid w:val="00DC47BF"/>
    <w:rPr>
      <w:rFonts w:ascii="Tahoma" w:hAnsi="Tahoma" w:cs="Tahoma"/>
      <w:sz w:val="16"/>
      <w:szCs w:val="16"/>
    </w:rPr>
  </w:style>
  <w:style w:type="character" w:styleId="Kommentarhenvisning">
    <w:name w:val="annotation reference"/>
    <w:uiPriority w:val="99"/>
    <w:rsid w:val="00A41BF4"/>
    <w:rPr>
      <w:sz w:val="16"/>
      <w:szCs w:val="16"/>
    </w:rPr>
  </w:style>
  <w:style w:type="paragraph" w:styleId="Kommentaremne">
    <w:name w:val="annotation subject"/>
    <w:basedOn w:val="Kommentartekst"/>
    <w:next w:val="Kommentartekst"/>
    <w:link w:val="KommentaremneTegn"/>
    <w:uiPriority w:val="99"/>
    <w:semiHidden/>
    <w:rsid w:val="00A41BF4"/>
    <w:rPr>
      <w:b/>
      <w:bCs/>
    </w:rPr>
  </w:style>
  <w:style w:type="character" w:customStyle="1" w:styleId="Overskrift4Tegn">
    <w:name w:val="Overskrift 4 Tegn"/>
    <w:link w:val="Overskrift4"/>
    <w:rsid w:val="00AE4253"/>
    <w:rPr>
      <w:b/>
      <w:bCs/>
      <w:sz w:val="28"/>
      <w:szCs w:val="28"/>
      <w:lang w:val="da-DK" w:eastAsia="da-DK" w:bidi="ar-SA"/>
    </w:rPr>
  </w:style>
  <w:style w:type="paragraph" w:customStyle="1" w:styleId="Default">
    <w:name w:val="Default"/>
    <w:rsid w:val="00DA7B7A"/>
    <w:pPr>
      <w:autoSpaceDE w:val="0"/>
      <w:autoSpaceDN w:val="0"/>
      <w:adjustRightInd w:val="0"/>
    </w:pPr>
    <w:rPr>
      <w:rFonts w:ascii="Diverda Sans Com Light" w:hAnsi="Diverda Sans Com Light" w:cs="Diverda Sans Com Light"/>
      <w:color w:val="000000"/>
      <w:sz w:val="24"/>
      <w:szCs w:val="24"/>
    </w:rPr>
  </w:style>
  <w:style w:type="paragraph" w:styleId="Liste">
    <w:name w:val="List"/>
    <w:basedOn w:val="Normal"/>
    <w:rsid w:val="00A82492"/>
    <w:pPr>
      <w:ind w:left="283" w:hanging="283"/>
      <w:contextualSpacing/>
    </w:pPr>
  </w:style>
  <w:style w:type="paragraph" w:styleId="Brdtekst">
    <w:name w:val="Body Text"/>
    <w:basedOn w:val="Normal"/>
    <w:link w:val="BrdtekstTegn"/>
    <w:rsid w:val="00A82492"/>
    <w:rPr>
      <w:rFonts w:cs="Times New Roman"/>
    </w:rPr>
  </w:style>
  <w:style w:type="character" w:customStyle="1" w:styleId="BrdtekstTegn">
    <w:name w:val="Brødtekst Tegn"/>
    <w:link w:val="Brdtekst"/>
    <w:rsid w:val="00A82492"/>
    <w:rPr>
      <w:rFonts w:ascii="Cambria" w:hAnsi="Cambria" w:cs="Garamond"/>
      <w:sz w:val="24"/>
      <w:szCs w:val="24"/>
      <w:lang w:val="en-GB"/>
    </w:rPr>
  </w:style>
  <w:style w:type="paragraph" w:customStyle="1" w:styleId="Forfatterlinje">
    <w:name w:val="Forfatterlinje"/>
    <w:basedOn w:val="Brdtekst"/>
    <w:rsid w:val="00A82492"/>
  </w:style>
  <w:style w:type="paragraph" w:styleId="Opstilling-punkttegn2">
    <w:name w:val="List Bullet 2"/>
    <w:basedOn w:val="Normal"/>
    <w:rsid w:val="0036384B"/>
    <w:pPr>
      <w:numPr>
        <w:numId w:val="4"/>
      </w:numPr>
      <w:contextualSpacing/>
    </w:pPr>
  </w:style>
  <w:style w:type="character" w:customStyle="1" w:styleId="highlight">
    <w:name w:val="highlight"/>
    <w:basedOn w:val="Standardskrifttypeiafsnit"/>
    <w:rsid w:val="00E97C64"/>
  </w:style>
  <w:style w:type="paragraph" w:customStyle="1" w:styleId="Farvetskygge-fremhvningsfarve11">
    <w:name w:val="Farvet skygge - fremhævningsfarve 11"/>
    <w:hidden/>
    <w:uiPriority w:val="99"/>
    <w:semiHidden/>
    <w:rsid w:val="008C200D"/>
    <w:rPr>
      <w:rFonts w:ascii="Cambria" w:hAnsi="Cambria" w:cs="Garamond"/>
      <w:sz w:val="24"/>
      <w:szCs w:val="24"/>
      <w:lang w:val="en-GB"/>
    </w:rPr>
  </w:style>
  <w:style w:type="character" w:customStyle="1" w:styleId="citation">
    <w:name w:val="citation"/>
    <w:basedOn w:val="Standardskrifttypeiafsnit"/>
    <w:rsid w:val="00A216A3"/>
  </w:style>
  <w:style w:type="character" w:customStyle="1" w:styleId="KommentartekstTegn">
    <w:name w:val="Kommentartekst Tegn"/>
    <w:link w:val="Kommentartekst"/>
    <w:uiPriority w:val="99"/>
    <w:semiHidden/>
    <w:rsid w:val="00356AEB"/>
    <w:rPr>
      <w:rFonts w:ascii="Cambria" w:hAnsi="Cambria" w:cs="Garamond"/>
      <w:lang w:val="en-GB"/>
    </w:rPr>
  </w:style>
  <w:style w:type="paragraph" w:customStyle="1" w:styleId="Overskrift10">
    <w:name w:val="Overskrift1"/>
    <w:basedOn w:val="Overskrift1"/>
    <w:next w:val="Normal"/>
    <w:unhideWhenUsed/>
    <w:qFormat/>
    <w:rsid w:val="00D65A94"/>
    <w:pPr>
      <w:keepLines/>
      <w:spacing w:before="480" w:after="0"/>
      <w:outlineLvl w:val="9"/>
    </w:pPr>
    <w:rPr>
      <w:rFonts w:eastAsia="MS Gothic"/>
      <w:caps w:val="0"/>
      <w:color w:val="365F91"/>
      <w:kern w:val="0"/>
      <w:sz w:val="28"/>
      <w:szCs w:val="28"/>
    </w:rPr>
  </w:style>
  <w:style w:type="character" w:customStyle="1" w:styleId="WW8Num1z0">
    <w:name w:val="WW8Num1z0"/>
    <w:rsid w:val="00D65A94"/>
    <w:rPr>
      <w:rFonts w:ascii="Symbol" w:hAnsi="Symbol"/>
    </w:rPr>
  </w:style>
  <w:style w:type="character" w:customStyle="1" w:styleId="WW8Num1z1">
    <w:name w:val="WW8Num1z1"/>
    <w:rsid w:val="00D65A94"/>
    <w:rPr>
      <w:rFonts w:ascii="Courier New" w:hAnsi="Courier New" w:cs="Courier New"/>
    </w:rPr>
  </w:style>
  <w:style w:type="character" w:customStyle="1" w:styleId="WW8Num1z2">
    <w:name w:val="WW8Num1z2"/>
    <w:rsid w:val="00D65A94"/>
    <w:rPr>
      <w:rFonts w:ascii="Wingdings" w:hAnsi="Wingdings"/>
    </w:rPr>
  </w:style>
  <w:style w:type="character" w:customStyle="1" w:styleId="WW8Num2z0">
    <w:name w:val="WW8Num2z0"/>
    <w:rsid w:val="00D65A94"/>
    <w:rPr>
      <w:rFonts w:ascii="Symbol" w:hAnsi="Symbol"/>
    </w:rPr>
  </w:style>
  <w:style w:type="character" w:customStyle="1" w:styleId="WW8Num2z1">
    <w:name w:val="WW8Num2z1"/>
    <w:rsid w:val="00D65A94"/>
    <w:rPr>
      <w:rFonts w:ascii="Courier New" w:hAnsi="Courier New" w:cs="Courier New"/>
    </w:rPr>
  </w:style>
  <w:style w:type="character" w:customStyle="1" w:styleId="WW8Num2z2">
    <w:name w:val="WW8Num2z2"/>
    <w:rsid w:val="00D65A94"/>
    <w:rPr>
      <w:rFonts w:ascii="Wingdings" w:hAnsi="Wingdings"/>
    </w:rPr>
  </w:style>
  <w:style w:type="character" w:customStyle="1" w:styleId="Standardskrifttypeiafsnit1">
    <w:name w:val="Standardskrifttype i afsnit1"/>
    <w:rsid w:val="00D65A94"/>
  </w:style>
  <w:style w:type="character" w:styleId="BesgtLink">
    <w:name w:val="FollowedHyperlink"/>
    <w:rsid w:val="00D65A94"/>
    <w:rPr>
      <w:color w:val="800080"/>
      <w:u w:val="single"/>
    </w:rPr>
  </w:style>
  <w:style w:type="paragraph" w:customStyle="1" w:styleId="Billedtekst1">
    <w:name w:val="Billedtekst1"/>
    <w:basedOn w:val="Normal"/>
    <w:rsid w:val="00D65A94"/>
    <w:pPr>
      <w:widowControl/>
      <w:suppressLineNumbers/>
      <w:suppressAutoHyphens/>
      <w:autoSpaceDE/>
      <w:autoSpaceDN/>
      <w:adjustRightInd/>
    </w:pPr>
    <w:rPr>
      <w:rFonts w:cs="Tahoma"/>
      <w:i/>
      <w:iCs/>
      <w:lang w:eastAsia="ar-SA"/>
    </w:rPr>
  </w:style>
  <w:style w:type="paragraph" w:customStyle="1" w:styleId="Indeks">
    <w:name w:val="Indeks"/>
    <w:basedOn w:val="Normal"/>
    <w:rsid w:val="00D65A94"/>
    <w:pPr>
      <w:widowControl/>
      <w:suppressLineNumbers/>
      <w:suppressAutoHyphens/>
      <w:autoSpaceDE/>
      <w:autoSpaceDN/>
      <w:adjustRightInd/>
    </w:pPr>
    <w:rPr>
      <w:rFonts w:cs="Tahoma"/>
      <w:lang w:eastAsia="ar-SA"/>
    </w:rPr>
  </w:style>
  <w:style w:type="paragraph" w:styleId="Brdtekst2">
    <w:name w:val="Body Text 2"/>
    <w:basedOn w:val="Normal"/>
    <w:link w:val="Brdtekst2Tegn"/>
    <w:rsid w:val="00D65A94"/>
    <w:pPr>
      <w:widowControl/>
      <w:suppressAutoHyphens/>
      <w:autoSpaceDE/>
      <w:autoSpaceDN/>
      <w:adjustRightInd/>
      <w:spacing w:line="480" w:lineRule="auto"/>
    </w:pPr>
    <w:rPr>
      <w:rFonts w:cs="Times New Roman"/>
      <w:lang w:eastAsia="ar-SA"/>
    </w:rPr>
  </w:style>
  <w:style w:type="character" w:customStyle="1" w:styleId="Brdtekst2Tegn">
    <w:name w:val="Brødtekst 2 Tegn"/>
    <w:link w:val="Brdtekst2"/>
    <w:rsid w:val="00D65A94"/>
    <w:rPr>
      <w:rFonts w:ascii="Cambria" w:hAnsi="Cambria"/>
      <w:sz w:val="24"/>
      <w:szCs w:val="24"/>
      <w:lang w:eastAsia="ar-SA"/>
    </w:rPr>
  </w:style>
  <w:style w:type="character" w:customStyle="1" w:styleId="Strk1">
    <w:name w:val="Stærk1"/>
    <w:rsid w:val="00D65A94"/>
    <w:rPr>
      <w:b/>
    </w:rPr>
  </w:style>
  <w:style w:type="paragraph" w:styleId="Brdtekst3">
    <w:name w:val="Body Text 3"/>
    <w:basedOn w:val="Normal"/>
    <w:link w:val="Brdtekst3Tegn"/>
    <w:rsid w:val="00D65A94"/>
    <w:pPr>
      <w:widowControl/>
      <w:suppressAutoHyphens/>
      <w:autoSpaceDE/>
      <w:autoSpaceDN/>
      <w:adjustRightInd/>
    </w:pPr>
    <w:rPr>
      <w:rFonts w:cs="Times New Roman"/>
      <w:sz w:val="16"/>
      <w:szCs w:val="16"/>
      <w:lang w:eastAsia="ar-SA"/>
    </w:rPr>
  </w:style>
  <w:style w:type="character" w:customStyle="1" w:styleId="Brdtekst3Tegn">
    <w:name w:val="Brødtekst 3 Tegn"/>
    <w:link w:val="Brdtekst3"/>
    <w:rsid w:val="00D65A94"/>
    <w:rPr>
      <w:rFonts w:ascii="Cambria" w:hAnsi="Cambria"/>
      <w:sz w:val="16"/>
      <w:szCs w:val="16"/>
      <w:lang w:eastAsia="ar-SA"/>
    </w:rPr>
  </w:style>
  <w:style w:type="paragraph" w:styleId="Brdtekstindrykning">
    <w:name w:val="Body Text Indent"/>
    <w:basedOn w:val="Normal"/>
    <w:link w:val="BrdtekstindrykningTegn"/>
    <w:rsid w:val="00D65A94"/>
    <w:pPr>
      <w:widowControl/>
      <w:suppressAutoHyphens/>
      <w:autoSpaceDE/>
      <w:autoSpaceDN/>
      <w:adjustRightInd/>
      <w:ind w:left="283"/>
    </w:pPr>
    <w:rPr>
      <w:rFonts w:cs="Times New Roman"/>
      <w:lang w:eastAsia="ar-SA"/>
    </w:rPr>
  </w:style>
  <w:style w:type="character" w:customStyle="1" w:styleId="BrdtekstindrykningTegn">
    <w:name w:val="Brødtekstindrykning Tegn"/>
    <w:link w:val="Brdtekstindrykning"/>
    <w:rsid w:val="00D65A94"/>
    <w:rPr>
      <w:rFonts w:ascii="Cambria" w:hAnsi="Cambria"/>
      <w:sz w:val="24"/>
      <w:szCs w:val="24"/>
      <w:lang w:eastAsia="ar-SA"/>
    </w:rPr>
  </w:style>
  <w:style w:type="paragraph" w:customStyle="1" w:styleId="msonospacing0">
    <w:name w:val="msonospacing"/>
    <w:basedOn w:val="Normal"/>
    <w:rsid w:val="00D65A94"/>
    <w:pPr>
      <w:widowControl/>
      <w:autoSpaceDE/>
      <w:autoSpaceDN/>
      <w:adjustRightInd/>
    </w:pPr>
    <w:rPr>
      <w:rFonts w:ascii="Garamond" w:hAnsi="Garamond" w:cs="Times New Roman"/>
      <w:sz w:val="22"/>
      <w:szCs w:val="22"/>
    </w:rPr>
  </w:style>
  <w:style w:type="paragraph" w:styleId="Billedtekst">
    <w:name w:val="caption"/>
    <w:basedOn w:val="Normal"/>
    <w:next w:val="Normal"/>
    <w:qFormat/>
    <w:rsid w:val="00D65A94"/>
    <w:pPr>
      <w:suppressAutoHyphens/>
    </w:pPr>
    <w:rPr>
      <w:i/>
      <w:sz w:val="20"/>
      <w:szCs w:val="20"/>
      <w:lang w:eastAsia="ar-SA"/>
    </w:rPr>
  </w:style>
  <w:style w:type="character" w:customStyle="1" w:styleId="Overskrift1Tegn">
    <w:name w:val="Overskrift 1 Tegn"/>
    <w:link w:val="Overskrift1"/>
    <w:uiPriority w:val="99"/>
    <w:rsid w:val="00D65A94"/>
    <w:rPr>
      <w:rFonts w:ascii="Cambria" w:hAnsi="Cambria" w:cs="Arial"/>
      <w:b/>
      <w:bCs/>
      <w:caps/>
      <w:kern w:val="32"/>
      <w:sz w:val="32"/>
      <w:szCs w:val="32"/>
      <w:lang w:val="en-GB"/>
    </w:rPr>
  </w:style>
  <w:style w:type="paragraph" w:customStyle="1" w:styleId="Titel1">
    <w:name w:val="Titel1"/>
    <w:basedOn w:val="Normal"/>
    <w:rsid w:val="00D65A94"/>
    <w:pPr>
      <w:widowControl/>
      <w:autoSpaceDE/>
      <w:autoSpaceDN/>
      <w:adjustRightInd/>
      <w:spacing w:before="100" w:beforeAutospacing="1" w:after="100" w:afterAutospacing="1"/>
    </w:pPr>
    <w:rPr>
      <w:rFonts w:cs="Times New Roman"/>
    </w:rPr>
  </w:style>
  <w:style w:type="paragraph" w:customStyle="1" w:styleId="desc">
    <w:name w:val="desc"/>
    <w:basedOn w:val="Normal"/>
    <w:rsid w:val="00D65A94"/>
    <w:pPr>
      <w:widowControl/>
      <w:autoSpaceDE/>
      <w:autoSpaceDN/>
      <w:adjustRightInd/>
      <w:spacing w:before="100" w:beforeAutospacing="1" w:after="100" w:afterAutospacing="1"/>
    </w:pPr>
    <w:rPr>
      <w:rFonts w:cs="Times New Roman"/>
    </w:rPr>
  </w:style>
  <w:style w:type="paragraph" w:customStyle="1" w:styleId="details">
    <w:name w:val="details"/>
    <w:basedOn w:val="Normal"/>
    <w:rsid w:val="00D65A94"/>
    <w:pPr>
      <w:widowControl/>
      <w:autoSpaceDE/>
      <w:autoSpaceDN/>
      <w:adjustRightInd/>
      <w:spacing w:before="100" w:beforeAutospacing="1" w:after="100" w:afterAutospacing="1"/>
    </w:pPr>
    <w:rPr>
      <w:rFonts w:cs="Times New Roman"/>
    </w:rPr>
  </w:style>
  <w:style w:type="character" w:customStyle="1" w:styleId="jrnl">
    <w:name w:val="jrnl"/>
    <w:basedOn w:val="Standardskrifttypeiafsnit"/>
    <w:rsid w:val="00D65A94"/>
  </w:style>
  <w:style w:type="paragraph" w:customStyle="1" w:styleId="Farvetliste-fremhvningsfarve11">
    <w:name w:val="Farvet liste - fremhævningsfarve 11"/>
    <w:basedOn w:val="Normal"/>
    <w:uiPriority w:val="34"/>
    <w:qFormat/>
    <w:rsid w:val="00D65A94"/>
    <w:pPr>
      <w:widowControl/>
      <w:suppressAutoHyphens/>
      <w:autoSpaceDE/>
      <w:autoSpaceDN/>
      <w:adjustRightInd/>
      <w:ind w:left="720"/>
      <w:contextualSpacing/>
    </w:pPr>
    <w:rPr>
      <w:rFonts w:cs="Times New Roman"/>
      <w:lang w:eastAsia="ar-SA"/>
    </w:rPr>
  </w:style>
  <w:style w:type="character" w:customStyle="1" w:styleId="cit-first-element5">
    <w:name w:val="cit-first-element5"/>
    <w:rsid w:val="00D65A94"/>
    <w:rPr>
      <w:vanish w:val="0"/>
      <w:webHidden w:val="0"/>
      <w:color w:val="202020"/>
      <w:sz w:val="23"/>
      <w:szCs w:val="23"/>
      <w:specVanish/>
    </w:rPr>
  </w:style>
  <w:style w:type="character" w:customStyle="1" w:styleId="cit-sep2">
    <w:name w:val="cit-sep2"/>
    <w:basedOn w:val="Standardskrifttypeiafsnit"/>
    <w:rsid w:val="00D65A94"/>
  </w:style>
  <w:style w:type="character" w:customStyle="1" w:styleId="cit-title8">
    <w:name w:val="cit-title8"/>
    <w:rsid w:val="00D65A94"/>
    <w:rPr>
      <w:b/>
      <w:bCs/>
      <w:vanish w:val="0"/>
      <w:webHidden w:val="0"/>
      <w:color w:val="003767"/>
      <w:sz w:val="24"/>
      <w:szCs w:val="24"/>
      <w:specVanish/>
    </w:rPr>
  </w:style>
  <w:style w:type="character" w:customStyle="1" w:styleId="cit-print-date2">
    <w:name w:val="cit-print-date2"/>
    <w:basedOn w:val="Standardskrifttypeiafsnit"/>
    <w:rsid w:val="00D65A94"/>
  </w:style>
  <w:style w:type="character" w:customStyle="1" w:styleId="cit-vol2">
    <w:name w:val="cit-vol2"/>
    <w:basedOn w:val="Standardskrifttypeiafsnit"/>
    <w:rsid w:val="00D65A94"/>
  </w:style>
  <w:style w:type="character" w:customStyle="1" w:styleId="cit-issue">
    <w:name w:val="cit-issue"/>
    <w:basedOn w:val="Standardskrifttypeiafsnit"/>
    <w:rsid w:val="00D65A94"/>
  </w:style>
  <w:style w:type="character" w:customStyle="1" w:styleId="cit-first-page">
    <w:name w:val="cit-first-page"/>
    <w:basedOn w:val="Standardskrifttypeiafsnit"/>
    <w:rsid w:val="00D65A94"/>
  </w:style>
  <w:style w:type="character" w:customStyle="1" w:styleId="cit-last-page2">
    <w:name w:val="cit-last-page2"/>
    <w:basedOn w:val="Standardskrifttypeiafsnit"/>
    <w:rsid w:val="00D65A94"/>
  </w:style>
  <w:style w:type="character" w:customStyle="1" w:styleId="cit-doi3">
    <w:name w:val="cit-doi3"/>
    <w:basedOn w:val="Standardskrifttypeiafsnit"/>
    <w:rsid w:val="00D65A94"/>
  </w:style>
  <w:style w:type="paragraph" w:customStyle="1" w:styleId="Farvetliste-fremhvningsfarve111">
    <w:name w:val="Farvet liste - fremhævningsfarve 111"/>
    <w:basedOn w:val="Normal"/>
    <w:uiPriority w:val="34"/>
    <w:qFormat/>
    <w:rsid w:val="00294124"/>
    <w:pPr>
      <w:widowControl/>
      <w:autoSpaceDE/>
      <w:autoSpaceDN/>
      <w:adjustRightInd/>
      <w:spacing w:before="240" w:after="240"/>
      <w:ind w:left="720"/>
      <w:contextualSpacing/>
    </w:pPr>
    <w:rPr>
      <w:rFonts w:eastAsia="MS Gothic" w:cs="Times New Roman"/>
      <w:bCs/>
      <w:w w:val="107"/>
      <w:szCs w:val="22"/>
      <w:lang w:eastAsia="en-US"/>
    </w:rPr>
  </w:style>
  <w:style w:type="paragraph" w:styleId="Listeafsnit">
    <w:name w:val="List Paragraph"/>
    <w:basedOn w:val="Normal"/>
    <w:uiPriority w:val="34"/>
    <w:qFormat/>
    <w:rsid w:val="00EE169F"/>
    <w:pPr>
      <w:ind w:left="720"/>
      <w:contextualSpacing/>
    </w:pPr>
  </w:style>
  <w:style w:type="character" w:customStyle="1" w:styleId="apple-tab-span">
    <w:name w:val="apple-tab-span"/>
    <w:basedOn w:val="Standardskrifttypeiafsnit"/>
    <w:rsid w:val="00E979FC"/>
  </w:style>
  <w:style w:type="paragraph" w:styleId="Korrektur">
    <w:name w:val="Revision"/>
    <w:hidden/>
    <w:uiPriority w:val="99"/>
    <w:rsid w:val="00D872DE"/>
    <w:rPr>
      <w:rFonts w:ascii="Cambria" w:hAnsi="Cambria" w:cs="Garamond"/>
      <w:sz w:val="24"/>
      <w:szCs w:val="24"/>
      <w:lang w:val="en-GB"/>
    </w:rPr>
  </w:style>
  <w:style w:type="paragraph" w:customStyle="1" w:styleId="Ingenafstand1">
    <w:name w:val="Ingen afstand1"/>
    <w:basedOn w:val="Normal"/>
    <w:rsid w:val="00FD51B3"/>
    <w:pPr>
      <w:widowControl/>
      <w:autoSpaceDE/>
      <w:autoSpaceDN/>
      <w:adjustRightInd/>
      <w:spacing w:line="240" w:lineRule="auto"/>
      <w:jc w:val="left"/>
    </w:pPr>
    <w:rPr>
      <w:rFonts w:cs="Times New Roman"/>
      <w:sz w:val="22"/>
      <w:szCs w:val="22"/>
      <w:lang w:eastAsia="en-US"/>
    </w:rPr>
  </w:style>
  <w:style w:type="paragraph" w:customStyle="1" w:styleId="Ingenafstand11">
    <w:name w:val="Ingen afstand11"/>
    <w:basedOn w:val="Normal"/>
    <w:rsid w:val="00FD51B3"/>
    <w:pPr>
      <w:widowControl/>
      <w:autoSpaceDE/>
      <w:autoSpaceDN/>
      <w:adjustRightInd/>
      <w:spacing w:line="240" w:lineRule="auto"/>
      <w:jc w:val="left"/>
    </w:pPr>
    <w:rPr>
      <w:rFonts w:cs="Times New Roman"/>
      <w:sz w:val="22"/>
      <w:szCs w:val="22"/>
      <w:lang w:eastAsia="en-US"/>
    </w:rPr>
  </w:style>
  <w:style w:type="paragraph" w:customStyle="1" w:styleId="Ingenafstand2">
    <w:name w:val="Ingen afstand2"/>
    <w:rsid w:val="00FD51B3"/>
    <w:rPr>
      <w:rFonts w:ascii="Cambria" w:hAnsi="Cambria"/>
      <w:sz w:val="22"/>
      <w:szCs w:val="22"/>
      <w:lang w:val="en-US" w:eastAsia="en-US"/>
    </w:rPr>
  </w:style>
  <w:style w:type="paragraph" w:styleId="Ingenafstand">
    <w:name w:val="No Spacing"/>
    <w:uiPriority w:val="1"/>
    <w:qFormat/>
    <w:rsid w:val="00FD51B3"/>
    <w:rPr>
      <w:rFonts w:ascii="Cambria" w:hAnsi="Cambria"/>
      <w:sz w:val="22"/>
      <w:szCs w:val="22"/>
      <w:lang w:val="en-US" w:eastAsia="en-US"/>
    </w:rPr>
  </w:style>
  <w:style w:type="paragraph" w:styleId="Opstilling-talellerbogst">
    <w:name w:val="List Number"/>
    <w:basedOn w:val="Normal"/>
    <w:uiPriority w:val="99"/>
    <w:unhideWhenUsed/>
    <w:rsid w:val="00571C93"/>
    <w:pPr>
      <w:widowControl/>
      <w:numPr>
        <w:numId w:val="12"/>
      </w:numPr>
      <w:autoSpaceDE/>
      <w:autoSpaceDN/>
      <w:adjustRightInd/>
      <w:spacing w:after="200"/>
      <w:contextualSpacing/>
    </w:pPr>
    <w:rPr>
      <w:rFonts w:ascii="Times New Roman" w:eastAsiaTheme="minorHAnsi" w:hAnsi="Times New Roman" w:cs="Times New Roman"/>
      <w:szCs w:val="22"/>
      <w:lang w:eastAsia="en-US"/>
    </w:rPr>
  </w:style>
  <w:style w:type="paragraph" w:styleId="Fodnotetekst">
    <w:name w:val="footnote text"/>
    <w:basedOn w:val="Normal"/>
    <w:link w:val="FodnotetekstTegn"/>
    <w:uiPriority w:val="99"/>
    <w:unhideWhenUsed/>
    <w:rsid w:val="00571C93"/>
    <w:pPr>
      <w:widowControl/>
      <w:autoSpaceDE/>
      <w:autoSpaceDN/>
      <w:adjustRightInd/>
      <w:spacing w:line="240" w:lineRule="auto"/>
    </w:pPr>
    <w:rPr>
      <w:rFonts w:ascii="Times New Roman" w:eastAsiaTheme="minorHAnsi" w:hAnsi="Times New Roman" w:cs="Times New Roman"/>
      <w:sz w:val="20"/>
      <w:szCs w:val="20"/>
      <w:lang w:eastAsia="en-US"/>
    </w:rPr>
  </w:style>
  <w:style w:type="character" w:customStyle="1" w:styleId="FodnotetekstTegn">
    <w:name w:val="Fodnotetekst Tegn"/>
    <w:basedOn w:val="Standardskrifttypeiafsnit"/>
    <w:link w:val="Fodnotetekst"/>
    <w:uiPriority w:val="99"/>
    <w:rsid w:val="00571C93"/>
    <w:rPr>
      <w:rFonts w:eastAsiaTheme="minorHAnsi"/>
      <w:lang w:val="en-GB" w:eastAsia="en-US"/>
    </w:rPr>
  </w:style>
  <w:style w:type="character" w:customStyle="1" w:styleId="author1">
    <w:name w:val="author1"/>
    <w:basedOn w:val="Standardskrifttypeiafsnit"/>
    <w:rsid w:val="00CA1983"/>
    <w:rPr>
      <w:rFonts w:ascii="Verdana" w:hAnsi="Verdana" w:hint="default"/>
      <w:strike w:val="0"/>
      <w:dstrike w:val="0"/>
      <w:color w:val="000000"/>
      <w:sz w:val="20"/>
      <w:szCs w:val="20"/>
      <w:u w:val="none"/>
      <w:effect w:val="none"/>
    </w:rPr>
  </w:style>
  <w:style w:type="character" w:styleId="Strk">
    <w:name w:val="Strong"/>
    <w:uiPriority w:val="22"/>
    <w:qFormat/>
    <w:rsid w:val="00E3326E"/>
    <w:rPr>
      <w:b/>
      <w:bCs/>
    </w:rPr>
  </w:style>
  <w:style w:type="table" w:customStyle="1" w:styleId="Lysskygge1">
    <w:name w:val="Lys skygge1"/>
    <w:basedOn w:val="Tabel-Normal"/>
    <w:uiPriority w:val="60"/>
    <w:rsid w:val="00893F00"/>
    <w:rPr>
      <w:color w:val="000000" w:themeColor="text1" w:themeShade="BF"/>
      <w:lang w:val="en-US"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lmindeligtekst">
    <w:name w:val="Plain Text"/>
    <w:basedOn w:val="Normal"/>
    <w:link w:val="AlmindeligtekstTegn"/>
    <w:uiPriority w:val="99"/>
    <w:unhideWhenUsed/>
    <w:rsid w:val="00F5281A"/>
    <w:pPr>
      <w:widowControl/>
      <w:autoSpaceDE/>
      <w:autoSpaceDN/>
      <w:adjustRightInd/>
      <w:spacing w:line="240" w:lineRule="auto"/>
      <w:jc w:val="left"/>
    </w:pPr>
    <w:rPr>
      <w:rFonts w:ascii="Consolas" w:eastAsiaTheme="minorHAnsi" w:hAnsi="Consolas" w:cs="Consolas"/>
      <w:sz w:val="21"/>
      <w:szCs w:val="21"/>
      <w:lang w:eastAsia="en-US"/>
    </w:rPr>
  </w:style>
  <w:style w:type="character" w:customStyle="1" w:styleId="AlmindeligtekstTegn">
    <w:name w:val="Almindelig tekst Tegn"/>
    <w:basedOn w:val="Standardskrifttypeiafsnit"/>
    <w:link w:val="Almindeligtekst"/>
    <w:uiPriority w:val="99"/>
    <w:rsid w:val="00F5281A"/>
    <w:rPr>
      <w:rFonts w:ascii="Consolas" w:eastAsiaTheme="minorHAnsi" w:hAnsi="Consolas" w:cs="Consolas"/>
      <w:sz w:val="21"/>
      <w:szCs w:val="21"/>
      <w:lang w:eastAsia="en-US"/>
    </w:rPr>
  </w:style>
  <w:style w:type="character" w:customStyle="1" w:styleId="MarkeringsbobletekstTegn">
    <w:name w:val="Markeringsbobletekst Tegn"/>
    <w:basedOn w:val="Standardskrifttypeiafsnit"/>
    <w:link w:val="Markeringsbobletekst"/>
    <w:uiPriority w:val="99"/>
    <w:semiHidden/>
    <w:rsid w:val="00636DF4"/>
    <w:rPr>
      <w:rFonts w:ascii="Tahoma" w:hAnsi="Tahoma" w:cs="Tahoma"/>
      <w:sz w:val="16"/>
      <w:szCs w:val="16"/>
      <w:lang w:val="en-GB"/>
    </w:rPr>
  </w:style>
  <w:style w:type="character" w:customStyle="1" w:styleId="KommentaremneTegn">
    <w:name w:val="Kommentaremne Tegn"/>
    <w:basedOn w:val="KommentartekstTegn"/>
    <w:link w:val="Kommentaremne"/>
    <w:uiPriority w:val="99"/>
    <w:semiHidden/>
    <w:rsid w:val="00636DF4"/>
    <w:rPr>
      <w:rFonts w:ascii="Cambria" w:hAnsi="Cambria" w:cs="Garamond"/>
      <w:b/>
      <w:bCs/>
      <w:lang w:val="en-GB"/>
    </w:rPr>
  </w:style>
  <w:style w:type="paragraph" w:customStyle="1" w:styleId="Title1">
    <w:name w:val="Title1"/>
    <w:basedOn w:val="Normal"/>
    <w:rsid w:val="00636DF4"/>
    <w:pPr>
      <w:widowControl/>
      <w:autoSpaceDE/>
      <w:autoSpaceDN/>
      <w:adjustRightInd/>
      <w:spacing w:before="100" w:beforeAutospacing="1" w:after="100" w:afterAutospacing="1"/>
    </w:pPr>
    <w:rPr>
      <w:rFonts w:cs="Times New Roman"/>
    </w:rPr>
  </w:style>
  <w:style w:type="paragraph" w:styleId="Brdtekstindrykning3">
    <w:name w:val="Body Text Indent 3"/>
    <w:basedOn w:val="Normal"/>
    <w:link w:val="Brdtekstindrykning3Tegn"/>
    <w:rsid w:val="00636DF4"/>
    <w:pPr>
      <w:ind w:left="360"/>
    </w:pPr>
    <w:rPr>
      <w:sz w:val="16"/>
      <w:szCs w:val="16"/>
    </w:rPr>
  </w:style>
  <w:style w:type="character" w:customStyle="1" w:styleId="Brdtekstindrykning3Tegn">
    <w:name w:val="Brødtekstindrykning 3 Tegn"/>
    <w:basedOn w:val="Standardskrifttypeiafsnit"/>
    <w:link w:val="Brdtekstindrykning3"/>
    <w:rsid w:val="00636DF4"/>
    <w:rPr>
      <w:rFonts w:ascii="Cambria" w:hAnsi="Cambria" w:cs="Garamond"/>
      <w:sz w:val="16"/>
      <w:szCs w:val="16"/>
      <w:lang w:val="en-US"/>
    </w:rPr>
  </w:style>
  <w:style w:type="paragraph" w:styleId="Brdtekstindrykning2">
    <w:name w:val="Body Text Indent 2"/>
    <w:basedOn w:val="Normal"/>
    <w:link w:val="Brdtekstindrykning2Tegn"/>
    <w:rsid w:val="00636DF4"/>
    <w:pPr>
      <w:spacing w:line="480" w:lineRule="auto"/>
      <w:ind w:left="360"/>
    </w:pPr>
  </w:style>
  <w:style w:type="character" w:customStyle="1" w:styleId="Brdtekstindrykning2Tegn">
    <w:name w:val="Brødtekstindrykning 2 Tegn"/>
    <w:basedOn w:val="Standardskrifttypeiafsnit"/>
    <w:link w:val="Brdtekstindrykning2"/>
    <w:rsid w:val="00636DF4"/>
    <w:rPr>
      <w:rFonts w:ascii="Cambria" w:hAnsi="Cambria" w:cs="Garamond"/>
      <w:sz w:val="24"/>
      <w:szCs w:val="24"/>
      <w:lang w:val="en-US"/>
    </w:rPr>
  </w:style>
  <w:style w:type="table" w:customStyle="1" w:styleId="Lysliste1">
    <w:name w:val="Lys liste1"/>
    <w:basedOn w:val="Tabel-Normal"/>
    <w:uiPriority w:val="61"/>
    <w:rsid w:val="00636DF4"/>
    <w:rPr>
      <w:rFonts w:asciiTheme="minorHAnsi" w:eastAsiaTheme="minorHAnsi"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title10">
    <w:name w:val="title1"/>
    <w:basedOn w:val="Normal"/>
    <w:rsid w:val="00636DF4"/>
    <w:pPr>
      <w:widowControl/>
      <w:autoSpaceDE/>
      <w:autoSpaceDN/>
      <w:adjustRightInd/>
      <w:spacing w:line="240" w:lineRule="auto"/>
      <w:jc w:val="left"/>
    </w:pPr>
    <w:rPr>
      <w:rFonts w:ascii="Times New Roman" w:hAnsi="Times New Roman" w:cs="Times New Roman"/>
      <w:sz w:val="27"/>
      <w:szCs w:val="27"/>
    </w:rPr>
  </w:style>
  <w:style w:type="paragraph" w:customStyle="1" w:styleId="desc2">
    <w:name w:val="desc2"/>
    <w:basedOn w:val="Normal"/>
    <w:rsid w:val="00636DF4"/>
    <w:pPr>
      <w:widowControl/>
      <w:autoSpaceDE/>
      <w:autoSpaceDN/>
      <w:adjustRightInd/>
      <w:spacing w:line="240" w:lineRule="auto"/>
      <w:jc w:val="left"/>
    </w:pPr>
    <w:rPr>
      <w:rFonts w:ascii="Times New Roman" w:hAnsi="Times New Roman" w:cs="Times New Roman"/>
      <w:sz w:val="26"/>
      <w:szCs w:val="26"/>
    </w:rPr>
  </w:style>
  <w:style w:type="paragraph" w:customStyle="1" w:styleId="details1">
    <w:name w:val="details1"/>
    <w:basedOn w:val="Normal"/>
    <w:rsid w:val="00636DF4"/>
    <w:pPr>
      <w:widowControl/>
      <w:autoSpaceDE/>
      <w:autoSpaceDN/>
      <w:adjustRightInd/>
      <w:spacing w:line="240" w:lineRule="auto"/>
      <w:jc w:val="left"/>
    </w:pPr>
    <w:rPr>
      <w:rFonts w:ascii="Times New Roman" w:hAnsi="Times New Roman" w:cs="Times New Roman"/>
      <w:sz w:val="22"/>
      <w:szCs w:val="22"/>
    </w:rPr>
  </w:style>
  <w:style w:type="paragraph" w:styleId="Titel">
    <w:name w:val="Title"/>
    <w:basedOn w:val="Normal"/>
    <w:next w:val="Normal"/>
    <w:link w:val="TitelTegn"/>
    <w:qFormat/>
    <w:rsid w:val="008C74AF"/>
    <w:pPr>
      <w:spacing w:before="0" w:after="300" w:line="240" w:lineRule="auto"/>
      <w:contextualSpacing/>
    </w:pPr>
    <w:rPr>
      <w:rFonts w:asciiTheme="majorHAnsi" w:eastAsiaTheme="majorEastAsia" w:hAnsiTheme="majorHAnsi" w:cstheme="majorBidi"/>
      <w:b/>
      <w:spacing w:val="5"/>
      <w:kern w:val="28"/>
      <w:sz w:val="30"/>
      <w:szCs w:val="30"/>
    </w:rPr>
  </w:style>
  <w:style w:type="character" w:customStyle="1" w:styleId="TitelTegn">
    <w:name w:val="Titel Tegn"/>
    <w:basedOn w:val="Standardskrifttypeiafsnit"/>
    <w:link w:val="Titel"/>
    <w:rsid w:val="008C74AF"/>
    <w:rPr>
      <w:rFonts w:asciiTheme="majorHAnsi" w:eastAsiaTheme="majorEastAsia" w:hAnsiTheme="majorHAnsi" w:cstheme="majorBidi"/>
      <w:b/>
      <w:spacing w:val="5"/>
      <w:kern w:val="28"/>
      <w:sz w:val="30"/>
      <w:szCs w:val="30"/>
      <w:lang w:val="en-US"/>
    </w:rPr>
  </w:style>
  <w:style w:type="table" w:customStyle="1" w:styleId="Lysskygge11">
    <w:name w:val="Lys skygge11"/>
    <w:basedOn w:val="Tabel-Normal"/>
    <w:uiPriority w:val="60"/>
    <w:rsid w:val="003E1DCA"/>
    <w:pPr>
      <w:spacing w:line="240" w:lineRule="auto"/>
    </w:pPr>
    <w:rPr>
      <w:color w:val="000000"/>
      <w:lang w:val="en-US"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SidefodTegn">
    <w:name w:val="Sidefod Tegn"/>
    <w:basedOn w:val="Standardskrifttypeiafsnit"/>
    <w:link w:val="Sidefod"/>
    <w:uiPriority w:val="99"/>
    <w:rsid w:val="00A11FAD"/>
    <w:rPr>
      <w:rFonts w:ascii="Cambria" w:hAnsi="Cambria" w:cs="Garamond"/>
      <w:sz w:val="24"/>
      <w:szCs w:val="24"/>
      <w:lang w:val="en-US"/>
    </w:rPr>
  </w:style>
  <w:style w:type="paragraph" w:styleId="Opstilling-punkttegn">
    <w:name w:val="List Bullet"/>
    <w:basedOn w:val="Normal"/>
    <w:unhideWhenUsed/>
    <w:rsid w:val="00335557"/>
    <w:pPr>
      <w:numPr>
        <w:numId w:val="38"/>
      </w:numPr>
      <w:contextualSpacing/>
    </w:pPr>
  </w:style>
  <w:style w:type="character" w:styleId="Linjenummer">
    <w:name w:val="line number"/>
    <w:basedOn w:val="Standardskrifttypeiafsnit"/>
    <w:semiHidden/>
    <w:unhideWhenUsed/>
    <w:rsid w:val="008927AA"/>
  </w:style>
  <w:style w:type="character" w:customStyle="1" w:styleId="journaltitle">
    <w:name w:val="journaltitle"/>
    <w:basedOn w:val="Standardskrifttypeiafsnit"/>
    <w:rsid w:val="008A45D2"/>
  </w:style>
  <w:style w:type="character" w:customStyle="1" w:styleId="articlecitationyear">
    <w:name w:val="articlecitation_year"/>
    <w:basedOn w:val="Standardskrifttypeiafsnit"/>
    <w:rsid w:val="008A45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48401">
      <w:bodyDiv w:val="1"/>
      <w:marLeft w:val="0"/>
      <w:marRight w:val="0"/>
      <w:marTop w:val="0"/>
      <w:marBottom w:val="0"/>
      <w:divBdr>
        <w:top w:val="none" w:sz="0" w:space="0" w:color="auto"/>
        <w:left w:val="none" w:sz="0" w:space="0" w:color="auto"/>
        <w:bottom w:val="none" w:sz="0" w:space="0" w:color="auto"/>
        <w:right w:val="none" w:sz="0" w:space="0" w:color="auto"/>
      </w:divBdr>
    </w:div>
    <w:div w:id="22752569">
      <w:bodyDiv w:val="1"/>
      <w:marLeft w:val="0"/>
      <w:marRight w:val="0"/>
      <w:marTop w:val="0"/>
      <w:marBottom w:val="0"/>
      <w:divBdr>
        <w:top w:val="none" w:sz="0" w:space="0" w:color="auto"/>
        <w:left w:val="none" w:sz="0" w:space="0" w:color="auto"/>
        <w:bottom w:val="none" w:sz="0" w:space="0" w:color="auto"/>
        <w:right w:val="none" w:sz="0" w:space="0" w:color="auto"/>
      </w:divBdr>
    </w:div>
    <w:div w:id="35203516">
      <w:bodyDiv w:val="1"/>
      <w:marLeft w:val="0"/>
      <w:marRight w:val="0"/>
      <w:marTop w:val="0"/>
      <w:marBottom w:val="0"/>
      <w:divBdr>
        <w:top w:val="none" w:sz="0" w:space="0" w:color="auto"/>
        <w:left w:val="none" w:sz="0" w:space="0" w:color="auto"/>
        <w:bottom w:val="none" w:sz="0" w:space="0" w:color="auto"/>
        <w:right w:val="none" w:sz="0" w:space="0" w:color="auto"/>
      </w:divBdr>
    </w:div>
    <w:div w:id="65953613">
      <w:bodyDiv w:val="1"/>
      <w:marLeft w:val="0"/>
      <w:marRight w:val="0"/>
      <w:marTop w:val="0"/>
      <w:marBottom w:val="0"/>
      <w:divBdr>
        <w:top w:val="none" w:sz="0" w:space="0" w:color="auto"/>
        <w:left w:val="none" w:sz="0" w:space="0" w:color="auto"/>
        <w:bottom w:val="none" w:sz="0" w:space="0" w:color="auto"/>
        <w:right w:val="none" w:sz="0" w:space="0" w:color="auto"/>
      </w:divBdr>
      <w:divsChild>
        <w:div w:id="1006402142">
          <w:marLeft w:val="0"/>
          <w:marRight w:val="0"/>
          <w:marTop w:val="100"/>
          <w:marBottom w:val="100"/>
          <w:divBdr>
            <w:top w:val="none" w:sz="0" w:space="0" w:color="auto"/>
            <w:left w:val="none" w:sz="0" w:space="0" w:color="auto"/>
            <w:bottom w:val="none" w:sz="0" w:space="0" w:color="auto"/>
            <w:right w:val="none" w:sz="0" w:space="0" w:color="auto"/>
          </w:divBdr>
          <w:divsChild>
            <w:div w:id="116149925">
              <w:marLeft w:val="0"/>
              <w:marRight w:val="0"/>
              <w:marTop w:val="0"/>
              <w:marBottom w:val="0"/>
              <w:divBdr>
                <w:top w:val="none" w:sz="0" w:space="0" w:color="auto"/>
                <w:left w:val="none" w:sz="0" w:space="0" w:color="auto"/>
                <w:bottom w:val="none" w:sz="0" w:space="0" w:color="auto"/>
                <w:right w:val="none" w:sz="0" w:space="0" w:color="auto"/>
              </w:divBdr>
              <w:divsChild>
                <w:div w:id="1667516224">
                  <w:marLeft w:val="105"/>
                  <w:marRight w:val="105"/>
                  <w:marTop w:val="105"/>
                  <w:marBottom w:val="105"/>
                  <w:divBdr>
                    <w:top w:val="none" w:sz="0" w:space="0" w:color="auto"/>
                    <w:left w:val="none" w:sz="0" w:space="0" w:color="auto"/>
                    <w:bottom w:val="none" w:sz="0" w:space="0" w:color="auto"/>
                    <w:right w:val="none" w:sz="0" w:space="0" w:color="auto"/>
                  </w:divBdr>
                  <w:divsChild>
                    <w:div w:id="1954287129">
                      <w:marLeft w:val="0"/>
                      <w:marRight w:val="0"/>
                      <w:marTop w:val="0"/>
                      <w:marBottom w:val="0"/>
                      <w:divBdr>
                        <w:top w:val="none" w:sz="0" w:space="0" w:color="auto"/>
                        <w:left w:val="none" w:sz="0" w:space="0" w:color="auto"/>
                        <w:bottom w:val="none" w:sz="0" w:space="0" w:color="auto"/>
                        <w:right w:val="none" w:sz="0" w:space="0" w:color="auto"/>
                      </w:divBdr>
                      <w:divsChild>
                        <w:div w:id="1524055474">
                          <w:marLeft w:val="0"/>
                          <w:marRight w:val="0"/>
                          <w:marTop w:val="0"/>
                          <w:marBottom w:val="0"/>
                          <w:divBdr>
                            <w:top w:val="none" w:sz="0" w:space="0" w:color="auto"/>
                            <w:left w:val="none" w:sz="0" w:space="0" w:color="auto"/>
                            <w:bottom w:val="none" w:sz="0" w:space="0" w:color="auto"/>
                            <w:right w:val="none" w:sz="0" w:space="0" w:color="auto"/>
                          </w:divBdr>
                          <w:divsChild>
                            <w:div w:id="2043943426">
                              <w:marLeft w:val="0"/>
                              <w:marRight w:val="0"/>
                              <w:marTop w:val="0"/>
                              <w:marBottom w:val="0"/>
                              <w:divBdr>
                                <w:top w:val="none" w:sz="0" w:space="0" w:color="auto"/>
                                <w:left w:val="none" w:sz="0" w:space="0" w:color="auto"/>
                                <w:bottom w:val="none" w:sz="0" w:space="0" w:color="auto"/>
                                <w:right w:val="none" w:sz="0" w:space="0" w:color="auto"/>
                              </w:divBdr>
                              <w:divsChild>
                                <w:div w:id="452096872">
                                  <w:marLeft w:val="0"/>
                                  <w:marRight w:val="0"/>
                                  <w:marTop w:val="0"/>
                                  <w:marBottom w:val="0"/>
                                  <w:divBdr>
                                    <w:top w:val="none" w:sz="0" w:space="0" w:color="auto"/>
                                    <w:left w:val="none" w:sz="0" w:space="0" w:color="auto"/>
                                    <w:bottom w:val="none" w:sz="0" w:space="0" w:color="auto"/>
                                    <w:right w:val="none" w:sz="0" w:space="0" w:color="auto"/>
                                  </w:divBdr>
                                  <w:divsChild>
                                    <w:div w:id="1437290045">
                                      <w:marLeft w:val="105"/>
                                      <w:marRight w:val="105"/>
                                      <w:marTop w:val="105"/>
                                      <w:marBottom w:val="105"/>
                                      <w:divBdr>
                                        <w:top w:val="none" w:sz="0" w:space="0" w:color="auto"/>
                                        <w:left w:val="none" w:sz="0" w:space="0" w:color="auto"/>
                                        <w:bottom w:val="none" w:sz="0" w:space="0" w:color="auto"/>
                                        <w:right w:val="none" w:sz="0" w:space="0" w:color="auto"/>
                                      </w:divBdr>
                                      <w:divsChild>
                                        <w:div w:id="1837912295">
                                          <w:marLeft w:val="0"/>
                                          <w:marRight w:val="0"/>
                                          <w:marTop w:val="0"/>
                                          <w:marBottom w:val="0"/>
                                          <w:divBdr>
                                            <w:top w:val="none" w:sz="0" w:space="0" w:color="auto"/>
                                            <w:left w:val="none" w:sz="0" w:space="0" w:color="auto"/>
                                            <w:bottom w:val="none" w:sz="0" w:space="0" w:color="auto"/>
                                            <w:right w:val="none" w:sz="0" w:space="0" w:color="auto"/>
                                          </w:divBdr>
                                          <w:divsChild>
                                            <w:div w:id="296565363">
                                              <w:marLeft w:val="0"/>
                                              <w:marRight w:val="0"/>
                                              <w:marTop w:val="0"/>
                                              <w:marBottom w:val="0"/>
                                              <w:divBdr>
                                                <w:top w:val="none" w:sz="0" w:space="0" w:color="auto"/>
                                                <w:left w:val="none" w:sz="0" w:space="0" w:color="auto"/>
                                                <w:bottom w:val="none" w:sz="0" w:space="0" w:color="auto"/>
                                                <w:right w:val="none" w:sz="0" w:space="0" w:color="auto"/>
                                              </w:divBdr>
                                              <w:divsChild>
                                                <w:div w:id="1972398324">
                                                  <w:marLeft w:val="105"/>
                                                  <w:marRight w:val="105"/>
                                                  <w:marTop w:val="105"/>
                                                  <w:marBottom w:val="105"/>
                                                  <w:divBdr>
                                                    <w:top w:val="none" w:sz="0" w:space="0" w:color="auto"/>
                                                    <w:left w:val="none" w:sz="0" w:space="0" w:color="auto"/>
                                                    <w:bottom w:val="none" w:sz="0" w:space="0" w:color="auto"/>
                                                    <w:right w:val="none" w:sz="0" w:space="0" w:color="auto"/>
                                                  </w:divBdr>
                                                  <w:divsChild>
                                                    <w:div w:id="2068408123">
                                                      <w:marLeft w:val="0"/>
                                                      <w:marRight w:val="0"/>
                                                      <w:marTop w:val="0"/>
                                                      <w:marBottom w:val="0"/>
                                                      <w:divBdr>
                                                        <w:top w:val="none" w:sz="0" w:space="0" w:color="auto"/>
                                                        <w:left w:val="none" w:sz="0" w:space="0" w:color="auto"/>
                                                        <w:bottom w:val="none" w:sz="0" w:space="0" w:color="auto"/>
                                                        <w:right w:val="none" w:sz="0" w:space="0" w:color="auto"/>
                                                      </w:divBdr>
                                                      <w:divsChild>
                                                        <w:div w:id="758916368">
                                                          <w:marLeft w:val="0"/>
                                                          <w:marRight w:val="0"/>
                                                          <w:marTop w:val="0"/>
                                                          <w:marBottom w:val="0"/>
                                                          <w:divBdr>
                                                            <w:top w:val="none" w:sz="0" w:space="0" w:color="auto"/>
                                                            <w:left w:val="none" w:sz="0" w:space="0" w:color="auto"/>
                                                            <w:bottom w:val="none" w:sz="0" w:space="0" w:color="auto"/>
                                                            <w:right w:val="none" w:sz="0" w:space="0" w:color="auto"/>
                                                          </w:divBdr>
                                                          <w:divsChild>
                                                            <w:div w:id="404189180">
                                                              <w:marLeft w:val="0"/>
                                                              <w:marRight w:val="0"/>
                                                              <w:marTop w:val="0"/>
                                                              <w:marBottom w:val="0"/>
                                                              <w:divBdr>
                                                                <w:top w:val="none" w:sz="0" w:space="0" w:color="auto"/>
                                                                <w:left w:val="none" w:sz="0" w:space="0" w:color="auto"/>
                                                                <w:bottom w:val="none" w:sz="0" w:space="0" w:color="auto"/>
                                                                <w:right w:val="none" w:sz="0" w:space="0" w:color="auto"/>
                                                              </w:divBdr>
                                                              <w:divsChild>
                                                                <w:div w:id="1566526256">
                                                                  <w:marLeft w:val="0"/>
                                                                  <w:marRight w:val="0"/>
                                                                  <w:marTop w:val="0"/>
                                                                  <w:marBottom w:val="0"/>
                                                                  <w:divBdr>
                                                                    <w:top w:val="none" w:sz="0" w:space="0" w:color="auto"/>
                                                                    <w:left w:val="none" w:sz="0" w:space="0" w:color="auto"/>
                                                                    <w:bottom w:val="none" w:sz="0" w:space="0" w:color="auto"/>
                                                                    <w:right w:val="none" w:sz="0" w:space="0" w:color="auto"/>
                                                                  </w:divBdr>
                                                                  <w:divsChild>
                                                                    <w:div w:id="1603493790">
                                                                      <w:marLeft w:val="0"/>
                                                                      <w:marRight w:val="0"/>
                                                                      <w:marTop w:val="0"/>
                                                                      <w:marBottom w:val="0"/>
                                                                      <w:divBdr>
                                                                        <w:top w:val="none" w:sz="0" w:space="0" w:color="auto"/>
                                                                        <w:left w:val="none" w:sz="0" w:space="0" w:color="auto"/>
                                                                        <w:bottom w:val="none" w:sz="0" w:space="0" w:color="auto"/>
                                                                        <w:right w:val="none" w:sz="0" w:space="0" w:color="auto"/>
                                                                      </w:divBdr>
                                                                      <w:divsChild>
                                                                        <w:div w:id="762726047">
                                                                          <w:marLeft w:val="0"/>
                                                                          <w:marRight w:val="0"/>
                                                                          <w:marTop w:val="0"/>
                                                                          <w:marBottom w:val="0"/>
                                                                          <w:divBdr>
                                                                            <w:top w:val="none" w:sz="0" w:space="0" w:color="auto"/>
                                                                            <w:left w:val="none" w:sz="0" w:space="0" w:color="auto"/>
                                                                            <w:bottom w:val="none" w:sz="0" w:space="0" w:color="auto"/>
                                                                            <w:right w:val="none" w:sz="0" w:space="0" w:color="auto"/>
                                                                          </w:divBdr>
                                                                          <w:divsChild>
                                                                            <w:div w:id="246689573">
                                                                              <w:marLeft w:val="105"/>
                                                                              <w:marRight w:val="105"/>
                                                                              <w:marTop w:val="105"/>
                                                                              <w:marBottom w:val="105"/>
                                                                              <w:divBdr>
                                                                                <w:top w:val="none" w:sz="0" w:space="0" w:color="auto"/>
                                                                                <w:left w:val="none" w:sz="0" w:space="0" w:color="auto"/>
                                                                                <w:bottom w:val="none" w:sz="0" w:space="0" w:color="auto"/>
                                                                                <w:right w:val="none" w:sz="0" w:space="0" w:color="auto"/>
                                                                              </w:divBdr>
                                                                              <w:divsChild>
                                                                                <w:div w:id="860169062">
                                                                                  <w:marLeft w:val="0"/>
                                                                                  <w:marRight w:val="0"/>
                                                                                  <w:marTop w:val="0"/>
                                                                                  <w:marBottom w:val="0"/>
                                                                                  <w:divBdr>
                                                                                    <w:top w:val="none" w:sz="0" w:space="0" w:color="auto"/>
                                                                                    <w:left w:val="none" w:sz="0" w:space="0" w:color="auto"/>
                                                                                    <w:bottom w:val="none" w:sz="0" w:space="0" w:color="auto"/>
                                                                                    <w:right w:val="none" w:sz="0" w:space="0" w:color="auto"/>
                                                                                  </w:divBdr>
                                                                                  <w:divsChild>
                                                                                    <w:div w:id="65472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8497">
      <w:bodyDiv w:val="1"/>
      <w:marLeft w:val="0"/>
      <w:marRight w:val="0"/>
      <w:marTop w:val="0"/>
      <w:marBottom w:val="0"/>
      <w:divBdr>
        <w:top w:val="none" w:sz="0" w:space="0" w:color="auto"/>
        <w:left w:val="none" w:sz="0" w:space="0" w:color="auto"/>
        <w:bottom w:val="none" w:sz="0" w:space="0" w:color="auto"/>
        <w:right w:val="none" w:sz="0" w:space="0" w:color="auto"/>
      </w:divBdr>
      <w:divsChild>
        <w:div w:id="211817016">
          <w:marLeft w:val="0"/>
          <w:marRight w:val="0"/>
          <w:marTop w:val="0"/>
          <w:marBottom w:val="0"/>
          <w:divBdr>
            <w:top w:val="none" w:sz="0" w:space="0" w:color="auto"/>
            <w:left w:val="none" w:sz="0" w:space="0" w:color="auto"/>
            <w:bottom w:val="none" w:sz="0" w:space="0" w:color="auto"/>
            <w:right w:val="none" w:sz="0" w:space="0" w:color="auto"/>
          </w:divBdr>
          <w:divsChild>
            <w:div w:id="1107240045">
              <w:marLeft w:val="0"/>
              <w:marRight w:val="0"/>
              <w:marTop w:val="0"/>
              <w:marBottom w:val="0"/>
              <w:divBdr>
                <w:top w:val="none" w:sz="0" w:space="0" w:color="auto"/>
                <w:left w:val="none" w:sz="0" w:space="0" w:color="auto"/>
                <w:bottom w:val="none" w:sz="0" w:space="0" w:color="auto"/>
                <w:right w:val="none" w:sz="0" w:space="0" w:color="auto"/>
              </w:divBdr>
              <w:divsChild>
                <w:div w:id="383798145">
                  <w:marLeft w:val="0"/>
                  <w:marRight w:val="0"/>
                  <w:marTop w:val="0"/>
                  <w:marBottom w:val="0"/>
                  <w:divBdr>
                    <w:top w:val="none" w:sz="0" w:space="0" w:color="auto"/>
                    <w:left w:val="none" w:sz="0" w:space="0" w:color="auto"/>
                    <w:bottom w:val="none" w:sz="0" w:space="0" w:color="auto"/>
                    <w:right w:val="none" w:sz="0" w:space="0" w:color="auto"/>
                  </w:divBdr>
                  <w:divsChild>
                    <w:div w:id="1861039962">
                      <w:marLeft w:val="0"/>
                      <w:marRight w:val="0"/>
                      <w:marTop w:val="0"/>
                      <w:marBottom w:val="0"/>
                      <w:divBdr>
                        <w:top w:val="none" w:sz="0" w:space="0" w:color="auto"/>
                        <w:left w:val="none" w:sz="0" w:space="0" w:color="auto"/>
                        <w:bottom w:val="none" w:sz="0" w:space="0" w:color="auto"/>
                        <w:right w:val="none" w:sz="0" w:space="0" w:color="auto"/>
                      </w:divBdr>
                      <w:divsChild>
                        <w:div w:id="907812285">
                          <w:marLeft w:val="0"/>
                          <w:marRight w:val="0"/>
                          <w:marTop w:val="0"/>
                          <w:marBottom w:val="0"/>
                          <w:divBdr>
                            <w:top w:val="none" w:sz="0" w:space="0" w:color="auto"/>
                            <w:left w:val="none" w:sz="0" w:space="0" w:color="auto"/>
                            <w:bottom w:val="none" w:sz="0" w:space="0" w:color="auto"/>
                            <w:right w:val="none" w:sz="0" w:space="0" w:color="auto"/>
                          </w:divBdr>
                          <w:divsChild>
                            <w:div w:id="1532722373">
                              <w:marLeft w:val="0"/>
                              <w:marRight w:val="0"/>
                              <w:marTop w:val="0"/>
                              <w:marBottom w:val="0"/>
                              <w:divBdr>
                                <w:top w:val="none" w:sz="0" w:space="0" w:color="auto"/>
                                <w:left w:val="none" w:sz="0" w:space="0" w:color="auto"/>
                                <w:bottom w:val="none" w:sz="0" w:space="0" w:color="auto"/>
                                <w:right w:val="none" w:sz="0" w:space="0" w:color="auto"/>
                              </w:divBdr>
                              <w:divsChild>
                                <w:div w:id="247691742">
                                  <w:marLeft w:val="0"/>
                                  <w:marRight w:val="0"/>
                                  <w:marTop w:val="0"/>
                                  <w:marBottom w:val="0"/>
                                  <w:divBdr>
                                    <w:top w:val="none" w:sz="0" w:space="0" w:color="auto"/>
                                    <w:left w:val="none" w:sz="0" w:space="0" w:color="auto"/>
                                    <w:bottom w:val="none" w:sz="0" w:space="0" w:color="auto"/>
                                    <w:right w:val="none" w:sz="0" w:space="0" w:color="auto"/>
                                  </w:divBdr>
                                  <w:divsChild>
                                    <w:div w:id="648436311">
                                      <w:marLeft w:val="0"/>
                                      <w:marRight w:val="0"/>
                                      <w:marTop w:val="0"/>
                                      <w:marBottom w:val="0"/>
                                      <w:divBdr>
                                        <w:top w:val="none" w:sz="0" w:space="0" w:color="auto"/>
                                        <w:left w:val="none" w:sz="0" w:space="0" w:color="auto"/>
                                        <w:bottom w:val="none" w:sz="0" w:space="0" w:color="auto"/>
                                        <w:right w:val="none" w:sz="0" w:space="0" w:color="auto"/>
                                      </w:divBdr>
                                    </w:div>
                                    <w:div w:id="1604920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379428">
      <w:bodyDiv w:val="1"/>
      <w:marLeft w:val="0"/>
      <w:marRight w:val="0"/>
      <w:marTop w:val="0"/>
      <w:marBottom w:val="0"/>
      <w:divBdr>
        <w:top w:val="none" w:sz="0" w:space="0" w:color="auto"/>
        <w:left w:val="none" w:sz="0" w:space="0" w:color="auto"/>
        <w:bottom w:val="none" w:sz="0" w:space="0" w:color="auto"/>
        <w:right w:val="none" w:sz="0" w:space="0" w:color="auto"/>
      </w:divBdr>
    </w:div>
    <w:div w:id="106002181">
      <w:bodyDiv w:val="1"/>
      <w:marLeft w:val="0"/>
      <w:marRight w:val="0"/>
      <w:marTop w:val="0"/>
      <w:marBottom w:val="0"/>
      <w:divBdr>
        <w:top w:val="none" w:sz="0" w:space="0" w:color="auto"/>
        <w:left w:val="none" w:sz="0" w:space="0" w:color="auto"/>
        <w:bottom w:val="none" w:sz="0" w:space="0" w:color="auto"/>
        <w:right w:val="none" w:sz="0" w:space="0" w:color="auto"/>
      </w:divBdr>
    </w:div>
    <w:div w:id="149568333">
      <w:bodyDiv w:val="1"/>
      <w:marLeft w:val="0"/>
      <w:marRight w:val="0"/>
      <w:marTop w:val="0"/>
      <w:marBottom w:val="0"/>
      <w:divBdr>
        <w:top w:val="none" w:sz="0" w:space="0" w:color="auto"/>
        <w:left w:val="none" w:sz="0" w:space="0" w:color="auto"/>
        <w:bottom w:val="none" w:sz="0" w:space="0" w:color="auto"/>
        <w:right w:val="none" w:sz="0" w:space="0" w:color="auto"/>
      </w:divBdr>
    </w:div>
    <w:div w:id="152722204">
      <w:bodyDiv w:val="1"/>
      <w:marLeft w:val="0"/>
      <w:marRight w:val="0"/>
      <w:marTop w:val="0"/>
      <w:marBottom w:val="0"/>
      <w:divBdr>
        <w:top w:val="none" w:sz="0" w:space="0" w:color="auto"/>
        <w:left w:val="none" w:sz="0" w:space="0" w:color="auto"/>
        <w:bottom w:val="none" w:sz="0" w:space="0" w:color="auto"/>
        <w:right w:val="none" w:sz="0" w:space="0" w:color="auto"/>
      </w:divBdr>
    </w:div>
    <w:div w:id="166404244">
      <w:bodyDiv w:val="1"/>
      <w:marLeft w:val="0"/>
      <w:marRight w:val="0"/>
      <w:marTop w:val="0"/>
      <w:marBottom w:val="0"/>
      <w:divBdr>
        <w:top w:val="none" w:sz="0" w:space="0" w:color="auto"/>
        <w:left w:val="none" w:sz="0" w:space="0" w:color="auto"/>
        <w:bottom w:val="none" w:sz="0" w:space="0" w:color="auto"/>
        <w:right w:val="none" w:sz="0" w:space="0" w:color="auto"/>
      </w:divBdr>
    </w:div>
    <w:div w:id="169569550">
      <w:bodyDiv w:val="1"/>
      <w:marLeft w:val="0"/>
      <w:marRight w:val="0"/>
      <w:marTop w:val="0"/>
      <w:marBottom w:val="0"/>
      <w:divBdr>
        <w:top w:val="none" w:sz="0" w:space="0" w:color="auto"/>
        <w:left w:val="none" w:sz="0" w:space="0" w:color="auto"/>
        <w:bottom w:val="none" w:sz="0" w:space="0" w:color="auto"/>
        <w:right w:val="none" w:sz="0" w:space="0" w:color="auto"/>
      </w:divBdr>
    </w:div>
    <w:div w:id="178978873">
      <w:bodyDiv w:val="1"/>
      <w:marLeft w:val="0"/>
      <w:marRight w:val="0"/>
      <w:marTop w:val="0"/>
      <w:marBottom w:val="0"/>
      <w:divBdr>
        <w:top w:val="none" w:sz="0" w:space="0" w:color="auto"/>
        <w:left w:val="none" w:sz="0" w:space="0" w:color="auto"/>
        <w:bottom w:val="none" w:sz="0" w:space="0" w:color="auto"/>
        <w:right w:val="none" w:sz="0" w:space="0" w:color="auto"/>
      </w:divBdr>
      <w:divsChild>
        <w:div w:id="264774976">
          <w:marLeft w:val="0"/>
          <w:marRight w:val="0"/>
          <w:marTop w:val="0"/>
          <w:marBottom w:val="0"/>
          <w:divBdr>
            <w:top w:val="none" w:sz="0" w:space="0" w:color="auto"/>
            <w:left w:val="none" w:sz="0" w:space="0" w:color="auto"/>
            <w:bottom w:val="none" w:sz="0" w:space="0" w:color="auto"/>
            <w:right w:val="none" w:sz="0" w:space="0" w:color="auto"/>
          </w:divBdr>
          <w:divsChild>
            <w:div w:id="393629805">
              <w:marLeft w:val="0"/>
              <w:marRight w:val="0"/>
              <w:marTop w:val="0"/>
              <w:marBottom w:val="0"/>
              <w:divBdr>
                <w:top w:val="none" w:sz="0" w:space="0" w:color="auto"/>
                <w:left w:val="none" w:sz="0" w:space="0" w:color="auto"/>
                <w:bottom w:val="none" w:sz="0" w:space="0" w:color="auto"/>
                <w:right w:val="none" w:sz="0" w:space="0" w:color="auto"/>
              </w:divBdr>
              <w:divsChild>
                <w:div w:id="676465195">
                  <w:marLeft w:val="150"/>
                  <w:marRight w:val="150"/>
                  <w:marTop w:val="0"/>
                  <w:marBottom w:val="0"/>
                  <w:divBdr>
                    <w:top w:val="none" w:sz="0" w:space="0" w:color="auto"/>
                    <w:left w:val="none" w:sz="0" w:space="0" w:color="auto"/>
                    <w:bottom w:val="none" w:sz="0" w:space="0" w:color="auto"/>
                    <w:right w:val="none" w:sz="0" w:space="0" w:color="auto"/>
                  </w:divBdr>
                  <w:divsChild>
                    <w:div w:id="185758125">
                      <w:marLeft w:val="0"/>
                      <w:marRight w:val="0"/>
                      <w:marTop w:val="0"/>
                      <w:marBottom w:val="0"/>
                      <w:divBdr>
                        <w:top w:val="none" w:sz="0" w:space="0" w:color="auto"/>
                        <w:left w:val="none" w:sz="0" w:space="0" w:color="auto"/>
                        <w:bottom w:val="none" w:sz="0" w:space="0" w:color="auto"/>
                        <w:right w:val="none" w:sz="0" w:space="0" w:color="auto"/>
                      </w:divBdr>
                      <w:divsChild>
                        <w:div w:id="2099010603">
                          <w:marLeft w:val="0"/>
                          <w:marRight w:val="0"/>
                          <w:marTop w:val="0"/>
                          <w:marBottom w:val="0"/>
                          <w:divBdr>
                            <w:top w:val="none" w:sz="0" w:space="0" w:color="auto"/>
                            <w:left w:val="none" w:sz="0" w:space="0" w:color="auto"/>
                            <w:bottom w:val="none" w:sz="0" w:space="0" w:color="auto"/>
                            <w:right w:val="none" w:sz="0" w:space="0" w:color="auto"/>
                          </w:divBdr>
                          <w:divsChild>
                            <w:div w:id="1073813232">
                              <w:marLeft w:val="0"/>
                              <w:marRight w:val="0"/>
                              <w:marTop w:val="0"/>
                              <w:marBottom w:val="0"/>
                              <w:divBdr>
                                <w:top w:val="none" w:sz="0" w:space="0" w:color="auto"/>
                                <w:left w:val="none" w:sz="0" w:space="0" w:color="auto"/>
                                <w:bottom w:val="none" w:sz="0" w:space="0" w:color="auto"/>
                                <w:right w:val="none" w:sz="0" w:space="0" w:color="auto"/>
                              </w:divBdr>
                              <w:divsChild>
                                <w:div w:id="994190417">
                                  <w:marLeft w:val="0"/>
                                  <w:marRight w:val="0"/>
                                  <w:marTop w:val="0"/>
                                  <w:marBottom w:val="0"/>
                                  <w:divBdr>
                                    <w:top w:val="none" w:sz="0" w:space="0" w:color="auto"/>
                                    <w:left w:val="none" w:sz="0" w:space="0" w:color="auto"/>
                                    <w:bottom w:val="none" w:sz="0" w:space="0" w:color="auto"/>
                                    <w:right w:val="none" w:sz="0" w:space="0" w:color="auto"/>
                                  </w:divBdr>
                                  <w:divsChild>
                                    <w:div w:id="964388229">
                                      <w:marLeft w:val="0"/>
                                      <w:marRight w:val="0"/>
                                      <w:marTop w:val="0"/>
                                      <w:marBottom w:val="0"/>
                                      <w:divBdr>
                                        <w:top w:val="none" w:sz="0" w:space="0" w:color="auto"/>
                                        <w:left w:val="none" w:sz="0" w:space="0" w:color="auto"/>
                                        <w:bottom w:val="none" w:sz="0" w:space="0" w:color="auto"/>
                                        <w:right w:val="none" w:sz="0" w:space="0" w:color="auto"/>
                                      </w:divBdr>
                                      <w:divsChild>
                                        <w:div w:id="591625483">
                                          <w:marLeft w:val="0"/>
                                          <w:marRight w:val="0"/>
                                          <w:marTop w:val="0"/>
                                          <w:marBottom w:val="0"/>
                                          <w:divBdr>
                                            <w:top w:val="none" w:sz="0" w:space="0" w:color="auto"/>
                                            <w:left w:val="none" w:sz="0" w:space="0" w:color="auto"/>
                                            <w:bottom w:val="none" w:sz="0" w:space="0" w:color="auto"/>
                                            <w:right w:val="none" w:sz="0" w:space="0" w:color="auto"/>
                                          </w:divBdr>
                                          <w:divsChild>
                                            <w:div w:id="20323811">
                                              <w:marLeft w:val="0"/>
                                              <w:marRight w:val="0"/>
                                              <w:marTop w:val="0"/>
                                              <w:marBottom w:val="0"/>
                                              <w:divBdr>
                                                <w:top w:val="none" w:sz="0" w:space="0" w:color="auto"/>
                                                <w:left w:val="none" w:sz="0" w:space="0" w:color="auto"/>
                                                <w:bottom w:val="none" w:sz="0" w:space="0" w:color="auto"/>
                                                <w:right w:val="none" w:sz="0" w:space="0" w:color="auto"/>
                                              </w:divBdr>
                                              <w:divsChild>
                                                <w:div w:id="1964461308">
                                                  <w:marLeft w:val="0"/>
                                                  <w:marRight w:val="0"/>
                                                  <w:marTop w:val="0"/>
                                                  <w:marBottom w:val="0"/>
                                                  <w:divBdr>
                                                    <w:top w:val="none" w:sz="0" w:space="0" w:color="auto"/>
                                                    <w:left w:val="none" w:sz="0" w:space="0" w:color="auto"/>
                                                    <w:bottom w:val="none" w:sz="0" w:space="0" w:color="auto"/>
                                                    <w:right w:val="none" w:sz="0" w:space="0" w:color="auto"/>
                                                  </w:divBdr>
                                                  <w:divsChild>
                                                    <w:div w:id="1515800577">
                                                      <w:marLeft w:val="0"/>
                                                      <w:marRight w:val="0"/>
                                                      <w:marTop w:val="0"/>
                                                      <w:marBottom w:val="0"/>
                                                      <w:divBdr>
                                                        <w:top w:val="none" w:sz="0" w:space="0" w:color="auto"/>
                                                        <w:left w:val="none" w:sz="0" w:space="0" w:color="auto"/>
                                                        <w:bottom w:val="none" w:sz="0" w:space="0" w:color="auto"/>
                                                        <w:right w:val="none" w:sz="0" w:space="0" w:color="auto"/>
                                                      </w:divBdr>
                                                      <w:divsChild>
                                                        <w:div w:id="878083243">
                                                          <w:marLeft w:val="0"/>
                                                          <w:marRight w:val="0"/>
                                                          <w:marTop w:val="0"/>
                                                          <w:marBottom w:val="150"/>
                                                          <w:divBdr>
                                                            <w:top w:val="none" w:sz="0" w:space="0" w:color="auto"/>
                                                            <w:left w:val="none" w:sz="0" w:space="0" w:color="auto"/>
                                                            <w:bottom w:val="none" w:sz="0" w:space="0" w:color="auto"/>
                                                            <w:right w:val="none" w:sz="0" w:space="0" w:color="auto"/>
                                                          </w:divBdr>
                                                          <w:divsChild>
                                                            <w:div w:id="1925601975">
                                                              <w:marLeft w:val="0"/>
                                                              <w:marRight w:val="0"/>
                                                              <w:marTop w:val="0"/>
                                                              <w:marBottom w:val="0"/>
                                                              <w:divBdr>
                                                                <w:top w:val="none" w:sz="0" w:space="0" w:color="auto"/>
                                                                <w:left w:val="none" w:sz="0" w:space="0" w:color="auto"/>
                                                                <w:bottom w:val="none" w:sz="0" w:space="0" w:color="auto"/>
                                                                <w:right w:val="none" w:sz="0" w:space="0" w:color="auto"/>
                                                              </w:divBdr>
                                                              <w:divsChild>
                                                                <w:div w:id="1196502369">
                                                                  <w:marLeft w:val="0"/>
                                                                  <w:marRight w:val="0"/>
                                                                  <w:marTop w:val="0"/>
                                                                  <w:marBottom w:val="0"/>
                                                                  <w:divBdr>
                                                                    <w:top w:val="none" w:sz="0" w:space="0" w:color="auto"/>
                                                                    <w:left w:val="none" w:sz="0" w:space="0" w:color="auto"/>
                                                                    <w:bottom w:val="none" w:sz="0" w:space="0" w:color="auto"/>
                                                                    <w:right w:val="none" w:sz="0" w:space="0" w:color="auto"/>
                                                                  </w:divBdr>
                                                                  <w:divsChild>
                                                                    <w:div w:id="613635650">
                                                                      <w:marLeft w:val="0"/>
                                                                      <w:marRight w:val="0"/>
                                                                      <w:marTop w:val="0"/>
                                                                      <w:marBottom w:val="0"/>
                                                                      <w:divBdr>
                                                                        <w:top w:val="none" w:sz="0" w:space="0" w:color="auto"/>
                                                                        <w:left w:val="none" w:sz="0" w:space="0" w:color="auto"/>
                                                                        <w:bottom w:val="none" w:sz="0" w:space="0" w:color="auto"/>
                                                                        <w:right w:val="none" w:sz="0" w:space="0" w:color="auto"/>
                                                                      </w:divBdr>
                                                                      <w:divsChild>
                                                                        <w:div w:id="654574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1210681">
      <w:bodyDiv w:val="1"/>
      <w:marLeft w:val="0"/>
      <w:marRight w:val="0"/>
      <w:marTop w:val="0"/>
      <w:marBottom w:val="0"/>
      <w:divBdr>
        <w:top w:val="none" w:sz="0" w:space="0" w:color="auto"/>
        <w:left w:val="none" w:sz="0" w:space="0" w:color="auto"/>
        <w:bottom w:val="none" w:sz="0" w:space="0" w:color="auto"/>
        <w:right w:val="none" w:sz="0" w:space="0" w:color="auto"/>
      </w:divBdr>
    </w:div>
    <w:div w:id="211963461">
      <w:bodyDiv w:val="1"/>
      <w:marLeft w:val="0"/>
      <w:marRight w:val="0"/>
      <w:marTop w:val="0"/>
      <w:marBottom w:val="0"/>
      <w:divBdr>
        <w:top w:val="none" w:sz="0" w:space="0" w:color="auto"/>
        <w:left w:val="none" w:sz="0" w:space="0" w:color="auto"/>
        <w:bottom w:val="none" w:sz="0" w:space="0" w:color="auto"/>
        <w:right w:val="none" w:sz="0" w:space="0" w:color="auto"/>
      </w:divBdr>
    </w:div>
    <w:div w:id="243610912">
      <w:bodyDiv w:val="1"/>
      <w:marLeft w:val="0"/>
      <w:marRight w:val="0"/>
      <w:marTop w:val="0"/>
      <w:marBottom w:val="0"/>
      <w:divBdr>
        <w:top w:val="none" w:sz="0" w:space="0" w:color="auto"/>
        <w:left w:val="none" w:sz="0" w:space="0" w:color="auto"/>
        <w:bottom w:val="none" w:sz="0" w:space="0" w:color="auto"/>
        <w:right w:val="none" w:sz="0" w:space="0" w:color="auto"/>
      </w:divBdr>
    </w:div>
    <w:div w:id="293679377">
      <w:bodyDiv w:val="1"/>
      <w:marLeft w:val="0"/>
      <w:marRight w:val="0"/>
      <w:marTop w:val="0"/>
      <w:marBottom w:val="0"/>
      <w:divBdr>
        <w:top w:val="none" w:sz="0" w:space="0" w:color="auto"/>
        <w:left w:val="none" w:sz="0" w:space="0" w:color="auto"/>
        <w:bottom w:val="none" w:sz="0" w:space="0" w:color="auto"/>
        <w:right w:val="none" w:sz="0" w:space="0" w:color="auto"/>
      </w:divBdr>
    </w:div>
    <w:div w:id="302930778">
      <w:bodyDiv w:val="1"/>
      <w:marLeft w:val="0"/>
      <w:marRight w:val="0"/>
      <w:marTop w:val="0"/>
      <w:marBottom w:val="0"/>
      <w:divBdr>
        <w:top w:val="none" w:sz="0" w:space="0" w:color="auto"/>
        <w:left w:val="none" w:sz="0" w:space="0" w:color="auto"/>
        <w:bottom w:val="none" w:sz="0" w:space="0" w:color="auto"/>
        <w:right w:val="none" w:sz="0" w:space="0" w:color="auto"/>
      </w:divBdr>
    </w:div>
    <w:div w:id="322969541">
      <w:bodyDiv w:val="1"/>
      <w:marLeft w:val="0"/>
      <w:marRight w:val="0"/>
      <w:marTop w:val="0"/>
      <w:marBottom w:val="0"/>
      <w:divBdr>
        <w:top w:val="none" w:sz="0" w:space="0" w:color="auto"/>
        <w:left w:val="none" w:sz="0" w:space="0" w:color="auto"/>
        <w:bottom w:val="none" w:sz="0" w:space="0" w:color="auto"/>
        <w:right w:val="none" w:sz="0" w:space="0" w:color="auto"/>
      </w:divBdr>
    </w:div>
    <w:div w:id="333188379">
      <w:bodyDiv w:val="1"/>
      <w:marLeft w:val="0"/>
      <w:marRight w:val="0"/>
      <w:marTop w:val="0"/>
      <w:marBottom w:val="0"/>
      <w:divBdr>
        <w:top w:val="none" w:sz="0" w:space="0" w:color="auto"/>
        <w:left w:val="none" w:sz="0" w:space="0" w:color="auto"/>
        <w:bottom w:val="none" w:sz="0" w:space="0" w:color="auto"/>
        <w:right w:val="none" w:sz="0" w:space="0" w:color="auto"/>
      </w:divBdr>
    </w:div>
    <w:div w:id="336227936">
      <w:bodyDiv w:val="1"/>
      <w:marLeft w:val="0"/>
      <w:marRight w:val="0"/>
      <w:marTop w:val="0"/>
      <w:marBottom w:val="0"/>
      <w:divBdr>
        <w:top w:val="none" w:sz="0" w:space="0" w:color="auto"/>
        <w:left w:val="none" w:sz="0" w:space="0" w:color="auto"/>
        <w:bottom w:val="none" w:sz="0" w:space="0" w:color="auto"/>
        <w:right w:val="none" w:sz="0" w:space="0" w:color="auto"/>
      </w:divBdr>
    </w:div>
    <w:div w:id="411200636">
      <w:bodyDiv w:val="1"/>
      <w:marLeft w:val="0"/>
      <w:marRight w:val="0"/>
      <w:marTop w:val="0"/>
      <w:marBottom w:val="0"/>
      <w:divBdr>
        <w:top w:val="none" w:sz="0" w:space="0" w:color="auto"/>
        <w:left w:val="none" w:sz="0" w:space="0" w:color="auto"/>
        <w:bottom w:val="none" w:sz="0" w:space="0" w:color="auto"/>
        <w:right w:val="none" w:sz="0" w:space="0" w:color="auto"/>
      </w:divBdr>
    </w:div>
    <w:div w:id="478503685">
      <w:bodyDiv w:val="1"/>
      <w:marLeft w:val="0"/>
      <w:marRight w:val="0"/>
      <w:marTop w:val="0"/>
      <w:marBottom w:val="0"/>
      <w:divBdr>
        <w:top w:val="none" w:sz="0" w:space="0" w:color="auto"/>
        <w:left w:val="none" w:sz="0" w:space="0" w:color="auto"/>
        <w:bottom w:val="none" w:sz="0" w:space="0" w:color="auto"/>
        <w:right w:val="none" w:sz="0" w:space="0" w:color="auto"/>
      </w:divBdr>
    </w:div>
    <w:div w:id="482744743">
      <w:bodyDiv w:val="1"/>
      <w:marLeft w:val="0"/>
      <w:marRight w:val="0"/>
      <w:marTop w:val="0"/>
      <w:marBottom w:val="0"/>
      <w:divBdr>
        <w:top w:val="none" w:sz="0" w:space="0" w:color="auto"/>
        <w:left w:val="none" w:sz="0" w:space="0" w:color="auto"/>
        <w:bottom w:val="none" w:sz="0" w:space="0" w:color="auto"/>
        <w:right w:val="none" w:sz="0" w:space="0" w:color="auto"/>
      </w:divBdr>
    </w:div>
    <w:div w:id="533082049">
      <w:bodyDiv w:val="1"/>
      <w:marLeft w:val="0"/>
      <w:marRight w:val="0"/>
      <w:marTop w:val="0"/>
      <w:marBottom w:val="0"/>
      <w:divBdr>
        <w:top w:val="none" w:sz="0" w:space="0" w:color="auto"/>
        <w:left w:val="none" w:sz="0" w:space="0" w:color="auto"/>
        <w:bottom w:val="none" w:sz="0" w:space="0" w:color="auto"/>
        <w:right w:val="none" w:sz="0" w:space="0" w:color="auto"/>
      </w:divBdr>
    </w:div>
    <w:div w:id="560139729">
      <w:bodyDiv w:val="1"/>
      <w:marLeft w:val="0"/>
      <w:marRight w:val="0"/>
      <w:marTop w:val="0"/>
      <w:marBottom w:val="0"/>
      <w:divBdr>
        <w:top w:val="none" w:sz="0" w:space="0" w:color="auto"/>
        <w:left w:val="none" w:sz="0" w:space="0" w:color="auto"/>
        <w:bottom w:val="none" w:sz="0" w:space="0" w:color="auto"/>
        <w:right w:val="none" w:sz="0" w:space="0" w:color="auto"/>
      </w:divBdr>
    </w:div>
    <w:div w:id="630670353">
      <w:bodyDiv w:val="1"/>
      <w:marLeft w:val="0"/>
      <w:marRight w:val="0"/>
      <w:marTop w:val="0"/>
      <w:marBottom w:val="0"/>
      <w:divBdr>
        <w:top w:val="none" w:sz="0" w:space="0" w:color="auto"/>
        <w:left w:val="none" w:sz="0" w:space="0" w:color="auto"/>
        <w:bottom w:val="none" w:sz="0" w:space="0" w:color="auto"/>
        <w:right w:val="none" w:sz="0" w:space="0" w:color="auto"/>
      </w:divBdr>
    </w:div>
    <w:div w:id="643509539">
      <w:bodyDiv w:val="1"/>
      <w:marLeft w:val="0"/>
      <w:marRight w:val="0"/>
      <w:marTop w:val="0"/>
      <w:marBottom w:val="0"/>
      <w:divBdr>
        <w:top w:val="none" w:sz="0" w:space="0" w:color="auto"/>
        <w:left w:val="none" w:sz="0" w:space="0" w:color="auto"/>
        <w:bottom w:val="none" w:sz="0" w:space="0" w:color="auto"/>
        <w:right w:val="none" w:sz="0" w:space="0" w:color="auto"/>
      </w:divBdr>
    </w:div>
    <w:div w:id="687753319">
      <w:bodyDiv w:val="1"/>
      <w:marLeft w:val="0"/>
      <w:marRight w:val="0"/>
      <w:marTop w:val="0"/>
      <w:marBottom w:val="0"/>
      <w:divBdr>
        <w:top w:val="none" w:sz="0" w:space="0" w:color="auto"/>
        <w:left w:val="none" w:sz="0" w:space="0" w:color="auto"/>
        <w:bottom w:val="none" w:sz="0" w:space="0" w:color="auto"/>
        <w:right w:val="none" w:sz="0" w:space="0" w:color="auto"/>
      </w:divBdr>
    </w:div>
    <w:div w:id="688062962">
      <w:bodyDiv w:val="1"/>
      <w:marLeft w:val="0"/>
      <w:marRight w:val="0"/>
      <w:marTop w:val="0"/>
      <w:marBottom w:val="0"/>
      <w:divBdr>
        <w:top w:val="none" w:sz="0" w:space="0" w:color="auto"/>
        <w:left w:val="none" w:sz="0" w:space="0" w:color="auto"/>
        <w:bottom w:val="none" w:sz="0" w:space="0" w:color="auto"/>
        <w:right w:val="none" w:sz="0" w:space="0" w:color="auto"/>
      </w:divBdr>
      <w:divsChild>
        <w:div w:id="1059399750">
          <w:marLeft w:val="0"/>
          <w:marRight w:val="0"/>
          <w:marTop w:val="100"/>
          <w:marBottom w:val="100"/>
          <w:divBdr>
            <w:top w:val="none" w:sz="0" w:space="0" w:color="auto"/>
            <w:left w:val="none" w:sz="0" w:space="0" w:color="auto"/>
            <w:bottom w:val="none" w:sz="0" w:space="0" w:color="auto"/>
            <w:right w:val="none" w:sz="0" w:space="0" w:color="auto"/>
          </w:divBdr>
          <w:divsChild>
            <w:div w:id="1507550226">
              <w:marLeft w:val="0"/>
              <w:marRight w:val="0"/>
              <w:marTop w:val="0"/>
              <w:marBottom w:val="0"/>
              <w:divBdr>
                <w:top w:val="none" w:sz="0" w:space="0" w:color="auto"/>
                <w:left w:val="none" w:sz="0" w:space="0" w:color="auto"/>
                <w:bottom w:val="none" w:sz="0" w:space="0" w:color="auto"/>
                <w:right w:val="none" w:sz="0" w:space="0" w:color="auto"/>
              </w:divBdr>
              <w:divsChild>
                <w:div w:id="592133126">
                  <w:marLeft w:val="105"/>
                  <w:marRight w:val="105"/>
                  <w:marTop w:val="105"/>
                  <w:marBottom w:val="105"/>
                  <w:divBdr>
                    <w:top w:val="none" w:sz="0" w:space="0" w:color="auto"/>
                    <w:left w:val="none" w:sz="0" w:space="0" w:color="auto"/>
                    <w:bottom w:val="none" w:sz="0" w:space="0" w:color="auto"/>
                    <w:right w:val="none" w:sz="0" w:space="0" w:color="auto"/>
                  </w:divBdr>
                  <w:divsChild>
                    <w:div w:id="743186328">
                      <w:marLeft w:val="0"/>
                      <w:marRight w:val="0"/>
                      <w:marTop w:val="0"/>
                      <w:marBottom w:val="0"/>
                      <w:divBdr>
                        <w:top w:val="none" w:sz="0" w:space="0" w:color="auto"/>
                        <w:left w:val="none" w:sz="0" w:space="0" w:color="auto"/>
                        <w:bottom w:val="none" w:sz="0" w:space="0" w:color="auto"/>
                        <w:right w:val="none" w:sz="0" w:space="0" w:color="auto"/>
                      </w:divBdr>
                      <w:divsChild>
                        <w:div w:id="1723943222">
                          <w:marLeft w:val="0"/>
                          <w:marRight w:val="0"/>
                          <w:marTop w:val="0"/>
                          <w:marBottom w:val="0"/>
                          <w:divBdr>
                            <w:top w:val="none" w:sz="0" w:space="0" w:color="auto"/>
                            <w:left w:val="none" w:sz="0" w:space="0" w:color="auto"/>
                            <w:bottom w:val="none" w:sz="0" w:space="0" w:color="auto"/>
                            <w:right w:val="none" w:sz="0" w:space="0" w:color="auto"/>
                          </w:divBdr>
                          <w:divsChild>
                            <w:div w:id="416903142">
                              <w:marLeft w:val="0"/>
                              <w:marRight w:val="0"/>
                              <w:marTop w:val="0"/>
                              <w:marBottom w:val="0"/>
                              <w:divBdr>
                                <w:top w:val="none" w:sz="0" w:space="0" w:color="auto"/>
                                <w:left w:val="none" w:sz="0" w:space="0" w:color="auto"/>
                                <w:bottom w:val="none" w:sz="0" w:space="0" w:color="auto"/>
                                <w:right w:val="none" w:sz="0" w:space="0" w:color="auto"/>
                              </w:divBdr>
                              <w:divsChild>
                                <w:div w:id="115344064">
                                  <w:marLeft w:val="0"/>
                                  <w:marRight w:val="0"/>
                                  <w:marTop w:val="0"/>
                                  <w:marBottom w:val="0"/>
                                  <w:divBdr>
                                    <w:top w:val="none" w:sz="0" w:space="0" w:color="auto"/>
                                    <w:left w:val="none" w:sz="0" w:space="0" w:color="auto"/>
                                    <w:bottom w:val="none" w:sz="0" w:space="0" w:color="auto"/>
                                    <w:right w:val="none" w:sz="0" w:space="0" w:color="auto"/>
                                  </w:divBdr>
                                  <w:divsChild>
                                    <w:div w:id="1984775583">
                                      <w:marLeft w:val="105"/>
                                      <w:marRight w:val="105"/>
                                      <w:marTop w:val="105"/>
                                      <w:marBottom w:val="105"/>
                                      <w:divBdr>
                                        <w:top w:val="none" w:sz="0" w:space="0" w:color="auto"/>
                                        <w:left w:val="none" w:sz="0" w:space="0" w:color="auto"/>
                                        <w:bottom w:val="none" w:sz="0" w:space="0" w:color="auto"/>
                                        <w:right w:val="none" w:sz="0" w:space="0" w:color="auto"/>
                                      </w:divBdr>
                                      <w:divsChild>
                                        <w:div w:id="485130088">
                                          <w:marLeft w:val="0"/>
                                          <w:marRight w:val="0"/>
                                          <w:marTop w:val="0"/>
                                          <w:marBottom w:val="0"/>
                                          <w:divBdr>
                                            <w:top w:val="none" w:sz="0" w:space="0" w:color="auto"/>
                                            <w:left w:val="none" w:sz="0" w:space="0" w:color="auto"/>
                                            <w:bottom w:val="none" w:sz="0" w:space="0" w:color="auto"/>
                                            <w:right w:val="none" w:sz="0" w:space="0" w:color="auto"/>
                                          </w:divBdr>
                                          <w:divsChild>
                                            <w:div w:id="976036620">
                                              <w:marLeft w:val="0"/>
                                              <w:marRight w:val="0"/>
                                              <w:marTop w:val="0"/>
                                              <w:marBottom w:val="0"/>
                                              <w:divBdr>
                                                <w:top w:val="none" w:sz="0" w:space="0" w:color="auto"/>
                                                <w:left w:val="none" w:sz="0" w:space="0" w:color="auto"/>
                                                <w:bottom w:val="none" w:sz="0" w:space="0" w:color="auto"/>
                                                <w:right w:val="none" w:sz="0" w:space="0" w:color="auto"/>
                                              </w:divBdr>
                                              <w:divsChild>
                                                <w:div w:id="481314646">
                                                  <w:marLeft w:val="105"/>
                                                  <w:marRight w:val="105"/>
                                                  <w:marTop w:val="105"/>
                                                  <w:marBottom w:val="105"/>
                                                  <w:divBdr>
                                                    <w:top w:val="none" w:sz="0" w:space="0" w:color="auto"/>
                                                    <w:left w:val="none" w:sz="0" w:space="0" w:color="auto"/>
                                                    <w:bottom w:val="none" w:sz="0" w:space="0" w:color="auto"/>
                                                    <w:right w:val="none" w:sz="0" w:space="0" w:color="auto"/>
                                                  </w:divBdr>
                                                  <w:divsChild>
                                                    <w:div w:id="1987471635">
                                                      <w:marLeft w:val="0"/>
                                                      <w:marRight w:val="0"/>
                                                      <w:marTop w:val="0"/>
                                                      <w:marBottom w:val="0"/>
                                                      <w:divBdr>
                                                        <w:top w:val="none" w:sz="0" w:space="0" w:color="auto"/>
                                                        <w:left w:val="none" w:sz="0" w:space="0" w:color="auto"/>
                                                        <w:bottom w:val="none" w:sz="0" w:space="0" w:color="auto"/>
                                                        <w:right w:val="none" w:sz="0" w:space="0" w:color="auto"/>
                                                      </w:divBdr>
                                                      <w:divsChild>
                                                        <w:div w:id="903761995">
                                                          <w:marLeft w:val="0"/>
                                                          <w:marRight w:val="0"/>
                                                          <w:marTop w:val="0"/>
                                                          <w:marBottom w:val="0"/>
                                                          <w:divBdr>
                                                            <w:top w:val="none" w:sz="0" w:space="0" w:color="auto"/>
                                                            <w:left w:val="none" w:sz="0" w:space="0" w:color="auto"/>
                                                            <w:bottom w:val="none" w:sz="0" w:space="0" w:color="auto"/>
                                                            <w:right w:val="none" w:sz="0" w:space="0" w:color="auto"/>
                                                          </w:divBdr>
                                                          <w:divsChild>
                                                            <w:div w:id="1370374827">
                                                              <w:marLeft w:val="0"/>
                                                              <w:marRight w:val="0"/>
                                                              <w:marTop w:val="0"/>
                                                              <w:marBottom w:val="0"/>
                                                              <w:divBdr>
                                                                <w:top w:val="none" w:sz="0" w:space="0" w:color="auto"/>
                                                                <w:left w:val="none" w:sz="0" w:space="0" w:color="auto"/>
                                                                <w:bottom w:val="none" w:sz="0" w:space="0" w:color="auto"/>
                                                                <w:right w:val="none" w:sz="0" w:space="0" w:color="auto"/>
                                                              </w:divBdr>
                                                              <w:divsChild>
                                                                <w:div w:id="983968019">
                                                                  <w:marLeft w:val="0"/>
                                                                  <w:marRight w:val="0"/>
                                                                  <w:marTop w:val="0"/>
                                                                  <w:marBottom w:val="0"/>
                                                                  <w:divBdr>
                                                                    <w:top w:val="none" w:sz="0" w:space="0" w:color="auto"/>
                                                                    <w:left w:val="none" w:sz="0" w:space="0" w:color="auto"/>
                                                                    <w:bottom w:val="none" w:sz="0" w:space="0" w:color="auto"/>
                                                                    <w:right w:val="none" w:sz="0" w:space="0" w:color="auto"/>
                                                                  </w:divBdr>
                                                                  <w:divsChild>
                                                                    <w:div w:id="1707174754">
                                                                      <w:marLeft w:val="0"/>
                                                                      <w:marRight w:val="0"/>
                                                                      <w:marTop w:val="0"/>
                                                                      <w:marBottom w:val="0"/>
                                                                      <w:divBdr>
                                                                        <w:top w:val="none" w:sz="0" w:space="0" w:color="auto"/>
                                                                        <w:left w:val="none" w:sz="0" w:space="0" w:color="auto"/>
                                                                        <w:bottom w:val="none" w:sz="0" w:space="0" w:color="auto"/>
                                                                        <w:right w:val="none" w:sz="0" w:space="0" w:color="auto"/>
                                                                      </w:divBdr>
                                                                      <w:divsChild>
                                                                        <w:div w:id="47923040">
                                                                          <w:marLeft w:val="0"/>
                                                                          <w:marRight w:val="0"/>
                                                                          <w:marTop w:val="0"/>
                                                                          <w:marBottom w:val="0"/>
                                                                          <w:divBdr>
                                                                            <w:top w:val="none" w:sz="0" w:space="0" w:color="auto"/>
                                                                            <w:left w:val="none" w:sz="0" w:space="0" w:color="auto"/>
                                                                            <w:bottom w:val="none" w:sz="0" w:space="0" w:color="auto"/>
                                                                            <w:right w:val="none" w:sz="0" w:space="0" w:color="auto"/>
                                                                          </w:divBdr>
                                                                          <w:divsChild>
                                                                            <w:div w:id="1350911861">
                                                                              <w:marLeft w:val="105"/>
                                                                              <w:marRight w:val="105"/>
                                                                              <w:marTop w:val="105"/>
                                                                              <w:marBottom w:val="105"/>
                                                                              <w:divBdr>
                                                                                <w:top w:val="none" w:sz="0" w:space="0" w:color="auto"/>
                                                                                <w:left w:val="none" w:sz="0" w:space="0" w:color="auto"/>
                                                                                <w:bottom w:val="none" w:sz="0" w:space="0" w:color="auto"/>
                                                                                <w:right w:val="none" w:sz="0" w:space="0" w:color="auto"/>
                                                                              </w:divBdr>
                                                                              <w:divsChild>
                                                                                <w:div w:id="1430389252">
                                                                                  <w:marLeft w:val="0"/>
                                                                                  <w:marRight w:val="0"/>
                                                                                  <w:marTop w:val="0"/>
                                                                                  <w:marBottom w:val="0"/>
                                                                                  <w:divBdr>
                                                                                    <w:top w:val="none" w:sz="0" w:space="0" w:color="auto"/>
                                                                                    <w:left w:val="none" w:sz="0" w:space="0" w:color="auto"/>
                                                                                    <w:bottom w:val="none" w:sz="0" w:space="0" w:color="auto"/>
                                                                                    <w:right w:val="none" w:sz="0" w:space="0" w:color="auto"/>
                                                                                  </w:divBdr>
                                                                                  <w:divsChild>
                                                                                    <w:div w:id="935863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06032437">
      <w:bodyDiv w:val="1"/>
      <w:marLeft w:val="0"/>
      <w:marRight w:val="0"/>
      <w:marTop w:val="0"/>
      <w:marBottom w:val="0"/>
      <w:divBdr>
        <w:top w:val="none" w:sz="0" w:space="0" w:color="auto"/>
        <w:left w:val="none" w:sz="0" w:space="0" w:color="auto"/>
        <w:bottom w:val="none" w:sz="0" w:space="0" w:color="auto"/>
        <w:right w:val="none" w:sz="0" w:space="0" w:color="auto"/>
      </w:divBdr>
    </w:div>
    <w:div w:id="724259876">
      <w:bodyDiv w:val="1"/>
      <w:marLeft w:val="0"/>
      <w:marRight w:val="0"/>
      <w:marTop w:val="0"/>
      <w:marBottom w:val="0"/>
      <w:divBdr>
        <w:top w:val="none" w:sz="0" w:space="0" w:color="auto"/>
        <w:left w:val="none" w:sz="0" w:space="0" w:color="auto"/>
        <w:bottom w:val="none" w:sz="0" w:space="0" w:color="auto"/>
        <w:right w:val="none" w:sz="0" w:space="0" w:color="auto"/>
      </w:divBdr>
    </w:div>
    <w:div w:id="739905439">
      <w:bodyDiv w:val="1"/>
      <w:marLeft w:val="0"/>
      <w:marRight w:val="0"/>
      <w:marTop w:val="0"/>
      <w:marBottom w:val="0"/>
      <w:divBdr>
        <w:top w:val="none" w:sz="0" w:space="0" w:color="auto"/>
        <w:left w:val="none" w:sz="0" w:space="0" w:color="auto"/>
        <w:bottom w:val="none" w:sz="0" w:space="0" w:color="auto"/>
        <w:right w:val="none" w:sz="0" w:space="0" w:color="auto"/>
      </w:divBdr>
    </w:div>
    <w:div w:id="760180730">
      <w:bodyDiv w:val="1"/>
      <w:marLeft w:val="0"/>
      <w:marRight w:val="0"/>
      <w:marTop w:val="0"/>
      <w:marBottom w:val="0"/>
      <w:divBdr>
        <w:top w:val="none" w:sz="0" w:space="0" w:color="auto"/>
        <w:left w:val="none" w:sz="0" w:space="0" w:color="auto"/>
        <w:bottom w:val="none" w:sz="0" w:space="0" w:color="auto"/>
        <w:right w:val="none" w:sz="0" w:space="0" w:color="auto"/>
      </w:divBdr>
    </w:div>
    <w:div w:id="834300554">
      <w:bodyDiv w:val="1"/>
      <w:marLeft w:val="0"/>
      <w:marRight w:val="0"/>
      <w:marTop w:val="0"/>
      <w:marBottom w:val="0"/>
      <w:divBdr>
        <w:top w:val="none" w:sz="0" w:space="0" w:color="auto"/>
        <w:left w:val="none" w:sz="0" w:space="0" w:color="auto"/>
        <w:bottom w:val="none" w:sz="0" w:space="0" w:color="auto"/>
        <w:right w:val="none" w:sz="0" w:space="0" w:color="auto"/>
      </w:divBdr>
    </w:div>
    <w:div w:id="950554781">
      <w:bodyDiv w:val="1"/>
      <w:marLeft w:val="0"/>
      <w:marRight w:val="0"/>
      <w:marTop w:val="0"/>
      <w:marBottom w:val="0"/>
      <w:divBdr>
        <w:top w:val="none" w:sz="0" w:space="0" w:color="auto"/>
        <w:left w:val="none" w:sz="0" w:space="0" w:color="auto"/>
        <w:bottom w:val="none" w:sz="0" w:space="0" w:color="auto"/>
        <w:right w:val="none" w:sz="0" w:space="0" w:color="auto"/>
      </w:divBdr>
    </w:div>
    <w:div w:id="975452519">
      <w:bodyDiv w:val="1"/>
      <w:marLeft w:val="0"/>
      <w:marRight w:val="0"/>
      <w:marTop w:val="0"/>
      <w:marBottom w:val="0"/>
      <w:divBdr>
        <w:top w:val="none" w:sz="0" w:space="0" w:color="auto"/>
        <w:left w:val="none" w:sz="0" w:space="0" w:color="auto"/>
        <w:bottom w:val="none" w:sz="0" w:space="0" w:color="auto"/>
        <w:right w:val="none" w:sz="0" w:space="0" w:color="auto"/>
      </w:divBdr>
      <w:divsChild>
        <w:div w:id="472337224">
          <w:marLeft w:val="0"/>
          <w:marRight w:val="0"/>
          <w:marTop w:val="100"/>
          <w:marBottom w:val="100"/>
          <w:divBdr>
            <w:top w:val="none" w:sz="0" w:space="0" w:color="auto"/>
            <w:left w:val="none" w:sz="0" w:space="0" w:color="auto"/>
            <w:bottom w:val="none" w:sz="0" w:space="0" w:color="auto"/>
            <w:right w:val="none" w:sz="0" w:space="0" w:color="auto"/>
          </w:divBdr>
          <w:divsChild>
            <w:div w:id="1943608673">
              <w:marLeft w:val="0"/>
              <w:marRight w:val="0"/>
              <w:marTop w:val="0"/>
              <w:marBottom w:val="0"/>
              <w:divBdr>
                <w:top w:val="none" w:sz="0" w:space="0" w:color="auto"/>
                <w:left w:val="none" w:sz="0" w:space="0" w:color="auto"/>
                <w:bottom w:val="none" w:sz="0" w:space="0" w:color="auto"/>
                <w:right w:val="none" w:sz="0" w:space="0" w:color="auto"/>
              </w:divBdr>
              <w:divsChild>
                <w:div w:id="1426533462">
                  <w:marLeft w:val="105"/>
                  <w:marRight w:val="105"/>
                  <w:marTop w:val="105"/>
                  <w:marBottom w:val="105"/>
                  <w:divBdr>
                    <w:top w:val="none" w:sz="0" w:space="0" w:color="auto"/>
                    <w:left w:val="none" w:sz="0" w:space="0" w:color="auto"/>
                    <w:bottom w:val="none" w:sz="0" w:space="0" w:color="auto"/>
                    <w:right w:val="none" w:sz="0" w:space="0" w:color="auto"/>
                  </w:divBdr>
                  <w:divsChild>
                    <w:div w:id="1170020115">
                      <w:marLeft w:val="0"/>
                      <w:marRight w:val="0"/>
                      <w:marTop w:val="0"/>
                      <w:marBottom w:val="0"/>
                      <w:divBdr>
                        <w:top w:val="none" w:sz="0" w:space="0" w:color="auto"/>
                        <w:left w:val="none" w:sz="0" w:space="0" w:color="auto"/>
                        <w:bottom w:val="none" w:sz="0" w:space="0" w:color="auto"/>
                        <w:right w:val="none" w:sz="0" w:space="0" w:color="auto"/>
                      </w:divBdr>
                      <w:divsChild>
                        <w:div w:id="1644116634">
                          <w:marLeft w:val="0"/>
                          <w:marRight w:val="0"/>
                          <w:marTop w:val="0"/>
                          <w:marBottom w:val="0"/>
                          <w:divBdr>
                            <w:top w:val="none" w:sz="0" w:space="0" w:color="auto"/>
                            <w:left w:val="none" w:sz="0" w:space="0" w:color="auto"/>
                            <w:bottom w:val="none" w:sz="0" w:space="0" w:color="auto"/>
                            <w:right w:val="none" w:sz="0" w:space="0" w:color="auto"/>
                          </w:divBdr>
                          <w:divsChild>
                            <w:div w:id="1984312760">
                              <w:marLeft w:val="0"/>
                              <w:marRight w:val="0"/>
                              <w:marTop w:val="0"/>
                              <w:marBottom w:val="0"/>
                              <w:divBdr>
                                <w:top w:val="none" w:sz="0" w:space="0" w:color="auto"/>
                                <w:left w:val="none" w:sz="0" w:space="0" w:color="auto"/>
                                <w:bottom w:val="none" w:sz="0" w:space="0" w:color="auto"/>
                                <w:right w:val="none" w:sz="0" w:space="0" w:color="auto"/>
                              </w:divBdr>
                              <w:divsChild>
                                <w:div w:id="365298221">
                                  <w:marLeft w:val="0"/>
                                  <w:marRight w:val="0"/>
                                  <w:marTop w:val="0"/>
                                  <w:marBottom w:val="0"/>
                                  <w:divBdr>
                                    <w:top w:val="none" w:sz="0" w:space="0" w:color="auto"/>
                                    <w:left w:val="none" w:sz="0" w:space="0" w:color="auto"/>
                                    <w:bottom w:val="none" w:sz="0" w:space="0" w:color="auto"/>
                                    <w:right w:val="none" w:sz="0" w:space="0" w:color="auto"/>
                                  </w:divBdr>
                                  <w:divsChild>
                                    <w:div w:id="581184172">
                                      <w:marLeft w:val="105"/>
                                      <w:marRight w:val="105"/>
                                      <w:marTop w:val="105"/>
                                      <w:marBottom w:val="105"/>
                                      <w:divBdr>
                                        <w:top w:val="none" w:sz="0" w:space="0" w:color="auto"/>
                                        <w:left w:val="none" w:sz="0" w:space="0" w:color="auto"/>
                                        <w:bottom w:val="none" w:sz="0" w:space="0" w:color="auto"/>
                                        <w:right w:val="none" w:sz="0" w:space="0" w:color="auto"/>
                                      </w:divBdr>
                                      <w:divsChild>
                                        <w:div w:id="902721037">
                                          <w:marLeft w:val="0"/>
                                          <w:marRight w:val="0"/>
                                          <w:marTop w:val="0"/>
                                          <w:marBottom w:val="0"/>
                                          <w:divBdr>
                                            <w:top w:val="none" w:sz="0" w:space="0" w:color="auto"/>
                                            <w:left w:val="none" w:sz="0" w:space="0" w:color="auto"/>
                                            <w:bottom w:val="none" w:sz="0" w:space="0" w:color="auto"/>
                                            <w:right w:val="none" w:sz="0" w:space="0" w:color="auto"/>
                                          </w:divBdr>
                                          <w:divsChild>
                                            <w:div w:id="1407074049">
                                              <w:marLeft w:val="0"/>
                                              <w:marRight w:val="0"/>
                                              <w:marTop w:val="0"/>
                                              <w:marBottom w:val="0"/>
                                              <w:divBdr>
                                                <w:top w:val="none" w:sz="0" w:space="0" w:color="auto"/>
                                                <w:left w:val="none" w:sz="0" w:space="0" w:color="auto"/>
                                                <w:bottom w:val="none" w:sz="0" w:space="0" w:color="auto"/>
                                                <w:right w:val="none" w:sz="0" w:space="0" w:color="auto"/>
                                              </w:divBdr>
                                              <w:divsChild>
                                                <w:div w:id="1985312318">
                                                  <w:marLeft w:val="105"/>
                                                  <w:marRight w:val="105"/>
                                                  <w:marTop w:val="105"/>
                                                  <w:marBottom w:val="105"/>
                                                  <w:divBdr>
                                                    <w:top w:val="none" w:sz="0" w:space="0" w:color="auto"/>
                                                    <w:left w:val="none" w:sz="0" w:space="0" w:color="auto"/>
                                                    <w:bottom w:val="none" w:sz="0" w:space="0" w:color="auto"/>
                                                    <w:right w:val="none" w:sz="0" w:space="0" w:color="auto"/>
                                                  </w:divBdr>
                                                  <w:divsChild>
                                                    <w:div w:id="460265440">
                                                      <w:marLeft w:val="0"/>
                                                      <w:marRight w:val="0"/>
                                                      <w:marTop w:val="0"/>
                                                      <w:marBottom w:val="0"/>
                                                      <w:divBdr>
                                                        <w:top w:val="none" w:sz="0" w:space="0" w:color="auto"/>
                                                        <w:left w:val="none" w:sz="0" w:space="0" w:color="auto"/>
                                                        <w:bottom w:val="none" w:sz="0" w:space="0" w:color="auto"/>
                                                        <w:right w:val="none" w:sz="0" w:space="0" w:color="auto"/>
                                                      </w:divBdr>
                                                      <w:divsChild>
                                                        <w:div w:id="1823546230">
                                                          <w:marLeft w:val="0"/>
                                                          <w:marRight w:val="0"/>
                                                          <w:marTop w:val="0"/>
                                                          <w:marBottom w:val="0"/>
                                                          <w:divBdr>
                                                            <w:top w:val="none" w:sz="0" w:space="0" w:color="auto"/>
                                                            <w:left w:val="none" w:sz="0" w:space="0" w:color="auto"/>
                                                            <w:bottom w:val="none" w:sz="0" w:space="0" w:color="auto"/>
                                                            <w:right w:val="none" w:sz="0" w:space="0" w:color="auto"/>
                                                          </w:divBdr>
                                                          <w:divsChild>
                                                            <w:div w:id="127865737">
                                                              <w:marLeft w:val="0"/>
                                                              <w:marRight w:val="0"/>
                                                              <w:marTop w:val="0"/>
                                                              <w:marBottom w:val="0"/>
                                                              <w:divBdr>
                                                                <w:top w:val="none" w:sz="0" w:space="0" w:color="auto"/>
                                                                <w:left w:val="none" w:sz="0" w:space="0" w:color="auto"/>
                                                                <w:bottom w:val="none" w:sz="0" w:space="0" w:color="auto"/>
                                                                <w:right w:val="none" w:sz="0" w:space="0" w:color="auto"/>
                                                              </w:divBdr>
                                                              <w:divsChild>
                                                                <w:div w:id="1758863225">
                                                                  <w:marLeft w:val="0"/>
                                                                  <w:marRight w:val="0"/>
                                                                  <w:marTop w:val="0"/>
                                                                  <w:marBottom w:val="0"/>
                                                                  <w:divBdr>
                                                                    <w:top w:val="none" w:sz="0" w:space="0" w:color="auto"/>
                                                                    <w:left w:val="none" w:sz="0" w:space="0" w:color="auto"/>
                                                                    <w:bottom w:val="none" w:sz="0" w:space="0" w:color="auto"/>
                                                                    <w:right w:val="none" w:sz="0" w:space="0" w:color="auto"/>
                                                                  </w:divBdr>
                                                                  <w:divsChild>
                                                                    <w:div w:id="452016949">
                                                                      <w:marLeft w:val="0"/>
                                                                      <w:marRight w:val="0"/>
                                                                      <w:marTop w:val="0"/>
                                                                      <w:marBottom w:val="0"/>
                                                                      <w:divBdr>
                                                                        <w:top w:val="none" w:sz="0" w:space="0" w:color="auto"/>
                                                                        <w:left w:val="none" w:sz="0" w:space="0" w:color="auto"/>
                                                                        <w:bottom w:val="none" w:sz="0" w:space="0" w:color="auto"/>
                                                                        <w:right w:val="none" w:sz="0" w:space="0" w:color="auto"/>
                                                                      </w:divBdr>
                                                                      <w:divsChild>
                                                                        <w:div w:id="43794797">
                                                                          <w:marLeft w:val="0"/>
                                                                          <w:marRight w:val="0"/>
                                                                          <w:marTop w:val="0"/>
                                                                          <w:marBottom w:val="0"/>
                                                                          <w:divBdr>
                                                                            <w:top w:val="none" w:sz="0" w:space="0" w:color="auto"/>
                                                                            <w:left w:val="none" w:sz="0" w:space="0" w:color="auto"/>
                                                                            <w:bottom w:val="none" w:sz="0" w:space="0" w:color="auto"/>
                                                                            <w:right w:val="none" w:sz="0" w:space="0" w:color="auto"/>
                                                                          </w:divBdr>
                                                                          <w:divsChild>
                                                                            <w:div w:id="145978329">
                                                                              <w:marLeft w:val="105"/>
                                                                              <w:marRight w:val="105"/>
                                                                              <w:marTop w:val="105"/>
                                                                              <w:marBottom w:val="105"/>
                                                                              <w:divBdr>
                                                                                <w:top w:val="none" w:sz="0" w:space="0" w:color="auto"/>
                                                                                <w:left w:val="none" w:sz="0" w:space="0" w:color="auto"/>
                                                                                <w:bottom w:val="none" w:sz="0" w:space="0" w:color="auto"/>
                                                                                <w:right w:val="none" w:sz="0" w:space="0" w:color="auto"/>
                                                                              </w:divBdr>
                                                                              <w:divsChild>
                                                                                <w:div w:id="1500579240">
                                                                                  <w:marLeft w:val="0"/>
                                                                                  <w:marRight w:val="0"/>
                                                                                  <w:marTop w:val="0"/>
                                                                                  <w:marBottom w:val="0"/>
                                                                                  <w:divBdr>
                                                                                    <w:top w:val="none" w:sz="0" w:space="0" w:color="auto"/>
                                                                                    <w:left w:val="none" w:sz="0" w:space="0" w:color="auto"/>
                                                                                    <w:bottom w:val="none" w:sz="0" w:space="0" w:color="auto"/>
                                                                                    <w:right w:val="none" w:sz="0" w:space="0" w:color="auto"/>
                                                                                  </w:divBdr>
                                                                                  <w:divsChild>
                                                                                    <w:div w:id="199232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90593532">
      <w:bodyDiv w:val="1"/>
      <w:marLeft w:val="0"/>
      <w:marRight w:val="0"/>
      <w:marTop w:val="0"/>
      <w:marBottom w:val="0"/>
      <w:divBdr>
        <w:top w:val="none" w:sz="0" w:space="0" w:color="auto"/>
        <w:left w:val="none" w:sz="0" w:space="0" w:color="auto"/>
        <w:bottom w:val="none" w:sz="0" w:space="0" w:color="auto"/>
        <w:right w:val="none" w:sz="0" w:space="0" w:color="auto"/>
      </w:divBdr>
    </w:div>
    <w:div w:id="1089083545">
      <w:bodyDiv w:val="1"/>
      <w:marLeft w:val="0"/>
      <w:marRight w:val="0"/>
      <w:marTop w:val="0"/>
      <w:marBottom w:val="0"/>
      <w:divBdr>
        <w:top w:val="none" w:sz="0" w:space="0" w:color="auto"/>
        <w:left w:val="none" w:sz="0" w:space="0" w:color="auto"/>
        <w:bottom w:val="none" w:sz="0" w:space="0" w:color="auto"/>
        <w:right w:val="none" w:sz="0" w:space="0" w:color="auto"/>
      </w:divBdr>
    </w:div>
    <w:div w:id="1155294631">
      <w:bodyDiv w:val="1"/>
      <w:marLeft w:val="0"/>
      <w:marRight w:val="0"/>
      <w:marTop w:val="0"/>
      <w:marBottom w:val="0"/>
      <w:divBdr>
        <w:top w:val="none" w:sz="0" w:space="0" w:color="auto"/>
        <w:left w:val="none" w:sz="0" w:space="0" w:color="auto"/>
        <w:bottom w:val="none" w:sz="0" w:space="0" w:color="auto"/>
        <w:right w:val="none" w:sz="0" w:space="0" w:color="auto"/>
      </w:divBdr>
    </w:div>
    <w:div w:id="1257521122">
      <w:bodyDiv w:val="1"/>
      <w:marLeft w:val="0"/>
      <w:marRight w:val="0"/>
      <w:marTop w:val="0"/>
      <w:marBottom w:val="0"/>
      <w:divBdr>
        <w:top w:val="none" w:sz="0" w:space="0" w:color="auto"/>
        <w:left w:val="none" w:sz="0" w:space="0" w:color="auto"/>
        <w:bottom w:val="none" w:sz="0" w:space="0" w:color="auto"/>
        <w:right w:val="none" w:sz="0" w:space="0" w:color="auto"/>
      </w:divBdr>
    </w:div>
    <w:div w:id="1270313110">
      <w:bodyDiv w:val="1"/>
      <w:marLeft w:val="0"/>
      <w:marRight w:val="0"/>
      <w:marTop w:val="0"/>
      <w:marBottom w:val="0"/>
      <w:divBdr>
        <w:top w:val="none" w:sz="0" w:space="0" w:color="auto"/>
        <w:left w:val="none" w:sz="0" w:space="0" w:color="auto"/>
        <w:bottom w:val="none" w:sz="0" w:space="0" w:color="auto"/>
        <w:right w:val="none" w:sz="0" w:space="0" w:color="auto"/>
      </w:divBdr>
      <w:divsChild>
        <w:div w:id="828793945">
          <w:marLeft w:val="0"/>
          <w:marRight w:val="0"/>
          <w:marTop w:val="100"/>
          <w:marBottom w:val="100"/>
          <w:divBdr>
            <w:top w:val="none" w:sz="0" w:space="0" w:color="auto"/>
            <w:left w:val="none" w:sz="0" w:space="0" w:color="auto"/>
            <w:bottom w:val="none" w:sz="0" w:space="0" w:color="auto"/>
            <w:right w:val="none" w:sz="0" w:space="0" w:color="auto"/>
          </w:divBdr>
          <w:divsChild>
            <w:div w:id="2124225923">
              <w:marLeft w:val="0"/>
              <w:marRight w:val="0"/>
              <w:marTop w:val="0"/>
              <w:marBottom w:val="0"/>
              <w:divBdr>
                <w:top w:val="none" w:sz="0" w:space="0" w:color="auto"/>
                <w:left w:val="none" w:sz="0" w:space="0" w:color="auto"/>
                <w:bottom w:val="none" w:sz="0" w:space="0" w:color="auto"/>
                <w:right w:val="none" w:sz="0" w:space="0" w:color="auto"/>
              </w:divBdr>
              <w:divsChild>
                <w:div w:id="1228999160">
                  <w:marLeft w:val="105"/>
                  <w:marRight w:val="105"/>
                  <w:marTop w:val="105"/>
                  <w:marBottom w:val="105"/>
                  <w:divBdr>
                    <w:top w:val="none" w:sz="0" w:space="0" w:color="auto"/>
                    <w:left w:val="none" w:sz="0" w:space="0" w:color="auto"/>
                    <w:bottom w:val="none" w:sz="0" w:space="0" w:color="auto"/>
                    <w:right w:val="none" w:sz="0" w:space="0" w:color="auto"/>
                  </w:divBdr>
                  <w:divsChild>
                    <w:div w:id="1545172105">
                      <w:marLeft w:val="0"/>
                      <w:marRight w:val="0"/>
                      <w:marTop w:val="0"/>
                      <w:marBottom w:val="0"/>
                      <w:divBdr>
                        <w:top w:val="none" w:sz="0" w:space="0" w:color="auto"/>
                        <w:left w:val="none" w:sz="0" w:space="0" w:color="auto"/>
                        <w:bottom w:val="none" w:sz="0" w:space="0" w:color="auto"/>
                        <w:right w:val="none" w:sz="0" w:space="0" w:color="auto"/>
                      </w:divBdr>
                      <w:divsChild>
                        <w:div w:id="1586449672">
                          <w:marLeft w:val="0"/>
                          <w:marRight w:val="0"/>
                          <w:marTop w:val="0"/>
                          <w:marBottom w:val="0"/>
                          <w:divBdr>
                            <w:top w:val="none" w:sz="0" w:space="0" w:color="auto"/>
                            <w:left w:val="none" w:sz="0" w:space="0" w:color="auto"/>
                            <w:bottom w:val="none" w:sz="0" w:space="0" w:color="auto"/>
                            <w:right w:val="none" w:sz="0" w:space="0" w:color="auto"/>
                          </w:divBdr>
                          <w:divsChild>
                            <w:div w:id="624504434">
                              <w:marLeft w:val="0"/>
                              <w:marRight w:val="0"/>
                              <w:marTop w:val="0"/>
                              <w:marBottom w:val="0"/>
                              <w:divBdr>
                                <w:top w:val="none" w:sz="0" w:space="0" w:color="auto"/>
                                <w:left w:val="none" w:sz="0" w:space="0" w:color="auto"/>
                                <w:bottom w:val="none" w:sz="0" w:space="0" w:color="auto"/>
                                <w:right w:val="none" w:sz="0" w:space="0" w:color="auto"/>
                              </w:divBdr>
                              <w:divsChild>
                                <w:div w:id="1492795504">
                                  <w:marLeft w:val="0"/>
                                  <w:marRight w:val="0"/>
                                  <w:marTop w:val="0"/>
                                  <w:marBottom w:val="0"/>
                                  <w:divBdr>
                                    <w:top w:val="none" w:sz="0" w:space="0" w:color="auto"/>
                                    <w:left w:val="none" w:sz="0" w:space="0" w:color="auto"/>
                                    <w:bottom w:val="none" w:sz="0" w:space="0" w:color="auto"/>
                                    <w:right w:val="none" w:sz="0" w:space="0" w:color="auto"/>
                                  </w:divBdr>
                                  <w:divsChild>
                                    <w:div w:id="1569683693">
                                      <w:marLeft w:val="105"/>
                                      <w:marRight w:val="105"/>
                                      <w:marTop w:val="105"/>
                                      <w:marBottom w:val="105"/>
                                      <w:divBdr>
                                        <w:top w:val="none" w:sz="0" w:space="0" w:color="auto"/>
                                        <w:left w:val="none" w:sz="0" w:space="0" w:color="auto"/>
                                        <w:bottom w:val="none" w:sz="0" w:space="0" w:color="auto"/>
                                        <w:right w:val="none" w:sz="0" w:space="0" w:color="auto"/>
                                      </w:divBdr>
                                      <w:divsChild>
                                        <w:div w:id="1493251465">
                                          <w:marLeft w:val="0"/>
                                          <w:marRight w:val="0"/>
                                          <w:marTop w:val="0"/>
                                          <w:marBottom w:val="0"/>
                                          <w:divBdr>
                                            <w:top w:val="none" w:sz="0" w:space="0" w:color="auto"/>
                                            <w:left w:val="none" w:sz="0" w:space="0" w:color="auto"/>
                                            <w:bottom w:val="none" w:sz="0" w:space="0" w:color="auto"/>
                                            <w:right w:val="none" w:sz="0" w:space="0" w:color="auto"/>
                                          </w:divBdr>
                                          <w:divsChild>
                                            <w:div w:id="304166685">
                                              <w:marLeft w:val="0"/>
                                              <w:marRight w:val="0"/>
                                              <w:marTop w:val="0"/>
                                              <w:marBottom w:val="0"/>
                                              <w:divBdr>
                                                <w:top w:val="none" w:sz="0" w:space="0" w:color="auto"/>
                                                <w:left w:val="none" w:sz="0" w:space="0" w:color="auto"/>
                                                <w:bottom w:val="none" w:sz="0" w:space="0" w:color="auto"/>
                                                <w:right w:val="none" w:sz="0" w:space="0" w:color="auto"/>
                                              </w:divBdr>
                                              <w:divsChild>
                                                <w:div w:id="727728210">
                                                  <w:marLeft w:val="105"/>
                                                  <w:marRight w:val="105"/>
                                                  <w:marTop w:val="105"/>
                                                  <w:marBottom w:val="105"/>
                                                  <w:divBdr>
                                                    <w:top w:val="none" w:sz="0" w:space="0" w:color="auto"/>
                                                    <w:left w:val="none" w:sz="0" w:space="0" w:color="auto"/>
                                                    <w:bottom w:val="none" w:sz="0" w:space="0" w:color="auto"/>
                                                    <w:right w:val="none" w:sz="0" w:space="0" w:color="auto"/>
                                                  </w:divBdr>
                                                  <w:divsChild>
                                                    <w:div w:id="1612663924">
                                                      <w:marLeft w:val="0"/>
                                                      <w:marRight w:val="0"/>
                                                      <w:marTop w:val="0"/>
                                                      <w:marBottom w:val="0"/>
                                                      <w:divBdr>
                                                        <w:top w:val="none" w:sz="0" w:space="0" w:color="auto"/>
                                                        <w:left w:val="none" w:sz="0" w:space="0" w:color="auto"/>
                                                        <w:bottom w:val="none" w:sz="0" w:space="0" w:color="auto"/>
                                                        <w:right w:val="none" w:sz="0" w:space="0" w:color="auto"/>
                                                      </w:divBdr>
                                                      <w:divsChild>
                                                        <w:div w:id="356933634">
                                                          <w:marLeft w:val="0"/>
                                                          <w:marRight w:val="0"/>
                                                          <w:marTop w:val="0"/>
                                                          <w:marBottom w:val="0"/>
                                                          <w:divBdr>
                                                            <w:top w:val="none" w:sz="0" w:space="0" w:color="auto"/>
                                                            <w:left w:val="none" w:sz="0" w:space="0" w:color="auto"/>
                                                            <w:bottom w:val="none" w:sz="0" w:space="0" w:color="auto"/>
                                                            <w:right w:val="none" w:sz="0" w:space="0" w:color="auto"/>
                                                          </w:divBdr>
                                                          <w:divsChild>
                                                            <w:div w:id="1222861751">
                                                              <w:marLeft w:val="0"/>
                                                              <w:marRight w:val="0"/>
                                                              <w:marTop w:val="0"/>
                                                              <w:marBottom w:val="0"/>
                                                              <w:divBdr>
                                                                <w:top w:val="none" w:sz="0" w:space="0" w:color="auto"/>
                                                                <w:left w:val="none" w:sz="0" w:space="0" w:color="auto"/>
                                                                <w:bottom w:val="none" w:sz="0" w:space="0" w:color="auto"/>
                                                                <w:right w:val="none" w:sz="0" w:space="0" w:color="auto"/>
                                                              </w:divBdr>
                                                              <w:divsChild>
                                                                <w:div w:id="721709105">
                                                                  <w:marLeft w:val="0"/>
                                                                  <w:marRight w:val="0"/>
                                                                  <w:marTop w:val="0"/>
                                                                  <w:marBottom w:val="0"/>
                                                                  <w:divBdr>
                                                                    <w:top w:val="none" w:sz="0" w:space="0" w:color="auto"/>
                                                                    <w:left w:val="none" w:sz="0" w:space="0" w:color="auto"/>
                                                                    <w:bottom w:val="none" w:sz="0" w:space="0" w:color="auto"/>
                                                                    <w:right w:val="none" w:sz="0" w:space="0" w:color="auto"/>
                                                                  </w:divBdr>
                                                                  <w:divsChild>
                                                                    <w:div w:id="1067460979">
                                                                      <w:marLeft w:val="0"/>
                                                                      <w:marRight w:val="0"/>
                                                                      <w:marTop w:val="0"/>
                                                                      <w:marBottom w:val="0"/>
                                                                      <w:divBdr>
                                                                        <w:top w:val="none" w:sz="0" w:space="0" w:color="auto"/>
                                                                        <w:left w:val="none" w:sz="0" w:space="0" w:color="auto"/>
                                                                        <w:bottom w:val="none" w:sz="0" w:space="0" w:color="auto"/>
                                                                        <w:right w:val="none" w:sz="0" w:space="0" w:color="auto"/>
                                                                      </w:divBdr>
                                                                      <w:divsChild>
                                                                        <w:div w:id="1339884806">
                                                                          <w:marLeft w:val="0"/>
                                                                          <w:marRight w:val="0"/>
                                                                          <w:marTop w:val="0"/>
                                                                          <w:marBottom w:val="0"/>
                                                                          <w:divBdr>
                                                                            <w:top w:val="none" w:sz="0" w:space="0" w:color="auto"/>
                                                                            <w:left w:val="none" w:sz="0" w:space="0" w:color="auto"/>
                                                                            <w:bottom w:val="none" w:sz="0" w:space="0" w:color="auto"/>
                                                                            <w:right w:val="none" w:sz="0" w:space="0" w:color="auto"/>
                                                                          </w:divBdr>
                                                                          <w:divsChild>
                                                                            <w:div w:id="2036927090">
                                                                              <w:marLeft w:val="105"/>
                                                                              <w:marRight w:val="105"/>
                                                                              <w:marTop w:val="105"/>
                                                                              <w:marBottom w:val="105"/>
                                                                              <w:divBdr>
                                                                                <w:top w:val="none" w:sz="0" w:space="0" w:color="auto"/>
                                                                                <w:left w:val="none" w:sz="0" w:space="0" w:color="auto"/>
                                                                                <w:bottom w:val="none" w:sz="0" w:space="0" w:color="auto"/>
                                                                                <w:right w:val="none" w:sz="0" w:space="0" w:color="auto"/>
                                                                              </w:divBdr>
                                                                              <w:divsChild>
                                                                                <w:div w:id="543444480">
                                                                                  <w:marLeft w:val="0"/>
                                                                                  <w:marRight w:val="0"/>
                                                                                  <w:marTop w:val="0"/>
                                                                                  <w:marBottom w:val="0"/>
                                                                                  <w:divBdr>
                                                                                    <w:top w:val="none" w:sz="0" w:space="0" w:color="auto"/>
                                                                                    <w:left w:val="none" w:sz="0" w:space="0" w:color="auto"/>
                                                                                    <w:bottom w:val="none" w:sz="0" w:space="0" w:color="auto"/>
                                                                                    <w:right w:val="none" w:sz="0" w:space="0" w:color="auto"/>
                                                                                  </w:divBdr>
                                                                                  <w:divsChild>
                                                                                    <w:div w:id="206644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96831624">
      <w:bodyDiv w:val="1"/>
      <w:marLeft w:val="0"/>
      <w:marRight w:val="0"/>
      <w:marTop w:val="0"/>
      <w:marBottom w:val="0"/>
      <w:divBdr>
        <w:top w:val="none" w:sz="0" w:space="0" w:color="auto"/>
        <w:left w:val="none" w:sz="0" w:space="0" w:color="auto"/>
        <w:bottom w:val="none" w:sz="0" w:space="0" w:color="auto"/>
        <w:right w:val="none" w:sz="0" w:space="0" w:color="auto"/>
      </w:divBdr>
    </w:div>
    <w:div w:id="1342006460">
      <w:bodyDiv w:val="1"/>
      <w:marLeft w:val="0"/>
      <w:marRight w:val="0"/>
      <w:marTop w:val="0"/>
      <w:marBottom w:val="0"/>
      <w:divBdr>
        <w:top w:val="none" w:sz="0" w:space="0" w:color="auto"/>
        <w:left w:val="none" w:sz="0" w:space="0" w:color="auto"/>
        <w:bottom w:val="none" w:sz="0" w:space="0" w:color="auto"/>
        <w:right w:val="none" w:sz="0" w:space="0" w:color="auto"/>
      </w:divBdr>
    </w:div>
    <w:div w:id="1504320141">
      <w:bodyDiv w:val="1"/>
      <w:marLeft w:val="0"/>
      <w:marRight w:val="0"/>
      <w:marTop w:val="0"/>
      <w:marBottom w:val="0"/>
      <w:divBdr>
        <w:top w:val="none" w:sz="0" w:space="0" w:color="auto"/>
        <w:left w:val="none" w:sz="0" w:space="0" w:color="auto"/>
        <w:bottom w:val="none" w:sz="0" w:space="0" w:color="auto"/>
        <w:right w:val="none" w:sz="0" w:space="0" w:color="auto"/>
      </w:divBdr>
      <w:divsChild>
        <w:div w:id="1435704831">
          <w:marLeft w:val="0"/>
          <w:marRight w:val="0"/>
          <w:marTop w:val="0"/>
          <w:marBottom w:val="0"/>
          <w:divBdr>
            <w:top w:val="none" w:sz="0" w:space="0" w:color="auto"/>
            <w:left w:val="none" w:sz="0" w:space="0" w:color="auto"/>
            <w:bottom w:val="none" w:sz="0" w:space="0" w:color="auto"/>
            <w:right w:val="none" w:sz="0" w:space="0" w:color="auto"/>
          </w:divBdr>
          <w:divsChild>
            <w:div w:id="1552425642">
              <w:marLeft w:val="0"/>
              <w:marRight w:val="0"/>
              <w:marTop w:val="0"/>
              <w:marBottom w:val="0"/>
              <w:divBdr>
                <w:top w:val="none" w:sz="0" w:space="0" w:color="auto"/>
                <w:left w:val="none" w:sz="0" w:space="0" w:color="auto"/>
                <w:bottom w:val="none" w:sz="0" w:space="0" w:color="auto"/>
                <w:right w:val="none" w:sz="0" w:space="0" w:color="auto"/>
              </w:divBdr>
              <w:divsChild>
                <w:div w:id="1637299876">
                  <w:marLeft w:val="150"/>
                  <w:marRight w:val="150"/>
                  <w:marTop w:val="0"/>
                  <w:marBottom w:val="0"/>
                  <w:divBdr>
                    <w:top w:val="none" w:sz="0" w:space="0" w:color="auto"/>
                    <w:left w:val="none" w:sz="0" w:space="0" w:color="auto"/>
                    <w:bottom w:val="none" w:sz="0" w:space="0" w:color="auto"/>
                    <w:right w:val="none" w:sz="0" w:space="0" w:color="auto"/>
                  </w:divBdr>
                  <w:divsChild>
                    <w:div w:id="1255672318">
                      <w:marLeft w:val="0"/>
                      <w:marRight w:val="0"/>
                      <w:marTop w:val="0"/>
                      <w:marBottom w:val="0"/>
                      <w:divBdr>
                        <w:top w:val="none" w:sz="0" w:space="0" w:color="auto"/>
                        <w:left w:val="none" w:sz="0" w:space="0" w:color="auto"/>
                        <w:bottom w:val="none" w:sz="0" w:space="0" w:color="auto"/>
                        <w:right w:val="none" w:sz="0" w:space="0" w:color="auto"/>
                      </w:divBdr>
                      <w:divsChild>
                        <w:div w:id="332338142">
                          <w:marLeft w:val="0"/>
                          <w:marRight w:val="0"/>
                          <w:marTop w:val="0"/>
                          <w:marBottom w:val="0"/>
                          <w:divBdr>
                            <w:top w:val="none" w:sz="0" w:space="0" w:color="auto"/>
                            <w:left w:val="none" w:sz="0" w:space="0" w:color="auto"/>
                            <w:bottom w:val="none" w:sz="0" w:space="0" w:color="auto"/>
                            <w:right w:val="none" w:sz="0" w:space="0" w:color="auto"/>
                          </w:divBdr>
                          <w:divsChild>
                            <w:div w:id="913128152">
                              <w:marLeft w:val="0"/>
                              <w:marRight w:val="0"/>
                              <w:marTop w:val="0"/>
                              <w:marBottom w:val="0"/>
                              <w:divBdr>
                                <w:top w:val="none" w:sz="0" w:space="0" w:color="auto"/>
                                <w:left w:val="none" w:sz="0" w:space="0" w:color="auto"/>
                                <w:bottom w:val="none" w:sz="0" w:space="0" w:color="auto"/>
                                <w:right w:val="none" w:sz="0" w:space="0" w:color="auto"/>
                              </w:divBdr>
                              <w:divsChild>
                                <w:div w:id="1112633283">
                                  <w:marLeft w:val="0"/>
                                  <w:marRight w:val="0"/>
                                  <w:marTop w:val="0"/>
                                  <w:marBottom w:val="0"/>
                                  <w:divBdr>
                                    <w:top w:val="none" w:sz="0" w:space="0" w:color="auto"/>
                                    <w:left w:val="none" w:sz="0" w:space="0" w:color="auto"/>
                                    <w:bottom w:val="none" w:sz="0" w:space="0" w:color="auto"/>
                                    <w:right w:val="none" w:sz="0" w:space="0" w:color="auto"/>
                                  </w:divBdr>
                                  <w:divsChild>
                                    <w:div w:id="1741781332">
                                      <w:marLeft w:val="0"/>
                                      <w:marRight w:val="0"/>
                                      <w:marTop w:val="0"/>
                                      <w:marBottom w:val="0"/>
                                      <w:divBdr>
                                        <w:top w:val="none" w:sz="0" w:space="0" w:color="auto"/>
                                        <w:left w:val="none" w:sz="0" w:space="0" w:color="auto"/>
                                        <w:bottom w:val="none" w:sz="0" w:space="0" w:color="auto"/>
                                        <w:right w:val="none" w:sz="0" w:space="0" w:color="auto"/>
                                      </w:divBdr>
                                      <w:divsChild>
                                        <w:div w:id="1222787586">
                                          <w:marLeft w:val="0"/>
                                          <w:marRight w:val="0"/>
                                          <w:marTop w:val="0"/>
                                          <w:marBottom w:val="0"/>
                                          <w:divBdr>
                                            <w:top w:val="none" w:sz="0" w:space="0" w:color="auto"/>
                                            <w:left w:val="none" w:sz="0" w:space="0" w:color="auto"/>
                                            <w:bottom w:val="none" w:sz="0" w:space="0" w:color="auto"/>
                                            <w:right w:val="none" w:sz="0" w:space="0" w:color="auto"/>
                                          </w:divBdr>
                                          <w:divsChild>
                                            <w:div w:id="1907564838">
                                              <w:marLeft w:val="0"/>
                                              <w:marRight w:val="0"/>
                                              <w:marTop w:val="0"/>
                                              <w:marBottom w:val="0"/>
                                              <w:divBdr>
                                                <w:top w:val="none" w:sz="0" w:space="0" w:color="auto"/>
                                                <w:left w:val="none" w:sz="0" w:space="0" w:color="auto"/>
                                                <w:bottom w:val="none" w:sz="0" w:space="0" w:color="auto"/>
                                                <w:right w:val="none" w:sz="0" w:space="0" w:color="auto"/>
                                              </w:divBdr>
                                              <w:divsChild>
                                                <w:div w:id="350692818">
                                                  <w:marLeft w:val="0"/>
                                                  <w:marRight w:val="0"/>
                                                  <w:marTop w:val="0"/>
                                                  <w:marBottom w:val="0"/>
                                                  <w:divBdr>
                                                    <w:top w:val="none" w:sz="0" w:space="0" w:color="auto"/>
                                                    <w:left w:val="none" w:sz="0" w:space="0" w:color="auto"/>
                                                    <w:bottom w:val="none" w:sz="0" w:space="0" w:color="auto"/>
                                                    <w:right w:val="none" w:sz="0" w:space="0" w:color="auto"/>
                                                  </w:divBdr>
                                                  <w:divsChild>
                                                    <w:div w:id="453908782">
                                                      <w:marLeft w:val="0"/>
                                                      <w:marRight w:val="0"/>
                                                      <w:marTop w:val="0"/>
                                                      <w:marBottom w:val="0"/>
                                                      <w:divBdr>
                                                        <w:top w:val="none" w:sz="0" w:space="0" w:color="auto"/>
                                                        <w:left w:val="none" w:sz="0" w:space="0" w:color="auto"/>
                                                        <w:bottom w:val="none" w:sz="0" w:space="0" w:color="auto"/>
                                                        <w:right w:val="none" w:sz="0" w:space="0" w:color="auto"/>
                                                      </w:divBdr>
                                                      <w:divsChild>
                                                        <w:div w:id="675838355">
                                                          <w:marLeft w:val="0"/>
                                                          <w:marRight w:val="0"/>
                                                          <w:marTop w:val="0"/>
                                                          <w:marBottom w:val="150"/>
                                                          <w:divBdr>
                                                            <w:top w:val="none" w:sz="0" w:space="0" w:color="auto"/>
                                                            <w:left w:val="none" w:sz="0" w:space="0" w:color="auto"/>
                                                            <w:bottom w:val="none" w:sz="0" w:space="0" w:color="auto"/>
                                                            <w:right w:val="none" w:sz="0" w:space="0" w:color="auto"/>
                                                          </w:divBdr>
                                                          <w:divsChild>
                                                            <w:div w:id="199322279">
                                                              <w:marLeft w:val="0"/>
                                                              <w:marRight w:val="0"/>
                                                              <w:marTop w:val="0"/>
                                                              <w:marBottom w:val="0"/>
                                                              <w:divBdr>
                                                                <w:top w:val="none" w:sz="0" w:space="0" w:color="auto"/>
                                                                <w:left w:val="none" w:sz="0" w:space="0" w:color="auto"/>
                                                                <w:bottom w:val="none" w:sz="0" w:space="0" w:color="auto"/>
                                                                <w:right w:val="none" w:sz="0" w:space="0" w:color="auto"/>
                                                              </w:divBdr>
                                                              <w:divsChild>
                                                                <w:div w:id="1715882760">
                                                                  <w:marLeft w:val="0"/>
                                                                  <w:marRight w:val="0"/>
                                                                  <w:marTop w:val="0"/>
                                                                  <w:marBottom w:val="0"/>
                                                                  <w:divBdr>
                                                                    <w:top w:val="none" w:sz="0" w:space="0" w:color="auto"/>
                                                                    <w:left w:val="none" w:sz="0" w:space="0" w:color="auto"/>
                                                                    <w:bottom w:val="none" w:sz="0" w:space="0" w:color="auto"/>
                                                                    <w:right w:val="none" w:sz="0" w:space="0" w:color="auto"/>
                                                                  </w:divBdr>
                                                                  <w:divsChild>
                                                                    <w:div w:id="2014718975">
                                                                      <w:marLeft w:val="0"/>
                                                                      <w:marRight w:val="0"/>
                                                                      <w:marTop w:val="0"/>
                                                                      <w:marBottom w:val="0"/>
                                                                      <w:divBdr>
                                                                        <w:top w:val="none" w:sz="0" w:space="0" w:color="auto"/>
                                                                        <w:left w:val="none" w:sz="0" w:space="0" w:color="auto"/>
                                                                        <w:bottom w:val="none" w:sz="0" w:space="0" w:color="auto"/>
                                                                        <w:right w:val="none" w:sz="0" w:space="0" w:color="auto"/>
                                                                      </w:divBdr>
                                                                      <w:divsChild>
                                                                        <w:div w:id="182924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43253137">
      <w:bodyDiv w:val="1"/>
      <w:marLeft w:val="0"/>
      <w:marRight w:val="0"/>
      <w:marTop w:val="0"/>
      <w:marBottom w:val="0"/>
      <w:divBdr>
        <w:top w:val="none" w:sz="0" w:space="0" w:color="auto"/>
        <w:left w:val="none" w:sz="0" w:space="0" w:color="auto"/>
        <w:bottom w:val="none" w:sz="0" w:space="0" w:color="auto"/>
        <w:right w:val="none" w:sz="0" w:space="0" w:color="auto"/>
      </w:divBdr>
    </w:div>
    <w:div w:id="1573008759">
      <w:bodyDiv w:val="1"/>
      <w:marLeft w:val="0"/>
      <w:marRight w:val="0"/>
      <w:marTop w:val="0"/>
      <w:marBottom w:val="0"/>
      <w:divBdr>
        <w:top w:val="none" w:sz="0" w:space="0" w:color="auto"/>
        <w:left w:val="none" w:sz="0" w:space="0" w:color="auto"/>
        <w:bottom w:val="none" w:sz="0" w:space="0" w:color="auto"/>
        <w:right w:val="none" w:sz="0" w:space="0" w:color="auto"/>
      </w:divBdr>
    </w:div>
    <w:div w:id="1592621317">
      <w:bodyDiv w:val="1"/>
      <w:marLeft w:val="0"/>
      <w:marRight w:val="0"/>
      <w:marTop w:val="0"/>
      <w:marBottom w:val="0"/>
      <w:divBdr>
        <w:top w:val="none" w:sz="0" w:space="0" w:color="auto"/>
        <w:left w:val="none" w:sz="0" w:space="0" w:color="auto"/>
        <w:bottom w:val="none" w:sz="0" w:space="0" w:color="auto"/>
        <w:right w:val="none" w:sz="0" w:space="0" w:color="auto"/>
      </w:divBdr>
    </w:div>
    <w:div w:id="1682657911">
      <w:bodyDiv w:val="1"/>
      <w:marLeft w:val="0"/>
      <w:marRight w:val="0"/>
      <w:marTop w:val="0"/>
      <w:marBottom w:val="0"/>
      <w:divBdr>
        <w:top w:val="none" w:sz="0" w:space="0" w:color="auto"/>
        <w:left w:val="none" w:sz="0" w:space="0" w:color="auto"/>
        <w:bottom w:val="none" w:sz="0" w:space="0" w:color="auto"/>
        <w:right w:val="none" w:sz="0" w:space="0" w:color="auto"/>
      </w:divBdr>
    </w:div>
    <w:div w:id="1718821631">
      <w:bodyDiv w:val="1"/>
      <w:marLeft w:val="0"/>
      <w:marRight w:val="0"/>
      <w:marTop w:val="0"/>
      <w:marBottom w:val="0"/>
      <w:divBdr>
        <w:top w:val="none" w:sz="0" w:space="0" w:color="auto"/>
        <w:left w:val="none" w:sz="0" w:space="0" w:color="auto"/>
        <w:bottom w:val="none" w:sz="0" w:space="0" w:color="auto"/>
        <w:right w:val="none" w:sz="0" w:space="0" w:color="auto"/>
      </w:divBdr>
      <w:divsChild>
        <w:div w:id="1387947451">
          <w:marLeft w:val="0"/>
          <w:marRight w:val="1"/>
          <w:marTop w:val="0"/>
          <w:marBottom w:val="0"/>
          <w:divBdr>
            <w:top w:val="none" w:sz="0" w:space="0" w:color="auto"/>
            <w:left w:val="none" w:sz="0" w:space="0" w:color="auto"/>
            <w:bottom w:val="none" w:sz="0" w:space="0" w:color="auto"/>
            <w:right w:val="none" w:sz="0" w:space="0" w:color="auto"/>
          </w:divBdr>
          <w:divsChild>
            <w:div w:id="153420589">
              <w:marLeft w:val="0"/>
              <w:marRight w:val="0"/>
              <w:marTop w:val="0"/>
              <w:marBottom w:val="0"/>
              <w:divBdr>
                <w:top w:val="none" w:sz="0" w:space="0" w:color="auto"/>
                <w:left w:val="none" w:sz="0" w:space="0" w:color="auto"/>
                <w:bottom w:val="none" w:sz="0" w:space="0" w:color="auto"/>
                <w:right w:val="none" w:sz="0" w:space="0" w:color="auto"/>
              </w:divBdr>
              <w:divsChild>
                <w:div w:id="2031488762">
                  <w:marLeft w:val="0"/>
                  <w:marRight w:val="1"/>
                  <w:marTop w:val="0"/>
                  <w:marBottom w:val="0"/>
                  <w:divBdr>
                    <w:top w:val="none" w:sz="0" w:space="0" w:color="auto"/>
                    <w:left w:val="none" w:sz="0" w:space="0" w:color="auto"/>
                    <w:bottom w:val="none" w:sz="0" w:space="0" w:color="auto"/>
                    <w:right w:val="none" w:sz="0" w:space="0" w:color="auto"/>
                  </w:divBdr>
                  <w:divsChild>
                    <w:div w:id="2061245418">
                      <w:marLeft w:val="0"/>
                      <w:marRight w:val="0"/>
                      <w:marTop w:val="0"/>
                      <w:marBottom w:val="0"/>
                      <w:divBdr>
                        <w:top w:val="none" w:sz="0" w:space="0" w:color="auto"/>
                        <w:left w:val="none" w:sz="0" w:space="0" w:color="auto"/>
                        <w:bottom w:val="none" w:sz="0" w:space="0" w:color="auto"/>
                        <w:right w:val="none" w:sz="0" w:space="0" w:color="auto"/>
                      </w:divBdr>
                      <w:divsChild>
                        <w:div w:id="661203721">
                          <w:marLeft w:val="0"/>
                          <w:marRight w:val="0"/>
                          <w:marTop w:val="0"/>
                          <w:marBottom w:val="0"/>
                          <w:divBdr>
                            <w:top w:val="none" w:sz="0" w:space="0" w:color="auto"/>
                            <w:left w:val="none" w:sz="0" w:space="0" w:color="auto"/>
                            <w:bottom w:val="none" w:sz="0" w:space="0" w:color="auto"/>
                            <w:right w:val="none" w:sz="0" w:space="0" w:color="auto"/>
                          </w:divBdr>
                          <w:divsChild>
                            <w:div w:id="1460761969">
                              <w:marLeft w:val="0"/>
                              <w:marRight w:val="0"/>
                              <w:marTop w:val="120"/>
                              <w:marBottom w:val="360"/>
                              <w:divBdr>
                                <w:top w:val="none" w:sz="0" w:space="0" w:color="auto"/>
                                <w:left w:val="none" w:sz="0" w:space="0" w:color="auto"/>
                                <w:bottom w:val="none" w:sz="0" w:space="0" w:color="auto"/>
                                <w:right w:val="none" w:sz="0" w:space="0" w:color="auto"/>
                              </w:divBdr>
                              <w:divsChild>
                                <w:div w:id="272565904">
                                  <w:marLeft w:val="0"/>
                                  <w:marRight w:val="0"/>
                                  <w:marTop w:val="0"/>
                                  <w:marBottom w:val="0"/>
                                  <w:divBdr>
                                    <w:top w:val="none" w:sz="0" w:space="0" w:color="auto"/>
                                    <w:left w:val="none" w:sz="0" w:space="0" w:color="auto"/>
                                    <w:bottom w:val="none" w:sz="0" w:space="0" w:color="auto"/>
                                    <w:right w:val="none" w:sz="0" w:space="0" w:color="auto"/>
                                  </w:divBdr>
                                  <w:divsChild>
                                    <w:div w:id="24723251">
                                      <w:marLeft w:val="0"/>
                                      <w:marRight w:val="0"/>
                                      <w:marTop w:val="0"/>
                                      <w:marBottom w:val="0"/>
                                      <w:divBdr>
                                        <w:top w:val="none" w:sz="0" w:space="0" w:color="auto"/>
                                        <w:left w:val="none" w:sz="0" w:space="0" w:color="auto"/>
                                        <w:bottom w:val="none" w:sz="0" w:space="0" w:color="auto"/>
                                        <w:right w:val="none" w:sz="0" w:space="0" w:color="auto"/>
                                      </w:divBdr>
                                      <w:divsChild>
                                        <w:div w:id="548690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2198952">
      <w:bodyDiv w:val="1"/>
      <w:marLeft w:val="0"/>
      <w:marRight w:val="0"/>
      <w:marTop w:val="0"/>
      <w:marBottom w:val="0"/>
      <w:divBdr>
        <w:top w:val="none" w:sz="0" w:space="0" w:color="auto"/>
        <w:left w:val="none" w:sz="0" w:space="0" w:color="auto"/>
        <w:bottom w:val="none" w:sz="0" w:space="0" w:color="auto"/>
        <w:right w:val="none" w:sz="0" w:space="0" w:color="auto"/>
      </w:divBdr>
      <w:divsChild>
        <w:div w:id="1196236309">
          <w:marLeft w:val="300"/>
          <w:marRight w:val="300"/>
          <w:marTop w:val="0"/>
          <w:marBottom w:val="210"/>
          <w:divBdr>
            <w:top w:val="none" w:sz="0" w:space="0" w:color="auto"/>
            <w:left w:val="none" w:sz="0" w:space="0" w:color="auto"/>
            <w:bottom w:val="none" w:sz="0" w:space="0" w:color="auto"/>
            <w:right w:val="none" w:sz="0" w:space="0" w:color="auto"/>
          </w:divBdr>
        </w:div>
        <w:div w:id="227882947">
          <w:marLeft w:val="300"/>
          <w:marRight w:val="300"/>
          <w:marTop w:val="0"/>
          <w:marBottom w:val="210"/>
          <w:divBdr>
            <w:top w:val="none" w:sz="0" w:space="0" w:color="auto"/>
            <w:left w:val="none" w:sz="0" w:space="0" w:color="auto"/>
            <w:bottom w:val="none" w:sz="0" w:space="0" w:color="auto"/>
            <w:right w:val="none" w:sz="0" w:space="0" w:color="auto"/>
          </w:divBdr>
        </w:div>
        <w:div w:id="1601334506">
          <w:marLeft w:val="300"/>
          <w:marRight w:val="300"/>
          <w:marTop w:val="0"/>
          <w:marBottom w:val="210"/>
          <w:divBdr>
            <w:top w:val="none" w:sz="0" w:space="0" w:color="auto"/>
            <w:left w:val="none" w:sz="0" w:space="0" w:color="auto"/>
            <w:bottom w:val="none" w:sz="0" w:space="0" w:color="auto"/>
            <w:right w:val="none" w:sz="0" w:space="0" w:color="auto"/>
          </w:divBdr>
        </w:div>
      </w:divsChild>
    </w:div>
    <w:div w:id="1765490141">
      <w:bodyDiv w:val="1"/>
      <w:marLeft w:val="0"/>
      <w:marRight w:val="0"/>
      <w:marTop w:val="0"/>
      <w:marBottom w:val="0"/>
      <w:divBdr>
        <w:top w:val="none" w:sz="0" w:space="0" w:color="auto"/>
        <w:left w:val="none" w:sz="0" w:space="0" w:color="auto"/>
        <w:bottom w:val="none" w:sz="0" w:space="0" w:color="auto"/>
        <w:right w:val="none" w:sz="0" w:space="0" w:color="auto"/>
      </w:divBdr>
      <w:divsChild>
        <w:div w:id="1573539251">
          <w:marLeft w:val="0"/>
          <w:marRight w:val="1"/>
          <w:marTop w:val="0"/>
          <w:marBottom w:val="0"/>
          <w:divBdr>
            <w:top w:val="none" w:sz="0" w:space="0" w:color="auto"/>
            <w:left w:val="none" w:sz="0" w:space="0" w:color="auto"/>
            <w:bottom w:val="none" w:sz="0" w:space="0" w:color="auto"/>
            <w:right w:val="none" w:sz="0" w:space="0" w:color="auto"/>
          </w:divBdr>
          <w:divsChild>
            <w:div w:id="488908465">
              <w:marLeft w:val="0"/>
              <w:marRight w:val="0"/>
              <w:marTop w:val="0"/>
              <w:marBottom w:val="0"/>
              <w:divBdr>
                <w:top w:val="none" w:sz="0" w:space="0" w:color="auto"/>
                <w:left w:val="none" w:sz="0" w:space="0" w:color="auto"/>
                <w:bottom w:val="none" w:sz="0" w:space="0" w:color="auto"/>
                <w:right w:val="none" w:sz="0" w:space="0" w:color="auto"/>
              </w:divBdr>
              <w:divsChild>
                <w:div w:id="614219841">
                  <w:marLeft w:val="0"/>
                  <w:marRight w:val="1"/>
                  <w:marTop w:val="0"/>
                  <w:marBottom w:val="0"/>
                  <w:divBdr>
                    <w:top w:val="none" w:sz="0" w:space="0" w:color="auto"/>
                    <w:left w:val="none" w:sz="0" w:space="0" w:color="auto"/>
                    <w:bottom w:val="none" w:sz="0" w:space="0" w:color="auto"/>
                    <w:right w:val="none" w:sz="0" w:space="0" w:color="auto"/>
                  </w:divBdr>
                  <w:divsChild>
                    <w:div w:id="1823813179">
                      <w:marLeft w:val="0"/>
                      <w:marRight w:val="0"/>
                      <w:marTop w:val="0"/>
                      <w:marBottom w:val="0"/>
                      <w:divBdr>
                        <w:top w:val="none" w:sz="0" w:space="0" w:color="auto"/>
                        <w:left w:val="none" w:sz="0" w:space="0" w:color="auto"/>
                        <w:bottom w:val="none" w:sz="0" w:space="0" w:color="auto"/>
                        <w:right w:val="none" w:sz="0" w:space="0" w:color="auto"/>
                      </w:divBdr>
                      <w:divsChild>
                        <w:div w:id="1748720899">
                          <w:marLeft w:val="0"/>
                          <w:marRight w:val="0"/>
                          <w:marTop w:val="0"/>
                          <w:marBottom w:val="0"/>
                          <w:divBdr>
                            <w:top w:val="none" w:sz="0" w:space="0" w:color="auto"/>
                            <w:left w:val="none" w:sz="0" w:space="0" w:color="auto"/>
                            <w:bottom w:val="none" w:sz="0" w:space="0" w:color="auto"/>
                            <w:right w:val="none" w:sz="0" w:space="0" w:color="auto"/>
                          </w:divBdr>
                          <w:divsChild>
                            <w:div w:id="2043168292">
                              <w:marLeft w:val="0"/>
                              <w:marRight w:val="0"/>
                              <w:marTop w:val="120"/>
                              <w:marBottom w:val="360"/>
                              <w:divBdr>
                                <w:top w:val="none" w:sz="0" w:space="0" w:color="auto"/>
                                <w:left w:val="none" w:sz="0" w:space="0" w:color="auto"/>
                                <w:bottom w:val="none" w:sz="0" w:space="0" w:color="auto"/>
                                <w:right w:val="none" w:sz="0" w:space="0" w:color="auto"/>
                              </w:divBdr>
                              <w:divsChild>
                                <w:div w:id="834612984">
                                  <w:marLeft w:val="0"/>
                                  <w:marRight w:val="0"/>
                                  <w:marTop w:val="0"/>
                                  <w:marBottom w:val="0"/>
                                  <w:divBdr>
                                    <w:top w:val="none" w:sz="0" w:space="0" w:color="auto"/>
                                    <w:left w:val="none" w:sz="0" w:space="0" w:color="auto"/>
                                    <w:bottom w:val="none" w:sz="0" w:space="0" w:color="auto"/>
                                    <w:right w:val="none" w:sz="0" w:space="0" w:color="auto"/>
                                  </w:divBdr>
                                  <w:divsChild>
                                    <w:div w:id="1004287064">
                                      <w:marLeft w:val="0"/>
                                      <w:marRight w:val="0"/>
                                      <w:marTop w:val="0"/>
                                      <w:marBottom w:val="0"/>
                                      <w:divBdr>
                                        <w:top w:val="none" w:sz="0" w:space="0" w:color="auto"/>
                                        <w:left w:val="none" w:sz="0" w:space="0" w:color="auto"/>
                                        <w:bottom w:val="none" w:sz="0" w:space="0" w:color="auto"/>
                                        <w:right w:val="none" w:sz="0" w:space="0" w:color="auto"/>
                                      </w:divBdr>
                                      <w:divsChild>
                                        <w:div w:id="40835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4323932">
      <w:bodyDiv w:val="1"/>
      <w:marLeft w:val="0"/>
      <w:marRight w:val="0"/>
      <w:marTop w:val="0"/>
      <w:marBottom w:val="0"/>
      <w:divBdr>
        <w:top w:val="none" w:sz="0" w:space="0" w:color="auto"/>
        <w:left w:val="none" w:sz="0" w:space="0" w:color="auto"/>
        <w:bottom w:val="none" w:sz="0" w:space="0" w:color="auto"/>
        <w:right w:val="none" w:sz="0" w:space="0" w:color="auto"/>
      </w:divBdr>
    </w:div>
    <w:div w:id="1864785033">
      <w:bodyDiv w:val="1"/>
      <w:marLeft w:val="0"/>
      <w:marRight w:val="0"/>
      <w:marTop w:val="0"/>
      <w:marBottom w:val="0"/>
      <w:divBdr>
        <w:top w:val="none" w:sz="0" w:space="0" w:color="auto"/>
        <w:left w:val="none" w:sz="0" w:space="0" w:color="auto"/>
        <w:bottom w:val="none" w:sz="0" w:space="0" w:color="auto"/>
        <w:right w:val="none" w:sz="0" w:space="0" w:color="auto"/>
      </w:divBdr>
    </w:div>
    <w:div w:id="1898467922">
      <w:bodyDiv w:val="1"/>
      <w:marLeft w:val="0"/>
      <w:marRight w:val="0"/>
      <w:marTop w:val="0"/>
      <w:marBottom w:val="0"/>
      <w:divBdr>
        <w:top w:val="none" w:sz="0" w:space="0" w:color="auto"/>
        <w:left w:val="none" w:sz="0" w:space="0" w:color="auto"/>
        <w:bottom w:val="none" w:sz="0" w:space="0" w:color="auto"/>
        <w:right w:val="none" w:sz="0" w:space="0" w:color="auto"/>
      </w:divBdr>
    </w:div>
    <w:div w:id="1961305661">
      <w:bodyDiv w:val="1"/>
      <w:marLeft w:val="0"/>
      <w:marRight w:val="0"/>
      <w:marTop w:val="0"/>
      <w:marBottom w:val="0"/>
      <w:divBdr>
        <w:top w:val="none" w:sz="0" w:space="0" w:color="auto"/>
        <w:left w:val="none" w:sz="0" w:space="0" w:color="auto"/>
        <w:bottom w:val="none" w:sz="0" w:space="0" w:color="auto"/>
        <w:right w:val="none" w:sz="0" w:space="0" w:color="auto"/>
      </w:divBdr>
    </w:div>
    <w:div w:id="1976135754">
      <w:bodyDiv w:val="1"/>
      <w:marLeft w:val="0"/>
      <w:marRight w:val="0"/>
      <w:marTop w:val="0"/>
      <w:marBottom w:val="0"/>
      <w:divBdr>
        <w:top w:val="none" w:sz="0" w:space="0" w:color="auto"/>
        <w:left w:val="none" w:sz="0" w:space="0" w:color="auto"/>
        <w:bottom w:val="none" w:sz="0" w:space="0" w:color="auto"/>
        <w:right w:val="none" w:sz="0" w:space="0" w:color="auto"/>
      </w:divBdr>
    </w:div>
    <w:div w:id="1985430014">
      <w:bodyDiv w:val="1"/>
      <w:marLeft w:val="0"/>
      <w:marRight w:val="0"/>
      <w:marTop w:val="0"/>
      <w:marBottom w:val="0"/>
      <w:divBdr>
        <w:top w:val="none" w:sz="0" w:space="0" w:color="auto"/>
        <w:left w:val="none" w:sz="0" w:space="0" w:color="auto"/>
        <w:bottom w:val="none" w:sz="0" w:space="0" w:color="auto"/>
        <w:right w:val="none" w:sz="0" w:space="0" w:color="auto"/>
      </w:divBdr>
    </w:div>
    <w:div w:id="1991595532">
      <w:bodyDiv w:val="1"/>
      <w:marLeft w:val="0"/>
      <w:marRight w:val="0"/>
      <w:marTop w:val="0"/>
      <w:marBottom w:val="0"/>
      <w:divBdr>
        <w:top w:val="none" w:sz="0" w:space="0" w:color="auto"/>
        <w:left w:val="none" w:sz="0" w:space="0" w:color="auto"/>
        <w:bottom w:val="none" w:sz="0" w:space="0" w:color="auto"/>
        <w:right w:val="none" w:sz="0" w:space="0" w:color="auto"/>
      </w:divBdr>
    </w:div>
    <w:div w:id="2110544086">
      <w:bodyDiv w:val="1"/>
      <w:marLeft w:val="0"/>
      <w:marRight w:val="0"/>
      <w:marTop w:val="0"/>
      <w:marBottom w:val="0"/>
      <w:divBdr>
        <w:top w:val="none" w:sz="0" w:space="0" w:color="auto"/>
        <w:left w:val="none" w:sz="0" w:space="0" w:color="auto"/>
        <w:bottom w:val="none" w:sz="0" w:space="0" w:color="auto"/>
        <w:right w:val="none" w:sz="0" w:space="0" w:color="auto"/>
      </w:divBdr>
    </w:div>
    <w:div w:id="2140033274">
      <w:bodyDiv w:val="1"/>
      <w:marLeft w:val="0"/>
      <w:marRight w:val="0"/>
      <w:marTop w:val="0"/>
      <w:marBottom w:val="0"/>
      <w:divBdr>
        <w:top w:val="none" w:sz="0" w:space="0" w:color="auto"/>
        <w:left w:val="none" w:sz="0" w:space="0" w:color="auto"/>
        <w:bottom w:val="none" w:sz="0" w:space="0" w:color="auto"/>
        <w:right w:val="none" w:sz="0" w:space="0" w:color="auto"/>
      </w:divBdr>
      <w:divsChild>
        <w:div w:id="478615370">
          <w:marLeft w:val="0"/>
          <w:marRight w:val="0"/>
          <w:marTop w:val="100"/>
          <w:marBottom w:val="100"/>
          <w:divBdr>
            <w:top w:val="none" w:sz="0" w:space="0" w:color="auto"/>
            <w:left w:val="none" w:sz="0" w:space="0" w:color="auto"/>
            <w:bottom w:val="none" w:sz="0" w:space="0" w:color="auto"/>
            <w:right w:val="none" w:sz="0" w:space="0" w:color="auto"/>
          </w:divBdr>
          <w:divsChild>
            <w:div w:id="132017741">
              <w:marLeft w:val="0"/>
              <w:marRight w:val="0"/>
              <w:marTop w:val="0"/>
              <w:marBottom w:val="0"/>
              <w:divBdr>
                <w:top w:val="none" w:sz="0" w:space="0" w:color="auto"/>
                <w:left w:val="none" w:sz="0" w:space="0" w:color="auto"/>
                <w:bottom w:val="none" w:sz="0" w:space="0" w:color="auto"/>
                <w:right w:val="none" w:sz="0" w:space="0" w:color="auto"/>
              </w:divBdr>
              <w:divsChild>
                <w:div w:id="1840077417">
                  <w:marLeft w:val="105"/>
                  <w:marRight w:val="105"/>
                  <w:marTop w:val="105"/>
                  <w:marBottom w:val="105"/>
                  <w:divBdr>
                    <w:top w:val="none" w:sz="0" w:space="0" w:color="auto"/>
                    <w:left w:val="none" w:sz="0" w:space="0" w:color="auto"/>
                    <w:bottom w:val="none" w:sz="0" w:space="0" w:color="auto"/>
                    <w:right w:val="none" w:sz="0" w:space="0" w:color="auto"/>
                  </w:divBdr>
                  <w:divsChild>
                    <w:div w:id="307632956">
                      <w:marLeft w:val="0"/>
                      <w:marRight w:val="0"/>
                      <w:marTop w:val="0"/>
                      <w:marBottom w:val="0"/>
                      <w:divBdr>
                        <w:top w:val="none" w:sz="0" w:space="0" w:color="auto"/>
                        <w:left w:val="none" w:sz="0" w:space="0" w:color="auto"/>
                        <w:bottom w:val="none" w:sz="0" w:space="0" w:color="auto"/>
                        <w:right w:val="none" w:sz="0" w:space="0" w:color="auto"/>
                      </w:divBdr>
                      <w:divsChild>
                        <w:div w:id="1005744059">
                          <w:marLeft w:val="0"/>
                          <w:marRight w:val="0"/>
                          <w:marTop w:val="0"/>
                          <w:marBottom w:val="0"/>
                          <w:divBdr>
                            <w:top w:val="none" w:sz="0" w:space="0" w:color="auto"/>
                            <w:left w:val="none" w:sz="0" w:space="0" w:color="auto"/>
                            <w:bottom w:val="none" w:sz="0" w:space="0" w:color="auto"/>
                            <w:right w:val="none" w:sz="0" w:space="0" w:color="auto"/>
                          </w:divBdr>
                          <w:divsChild>
                            <w:div w:id="505172749">
                              <w:marLeft w:val="0"/>
                              <w:marRight w:val="0"/>
                              <w:marTop w:val="0"/>
                              <w:marBottom w:val="0"/>
                              <w:divBdr>
                                <w:top w:val="none" w:sz="0" w:space="0" w:color="auto"/>
                                <w:left w:val="none" w:sz="0" w:space="0" w:color="auto"/>
                                <w:bottom w:val="none" w:sz="0" w:space="0" w:color="auto"/>
                                <w:right w:val="none" w:sz="0" w:space="0" w:color="auto"/>
                              </w:divBdr>
                              <w:divsChild>
                                <w:div w:id="1004436599">
                                  <w:marLeft w:val="0"/>
                                  <w:marRight w:val="0"/>
                                  <w:marTop w:val="0"/>
                                  <w:marBottom w:val="0"/>
                                  <w:divBdr>
                                    <w:top w:val="none" w:sz="0" w:space="0" w:color="auto"/>
                                    <w:left w:val="none" w:sz="0" w:space="0" w:color="auto"/>
                                    <w:bottom w:val="none" w:sz="0" w:space="0" w:color="auto"/>
                                    <w:right w:val="none" w:sz="0" w:space="0" w:color="auto"/>
                                  </w:divBdr>
                                  <w:divsChild>
                                    <w:div w:id="903949897">
                                      <w:marLeft w:val="105"/>
                                      <w:marRight w:val="105"/>
                                      <w:marTop w:val="105"/>
                                      <w:marBottom w:val="105"/>
                                      <w:divBdr>
                                        <w:top w:val="none" w:sz="0" w:space="0" w:color="auto"/>
                                        <w:left w:val="none" w:sz="0" w:space="0" w:color="auto"/>
                                        <w:bottom w:val="none" w:sz="0" w:space="0" w:color="auto"/>
                                        <w:right w:val="none" w:sz="0" w:space="0" w:color="auto"/>
                                      </w:divBdr>
                                      <w:divsChild>
                                        <w:div w:id="531188229">
                                          <w:marLeft w:val="0"/>
                                          <w:marRight w:val="0"/>
                                          <w:marTop w:val="0"/>
                                          <w:marBottom w:val="0"/>
                                          <w:divBdr>
                                            <w:top w:val="none" w:sz="0" w:space="0" w:color="auto"/>
                                            <w:left w:val="none" w:sz="0" w:space="0" w:color="auto"/>
                                            <w:bottom w:val="none" w:sz="0" w:space="0" w:color="auto"/>
                                            <w:right w:val="none" w:sz="0" w:space="0" w:color="auto"/>
                                          </w:divBdr>
                                          <w:divsChild>
                                            <w:div w:id="1754622050">
                                              <w:marLeft w:val="0"/>
                                              <w:marRight w:val="0"/>
                                              <w:marTop w:val="0"/>
                                              <w:marBottom w:val="0"/>
                                              <w:divBdr>
                                                <w:top w:val="none" w:sz="0" w:space="0" w:color="auto"/>
                                                <w:left w:val="none" w:sz="0" w:space="0" w:color="auto"/>
                                                <w:bottom w:val="none" w:sz="0" w:space="0" w:color="auto"/>
                                                <w:right w:val="none" w:sz="0" w:space="0" w:color="auto"/>
                                              </w:divBdr>
                                              <w:divsChild>
                                                <w:div w:id="76708845">
                                                  <w:marLeft w:val="105"/>
                                                  <w:marRight w:val="105"/>
                                                  <w:marTop w:val="105"/>
                                                  <w:marBottom w:val="105"/>
                                                  <w:divBdr>
                                                    <w:top w:val="none" w:sz="0" w:space="0" w:color="auto"/>
                                                    <w:left w:val="none" w:sz="0" w:space="0" w:color="auto"/>
                                                    <w:bottom w:val="none" w:sz="0" w:space="0" w:color="auto"/>
                                                    <w:right w:val="none" w:sz="0" w:space="0" w:color="auto"/>
                                                  </w:divBdr>
                                                  <w:divsChild>
                                                    <w:div w:id="585379476">
                                                      <w:marLeft w:val="0"/>
                                                      <w:marRight w:val="0"/>
                                                      <w:marTop w:val="0"/>
                                                      <w:marBottom w:val="0"/>
                                                      <w:divBdr>
                                                        <w:top w:val="none" w:sz="0" w:space="0" w:color="auto"/>
                                                        <w:left w:val="none" w:sz="0" w:space="0" w:color="auto"/>
                                                        <w:bottom w:val="none" w:sz="0" w:space="0" w:color="auto"/>
                                                        <w:right w:val="none" w:sz="0" w:space="0" w:color="auto"/>
                                                      </w:divBdr>
                                                      <w:divsChild>
                                                        <w:div w:id="1462452840">
                                                          <w:marLeft w:val="0"/>
                                                          <w:marRight w:val="0"/>
                                                          <w:marTop w:val="0"/>
                                                          <w:marBottom w:val="0"/>
                                                          <w:divBdr>
                                                            <w:top w:val="none" w:sz="0" w:space="0" w:color="auto"/>
                                                            <w:left w:val="none" w:sz="0" w:space="0" w:color="auto"/>
                                                            <w:bottom w:val="none" w:sz="0" w:space="0" w:color="auto"/>
                                                            <w:right w:val="none" w:sz="0" w:space="0" w:color="auto"/>
                                                          </w:divBdr>
                                                          <w:divsChild>
                                                            <w:div w:id="1425106666">
                                                              <w:marLeft w:val="0"/>
                                                              <w:marRight w:val="0"/>
                                                              <w:marTop w:val="0"/>
                                                              <w:marBottom w:val="0"/>
                                                              <w:divBdr>
                                                                <w:top w:val="none" w:sz="0" w:space="0" w:color="auto"/>
                                                                <w:left w:val="none" w:sz="0" w:space="0" w:color="auto"/>
                                                                <w:bottom w:val="none" w:sz="0" w:space="0" w:color="auto"/>
                                                                <w:right w:val="none" w:sz="0" w:space="0" w:color="auto"/>
                                                              </w:divBdr>
                                                              <w:divsChild>
                                                                <w:div w:id="1412384548">
                                                                  <w:marLeft w:val="0"/>
                                                                  <w:marRight w:val="0"/>
                                                                  <w:marTop w:val="0"/>
                                                                  <w:marBottom w:val="0"/>
                                                                  <w:divBdr>
                                                                    <w:top w:val="none" w:sz="0" w:space="0" w:color="auto"/>
                                                                    <w:left w:val="none" w:sz="0" w:space="0" w:color="auto"/>
                                                                    <w:bottom w:val="none" w:sz="0" w:space="0" w:color="auto"/>
                                                                    <w:right w:val="none" w:sz="0" w:space="0" w:color="auto"/>
                                                                  </w:divBdr>
                                                                  <w:divsChild>
                                                                    <w:div w:id="395203875">
                                                                      <w:marLeft w:val="0"/>
                                                                      <w:marRight w:val="0"/>
                                                                      <w:marTop w:val="0"/>
                                                                      <w:marBottom w:val="0"/>
                                                                      <w:divBdr>
                                                                        <w:top w:val="none" w:sz="0" w:space="0" w:color="auto"/>
                                                                        <w:left w:val="none" w:sz="0" w:space="0" w:color="auto"/>
                                                                        <w:bottom w:val="none" w:sz="0" w:space="0" w:color="auto"/>
                                                                        <w:right w:val="none" w:sz="0" w:space="0" w:color="auto"/>
                                                                      </w:divBdr>
                                                                      <w:divsChild>
                                                                        <w:div w:id="715280380">
                                                                          <w:marLeft w:val="0"/>
                                                                          <w:marRight w:val="0"/>
                                                                          <w:marTop w:val="0"/>
                                                                          <w:marBottom w:val="0"/>
                                                                          <w:divBdr>
                                                                            <w:top w:val="none" w:sz="0" w:space="0" w:color="auto"/>
                                                                            <w:left w:val="none" w:sz="0" w:space="0" w:color="auto"/>
                                                                            <w:bottom w:val="none" w:sz="0" w:space="0" w:color="auto"/>
                                                                            <w:right w:val="none" w:sz="0" w:space="0" w:color="auto"/>
                                                                          </w:divBdr>
                                                                          <w:divsChild>
                                                                            <w:div w:id="1612853686">
                                                                              <w:marLeft w:val="105"/>
                                                                              <w:marRight w:val="105"/>
                                                                              <w:marTop w:val="105"/>
                                                                              <w:marBottom w:val="105"/>
                                                                              <w:divBdr>
                                                                                <w:top w:val="none" w:sz="0" w:space="0" w:color="auto"/>
                                                                                <w:left w:val="none" w:sz="0" w:space="0" w:color="auto"/>
                                                                                <w:bottom w:val="none" w:sz="0" w:space="0" w:color="auto"/>
                                                                                <w:right w:val="none" w:sz="0" w:space="0" w:color="auto"/>
                                                                              </w:divBdr>
                                                                              <w:divsChild>
                                                                                <w:div w:id="1181353056">
                                                                                  <w:marLeft w:val="0"/>
                                                                                  <w:marRight w:val="0"/>
                                                                                  <w:marTop w:val="0"/>
                                                                                  <w:marBottom w:val="0"/>
                                                                                  <w:divBdr>
                                                                                    <w:top w:val="none" w:sz="0" w:space="0" w:color="auto"/>
                                                                                    <w:left w:val="none" w:sz="0" w:space="0" w:color="auto"/>
                                                                                    <w:bottom w:val="none" w:sz="0" w:space="0" w:color="auto"/>
                                                                                    <w:right w:val="none" w:sz="0" w:space="0" w:color="auto"/>
                                                                                  </w:divBdr>
                                                                                  <w:divsChild>
                                                                                    <w:div w:id="1060177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boegsted@rn.d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biomart.org/" TargetMode="External"/><Relationship Id="rId14" Type="http://schemas.openxmlformats.org/officeDocument/2006/relationships/theme" Target="theme/theme1.xml"/><Relationship Id="rId35" Type="http://schemas.microsoft.com/office/2016/09/relationships/commentsIds" Target="commentsIds.xm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35F6C6-3AA5-4DEE-BABA-2F07FBA21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32</Pages>
  <Words>8042</Words>
  <Characters>466839</Characters>
  <Application>Microsoft Office Word</Application>
  <DocSecurity>0</DocSecurity>
  <Lines>3890</Lines>
  <Paragraphs>947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BAGS in MM</vt:lpstr>
      <vt:lpstr>BAGS in MM</vt:lpstr>
    </vt:vector>
  </TitlesOfParts>
  <Company>Region Nordjylland</Company>
  <LinksUpToDate>false</LinksUpToDate>
  <CharactersWithSpaces>473934</CharactersWithSpaces>
  <SharedDoc>false</SharedDoc>
  <HLinks>
    <vt:vector size="30" baseType="variant">
      <vt:variant>
        <vt:i4>6946867</vt:i4>
      </vt:variant>
      <vt:variant>
        <vt:i4>12</vt:i4>
      </vt:variant>
      <vt:variant>
        <vt:i4>0</vt:i4>
      </vt:variant>
      <vt:variant>
        <vt:i4>5</vt:i4>
      </vt:variant>
      <vt:variant>
        <vt:lpwstr>http://www.lymphoma.dk/</vt:lpwstr>
      </vt:variant>
      <vt:variant>
        <vt:lpwstr/>
      </vt:variant>
      <vt:variant>
        <vt:i4>65618</vt:i4>
      </vt:variant>
      <vt:variant>
        <vt:i4>9</vt:i4>
      </vt:variant>
      <vt:variant>
        <vt:i4>0</vt:i4>
      </vt:variant>
      <vt:variant>
        <vt:i4>5</vt:i4>
      </vt:variant>
      <vt:variant>
        <vt:lpwstr>http://www.ncbi.nlm.nih.gov/geo/query</vt:lpwstr>
      </vt:variant>
      <vt:variant>
        <vt:lpwstr/>
      </vt:variant>
      <vt:variant>
        <vt:i4>6946867</vt:i4>
      </vt:variant>
      <vt:variant>
        <vt:i4>6</vt:i4>
      </vt:variant>
      <vt:variant>
        <vt:i4>0</vt:i4>
      </vt:variant>
      <vt:variant>
        <vt:i4>5</vt:i4>
      </vt:variant>
      <vt:variant>
        <vt:lpwstr>http://www.lymphoma.dk/</vt:lpwstr>
      </vt:variant>
      <vt:variant>
        <vt:lpwstr/>
      </vt:variant>
      <vt:variant>
        <vt:i4>393288</vt:i4>
      </vt:variant>
      <vt:variant>
        <vt:i4>3</vt:i4>
      </vt:variant>
      <vt:variant>
        <vt:i4>0</vt:i4>
      </vt:variant>
      <vt:variant>
        <vt:i4>5</vt:i4>
      </vt:variant>
      <vt:variant>
        <vt:lpwstr>http://www.blodet.dk/</vt:lpwstr>
      </vt:variant>
      <vt:variant>
        <vt:lpwstr/>
      </vt:variant>
      <vt:variant>
        <vt:i4>2424861</vt:i4>
      </vt:variant>
      <vt:variant>
        <vt:i4>0</vt:i4>
      </vt:variant>
      <vt:variant>
        <vt:i4>0</vt:i4>
      </vt:variant>
      <vt:variant>
        <vt:i4>5</vt:i4>
      </vt:variant>
      <vt:variant>
        <vt:lpwstr>mailto:haej@rn.dk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BAGS in MM</dc:title>
  <dc:subject>BAGS classification and validation in MM</dc:subject>
  <dc:creator>Hans E Johnsen</dc:creator>
  <cp:lastModifiedBy>Martin Bøgsted  / Region Nordjylland</cp:lastModifiedBy>
  <cp:revision>27</cp:revision>
  <cp:lastPrinted>2018-06-28T09:41:00Z</cp:lastPrinted>
  <dcterms:created xsi:type="dcterms:W3CDTF">2018-07-12T10:03:00Z</dcterms:created>
  <dcterms:modified xsi:type="dcterms:W3CDTF">2018-07-29T06:23:00Z</dcterms:modified>
  <cp:category>Manuscript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http://www.zotero.org/styles/blood</vt:lpwstr>
  </property>
  <property fmtid="{D5CDD505-2E9C-101B-9397-08002B2CF9AE}" pid="3" name="Mendeley Document_1">
    <vt:lpwstr>True</vt:lpwstr>
  </property>
  <property fmtid="{D5CDD505-2E9C-101B-9397-08002B2CF9AE}" pid="4" name="SD_DocumentLanguage">
    <vt:lpwstr>da-DK</vt:lpwstr>
  </property>
  <property fmtid="{D5CDD505-2E9C-101B-9397-08002B2CF9AE}" pid="5" name="ContentRemapped">
    <vt:lpwstr>true</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6th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vt:lpwstr>
  </property>
  <property fmtid="{D5CDD505-2E9C-101B-9397-08002B2CF9AE}" pid="14" name="Mendeley Recent Style Id 4_1">
    <vt:lpwstr>http://www.zotero.org/styles/blood</vt:lpwstr>
  </property>
  <property fmtid="{D5CDD505-2E9C-101B-9397-08002B2CF9AE}" pid="15" name="Mendeley Recent Style Name 4_1">
    <vt:lpwstr>Blood</vt:lpwstr>
  </property>
  <property fmtid="{D5CDD505-2E9C-101B-9397-08002B2CF9AE}" pid="16" name="Mendeley Recent Style Id 5_1">
    <vt:lpwstr>http://www.zotero.org/styles/chicago-author-date</vt:lpwstr>
  </property>
  <property fmtid="{D5CDD505-2E9C-101B-9397-08002B2CF9AE}" pid="17" name="Mendeley Recent Style Name 5_1">
    <vt:lpwstr>Chicago Manual of Style 17th edition (author-date)</vt:lpwstr>
  </property>
  <property fmtid="{D5CDD505-2E9C-101B-9397-08002B2CF9AE}" pid="18" name="Mendeley Recent Style Id 6_1">
    <vt:lpwstr>http://www.zotero.org/styles/harvard-cite-them-right</vt:lpwstr>
  </property>
  <property fmtid="{D5CDD505-2E9C-101B-9397-08002B2CF9AE}" pid="19" name="Mendeley Recent Style Name 6_1">
    <vt:lpwstr>Cite Them Right 10th edition - Harvard</vt:lpwstr>
  </property>
  <property fmtid="{D5CDD505-2E9C-101B-9397-08002B2CF9AE}" pid="20" name="Mendeley Recent Style Id 7_1">
    <vt:lpwstr>http://www.zotero.org/styles/ieee</vt:lpwstr>
  </property>
  <property fmtid="{D5CDD505-2E9C-101B-9397-08002B2CF9AE}" pid="21" name="Mendeley Recent Style Name 7_1">
    <vt:lpwstr>IEEE</vt:lpwstr>
  </property>
  <property fmtid="{D5CDD505-2E9C-101B-9397-08002B2CF9AE}" pid="22" name="Mendeley Recent Style Id 8_1">
    <vt:lpwstr>http://www.zotero.org/styles/modern-humanities-research-association</vt:lpwstr>
  </property>
  <property fmtid="{D5CDD505-2E9C-101B-9397-08002B2CF9AE}" pid="23" name="Mendeley Recent Style Name 8_1">
    <vt:lpwstr>Modern Humanities Research Association 3rd edition (note with bibliography)</vt:lpwstr>
  </property>
  <property fmtid="{D5CDD505-2E9C-101B-9397-08002B2CF9AE}" pid="24" name="Mendeley Recent Style Id 9_1">
    <vt:lpwstr>http://www.zotero.org/styles/modern-language-association</vt:lpwstr>
  </property>
  <property fmtid="{D5CDD505-2E9C-101B-9397-08002B2CF9AE}" pid="25" name="Mendeley Recent Style Name 9_1">
    <vt:lpwstr>Modern Language Association 8th edition</vt:lpwstr>
  </property>
  <property fmtid="{D5CDD505-2E9C-101B-9397-08002B2CF9AE}" pid="26" name="Mendeley Unique User Id_1">
    <vt:lpwstr>c115e4d0-e2e5-3113-a795-080beab5c287</vt:lpwstr>
  </property>
</Properties>
</file>