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AB124A0" w14:textId="14D01DB5" w:rsidR="00E62B8C" w:rsidRPr="0052047F" w:rsidRDefault="00E62B8C" w:rsidP="005963EA">
      <w:pPr>
        <w:spacing w:after="0"/>
        <w:jc w:val="center"/>
        <w:rPr>
          <w:i/>
          <w:iCs/>
        </w:rPr>
      </w:pPr>
      <w:bookmarkStart w:id="0" w:name="_Hlk41053401"/>
      <w:r w:rsidRPr="0052047F">
        <w:rPr>
          <w:i/>
          <w:iCs/>
        </w:rPr>
        <w:t xml:space="preserve">Brain and Neuroscience Advances </w:t>
      </w:r>
      <w:r w:rsidRPr="0052047F">
        <w:t>(</w:t>
      </w:r>
      <w:r w:rsidR="00C24C3E" w:rsidRPr="0052047F">
        <w:t>Special Collection on Neuroimmunology and Brain Disorders. Guest Editors: Kerrie Thomas, Paul Morgan, Jeremy Hall</w:t>
      </w:r>
      <w:r w:rsidR="000C24D5" w:rsidRPr="0052047F">
        <w:t>)</w:t>
      </w:r>
    </w:p>
    <w:p w14:paraId="6AE939E2" w14:textId="77777777" w:rsidR="00E62B8C" w:rsidRPr="0052047F" w:rsidRDefault="00E62B8C" w:rsidP="005963EA">
      <w:pPr>
        <w:spacing w:after="0"/>
      </w:pPr>
    </w:p>
    <w:p w14:paraId="4AF0892C" w14:textId="31D94251" w:rsidR="00F55FCB" w:rsidRPr="0052047F" w:rsidRDefault="009C3E3F" w:rsidP="005963EA">
      <w:pPr>
        <w:pStyle w:val="H1"/>
        <w:spacing w:before="0" w:after="0" w:line="360" w:lineRule="auto"/>
        <w:jc w:val="center"/>
      </w:pPr>
      <w:r w:rsidRPr="0052047F">
        <w:t>E</w:t>
      </w:r>
      <w:r w:rsidR="001F0AC8" w:rsidRPr="0052047F">
        <w:t xml:space="preserve">arly life </w:t>
      </w:r>
      <w:r w:rsidR="003218CE" w:rsidRPr="0052047F">
        <w:t xml:space="preserve">stress and inflammation: a systematic review of a key </w:t>
      </w:r>
      <w:r w:rsidR="00764D93" w:rsidRPr="0052047F">
        <w:t xml:space="preserve">experimental approach in </w:t>
      </w:r>
      <w:r w:rsidR="003218CE" w:rsidRPr="0052047F">
        <w:t>rodent</w:t>
      </w:r>
      <w:r w:rsidR="00764D93" w:rsidRPr="0052047F">
        <w:t>s</w:t>
      </w:r>
    </w:p>
    <w:p w14:paraId="29742246" w14:textId="77777777" w:rsidR="00E62B8C" w:rsidRPr="0052047F" w:rsidRDefault="00E62B8C" w:rsidP="005963EA">
      <w:pPr>
        <w:spacing w:after="0"/>
      </w:pPr>
    </w:p>
    <w:p w14:paraId="019E929E" w14:textId="1705CB64" w:rsidR="00FA73BB" w:rsidRPr="0052047F" w:rsidRDefault="00FA73BB" w:rsidP="005963EA">
      <w:pPr>
        <w:spacing w:after="0" w:line="360" w:lineRule="auto"/>
        <w:jc w:val="center"/>
      </w:pPr>
      <w:r w:rsidRPr="0052047F">
        <w:t>Ethan</w:t>
      </w:r>
      <w:r w:rsidR="009E1AA8" w:rsidRPr="0052047F">
        <w:t xml:space="preserve"> </w:t>
      </w:r>
      <w:r w:rsidRPr="0052047F">
        <w:t>G.</w:t>
      </w:r>
      <w:r w:rsidR="009E1AA8" w:rsidRPr="0052047F">
        <w:t xml:space="preserve"> </w:t>
      </w:r>
      <w:r w:rsidRPr="0052047F">
        <w:t>Dutcher</w:t>
      </w:r>
      <w:r w:rsidR="00764D93" w:rsidRPr="0052047F">
        <w:t xml:space="preserve"> </w:t>
      </w:r>
      <w:r w:rsidRPr="0052047F">
        <w:rPr>
          <w:vertAlign w:val="superscript"/>
        </w:rPr>
        <w:t>1</w:t>
      </w:r>
      <w:r w:rsidRPr="0052047F">
        <w:t>,</w:t>
      </w:r>
      <w:r w:rsidR="009E1AA8" w:rsidRPr="0052047F">
        <w:t xml:space="preserve"> </w:t>
      </w:r>
      <w:r w:rsidR="00510CA0" w:rsidRPr="0052047F">
        <w:t>E.A.</w:t>
      </w:r>
      <w:r w:rsidR="009E1AA8" w:rsidRPr="0052047F">
        <w:t xml:space="preserve"> </w:t>
      </w:r>
      <w:r w:rsidRPr="0052047F">
        <w:t>Claudia</w:t>
      </w:r>
      <w:r w:rsidR="009E1AA8" w:rsidRPr="0052047F">
        <w:t xml:space="preserve"> </w:t>
      </w:r>
      <w:r w:rsidRPr="0052047F">
        <w:t>Pama</w:t>
      </w:r>
      <w:r w:rsidR="00764D93" w:rsidRPr="0052047F">
        <w:t xml:space="preserve"> </w:t>
      </w:r>
      <w:r w:rsidRPr="0052047F">
        <w:rPr>
          <w:vertAlign w:val="superscript"/>
        </w:rPr>
        <w:t>1</w:t>
      </w:r>
      <w:r w:rsidRPr="0052047F">
        <w:t>,</w:t>
      </w:r>
      <w:r w:rsidR="009E1AA8" w:rsidRPr="0052047F">
        <w:t xml:space="preserve"> </w:t>
      </w:r>
      <w:r w:rsidRPr="0052047F">
        <w:t>Mary-Ellen</w:t>
      </w:r>
      <w:r w:rsidR="009E1AA8" w:rsidRPr="0052047F">
        <w:t xml:space="preserve"> </w:t>
      </w:r>
      <w:r w:rsidRPr="0052047F">
        <w:t>Lynall</w:t>
      </w:r>
      <w:r w:rsidR="00764D93" w:rsidRPr="0052047F">
        <w:t xml:space="preserve"> </w:t>
      </w:r>
      <w:r w:rsidRPr="0052047F">
        <w:rPr>
          <w:vertAlign w:val="superscript"/>
        </w:rPr>
        <w:t>2,</w:t>
      </w:r>
      <w:r w:rsidR="0046117C" w:rsidRPr="0052047F">
        <w:rPr>
          <w:vertAlign w:val="superscript"/>
        </w:rPr>
        <w:t>3</w:t>
      </w:r>
      <w:r w:rsidRPr="0052047F">
        <w:t>,</w:t>
      </w:r>
      <w:r w:rsidR="009E1AA8" w:rsidRPr="0052047F">
        <w:t xml:space="preserve"> </w:t>
      </w:r>
      <w:r w:rsidR="005B5C15" w:rsidRPr="0052047F">
        <w:t xml:space="preserve">Shahid Khan </w:t>
      </w:r>
      <w:r w:rsidR="0046117C" w:rsidRPr="0052047F">
        <w:rPr>
          <w:vertAlign w:val="superscript"/>
        </w:rPr>
        <w:t>4</w:t>
      </w:r>
      <w:r w:rsidR="005B5C15" w:rsidRPr="0052047F">
        <w:t xml:space="preserve">, </w:t>
      </w:r>
      <w:r w:rsidRPr="0052047F">
        <w:t>Menna</w:t>
      </w:r>
      <w:r w:rsidR="009E1AA8" w:rsidRPr="0052047F">
        <w:t xml:space="preserve"> </w:t>
      </w:r>
      <w:r w:rsidRPr="0052047F">
        <w:t>R.</w:t>
      </w:r>
      <w:r w:rsidR="009E1AA8" w:rsidRPr="0052047F">
        <w:t xml:space="preserve"> </w:t>
      </w:r>
      <w:r w:rsidRPr="0052047F">
        <w:t>Clatworthy</w:t>
      </w:r>
      <w:r w:rsidR="00764D93" w:rsidRPr="0052047F">
        <w:t xml:space="preserve"> </w:t>
      </w:r>
      <w:r w:rsidR="0046117C" w:rsidRPr="0052047F">
        <w:rPr>
          <w:vertAlign w:val="superscript"/>
        </w:rPr>
        <w:t>3</w:t>
      </w:r>
      <w:r w:rsidRPr="0052047F">
        <w:t>,</w:t>
      </w:r>
      <w:r w:rsidR="009E1AA8" w:rsidRPr="0052047F">
        <w:t xml:space="preserve"> </w:t>
      </w:r>
      <w:r w:rsidRPr="0052047F">
        <w:t>Trevor</w:t>
      </w:r>
      <w:r w:rsidR="009E1AA8" w:rsidRPr="0052047F">
        <w:t xml:space="preserve"> </w:t>
      </w:r>
      <w:r w:rsidRPr="0052047F">
        <w:t>W.</w:t>
      </w:r>
      <w:r w:rsidR="009E1AA8" w:rsidRPr="0052047F">
        <w:t xml:space="preserve"> </w:t>
      </w:r>
      <w:r w:rsidRPr="0052047F">
        <w:t>Robbins</w:t>
      </w:r>
      <w:r w:rsidR="00764D93" w:rsidRPr="0052047F">
        <w:t xml:space="preserve"> </w:t>
      </w:r>
      <w:r w:rsidRPr="0052047F">
        <w:rPr>
          <w:vertAlign w:val="superscript"/>
        </w:rPr>
        <w:t>1</w:t>
      </w:r>
      <w:r w:rsidRPr="0052047F">
        <w:t>,</w:t>
      </w:r>
      <w:r w:rsidR="009E1AA8" w:rsidRPr="0052047F">
        <w:t xml:space="preserve"> </w:t>
      </w:r>
      <w:r w:rsidRPr="0052047F">
        <w:t>Edward</w:t>
      </w:r>
      <w:r w:rsidR="009E1AA8" w:rsidRPr="0052047F">
        <w:t xml:space="preserve"> </w:t>
      </w:r>
      <w:r w:rsidRPr="0052047F">
        <w:t>T.</w:t>
      </w:r>
      <w:r w:rsidR="009E1AA8" w:rsidRPr="0052047F">
        <w:t xml:space="preserve"> </w:t>
      </w:r>
      <w:r w:rsidRPr="0052047F">
        <w:t>Bullmore</w:t>
      </w:r>
      <w:r w:rsidR="00764D93" w:rsidRPr="0052047F">
        <w:t xml:space="preserve"> </w:t>
      </w:r>
      <w:r w:rsidRPr="0052047F">
        <w:rPr>
          <w:vertAlign w:val="superscript"/>
        </w:rPr>
        <w:t>2</w:t>
      </w:r>
      <w:r w:rsidRPr="0052047F">
        <w:t>,</w:t>
      </w:r>
      <w:r w:rsidR="009E1AA8" w:rsidRPr="0052047F">
        <w:t xml:space="preserve"> </w:t>
      </w:r>
      <w:r w:rsidRPr="0052047F">
        <w:t>Jeffrey</w:t>
      </w:r>
      <w:r w:rsidR="009E1AA8" w:rsidRPr="0052047F">
        <w:t xml:space="preserve"> </w:t>
      </w:r>
      <w:r w:rsidRPr="0052047F">
        <w:t>W.</w:t>
      </w:r>
      <w:r w:rsidR="009E1AA8" w:rsidRPr="0052047F">
        <w:t xml:space="preserve"> </w:t>
      </w:r>
      <w:r w:rsidRPr="0052047F">
        <w:t>Dalley</w:t>
      </w:r>
      <w:r w:rsidR="00764D93" w:rsidRPr="0052047F">
        <w:t xml:space="preserve"> </w:t>
      </w:r>
      <w:r w:rsidRPr="0052047F">
        <w:rPr>
          <w:vertAlign w:val="superscript"/>
        </w:rPr>
        <w:t>1,2</w:t>
      </w:r>
      <w:r w:rsidR="00E62B8C" w:rsidRPr="0052047F">
        <w:rPr>
          <w:vertAlign w:val="superscript"/>
        </w:rPr>
        <w:t>,†</w:t>
      </w:r>
    </w:p>
    <w:p w14:paraId="683D19FE" w14:textId="49D92D21" w:rsidR="00E62B8C" w:rsidRPr="0052047F" w:rsidRDefault="00E62B8C" w:rsidP="005963EA">
      <w:pPr>
        <w:spacing w:after="0"/>
      </w:pPr>
    </w:p>
    <w:p w14:paraId="3173D736" w14:textId="342407AC" w:rsidR="00C24C3E" w:rsidRPr="0052047F" w:rsidRDefault="00FA73BB" w:rsidP="0046117C">
      <w:pPr>
        <w:autoSpaceDE w:val="0"/>
        <w:autoSpaceDN w:val="0"/>
        <w:adjustRightInd w:val="0"/>
        <w:spacing w:after="0" w:line="360" w:lineRule="auto"/>
        <w:jc w:val="center"/>
      </w:pPr>
      <w:r w:rsidRPr="0052047F">
        <w:rPr>
          <w:vertAlign w:val="superscript"/>
        </w:rPr>
        <w:t>1</w:t>
      </w:r>
      <w:r w:rsidR="00E62B8C" w:rsidRPr="0052047F">
        <w:rPr>
          <w:vertAlign w:val="superscript"/>
        </w:rPr>
        <w:t xml:space="preserve"> </w:t>
      </w:r>
      <w:r w:rsidRPr="0052047F">
        <w:t>Department</w:t>
      </w:r>
      <w:r w:rsidR="009E1AA8" w:rsidRPr="0052047F">
        <w:t xml:space="preserve"> </w:t>
      </w:r>
      <w:r w:rsidRPr="0052047F">
        <w:t>of</w:t>
      </w:r>
      <w:r w:rsidR="009E1AA8" w:rsidRPr="0052047F">
        <w:t xml:space="preserve"> </w:t>
      </w:r>
      <w:r w:rsidRPr="0052047F">
        <w:t>Psychology,</w:t>
      </w:r>
      <w:r w:rsidR="009E1AA8" w:rsidRPr="0052047F">
        <w:t xml:space="preserve"> </w:t>
      </w:r>
      <w:r w:rsidR="00E62B8C" w:rsidRPr="0052047F">
        <w:t xml:space="preserve">University of Cambridge, Downing St, </w:t>
      </w:r>
      <w:r w:rsidRPr="0052047F">
        <w:t>Cambridge</w:t>
      </w:r>
      <w:r w:rsidR="00E62B8C" w:rsidRPr="0052047F">
        <w:t xml:space="preserve"> CB2 3EB</w:t>
      </w:r>
      <w:r w:rsidRPr="0052047F">
        <w:t>,</w:t>
      </w:r>
      <w:r w:rsidR="009E1AA8" w:rsidRPr="0052047F">
        <w:t xml:space="preserve"> </w:t>
      </w:r>
      <w:r w:rsidRPr="0052047F">
        <w:t>U</w:t>
      </w:r>
      <w:r w:rsidR="00E62B8C" w:rsidRPr="0052047F">
        <w:t xml:space="preserve">K; </w:t>
      </w:r>
      <w:r w:rsidRPr="0052047F">
        <w:rPr>
          <w:vertAlign w:val="superscript"/>
        </w:rPr>
        <w:t>2</w:t>
      </w:r>
      <w:r w:rsidR="00E62B8C" w:rsidRPr="0052047F">
        <w:rPr>
          <w:vertAlign w:val="superscript"/>
        </w:rPr>
        <w:t xml:space="preserve"> </w:t>
      </w:r>
      <w:r w:rsidR="00E62B8C" w:rsidRPr="0052047F">
        <w:rPr>
          <w:color w:val="000000" w:themeColor="text1"/>
        </w:rPr>
        <w:t>Department of Psychiatry, Her</w:t>
      </w:r>
      <w:r w:rsidR="000D0F40" w:rsidRPr="0052047F">
        <w:rPr>
          <w:color w:val="000000" w:themeColor="text1"/>
        </w:rPr>
        <w:t>c</w:t>
      </w:r>
      <w:r w:rsidR="00E62B8C" w:rsidRPr="0052047F">
        <w:rPr>
          <w:color w:val="000000" w:themeColor="text1"/>
        </w:rPr>
        <w:t xml:space="preserve">hel Smith Building for Brain and Mind Sciences, Forvie Site, Cambridge CB2 0SZ, UK; </w:t>
      </w:r>
      <w:r w:rsidRPr="0052047F">
        <w:rPr>
          <w:vertAlign w:val="superscript"/>
        </w:rPr>
        <w:t>3</w:t>
      </w:r>
      <w:r w:rsidR="00E62B8C" w:rsidRPr="0052047F">
        <w:rPr>
          <w:vertAlign w:val="superscript"/>
        </w:rPr>
        <w:t xml:space="preserve"> </w:t>
      </w:r>
      <w:r w:rsidR="00764D93" w:rsidRPr="0052047F">
        <w:rPr>
          <w:color w:val="000000"/>
        </w:rPr>
        <w:t xml:space="preserve">Molecular Immunity Unit, MRC Laboratory of Molecular Biology, Cambridge Biomedical Campus, Francis Crick </w:t>
      </w:r>
      <w:r w:rsidR="00764D93" w:rsidRPr="0052047F">
        <w:t>Avenue, Cambridge CB2 OQH, UK</w:t>
      </w:r>
      <w:r w:rsidR="0046117C" w:rsidRPr="0052047F">
        <w:t xml:space="preserve">; </w:t>
      </w:r>
      <w:r w:rsidR="0046117C" w:rsidRPr="0052047F">
        <w:rPr>
          <w:vertAlign w:val="superscript"/>
        </w:rPr>
        <w:t>4</w:t>
      </w:r>
      <w:r w:rsidR="0046117C" w:rsidRPr="0052047F">
        <w:t xml:space="preserve"> GlaxoSmithKline Research &amp; Development, Stevenage, Hertfordshire SG1 2NY, UK</w:t>
      </w:r>
    </w:p>
    <w:p w14:paraId="7935BCC3" w14:textId="77777777" w:rsidR="00764D93" w:rsidRPr="0052047F" w:rsidRDefault="00764D93" w:rsidP="005963EA">
      <w:pPr>
        <w:spacing w:after="0"/>
      </w:pPr>
    </w:p>
    <w:p w14:paraId="354117C0" w14:textId="529A016E" w:rsidR="00C24C3E" w:rsidRPr="0052047F" w:rsidRDefault="00C24C3E" w:rsidP="005963EA">
      <w:pPr>
        <w:autoSpaceDE w:val="0"/>
        <w:autoSpaceDN w:val="0"/>
        <w:adjustRightInd w:val="0"/>
        <w:spacing w:after="0" w:line="360" w:lineRule="auto"/>
      </w:pPr>
      <w:r w:rsidRPr="0052047F">
        <w:rPr>
          <w:b/>
        </w:rPr>
        <w:t>Running title</w:t>
      </w:r>
      <w:r w:rsidRPr="0052047F">
        <w:t>: Early life stress and inflammation</w:t>
      </w:r>
    </w:p>
    <w:p w14:paraId="35656B7D" w14:textId="77777777" w:rsidR="00C24C3E" w:rsidRPr="0052047F" w:rsidRDefault="00C24C3E" w:rsidP="005963EA">
      <w:pPr>
        <w:autoSpaceDE w:val="0"/>
        <w:autoSpaceDN w:val="0"/>
        <w:adjustRightInd w:val="0"/>
        <w:spacing w:after="0"/>
      </w:pPr>
    </w:p>
    <w:p w14:paraId="7985BC2B" w14:textId="27ECD6D2" w:rsidR="00FA73BB" w:rsidRPr="0052047F" w:rsidRDefault="00C24C3E" w:rsidP="003858BE">
      <w:pPr>
        <w:autoSpaceDE w:val="0"/>
        <w:autoSpaceDN w:val="0"/>
        <w:adjustRightInd w:val="0"/>
        <w:spacing w:after="0" w:line="240" w:lineRule="auto"/>
        <w:rPr>
          <w:vertAlign w:val="superscript"/>
        </w:rPr>
      </w:pPr>
      <w:r w:rsidRPr="0052047F">
        <w:t>Word Count:</w:t>
      </w:r>
      <w:r w:rsidRPr="0052047F">
        <w:tab/>
      </w:r>
      <w:r w:rsidR="00BB5884" w:rsidRPr="0052047F">
        <w:t>5,</w:t>
      </w:r>
      <w:r w:rsidR="00427D71" w:rsidRPr="0052047F">
        <w:t>734</w:t>
      </w:r>
      <w:r w:rsidR="001B6D3F" w:rsidRPr="0052047F">
        <w:br/>
      </w:r>
      <w:r w:rsidRPr="0052047F">
        <w:t xml:space="preserve">Abstract: </w:t>
      </w:r>
      <w:r w:rsidRPr="0052047F">
        <w:tab/>
      </w:r>
      <w:r w:rsidR="00427D71" w:rsidRPr="0052047F">
        <w:t>178</w:t>
      </w:r>
      <w:r w:rsidR="001B6D3F" w:rsidRPr="0052047F">
        <w:br/>
      </w:r>
      <w:r w:rsidRPr="0052047F">
        <w:t xml:space="preserve">Figures: </w:t>
      </w:r>
      <w:r w:rsidRPr="0052047F">
        <w:tab/>
      </w:r>
      <w:r w:rsidR="003F7AAC" w:rsidRPr="0052047F">
        <w:t>3</w:t>
      </w:r>
      <w:r w:rsidR="00FA73BB" w:rsidRPr="0052047F">
        <w:br/>
      </w:r>
    </w:p>
    <w:p w14:paraId="6931D768" w14:textId="77777777" w:rsidR="009C3E3F" w:rsidRPr="0052047F" w:rsidRDefault="009C3E3F" w:rsidP="005963EA">
      <w:pPr>
        <w:spacing w:after="0"/>
      </w:pPr>
    </w:p>
    <w:p w14:paraId="7C7908C8" w14:textId="77777777" w:rsidR="009C3E3F" w:rsidRPr="0052047F" w:rsidRDefault="009C3E3F" w:rsidP="005963EA">
      <w:pPr>
        <w:spacing w:after="0"/>
      </w:pPr>
    </w:p>
    <w:p w14:paraId="07A48F3E" w14:textId="38219C61" w:rsidR="001B6D3F" w:rsidRPr="0052047F" w:rsidRDefault="00C24C3E" w:rsidP="005963EA">
      <w:pPr>
        <w:spacing w:after="0"/>
        <w:rPr>
          <w:rFonts w:cs="Times New Roman"/>
          <w:b/>
          <w:bCs/>
          <w:szCs w:val="24"/>
        </w:rPr>
      </w:pPr>
      <w:r w:rsidRPr="0052047F">
        <w:t>†Author for correspondence: Professor Jeffrey W. Dalley, Department of Psychology, University of Cambridge, Downing St, Cambridge CB2 3EB, UK. Tel. +44(0)1223 765 291; Fax. +44(0)1223 333564; Email. jwd20@cam.ac.uk</w:t>
      </w:r>
      <w:r w:rsidR="001B6D3F" w:rsidRPr="0052047F">
        <w:br w:type="page"/>
      </w:r>
    </w:p>
    <w:p w14:paraId="4D04F538" w14:textId="41E84B7B" w:rsidR="00914BDC" w:rsidRPr="0052047F" w:rsidRDefault="001D233C" w:rsidP="00FF3CAD">
      <w:pPr>
        <w:pStyle w:val="H1"/>
      </w:pPr>
      <w:r w:rsidRPr="0052047F">
        <w:lastRenderedPageBreak/>
        <w:t>A</w:t>
      </w:r>
      <w:r w:rsidR="00F55FCB" w:rsidRPr="0052047F">
        <w:t>bstract</w:t>
      </w:r>
    </w:p>
    <w:p w14:paraId="1B6B7F12" w14:textId="0FA4BBCD" w:rsidR="00910629" w:rsidRPr="0052047F" w:rsidRDefault="009630C5" w:rsidP="005A00B6">
      <w:r w:rsidRPr="0052047F">
        <w:t xml:space="preserve">Repeated maternal separation (RMS) is the most widely used pre-clinical approach </w:t>
      </w:r>
      <w:r w:rsidR="00A81463" w:rsidRPr="0052047F">
        <w:t>to</w:t>
      </w:r>
      <w:r w:rsidRPr="0052047F">
        <w:t xml:space="preserve"> investigat</w:t>
      </w:r>
      <w:r w:rsidR="00A81463" w:rsidRPr="0052047F">
        <w:t xml:space="preserve">e </w:t>
      </w:r>
      <w:r w:rsidRPr="0052047F">
        <w:t>the relationship between early life chronic stress and its neuropsychiatric and physical consequences. In this systematic review, we identified 4</w:t>
      </w:r>
      <w:r w:rsidR="00E0016F" w:rsidRPr="0052047F">
        <w:t>6</w:t>
      </w:r>
      <w:r w:rsidRPr="0052047F">
        <w:t xml:space="preserve"> studies that conducted RMS </w:t>
      </w:r>
      <w:r w:rsidR="00910629" w:rsidRPr="0052047F">
        <w:t xml:space="preserve">or single-episode maternal separation </w:t>
      </w:r>
      <w:r w:rsidRPr="0052047F">
        <w:t>and reported measurements of interleukin (IL)-1b, IL-6, IL-10, tumor necrosis factor-alpha (TNF-a)</w:t>
      </w:r>
      <w:r w:rsidR="005C5364" w:rsidRPr="0052047F">
        <w:t>,</w:t>
      </w:r>
      <w:r w:rsidR="009C3E3F" w:rsidRPr="0052047F">
        <w:t xml:space="preserve"> or</w:t>
      </w:r>
      <w:r w:rsidRPr="0052047F">
        <w:t xml:space="preserve"> microglia activation </w:t>
      </w:r>
      <w:r w:rsidR="00A81463" w:rsidRPr="0052047F">
        <w:t xml:space="preserve">and </w:t>
      </w:r>
      <w:r w:rsidRPr="0052047F">
        <w:t xml:space="preserve">density. We </w:t>
      </w:r>
      <w:r w:rsidR="009C3E3F" w:rsidRPr="0052047F">
        <w:t xml:space="preserve">report </w:t>
      </w:r>
      <w:r w:rsidRPr="0052047F">
        <w:t xml:space="preserve">that in the short-term and in the context of later-life stress, RMS has pro-inflammatory immune consequences in </w:t>
      </w:r>
      <w:r w:rsidR="007853FD" w:rsidRPr="0052047F">
        <w:t>divers</w:t>
      </w:r>
      <w:r w:rsidR="009C3E3F" w:rsidRPr="0052047F">
        <w:t>e</w:t>
      </w:r>
      <w:r w:rsidRPr="0052047F">
        <w:t xml:space="preserve"> tissues. RMS animals exhibit greater microglial activation and elevated pro-inflammatory cytokine signaling in key brain regions implicated in human psychiatric dis</w:t>
      </w:r>
      <w:r w:rsidR="00A81463" w:rsidRPr="0052047F">
        <w:t>orders</w:t>
      </w:r>
      <w:r w:rsidRPr="0052047F">
        <w:t>.</w:t>
      </w:r>
      <w:r w:rsidR="005A00B6" w:rsidRPr="0052047F">
        <w:t xml:space="preserve"> </w:t>
      </w:r>
      <w:r w:rsidR="00A81463" w:rsidRPr="0052047F">
        <w:t>Notably</w:t>
      </w:r>
      <w:r w:rsidRPr="0052047F">
        <w:t xml:space="preserve">, RMS generally has no long-term effect on cytokine expression in any tissue in the absence of later-life stress. </w:t>
      </w:r>
      <w:bookmarkStart w:id="1" w:name="_Hlk53084832"/>
      <w:r w:rsidRPr="0052047F">
        <w:t xml:space="preserve">These </w:t>
      </w:r>
      <w:r w:rsidR="009C3E3F" w:rsidRPr="0052047F">
        <w:t xml:space="preserve">observations </w:t>
      </w:r>
      <w:r w:rsidRPr="0052047F">
        <w:t xml:space="preserve">suggest that </w:t>
      </w:r>
      <w:r w:rsidR="00834B7D" w:rsidRPr="0052047F">
        <w:t xml:space="preserve">the elevated inflammatory signaling that has been reported in humans with a history of ELS may be the joint </w:t>
      </w:r>
      <w:r w:rsidR="00A81463" w:rsidRPr="0052047F">
        <w:t xml:space="preserve">consequence </w:t>
      </w:r>
      <w:r w:rsidR="00834B7D" w:rsidRPr="0052047F">
        <w:t xml:space="preserve">of ongoing stressor exposure together with </w:t>
      </w:r>
      <w:r w:rsidR="006864BD" w:rsidRPr="0052047F">
        <w:t xml:space="preserve">potentiated </w:t>
      </w:r>
      <w:r w:rsidR="00720149" w:rsidRPr="0052047F">
        <w:t xml:space="preserve">neural and/or immune </w:t>
      </w:r>
      <w:r w:rsidR="00834B7D" w:rsidRPr="0052047F">
        <w:t>responsiveness to stressors.</w:t>
      </w:r>
      <w:r w:rsidR="00F80ADC" w:rsidRPr="0052047F">
        <w:t xml:space="preserve"> </w:t>
      </w:r>
      <w:bookmarkEnd w:id="1"/>
      <w:r w:rsidR="00F80ADC" w:rsidRPr="0052047F">
        <w:t>Finally, o</w:t>
      </w:r>
      <w:r w:rsidR="00834B7D" w:rsidRPr="0052047F">
        <w:t xml:space="preserve">ur findings provide detailed guidance for </w:t>
      </w:r>
      <w:r w:rsidR="00F80ADC" w:rsidRPr="0052047F">
        <w:t>future studies interrogating the causal roles of ELS and inflammation in disorders such as major depression.</w:t>
      </w:r>
    </w:p>
    <w:p w14:paraId="358AD351" w14:textId="5D24BD39" w:rsidR="00910629" w:rsidRPr="0052047F" w:rsidRDefault="001D233C" w:rsidP="003858BE">
      <w:pPr>
        <w:pStyle w:val="H1"/>
        <w:rPr>
          <w:b w:val="0"/>
          <w:bCs w:val="0"/>
        </w:rPr>
      </w:pPr>
      <w:r w:rsidRPr="0052047F">
        <w:t>Keywords</w:t>
      </w:r>
      <w:r w:rsidR="009C3E3F" w:rsidRPr="0052047F">
        <w:t xml:space="preserve">: </w:t>
      </w:r>
      <w:r w:rsidR="00C52C9D" w:rsidRPr="0052047F">
        <w:rPr>
          <w:b w:val="0"/>
          <w:bCs w:val="0"/>
        </w:rPr>
        <w:t>m</w:t>
      </w:r>
      <w:r w:rsidRPr="0052047F">
        <w:rPr>
          <w:b w:val="0"/>
          <w:bCs w:val="0"/>
        </w:rPr>
        <w:t>aternal separation</w:t>
      </w:r>
      <w:r w:rsidR="00C52C9D" w:rsidRPr="0052047F">
        <w:rPr>
          <w:b w:val="0"/>
          <w:bCs w:val="0"/>
        </w:rPr>
        <w:t>;</w:t>
      </w:r>
      <w:r w:rsidRPr="0052047F">
        <w:rPr>
          <w:b w:val="0"/>
          <w:bCs w:val="0"/>
        </w:rPr>
        <w:t xml:space="preserve"> </w:t>
      </w:r>
      <w:r w:rsidR="00C52C9D" w:rsidRPr="0052047F">
        <w:rPr>
          <w:b w:val="0"/>
          <w:bCs w:val="0"/>
        </w:rPr>
        <w:t>early life adversity;</w:t>
      </w:r>
      <w:r w:rsidR="00C054FC" w:rsidRPr="0052047F">
        <w:rPr>
          <w:b w:val="0"/>
          <w:bCs w:val="0"/>
        </w:rPr>
        <w:t xml:space="preserve"> </w:t>
      </w:r>
      <w:r w:rsidR="00C52C9D" w:rsidRPr="0052047F">
        <w:rPr>
          <w:b w:val="0"/>
          <w:bCs w:val="0"/>
        </w:rPr>
        <w:t xml:space="preserve">depression; </w:t>
      </w:r>
      <w:r w:rsidR="00593935" w:rsidRPr="0052047F">
        <w:rPr>
          <w:b w:val="0"/>
          <w:bCs w:val="0"/>
        </w:rPr>
        <w:t>chronic stress</w:t>
      </w:r>
      <w:r w:rsidR="00C52C9D" w:rsidRPr="0052047F">
        <w:rPr>
          <w:b w:val="0"/>
          <w:bCs w:val="0"/>
        </w:rPr>
        <w:t xml:space="preserve">; </w:t>
      </w:r>
      <w:r w:rsidRPr="0052047F">
        <w:rPr>
          <w:b w:val="0"/>
          <w:bCs w:val="0"/>
        </w:rPr>
        <w:t>cytokines</w:t>
      </w:r>
      <w:r w:rsidR="00593935" w:rsidRPr="0052047F">
        <w:rPr>
          <w:b w:val="0"/>
          <w:bCs w:val="0"/>
        </w:rPr>
        <w:t>;</w:t>
      </w:r>
      <w:r w:rsidRPr="0052047F">
        <w:rPr>
          <w:b w:val="0"/>
          <w:bCs w:val="0"/>
        </w:rPr>
        <w:t xml:space="preserve"> immun</w:t>
      </w:r>
      <w:r w:rsidR="00C52C9D" w:rsidRPr="0052047F">
        <w:rPr>
          <w:b w:val="0"/>
          <w:bCs w:val="0"/>
        </w:rPr>
        <w:t>e system</w:t>
      </w:r>
      <w:r w:rsidR="00427D71" w:rsidRPr="0052047F">
        <w:rPr>
          <w:b w:val="0"/>
          <w:bCs w:val="0"/>
        </w:rPr>
        <w:t xml:space="preserve">; neuroimmune </w:t>
      </w:r>
      <w:r w:rsidR="00487F55" w:rsidRPr="0052047F">
        <w:rPr>
          <w:b w:val="0"/>
          <w:bCs w:val="0"/>
        </w:rPr>
        <w:t>responsiveness</w:t>
      </w:r>
    </w:p>
    <w:p w14:paraId="0529270B" w14:textId="151BBE8E" w:rsidR="00E52197" w:rsidRPr="0052047F" w:rsidRDefault="001D233C" w:rsidP="00925C46">
      <w:pPr>
        <w:pStyle w:val="H1"/>
      </w:pPr>
      <w:r w:rsidRPr="0052047F">
        <w:br w:type="page"/>
      </w:r>
      <w:r w:rsidR="00F72116" w:rsidRPr="0052047F">
        <w:lastRenderedPageBreak/>
        <w:t>Introduction</w:t>
      </w:r>
    </w:p>
    <w:p w14:paraId="491403A8" w14:textId="42D7C785" w:rsidR="00274E9F" w:rsidRPr="0052047F" w:rsidRDefault="00F83C5C" w:rsidP="00925C46">
      <w:r w:rsidRPr="0052047F">
        <w:t>Early life stress</w:t>
      </w:r>
      <w:r w:rsidR="00DB2BB6" w:rsidRPr="0052047F">
        <w:t xml:space="preserve"> (ELS)</w:t>
      </w:r>
      <w:r w:rsidR="000B5D0C" w:rsidRPr="0052047F">
        <w:t xml:space="preserve">, synonymous in </w:t>
      </w:r>
      <w:r w:rsidR="00DB2BB6" w:rsidRPr="0052047F">
        <w:t>the human literature</w:t>
      </w:r>
      <w:r w:rsidR="000B5D0C" w:rsidRPr="0052047F">
        <w:t xml:space="preserve"> with childhood maltreatment </w:t>
      </w:r>
      <w:r w:rsidR="00487F55" w:rsidRPr="0052047F">
        <w:t>(Danese et al., 2007; Hodel et al., 2015)</w:t>
      </w:r>
      <w:r w:rsidR="000B5D0C" w:rsidRPr="0052047F">
        <w:t>,</w:t>
      </w:r>
      <w:r w:rsidRPr="0052047F">
        <w:t xml:space="preserve"> is associated with many adverse neuropsychiatric </w:t>
      </w:r>
      <w:r w:rsidR="002E7E57" w:rsidRPr="0052047F">
        <w:t xml:space="preserve">and physical health </w:t>
      </w:r>
      <w:r w:rsidRPr="0052047F">
        <w:t>outcomes later in life.</w:t>
      </w:r>
      <w:r w:rsidR="004E1BC0" w:rsidRPr="0052047F">
        <w:t xml:space="preserve"> </w:t>
      </w:r>
      <w:r w:rsidR="00DB2BB6" w:rsidRPr="0052047F">
        <w:t xml:space="preserve">ELS </w:t>
      </w:r>
      <w:r w:rsidR="00CD2DFF" w:rsidRPr="0052047F">
        <w:t xml:space="preserve">has repeatedly </w:t>
      </w:r>
      <w:r w:rsidR="000E2A48" w:rsidRPr="0052047F">
        <w:t xml:space="preserve">been </w:t>
      </w:r>
      <w:r w:rsidR="00CD2DFF" w:rsidRPr="0052047F">
        <w:t xml:space="preserve">associated with increased risk for later-life diagnosis </w:t>
      </w:r>
      <w:r w:rsidR="00F049E7" w:rsidRPr="0052047F">
        <w:t xml:space="preserve">of </w:t>
      </w:r>
      <w:r w:rsidR="00CD2DFF" w:rsidRPr="0052047F">
        <w:t>depressive</w:t>
      </w:r>
      <w:r w:rsidR="00F049E7" w:rsidRPr="0052047F">
        <w:t xml:space="preserve"> </w:t>
      </w:r>
      <w:r w:rsidR="00CD2DFF" w:rsidRPr="0052047F">
        <w:t>disorders including major depressive disorder and</w:t>
      </w:r>
      <w:r w:rsidR="00F049E7" w:rsidRPr="0052047F">
        <w:t xml:space="preserve"> </w:t>
      </w:r>
      <w:r w:rsidR="00CD2DFF" w:rsidRPr="0052047F">
        <w:t>dysthymia,</w:t>
      </w:r>
      <w:r w:rsidR="00F049E7" w:rsidRPr="0052047F">
        <w:t xml:space="preserve"> </w:t>
      </w:r>
      <w:r w:rsidR="00D21592" w:rsidRPr="0052047F">
        <w:t xml:space="preserve">anxiety disorders including post-traumatic stress disorder (PTSD), social phobia, generalized anxiety disorder, and panic disorder, and substance use disorders such as alcohol use disorder </w:t>
      </w:r>
      <w:r w:rsidR="00487F55" w:rsidRPr="0052047F">
        <w:t>(Edwards et al., 2003; Gibb et al., 2007; Spinhoven et al., 2010; Teicher and Samson, 2013; Wright et al., 2009)</w:t>
      </w:r>
      <w:r w:rsidR="00D21592" w:rsidRPr="0052047F">
        <w:t xml:space="preserve">. </w:t>
      </w:r>
      <w:r w:rsidR="001E3198" w:rsidRPr="0052047F">
        <w:t>At least tw</w:t>
      </w:r>
      <w:r w:rsidR="002E7E57" w:rsidRPr="0052047F">
        <w:t xml:space="preserve">o meta-analyses </w:t>
      </w:r>
      <w:r w:rsidR="0072303C" w:rsidRPr="0052047F">
        <w:t xml:space="preserve">have demonstrated strong associations between child abuse and adverse physical health outcomes </w:t>
      </w:r>
      <w:r w:rsidR="00F049E7" w:rsidRPr="0052047F">
        <w:t>in adulthood</w:t>
      </w:r>
      <w:r w:rsidR="0072303C" w:rsidRPr="0052047F">
        <w:t xml:space="preserve">, with child abuse being associated especially with increased risk of neurological, musculoskeletal, respiratory, cardiovascular, and gastrointestinal </w:t>
      </w:r>
      <w:r w:rsidR="001E3198" w:rsidRPr="0052047F">
        <w:t xml:space="preserve">symptoms and conditions </w:t>
      </w:r>
      <w:r w:rsidR="00487F55" w:rsidRPr="0052047F">
        <w:t>(Irish et al., 2010; Wegman and Stetler, 2009)</w:t>
      </w:r>
      <w:r w:rsidR="001E3198" w:rsidRPr="0052047F">
        <w:t xml:space="preserve">. </w:t>
      </w:r>
      <w:r w:rsidR="004E1BC0" w:rsidRPr="0052047F">
        <w:t>I</w:t>
      </w:r>
      <w:r w:rsidR="00274E9F" w:rsidRPr="0052047F">
        <w:t xml:space="preserve">n addition to </w:t>
      </w:r>
      <w:r w:rsidR="009C3B46" w:rsidRPr="0052047F">
        <w:t>likely</w:t>
      </w:r>
      <w:r w:rsidR="00274E9F" w:rsidRPr="0052047F">
        <w:t xml:space="preserve"> increasing the risk of developing these disorders</w:t>
      </w:r>
      <w:r w:rsidR="00F049E7" w:rsidRPr="0052047F">
        <w:t xml:space="preserve">, </w:t>
      </w:r>
      <w:r w:rsidR="00274E9F" w:rsidRPr="0052047F">
        <w:t>ELS also appears to predispose to a more severe clinical course of at least some of them.</w:t>
      </w:r>
      <w:r w:rsidR="004E1BC0" w:rsidRPr="0052047F">
        <w:t xml:space="preserve"> </w:t>
      </w:r>
      <w:r w:rsidR="00683BD0" w:rsidRPr="0052047F">
        <w:t>A large meta-analysis concluded that</w:t>
      </w:r>
      <w:r w:rsidR="007259CA" w:rsidRPr="0052047F">
        <w:t xml:space="preserve"> </w:t>
      </w:r>
      <w:r w:rsidR="002F6E1B" w:rsidRPr="0052047F">
        <w:t>among</w:t>
      </w:r>
      <w:r w:rsidR="00683BD0" w:rsidRPr="0052047F">
        <w:t xml:space="preserve"> </w:t>
      </w:r>
      <w:r w:rsidR="007259CA" w:rsidRPr="0052047F">
        <w:t xml:space="preserve">patients who suffer from depressive disorders, a history of ELS </w:t>
      </w:r>
      <w:r w:rsidR="002F6E1B" w:rsidRPr="0052047F">
        <w:t>is</w:t>
      </w:r>
      <w:r w:rsidR="007259CA" w:rsidRPr="0052047F">
        <w:t xml:space="preserve"> associated with an increased number of depressive episodes</w:t>
      </w:r>
      <w:r w:rsidR="00B85B6D" w:rsidRPr="0052047F">
        <w:t xml:space="preserve">, </w:t>
      </w:r>
      <w:r w:rsidR="007259CA" w:rsidRPr="0052047F">
        <w:t xml:space="preserve">increased duration of the current depressive episode, </w:t>
      </w:r>
      <w:r w:rsidR="002F6E1B" w:rsidRPr="0052047F">
        <w:t xml:space="preserve">and </w:t>
      </w:r>
      <w:r w:rsidR="007259CA" w:rsidRPr="0052047F">
        <w:t>decreased responsiveness to treatment</w:t>
      </w:r>
      <w:r w:rsidR="002F6E1B" w:rsidRPr="0052047F">
        <w:t xml:space="preserve"> </w:t>
      </w:r>
      <w:r w:rsidR="00487F55" w:rsidRPr="0052047F">
        <w:t>(Nanni et al., 2012)</w:t>
      </w:r>
      <w:r w:rsidR="007259CA" w:rsidRPr="0052047F">
        <w:t>.</w:t>
      </w:r>
      <w:r w:rsidR="004E1BC0" w:rsidRPr="0052047F">
        <w:t xml:space="preserve"> </w:t>
      </w:r>
      <w:r w:rsidR="000A6AD3" w:rsidRPr="0052047F">
        <w:t xml:space="preserve">Similarly, a </w:t>
      </w:r>
      <w:r w:rsidR="00274E9F" w:rsidRPr="0052047F">
        <w:t xml:space="preserve">recent meta-analysis </w:t>
      </w:r>
      <w:r w:rsidR="002F6E1B" w:rsidRPr="0052047F">
        <w:t>of bipolar disorder patients concluded th</w:t>
      </w:r>
      <w:r w:rsidR="004E1BC0" w:rsidRPr="0052047F">
        <w:t xml:space="preserve">at </w:t>
      </w:r>
      <w:r w:rsidR="002F6E1B" w:rsidRPr="0052047F">
        <w:t xml:space="preserve">a history of childhood maltreatment </w:t>
      </w:r>
      <w:r w:rsidR="004E1BC0" w:rsidRPr="0052047F">
        <w:t xml:space="preserve">is associated with earlier disorder onset, increased </w:t>
      </w:r>
      <w:r w:rsidR="002F6E1B" w:rsidRPr="0052047F">
        <w:t xml:space="preserve">severity </w:t>
      </w:r>
      <w:r w:rsidR="004E1BC0" w:rsidRPr="0052047F">
        <w:t xml:space="preserve">and number of depressive and manic episodes, </w:t>
      </w:r>
      <w:r w:rsidR="00825299" w:rsidRPr="0052047F">
        <w:t xml:space="preserve">and </w:t>
      </w:r>
      <w:r w:rsidR="004E1BC0" w:rsidRPr="0052047F">
        <w:t xml:space="preserve">increased risk of suicide attempts, anxiety disorders including PTSD, substance use disorders, and rapid cycling between mania and depression </w:t>
      </w:r>
      <w:r w:rsidR="00487F55" w:rsidRPr="0052047F">
        <w:t>(Agnew-Blais and Danese, 2016)</w:t>
      </w:r>
      <w:r w:rsidR="004E1BC0" w:rsidRPr="0052047F">
        <w:t>.</w:t>
      </w:r>
      <w:r w:rsidR="002E7E57" w:rsidRPr="0052047F">
        <w:t xml:space="preserve"> </w:t>
      </w:r>
    </w:p>
    <w:p w14:paraId="6AAC84C0" w14:textId="204DB27A" w:rsidR="004051D5" w:rsidRPr="0052047F" w:rsidRDefault="001E60C0" w:rsidP="00053A08">
      <w:r w:rsidRPr="0052047F">
        <w:lastRenderedPageBreak/>
        <w:t>M</w:t>
      </w:r>
      <w:r w:rsidR="00E05D73" w:rsidRPr="0052047F">
        <w:t>any</w:t>
      </w:r>
      <w:r w:rsidR="00F049E7" w:rsidRPr="0052047F">
        <w:t xml:space="preserve"> </w:t>
      </w:r>
      <w:r w:rsidR="00E05D73" w:rsidRPr="0052047F">
        <w:t xml:space="preserve">studies have also demonstrated that people with a history of ELS </w:t>
      </w:r>
      <w:r w:rsidRPr="0052047F">
        <w:t xml:space="preserve">have higher inflammatory responses to acute stress, and higher peripheral </w:t>
      </w:r>
      <w:r w:rsidR="00E17273" w:rsidRPr="0052047F">
        <w:t>pro-</w:t>
      </w:r>
      <w:r w:rsidRPr="0052047F">
        <w:t xml:space="preserve">inflammatory </w:t>
      </w:r>
      <w:r w:rsidR="00A26357" w:rsidRPr="0052047F">
        <w:t>signaling</w:t>
      </w:r>
      <w:r w:rsidRPr="0052047F">
        <w:t xml:space="preserve"> in general.</w:t>
      </w:r>
      <w:r w:rsidR="00053A08" w:rsidRPr="0052047F">
        <w:t xml:space="preserve"> </w:t>
      </w:r>
      <w:r w:rsidR="00A50FF1" w:rsidRPr="0052047F">
        <w:t xml:space="preserve">For example, </w:t>
      </w:r>
      <w:r w:rsidR="00A96069" w:rsidRPr="0052047F">
        <w:t xml:space="preserve">a history of ELS </w:t>
      </w:r>
      <w:r w:rsidR="00053A08" w:rsidRPr="0052047F">
        <w:t xml:space="preserve">has been associated with a </w:t>
      </w:r>
      <w:r w:rsidR="00A96069" w:rsidRPr="0052047F">
        <w:t xml:space="preserve">larger increase in circulating interleukin (IL)-6 when </w:t>
      </w:r>
      <w:r w:rsidR="00053A08" w:rsidRPr="0052047F">
        <w:t xml:space="preserve">people are </w:t>
      </w:r>
      <w:r w:rsidR="00A96069" w:rsidRPr="0052047F">
        <w:t xml:space="preserve">asked to </w:t>
      </w:r>
      <w:r w:rsidR="00053A08" w:rsidRPr="0052047F">
        <w:t xml:space="preserve">deliver </w:t>
      </w:r>
      <w:r w:rsidR="00A96069" w:rsidRPr="0052047F">
        <w:t xml:space="preserve">a speech </w:t>
      </w:r>
      <w:r w:rsidR="00053A08" w:rsidRPr="0052047F">
        <w:t xml:space="preserve">about their job qualifications </w:t>
      </w:r>
      <w:r w:rsidR="00A96069" w:rsidRPr="0052047F">
        <w:t xml:space="preserve">and </w:t>
      </w:r>
      <w:r w:rsidR="00053A08" w:rsidRPr="0052047F">
        <w:t>perform</w:t>
      </w:r>
      <w:r w:rsidR="00A96069" w:rsidRPr="0052047F">
        <w:t xml:space="preserve"> mental arithmetic in front of expressionless judges of their performance </w:t>
      </w:r>
      <w:r w:rsidR="00487F55" w:rsidRPr="0052047F">
        <w:t>(Carpenter et al., 2010; Janusek et al., 2017; Pace et al., 2006)</w:t>
      </w:r>
      <w:r w:rsidR="001E3198" w:rsidRPr="0052047F">
        <w:t>. A</w:t>
      </w:r>
      <w:r w:rsidR="00FD00C4" w:rsidRPr="0052047F">
        <w:t>dditionally, a</w:t>
      </w:r>
      <w:r w:rsidR="001E3198" w:rsidRPr="0052047F">
        <w:t xml:space="preserve"> recent meta-analysis</w:t>
      </w:r>
      <w:r w:rsidR="00F049E7" w:rsidRPr="0052047F">
        <w:t xml:space="preserve"> showed</w:t>
      </w:r>
      <w:r w:rsidR="008619AB" w:rsidRPr="0052047F">
        <w:t xml:space="preserve"> that </w:t>
      </w:r>
      <w:r w:rsidR="001E3198" w:rsidRPr="0052047F">
        <w:t xml:space="preserve">people </w:t>
      </w:r>
      <w:r w:rsidR="008619AB" w:rsidRPr="0052047F">
        <w:t>with a history of</w:t>
      </w:r>
      <w:r w:rsidR="001E3198" w:rsidRPr="0052047F">
        <w:t xml:space="preserve"> childhood trauma </w:t>
      </w:r>
      <w:r w:rsidR="008619AB" w:rsidRPr="0052047F">
        <w:t>have</w:t>
      </w:r>
      <w:r w:rsidR="001E3198" w:rsidRPr="0052047F">
        <w:t xml:space="preserve"> significantly elevated circulating IL-6, </w:t>
      </w:r>
      <w:r w:rsidR="00A26357" w:rsidRPr="0052047F">
        <w:t>tumor</w:t>
      </w:r>
      <w:r w:rsidR="001E3198" w:rsidRPr="0052047F">
        <w:t xml:space="preserve"> necrosis factor alpha (</w:t>
      </w:r>
      <w:r w:rsidR="005E7007" w:rsidRPr="0052047F">
        <w:t>TNF-α)</w:t>
      </w:r>
      <w:r w:rsidR="001E3198" w:rsidRPr="0052047F">
        <w:t>, and C-reactive protein (CRP)</w:t>
      </w:r>
      <w:r w:rsidR="008619AB" w:rsidRPr="0052047F">
        <w:t xml:space="preserve">, in the absence of any specific laboratory stressor, although not necessarily in the absence of the stresses of everyday adult life </w:t>
      </w:r>
      <w:r w:rsidR="00487F55" w:rsidRPr="0052047F">
        <w:t>(Baumeister et al., 2016)</w:t>
      </w:r>
      <w:r w:rsidR="001E3198" w:rsidRPr="0052047F">
        <w:t>.</w:t>
      </w:r>
      <w:r w:rsidR="00DD3C25" w:rsidRPr="0052047F">
        <w:t xml:space="preserve"> </w:t>
      </w:r>
      <w:r w:rsidR="00D73BB2" w:rsidRPr="0052047F">
        <w:t>What is not clear</w:t>
      </w:r>
      <w:r w:rsidR="004051D5" w:rsidRPr="0052047F">
        <w:t xml:space="preserve">, however, </w:t>
      </w:r>
      <w:r w:rsidR="00D73BB2" w:rsidRPr="0052047F">
        <w:t>is whether this propensity to higher inflammation</w:t>
      </w:r>
      <w:r w:rsidR="008A68BD" w:rsidRPr="0052047F">
        <w:t xml:space="preserve"> in later life</w:t>
      </w:r>
      <w:r w:rsidR="00F049E7" w:rsidRPr="0052047F">
        <w:t xml:space="preserve"> </w:t>
      </w:r>
      <w:r w:rsidR="000C0987" w:rsidRPr="0052047F">
        <w:t>plays a causal role in</w:t>
      </w:r>
      <w:r w:rsidR="00F049E7" w:rsidRPr="0052047F">
        <w:t xml:space="preserve"> </w:t>
      </w:r>
      <w:r w:rsidR="000C0987" w:rsidRPr="0052047F">
        <w:t xml:space="preserve">the neuropsychiatric or physical health consequences of ELS. </w:t>
      </w:r>
      <w:r w:rsidR="004051D5" w:rsidRPr="0052047F">
        <w:t>Such questions of causality are well-suited for investigation using</w:t>
      </w:r>
      <w:r w:rsidR="00F049E7" w:rsidRPr="0052047F">
        <w:t xml:space="preserve"> animal models</w:t>
      </w:r>
      <w:r w:rsidR="004051D5" w:rsidRPr="0052047F">
        <w:t xml:space="preserve"> because elements</w:t>
      </w:r>
      <w:r w:rsidR="00F049E7" w:rsidRPr="0052047F">
        <w:t xml:space="preserve"> of the immune system </w:t>
      </w:r>
      <w:r w:rsidR="004051D5" w:rsidRPr="0052047F">
        <w:t xml:space="preserve">may be selectively targeted </w:t>
      </w:r>
      <w:r w:rsidR="00EF4F7D" w:rsidRPr="0052047F">
        <w:t xml:space="preserve">using </w:t>
      </w:r>
      <w:r w:rsidR="00F049E7" w:rsidRPr="0052047F">
        <w:t>pharmacological</w:t>
      </w:r>
      <w:r w:rsidR="00E17273" w:rsidRPr="0052047F">
        <w:t>, genetic, or cellular</w:t>
      </w:r>
      <w:r w:rsidR="00F049E7" w:rsidRPr="0052047F">
        <w:t xml:space="preserve"> interventions during ELS, adult stress</w:t>
      </w:r>
      <w:r w:rsidR="001B3C74" w:rsidRPr="0052047F">
        <w:t>,</w:t>
      </w:r>
      <w:r w:rsidR="00F049E7" w:rsidRPr="0052047F">
        <w:t xml:space="preserve"> or both. </w:t>
      </w:r>
      <w:r w:rsidR="004E5A24" w:rsidRPr="0052047F">
        <w:t>R</w:t>
      </w:r>
      <w:r w:rsidR="00EF4F7D" w:rsidRPr="0052047F">
        <w:t xml:space="preserve">esearch in </w:t>
      </w:r>
      <w:r w:rsidR="00C52C9D" w:rsidRPr="0052047F">
        <w:t xml:space="preserve">experimental </w:t>
      </w:r>
      <w:r w:rsidR="00EF4F7D" w:rsidRPr="0052047F">
        <w:t xml:space="preserve">animals holds the additional </w:t>
      </w:r>
      <w:r w:rsidR="00F049E7" w:rsidRPr="0052047F">
        <w:t xml:space="preserve">advantage </w:t>
      </w:r>
      <w:r w:rsidR="00825299" w:rsidRPr="0052047F">
        <w:t>compared to work in humans</w:t>
      </w:r>
      <w:r w:rsidR="00EF4F7D" w:rsidRPr="0052047F">
        <w:t xml:space="preserve"> of allowing access to</w:t>
      </w:r>
      <w:r w:rsidR="00F049E7" w:rsidRPr="0052047F">
        <w:t xml:space="preserve"> brain tissue at any point during </w:t>
      </w:r>
      <w:r w:rsidR="00EF4F7D" w:rsidRPr="0052047F">
        <w:t>and after</w:t>
      </w:r>
      <w:r w:rsidR="00F049E7" w:rsidRPr="0052047F">
        <w:t xml:space="preserve"> ELS, enabling precise characterization of its molecular and cellular consequences in the central nervous system (CNS).</w:t>
      </w:r>
    </w:p>
    <w:p w14:paraId="712327E4" w14:textId="35CFC748" w:rsidR="00E0615E" w:rsidRPr="0052047F" w:rsidRDefault="00A620D4" w:rsidP="00925C46">
      <w:r w:rsidRPr="0052047F">
        <w:t>The most widely used animal model for investigating the relationships between ELS and its</w:t>
      </w:r>
      <w:r w:rsidR="006321F0" w:rsidRPr="0052047F">
        <w:t xml:space="preserve"> psychiatric and physical</w:t>
      </w:r>
      <w:r w:rsidRPr="0052047F">
        <w:t xml:space="preserve"> consequences is repeated maternal separation (RMS) </w:t>
      </w:r>
      <w:r w:rsidR="00487F55" w:rsidRPr="0052047F">
        <w:t>(Andersen, 2015; Schmidt et al., 2011)</w:t>
      </w:r>
      <w:r w:rsidRPr="0052047F">
        <w:t xml:space="preserve">. </w:t>
      </w:r>
      <w:r w:rsidR="00520BAB" w:rsidRPr="0052047F">
        <w:t xml:space="preserve">This </w:t>
      </w:r>
      <w:r w:rsidR="00C52C9D" w:rsidRPr="0052047F">
        <w:t xml:space="preserve">procedure </w:t>
      </w:r>
      <w:r w:rsidRPr="0052047F">
        <w:t xml:space="preserve">involves </w:t>
      </w:r>
      <w:r w:rsidR="00D8732B" w:rsidRPr="0052047F">
        <w:t xml:space="preserve">repeatedly </w:t>
      </w:r>
      <w:r w:rsidRPr="0052047F">
        <w:t>separating rat or mouse pups from their mother, most commonly for 3-6 hours each day, beginning on either post-natal day (PND) 1 or 2</w:t>
      </w:r>
      <w:r w:rsidR="001B3C74" w:rsidRPr="0052047F">
        <w:t>,</w:t>
      </w:r>
      <w:r w:rsidRPr="0052047F">
        <w:t xml:space="preserve"> and continuing through either PND 14 or 21. During these </w:t>
      </w:r>
      <w:r w:rsidR="00D8732B" w:rsidRPr="0052047F">
        <w:t xml:space="preserve">separation </w:t>
      </w:r>
      <w:r w:rsidRPr="0052047F">
        <w:t xml:space="preserve">periods, around 35-40% of </w:t>
      </w:r>
      <w:r w:rsidRPr="0052047F">
        <w:lastRenderedPageBreak/>
        <w:t xml:space="preserve">studies also separate pups from one another; this combined separation is sometimes referred to as early deprivation </w:t>
      </w:r>
      <w:r w:rsidR="00487F55" w:rsidRPr="0052047F">
        <w:t>(Pryce and Feldon, 2003)</w:t>
      </w:r>
      <w:r w:rsidRPr="0052047F">
        <w:t xml:space="preserve">. More information on RMS can be found in </w:t>
      </w:r>
      <w:r w:rsidRPr="0052047F">
        <w:rPr>
          <w:b/>
          <w:bCs/>
        </w:rPr>
        <w:t>Fig</w:t>
      </w:r>
      <w:r w:rsidR="00555BB6" w:rsidRPr="0052047F">
        <w:rPr>
          <w:b/>
          <w:bCs/>
        </w:rPr>
        <w:t>.</w:t>
      </w:r>
      <w:r w:rsidR="005D773A" w:rsidRPr="0052047F">
        <w:rPr>
          <w:b/>
          <w:bCs/>
        </w:rPr>
        <w:t xml:space="preserve"> </w:t>
      </w:r>
      <w:r w:rsidRPr="0052047F">
        <w:rPr>
          <w:b/>
          <w:bCs/>
        </w:rPr>
        <w:t>1</w:t>
      </w:r>
      <w:r w:rsidRPr="0052047F">
        <w:t>.</w:t>
      </w:r>
      <w:r w:rsidR="00DD3C25" w:rsidRPr="0052047F">
        <w:t xml:space="preserve"> </w:t>
      </w:r>
      <w:bookmarkStart w:id="2" w:name="_Hlk40049608"/>
    </w:p>
    <w:p w14:paraId="7AA186E2" w14:textId="13B3F05E" w:rsidR="00EC2BF8" w:rsidRPr="0052047F" w:rsidRDefault="00EC2BF8" w:rsidP="00925C46">
      <w:r w:rsidRPr="0052047F">
        <w:t>While many studies have examined the effects of RMS on the immune system, the results are s</w:t>
      </w:r>
      <w:r w:rsidR="00A81463" w:rsidRPr="0052047F">
        <w:t xml:space="preserve">omewhat </w:t>
      </w:r>
      <w:r w:rsidRPr="0052047F">
        <w:t>inconsistent. For example, within the same tissues, there are many</w:t>
      </w:r>
      <w:r w:rsidR="009C5C74" w:rsidRPr="0052047F">
        <w:t xml:space="preserve"> </w:t>
      </w:r>
      <w:r w:rsidRPr="0052047F">
        <w:t>reports of increased, decreased, or no change in the</w:t>
      </w:r>
      <w:r w:rsidR="009C5C74" w:rsidRPr="0052047F">
        <w:t xml:space="preserve"> </w:t>
      </w:r>
      <w:r w:rsidRPr="0052047F">
        <w:t xml:space="preserve">expression of </w:t>
      </w:r>
      <w:r w:rsidR="002A633B" w:rsidRPr="0052047F">
        <w:t xml:space="preserve">specific </w:t>
      </w:r>
      <w:r w:rsidRPr="0052047F">
        <w:t>cytokines</w:t>
      </w:r>
      <w:r w:rsidR="00EC0A1E" w:rsidRPr="0052047F">
        <w:t xml:space="preserve"> </w:t>
      </w:r>
      <w:r w:rsidR="00487F55" w:rsidRPr="0052047F">
        <w:t>(Kruschinski et al., 2008; Roque et al., 2016; Wang et al., 2017)</w:t>
      </w:r>
      <w:r w:rsidRPr="0052047F">
        <w:t xml:space="preserve">. </w:t>
      </w:r>
      <w:r w:rsidR="009C5C74" w:rsidRPr="0052047F">
        <w:t xml:space="preserve">Further, </w:t>
      </w:r>
      <w:r w:rsidRPr="0052047F">
        <w:t>there are many reports suggesting</w:t>
      </w:r>
      <w:r w:rsidR="009C5C74" w:rsidRPr="0052047F">
        <w:t xml:space="preserve"> that RMS causes long-lasting effects on a diverse array of not just immunological </w:t>
      </w:r>
      <w:r w:rsidRPr="0052047F">
        <w:t xml:space="preserve">outcomes </w:t>
      </w:r>
      <w:r w:rsidR="009C5C74" w:rsidRPr="0052047F">
        <w:t xml:space="preserve">but also depressive-like </w:t>
      </w:r>
      <w:r w:rsidR="00A26357" w:rsidRPr="0052047F">
        <w:t>behavio</w:t>
      </w:r>
      <w:r w:rsidR="00491CE6" w:rsidRPr="0052047F">
        <w:t>u</w:t>
      </w:r>
      <w:r w:rsidR="00A26357" w:rsidRPr="0052047F">
        <w:t>r</w:t>
      </w:r>
      <w:r w:rsidRPr="0052047F">
        <w:t>,</w:t>
      </w:r>
      <w:r w:rsidR="009C5C74" w:rsidRPr="0052047F">
        <w:t xml:space="preserve"> anxiety-like behavio</w:t>
      </w:r>
      <w:r w:rsidR="00491CE6" w:rsidRPr="0052047F">
        <w:t>u</w:t>
      </w:r>
      <w:r w:rsidR="009C5C74" w:rsidRPr="0052047F">
        <w:t xml:space="preserve">r, </w:t>
      </w:r>
      <w:r w:rsidR="002747D5" w:rsidRPr="0052047F">
        <w:t>and</w:t>
      </w:r>
      <w:r w:rsidR="009C5C74" w:rsidRPr="0052047F">
        <w:t xml:space="preserve"> gastrointestinal tract function, among others </w:t>
      </w:r>
      <w:r w:rsidR="00487F55" w:rsidRPr="0052047F">
        <w:t>(Dallé et al., 2017; Mizoguchi et al., 2019; Oines et al., 2012)</w:t>
      </w:r>
      <w:r w:rsidR="009C5C74" w:rsidRPr="0052047F">
        <w:t>.</w:t>
      </w:r>
      <w:r w:rsidR="006C7E84" w:rsidRPr="0052047F">
        <w:t xml:space="preserve"> </w:t>
      </w:r>
      <w:r w:rsidR="008A68BD" w:rsidRPr="0052047F">
        <w:t>Equally, however</w:t>
      </w:r>
      <w:r w:rsidR="002747D5" w:rsidRPr="0052047F">
        <w:t xml:space="preserve">, </w:t>
      </w:r>
      <w:r w:rsidR="00A161BA" w:rsidRPr="0052047F">
        <w:t xml:space="preserve">for some of these outcomes, </w:t>
      </w:r>
      <w:r w:rsidR="002747D5" w:rsidRPr="0052047F">
        <w:t>there are many</w:t>
      </w:r>
      <w:r w:rsidR="006C7E84" w:rsidRPr="0052047F">
        <w:t xml:space="preserve"> reports </w:t>
      </w:r>
      <w:r w:rsidR="002747D5" w:rsidRPr="0052047F">
        <w:t>that find</w:t>
      </w:r>
      <w:r w:rsidR="006C7E84" w:rsidRPr="0052047F">
        <w:t xml:space="preserve"> no long-lasting </w:t>
      </w:r>
      <w:r w:rsidR="002747D5" w:rsidRPr="0052047F">
        <w:t xml:space="preserve">effect </w:t>
      </w:r>
      <w:bookmarkEnd w:id="2"/>
      <w:r w:rsidR="00487F55" w:rsidRPr="0052047F">
        <w:t>(Bassey and Gondré-Lewis, 2019; Harrison et al., 2014; Stuart et al., 2019)</w:t>
      </w:r>
      <w:r w:rsidR="002747D5" w:rsidRPr="0052047F">
        <w:t>.</w:t>
      </w:r>
    </w:p>
    <w:p w14:paraId="4902ED75" w14:textId="05E26E2A" w:rsidR="000F75B4" w:rsidRPr="0052047F" w:rsidRDefault="001B6E2E" w:rsidP="000F75B4">
      <w:r w:rsidRPr="0052047F">
        <w:t xml:space="preserve">In this systematic review, we sought to </w:t>
      </w:r>
      <w:r w:rsidR="001F0AC8" w:rsidRPr="0052047F">
        <w:t>establish</w:t>
      </w:r>
      <w:r w:rsidR="00275ACE" w:rsidRPr="0052047F">
        <w:t xml:space="preserve"> a</w:t>
      </w:r>
      <w:r w:rsidRPr="0052047F">
        <w:t xml:space="preserve"> clear</w:t>
      </w:r>
      <w:r w:rsidR="00275ACE" w:rsidRPr="0052047F">
        <w:t>er</w:t>
      </w:r>
      <w:r w:rsidRPr="0052047F">
        <w:t xml:space="preserve"> picture of the effects of RMS on the immune system. </w:t>
      </w:r>
      <w:r w:rsidR="00EC2BF8" w:rsidRPr="0052047F">
        <w:t xml:space="preserve">We </w:t>
      </w:r>
      <w:r w:rsidR="00A26357" w:rsidRPr="0052047F">
        <w:t>hypothesized</w:t>
      </w:r>
      <w:r w:rsidR="00491CE6" w:rsidRPr="0052047F">
        <w:t xml:space="preserve"> </w:t>
      </w:r>
      <w:r w:rsidR="00EC2BF8" w:rsidRPr="0052047F">
        <w:t xml:space="preserve">that much of the variability in the literature could be explained by two variables: </w:t>
      </w:r>
      <w:r w:rsidRPr="0052047F">
        <w:t xml:space="preserve">(1) </w:t>
      </w:r>
      <w:r w:rsidR="00EC2BF8" w:rsidRPr="0052047F">
        <w:t xml:space="preserve">whether </w:t>
      </w:r>
      <w:r w:rsidR="002A633B" w:rsidRPr="0052047F">
        <w:t xml:space="preserve">assessments </w:t>
      </w:r>
      <w:r w:rsidR="00EC2BF8" w:rsidRPr="0052047F">
        <w:t xml:space="preserve">were </w:t>
      </w:r>
      <w:r w:rsidR="002A633B" w:rsidRPr="0052047F">
        <w:t xml:space="preserve">made </w:t>
      </w:r>
      <w:r w:rsidR="00EC2BF8" w:rsidRPr="0052047F">
        <w:t xml:space="preserve">shortly after the conclusion of RMS or </w:t>
      </w:r>
      <w:r w:rsidR="00075D46" w:rsidRPr="0052047F">
        <w:t xml:space="preserve">instead </w:t>
      </w:r>
      <w:r w:rsidR="009F7BCF" w:rsidRPr="0052047F">
        <w:t xml:space="preserve">closer to or during </w:t>
      </w:r>
      <w:r w:rsidR="00EC2BF8" w:rsidRPr="0052047F">
        <w:t>adulthood</w:t>
      </w:r>
      <w:r w:rsidR="00FB455E" w:rsidRPr="0052047F">
        <w:t>,</w:t>
      </w:r>
      <w:r w:rsidR="00EC2BF8" w:rsidRPr="0052047F">
        <w:t xml:space="preserve"> and </w:t>
      </w:r>
      <w:r w:rsidRPr="0052047F">
        <w:t xml:space="preserve">(2) </w:t>
      </w:r>
      <w:r w:rsidR="00EC2BF8" w:rsidRPr="0052047F">
        <w:t xml:space="preserve">whether the animals experienced any further stress following </w:t>
      </w:r>
      <w:r w:rsidR="002747D5" w:rsidRPr="0052047F">
        <w:t>R</w:t>
      </w:r>
      <w:r w:rsidR="00EC2BF8" w:rsidRPr="0052047F">
        <w:t>MS</w:t>
      </w:r>
      <w:r w:rsidR="002747D5" w:rsidRPr="0052047F">
        <w:t xml:space="preserve">. </w:t>
      </w:r>
      <w:r w:rsidR="00EE05F8" w:rsidRPr="0052047F">
        <w:t xml:space="preserve">While a wide variety of immunological parameters have been measured in RMS animals, we focused our review on a manageable subset of these intended to provide a representative picture of clinically significant pro-inflammatory innate immune system changes in the periphery and CNS. </w:t>
      </w:r>
      <w:r w:rsidR="000F75B4" w:rsidRPr="0052047F">
        <w:t xml:space="preserve">Specifically, we included </w:t>
      </w:r>
      <w:r w:rsidR="003A18E3" w:rsidRPr="0052047F">
        <w:t>measurements</w:t>
      </w:r>
      <w:r w:rsidR="000F75B4" w:rsidRPr="0052047F">
        <w:t xml:space="preserve"> in any tissue of the four cytokines most commonly assayed in RMS studies (IL-1β, IL-6, IL-10, and TNF-α), as well as interpretable measures of effects on microglia, </w:t>
      </w:r>
      <w:r w:rsidR="002514B4" w:rsidRPr="0052047F">
        <w:t xml:space="preserve">the resident immune cells of the CNS </w:t>
      </w:r>
      <w:r w:rsidR="00487F55" w:rsidRPr="0052047F">
        <w:t>(Graeber, 2010)</w:t>
      </w:r>
      <w:r w:rsidR="002514B4" w:rsidRPr="0052047F">
        <w:t xml:space="preserve">, </w:t>
      </w:r>
      <w:r w:rsidR="000F75B4" w:rsidRPr="0052047F">
        <w:t>including the density of microglia in brain tissue and their degree of activation</w:t>
      </w:r>
      <w:r w:rsidR="002514B4" w:rsidRPr="0052047F">
        <w:t>.</w:t>
      </w:r>
      <w:r w:rsidR="003A18E3" w:rsidRPr="0052047F">
        <w:t xml:space="preserve"> Included cytokines are all </w:t>
      </w:r>
      <w:r w:rsidR="003A18E3" w:rsidRPr="0052047F">
        <w:lastRenderedPageBreak/>
        <w:t xml:space="preserve">pro-inflammatory except IL-10, which has predominantly anti-inflammatory actions </w:t>
      </w:r>
      <w:r w:rsidR="00487F55" w:rsidRPr="0052047F">
        <w:t>(Pestka et al., 2004; Sabat et al., 2010)</w:t>
      </w:r>
      <w:r w:rsidR="003A18E3" w:rsidRPr="0052047F">
        <w:t>.</w:t>
      </w:r>
    </w:p>
    <w:p w14:paraId="6AAF00C3" w14:textId="1426A92B" w:rsidR="00326804" w:rsidRPr="0052047F" w:rsidRDefault="00326804" w:rsidP="00D21592">
      <w:pPr>
        <w:pStyle w:val="H2"/>
      </w:pPr>
      <w:r w:rsidRPr="0052047F">
        <w:t>Methods</w:t>
      </w:r>
    </w:p>
    <w:p w14:paraId="5716FECC" w14:textId="3F80262D" w:rsidR="005D7C5A" w:rsidRPr="0052047F" w:rsidRDefault="00963F1E" w:rsidP="00326804">
      <w:r w:rsidRPr="0052047F">
        <w:t>The full methods can be found in the Supplementary Information. In brief, a search was conducted, results were screened against eligibility criteria, and then included findings were presented descriptively and summarized in the form of most frequent outcomes.</w:t>
      </w:r>
      <w:r w:rsidR="003128E3" w:rsidRPr="0052047F">
        <w:t xml:space="preserve"> Measurements were considered to assess long-term effects of RMS if they were collected more than three weeks after its conclusion, and short-term effects otherwise.</w:t>
      </w:r>
      <w:r w:rsidR="005D7C5A" w:rsidRPr="0052047F">
        <w:t xml:space="preserve"> </w:t>
      </w:r>
      <w:r w:rsidR="00C02A07" w:rsidRPr="0052047F">
        <w:t>Reported measurements of cytokine expression in blood always refer to protein level</w:t>
      </w:r>
      <w:r w:rsidR="009A7F05" w:rsidRPr="0052047F">
        <w:t xml:space="preserve">. For </w:t>
      </w:r>
      <w:r w:rsidR="00C02A07" w:rsidRPr="0052047F">
        <w:t xml:space="preserve">non-blood tissues, </w:t>
      </w:r>
      <w:r w:rsidR="005D7C5A" w:rsidRPr="0052047F">
        <w:t>because protein and mRNA results were generally concordant (</w:t>
      </w:r>
      <w:r w:rsidR="005D7C5A" w:rsidRPr="0052047F">
        <w:rPr>
          <w:b/>
          <w:bCs/>
        </w:rPr>
        <w:t>Fig. S1</w:t>
      </w:r>
      <w:r w:rsidR="00461443" w:rsidRPr="0052047F">
        <w:t>, and see</w:t>
      </w:r>
      <w:r w:rsidR="009A7F05" w:rsidRPr="0052047F">
        <w:t xml:space="preserve"> </w:t>
      </w:r>
      <w:r w:rsidR="00487F55" w:rsidRPr="0052047F">
        <w:t>Avitsur et al., 2006</w:t>
      </w:r>
      <w:r w:rsidR="009A7F05" w:rsidRPr="0052047F">
        <w:t xml:space="preserve"> and </w:t>
      </w:r>
      <w:r w:rsidR="00487F55" w:rsidRPr="0052047F">
        <w:t>Ganguly et al., 2019</w:t>
      </w:r>
      <w:r w:rsidR="005D7C5A" w:rsidRPr="0052047F">
        <w:t>), the assay substrate</w:t>
      </w:r>
      <w:r w:rsidR="009A7F05" w:rsidRPr="0052047F">
        <w:t xml:space="preserve"> may not be specified in the main text but can be found in</w:t>
      </w:r>
      <w:r w:rsidR="005D7C5A" w:rsidRPr="0052047F">
        <w:t xml:space="preserve"> </w:t>
      </w:r>
      <w:r w:rsidR="005D7C5A" w:rsidRPr="0052047F">
        <w:rPr>
          <w:b/>
          <w:bCs/>
        </w:rPr>
        <w:t>Fig. S2</w:t>
      </w:r>
      <w:r w:rsidR="00495433" w:rsidRPr="0052047F">
        <w:t>, along with the species and gender of the animals in each included study.</w:t>
      </w:r>
    </w:p>
    <w:p w14:paraId="2174DEF7" w14:textId="10B0DBFA" w:rsidR="00642083" w:rsidRPr="0052047F" w:rsidRDefault="00642083" w:rsidP="00326804">
      <w:pPr>
        <w:rPr>
          <w:b/>
          <w:bCs/>
        </w:rPr>
      </w:pPr>
      <w:r w:rsidRPr="0052047F">
        <w:rPr>
          <w:b/>
          <w:bCs/>
        </w:rPr>
        <w:t>Results</w:t>
      </w:r>
    </w:p>
    <w:p w14:paraId="5A442C46" w14:textId="7E1106A8" w:rsidR="00642083" w:rsidRPr="0052047F" w:rsidRDefault="00954F37" w:rsidP="00642083">
      <w:pPr>
        <w:pStyle w:val="H3"/>
      </w:pPr>
      <w:r w:rsidRPr="0052047F">
        <w:t>Overview</w:t>
      </w:r>
    </w:p>
    <w:p w14:paraId="606B101F" w14:textId="15833104" w:rsidR="00233C8E" w:rsidRPr="0052047F" w:rsidRDefault="00233C8E" w:rsidP="00925C46">
      <w:r w:rsidRPr="0052047F">
        <w:t xml:space="preserve">The most </w:t>
      </w:r>
      <w:r w:rsidR="00353A60" w:rsidRPr="0052047F">
        <w:t>frequently</w:t>
      </w:r>
      <w:r w:rsidRPr="0052047F">
        <w:t xml:space="preserve"> reported </w:t>
      </w:r>
      <w:r w:rsidR="00353A60" w:rsidRPr="0052047F">
        <w:t>effects of RMS</w:t>
      </w:r>
      <w:r w:rsidR="00ED2640" w:rsidRPr="0052047F">
        <w:t xml:space="preserve"> on cytokine expression</w:t>
      </w:r>
      <w:r w:rsidR="00353A60" w:rsidRPr="0052047F">
        <w:t xml:space="preserve"> </w:t>
      </w:r>
      <w:r w:rsidR="0054180D" w:rsidRPr="0052047F">
        <w:t xml:space="preserve">were </w:t>
      </w:r>
      <w:r w:rsidR="00353A60" w:rsidRPr="0052047F">
        <w:t>determined</w:t>
      </w:r>
      <w:r w:rsidR="0054180D" w:rsidRPr="0052047F">
        <w:t xml:space="preserve"> and </w:t>
      </w:r>
      <w:r w:rsidRPr="0052047F">
        <w:t xml:space="preserve">are displayed in </w:t>
      </w:r>
      <w:r w:rsidRPr="0052047F">
        <w:rPr>
          <w:b/>
          <w:bCs/>
        </w:rPr>
        <w:t>Fig</w:t>
      </w:r>
      <w:r w:rsidR="00555BB6" w:rsidRPr="0052047F">
        <w:rPr>
          <w:b/>
          <w:bCs/>
        </w:rPr>
        <w:t>.</w:t>
      </w:r>
      <w:r w:rsidR="005D773A" w:rsidRPr="0052047F">
        <w:rPr>
          <w:b/>
          <w:bCs/>
        </w:rPr>
        <w:t xml:space="preserve"> </w:t>
      </w:r>
      <w:r w:rsidRPr="0052047F">
        <w:rPr>
          <w:b/>
          <w:bCs/>
        </w:rPr>
        <w:t>2</w:t>
      </w:r>
      <w:r w:rsidRPr="0052047F">
        <w:t>.</w:t>
      </w:r>
      <w:r w:rsidR="00992828" w:rsidRPr="0052047F">
        <w:t xml:space="preserve"> </w:t>
      </w:r>
      <w:r w:rsidRPr="0052047F">
        <w:t xml:space="preserve">In the short-term, RMS </w:t>
      </w:r>
      <w:r w:rsidR="00353A60" w:rsidRPr="0052047F">
        <w:t xml:space="preserve">generally </w:t>
      </w:r>
      <w:r w:rsidRPr="0052047F">
        <w:t>increase</w:t>
      </w:r>
      <w:r w:rsidR="006E25A3" w:rsidRPr="0052047F">
        <w:t>s</w:t>
      </w:r>
      <w:r w:rsidRPr="0052047F">
        <w:t xml:space="preserve"> </w:t>
      </w:r>
      <w:r w:rsidR="005E7007" w:rsidRPr="0052047F">
        <w:t xml:space="preserve">TNF-α, </w:t>
      </w:r>
      <w:r w:rsidRPr="0052047F">
        <w:t xml:space="preserve">IL-6, and IL-10 in </w:t>
      </w:r>
      <w:r w:rsidR="00A9060F" w:rsidRPr="0052047F">
        <w:t>non-blood tissue</w:t>
      </w:r>
      <w:r w:rsidRPr="0052047F">
        <w:t xml:space="preserve"> while leaving these unaffected in blood</w:t>
      </w:r>
      <w:r w:rsidR="00820495" w:rsidRPr="0052047F">
        <w:t xml:space="preserve"> (plasma, serum, or the supernatant of cultured whole blood)</w:t>
      </w:r>
      <w:r w:rsidRPr="0052047F">
        <w:t xml:space="preserve">. </w:t>
      </w:r>
      <w:r w:rsidR="00FE7C4E" w:rsidRPr="0052047F">
        <w:t>W</w:t>
      </w:r>
      <w:r w:rsidRPr="0052047F">
        <w:t>ithout</w:t>
      </w:r>
      <w:r w:rsidR="00FE7C4E" w:rsidRPr="0052047F">
        <w:t xml:space="preserve"> further</w:t>
      </w:r>
      <w:r w:rsidRPr="0052047F">
        <w:t xml:space="preserve"> stress, RMS </w:t>
      </w:r>
      <w:r w:rsidR="006E25A3" w:rsidRPr="0052047F">
        <w:t xml:space="preserve">has </w:t>
      </w:r>
      <w:r w:rsidRPr="0052047F">
        <w:t xml:space="preserve">no </w:t>
      </w:r>
      <w:r w:rsidR="00FE7C4E" w:rsidRPr="0052047F">
        <w:t xml:space="preserve">long-term </w:t>
      </w:r>
      <w:r w:rsidRPr="0052047F">
        <w:t xml:space="preserve">effect on cytokine expression in both </w:t>
      </w:r>
      <w:r w:rsidR="00A9060F" w:rsidRPr="0052047F">
        <w:t xml:space="preserve">non-blood </w:t>
      </w:r>
      <w:r w:rsidRPr="0052047F">
        <w:t xml:space="preserve">tissues and blood. </w:t>
      </w:r>
      <w:r w:rsidR="006E25A3" w:rsidRPr="0052047F">
        <w:t xml:space="preserve">However, </w:t>
      </w:r>
      <w:r w:rsidR="00FE7C4E" w:rsidRPr="0052047F">
        <w:t>if further stress is applied</w:t>
      </w:r>
      <w:r w:rsidRPr="0052047F">
        <w:t xml:space="preserve">, RMS </w:t>
      </w:r>
      <w:r w:rsidR="00FE7C4E" w:rsidRPr="0052047F">
        <w:t xml:space="preserve">animals exhibit </w:t>
      </w:r>
      <w:r w:rsidRPr="0052047F">
        <w:t>increase</w:t>
      </w:r>
      <w:r w:rsidR="00FE7C4E" w:rsidRPr="0052047F">
        <w:t>d</w:t>
      </w:r>
      <w:r w:rsidRPr="0052047F">
        <w:t xml:space="preserve"> </w:t>
      </w:r>
      <w:r w:rsidR="003D6D49" w:rsidRPr="0052047F">
        <w:t>IL-1</w:t>
      </w:r>
      <w:r w:rsidR="005E7007" w:rsidRPr="0052047F">
        <w:t>β,</w:t>
      </w:r>
      <w:r w:rsidRPr="0052047F">
        <w:t xml:space="preserve"> </w:t>
      </w:r>
      <w:r w:rsidR="005E7007" w:rsidRPr="0052047F">
        <w:t xml:space="preserve">TNF-α, </w:t>
      </w:r>
      <w:r w:rsidRPr="0052047F">
        <w:t xml:space="preserve">IL-6, and IL-10 in </w:t>
      </w:r>
      <w:r w:rsidR="00A9060F" w:rsidRPr="0052047F">
        <w:t xml:space="preserve">non-blood </w:t>
      </w:r>
      <w:r w:rsidRPr="0052047F">
        <w:t xml:space="preserve">tissue, although studies also </w:t>
      </w:r>
      <w:r w:rsidR="00323FA5" w:rsidRPr="0052047F">
        <w:t xml:space="preserve">regularly </w:t>
      </w:r>
      <w:r w:rsidR="006E25A3" w:rsidRPr="0052047F">
        <w:t>report</w:t>
      </w:r>
      <w:r w:rsidR="00FE7C4E" w:rsidRPr="0052047F">
        <w:t>ed</w:t>
      </w:r>
      <w:r w:rsidR="006E25A3" w:rsidRPr="0052047F">
        <w:t xml:space="preserve"> </w:t>
      </w:r>
      <w:r w:rsidRPr="0052047F">
        <w:t xml:space="preserve">no change in </w:t>
      </w:r>
      <w:r w:rsidR="005E7007" w:rsidRPr="0052047F">
        <w:t xml:space="preserve">TNF-α </w:t>
      </w:r>
      <w:r w:rsidRPr="0052047F">
        <w:t xml:space="preserve">or IL-6, and a decrease in IL-10. In </w:t>
      </w:r>
      <w:r w:rsidR="006E25A3" w:rsidRPr="0052047F">
        <w:t xml:space="preserve">both </w:t>
      </w:r>
      <w:r w:rsidRPr="0052047F">
        <w:t xml:space="preserve">contexts involving recent stress, </w:t>
      </w:r>
      <w:r w:rsidRPr="0052047F">
        <w:lastRenderedPageBreak/>
        <w:t xml:space="preserve">increases </w:t>
      </w:r>
      <w:r w:rsidR="006E25A3" w:rsidRPr="0052047F">
        <w:t xml:space="preserve">in cytokine expression </w:t>
      </w:r>
      <w:r w:rsidRPr="0052047F">
        <w:t xml:space="preserve">were much more commonly observed in </w:t>
      </w:r>
      <w:r w:rsidR="00A9060F" w:rsidRPr="0052047F">
        <w:t xml:space="preserve">non-blood tissue </w:t>
      </w:r>
      <w:r w:rsidRPr="0052047F">
        <w:t>than in blood.</w:t>
      </w:r>
      <w:r w:rsidR="00ED2640" w:rsidRPr="0052047F">
        <w:t xml:space="preserve"> The effects of RMS on microglia are described below (</w:t>
      </w:r>
      <w:r w:rsidR="00086FBF" w:rsidRPr="0052047F">
        <w:t xml:space="preserve">and available in table format </w:t>
      </w:r>
      <w:r w:rsidR="00ED2640" w:rsidRPr="0052047F">
        <w:t xml:space="preserve">in </w:t>
      </w:r>
      <w:r w:rsidR="00ED2640" w:rsidRPr="0052047F">
        <w:rPr>
          <w:b/>
          <w:bCs/>
        </w:rPr>
        <w:t>Fig. S3</w:t>
      </w:r>
      <w:r w:rsidR="00ED2640" w:rsidRPr="0052047F">
        <w:t>).</w:t>
      </w:r>
    </w:p>
    <w:p w14:paraId="6450C621" w14:textId="35A71351" w:rsidR="00C1238B" w:rsidRPr="0052047F" w:rsidRDefault="00C1238B" w:rsidP="00931D07">
      <w:pPr>
        <w:pStyle w:val="H3"/>
      </w:pPr>
      <w:r w:rsidRPr="0052047F">
        <w:t>Short-term effects</w:t>
      </w:r>
      <w:r w:rsidR="00BB5B1D" w:rsidRPr="0052047F">
        <w:t xml:space="preserve"> of </w:t>
      </w:r>
      <w:r w:rsidR="003F5E3F" w:rsidRPr="0052047F">
        <w:t>maternal separation</w:t>
      </w:r>
    </w:p>
    <w:p w14:paraId="2C4E2940" w14:textId="77777777" w:rsidR="00663FC0" w:rsidRPr="0052047F" w:rsidRDefault="00663FC0" w:rsidP="00663FC0">
      <w:pPr>
        <w:pStyle w:val="H4"/>
      </w:pPr>
      <w:bookmarkStart w:id="3" w:name="_Hlk42629335"/>
      <w:r w:rsidRPr="0052047F">
        <w:t>IL-1β</w:t>
      </w:r>
    </w:p>
    <w:p w14:paraId="4D913F9C" w14:textId="57F1F758" w:rsidR="00663FC0" w:rsidRPr="0052047F" w:rsidRDefault="00663FC0" w:rsidP="00663FC0">
      <w:r w:rsidRPr="0052047F">
        <w:t xml:space="preserve">Several studies have examined the short-term effects of </w:t>
      </w:r>
      <w:r w:rsidR="003F5E3F" w:rsidRPr="0052047F">
        <w:t>maternal separation (MS)</w:t>
      </w:r>
      <w:r w:rsidRPr="0052047F">
        <w:t xml:space="preserve"> on hippocampal IL-1β. In animals sacrificed immediately after the final MS episode, RMS increased hippocampal IL-1β</w:t>
      </w:r>
      <w:r w:rsidRPr="0052047F" w:rsidDel="003D6D49">
        <w:t xml:space="preserve"> </w:t>
      </w:r>
      <w:r w:rsidRPr="0052047F">
        <w:t xml:space="preserve">mRNA levels by roughly 20 times compared to never-stressed animals </w:t>
      </w:r>
      <w:r w:rsidR="00487F55" w:rsidRPr="0052047F">
        <w:t>(Roque et al., 2016)</w:t>
      </w:r>
      <w:r w:rsidRPr="0052047F">
        <w:t>. When sacrificed 24 hours after the final episode, IL-1β</w:t>
      </w:r>
      <w:r w:rsidRPr="0052047F" w:rsidDel="003D6D49">
        <w:t xml:space="preserve"> </w:t>
      </w:r>
      <w:r w:rsidRPr="0052047F">
        <w:t xml:space="preserve">expression was still significantly elevated, but reduced to 2-2.5 times the level of unstressed animals </w:t>
      </w:r>
      <w:r w:rsidR="00487F55" w:rsidRPr="0052047F">
        <w:t>(Roque et al., 2016)</w:t>
      </w:r>
      <w:r w:rsidRPr="0052047F">
        <w:t xml:space="preserve">. In animals given </w:t>
      </w:r>
      <w:r w:rsidR="000D2378" w:rsidRPr="0052047F">
        <w:t>intraperitoneal (</w:t>
      </w:r>
      <w:r w:rsidRPr="0052047F">
        <w:t>IP</w:t>
      </w:r>
      <w:r w:rsidR="000D2378" w:rsidRPr="0052047F">
        <w:t>)</w:t>
      </w:r>
      <w:r w:rsidRPr="0052047F">
        <w:t xml:space="preserve"> saline injections immediately after their final RMS episode and sacrificed 90 minutes later, hippocampal IL-1β</w:t>
      </w:r>
      <w:r w:rsidRPr="0052047F" w:rsidDel="003D6D49">
        <w:t xml:space="preserve"> </w:t>
      </w:r>
      <w:r w:rsidRPr="0052047F">
        <w:t xml:space="preserve">protein showed a trend increase in RMS animals </w:t>
      </w:r>
      <w:r w:rsidR="00487F55" w:rsidRPr="0052047F">
        <w:t>(Saavedra et al., 2017)</w:t>
      </w:r>
      <w:r w:rsidR="0007297B" w:rsidRPr="0052047F">
        <w:t>; here, because both RMS and control animals received IP injections, both groups experienced a</w:t>
      </w:r>
      <w:r w:rsidR="00217010" w:rsidRPr="0052047F">
        <w:t xml:space="preserve"> brief</w:t>
      </w:r>
      <w:r w:rsidR="0007297B" w:rsidRPr="0052047F">
        <w:t xml:space="preserve"> stressor which may have reduced the statistical power to detect an RMS-induced effect</w:t>
      </w:r>
      <w:r w:rsidR="00217010" w:rsidRPr="0052047F">
        <w:t xml:space="preserve"> on cytokine expression</w:t>
      </w:r>
      <w:r w:rsidR="0007297B" w:rsidRPr="0052047F">
        <w:t xml:space="preserve">. A </w:t>
      </w:r>
      <w:r w:rsidRPr="0052047F">
        <w:t>further study using a shorter RMS protocol reported no effect of RMS on hippocampal IL-1β</w:t>
      </w:r>
      <w:r w:rsidRPr="0052047F" w:rsidDel="003D6D49">
        <w:t xml:space="preserve"> </w:t>
      </w:r>
      <w:r w:rsidRPr="0052047F">
        <w:t xml:space="preserve">protein in animals sacrificed </w:t>
      </w:r>
      <w:r w:rsidR="00836171" w:rsidRPr="0052047F">
        <w:t xml:space="preserve">on the </w:t>
      </w:r>
      <w:r w:rsidR="000650CB" w:rsidRPr="0052047F">
        <w:t>final day of RMS</w:t>
      </w:r>
      <w:r w:rsidRPr="0052047F">
        <w:t xml:space="preserve"> </w:t>
      </w:r>
      <w:r w:rsidR="00487F55" w:rsidRPr="0052047F">
        <w:t>(Giridharan et al., 2019)</w:t>
      </w:r>
      <w:r w:rsidRPr="0052047F">
        <w:t xml:space="preserve">. Animals sacrificed immediately after </w:t>
      </w:r>
      <w:r w:rsidR="00836171" w:rsidRPr="0052047F">
        <w:t xml:space="preserve">single-episode maternal separation (SEMS) </w:t>
      </w:r>
      <w:r w:rsidRPr="0052047F">
        <w:t>were not found to have increased hippocampal IL-1β</w:t>
      </w:r>
      <w:r w:rsidRPr="0052047F" w:rsidDel="003D6D49">
        <w:t xml:space="preserve"> </w:t>
      </w:r>
      <w:r w:rsidRPr="0052047F">
        <w:t xml:space="preserve">expression relative to unstressed animals </w:t>
      </w:r>
      <w:r w:rsidR="00487F55" w:rsidRPr="0052047F">
        <w:t>(Roque et al., 2016)</w:t>
      </w:r>
      <w:r w:rsidRPr="0052047F">
        <w:t xml:space="preserve">. However, among animals sacrificed immediately at the conclusion of an episode of MS, those who had undergone RMS had roughly five times the hippocampal IL-1β level that SEMS animals had </w:t>
      </w:r>
      <w:r w:rsidR="00487F55" w:rsidRPr="0052047F">
        <w:t>(Roque et al., 2016)</w:t>
      </w:r>
      <w:r w:rsidRPr="0052047F">
        <w:t>. Altogether these findings suggest RMS may cause hippocampal IL-1β</w:t>
      </w:r>
      <w:r w:rsidRPr="0052047F" w:rsidDel="003D6D49">
        <w:t xml:space="preserve"> </w:t>
      </w:r>
      <w:r w:rsidRPr="0052047F">
        <w:t xml:space="preserve">to undergo daily cycling with peaks shortly after each MS episode, with </w:t>
      </w:r>
      <w:r w:rsidRPr="0052047F">
        <w:lastRenderedPageBreak/>
        <w:t>a rapid return towards normal until the stress is applied again. The daily peak appears to rise with each additional repetition such that eventually</w:t>
      </w:r>
      <w:r w:rsidR="00836171" w:rsidRPr="0052047F">
        <w:t xml:space="preserve"> </w:t>
      </w:r>
      <w:r w:rsidRPr="0052047F">
        <w:t>the daily elevation does not normalize even by the start of the next day’s episode.</w:t>
      </w:r>
    </w:p>
    <w:p w14:paraId="5F77FECA" w14:textId="271563CC" w:rsidR="008C58DE" w:rsidRPr="0052047F" w:rsidRDefault="00485217" w:rsidP="008C58DE">
      <w:r w:rsidRPr="0052047F">
        <w:t>F</w:t>
      </w:r>
      <w:r w:rsidR="00663FC0" w:rsidRPr="0052047F">
        <w:t xml:space="preserve">indings in other regions of the brain suggest that the effects of RMS on brain IL-1β are probably region-specific, while SEMS likely has no effect on brain IL-1β in any region. Two studies reported no effect of RMS, in the hypothalamus, in the same study that demonstrated a profound increase in hippocampal IL-1β immediately after the final episode </w:t>
      </w:r>
      <w:r w:rsidR="00487F55" w:rsidRPr="0052047F">
        <w:t>(Roque et al., 2016)</w:t>
      </w:r>
      <w:r w:rsidR="00663FC0" w:rsidRPr="0052047F">
        <w:t xml:space="preserve">, and in the prefrontal cortex (PFC), in animals sacrificed on the day of the final RMS episode </w:t>
      </w:r>
      <w:r w:rsidR="00487F55" w:rsidRPr="0052047F">
        <w:t>(Giridharan et al., 2019)</w:t>
      </w:r>
      <w:r w:rsidR="00663FC0" w:rsidRPr="0052047F">
        <w:t xml:space="preserve">. Two studies reported no effect of SEMS on hypothalamic IL-1β </w:t>
      </w:r>
      <w:r w:rsidR="00487F55" w:rsidRPr="0052047F">
        <w:t>(Roque et al., 2016; Zajdel et al., 2019)</w:t>
      </w:r>
      <w:r w:rsidR="00663FC0" w:rsidRPr="0052047F">
        <w:t xml:space="preserve">, </w:t>
      </w:r>
      <w:r w:rsidR="008E60E8" w:rsidRPr="0052047F">
        <w:t>mirroring the lack of effect in the hippocampus</w:t>
      </w:r>
      <w:r w:rsidR="00663FC0" w:rsidRPr="0052047F">
        <w:t xml:space="preserve">. Two final studies reported decreases in IL-1β expression in RMS animals, specifically in the prelimbic PFC at almost three weeks following the final RMS episode </w:t>
      </w:r>
      <w:r w:rsidR="00487F55" w:rsidRPr="0052047F">
        <w:t>(Majcher-Maślanka et al., 2019)</w:t>
      </w:r>
      <w:r w:rsidR="00663FC0" w:rsidRPr="0052047F">
        <w:t xml:space="preserve">, and in a whole-brain </w:t>
      </w:r>
      <w:r w:rsidR="00411E4B" w:rsidRPr="0052047F">
        <w:t>homogenate</w:t>
      </w:r>
      <w:r w:rsidR="00663FC0" w:rsidRPr="0052047F">
        <w:t xml:space="preserve"> at 48 hours after the final episode</w:t>
      </w:r>
      <w:r w:rsidR="008E60E8" w:rsidRPr="0052047F">
        <w:t xml:space="preserve"> </w:t>
      </w:r>
      <w:r w:rsidR="00487F55" w:rsidRPr="0052047F">
        <w:t>(Dimatelis et al., 2012)</w:t>
      </w:r>
      <w:r w:rsidR="00663FC0" w:rsidRPr="0052047F">
        <w:t>.</w:t>
      </w:r>
      <w:r w:rsidR="008C58DE" w:rsidRPr="0052047F">
        <w:t xml:space="preserve"> Only one included study looked at the short-term effects of MS on IL-1β in a </w:t>
      </w:r>
      <w:r w:rsidR="00820495" w:rsidRPr="0052047F">
        <w:t xml:space="preserve">non-blood </w:t>
      </w:r>
      <w:r w:rsidR="008C58DE" w:rsidRPr="0052047F">
        <w:t>tissue other than the brain, finding no effect of SEMS on liver IL-1β</w:t>
      </w:r>
      <w:r w:rsidR="008C58DE" w:rsidRPr="0052047F" w:rsidDel="003D6D49">
        <w:t xml:space="preserve"> </w:t>
      </w:r>
      <w:r w:rsidR="00487F55" w:rsidRPr="0052047F">
        <w:t>(Zajdel et al., 2019)</w:t>
      </w:r>
      <w:r w:rsidR="008C58DE" w:rsidRPr="0052047F">
        <w:t>.</w:t>
      </w:r>
    </w:p>
    <w:p w14:paraId="7AC9D05E" w14:textId="1D32989B" w:rsidR="00663FC0" w:rsidRPr="0052047F" w:rsidRDefault="00411E4B" w:rsidP="00095D2A">
      <w:r w:rsidRPr="0052047F">
        <w:t>T</w:t>
      </w:r>
      <w:r w:rsidR="000650CB" w:rsidRPr="0052047F">
        <w:t xml:space="preserve">he effects of RMS </w:t>
      </w:r>
      <w:r w:rsidR="00095D2A" w:rsidRPr="0052047F">
        <w:t xml:space="preserve">on </w:t>
      </w:r>
      <w:r w:rsidR="000650CB" w:rsidRPr="0052047F">
        <w:t xml:space="preserve">plasma IL-1β </w:t>
      </w:r>
      <w:r w:rsidRPr="0052047F">
        <w:t>appear short-lived</w:t>
      </w:r>
      <w:r w:rsidR="00095D2A" w:rsidRPr="0052047F">
        <w:t xml:space="preserve">. Two studies found no effect of RMS on plasma IL-1β, at 5 and 15 days following the final RMS episode </w:t>
      </w:r>
      <w:r w:rsidR="00487F55" w:rsidRPr="0052047F">
        <w:t>(Grassi-Oliveira et al., 2016)</w:t>
      </w:r>
      <w:r w:rsidR="00095D2A" w:rsidRPr="0052047F">
        <w:t xml:space="preserve">, and in animals given an IP saline injection shortly after the final episode and sacrificed 90 minutes later </w:t>
      </w:r>
      <w:r w:rsidR="00487F55" w:rsidRPr="0052047F">
        <w:t>(Saavedra et al., 2017)</w:t>
      </w:r>
      <w:r w:rsidR="00095D2A" w:rsidRPr="0052047F">
        <w:t xml:space="preserve">. However, another study reported that RMS decreased plasma IL-1β both immediately after the final RMS episode and 24 hours later, to roughly 65-70% and 80-85% the level of unstressed animals respectively </w:t>
      </w:r>
      <w:r w:rsidR="00487F55" w:rsidRPr="0052047F">
        <w:t>(Roque et al., 2016)</w:t>
      </w:r>
      <w:r w:rsidR="00663FC0" w:rsidRPr="0052047F">
        <w:t xml:space="preserve">. </w:t>
      </w:r>
      <w:r w:rsidR="002D4841" w:rsidRPr="0052047F">
        <w:t>In contrast to RMS,</w:t>
      </w:r>
      <w:r w:rsidR="00663FC0" w:rsidRPr="0052047F">
        <w:t xml:space="preserve"> SEMS did </w:t>
      </w:r>
      <w:r w:rsidR="00663FC0" w:rsidRPr="0052047F">
        <w:lastRenderedPageBreak/>
        <w:t xml:space="preserve">not elicit this </w:t>
      </w:r>
      <w:r w:rsidR="002D4841" w:rsidRPr="0052047F">
        <w:t xml:space="preserve">decrease </w:t>
      </w:r>
      <w:r w:rsidR="00663FC0" w:rsidRPr="0052047F">
        <w:t xml:space="preserve">in animals sacrificed immediately after the episode, </w:t>
      </w:r>
      <w:r w:rsidR="00485217" w:rsidRPr="0052047F">
        <w:t xml:space="preserve">but rather appeared to </w:t>
      </w:r>
      <w:r w:rsidR="00663FC0" w:rsidRPr="0052047F">
        <w:t>increase IL-1β plasma level</w:t>
      </w:r>
      <w:r w:rsidR="00485217" w:rsidRPr="0052047F">
        <w:t>s</w:t>
      </w:r>
      <w:r w:rsidR="00663FC0" w:rsidRPr="0052047F">
        <w:t xml:space="preserve"> compared </w:t>
      </w:r>
      <w:r w:rsidR="00485217" w:rsidRPr="0052047F">
        <w:t xml:space="preserve">with </w:t>
      </w:r>
      <w:r w:rsidR="00663FC0" w:rsidRPr="0052047F">
        <w:t xml:space="preserve">unstressed animals </w:t>
      </w:r>
      <w:r w:rsidR="00487F55" w:rsidRPr="0052047F">
        <w:t>(Roque et al., 2016)</w:t>
      </w:r>
      <w:r w:rsidR="00663FC0" w:rsidRPr="0052047F">
        <w:t xml:space="preserve">. </w:t>
      </w:r>
    </w:p>
    <w:bookmarkEnd w:id="3"/>
    <w:p w14:paraId="58AA1BA6" w14:textId="64FC3A76" w:rsidR="00663FC0" w:rsidRPr="0052047F" w:rsidRDefault="00663FC0" w:rsidP="00663FC0">
      <w:pPr>
        <w:pStyle w:val="H4"/>
      </w:pPr>
      <w:r w:rsidRPr="0052047F">
        <w:t>TNF-α</w:t>
      </w:r>
    </w:p>
    <w:p w14:paraId="10F39390" w14:textId="4707BBBE" w:rsidR="00663FC0" w:rsidRPr="0052047F" w:rsidRDefault="003028B0" w:rsidP="00663FC0">
      <w:r w:rsidRPr="0052047F">
        <w:t>T</w:t>
      </w:r>
      <w:r w:rsidR="00663FC0" w:rsidRPr="0052047F">
        <w:t xml:space="preserve">wo included studies examined the short-term effects of MS in the hippocampus. Roque et al. </w:t>
      </w:r>
      <w:r w:rsidR="00487F55" w:rsidRPr="0052047F">
        <w:t>(2016)</w:t>
      </w:r>
      <w:r w:rsidR="00663FC0" w:rsidRPr="0052047F">
        <w:t xml:space="preserve"> found in animals sacrificed immediately after </w:t>
      </w:r>
      <w:r w:rsidR="007A0CF6" w:rsidRPr="0052047F">
        <w:t>MS</w:t>
      </w:r>
      <w:r w:rsidR="00663FC0" w:rsidRPr="0052047F">
        <w:t xml:space="preserve"> that </w:t>
      </w:r>
      <w:r w:rsidR="007A0CF6" w:rsidRPr="0052047F">
        <w:t xml:space="preserve">while </w:t>
      </w:r>
      <w:r w:rsidR="00663FC0" w:rsidRPr="0052047F">
        <w:t xml:space="preserve">SEMS </w:t>
      </w:r>
      <w:r w:rsidR="007A0CF6" w:rsidRPr="0052047F">
        <w:t xml:space="preserve">caused a modest increase in </w:t>
      </w:r>
      <w:r w:rsidR="00663FC0" w:rsidRPr="0052047F">
        <w:t xml:space="preserve">hippocampal TNF-α </w:t>
      </w:r>
      <w:r w:rsidR="007A0CF6" w:rsidRPr="0052047F">
        <w:t xml:space="preserve">expression, </w:t>
      </w:r>
      <w:r w:rsidR="00663FC0" w:rsidRPr="0052047F">
        <w:t>the mean hippocampal TNF-α</w:t>
      </w:r>
      <w:r w:rsidR="00663FC0" w:rsidRPr="0052047F" w:rsidDel="003D6D49">
        <w:t xml:space="preserve"> </w:t>
      </w:r>
      <w:r w:rsidR="00663FC0" w:rsidRPr="0052047F">
        <w:t xml:space="preserve">level in RMS animals sacrificed </w:t>
      </w:r>
      <w:r w:rsidR="007A0CF6" w:rsidRPr="0052047F">
        <w:t>at the same time</w:t>
      </w:r>
      <w:r w:rsidR="00663FC0" w:rsidRPr="0052047F">
        <w:t xml:space="preserve"> was indistinguishable from that of never-stressed animals. This suggests that with repeated episodes of MS, the ability of each daily episode to raise TNF-α</w:t>
      </w:r>
      <w:r w:rsidR="00663FC0" w:rsidRPr="0052047F" w:rsidDel="003D6D49">
        <w:t xml:space="preserve"> </w:t>
      </w:r>
      <w:r w:rsidR="00663FC0" w:rsidRPr="0052047F">
        <w:t>expression may decrease, which is the opposite of the finding regarding hippocampal IL-1β expression</w:t>
      </w:r>
      <w:r w:rsidR="007A0CF6" w:rsidRPr="0052047F">
        <w:t>. A</w:t>
      </w:r>
      <w:r w:rsidR="00663FC0" w:rsidRPr="0052047F">
        <w:t xml:space="preserve"> significant increase in hippocampal TNF-α was found in RMS animals 24 hours following </w:t>
      </w:r>
      <w:r w:rsidR="00291493" w:rsidRPr="0052047F">
        <w:t xml:space="preserve">separation </w:t>
      </w:r>
      <w:r w:rsidR="00663FC0" w:rsidRPr="0052047F">
        <w:t xml:space="preserve">compared </w:t>
      </w:r>
      <w:r w:rsidR="00291493" w:rsidRPr="0052047F">
        <w:t xml:space="preserve">with </w:t>
      </w:r>
      <w:r w:rsidR="00663FC0" w:rsidRPr="0052047F">
        <w:t>animals that had never been stressed, although the magnitude of this difference was small. Corroborating this finding, increased hippocampal TNF-α</w:t>
      </w:r>
      <w:r w:rsidR="00663FC0" w:rsidRPr="0052047F" w:rsidDel="003D6D49">
        <w:t xml:space="preserve"> </w:t>
      </w:r>
      <w:r w:rsidR="00291493" w:rsidRPr="0052047F">
        <w:t xml:space="preserve">was reported </w:t>
      </w:r>
      <w:r w:rsidR="00663FC0" w:rsidRPr="0052047F">
        <w:t xml:space="preserve">in </w:t>
      </w:r>
      <w:r w:rsidR="00291493" w:rsidRPr="0052047F">
        <w:t>rats</w:t>
      </w:r>
      <w:r w:rsidR="00663FC0" w:rsidRPr="0052047F">
        <w:t xml:space="preserve"> sacrificed on the final day of RMS </w:t>
      </w:r>
      <w:r w:rsidR="00487F55" w:rsidRPr="0052047F">
        <w:t>(Giridharan et al., 2019)</w:t>
      </w:r>
      <w:r w:rsidR="00663FC0" w:rsidRPr="0052047F">
        <w:t xml:space="preserve">. Altogether, these results suggest that RMS </w:t>
      </w:r>
      <w:r w:rsidR="00004A5F" w:rsidRPr="0052047F">
        <w:t>likely</w:t>
      </w:r>
      <w:r w:rsidR="00663FC0" w:rsidRPr="0052047F">
        <w:t xml:space="preserve"> increases hippocampal TNF-α, but that this </w:t>
      </w:r>
      <w:r w:rsidR="00AC0ADA" w:rsidRPr="0052047F">
        <w:t>effect</w:t>
      </w:r>
      <w:r w:rsidR="00663FC0" w:rsidRPr="0052047F">
        <w:t xml:space="preserve"> may be modest compared to the increase in IL-1β</w:t>
      </w:r>
      <w:r w:rsidR="00AC0ADA" w:rsidRPr="0052047F">
        <w:t>. Further</w:t>
      </w:r>
      <w:r w:rsidRPr="0052047F">
        <w:t>more</w:t>
      </w:r>
      <w:r w:rsidR="00AC0ADA" w:rsidRPr="0052047F">
        <w:t xml:space="preserve">, </w:t>
      </w:r>
      <w:r w:rsidR="00663FC0" w:rsidRPr="0052047F">
        <w:t>the peak daily hippocampal TNF-α</w:t>
      </w:r>
      <w:r w:rsidR="00663FC0" w:rsidRPr="0052047F" w:rsidDel="003D6D49">
        <w:t xml:space="preserve"> </w:t>
      </w:r>
      <w:r w:rsidR="00663FC0" w:rsidRPr="0052047F">
        <w:t>level may decrease rather than increase with repeated exposure.</w:t>
      </w:r>
    </w:p>
    <w:p w14:paraId="6B70B022" w14:textId="69B97018" w:rsidR="00663FC0" w:rsidRPr="0052047F" w:rsidRDefault="003028B0" w:rsidP="00663FC0">
      <w:r w:rsidRPr="0052047F">
        <w:t>In other brain regions, o</w:t>
      </w:r>
      <w:r w:rsidR="00663FC0" w:rsidRPr="0052047F">
        <w:t xml:space="preserve">ne study </w:t>
      </w:r>
      <w:r w:rsidRPr="0052047F">
        <w:t>reported</w:t>
      </w:r>
      <w:r w:rsidR="00663FC0" w:rsidRPr="0052047F">
        <w:t xml:space="preserve"> increased TNF-α</w:t>
      </w:r>
      <w:r w:rsidR="00663FC0" w:rsidRPr="0052047F" w:rsidDel="003D6D49">
        <w:t xml:space="preserve"> </w:t>
      </w:r>
      <w:r w:rsidR="00663FC0" w:rsidRPr="0052047F">
        <w:t xml:space="preserve">expression in the PFC in animals sacrificed </w:t>
      </w:r>
      <w:r w:rsidR="00004A5F" w:rsidRPr="0052047F">
        <w:t xml:space="preserve">on the day of </w:t>
      </w:r>
      <w:r w:rsidR="00663FC0" w:rsidRPr="0052047F">
        <w:t xml:space="preserve">their final RMS episode </w:t>
      </w:r>
      <w:r w:rsidR="00487F55" w:rsidRPr="0052047F">
        <w:t>(Giridharan et al., 2019)</w:t>
      </w:r>
      <w:r w:rsidRPr="0052047F">
        <w:t xml:space="preserve">, and another </w:t>
      </w:r>
      <w:r w:rsidR="00663FC0" w:rsidRPr="0052047F">
        <w:t>found that RMS animals sacrificed immediately after their final episode had higher hypothalamic TNF-α</w:t>
      </w:r>
      <w:r w:rsidR="00663FC0" w:rsidRPr="0052047F" w:rsidDel="003D6D49">
        <w:t xml:space="preserve"> </w:t>
      </w:r>
      <w:r w:rsidR="00663FC0" w:rsidRPr="0052047F">
        <w:t>than SEMS animals sacrificed at the same time</w:t>
      </w:r>
      <w:r w:rsidR="00AC0ADA" w:rsidRPr="0052047F">
        <w:t xml:space="preserve"> </w:t>
      </w:r>
      <w:r w:rsidR="00487F55" w:rsidRPr="0052047F">
        <w:t>(Roque et al., 2016)</w:t>
      </w:r>
      <w:r w:rsidR="00663FC0" w:rsidRPr="0052047F">
        <w:t xml:space="preserve">. However, this </w:t>
      </w:r>
      <w:r w:rsidRPr="0052047F">
        <w:t xml:space="preserve">latter </w:t>
      </w:r>
      <w:r w:rsidR="00663FC0" w:rsidRPr="0052047F">
        <w:t xml:space="preserve">increase in RMS animals was not significant when compared either to animals that were never stressed or to animals that were sacrificed at 24 hours following their final RMS episode. Additionally, there </w:t>
      </w:r>
      <w:r w:rsidR="00663FC0" w:rsidRPr="0052047F">
        <w:lastRenderedPageBreak/>
        <w:t>was no suggestion of a difference in hypothalamic TNF-α between RMS animals sacrificed 24 hours after their final episode and never-stressed animals. These findings suggest that RMS may cause modest increases in TNF-α</w:t>
      </w:r>
      <w:r w:rsidR="00663FC0" w:rsidRPr="0052047F" w:rsidDel="003D6D49">
        <w:t xml:space="preserve"> </w:t>
      </w:r>
      <w:r w:rsidR="00663FC0" w:rsidRPr="0052047F">
        <w:t xml:space="preserve">expression in the hypothalamus and PFC, but, contrary to the </w:t>
      </w:r>
      <w:r w:rsidR="00AC0ADA" w:rsidRPr="0052047F">
        <w:t>findings in the hippocampus</w:t>
      </w:r>
      <w:r w:rsidR="00663FC0" w:rsidRPr="0052047F">
        <w:t>, that these increases may be greater at the conclusion of RMS rather than 24 hours later, and that peak expression may increase with chronicity.</w:t>
      </w:r>
    </w:p>
    <w:p w14:paraId="37061BC0" w14:textId="62049428" w:rsidR="00663FC0" w:rsidRPr="0052047F" w:rsidRDefault="008430CC" w:rsidP="00925C46">
      <w:r w:rsidRPr="0052047F">
        <w:t>Most studies to date report no short-term effect of MS on TNF-α</w:t>
      </w:r>
      <w:r w:rsidRPr="0052047F" w:rsidDel="003D6D49">
        <w:t xml:space="preserve"> </w:t>
      </w:r>
      <w:r w:rsidRPr="0052047F">
        <w:t>expression in non-brain tissues.</w:t>
      </w:r>
      <w:r w:rsidR="00663FC0" w:rsidRPr="0052047F">
        <w:t xml:space="preserve"> Studies have found no effect of RMS or SEMS on plasma TNF-α </w:t>
      </w:r>
      <w:r w:rsidR="00487F55" w:rsidRPr="0052047F">
        <w:t>(Barouei et al., 2015; Roque et al., 2016; Saavedra et al., 2017)</w:t>
      </w:r>
      <w:r w:rsidR="004C1E34" w:rsidRPr="0052047F">
        <w:t xml:space="preserve">, or of SEMS on liver TNF-α </w:t>
      </w:r>
      <w:r w:rsidR="00487F55" w:rsidRPr="0052047F">
        <w:t>(Zajdel et al., 2019)</w:t>
      </w:r>
      <w:r w:rsidR="00663FC0" w:rsidRPr="0052047F">
        <w:t>. In colon tissue, RMS</w:t>
      </w:r>
      <w:r w:rsidRPr="0052047F">
        <w:t xml:space="preserve"> during PND 5-9 increased </w:t>
      </w:r>
      <w:r w:rsidR="00663FC0" w:rsidRPr="0052047F">
        <w:t>TNF-α</w:t>
      </w:r>
      <w:r w:rsidR="00663FC0" w:rsidRPr="0052047F" w:rsidDel="003D6D49">
        <w:t xml:space="preserve"> </w:t>
      </w:r>
      <w:r w:rsidR="00663FC0" w:rsidRPr="0052047F">
        <w:t>mRNA at sacrifice immediately after the final episode</w:t>
      </w:r>
      <w:r w:rsidR="004C1E34" w:rsidRPr="0052047F">
        <w:t xml:space="preserve">, although RMS </w:t>
      </w:r>
      <w:r w:rsidRPr="0052047F">
        <w:t xml:space="preserve">but not control animals </w:t>
      </w:r>
      <w:r w:rsidR="004C1E34" w:rsidRPr="0052047F">
        <w:t>received daily IP saline injections</w:t>
      </w:r>
      <w:r w:rsidRPr="0052047F">
        <w:t xml:space="preserve"> </w:t>
      </w:r>
      <w:r w:rsidR="00487F55" w:rsidRPr="0052047F">
        <w:t>(Li et al., 2017)</w:t>
      </w:r>
      <w:r w:rsidR="004C1E34" w:rsidRPr="0052047F">
        <w:t xml:space="preserve">. </w:t>
      </w:r>
    </w:p>
    <w:p w14:paraId="6C98007E" w14:textId="3B8AEF02" w:rsidR="00A853F4" w:rsidRPr="0052047F" w:rsidRDefault="00C1238B" w:rsidP="00931D07">
      <w:pPr>
        <w:pStyle w:val="H4"/>
      </w:pPr>
      <w:r w:rsidRPr="0052047F">
        <w:t>IL-6</w:t>
      </w:r>
    </w:p>
    <w:p w14:paraId="5574640F" w14:textId="15889174" w:rsidR="00E34D00" w:rsidRPr="0052047F" w:rsidRDefault="00EE5D81" w:rsidP="00925C46">
      <w:r w:rsidRPr="0052047F">
        <w:t xml:space="preserve">Included studies generally suggest that while RMS can increase IL-6 expression in blood, this increase is likely short-lived. </w:t>
      </w:r>
      <w:r w:rsidR="00340164" w:rsidRPr="0052047F">
        <w:t xml:space="preserve">Roque et al. </w:t>
      </w:r>
      <w:r w:rsidR="00487F55" w:rsidRPr="0052047F">
        <w:t>(2016)</w:t>
      </w:r>
      <w:r w:rsidR="00340164" w:rsidRPr="0052047F">
        <w:t xml:space="preserve"> demonstrated that both RMS and SEMS cause similar increases in plasma IL-6 at the immediate conclusion of an MS episode</w:t>
      </w:r>
      <w:r w:rsidR="00C535F4" w:rsidRPr="0052047F">
        <w:t xml:space="preserve">. </w:t>
      </w:r>
      <w:r w:rsidR="00824D8E" w:rsidRPr="0052047F">
        <w:t>T</w:t>
      </w:r>
      <w:r w:rsidR="00166A24" w:rsidRPr="0052047F">
        <w:t>his</w:t>
      </w:r>
      <w:r w:rsidR="00C535F4" w:rsidRPr="0052047F">
        <w:t xml:space="preserve"> study also demonstrated that </w:t>
      </w:r>
      <w:r w:rsidR="00340164" w:rsidRPr="0052047F">
        <w:t xml:space="preserve">by 24 hours following </w:t>
      </w:r>
      <w:r w:rsidR="00E34D00" w:rsidRPr="0052047F">
        <w:t xml:space="preserve">the conclusion of an RMS episode, plasma IL-6 had </w:t>
      </w:r>
      <w:r w:rsidR="00C535F4" w:rsidRPr="0052047F">
        <w:t>decreased</w:t>
      </w:r>
      <w:r w:rsidR="00C33AE7" w:rsidRPr="0052047F">
        <w:t xml:space="preserve"> </w:t>
      </w:r>
      <w:r w:rsidR="00E34D00" w:rsidRPr="0052047F">
        <w:t>to below the level of unstressed animals</w:t>
      </w:r>
      <w:r w:rsidR="00C535F4" w:rsidRPr="0052047F">
        <w:t>.</w:t>
      </w:r>
      <w:r w:rsidR="003C17AF" w:rsidRPr="0052047F">
        <w:t xml:space="preserve"> </w:t>
      </w:r>
      <w:r w:rsidR="009F5194" w:rsidRPr="0052047F">
        <w:t xml:space="preserve">If IL-6 does indeed rapidly change from elevated to decreased within a 24-hour period following MS, these changes may be difficult to detect. Indeed, three studies found no effect of RMS on plasma IL-6, in animals sacrificed on the final day of RMS </w:t>
      </w:r>
      <w:r w:rsidR="00487F55" w:rsidRPr="0052047F">
        <w:t>(Moya-Pérez et al., 2017; Saavedra et al., 2017)</w:t>
      </w:r>
      <w:r w:rsidR="009F5194" w:rsidRPr="0052047F">
        <w:t xml:space="preserve"> or ten days later </w:t>
      </w:r>
      <w:r w:rsidR="00487F55" w:rsidRPr="0052047F">
        <w:t>(Barouei et al., 2015)</w:t>
      </w:r>
      <w:r w:rsidR="009F5194" w:rsidRPr="0052047F">
        <w:t>.</w:t>
      </w:r>
      <w:r w:rsidR="0037435B" w:rsidRPr="0052047F">
        <w:t xml:space="preserve"> </w:t>
      </w:r>
    </w:p>
    <w:p w14:paraId="4DCE4E29" w14:textId="734C8EF9" w:rsidR="00D8209B" w:rsidRPr="0052047F" w:rsidRDefault="00B859BC" w:rsidP="00811A04">
      <w:r w:rsidRPr="0052047F">
        <w:t xml:space="preserve">Findings regarding the effect of MS on IL-6 in tissues </w:t>
      </w:r>
      <w:r w:rsidR="00820495" w:rsidRPr="0052047F">
        <w:t xml:space="preserve">other than blood </w:t>
      </w:r>
      <w:r w:rsidRPr="0052047F">
        <w:t xml:space="preserve">generally seem to suggest that RMS but not SEMS increases IL-6 expression in a variety of tissues, at least for a short period </w:t>
      </w:r>
      <w:r w:rsidRPr="0052047F">
        <w:lastRenderedPageBreak/>
        <w:t>of time.</w:t>
      </w:r>
      <w:r w:rsidR="00E12F06" w:rsidRPr="0052047F">
        <w:t xml:space="preserve"> </w:t>
      </w:r>
      <w:r w:rsidR="000D54A2" w:rsidRPr="0052047F">
        <w:t xml:space="preserve">In the hypothalamus, among animals sacrificed immediately following an episode of MS, </w:t>
      </w:r>
      <w:r w:rsidR="00293BA5" w:rsidRPr="0052047F">
        <w:t xml:space="preserve">one study demonstrated </w:t>
      </w:r>
      <w:r w:rsidR="000D54A2" w:rsidRPr="0052047F">
        <w:t>that RMS animals had elevated hypothalamic IL-6 mRNA</w:t>
      </w:r>
      <w:r w:rsidR="00293BA5" w:rsidRPr="0052047F">
        <w:t xml:space="preserve"> compared to unstressed animals,</w:t>
      </w:r>
      <w:r w:rsidR="000D54A2" w:rsidRPr="0052047F">
        <w:t xml:space="preserve"> while SEMS animals did not </w:t>
      </w:r>
      <w:r w:rsidR="00487F55" w:rsidRPr="0052047F">
        <w:t>(Roque et al., 2016)</w:t>
      </w:r>
      <w:r w:rsidR="00293BA5" w:rsidRPr="0052047F">
        <w:t xml:space="preserve">. </w:t>
      </w:r>
      <w:r w:rsidR="002F485D" w:rsidRPr="0052047F">
        <w:t xml:space="preserve">Again, </w:t>
      </w:r>
      <w:r w:rsidR="00E91716" w:rsidRPr="0052047F">
        <w:t>hypothalamic IL-6 return</w:t>
      </w:r>
      <w:r w:rsidR="002F485D" w:rsidRPr="0052047F">
        <w:t>ed</w:t>
      </w:r>
      <w:r w:rsidR="00E91716" w:rsidRPr="0052047F">
        <w:t xml:space="preserve"> to </w:t>
      </w:r>
      <w:r w:rsidR="002F485D" w:rsidRPr="0052047F">
        <w:t xml:space="preserve">baseline within </w:t>
      </w:r>
      <w:r w:rsidR="00E91716" w:rsidRPr="0052047F">
        <w:t xml:space="preserve">24 hours following RMS </w:t>
      </w:r>
      <w:r w:rsidR="00487F55" w:rsidRPr="0052047F">
        <w:t>(Roque et al., 2016)</w:t>
      </w:r>
      <w:r w:rsidR="00E91716" w:rsidRPr="0052047F">
        <w:t xml:space="preserve">. </w:t>
      </w:r>
      <w:r w:rsidR="00663FC0" w:rsidRPr="0052047F">
        <w:t xml:space="preserve">Another study confirmed the lack of an effect of SEMS on hypothalamic IL-6, but also liver IL-6, even in animals sacrificed immediately following the episode </w:t>
      </w:r>
      <w:r w:rsidR="00487F55" w:rsidRPr="0052047F">
        <w:t>(Zajdel et al., 2019)</w:t>
      </w:r>
      <w:r w:rsidR="00663FC0" w:rsidRPr="0052047F">
        <w:t xml:space="preserve">. </w:t>
      </w:r>
      <w:r w:rsidR="00811A04" w:rsidRPr="0052047F">
        <w:t xml:space="preserve">RMS has also been reported to increase IL-6 in the PFC on the final day of RMS </w:t>
      </w:r>
      <w:r w:rsidR="00487F55" w:rsidRPr="0052047F">
        <w:t>(Giridharan et al., 2019)</w:t>
      </w:r>
      <w:r w:rsidR="00811A04" w:rsidRPr="0052047F">
        <w:t xml:space="preserve">, and in </w:t>
      </w:r>
      <w:r w:rsidR="00663FC0" w:rsidRPr="0052047F">
        <w:t xml:space="preserve">colon tissue </w:t>
      </w:r>
      <w:r w:rsidR="00811A04" w:rsidRPr="0052047F">
        <w:t xml:space="preserve">within three days after RMS </w:t>
      </w:r>
      <w:r w:rsidR="00487F55" w:rsidRPr="0052047F">
        <w:t>(Li et al., 2017; O'Malley et al., 2011)</w:t>
      </w:r>
      <w:r w:rsidRPr="0052047F">
        <w:t xml:space="preserve">. </w:t>
      </w:r>
      <w:r w:rsidR="00D8209B" w:rsidRPr="0052047F">
        <w:t xml:space="preserve">The only </w:t>
      </w:r>
      <w:r w:rsidR="00820495" w:rsidRPr="0052047F">
        <w:t xml:space="preserve">non-blood </w:t>
      </w:r>
      <w:r w:rsidR="00D8209B" w:rsidRPr="0052047F">
        <w:t>tissue in which IL-6 has been reported to be unaffected by RMS is the hippocampus</w:t>
      </w:r>
      <w:r w:rsidR="00663FC0" w:rsidRPr="0052047F">
        <w:t xml:space="preserve">, even in animals sacrificed immediately following the final episode </w:t>
      </w:r>
      <w:r w:rsidR="00487F55" w:rsidRPr="0052047F">
        <w:t>(Giridharan et al., 2019; Roque et al., 2016)</w:t>
      </w:r>
      <w:r w:rsidR="00663FC0" w:rsidRPr="0052047F">
        <w:t xml:space="preserve">. </w:t>
      </w:r>
    </w:p>
    <w:p w14:paraId="69EE1E46" w14:textId="77777777" w:rsidR="00663FC0" w:rsidRPr="0052047F" w:rsidRDefault="00663FC0" w:rsidP="00663FC0">
      <w:pPr>
        <w:pStyle w:val="H4"/>
      </w:pPr>
      <w:r w:rsidRPr="0052047F">
        <w:t>IL-10</w:t>
      </w:r>
    </w:p>
    <w:p w14:paraId="262E534F" w14:textId="1C92EAE0" w:rsidR="00663FC0" w:rsidRPr="0052047F" w:rsidRDefault="00663FC0" w:rsidP="00925C46">
      <w:r w:rsidRPr="0052047F">
        <w:t xml:space="preserve">Studies investigating the short-term effects of MS on IL-10 expression have generally found either an increase or no change in RMS animals. </w:t>
      </w:r>
      <w:r w:rsidR="001E7A68" w:rsidRPr="0052047F">
        <w:t>In animals</w:t>
      </w:r>
      <w:r w:rsidRPr="0052047F">
        <w:t xml:space="preserve"> sacrificed on </w:t>
      </w:r>
      <w:r w:rsidR="00485217" w:rsidRPr="0052047F">
        <w:t xml:space="preserve">the </w:t>
      </w:r>
      <w:r w:rsidR="001E7A68" w:rsidRPr="0052047F">
        <w:t>final day of RMS</w:t>
      </w:r>
      <w:r w:rsidRPr="0052047F">
        <w:t xml:space="preserve">, </w:t>
      </w:r>
      <w:r w:rsidR="001E7A68" w:rsidRPr="0052047F">
        <w:t xml:space="preserve">increases in IL-10 expression were found in PFC and small intestine but not in hippocampus or serum </w:t>
      </w:r>
      <w:r w:rsidR="00487F55" w:rsidRPr="0052047F">
        <w:t>(Giridharan et al., 2019; Moya-Pérez et al., 2017)</w:t>
      </w:r>
      <w:r w:rsidR="001E7A68" w:rsidRPr="0052047F">
        <w:t xml:space="preserve">. </w:t>
      </w:r>
      <w:r w:rsidRPr="0052047F">
        <w:t xml:space="preserve">A different study collected plasma from both males and females at 5, 15, and 35 days following RMS, and in almost all cases no effect on IL-10 was reported, with the exception </w:t>
      </w:r>
      <w:r w:rsidR="00485217" w:rsidRPr="0052047F">
        <w:t xml:space="preserve">of </w:t>
      </w:r>
      <w:r w:rsidRPr="0052047F">
        <w:t xml:space="preserve">an isolated finding in males at 15 days following RMS of increased IL-10 </w:t>
      </w:r>
      <w:r w:rsidR="00487F55" w:rsidRPr="0052047F">
        <w:t>(Grassi-Oliveira et al., 2016)</w:t>
      </w:r>
      <w:r w:rsidRPr="0052047F">
        <w:t xml:space="preserve">. </w:t>
      </w:r>
      <w:r w:rsidR="00A64EB9" w:rsidRPr="0052047F">
        <w:t xml:space="preserve">Finally, one </w:t>
      </w:r>
      <w:r w:rsidRPr="0052047F">
        <w:t>study found a decrease in IL-10 in RMS animals</w:t>
      </w:r>
      <w:r w:rsidR="00A64EB9" w:rsidRPr="0052047F">
        <w:t xml:space="preserve"> </w:t>
      </w:r>
      <w:r w:rsidRPr="0052047F">
        <w:t xml:space="preserve">in </w:t>
      </w:r>
      <w:r w:rsidR="00A64EB9" w:rsidRPr="0052047F">
        <w:t xml:space="preserve">whole brain homogenates </w:t>
      </w:r>
      <w:r w:rsidR="00487F55" w:rsidRPr="0052047F">
        <w:t>(Dimatelis et al., 2012)</w:t>
      </w:r>
      <w:r w:rsidRPr="0052047F">
        <w:t xml:space="preserve">. </w:t>
      </w:r>
    </w:p>
    <w:p w14:paraId="2081E6F1" w14:textId="77777777" w:rsidR="00663FC0" w:rsidRPr="0052047F" w:rsidRDefault="00663FC0" w:rsidP="00663FC0">
      <w:pPr>
        <w:pStyle w:val="H4"/>
      </w:pPr>
      <w:r w:rsidRPr="0052047F">
        <w:t>Microglial activation and density</w:t>
      </w:r>
    </w:p>
    <w:p w14:paraId="742D684F" w14:textId="6B0EB571" w:rsidR="00DE79AE" w:rsidRPr="0052047F" w:rsidRDefault="00811A04" w:rsidP="00251C9C">
      <w:r w:rsidRPr="0052047F">
        <w:lastRenderedPageBreak/>
        <w:t>Included studies consistently report</w:t>
      </w:r>
      <w:r w:rsidR="00663FC0" w:rsidRPr="0052047F">
        <w:t xml:space="preserve"> that RMS leads to microglial activation. Three studies measured microglial activation within the three days after the conclusion of RMS, and all three demonstrated increased microglial activation on morphological analysis, regardless of whether they used a binary classification system </w:t>
      </w:r>
      <w:r w:rsidR="00487F55" w:rsidRPr="0052047F">
        <w:t>(Roque et al., 2016; Saavedra et al., 2017)</w:t>
      </w:r>
      <w:r w:rsidR="00663FC0" w:rsidRPr="0052047F">
        <w:t xml:space="preserve">, or directly assessed soma area and arborization area </w:t>
      </w:r>
      <w:r w:rsidR="00487F55" w:rsidRPr="0052047F">
        <w:t>(Baldy et al., 2018)</w:t>
      </w:r>
      <w:r w:rsidR="00663FC0" w:rsidRPr="0052047F">
        <w:t xml:space="preserve">. This finding was consistent across both CNS regions examined: in the hippocampus, specifically the hilus </w:t>
      </w:r>
      <w:r w:rsidR="00487F55" w:rsidRPr="0052047F">
        <w:t>(Roque et al., 2016; Saavedra et al., 2017)</w:t>
      </w:r>
      <w:r w:rsidR="00663FC0" w:rsidRPr="0052047F">
        <w:t xml:space="preserve"> and CA3 </w:t>
      </w:r>
      <w:r w:rsidR="00487F55" w:rsidRPr="0052047F">
        <w:t>(Saavedra et al., 2017)</w:t>
      </w:r>
      <w:r w:rsidR="00663FC0" w:rsidRPr="0052047F">
        <w:t xml:space="preserve">, and in the medulla </w:t>
      </w:r>
      <w:r w:rsidR="00487F55" w:rsidRPr="0052047F">
        <w:t>(Baldy et al., 2018)</w:t>
      </w:r>
      <w:r w:rsidR="00663FC0" w:rsidRPr="0052047F">
        <w:t xml:space="preserve">. </w:t>
      </w:r>
      <w:r w:rsidR="00251C9C" w:rsidRPr="0052047F">
        <w:t xml:space="preserve">With respect to microglia density, there </w:t>
      </w:r>
      <w:r w:rsidRPr="0052047F">
        <w:t xml:space="preserve">is no consensus regarding the short-term effects of RMS. </w:t>
      </w:r>
      <w:r w:rsidR="00DE79AE" w:rsidRPr="0052047F">
        <w:t xml:space="preserve">Some studies report decreased microglia density, including in CA3 and the hippocampal hilus </w:t>
      </w:r>
      <w:r w:rsidR="00487F55" w:rsidRPr="0052047F">
        <w:t>(Saavedra et al., 2017)</w:t>
      </w:r>
      <w:r w:rsidR="00DE79AE" w:rsidRPr="0052047F">
        <w:t xml:space="preserve"> and the </w:t>
      </w:r>
      <w:r w:rsidR="00EB7C75" w:rsidRPr="0052047F">
        <w:t>prelimbic PFC</w:t>
      </w:r>
      <w:r w:rsidR="00DE79AE" w:rsidRPr="0052047F">
        <w:t xml:space="preserve"> </w:t>
      </w:r>
      <w:r w:rsidR="00487F55" w:rsidRPr="0052047F">
        <w:t>(Majcher-Maślanka et al., 2019)</w:t>
      </w:r>
      <w:r w:rsidR="00DE79AE" w:rsidRPr="0052047F">
        <w:t xml:space="preserve">, while others reported no effect in the hippocampal hilus </w:t>
      </w:r>
      <w:r w:rsidR="00487F55" w:rsidRPr="0052047F">
        <w:t>(Roque et al., 2016)</w:t>
      </w:r>
      <w:r w:rsidR="00DE79AE" w:rsidRPr="0052047F">
        <w:t xml:space="preserve">, and increased microglia density in the medulla </w:t>
      </w:r>
      <w:r w:rsidR="00487F55" w:rsidRPr="0052047F">
        <w:t>(Baldy et al., 2018)</w:t>
      </w:r>
      <w:r w:rsidR="00DE79AE" w:rsidRPr="0052047F">
        <w:t xml:space="preserve">. </w:t>
      </w:r>
    </w:p>
    <w:p w14:paraId="4B1008D5" w14:textId="08E39BB8" w:rsidR="0080699B" w:rsidRPr="0052047F" w:rsidRDefault="0080699B" w:rsidP="00931D07">
      <w:pPr>
        <w:pStyle w:val="H3"/>
      </w:pPr>
      <w:r w:rsidRPr="0052047F">
        <w:t xml:space="preserve">Long-term effects </w:t>
      </w:r>
      <w:r w:rsidR="00BA2B19" w:rsidRPr="0052047F">
        <w:t xml:space="preserve">of RMS </w:t>
      </w:r>
      <w:r w:rsidRPr="0052047F">
        <w:t xml:space="preserve">in </w:t>
      </w:r>
      <w:r w:rsidR="00631F19" w:rsidRPr="0052047F">
        <w:t xml:space="preserve">the </w:t>
      </w:r>
      <w:r w:rsidRPr="0052047F">
        <w:t>absence of later-life stress</w:t>
      </w:r>
    </w:p>
    <w:p w14:paraId="2B35D3EE" w14:textId="628E29B4" w:rsidR="0080699B" w:rsidRPr="0052047F" w:rsidRDefault="00BA2B19" w:rsidP="00925C46">
      <w:r w:rsidRPr="0052047F">
        <w:t xml:space="preserve">The majority of studies </w:t>
      </w:r>
      <w:r w:rsidR="0023599B" w:rsidRPr="0052047F">
        <w:t xml:space="preserve">have found no long term effect of RMS on </w:t>
      </w:r>
      <w:r w:rsidR="00EA06B9" w:rsidRPr="0052047F">
        <w:t xml:space="preserve">IL-1β </w:t>
      </w:r>
      <w:r w:rsidR="0023599B" w:rsidRPr="0052047F">
        <w:t>expression</w:t>
      </w:r>
      <w:r w:rsidR="005502BE" w:rsidRPr="0052047F">
        <w:t>,</w:t>
      </w:r>
      <w:r w:rsidR="0023599B" w:rsidRPr="0052047F">
        <w:t xml:space="preserve"> in plasma</w:t>
      </w:r>
      <w:r w:rsidR="00045B22" w:rsidRPr="0052047F">
        <w:t xml:space="preserve"> </w:t>
      </w:r>
      <w:r w:rsidR="00487F55" w:rsidRPr="0052047F">
        <w:t>(Kruschinski et al., 2008)</w:t>
      </w:r>
      <w:r w:rsidR="00045B22" w:rsidRPr="0052047F">
        <w:t xml:space="preserve">, </w:t>
      </w:r>
      <w:r w:rsidR="0080699B" w:rsidRPr="0052047F">
        <w:t xml:space="preserve">lung </w:t>
      </w:r>
      <w:r w:rsidR="00487F55" w:rsidRPr="0052047F">
        <w:t>(Avitsur et al., 2006; Kruschinski et al., 2008)</w:t>
      </w:r>
      <w:r w:rsidR="0080699B" w:rsidRPr="0052047F">
        <w:t xml:space="preserve">, colon </w:t>
      </w:r>
      <w:r w:rsidR="00487F55" w:rsidRPr="0052047F">
        <w:t>(Lennon et al., 2013)</w:t>
      </w:r>
      <w:r w:rsidR="0080699B" w:rsidRPr="0052047F">
        <w:t xml:space="preserve">, spinal cord </w:t>
      </w:r>
      <w:r w:rsidR="00487F55" w:rsidRPr="0052047F">
        <w:t>(Genty et al., 2018)</w:t>
      </w:r>
      <w:r w:rsidR="0080699B" w:rsidRPr="0052047F">
        <w:t xml:space="preserve">, </w:t>
      </w:r>
      <w:r w:rsidRPr="0052047F">
        <w:t xml:space="preserve">or </w:t>
      </w:r>
      <w:r w:rsidR="0080699B" w:rsidRPr="0052047F">
        <w:t xml:space="preserve">hippocampus </w:t>
      </w:r>
      <w:r w:rsidR="00487F55" w:rsidRPr="0052047F">
        <w:t>(Zhu et al., 2017)</w:t>
      </w:r>
      <w:r w:rsidR="0080699B" w:rsidRPr="0052047F">
        <w:t>.</w:t>
      </w:r>
      <w:r w:rsidR="00045B22" w:rsidRPr="0052047F">
        <w:t xml:space="preserve"> </w:t>
      </w:r>
      <w:r w:rsidR="000B36DF" w:rsidRPr="0052047F">
        <w:t xml:space="preserve">Only </w:t>
      </w:r>
      <w:r w:rsidR="00EF4761" w:rsidRPr="0052047F">
        <w:t xml:space="preserve">Barreau et al. </w:t>
      </w:r>
      <w:r w:rsidR="00487F55" w:rsidRPr="0052047F">
        <w:t>(2004)</w:t>
      </w:r>
      <w:r w:rsidR="00EF4761" w:rsidRPr="0052047F">
        <w:t xml:space="preserve"> </w:t>
      </w:r>
      <w:r w:rsidR="000B36DF" w:rsidRPr="0052047F">
        <w:t xml:space="preserve">reported </w:t>
      </w:r>
      <w:r w:rsidR="0080699B" w:rsidRPr="0052047F">
        <w:t xml:space="preserve">increased IL-1β in </w:t>
      </w:r>
      <w:r w:rsidR="000B36DF" w:rsidRPr="0052047F">
        <w:t xml:space="preserve">adult </w:t>
      </w:r>
      <w:r w:rsidR="0080699B" w:rsidRPr="0052047F">
        <w:t>RMS animals</w:t>
      </w:r>
      <w:r w:rsidR="00EF4761" w:rsidRPr="0052047F">
        <w:t xml:space="preserve"> not subjected to further stress,</w:t>
      </w:r>
      <w:r w:rsidR="0080699B" w:rsidRPr="0052047F">
        <w:t xml:space="preserve"> in the colon, liver, and spleen</w:t>
      </w:r>
      <w:r w:rsidR="005A5825" w:rsidRPr="0052047F">
        <w:t xml:space="preserve">. </w:t>
      </w:r>
    </w:p>
    <w:p w14:paraId="1909E1C4" w14:textId="719B22ED" w:rsidR="00714F6B" w:rsidRPr="0052047F" w:rsidRDefault="00090C20" w:rsidP="00925C46">
      <w:r w:rsidRPr="0052047F">
        <w:t xml:space="preserve">In the absence of later-life stress, </w:t>
      </w:r>
      <w:r w:rsidR="00E0603A" w:rsidRPr="0052047F">
        <w:t xml:space="preserve">RMS does not have significant effects on </w:t>
      </w:r>
      <w:r w:rsidR="005E7007" w:rsidRPr="0052047F">
        <w:t xml:space="preserve">TNF-α </w:t>
      </w:r>
      <w:r w:rsidRPr="0052047F">
        <w:t xml:space="preserve">expression </w:t>
      </w:r>
      <w:r w:rsidR="00E0603A" w:rsidRPr="0052047F">
        <w:t xml:space="preserve">in a range of regions and tissues, including </w:t>
      </w:r>
      <w:r w:rsidRPr="0052047F">
        <w:t xml:space="preserve">hippocampus </w:t>
      </w:r>
      <w:r w:rsidR="00487F55" w:rsidRPr="0052047F">
        <w:t>(Banqueri et al., 2019; Zhu et al., 2017)</w:t>
      </w:r>
      <w:r w:rsidRPr="0052047F">
        <w:t xml:space="preserve">, dorsal striatum </w:t>
      </w:r>
      <w:r w:rsidR="00487F55" w:rsidRPr="0052047F">
        <w:t>(Banqueri et al., 2019)</w:t>
      </w:r>
      <w:r w:rsidRPr="0052047F">
        <w:t xml:space="preserve">, PFC </w:t>
      </w:r>
      <w:r w:rsidR="00487F55" w:rsidRPr="0052047F">
        <w:t>(Banqueri et al., 2019)</w:t>
      </w:r>
      <w:r w:rsidRPr="0052047F">
        <w:t xml:space="preserve">, lung </w:t>
      </w:r>
      <w:r w:rsidR="00487F55" w:rsidRPr="0052047F">
        <w:t>(Avitsur et al., 2006)</w:t>
      </w:r>
      <w:r w:rsidRPr="0052047F">
        <w:t xml:space="preserve">, colon </w:t>
      </w:r>
      <w:r w:rsidR="00487F55" w:rsidRPr="0052047F">
        <w:t>(Lennon et al., 2013; Pierce et al., 2014)</w:t>
      </w:r>
      <w:r w:rsidRPr="0052047F">
        <w:t>,</w:t>
      </w:r>
      <w:r w:rsidR="00A977A6" w:rsidRPr="0052047F">
        <w:t xml:space="preserve"> genitourinary tract </w:t>
      </w:r>
      <w:r w:rsidR="00487F55" w:rsidRPr="0052047F">
        <w:t>(Pierce et al., 2014)</w:t>
      </w:r>
      <w:r w:rsidR="00A977A6" w:rsidRPr="0052047F">
        <w:t>,</w:t>
      </w:r>
      <w:r w:rsidRPr="0052047F">
        <w:t xml:space="preserve"> splenocytes </w:t>
      </w:r>
      <w:r w:rsidR="00487F55" w:rsidRPr="0052047F">
        <w:lastRenderedPageBreak/>
        <w:t>(Kiank et al., 2009)</w:t>
      </w:r>
      <w:r w:rsidR="00C95F2C" w:rsidRPr="0052047F">
        <w:t>,</w:t>
      </w:r>
      <w:r w:rsidR="00263D84" w:rsidRPr="0052047F">
        <w:t xml:space="preserve"> </w:t>
      </w:r>
      <w:r w:rsidR="00C95F2C" w:rsidRPr="0052047F">
        <w:t xml:space="preserve">or plasma </w:t>
      </w:r>
      <w:r w:rsidR="00487F55" w:rsidRPr="0052047F">
        <w:t>(Barouei et al., 2015; Grassi-Oliveira et al., 2016)</w:t>
      </w:r>
      <w:r w:rsidR="00C95F2C" w:rsidRPr="0052047F">
        <w:t>.</w:t>
      </w:r>
      <w:r w:rsidRPr="0052047F">
        <w:t xml:space="preserve"> </w:t>
      </w:r>
      <w:r w:rsidR="00714F6B" w:rsidRPr="0052047F">
        <w:t xml:space="preserve">However, Riba and colleagues </w:t>
      </w:r>
      <w:r w:rsidR="00487F55" w:rsidRPr="0052047F">
        <w:t>(2017; 2018)</w:t>
      </w:r>
      <w:r w:rsidR="00714F6B" w:rsidRPr="0052047F">
        <w:t xml:space="preserve"> reported elevated levels of TNF-α in the small intestine of RMS animals sacrificed at PND 50. The reason</w:t>
      </w:r>
      <w:r w:rsidR="000C5FDF" w:rsidRPr="0052047F">
        <w:t>s</w:t>
      </w:r>
      <w:r w:rsidR="00714F6B" w:rsidRPr="0052047F">
        <w:t xml:space="preserve"> for this discrepancy </w:t>
      </w:r>
      <w:r w:rsidR="000C5FDF" w:rsidRPr="0052047F">
        <w:t xml:space="preserve">are </w:t>
      </w:r>
      <w:r w:rsidR="00714F6B" w:rsidRPr="0052047F">
        <w:t xml:space="preserve">unclear but </w:t>
      </w:r>
      <w:r w:rsidR="000C5FDF" w:rsidRPr="0052047F">
        <w:t xml:space="preserve">may include use of </w:t>
      </w:r>
      <w:r w:rsidR="00714F6B" w:rsidRPr="0052047F">
        <w:t>pair</w:t>
      </w:r>
      <w:r w:rsidR="000C5FDF" w:rsidRPr="0052047F">
        <w:t xml:space="preserve"> housing and sacrifice </w:t>
      </w:r>
      <w:r w:rsidR="00714F6B" w:rsidRPr="0052047F">
        <w:t xml:space="preserve">closer to the conclusion of RMS than most other included studies of long-term effects. The reduced opportunity for social play may have </w:t>
      </w:r>
      <w:r w:rsidR="000C5FDF" w:rsidRPr="0052047F">
        <w:t>slowed</w:t>
      </w:r>
      <w:r w:rsidR="00714F6B" w:rsidRPr="0052047F">
        <w:t xml:space="preserve"> the </w:t>
      </w:r>
      <w:r w:rsidR="000C5FDF" w:rsidRPr="0052047F">
        <w:t>normalization of the stress response and consequent</w:t>
      </w:r>
      <w:r w:rsidR="00714F6B" w:rsidRPr="0052047F">
        <w:t xml:space="preserve"> immune </w:t>
      </w:r>
      <w:r w:rsidR="000C5FDF" w:rsidRPr="0052047F">
        <w:t xml:space="preserve">effects </w:t>
      </w:r>
      <w:r w:rsidR="00714F6B" w:rsidRPr="0052047F">
        <w:t>in these animals</w:t>
      </w:r>
      <w:r w:rsidR="000C5FDF" w:rsidRPr="0052047F">
        <w:t xml:space="preserve"> such that it did not occur by the relatively early time of sacrifice</w:t>
      </w:r>
      <w:r w:rsidR="00714F6B" w:rsidRPr="0052047F">
        <w:t xml:space="preserve"> </w:t>
      </w:r>
      <w:r w:rsidR="00487F55" w:rsidRPr="0052047F">
        <w:t>(Brenes Sáenz et al., 2006; Hui et al., 2011; Odeon and Acosta, 2019; Veena et al., 2009)</w:t>
      </w:r>
      <w:r w:rsidR="00714F6B" w:rsidRPr="0052047F">
        <w:t>.</w:t>
      </w:r>
    </w:p>
    <w:p w14:paraId="2FE30C25" w14:textId="7B920492" w:rsidR="00235A7D" w:rsidRPr="0052047F" w:rsidRDefault="00090C20" w:rsidP="00925C46">
      <w:r w:rsidRPr="0052047F">
        <w:t xml:space="preserve">In general, </w:t>
      </w:r>
      <w:r w:rsidR="001A397F" w:rsidRPr="0052047F">
        <w:t xml:space="preserve">RMS has no lasting impact on </w:t>
      </w:r>
      <w:r w:rsidRPr="0052047F">
        <w:t xml:space="preserve">IL-6 in </w:t>
      </w:r>
      <w:r w:rsidR="001A397F" w:rsidRPr="0052047F">
        <w:t>a variety of brain regions and tissues, including</w:t>
      </w:r>
      <w:r w:rsidRPr="0052047F">
        <w:t xml:space="preserve"> </w:t>
      </w:r>
      <w:r w:rsidR="001A397F" w:rsidRPr="0052047F">
        <w:t xml:space="preserve">the </w:t>
      </w:r>
      <w:r w:rsidRPr="0052047F">
        <w:t xml:space="preserve">hippocampus </w:t>
      </w:r>
      <w:r w:rsidR="00487F55" w:rsidRPr="0052047F">
        <w:t>(Zhu et al., 2017)</w:t>
      </w:r>
      <w:r w:rsidRPr="0052047F">
        <w:t xml:space="preserve">, dorsal striatum </w:t>
      </w:r>
      <w:r w:rsidR="00487F55" w:rsidRPr="0052047F">
        <w:t>(Banqueri et al., 2019)</w:t>
      </w:r>
      <w:r w:rsidRPr="0052047F">
        <w:t xml:space="preserve">, PFC </w:t>
      </w:r>
      <w:r w:rsidR="00487F55" w:rsidRPr="0052047F">
        <w:t>(Banqueri et al., 2019)</w:t>
      </w:r>
      <w:r w:rsidRPr="0052047F">
        <w:t xml:space="preserve">, plasma </w:t>
      </w:r>
      <w:r w:rsidR="00487F55" w:rsidRPr="0052047F">
        <w:t>(Barouei et al., 2015)</w:t>
      </w:r>
      <w:r w:rsidRPr="0052047F">
        <w:t xml:space="preserve">, spinal cord </w:t>
      </w:r>
      <w:r w:rsidR="00487F55" w:rsidRPr="0052047F">
        <w:t>(Genty et al., 2018)</w:t>
      </w:r>
      <w:r w:rsidRPr="0052047F">
        <w:t>,</w:t>
      </w:r>
      <w:r w:rsidR="00DA5625" w:rsidRPr="0052047F">
        <w:t xml:space="preserve"> colon </w:t>
      </w:r>
      <w:r w:rsidR="00487F55" w:rsidRPr="0052047F">
        <w:t>(Fuentes et al., 2016; Pierce et al., 2014)</w:t>
      </w:r>
      <w:r w:rsidR="00DA5625" w:rsidRPr="0052047F">
        <w:t xml:space="preserve">, genitourinary tract </w:t>
      </w:r>
      <w:r w:rsidR="00487F55" w:rsidRPr="0052047F">
        <w:t>(Pierce et al., 2014)</w:t>
      </w:r>
      <w:r w:rsidR="00DA5625" w:rsidRPr="0052047F">
        <w:t xml:space="preserve">, </w:t>
      </w:r>
      <w:r w:rsidRPr="0052047F">
        <w:t xml:space="preserve">and lung </w:t>
      </w:r>
      <w:r w:rsidR="00487F55" w:rsidRPr="0052047F">
        <w:t>(Avitsur et al., 2006)</w:t>
      </w:r>
      <w:r w:rsidRPr="0052047F">
        <w:t xml:space="preserve">. </w:t>
      </w:r>
      <w:r w:rsidR="001A397F" w:rsidRPr="0052047F">
        <w:t xml:space="preserve">Nevertheless, </w:t>
      </w:r>
      <w:r w:rsidRPr="0052047F">
        <w:t xml:space="preserve">increased IL-6 mRNA </w:t>
      </w:r>
      <w:r w:rsidR="001A397F" w:rsidRPr="0052047F">
        <w:t>has been</w:t>
      </w:r>
      <w:r w:rsidR="001550FD" w:rsidRPr="0052047F">
        <w:t xml:space="preserve"> reported</w:t>
      </w:r>
      <w:r w:rsidR="001A397F" w:rsidRPr="0052047F">
        <w:t xml:space="preserve"> </w:t>
      </w:r>
      <w:r w:rsidRPr="0052047F">
        <w:t xml:space="preserve">in the hippocampus </w:t>
      </w:r>
      <w:r w:rsidR="00487F55" w:rsidRPr="0052047F">
        <w:t>(Banqueri et al., 2019)</w:t>
      </w:r>
      <w:r w:rsidRPr="0052047F">
        <w:t xml:space="preserve"> and colon </w:t>
      </w:r>
      <w:r w:rsidR="00487F55" w:rsidRPr="0052047F">
        <w:t>(Lennon et al., 2013)</w:t>
      </w:r>
      <w:r w:rsidR="00043F22" w:rsidRPr="0052047F">
        <w:t>.</w:t>
      </w:r>
    </w:p>
    <w:p w14:paraId="75265824" w14:textId="672DDDF1" w:rsidR="00945EC6" w:rsidRPr="0052047F" w:rsidRDefault="001A397F" w:rsidP="00925C46">
      <w:r w:rsidRPr="0052047F">
        <w:t>In a similar vein, RMS alone appears to have</w:t>
      </w:r>
      <w:r w:rsidR="001550FD" w:rsidRPr="0052047F">
        <w:t xml:space="preserve"> no</w:t>
      </w:r>
      <w:r w:rsidRPr="0052047F">
        <w:t xml:space="preserve"> lasting effects on </w:t>
      </w:r>
      <w:r w:rsidR="00090C20" w:rsidRPr="0052047F">
        <w:t xml:space="preserve">IL-10 expression in plasma </w:t>
      </w:r>
      <w:r w:rsidR="00090C20" w:rsidRPr="0052047F">
        <w:fldChar w:fldCharType="begin"/>
      </w:r>
      <w:r w:rsidR="007F1F40" w:rsidRPr="0052047F">
        <w:instrText>ADDIN CitaviPlaceholder{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}</w:instrText>
      </w:r>
      <w:r w:rsidR="00090C20" w:rsidRPr="0052047F">
        <w:fldChar w:fldCharType="separate"/>
      </w:r>
      <w:r w:rsidR="00351283" w:rsidRPr="0052047F">
        <w:t>(Grassi-Oliveira et al., 2016)</w:t>
      </w:r>
      <w:r w:rsidR="00090C20" w:rsidRPr="0052047F">
        <w:fldChar w:fldCharType="end"/>
      </w:r>
      <w:r w:rsidR="00090C20" w:rsidRPr="0052047F">
        <w:t>, splenocyte culture with</w:t>
      </w:r>
      <w:r w:rsidR="00CA3C42" w:rsidRPr="0052047F">
        <w:t xml:space="preserve"> lipopolysaccharide (</w:t>
      </w:r>
      <w:r w:rsidR="00090C20" w:rsidRPr="0052047F">
        <w:t>LPS</w:t>
      </w:r>
      <w:r w:rsidR="00CA3C42" w:rsidRPr="0052047F">
        <w:t>)</w:t>
      </w:r>
      <w:r w:rsidR="00090C20" w:rsidRPr="0052047F">
        <w:t xml:space="preserve"> </w:t>
      </w:r>
      <w:r w:rsidR="00487F55" w:rsidRPr="0052047F">
        <w:t>(Kiank et al., 2009)</w:t>
      </w:r>
      <w:r w:rsidR="00090C20" w:rsidRPr="0052047F">
        <w:t>, colon</w:t>
      </w:r>
      <w:r w:rsidRPr="0052047F">
        <w:t>,</w:t>
      </w:r>
      <w:r w:rsidR="00090C20" w:rsidRPr="0052047F">
        <w:t xml:space="preserve"> and genitourinary tract </w:t>
      </w:r>
      <w:r w:rsidR="00487F55" w:rsidRPr="0052047F">
        <w:t>(Pierce et al., 2014; Pierce et al., 2016)</w:t>
      </w:r>
      <w:r w:rsidR="00090C20" w:rsidRPr="0052047F">
        <w:t>.</w:t>
      </w:r>
      <w:r w:rsidR="0062616B" w:rsidRPr="0052047F">
        <w:t xml:space="preserve"> </w:t>
      </w:r>
      <w:r w:rsidR="00EF4761" w:rsidRPr="0052047F">
        <w:t xml:space="preserve">As with IL-1β, </w:t>
      </w:r>
      <w:r w:rsidR="0062616B" w:rsidRPr="0052047F">
        <w:t xml:space="preserve">Barreau et al. </w:t>
      </w:r>
      <w:r w:rsidR="00487F55" w:rsidRPr="0052047F">
        <w:t>(2004)</w:t>
      </w:r>
      <w:r w:rsidR="00EF4761" w:rsidRPr="0052047F">
        <w:t xml:space="preserve"> alone </w:t>
      </w:r>
      <w:r w:rsidR="0062616B" w:rsidRPr="0052047F">
        <w:t>reported increased IL-10</w:t>
      </w:r>
      <w:r w:rsidR="00EB7C75" w:rsidRPr="0052047F">
        <w:t>,</w:t>
      </w:r>
      <w:r w:rsidR="0062616B" w:rsidRPr="0052047F">
        <w:t xml:space="preserve"> in the colon, liver, and spleen.</w:t>
      </w:r>
    </w:p>
    <w:p w14:paraId="6B29A715" w14:textId="651DC2B5" w:rsidR="00363462" w:rsidRPr="0052047F" w:rsidRDefault="00194F92" w:rsidP="00925C46">
      <w:r w:rsidRPr="0052047F">
        <w:t>To date o</w:t>
      </w:r>
      <w:r w:rsidR="00363462" w:rsidRPr="0052047F">
        <w:t xml:space="preserve">nly one study </w:t>
      </w:r>
      <w:r w:rsidRPr="0052047F">
        <w:t xml:space="preserve">has looked at </w:t>
      </w:r>
      <w:r w:rsidR="00363462" w:rsidRPr="0052047F">
        <w:t>microglial activation in adult animals not subjected to further stress</w:t>
      </w:r>
      <w:r w:rsidRPr="0052047F">
        <w:t xml:space="preserve"> </w:t>
      </w:r>
      <w:r w:rsidR="00487F55" w:rsidRPr="0052047F">
        <w:t>(Ganguly et al., 2018)</w:t>
      </w:r>
      <w:r w:rsidRPr="0052047F">
        <w:t>. Here</w:t>
      </w:r>
      <w:r w:rsidR="0037208D" w:rsidRPr="0052047F">
        <w:t>,</w:t>
      </w:r>
      <w:r w:rsidRPr="0052047F">
        <w:t xml:space="preserve"> no effects were found in relation to </w:t>
      </w:r>
      <w:r w:rsidR="00363462" w:rsidRPr="0052047F">
        <w:t>microglial soma area, summed microglial process length, or microglial process end-point count</w:t>
      </w:r>
      <w:r w:rsidR="00C63B62" w:rsidRPr="0052047F">
        <w:t xml:space="preserve"> in the </w:t>
      </w:r>
      <w:r w:rsidR="00EB7C75" w:rsidRPr="0052047F">
        <w:t>prelimbic PFC</w:t>
      </w:r>
      <w:r w:rsidR="00363462" w:rsidRPr="0052047F">
        <w:t xml:space="preserve"> </w:t>
      </w:r>
      <w:r w:rsidR="00487F55" w:rsidRPr="0052047F">
        <w:t>(Ganguly et al., 2018)</w:t>
      </w:r>
      <w:r w:rsidR="00363462" w:rsidRPr="0052047F">
        <w:t>.</w:t>
      </w:r>
      <w:r w:rsidR="00B671F3" w:rsidRPr="0052047F">
        <w:t xml:space="preserve"> </w:t>
      </w:r>
      <w:r w:rsidRPr="0052047F">
        <w:t xml:space="preserve">In terms of microglial density, </w:t>
      </w:r>
      <w:r w:rsidR="00D33464" w:rsidRPr="0052047F">
        <w:t>while one study reported</w:t>
      </w:r>
      <w:r w:rsidR="00363462" w:rsidRPr="0052047F">
        <w:t xml:space="preserve"> </w:t>
      </w:r>
      <w:r w:rsidR="00D33464" w:rsidRPr="0052047F">
        <w:t xml:space="preserve">an increase </w:t>
      </w:r>
      <w:r w:rsidR="00363462" w:rsidRPr="0052047F">
        <w:t xml:space="preserve">in CA3, </w:t>
      </w:r>
      <w:r w:rsidR="00363462" w:rsidRPr="0052047F">
        <w:lastRenderedPageBreak/>
        <w:t xml:space="preserve">dorsal striatum, and nucleus accumbens </w:t>
      </w:r>
      <w:r w:rsidR="00487F55" w:rsidRPr="0052047F">
        <w:t>(Banqueri et al., 2019)</w:t>
      </w:r>
      <w:r w:rsidR="0065402F" w:rsidRPr="0052047F">
        <w:t xml:space="preserve">, another found no effect in the </w:t>
      </w:r>
      <w:r w:rsidR="00EB7C75" w:rsidRPr="0052047F">
        <w:t>prelimbic PFC</w:t>
      </w:r>
      <w:r w:rsidR="0065402F" w:rsidRPr="0052047F">
        <w:t xml:space="preserve"> </w:t>
      </w:r>
      <w:r w:rsidR="00487F55" w:rsidRPr="0052047F">
        <w:t>(Ganguly et al., 2018)</w:t>
      </w:r>
      <w:r w:rsidR="0065402F" w:rsidRPr="0052047F">
        <w:t>.</w:t>
      </w:r>
    </w:p>
    <w:p w14:paraId="48A7A66E" w14:textId="369CAD36" w:rsidR="00235A7D" w:rsidRPr="0052047F" w:rsidRDefault="00090C20" w:rsidP="00931D07">
      <w:pPr>
        <w:pStyle w:val="H3"/>
      </w:pPr>
      <w:r w:rsidRPr="0052047F">
        <w:t xml:space="preserve">Long-term </w:t>
      </w:r>
      <w:r w:rsidR="00A87227" w:rsidRPr="0052047F">
        <w:t xml:space="preserve">effects </w:t>
      </w:r>
      <w:r w:rsidR="00BA2B19" w:rsidRPr="0052047F">
        <w:t xml:space="preserve">of RMS </w:t>
      </w:r>
      <w:r w:rsidR="007C1F43" w:rsidRPr="0052047F">
        <w:t>in</w:t>
      </w:r>
      <w:r w:rsidR="00631F19" w:rsidRPr="0052047F">
        <w:t xml:space="preserve"> the</w:t>
      </w:r>
      <w:r w:rsidR="007C1F43" w:rsidRPr="0052047F">
        <w:t xml:space="preserve"> presence</w:t>
      </w:r>
      <w:r w:rsidR="00A87227" w:rsidRPr="0052047F">
        <w:t xml:space="preserve"> of later-life stress</w:t>
      </w:r>
    </w:p>
    <w:p w14:paraId="2AB0D9D7" w14:textId="3D67E023" w:rsidR="004B1573" w:rsidRPr="0052047F" w:rsidRDefault="00C9660A" w:rsidP="00010F91">
      <w:r w:rsidRPr="0052047F">
        <w:t xml:space="preserve">Studies measuring the effects of RMS on IL-1β expression in animals subjected to further stress </w:t>
      </w:r>
      <w:r w:rsidR="0025040A" w:rsidRPr="0052047F">
        <w:t>commonly</w:t>
      </w:r>
      <w:r w:rsidRPr="0052047F">
        <w:t xml:space="preserve"> report increased IL-1β expression in RMS </w:t>
      </w:r>
      <w:r w:rsidR="00D64827" w:rsidRPr="0052047F">
        <w:t>animals, including in</w:t>
      </w:r>
      <w:r w:rsidRPr="0052047F">
        <w:t xml:space="preserve"> the hippocampus </w:t>
      </w:r>
      <w:r w:rsidR="00487F55" w:rsidRPr="0052047F">
        <w:t>(Amini-Khoei et al., 2017; Amini-Khoei et al., 2019; Wang et al., 2017; Zhu et al., 2017)</w:t>
      </w:r>
      <w:r w:rsidRPr="0052047F">
        <w:t xml:space="preserve">, PFC </w:t>
      </w:r>
      <w:r w:rsidR="00487F55" w:rsidRPr="0052047F">
        <w:t>(Wang et al., 2017)</w:t>
      </w:r>
      <w:r w:rsidRPr="0052047F">
        <w:t xml:space="preserve">, paraventricular nucleus (PVN) </w:t>
      </w:r>
      <w:r w:rsidR="00487F55" w:rsidRPr="0052047F">
        <w:t>(Tang et al., 2017)</w:t>
      </w:r>
      <w:r w:rsidRPr="0052047F">
        <w:t xml:space="preserve">, striatum </w:t>
      </w:r>
      <w:r w:rsidR="00487F55" w:rsidRPr="0052047F">
        <w:t>(Dallé et al., 2017)</w:t>
      </w:r>
      <w:r w:rsidRPr="0052047F">
        <w:t xml:space="preserve">, cerebrospinal fluid </w:t>
      </w:r>
      <w:r w:rsidR="00487F55" w:rsidRPr="0052047F">
        <w:t>(Réus et al., 2013)</w:t>
      </w:r>
      <w:r w:rsidRPr="0052047F">
        <w:t xml:space="preserve">, colon </w:t>
      </w:r>
      <w:r w:rsidR="00487F55" w:rsidRPr="0052047F">
        <w:t>(Amini-Khoei et al., 2019)</w:t>
      </w:r>
      <w:r w:rsidRPr="0052047F">
        <w:t xml:space="preserve">, kidney </w:t>
      </w:r>
      <w:r w:rsidR="00487F55" w:rsidRPr="0052047F">
        <w:t>(De Miguel et al., 2018)</w:t>
      </w:r>
      <w:r w:rsidRPr="0052047F">
        <w:t xml:space="preserve">, lung </w:t>
      </w:r>
      <w:r w:rsidR="00487F55" w:rsidRPr="0052047F">
        <w:t>(Avitsur et al., 2006)</w:t>
      </w:r>
      <w:r w:rsidRPr="0052047F">
        <w:t xml:space="preserve">, and serum </w:t>
      </w:r>
      <w:r w:rsidR="00487F55" w:rsidRPr="0052047F">
        <w:t>(Réus et al., 2013; Wang et al., 2017)</w:t>
      </w:r>
      <w:r w:rsidRPr="0052047F">
        <w:t>.</w:t>
      </w:r>
      <w:r w:rsidR="001A3242" w:rsidRPr="0052047F">
        <w:t xml:space="preserve"> </w:t>
      </w:r>
      <w:r w:rsidRPr="0052047F">
        <w:t xml:space="preserve">However, several studies report no change or even decreased IL-1β expression in RMS animals, although often in the context of a direct inflammatory insult, possibly suggesting </w:t>
      </w:r>
      <w:r w:rsidR="00446DF8" w:rsidRPr="0052047F">
        <w:t xml:space="preserve">a degree of psychosocial </w:t>
      </w:r>
      <w:r w:rsidRPr="0052047F">
        <w:t xml:space="preserve">stress-evoked immune cell habituation or exhaustion. </w:t>
      </w:r>
      <w:r w:rsidR="00002B84" w:rsidRPr="0052047F">
        <w:t>While no effect of RMS was found in ser</w:t>
      </w:r>
      <w:r w:rsidR="00100CD6" w:rsidRPr="0052047F">
        <w:t xml:space="preserve">um </w:t>
      </w:r>
      <w:r w:rsidR="00487F55" w:rsidRPr="0052047F">
        <w:t>(Avitsur et al., 2013; Breivik et al., 2015)</w:t>
      </w:r>
      <w:r w:rsidR="001415B1" w:rsidRPr="0052047F">
        <w:t xml:space="preserve"> </w:t>
      </w:r>
      <w:r w:rsidR="00100CD6" w:rsidRPr="0052047F">
        <w:t xml:space="preserve">or spleen </w:t>
      </w:r>
      <w:r w:rsidR="00487F55" w:rsidRPr="0052047F">
        <w:t>(De Miguel et al., 2018)</w:t>
      </w:r>
      <w:r w:rsidR="005B24A3" w:rsidRPr="0052047F">
        <w:t xml:space="preserve">, </w:t>
      </w:r>
      <w:r w:rsidR="00DD5BC5" w:rsidRPr="0052047F">
        <w:t>among animals subjected first to mild psychosocial stress and then shortly after to high-dose LPS, those who had undergone RMS had decreased serum IL-1β</w:t>
      </w:r>
      <w:r w:rsidR="00A63AF2" w:rsidRPr="0052047F">
        <w:t xml:space="preserve"> </w:t>
      </w:r>
      <w:r w:rsidR="00487F55" w:rsidRPr="0052047F">
        <w:t>(Avitsur et al., 2013)</w:t>
      </w:r>
      <w:r w:rsidR="00446DF8" w:rsidRPr="0052047F">
        <w:t>. In another case</w:t>
      </w:r>
      <w:r w:rsidR="00621AF0" w:rsidRPr="0052047F">
        <w:t xml:space="preserve"> involving both psychological distress and a severe physical inflammatory insult</w:t>
      </w:r>
      <w:r w:rsidR="00446DF8" w:rsidRPr="0052047F">
        <w:t xml:space="preserve">, </w:t>
      </w:r>
      <w:r w:rsidR="00A63AF2" w:rsidRPr="0052047F">
        <w:t xml:space="preserve">nerve compression trauma increased spinal cord IL-1β mRNA in control but not RMS animals </w:t>
      </w:r>
      <w:r w:rsidR="00487F55" w:rsidRPr="0052047F">
        <w:t>(Genty et al., 2018)</w:t>
      </w:r>
      <w:r w:rsidR="00A63AF2" w:rsidRPr="0052047F">
        <w:t>.</w:t>
      </w:r>
      <w:r w:rsidR="001A3242" w:rsidRPr="0052047F">
        <w:t xml:space="preserve"> The experimental methodologies of the later-life stressors are summarized in </w:t>
      </w:r>
      <w:r w:rsidR="001A3242" w:rsidRPr="0052047F">
        <w:rPr>
          <w:b/>
          <w:bCs/>
        </w:rPr>
        <w:t>Fig. S</w:t>
      </w:r>
      <w:r w:rsidR="00992828" w:rsidRPr="0052047F">
        <w:rPr>
          <w:b/>
          <w:bCs/>
        </w:rPr>
        <w:t>2</w:t>
      </w:r>
      <w:r w:rsidR="001A3242" w:rsidRPr="0052047F">
        <w:t>.</w:t>
      </w:r>
    </w:p>
    <w:p w14:paraId="213A0D0D" w14:textId="6727B9B0" w:rsidR="00273D85" w:rsidRPr="0052047F" w:rsidRDefault="00051FEB" w:rsidP="00C9660A">
      <w:r w:rsidRPr="0052047F">
        <w:t>M</w:t>
      </w:r>
      <w:r w:rsidR="00C9660A" w:rsidRPr="0052047F">
        <w:t xml:space="preserve">ost studies </w:t>
      </w:r>
      <w:r w:rsidRPr="0052047F">
        <w:t xml:space="preserve">in which </w:t>
      </w:r>
      <w:r w:rsidR="00C9660A" w:rsidRPr="0052047F">
        <w:t xml:space="preserve">animals </w:t>
      </w:r>
      <w:r w:rsidRPr="0052047F">
        <w:t>underwent a second stress</w:t>
      </w:r>
      <w:r w:rsidR="00C9660A" w:rsidRPr="0052047F">
        <w:t xml:space="preserve"> have </w:t>
      </w:r>
      <w:r w:rsidRPr="0052047F">
        <w:t>reported</w:t>
      </w:r>
      <w:r w:rsidR="00C9660A" w:rsidRPr="0052047F">
        <w:t xml:space="preserve"> an increase</w:t>
      </w:r>
      <w:r w:rsidRPr="0052047F">
        <w:t xml:space="preserve"> in</w:t>
      </w:r>
      <w:r w:rsidR="00C9660A" w:rsidRPr="0052047F">
        <w:t xml:space="preserve"> TNF-α in RMS animals, although generally in </w:t>
      </w:r>
      <w:r w:rsidR="00820495" w:rsidRPr="0052047F">
        <w:t xml:space="preserve">non-blood </w:t>
      </w:r>
      <w:r w:rsidR="00C9660A" w:rsidRPr="0052047F">
        <w:t>tissues rather than blood. Regarding just the brain, an increase in TNF-α expression in RMS animals was reported in:</w:t>
      </w:r>
      <w:r w:rsidR="002D28F0" w:rsidRPr="0052047F">
        <w:t xml:space="preserve"> </w:t>
      </w:r>
      <w:r w:rsidR="00C9660A" w:rsidRPr="0052047F">
        <w:t xml:space="preserve">the hippocampus </w:t>
      </w:r>
      <w:r w:rsidR="00487F55" w:rsidRPr="0052047F">
        <w:t>(Amini-Khoei et al., 2017; Han et al., 2019; Pinheiro et al., 2015; Zhu et al., 2017)</w:t>
      </w:r>
      <w:r w:rsidR="00C9660A" w:rsidRPr="0052047F">
        <w:t xml:space="preserve">, although in Han et al. </w:t>
      </w:r>
      <w:r w:rsidR="00487F55" w:rsidRPr="0052047F">
        <w:t>(2019)</w:t>
      </w:r>
      <w:r w:rsidR="00C9660A" w:rsidRPr="0052047F">
        <w:t xml:space="preserve"> </w:t>
      </w:r>
      <w:r w:rsidR="00C9660A" w:rsidRPr="0052047F">
        <w:lastRenderedPageBreak/>
        <w:t>this difference was not tested statistically;</w:t>
      </w:r>
      <w:r w:rsidR="002D28F0" w:rsidRPr="0052047F">
        <w:t xml:space="preserve"> </w:t>
      </w:r>
      <w:r w:rsidR="00C9660A" w:rsidRPr="0052047F">
        <w:t xml:space="preserve">the PFC </w:t>
      </w:r>
      <w:r w:rsidR="00487F55" w:rsidRPr="0052047F">
        <w:t>(Ganguly et al., 2019; Pinheiro et al., 2015)</w:t>
      </w:r>
      <w:r w:rsidR="00C9660A" w:rsidRPr="0052047F">
        <w:t xml:space="preserve">, although only in males but not females in Ganguly et al. </w:t>
      </w:r>
      <w:r w:rsidR="00487F55" w:rsidRPr="0052047F">
        <w:t>(2019)</w:t>
      </w:r>
      <w:r w:rsidR="00C9660A" w:rsidRPr="0052047F">
        <w:t xml:space="preserve">; </w:t>
      </w:r>
      <w:r w:rsidR="003A2F3B" w:rsidRPr="0052047F">
        <w:t xml:space="preserve">the </w:t>
      </w:r>
      <w:r w:rsidR="00C9660A" w:rsidRPr="0052047F">
        <w:t xml:space="preserve">PVN </w:t>
      </w:r>
      <w:r w:rsidR="00487F55" w:rsidRPr="0052047F">
        <w:t>(Tang et al., 2017)</w:t>
      </w:r>
      <w:r w:rsidR="00C9660A" w:rsidRPr="0052047F">
        <w:t xml:space="preserve">; </w:t>
      </w:r>
      <w:r w:rsidR="003A2F3B" w:rsidRPr="0052047F">
        <w:t xml:space="preserve">the </w:t>
      </w:r>
      <w:r w:rsidR="00C9660A" w:rsidRPr="0052047F">
        <w:t xml:space="preserve">striatum </w:t>
      </w:r>
      <w:r w:rsidR="00487F55" w:rsidRPr="0052047F">
        <w:t>(Dallé et al., 2017)</w:t>
      </w:r>
      <w:r w:rsidR="00C9660A" w:rsidRPr="0052047F">
        <w:t xml:space="preserve">; and the nucleus accumbens in males but not females </w:t>
      </w:r>
      <w:r w:rsidR="00487F55" w:rsidRPr="0052047F">
        <w:t>(Ganguly et al., 2019)</w:t>
      </w:r>
      <w:r w:rsidR="00C9660A" w:rsidRPr="0052047F">
        <w:t xml:space="preserve">. Several studies </w:t>
      </w:r>
      <w:r w:rsidR="002D28F0" w:rsidRPr="0052047F">
        <w:t xml:space="preserve">however </w:t>
      </w:r>
      <w:r w:rsidR="00C9660A" w:rsidRPr="0052047F">
        <w:t xml:space="preserve">did not find any effect of RMS in the hippocampus </w:t>
      </w:r>
      <w:r w:rsidR="00487F55" w:rsidRPr="0052047F">
        <w:t>(Viola et al., 2019; Wang et al., 2017)</w:t>
      </w:r>
      <w:r w:rsidR="002B6D5E" w:rsidRPr="0052047F">
        <w:t xml:space="preserve"> and PFC </w:t>
      </w:r>
      <w:r w:rsidR="00487F55" w:rsidRPr="0052047F">
        <w:t>(Amini-Khoei et al., 2019; Viola et al., 2019)</w:t>
      </w:r>
      <w:r w:rsidR="002B6D5E" w:rsidRPr="0052047F">
        <w:t>.</w:t>
      </w:r>
      <w:r w:rsidR="008430EE" w:rsidRPr="0052047F">
        <w:t xml:space="preserve"> </w:t>
      </w:r>
      <w:r w:rsidR="00C9660A" w:rsidRPr="0052047F">
        <w:t xml:space="preserve">Reports measuring TNF-α expression in </w:t>
      </w:r>
      <w:r w:rsidR="00443F0E" w:rsidRPr="0052047F">
        <w:t xml:space="preserve">other non-blood </w:t>
      </w:r>
      <w:r w:rsidR="00C9660A" w:rsidRPr="0052047F">
        <w:t xml:space="preserve">tissues generally find either increased expression or no change in RMS animals. While increases have been reported in large intestine tissue </w:t>
      </w:r>
      <w:r w:rsidR="00487F55" w:rsidRPr="0052047F">
        <w:t>(Amini-Khoei et al., 2019)</w:t>
      </w:r>
      <w:r w:rsidR="00C9660A" w:rsidRPr="0052047F">
        <w:t xml:space="preserve">, the reproductive tract </w:t>
      </w:r>
      <w:r w:rsidR="00487F55" w:rsidRPr="0052047F">
        <w:t>(Pierce et al., 2014)</w:t>
      </w:r>
      <w:r w:rsidR="00C9660A" w:rsidRPr="0052047F">
        <w:t xml:space="preserve">, and lung </w:t>
      </w:r>
      <w:r w:rsidR="00487F55" w:rsidRPr="0052047F">
        <w:t>(Avitsur et al., 2006)</w:t>
      </w:r>
      <w:r w:rsidR="00C9660A" w:rsidRPr="0052047F">
        <w:t xml:space="preserve">, a lack of effect has been reported in the bladder or colon </w:t>
      </w:r>
      <w:r w:rsidR="00487F55" w:rsidRPr="0052047F">
        <w:t>(Pierce et al., 2014)</w:t>
      </w:r>
      <w:r w:rsidR="00C9660A" w:rsidRPr="0052047F">
        <w:t xml:space="preserve">, lung </w:t>
      </w:r>
      <w:r w:rsidR="00487F55" w:rsidRPr="0052047F">
        <w:t>(Kruschinski et al., 2008)</w:t>
      </w:r>
      <w:r w:rsidR="00C9660A" w:rsidRPr="0052047F">
        <w:t xml:space="preserve">, spleen </w:t>
      </w:r>
      <w:r w:rsidR="00487F55" w:rsidRPr="0052047F">
        <w:t>(De Miguel et al., 2018)</w:t>
      </w:r>
      <w:r w:rsidR="00C9660A" w:rsidRPr="0052047F">
        <w:t xml:space="preserve">, and splenocyte culture with LPS </w:t>
      </w:r>
      <w:r w:rsidR="00487F55" w:rsidRPr="0052047F">
        <w:t>(Kiank et al., 2009)</w:t>
      </w:r>
      <w:r w:rsidR="00C9660A" w:rsidRPr="0052047F">
        <w:t>.</w:t>
      </w:r>
      <w:r w:rsidR="00542B5C" w:rsidRPr="0052047F">
        <w:t xml:space="preserve"> </w:t>
      </w:r>
      <w:r w:rsidR="00C9660A" w:rsidRPr="0052047F">
        <w:t xml:space="preserve">In most studies that have looked at </w:t>
      </w:r>
      <w:bookmarkStart w:id="4" w:name="_Hlk44510718"/>
      <w:r w:rsidR="00C9660A" w:rsidRPr="0052047F">
        <w:t xml:space="preserve">TNF-α </w:t>
      </w:r>
      <w:bookmarkEnd w:id="4"/>
      <w:r w:rsidR="00C9660A" w:rsidRPr="0052047F">
        <w:t xml:space="preserve">in blood in animals exposed to later-life stress, no effect of RMS has been shown, including in the serum </w:t>
      </w:r>
      <w:r w:rsidR="00487F55" w:rsidRPr="0052047F">
        <w:t>(Avitsur et al., 2013; Carboni et al., 2010; Wang et al., 2017)</w:t>
      </w:r>
      <w:r w:rsidR="00C9660A" w:rsidRPr="0052047F">
        <w:t xml:space="preserve">, plasma </w:t>
      </w:r>
      <w:r w:rsidR="00487F55" w:rsidRPr="0052047F">
        <w:t>(Barouei et al., 2015)</w:t>
      </w:r>
      <w:r w:rsidR="00C9660A" w:rsidRPr="0052047F">
        <w:t xml:space="preserve">, and whole blood, with or without </w:t>
      </w:r>
      <w:r w:rsidR="00C9660A" w:rsidRPr="0052047F">
        <w:rPr>
          <w:i/>
          <w:iCs/>
        </w:rPr>
        <w:t>ex vivo</w:t>
      </w:r>
      <w:r w:rsidR="00C9660A" w:rsidRPr="0052047F">
        <w:t xml:space="preserve"> stimulation with LPS </w:t>
      </w:r>
      <w:r w:rsidR="00487F55" w:rsidRPr="0052047F">
        <w:t>(Desbonnet et al., 2010; O'Mahony et al., 2009)</w:t>
      </w:r>
      <w:r w:rsidR="00C9660A" w:rsidRPr="0052047F">
        <w:t xml:space="preserve"> or concanavalin A </w:t>
      </w:r>
      <w:r w:rsidR="00487F55" w:rsidRPr="0052047F">
        <w:t>(Desbonnet et al., 2010)</w:t>
      </w:r>
      <w:r w:rsidR="00C9660A" w:rsidRPr="0052047F">
        <w:t>. However, a few studies have found a long-term effect of RMS</w:t>
      </w:r>
      <w:r w:rsidR="00555654" w:rsidRPr="0052047F">
        <w:t xml:space="preserve"> on blood TNF-α</w:t>
      </w:r>
      <w:r w:rsidR="00273D85" w:rsidRPr="0052047F">
        <w:t xml:space="preserve">, with two studies finding an increase </w:t>
      </w:r>
      <w:r w:rsidR="00487F55" w:rsidRPr="0052047F">
        <w:t>(Do Prado et al., 2016; Réus et al., 2013)</w:t>
      </w:r>
      <w:r w:rsidR="00273D85" w:rsidRPr="0052047F">
        <w:t xml:space="preserve">, and one finding a decrease </w:t>
      </w:r>
      <w:r w:rsidR="00274476" w:rsidRPr="0052047F">
        <w:t xml:space="preserve">in </w:t>
      </w:r>
      <w:r w:rsidR="00555654" w:rsidRPr="0052047F">
        <w:t xml:space="preserve">females but not males, and only after low-dose but not high-dose LPS or saline administration </w:t>
      </w:r>
      <w:r w:rsidR="00487F55" w:rsidRPr="0052047F">
        <w:t>(Avitsur et al., 2013)</w:t>
      </w:r>
      <w:r w:rsidR="00555654" w:rsidRPr="0052047F">
        <w:t>.</w:t>
      </w:r>
    </w:p>
    <w:p w14:paraId="11D16AC4" w14:textId="3E510373" w:rsidR="00C9660A" w:rsidRPr="0052047F" w:rsidRDefault="00CF10F3" w:rsidP="00C9660A">
      <w:r w:rsidRPr="0052047F">
        <w:t>I</w:t>
      </w:r>
      <w:r w:rsidR="00C9660A" w:rsidRPr="0052047F">
        <w:t xml:space="preserve">n animals subjected to later-life stress, in contrast to the </w:t>
      </w:r>
      <w:r w:rsidRPr="0052047F">
        <w:t>relatively</w:t>
      </w:r>
      <w:r w:rsidR="00C9660A" w:rsidRPr="0052047F">
        <w:t xml:space="preserve"> consistent findings of increased IL-1β and TNF-α in RMS animals, especially in </w:t>
      </w:r>
      <w:r w:rsidR="00443F0E" w:rsidRPr="0052047F">
        <w:t xml:space="preserve">non-blood </w:t>
      </w:r>
      <w:r w:rsidR="00C9660A" w:rsidRPr="0052047F">
        <w:t>tissue, the findings regarding IL-6 are mixed. Many studies have found no effect of RMS on IL-6</w:t>
      </w:r>
      <w:r w:rsidR="00AB4716" w:rsidRPr="0052047F">
        <w:t xml:space="preserve">, including </w:t>
      </w:r>
      <w:r w:rsidR="002D28F0" w:rsidRPr="0052047F">
        <w:t>i</w:t>
      </w:r>
      <w:r w:rsidR="00C9660A" w:rsidRPr="0052047F">
        <w:t xml:space="preserve">n lung tissue or bronchoalveolar lavage fluid </w:t>
      </w:r>
      <w:r w:rsidR="00487F55" w:rsidRPr="0052047F">
        <w:t>(Kruschinski et al., 2008; Vig et al., 2010)</w:t>
      </w:r>
      <w:r w:rsidR="00C9660A" w:rsidRPr="0052047F">
        <w:t xml:space="preserve">, the reproductive tract </w:t>
      </w:r>
      <w:r w:rsidR="00487F55" w:rsidRPr="0052047F">
        <w:lastRenderedPageBreak/>
        <w:t>(Pierce et al., 2014)</w:t>
      </w:r>
      <w:r w:rsidR="00C9660A" w:rsidRPr="0052047F">
        <w:t xml:space="preserve">, the bladder </w:t>
      </w:r>
      <w:r w:rsidR="00487F55" w:rsidRPr="0052047F">
        <w:t>(Pierce et al., 2016)</w:t>
      </w:r>
      <w:r w:rsidR="00C9660A" w:rsidRPr="0052047F">
        <w:t xml:space="preserve">, the colon </w:t>
      </w:r>
      <w:r w:rsidR="00487F55" w:rsidRPr="0052047F">
        <w:t>(Fuentes et al., 2016; Pierce et al., 2014)</w:t>
      </w:r>
      <w:r w:rsidR="00C9660A" w:rsidRPr="0052047F">
        <w:t xml:space="preserve">, the kidney and spleen </w:t>
      </w:r>
      <w:r w:rsidR="00487F55" w:rsidRPr="0052047F">
        <w:t>(De Miguel et al., 2018)</w:t>
      </w:r>
      <w:r w:rsidR="00C9660A" w:rsidRPr="0052047F">
        <w:t xml:space="preserve">, the hypothalamic PVN </w:t>
      </w:r>
      <w:r w:rsidR="00487F55" w:rsidRPr="0052047F">
        <w:t>(Tang et al., 2017)</w:t>
      </w:r>
      <w:r w:rsidR="00C9660A" w:rsidRPr="0052047F">
        <w:t xml:space="preserve">, the medial PFC </w:t>
      </w:r>
      <w:r w:rsidR="00487F55" w:rsidRPr="0052047F">
        <w:t>(Viola et al., 2019)</w:t>
      </w:r>
      <w:r w:rsidR="00C9660A" w:rsidRPr="0052047F">
        <w:t xml:space="preserve">, the spinal cord </w:t>
      </w:r>
      <w:r w:rsidR="00487F55" w:rsidRPr="0052047F">
        <w:t>(Genty et al., 2018)</w:t>
      </w:r>
      <w:r w:rsidR="00C9660A" w:rsidRPr="0052047F">
        <w:t xml:space="preserve">, plasma </w:t>
      </w:r>
      <w:r w:rsidR="00487F55" w:rsidRPr="0052047F">
        <w:t>(Barouei et al., 2015; Kruschinski et al., 2008)</w:t>
      </w:r>
      <w:r w:rsidR="00C9660A" w:rsidRPr="0052047F">
        <w:t xml:space="preserve">, serum </w:t>
      </w:r>
      <w:r w:rsidR="00487F55" w:rsidRPr="0052047F">
        <w:t>(Avitsur et al., 2013; Carboni et al., 2010)</w:t>
      </w:r>
      <w:r w:rsidR="00C9660A" w:rsidRPr="0052047F">
        <w:t xml:space="preserve">, and whole blood cultured </w:t>
      </w:r>
      <w:r w:rsidR="00C9660A" w:rsidRPr="0052047F">
        <w:rPr>
          <w:i/>
        </w:rPr>
        <w:t>ex vivo</w:t>
      </w:r>
      <w:r w:rsidR="00C9660A" w:rsidRPr="0052047F">
        <w:t xml:space="preserve"> with LPS </w:t>
      </w:r>
      <w:r w:rsidR="00487F55" w:rsidRPr="0052047F">
        <w:t>(Desbonnet et al., 2010; O'Mahony et al., 2009)</w:t>
      </w:r>
      <w:r w:rsidR="00C9660A" w:rsidRPr="0052047F">
        <w:t xml:space="preserve">. However, there are a number of studies that have reported an increase in IL-6 in RMS animals, specifically in the colon </w:t>
      </w:r>
      <w:r w:rsidR="00387532" w:rsidRPr="0052047F">
        <w:t xml:space="preserve">and </w:t>
      </w:r>
      <w:r w:rsidR="00C9660A" w:rsidRPr="0052047F">
        <w:t xml:space="preserve">bladder </w:t>
      </w:r>
      <w:r w:rsidR="00487F55" w:rsidRPr="0052047F">
        <w:t>(Pierce et al., 2016)</w:t>
      </w:r>
      <w:r w:rsidR="00C9660A" w:rsidRPr="0052047F">
        <w:t xml:space="preserve">, lung </w:t>
      </w:r>
      <w:r w:rsidR="00487F55" w:rsidRPr="0052047F">
        <w:t>(Avitsur et al., 2006)</w:t>
      </w:r>
      <w:r w:rsidR="00C9660A" w:rsidRPr="0052047F">
        <w:t xml:space="preserve">, </w:t>
      </w:r>
      <w:r w:rsidRPr="0052047F">
        <w:t xml:space="preserve">whole blood cultured with concanavalin A but not saline </w:t>
      </w:r>
      <w:r w:rsidR="00487F55" w:rsidRPr="0052047F">
        <w:t>(Desbonnet et al., 2010)</w:t>
      </w:r>
      <w:r w:rsidRPr="0052047F">
        <w:t xml:space="preserve">, </w:t>
      </w:r>
      <w:r w:rsidR="00C9660A" w:rsidRPr="0052047F">
        <w:t xml:space="preserve">striatum </w:t>
      </w:r>
      <w:r w:rsidR="00487F55" w:rsidRPr="0052047F">
        <w:t>(Dallé et al., 2017)</w:t>
      </w:r>
      <w:r w:rsidR="00C9660A" w:rsidRPr="0052047F">
        <w:t xml:space="preserve">, </w:t>
      </w:r>
      <w:r w:rsidRPr="0052047F">
        <w:t xml:space="preserve">and </w:t>
      </w:r>
      <w:r w:rsidR="00C9660A" w:rsidRPr="0052047F">
        <w:t xml:space="preserve">hippocampus </w:t>
      </w:r>
      <w:r w:rsidR="00487F55" w:rsidRPr="0052047F">
        <w:t>(Han et al., 2019; Zhu et al., 2017)</w:t>
      </w:r>
      <w:r w:rsidR="00C9660A" w:rsidRPr="0052047F">
        <w:t xml:space="preserve">, albeit not tested statistically </w:t>
      </w:r>
      <w:r w:rsidR="00387532" w:rsidRPr="0052047F">
        <w:t xml:space="preserve">in </w:t>
      </w:r>
      <w:r w:rsidRPr="0052047F">
        <w:t xml:space="preserve">Han et al. </w:t>
      </w:r>
      <w:r w:rsidR="00487F55" w:rsidRPr="0052047F">
        <w:t>(2019)</w:t>
      </w:r>
      <w:r w:rsidRPr="0052047F">
        <w:t xml:space="preserve">. </w:t>
      </w:r>
      <w:r w:rsidR="00C9660A" w:rsidRPr="0052047F">
        <w:t>Finally, one study reported decreased IL-6 expression in RMS animals, specifically in the medial PFC</w:t>
      </w:r>
      <w:r w:rsidR="00387532" w:rsidRPr="0052047F">
        <w:t xml:space="preserve"> </w:t>
      </w:r>
      <w:r w:rsidR="00487F55" w:rsidRPr="0052047F">
        <w:t>(Viola et al., 2019)</w:t>
      </w:r>
      <w:r w:rsidR="00C9660A" w:rsidRPr="0052047F">
        <w:t xml:space="preserve">. </w:t>
      </w:r>
    </w:p>
    <w:p w14:paraId="3512052C" w14:textId="72D8F9D6" w:rsidR="00F43306" w:rsidRPr="0052047F" w:rsidRDefault="00D106A4" w:rsidP="00D106A4">
      <w:r w:rsidRPr="0052047F">
        <w:t>As with IL-6, findings regarding IL-10 expression in animals exposed to a second stress are mixed.</w:t>
      </w:r>
      <w:r w:rsidR="0078483E" w:rsidRPr="0052047F">
        <w:t xml:space="preserve"> Consistent with a pro-inflammatory state, f</w:t>
      </w:r>
      <w:r w:rsidR="00F43306" w:rsidRPr="0052047F">
        <w:t>ive studies have reported decreased IL-10 expression in RMS animals</w:t>
      </w:r>
      <w:r w:rsidR="00AB4716" w:rsidRPr="0052047F">
        <w:t>,</w:t>
      </w:r>
      <w:r w:rsidR="00F43306" w:rsidRPr="0052047F">
        <w:t xml:space="preserve"> in the striatum, concurrently with increased IL-1β, IL-6, and TNF-α </w:t>
      </w:r>
      <w:r w:rsidR="00487F55" w:rsidRPr="0052047F">
        <w:t>(Dallé et al., 2017)</w:t>
      </w:r>
      <w:r w:rsidR="00F43306" w:rsidRPr="0052047F">
        <w:t xml:space="preserve">, the ventral hippocampus, together with higher IL-1β </w:t>
      </w:r>
      <w:r w:rsidR="00487F55" w:rsidRPr="0052047F">
        <w:t>(Wang et al., 2017)</w:t>
      </w:r>
      <w:r w:rsidR="00F43306" w:rsidRPr="0052047F">
        <w:t xml:space="preserve">, splenocytes cultured with LPS, along with non-significantly elevated TNF-α </w:t>
      </w:r>
      <w:r w:rsidR="00487F55" w:rsidRPr="0052047F">
        <w:t>(Kiank et al., 2009)</w:t>
      </w:r>
      <w:r w:rsidR="00F43306" w:rsidRPr="0052047F">
        <w:t>, the serum</w:t>
      </w:r>
      <w:r w:rsidRPr="0052047F">
        <w:t>, together with increased IL-1β and TNF-α</w:t>
      </w:r>
      <w:r w:rsidR="00F43306" w:rsidRPr="0052047F">
        <w:t xml:space="preserve"> </w:t>
      </w:r>
      <w:r w:rsidR="00487F55" w:rsidRPr="0052047F">
        <w:t>(Réus et al., 2013)</w:t>
      </w:r>
      <w:r w:rsidR="00F43306" w:rsidRPr="0052047F">
        <w:t xml:space="preserve">, and colon tissue, alongside increased interferon gamma </w:t>
      </w:r>
      <w:r w:rsidR="00487F55" w:rsidRPr="0052047F">
        <w:t>(Shao et al., 2019)</w:t>
      </w:r>
      <w:r w:rsidR="00F43306" w:rsidRPr="0052047F">
        <w:t xml:space="preserve">. </w:t>
      </w:r>
      <w:r w:rsidR="0078483E" w:rsidRPr="0052047F">
        <w:t xml:space="preserve">However, most studies have reported no effect of RMS on IL-10 expression, including in whole blood cultured with or without LPS or concanavalin A </w:t>
      </w:r>
      <w:r w:rsidR="00487F55" w:rsidRPr="0052047F">
        <w:t>(Desbonnet et al., 2010; O'Mahony et al., 2009)</w:t>
      </w:r>
      <w:r w:rsidR="0078483E" w:rsidRPr="0052047F">
        <w:t xml:space="preserve">, serum </w:t>
      </w:r>
      <w:r w:rsidR="00487F55" w:rsidRPr="0052047F">
        <w:t>(Breivik et al., 2015; Carboni et al., 2010; Wang et al., 2017)</w:t>
      </w:r>
      <w:r w:rsidR="0078483E" w:rsidRPr="0052047F">
        <w:t xml:space="preserve">, plasma </w:t>
      </w:r>
      <w:r w:rsidR="00487F55" w:rsidRPr="0052047F">
        <w:t>(Kruschinski et al., 2008)</w:t>
      </w:r>
      <w:r w:rsidR="0078483E" w:rsidRPr="0052047F">
        <w:t xml:space="preserve">, PFC </w:t>
      </w:r>
      <w:r w:rsidR="00487F55" w:rsidRPr="0052047F">
        <w:t>(Pinheiro et al., 2015; Wang et al., 2017)</w:t>
      </w:r>
      <w:r w:rsidR="0078483E" w:rsidRPr="0052047F">
        <w:t xml:space="preserve">, colon </w:t>
      </w:r>
      <w:r w:rsidR="00487F55" w:rsidRPr="0052047F">
        <w:t>(Pierce et al., 2014; Pierce et al., 2016)</w:t>
      </w:r>
      <w:r w:rsidR="0078483E" w:rsidRPr="0052047F">
        <w:t xml:space="preserve">, bladder </w:t>
      </w:r>
      <w:r w:rsidR="00487F55" w:rsidRPr="0052047F">
        <w:t>(Pierce et al., 2016)</w:t>
      </w:r>
      <w:r w:rsidR="0078483E" w:rsidRPr="0052047F">
        <w:t xml:space="preserve">, and lung </w:t>
      </w:r>
      <w:r w:rsidR="00487F55" w:rsidRPr="0052047F">
        <w:lastRenderedPageBreak/>
        <w:t>(Kruschinski et al., 2008)</w:t>
      </w:r>
      <w:r w:rsidR="0078483E" w:rsidRPr="0052047F">
        <w:t xml:space="preserve">, and an increase in IL-10 has been reported by three studies, in the genitourinary tract </w:t>
      </w:r>
      <w:r w:rsidR="00487F55" w:rsidRPr="0052047F">
        <w:t>(Pierce et al., 2014)</w:t>
      </w:r>
      <w:r w:rsidR="0078483E" w:rsidRPr="0052047F">
        <w:t xml:space="preserve">, hippocampus </w:t>
      </w:r>
      <w:r w:rsidR="00487F55" w:rsidRPr="0052047F">
        <w:t>(Pinheiro et al., 2015)</w:t>
      </w:r>
      <w:r w:rsidR="0078483E" w:rsidRPr="0052047F">
        <w:t xml:space="preserve">, and bladder </w:t>
      </w:r>
      <w:r w:rsidR="00487F55" w:rsidRPr="0052047F">
        <w:t>(Pierce et al., 2016)</w:t>
      </w:r>
      <w:r w:rsidR="0078483E" w:rsidRPr="0052047F">
        <w:t>.</w:t>
      </w:r>
    </w:p>
    <w:p w14:paraId="6C727C6B" w14:textId="114C4737" w:rsidR="00C9660A" w:rsidRPr="0052047F" w:rsidRDefault="00C9660A" w:rsidP="0013600B">
      <w:r w:rsidRPr="0052047F">
        <w:t xml:space="preserve">Only </w:t>
      </w:r>
      <w:r w:rsidR="001A23A8" w:rsidRPr="0052047F">
        <w:t>two included studies measured microglia activation or density</w:t>
      </w:r>
      <w:r w:rsidRPr="0052047F">
        <w:t xml:space="preserve"> in RMS animals in the context of later-life stress. </w:t>
      </w:r>
      <w:r w:rsidR="00B5384C" w:rsidRPr="0052047F">
        <w:t xml:space="preserve">In animals that received </w:t>
      </w:r>
      <w:r w:rsidRPr="0052047F">
        <w:t>daily IP saline injections from PND 28-42, at two weeks after the conclusion of injections</w:t>
      </w:r>
      <w:r w:rsidR="001A23A8" w:rsidRPr="0052047F">
        <w:t xml:space="preserve">, </w:t>
      </w:r>
      <w:r w:rsidRPr="0052047F">
        <w:t xml:space="preserve">RMS animals had slightly but significantly reduced hippocampal microglial process length and count, consistent with a more activated phenotype on average </w:t>
      </w:r>
      <w:r w:rsidR="00487F55" w:rsidRPr="0052047F">
        <w:t>(Han et al., 2019)</w:t>
      </w:r>
      <w:r w:rsidRPr="0052047F">
        <w:t xml:space="preserve">. Among animals subjected to </w:t>
      </w:r>
      <w:r w:rsidR="00B961B9" w:rsidRPr="0052047F">
        <w:t xml:space="preserve">an additional </w:t>
      </w:r>
      <w:r w:rsidRPr="0052047F">
        <w:t xml:space="preserve">two weeks of daily two-hour restraint stress from PND 42-56, the same effects of maternal separation on process length and number described above were observed, but </w:t>
      </w:r>
      <w:r w:rsidR="00B961B9" w:rsidRPr="0052047F">
        <w:t>here</w:t>
      </w:r>
      <w:r w:rsidRPr="0052047F">
        <w:t xml:space="preserve"> the effects were robust enough to also be detected using a morphological classification-based approach. Regarding microglia density, one study found that maternal separation confers a vulnerability lasting at least into young adulthood to greater increases in spinal cord microglia in response to compression trauma of a nearby nerve </w:t>
      </w:r>
      <w:r w:rsidR="00487F55" w:rsidRPr="0052047F">
        <w:t>(Mizoguchi et al., 2019)</w:t>
      </w:r>
      <w:r w:rsidRPr="0052047F">
        <w:t>.</w:t>
      </w:r>
    </w:p>
    <w:p w14:paraId="503FCE0B" w14:textId="6FB04A14" w:rsidR="00D2329B" w:rsidRPr="0052047F" w:rsidRDefault="005301FC" w:rsidP="00931D07">
      <w:pPr>
        <w:pStyle w:val="H1"/>
      </w:pPr>
      <w:r w:rsidRPr="0052047F">
        <w:t>Discussion</w:t>
      </w:r>
    </w:p>
    <w:p w14:paraId="0CB2865A" w14:textId="7A43D155" w:rsidR="001E5448" w:rsidRPr="0052047F" w:rsidRDefault="00AB1BEB">
      <w:r w:rsidRPr="0052047F">
        <w:t xml:space="preserve">In this systematic review, we sought to establish a clearer picture of the effects of </w:t>
      </w:r>
      <w:r w:rsidR="001E5448" w:rsidRPr="0052047F">
        <w:t>ELS</w:t>
      </w:r>
      <w:r w:rsidR="001A1C9C" w:rsidRPr="0052047F">
        <w:t xml:space="preserve"> </w:t>
      </w:r>
      <w:r w:rsidRPr="0052047F">
        <w:t>on the</w:t>
      </w:r>
      <w:r w:rsidR="00E3281B" w:rsidRPr="0052047F">
        <w:t xml:space="preserve"> innate</w:t>
      </w:r>
      <w:r w:rsidRPr="0052047F">
        <w:t xml:space="preserve"> immune system</w:t>
      </w:r>
      <w:r w:rsidR="001A1C9C" w:rsidRPr="0052047F">
        <w:t xml:space="preserve"> by surveying cytokine and </w:t>
      </w:r>
      <w:r w:rsidR="001E5448" w:rsidRPr="0052047F">
        <w:t xml:space="preserve">microglia findings in the most widely used animal model of ELS. </w:t>
      </w:r>
      <w:r w:rsidR="00351283" w:rsidRPr="0052047F">
        <w:t xml:space="preserve">RMS is considered to have etiological validity as an analogue of human ELS because it occurs in a period of early life analogous to early childhood in humans, and its effects are mediated by reduced parental attendance to emotional and physical needs, just as they are in caregiver neglect, </w:t>
      </w:r>
      <w:r w:rsidR="00EB5160" w:rsidRPr="0052047F">
        <w:t>the most prevalent form</w:t>
      </w:r>
      <w:r w:rsidR="00351283" w:rsidRPr="0052047F">
        <w:t xml:space="preserve"> of human childhood maltreatment </w:t>
      </w:r>
      <w:r w:rsidR="00487F55" w:rsidRPr="0052047F">
        <w:t>(Schmidt et al., 2011; Semple et al., 2013)</w:t>
      </w:r>
      <w:r w:rsidR="00351283" w:rsidRPr="0052047F">
        <w:t>.</w:t>
      </w:r>
    </w:p>
    <w:p w14:paraId="75D45A1D" w14:textId="270E29C7" w:rsidR="00C244FB" w:rsidRPr="0052047F" w:rsidRDefault="00B54A35" w:rsidP="00010F91">
      <w:r w:rsidRPr="0052047F">
        <w:lastRenderedPageBreak/>
        <w:t xml:space="preserve">Overall, </w:t>
      </w:r>
      <w:r w:rsidR="00C07F83" w:rsidRPr="0052047F">
        <w:t xml:space="preserve">RMS </w:t>
      </w:r>
      <w:r w:rsidRPr="0052047F">
        <w:t xml:space="preserve">did </w:t>
      </w:r>
      <w:r w:rsidR="00C07F83" w:rsidRPr="0052047F">
        <w:t xml:space="preserve">not </w:t>
      </w:r>
      <w:r w:rsidRPr="0052047F">
        <w:t xml:space="preserve">appear to cause </w:t>
      </w:r>
      <w:r w:rsidR="00D92353" w:rsidRPr="0052047F">
        <w:t xml:space="preserve">a persistent production of a </w:t>
      </w:r>
      <w:r w:rsidRPr="0052047F">
        <w:t>pro-inflammatory state</w:t>
      </w:r>
      <w:r w:rsidR="00D92353" w:rsidRPr="0052047F">
        <w:t xml:space="preserve"> by immune cells</w:t>
      </w:r>
      <w:r w:rsidRPr="0052047F">
        <w:t xml:space="preserve">, given that among included studies, where animals experienced no later-life stress, </w:t>
      </w:r>
      <w:r w:rsidR="00AD21A8" w:rsidRPr="0052047F">
        <w:t xml:space="preserve">generally </w:t>
      </w:r>
      <w:r w:rsidRPr="0052047F">
        <w:t>no</w:t>
      </w:r>
      <w:r w:rsidR="00A35B7B" w:rsidRPr="0052047F">
        <w:t xml:space="preserve"> long-term</w:t>
      </w:r>
      <w:r w:rsidRPr="0052047F">
        <w:t xml:space="preserve"> effect of RMS on cytokine expression </w:t>
      </w:r>
      <w:r w:rsidR="00A35B7B" w:rsidRPr="0052047F">
        <w:t xml:space="preserve">was </w:t>
      </w:r>
      <w:r w:rsidRPr="0052047F">
        <w:t>found.</w:t>
      </w:r>
      <w:r w:rsidR="00891F71" w:rsidRPr="0052047F">
        <w:t xml:space="preserve"> </w:t>
      </w:r>
      <w:r w:rsidR="00A35B7B" w:rsidRPr="0052047F">
        <w:t xml:space="preserve">However, in the context of later-life stress, RMS animals very commonly </w:t>
      </w:r>
      <w:r w:rsidR="0068626C" w:rsidRPr="0052047F">
        <w:t xml:space="preserve">exhibited </w:t>
      </w:r>
      <w:r w:rsidR="002D28F0" w:rsidRPr="0052047F">
        <w:t xml:space="preserve">a </w:t>
      </w:r>
      <w:r w:rsidR="002C4C45" w:rsidRPr="0052047F">
        <w:t xml:space="preserve">more </w:t>
      </w:r>
      <w:r w:rsidR="00A35B7B" w:rsidRPr="0052047F">
        <w:t>pro-inflammatory cytokine expression profile than controls.</w:t>
      </w:r>
      <w:r w:rsidR="00891F71" w:rsidRPr="0052047F">
        <w:t xml:space="preserve"> </w:t>
      </w:r>
      <w:r w:rsidR="00A86724" w:rsidRPr="0052047F">
        <w:t>The</w:t>
      </w:r>
      <w:r w:rsidR="000224F0" w:rsidRPr="0052047F">
        <w:t xml:space="preserve"> </w:t>
      </w:r>
      <w:r w:rsidR="00A86724" w:rsidRPr="0052047F">
        <w:t xml:space="preserve">contrast between these two sets of findings </w:t>
      </w:r>
      <w:r w:rsidR="00905D21" w:rsidRPr="0052047F">
        <w:t>suggests</w:t>
      </w:r>
      <w:r w:rsidR="00A86724" w:rsidRPr="0052047F">
        <w:t xml:space="preserve"> that RMS causes a long-lasting sensitization of the mechanism by which an active psychosocial stressor results in </w:t>
      </w:r>
      <w:r w:rsidR="00DB158F" w:rsidRPr="0052047F">
        <w:t>pro-inflammatory signaling in tissues</w:t>
      </w:r>
      <w:r w:rsidR="00B76A7D" w:rsidRPr="0052047F">
        <w:t xml:space="preserve"> (summarized in </w:t>
      </w:r>
      <w:r w:rsidR="00B76A7D" w:rsidRPr="0052047F">
        <w:rPr>
          <w:b/>
          <w:bCs/>
        </w:rPr>
        <w:t>Fig. 3</w:t>
      </w:r>
      <w:r w:rsidR="00B76A7D" w:rsidRPr="0052047F">
        <w:t>)</w:t>
      </w:r>
      <w:r w:rsidR="00DB158F" w:rsidRPr="0052047F">
        <w:t>.</w:t>
      </w:r>
      <w:r w:rsidR="00891F71" w:rsidRPr="0052047F">
        <w:t xml:space="preserve"> </w:t>
      </w:r>
      <w:r w:rsidR="00501E89" w:rsidRPr="0052047F">
        <w:t>In this mechanism</w:t>
      </w:r>
      <w:r w:rsidR="00D731E2" w:rsidRPr="0052047F">
        <w:t xml:space="preserve"> as presently understood</w:t>
      </w:r>
      <w:r w:rsidR="00501E89" w:rsidRPr="0052047F">
        <w:t>,</w:t>
      </w:r>
      <w:r w:rsidR="00BA0721" w:rsidRPr="0052047F">
        <w:t xml:space="preserve"> (1) </w:t>
      </w:r>
      <w:r w:rsidR="00D77790" w:rsidRPr="0052047F">
        <w:t xml:space="preserve">the CNS makes an assessment of stressor intensity and </w:t>
      </w:r>
      <w:r w:rsidR="0092175F" w:rsidRPr="0052047F">
        <w:t xml:space="preserve">generates a proportional </w:t>
      </w:r>
      <w:r w:rsidR="00EA11EA" w:rsidRPr="0052047F">
        <w:t xml:space="preserve">systemic </w:t>
      </w:r>
      <w:r w:rsidR="0092175F" w:rsidRPr="0052047F">
        <w:t xml:space="preserve">production </w:t>
      </w:r>
      <w:r w:rsidR="00D767B1" w:rsidRPr="0052047F">
        <w:t xml:space="preserve">of </w:t>
      </w:r>
      <w:r w:rsidR="0092175F" w:rsidRPr="0052047F">
        <w:t>neurotransmitters</w:t>
      </w:r>
      <w:r w:rsidR="005711C7" w:rsidRPr="0052047F">
        <w:t xml:space="preserve"> and hormones</w:t>
      </w:r>
      <w:r w:rsidR="00D77790" w:rsidRPr="0052047F">
        <w:t xml:space="preserve"> </w:t>
      </w:r>
      <w:r w:rsidR="00EE5541" w:rsidRPr="0052047F">
        <w:t>such as noradrenaline</w:t>
      </w:r>
      <w:r w:rsidR="005711C7" w:rsidRPr="0052047F">
        <w:t xml:space="preserve">, </w:t>
      </w:r>
      <w:r w:rsidR="00EE5541" w:rsidRPr="0052047F">
        <w:t>adrenaline</w:t>
      </w:r>
      <w:r w:rsidR="00D731E2" w:rsidRPr="0052047F">
        <w:t>,</w:t>
      </w:r>
      <w:r w:rsidR="00D767B1" w:rsidRPr="0052047F">
        <w:t xml:space="preserve"> and cortisol</w:t>
      </w:r>
      <w:r w:rsidR="0000660E" w:rsidRPr="0052047F">
        <w:t>,</w:t>
      </w:r>
      <w:r w:rsidR="00BA0721" w:rsidRPr="0052047F">
        <w:t xml:space="preserve"> </w:t>
      </w:r>
      <w:r w:rsidR="00501E89" w:rsidRPr="0052047F">
        <w:t>which</w:t>
      </w:r>
      <w:r w:rsidR="00BA0721" w:rsidRPr="0052047F">
        <w:t xml:space="preserve"> </w:t>
      </w:r>
      <w:r w:rsidR="00501E89" w:rsidRPr="0052047F">
        <w:t>then</w:t>
      </w:r>
      <w:r w:rsidR="00ED5697" w:rsidRPr="0052047F">
        <w:t xml:space="preserve"> </w:t>
      </w:r>
      <w:r w:rsidR="006955E1" w:rsidRPr="0052047F">
        <w:t>act directly and indirectly</w:t>
      </w:r>
      <w:r w:rsidR="007E4168" w:rsidRPr="0052047F">
        <w:t xml:space="preserve"> </w:t>
      </w:r>
      <w:r w:rsidR="006955E1" w:rsidRPr="0052047F">
        <w:t xml:space="preserve">on </w:t>
      </w:r>
      <w:r w:rsidR="00BA0721" w:rsidRPr="0052047F">
        <w:t xml:space="preserve">(2) innate immune cells, </w:t>
      </w:r>
      <w:r w:rsidR="00971FF3" w:rsidRPr="0052047F">
        <w:t xml:space="preserve">which respond by </w:t>
      </w:r>
      <w:r w:rsidR="00D767B1" w:rsidRPr="0052047F">
        <w:t>altering</w:t>
      </w:r>
      <w:r w:rsidR="00BA0721" w:rsidRPr="0052047F">
        <w:t xml:space="preserve"> their production of pro-inflammatory </w:t>
      </w:r>
      <w:bookmarkStart w:id="5" w:name="_Hlk52987314"/>
      <w:r w:rsidR="00BA0721" w:rsidRPr="0052047F">
        <w:t>cytokines</w:t>
      </w:r>
      <w:r w:rsidR="00126B0E" w:rsidRPr="0052047F">
        <w:t xml:space="preserve"> </w:t>
      </w:r>
      <w:r w:rsidR="00487F55" w:rsidRPr="0052047F">
        <w:t>(Fleshner and Crane, 2017; Miller and Raison, 2016; Ulrich-Lai and Herman, 2009; Weber et al., 2017)</w:t>
      </w:r>
      <w:r w:rsidR="00EA11EA" w:rsidRPr="0052047F">
        <w:t>.</w:t>
      </w:r>
      <w:r w:rsidR="00891F71" w:rsidRPr="0052047F">
        <w:t xml:space="preserve"> </w:t>
      </w:r>
      <w:bookmarkStart w:id="6" w:name="_Hlk53084805"/>
      <w:bookmarkEnd w:id="5"/>
      <w:r w:rsidR="00B76A7D" w:rsidRPr="0052047F">
        <w:t>It is possible that the sensitizing effects of RMS are mediated through modification of either or both components of this mechanism</w:t>
      </w:r>
      <w:r w:rsidR="00221374" w:rsidRPr="0052047F">
        <w:t>. T</w:t>
      </w:r>
      <w:r w:rsidR="00B76A7D" w:rsidRPr="0052047F">
        <w:t>o our knowledge</w:t>
      </w:r>
      <w:r w:rsidR="00221374" w:rsidRPr="0052047F">
        <w:t>,</w:t>
      </w:r>
      <w:r w:rsidR="00B76A7D" w:rsidRPr="0052047F">
        <w:t xml:space="preserve"> only one study has been conducted</w:t>
      </w:r>
      <w:r w:rsidR="00221374" w:rsidRPr="0052047F">
        <w:t xml:space="preserve"> to date</w:t>
      </w:r>
      <w:r w:rsidR="00B76A7D" w:rsidRPr="0052047F">
        <w:t xml:space="preserve"> </w:t>
      </w:r>
      <w:r w:rsidR="00221374" w:rsidRPr="0052047F">
        <w:t xml:space="preserve">that directly assessed these two possibilities. </w:t>
      </w:r>
      <w:bookmarkEnd w:id="6"/>
      <w:r w:rsidR="00126B0E" w:rsidRPr="0052047F">
        <w:t xml:space="preserve">Kiank et al. </w:t>
      </w:r>
      <w:r w:rsidR="00487F55" w:rsidRPr="0052047F">
        <w:t>(2009)</w:t>
      </w:r>
      <w:r w:rsidR="00126B0E" w:rsidRPr="0052047F">
        <w:t xml:space="preserve"> harvested splenocytes</w:t>
      </w:r>
      <w:r w:rsidR="001A6851" w:rsidRPr="0052047F">
        <w:t>, a rich collection of innate and adaptive immune cells,</w:t>
      </w:r>
      <w:r w:rsidR="00862EA5" w:rsidRPr="0052047F">
        <w:t xml:space="preserve"> </w:t>
      </w:r>
      <w:r w:rsidR="00126B0E" w:rsidRPr="0052047F">
        <w:t xml:space="preserve">from RMS and control rats and performed an </w:t>
      </w:r>
      <w:r w:rsidR="00126B0E" w:rsidRPr="0052047F">
        <w:rPr>
          <w:i/>
          <w:iCs/>
        </w:rPr>
        <w:t>ex vivo</w:t>
      </w:r>
      <w:r w:rsidR="00126B0E" w:rsidRPr="0052047F">
        <w:t xml:space="preserve"> assessment of their cytokine production in response to LPS</w:t>
      </w:r>
      <w:r w:rsidR="005E4AF9" w:rsidRPr="0052047F">
        <w:t xml:space="preserve">, avoiding the confounding of the stress caused by </w:t>
      </w:r>
      <w:r w:rsidR="005E4AF9" w:rsidRPr="0052047F">
        <w:rPr>
          <w:i/>
          <w:iCs/>
        </w:rPr>
        <w:t>in vivo</w:t>
      </w:r>
      <w:r w:rsidR="005E4AF9" w:rsidRPr="0052047F">
        <w:t xml:space="preserve"> LPS administration</w:t>
      </w:r>
      <w:r w:rsidR="00126B0E" w:rsidRPr="0052047F">
        <w:t xml:space="preserve">. They found differences in cytokine production by </w:t>
      </w:r>
      <w:r w:rsidR="00862EA5" w:rsidRPr="0052047F">
        <w:t>immune</w:t>
      </w:r>
      <w:r w:rsidR="00126B0E" w:rsidRPr="0052047F">
        <w:t xml:space="preserve"> cells between RMS and control animals only when both groups experienced later-life stress; in the absence of later-life stress, LPS-stimulated cytokine production by </w:t>
      </w:r>
      <w:r w:rsidR="0092175F" w:rsidRPr="0052047F">
        <w:t>immune cells</w:t>
      </w:r>
      <w:r w:rsidR="00126B0E" w:rsidRPr="0052047F">
        <w:t xml:space="preserve"> was completely unaffected by RMS. </w:t>
      </w:r>
      <w:r w:rsidR="0068626C" w:rsidRPr="0052047F">
        <w:t xml:space="preserve">This suggests that </w:t>
      </w:r>
      <w:r w:rsidR="00D821E4" w:rsidRPr="0052047F">
        <w:t xml:space="preserve">rather than priming </w:t>
      </w:r>
      <w:r w:rsidR="0068626C" w:rsidRPr="0052047F">
        <w:t xml:space="preserve">innate immune cells to effect a greater pro-inflammatory response to activating signals, </w:t>
      </w:r>
      <w:r w:rsidR="002A10B1" w:rsidRPr="0052047F">
        <w:t xml:space="preserve">RMS </w:t>
      </w:r>
      <w:r w:rsidR="00221374" w:rsidRPr="0052047F">
        <w:t xml:space="preserve">may </w:t>
      </w:r>
      <w:r w:rsidR="00D821E4" w:rsidRPr="0052047F">
        <w:t xml:space="preserve">instead </w:t>
      </w:r>
      <w:r w:rsidR="00221374" w:rsidRPr="0052047F">
        <w:t xml:space="preserve">result </w:t>
      </w:r>
      <w:r w:rsidR="002A10B1" w:rsidRPr="0052047F">
        <w:t>in greater nervous and</w:t>
      </w:r>
      <w:r w:rsidR="00D821E4" w:rsidRPr="0052047F">
        <w:t>/or</w:t>
      </w:r>
      <w:r w:rsidR="002A10B1" w:rsidRPr="0052047F">
        <w:t xml:space="preserve"> neuroendocrine production of activating </w:t>
      </w:r>
      <w:r w:rsidR="000224F0" w:rsidRPr="0052047F">
        <w:t>signals</w:t>
      </w:r>
      <w:r w:rsidR="00D731E2" w:rsidRPr="0052047F">
        <w:t xml:space="preserve"> in response to later-life stress.</w:t>
      </w:r>
      <w:r w:rsidR="00891F71" w:rsidRPr="0052047F">
        <w:t xml:space="preserve"> Indeed</w:t>
      </w:r>
      <w:r w:rsidR="00B62FA1" w:rsidRPr="0052047F">
        <w:t>,</w:t>
      </w:r>
      <w:r w:rsidR="006955E1" w:rsidRPr="0052047F">
        <w:t xml:space="preserve"> many</w:t>
      </w:r>
      <w:r w:rsidR="00B62FA1" w:rsidRPr="0052047F">
        <w:t xml:space="preserve"> </w:t>
      </w:r>
      <w:r w:rsidR="00B62FA1" w:rsidRPr="0052047F">
        <w:lastRenderedPageBreak/>
        <w:t xml:space="preserve">studies </w:t>
      </w:r>
      <w:r w:rsidR="006955E1" w:rsidRPr="0052047F">
        <w:t xml:space="preserve">in both humans and animals </w:t>
      </w:r>
      <w:r w:rsidR="00B62FA1" w:rsidRPr="0052047F">
        <w:t xml:space="preserve">have reported long-lasting effects of ELS </w:t>
      </w:r>
      <w:r w:rsidR="00891F71" w:rsidRPr="0052047F">
        <w:t>on the brain</w:t>
      </w:r>
      <w:r w:rsidR="00B62FA1" w:rsidRPr="0052047F">
        <w:t xml:space="preserve"> which could </w:t>
      </w:r>
      <w:r w:rsidR="00891F71" w:rsidRPr="0052047F">
        <w:t>result in increased</w:t>
      </w:r>
      <w:r w:rsidR="00B62FA1" w:rsidRPr="0052047F">
        <w:t xml:space="preserve"> </w:t>
      </w:r>
      <w:r w:rsidR="00891F71" w:rsidRPr="0052047F">
        <w:t xml:space="preserve">autonomic and endocrine responsiveness </w:t>
      </w:r>
      <w:r w:rsidR="00B62FA1" w:rsidRPr="0052047F">
        <w:t xml:space="preserve">to stress. </w:t>
      </w:r>
      <w:r w:rsidR="00D343B8" w:rsidRPr="0052047F">
        <w:t>For example</w:t>
      </w:r>
      <w:r w:rsidR="00B62FA1" w:rsidRPr="0052047F">
        <w:t xml:space="preserve">, RMS has been reported to increase neuron density in the amygdala </w:t>
      </w:r>
      <w:r w:rsidR="00487F55" w:rsidRPr="0052047F">
        <w:t>(Bassey and Gondré-Lewis, 2019; Gondré-Lewis et al., 2016)</w:t>
      </w:r>
      <w:r w:rsidR="00B62FA1" w:rsidRPr="0052047F">
        <w:t xml:space="preserve"> and decrease parvalbumin-positive interneuron density in the mPFC </w:t>
      </w:r>
      <w:r w:rsidR="00487F55" w:rsidRPr="0052047F">
        <w:t>(Do Prado et al., 2016; Grassi-Oliveira et al., 2016; Wieck et al., 2013)</w:t>
      </w:r>
      <w:r w:rsidR="00B62FA1" w:rsidRPr="0052047F">
        <w:t xml:space="preserve">, while human ELS has been shown to decrease dorsal mPFC volume in adulthood </w:t>
      </w:r>
      <w:r w:rsidR="00487F55" w:rsidRPr="0052047F">
        <w:t>(van Harmelen et al., 2010)</w:t>
      </w:r>
      <w:r w:rsidR="00891F71" w:rsidRPr="0052047F">
        <w:t>.</w:t>
      </w:r>
      <w:r w:rsidR="00221374" w:rsidRPr="0052047F">
        <w:t xml:space="preserve"> </w:t>
      </w:r>
      <w:r w:rsidR="006674A3" w:rsidRPr="0052047F">
        <w:t>However</w:t>
      </w:r>
      <w:r w:rsidR="007D0F8C" w:rsidRPr="0052047F">
        <w:t xml:space="preserve">, </w:t>
      </w:r>
      <w:r w:rsidR="006674A3" w:rsidRPr="0052047F">
        <w:t xml:space="preserve">in rodent models of adulthood stress, </w:t>
      </w:r>
      <w:r w:rsidR="007D0F8C" w:rsidRPr="0052047F">
        <w:t xml:space="preserve">stress-induced priming of immune cells </w:t>
      </w:r>
      <w:r w:rsidR="006674A3" w:rsidRPr="0052047F">
        <w:t xml:space="preserve">has been demonstrated both </w:t>
      </w:r>
      <w:r w:rsidR="007D0F8C" w:rsidRPr="0052047F">
        <w:t xml:space="preserve">to subsequent stressors </w:t>
      </w:r>
      <w:r w:rsidR="00487F55" w:rsidRPr="0052047F">
        <w:t>(Audet et al., 2011)</w:t>
      </w:r>
      <w:r w:rsidR="006674A3" w:rsidRPr="0052047F">
        <w:t xml:space="preserve"> and inflammatory stimuli </w:t>
      </w:r>
      <w:r w:rsidR="00487F55" w:rsidRPr="0052047F">
        <w:t>(Frank et al., 2014; Wohleb et al., 2012)</w:t>
      </w:r>
      <w:r w:rsidR="006674A3" w:rsidRPr="0052047F">
        <w:t xml:space="preserve">, </w:t>
      </w:r>
      <w:r w:rsidR="007D0F8C" w:rsidRPr="0052047F">
        <w:t>indicating that further work is required to understand the role of immunological priming in the elevated neuroimmune responsiveness that follows early life stress.</w:t>
      </w:r>
    </w:p>
    <w:p w14:paraId="5E5637EA" w14:textId="7E742633" w:rsidR="00E307D5" w:rsidRPr="0052047F" w:rsidRDefault="004B51B0">
      <w:r w:rsidRPr="0052047F">
        <w:t>Another implication of our</w:t>
      </w:r>
      <w:r w:rsidR="00491E84" w:rsidRPr="0052047F">
        <w:t xml:space="preserve"> findings </w:t>
      </w:r>
      <w:r w:rsidRPr="0052047F">
        <w:t xml:space="preserve">is </w:t>
      </w:r>
      <w:r w:rsidR="00491E84" w:rsidRPr="0052047F">
        <w:t xml:space="preserve">that the </w:t>
      </w:r>
      <w:bookmarkStart w:id="7" w:name="_Hlk53084779"/>
      <w:r w:rsidR="00491E84" w:rsidRPr="0052047F">
        <w:t>elevated inflammation that has been identified in humans with a history of ELS may be a direct result of</w:t>
      </w:r>
      <w:r w:rsidR="00AD21A8" w:rsidRPr="0052047F">
        <w:t xml:space="preserve"> </w:t>
      </w:r>
      <w:r w:rsidR="001E718A" w:rsidRPr="0052047F">
        <w:t xml:space="preserve">(1) </w:t>
      </w:r>
      <w:r w:rsidR="00AD21A8" w:rsidRPr="0052047F">
        <w:t>ongoing</w:t>
      </w:r>
      <w:r w:rsidR="00491E84" w:rsidRPr="0052047F">
        <w:t xml:space="preserve"> adulthood stress</w:t>
      </w:r>
      <w:r w:rsidR="00B42921" w:rsidRPr="0052047F">
        <w:t>,</w:t>
      </w:r>
      <w:r w:rsidR="001E718A" w:rsidRPr="0052047F">
        <w:t xml:space="preserve"> on a background of (2) increased responsiveness to stress. Ongoing adulthood stress</w:t>
      </w:r>
      <w:r w:rsidR="00491E84" w:rsidRPr="0052047F">
        <w:t xml:space="preserve"> may for example result from everyday occupational, financial, or relationship stressors, or from </w:t>
      </w:r>
      <w:r w:rsidR="00E46078" w:rsidRPr="0052047F">
        <w:t xml:space="preserve">the consequences of </w:t>
      </w:r>
      <w:r w:rsidR="00491E84" w:rsidRPr="0052047F">
        <w:t xml:space="preserve">one or more of the psychiatric disorders </w:t>
      </w:r>
      <w:r w:rsidR="00574D4F" w:rsidRPr="0052047F">
        <w:t xml:space="preserve">that </w:t>
      </w:r>
      <w:r w:rsidR="004516A0" w:rsidRPr="0052047F">
        <w:t>individuals with a history of ELS</w:t>
      </w:r>
      <w:r w:rsidR="00491E84" w:rsidRPr="0052047F">
        <w:t xml:space="preserve"> are at increased risk of developing.</w:t>
      </w:r>
      <w:r w:rsidR="00E46078" w:rsidRPr="0052047F">
        <w:t xml:space="preserve"> </w:t>
      </w:r>
      <w:r w:rsidR="00E307D5" w:rsidRPr="0052047F">
        <w:t>It is also possible that individuals with a history of ELS exhibit a more intense stress</w:t>
      </w:r>
      <w:r w:rsidR="00BE10AC" w:rsidRPr="0052047F">
        <w:t>–immune</w:t>
      </w:r>
      <w:r w:rsidR="00E307D5" w:rsidRPr="0052047F">
        <w:t xml:space="preserve"> response to sample collection itself, in </w:t>
      </w:r>
      <w:bookmarkEnd w:id="7"/>
      <w:r w:rsidR="00E307D5" w:rsidRPr="0052047F">
        <w:t xml:space="preserve">which case </w:t>
      </w:r>
      <w:r w:rsidR="006736B5" w:rsidRPr="0052047F">
        <w:t>findings suggesting elevated inflammation should be interpreted not necessarily as reflecting a stable elevat</w:t>
      </w:r>
      <w:r w:rsidR="00B42921" w:rsidRPr="0052047F">
        <w:t>ed baseline</w:t>
      </w:r>
      <w:r w:rsidR="001D4D6B" w:rsidRPr="0052047F">
        <w:t>,</w:t>
      </w:r>
      <w:r w:rsidR="006736B5" w:rsidRPr="0052047F">
        <w:t xml:space="preserve"> but instead </w:t>
      </w:r>
      <w:r w:rsidR="00B42921" w:rsidRPr="0052047F">
        <w:t xml:space="preserve">as suggesting </w:t>
      </w:r>
      <w:r w:rsidR="006736B5" w:rsidRPr="0052047F">
        <w:t>increased variability</w:t>
      </w:r>
      <w:r w:rsidR="00E46078" w:rsidRPr="0052047F">
        <w:t xml:space="preserve"> and peak daily pro-inflammatory signaling</w:t>
      </w:r>
      <w:r w:rsidR="00F431F7" w:rsidRPr="0052047F">
        <w:t>, or increased average inflammation over time. These findings point towards opportunities for therapeutic intervention</w:t>
      </w:r>
      <w:r w:rsidR="009267E6" w:rsidRPr="0052047F">
        <w:t xml:space="preserve"> </w:t>
      </w:r>
      <w:r w:rsidR="00015D83" w:rsidRPr="0052047F">
        <w:t>in patients with a history of ELS</w:t>
      </w:r>
      <w:r w:rsidR="001F1837" w:rsidRPr="0052047F">
        <w:t>,</w:t>
      </w:r>
      <w:r w:rsidR="00015D83" w:rsidRPr="0052047F">
        <w:t xml:space="preserve"> </w:t>
      </w:r>
      <w:r w:rsidR="009267E6" w:rsidRPr="0052047F">
        <w:t xml:space="preserve">aimed at preventing or treating disorders thought to be </w:t>
      </w:r>
      <w:r w:rsidR="0059594B" w:rsidRPr="0052047F">
        <w:t xml:space="preserve">caused or </w:t>
      </w:r>
      <w:r w:rsidR="009267E6" w:rsidRPr="0052047F">
        <w:t xml:space="preserve">exacerbated by inflammation, such as major depression and cardiovascular disease </w:t>
      </w:r>
      <w:r w:rsidR="00487F55" w:rsidRPr="0052047F">
        <w:lastRenderedPageBreak/>
        <w:t>(Batten et al., 2004; Nanni et al., 2012; Steptoe and Kivimäki, 2012)</w:t>
      </w:r>
      <w:r w:rsidR="00F431F7" w:rsidRPr="0052047F">
        <w:t xml:space="preserve">. </w:t>
      </w:r>
      <w:r w:rsidR="009F43F1" w:rsidRPr="0052047F">
        <w:t xml:space="preserve">Identification and reduction of ongoing stressors, as well as certain psychotherapeutic, meditation, and relaxation regimens, represent readily available non-pharmacological interventions that, given our findings, may be particularly beneficial for patients with a history of ELS </w:t>
      </w:r>
      <w:r w:rsidR="00487F55" w:rsidRPr="0052047F">
        <w:t>(Antoni et al., 2012; Creswell et al., 2012; Morgan et al., 2014; Pace et al., 2009)</w:t>
      </w:r>
      <w:r w:rsidR="001A03FB" w:rsidRPr="0052047F">
        <w:t>.</w:t>
      </w:r>
    </w:p>
    <w:p w14:paraId="42088F5A" w14:textId="42A81489" w:rsidR="00D83CA8" w:rsidRPr="0052047F" w:rsidRDefault="00F07A5A" w:rsidP="00F07A5A">
      <w:r w:rsidRPr="0052047F">
        <w:t xml:space="preserve">While we did not collect data </w:t>
      </w:r>
      <w:r w:rsidR="009F3780" w:rsidRPr="0052047F">
        <w:t>directly examining</w:t>
      </w:r>
      <w:r w:rsidRPr="0052047F">
        <w:t xml:space="preserve"> the causal role of </w:t>
      </w:r>
      <w:r w:rsidR="00D83CA8" w:rsidRPr="0052047F">
        <w:t>ELS-associated inflammation with respect to any particular disorders, our findings have some generali</w:t>
      </w:r>
      <w:r w:rsidR="0052047F">
        <w:t>z</w:t>
      </w:r>
      <w:r w:rsidR="00D83CA8" w:rsidRPr="0052047F">
        <w:t>able implications</w:t>
      </w:r>
      <w:r w:rsidR="007F2FDC" w:rsidRPr="0052047F">
        <w:t xml:space="preserve"> </w:t>
      </w:r>
      <w:r w:rsidR="009F3780" w:rsidRPr="0052047F">
        <w:t>regarding</w:t>
      </w:r>
      <w:r w:rsidR="007F2FDC" w:rsidRPr="0052047F">
        <w:t xml:space="preserve"> causality</w:t>
      </w:r>
      <w:r w:rsidR="00D83CA8" w:rsidRPr="0052047F">
        <w:t xml:space="preserve">. Where long-term non-immunological effects of RMS have been identified in animals not subjected to any further stress, </w:t>
      </w:r>
      <w:r w:rsidR="00190171" w:rsidRPr="0052047F">
        <w:t xml:space="preserve">such as neurobiological effects </w:t>
      </w:r>
      <w:r w:rsidR="00487F55" w:rsidRPr="0052047F">
        <w:t>(Matthews et al., 2001)</w:t>
      </w:r>
      <w:r w:rsidR="00190171" w:rsidRPr="0052047F">
        <w:t xml:space="preserve">, </w:t>
      </w:r>
      <w:r w:rsidR="00D83CA8" w:rsidRPr="0052047F">
        <w:t xml:space="preserve">our results suggest that ongoing pro-inflammatory </w:t>
      </w:r>
      <w:r w:rsidR="00930A14" w:rsidRPr="0052047F">
        <w:t>signaling</w:t>
      </w:r>
      <w:r w:rsidR="00D83CA8" w:rsidRPr="0052047F">
        <w:t xml:space="preserve"> </w:t>
      </w:r>
      <w:r w:rsidR="009F3780" w:rsidRPr="0052047F">
        <w:t>may be</w:t>
      </w:r>
      <w:r w:rsidR="00D83CA8" w:rsidRPr="0052047F">
        <w:t xml:space="preserve"> unlikely to play a causal role in those effects. However, the immune system may still be causally involved</w:t>
      </w:r>
      <w:r w:rsidR="00467BEA" w:rsidRPr="0052047F">
        <w:t xml:space="preserve"> in that</w:t>
      </w:r>
      <w:r w:rsidR="00D83CA8" w:rsidRPr="0052047F">
        <w:t xml:space="preserve"> the early-life inflammation may have long-lasting effects on other systems or processes, for example neurodevelopment, that persist beyond the resolution of the early-life inflammation</w:t>
      </w:r>
      <w:r w:rsidR="00CC41D5" w:rsidRPr="0052047F">
        <w:t xml:space="preserve"> </w:t>
      </w:r>
      <w:r w:rsidR="00487F55" w:rsidRPr="0052047F">
        <w:t>(Estes and McAllister, 2016; Knuesel et al., 2014)</w:t>
      </w:r>
      <w:r w:rsidR="00D83CA8" w:rsidRPr="0052047F">
        <w:t>. Intervention studies targeting the immune system</w:t>
      </w:r>
      <w:r w:rsidR="009F3780" w:rsidRPr="0052047F">
        <w:t>, particularly in early life,</w:t>
      </w:r>
      <w:r w:rsidR="00D83CA8" w:rsidRPr="0052047F">
        <w:t xml:space="preserve"> are necessary to </w:t>
      </w:r>
      <w:r w:rsidR="009F3780" w:rsidRPr="0052047F">
        <w:t>elucidate</w:t>
      </w:r>
      <w:r w:rsidR="00D83CA8" w:rsidRPr="0052047F">
        <w:t xml:space="preserve"> the precise consequences of RMS-associated inflammation, and </w:t>
      </w:r>
      <w:r w:rsidR="00C2379D" w:rsidRPr="0052047F">
        <w:t>this</w:t>
      </w:r>
      <w:r w:rsidR="00D83CA8" w:rsidRPr="0052047F">
        <w:t xml:space="preserve"> review provides clear guidance for such studies. </w:t>
      </w:r>
      <w:r w:rsidR="00FE48AE" w:rsidRPr="0052047F">
        <w:t xml:space="preserve">In RMS animals, </w:t>
      </w:r>
      <w:r w:rsidR="001433C1" w:rsidRPr="0052047F">
        <w:t>it should be expected that pro-</w:t>
      </w:r>
      <w:r w:rsidR="00FE48AE" w:rsidRPr="0052047F">
        <w:t xml:space="preserve">inflammatory signaling </w:t>
      </w:r>
      <w:r w:rsidR="001433C1" w:rsidRPr="0052047F">
        <w:t xml:space="preserve">will peak during or immediately after early-life or later-life stress exposure, and rapidly </w:t>
      </w:r>
      <w:r w:rsidR="00FE48AE" w:rsidRPr="0052047F">
        <w:t xml:space="preserve">decline in the absence of </w:t>
      </w:r>
      <w:r w:rsidR="001433C1" w:rsidRPr="0052047F">
        <w:t>stress</w:t>
      </w:r>
      <w:r w:rsidR="00B46A2F" w:rsidRPr="0052047F">
        <w:t>. Normalization of inflammatory signaling</w:t>
      </w:r>
      <w:r w:rsidR="001433C1" w:rsidRPr="0052047F">
        <w:t xml:space="preserve"> </w:t>
      </w:r>
      <w:r w:rsidR="00B46A2F" w:rsidRPr="0052047F">
        <w:t xml:space="preserve">should be expected </w:t>
      </w:r>
      <w:r w:rsidR="001433C1" w:rsidRPr="0052047F">
        <w:t xml:space="preserve">within several weeks if </w:t>
      </w:r>
      <w:r w:rsidR="006138FC" w:rsidRPr="0052047F">
        <w:t>not within one day</w:t>
      </w:r>
      <w:r w:rsidR="00B46A2F" w:rsidRPr="0052047F">
        <w:t xml:space="preserve"> </w:t>
      </w:r>
      <w:r w:rsidR="00487F55" w:rsidRPr="0052047F">
        <w:t>(Roque et al., 2016)</w:t>
      </w:r>
      <w:r w:rsidR="00B46A2F" w:rsidRPr="0052047F">
        <w:t xml:space="preserve">, although recovery may be slowed if animals are deprived of standard stress-relieving cage elements such as tunnels, nesting, and littermates </w:t>
      </w:r>
      <w:r w:rsidR="00487F55" w:rsidRPr="0052047F">
        <w:t>(Do Prado et al., 2016)</w:t>
      </w:r>
      <w:r w:rsidR="001433C1" w:rsidRPr="0052047F">
        <w:t>.</w:t>
      </w:r>
      <w:r w:rsidR="00AC2C2E" w:rsidRPr="0052047F">
        <w:t xml:space="preserve"> Therefore, both inflammation and its hypothesized consequences should be measured during or immediately after </w:t>
      </w:r>
      <w:r w:rsidR="00AC2C2E" w:rsidRPr="0052047F">
        <w:lastRenderedPageBreak/>
        <w:t xml:space="preserve">stress, and interventions targeting the immune system </w:t>
      </w:r>
      <w:r w:rsidR="00C505B9" w:rsidRPr="0052047F">
        <w:t>will likely</w:t>
      </w:r>
      <w:r w:rsidR="00AC2C2E" w:rsidRPr="0052047F">
        <w:t xml:space="preserve"> be most effective if administered during early-life or later-life stress, or both.</w:t>
      </w:r>
      <w:r w:rsidR="00E8112B" w:rsidRPr="0052047F">
        <w:t xml:space="preserve"> Additionally, measurement of inflammatory signaling in </w:t>
      </w:r>
      <w:r w:rsidR="00443F0E" w:rsidRPr="0052047F">
        <w:t xml:space="preserve">non-blood </w:t>
      </w:r>
      <w:r w:rsidR="00E8112B" w:rsidRPr="0052047F">
        <w:t>tissues</w:t>
      </w:r>
      <w:r w:rsidR="00C505B9" w:rsidRPr="0052047F">
        <w:t xml:space="preserve"> relevant to disorders of interest</w:t>
      </w:r>
      <w:r w:rsidR="00E8112B" w:rsidRPr="0052047F">
        <w:t xml:space="preserve"> is encouraged as </w:t>
      </w:r>
      <w:r w:rsidR="00C505B9" w:rsidRPr="0052047F">
        <w:t>this</w:t>
      </w:r>
      <w:r w:rsidR="00E8112B" w:rsidRPr="0052047F">
        <w:t xml:space="preserve"> appears to be more sensitive than measurement in </w:t>
      </w:r>
      <w:r w:rsidR="00092962" w:rsidRPr="0052047F">
        <w:t>blood</w:t>
      </w:r>
      <w:r w:rsidR="00E8112B" w:rsidRPr="0052047F">
        <w:t xml:space="preserve">. </w:t>
      </w:r>
      <w:r w:rsidR="00D52DE9" w:rsidRPr="0052047F">
        <w:t xml:space="preserve">For three out of four cytokines, the most common short-term effect in </w:t>
      </w:r>
      <w:r w:rsidR="00443F0E" w:rsidRPr="0052047F">
        <w:t xml:space="preserve">non-blood </w:t>
      </w:r>
      <w:r w:rsidR="00D52DE9" w:rsidRPr="0052047F">
        <w:t>tissues was an increase, whereas in the blood, no change was most common.</w:t>
      </w:r>
      <w:r w:rsidR="00E8112B" w:rsidRPr="0052047F">
        <w:t xml:space="preserve"> </w:t>
      </w:r>
      <w:r w:rsidR="009708A8" w:rsidRPr="0052047F">
        <w:t>Additionally</w:t>
      </w:r>
      <w:r w:rsidR="00E8112B" w:rsidRPr="0052047F">
        <w:t xml:space="preserve">, while most included studies measured cytokine expression in either </w:t>
      </w:r>
      <w:r w:rsidR="00443F0E" w:rsidRPr="0052047F">
        <w:t xml:space="preserve">non-blood </w:t>
      </w:r>
      <w:r w:rsidR="00E8112B" w:rsidRPr="0052047F">
        <w:t xml:space="preserve">tissue or blood, but not both, four studies did simultaneously measure a particular cytokine in both types of tissue, and three of these detected at least one change in </w:t>
      </w:r>
      <w:r w:rsidR="00443F0E" w:rsidRPr="0052047F">
        <w:t xml:space="preserve">non-blood </w:t>
      </w:r>
      <w:r w:rsidR="00E8112B" w:rsidRPr="0052047F">
        <w:t xml:space="preserve">tissue that was not detected in plasma </w:t>
      </w:r>
      <w:r w:rsidR="00487F55" w:rsidRPr="0052047F">
        <w:t>(Moya-Pérez et al., 2017; Roque et al., 2016; Wang et al., 2017)</w:t>
      </w:r>
      <w:r w:rsidR="00E8112B" w:rsidRPr="0052047F">
        <w:t xml:space="preserve">. </w:t>
      </w:r>
    </w:p>
    <w:p w14:paraId="747EA11B" w14:textId="6D80788E" w:rsidR="009D6752" w:rsidRPr="0052047F" w:rsidRDefault="00D371F0" w:rsidP="00CF6D8A">
      <w:bookmarkStart w:id="8" w:name="_Hlk53084762"/>
      <w:r w:rsidRPr="0052047F">
        <w:t xml:space="preserve">In summary, our findings in animals subjected to ELS suggest that ELS results in a long-lasting sensitization of the </w:t>
      </w:r>
      <w:r w:rsidR="00CB6DC5" w:rsidRPr="0052047F">
        <w:t>neuroimmune response to stress</w:t>
      </w:r>
      <w:r w:rsidR="00110995" w:rsidRPr="0052047F">
        <w:t>,</w:t>
      </w:r>
      <w:r w:rsidRPr="0052047F">
        <w:t xml:space="preserve"> and consequently a propensity to elevated inflammation in response to later-life stress.</w:t>
      </w:r>
      <w:r w:rsidR="00110995" w:rsidRPr="0052047F">
        <w:t xml:space="preserve"> </w:t>
      </w:r>
      <w:bookmarkEnd w:id="8"/>
      <w:r w:rsidR="00110995" w:rsidRPr="0052047F">
        <w:t>Further, the finding that f</w:t>
      </w:r>
      <w:r w:rsidRPr="0052047F">
        <w:t xml:space="preserve">or ELS to result in elevated inflammation in later life, subjects must generally be exposed to ongoing stress, </w:t>
      </w:r>
      <w:r w:rsidR="00110995" w:rsidRPr="0052047F">
        <w:t>suggests</w:t>
      </w:r>
      <w:r w:rsidRPr="0052047F">
        <w:t xml:space="preserve"> that non-pharmacological interventions aimed at reducing stressor exposure or stress responsiveness may be particularly beneficial in reducing inflammation in people with a history of ELS. </w:t>
      </w:r>
      <w:r w:rsidR="00E2263A" w:rsidRPr="0052047F">
        <w:t>Finally, our findings guide the future use of RMS to interrogate the causal roles of ELS and inflammation in disorders such as depression and cardiovascular disease.</w:t>
      </w:r>
    </w:p>
    <w:p w14:paraId="79F14C7A" w14:textId="77777777" w:rsidR="00EB128D" w:rsidRPr="0052047F" w:rsidRDefault="00EB128D" w:rsidP="00EB128D">
      <w:pPr>
        <w:pStyle w:val="H1"/>
      </w:pPr>
      <w:r w:rsidRPr="0052047F">
        <w:t>Funding</w:t>
      </w:r>
    </w:p>
    <w:p w14:paraId="390FD769" w14:textId="77777777" w:rsidR="00EB128D" w:rsidRPr="0052047F" w:rsidRDefault="00EB128D" w:rsidP="00EB128D">
      <w:pPr>
        <w:rPr>
          <w:b/>
          <w:bCs/>
          <w:shd w:val="clear" w:color="auto" w:fill="FFFFFF"/>
        </w:rPr>
      </w:pPr>
      <w:r w:rsidRPr="0052047F">
        <w:rPr>
          <w:shd w:val="clear" w:color="auto" w:fill="FFFFFF"/>
        </w:rPr>
        <w:t xml:space="preserve">The authors of this article are funded in part by a GlaxoSmithKline Varsity Award with core funding from the Medical Research Council (G1000183) and Wellcome Trust (093875/Z/10/Z) in support of the Behavioural and Clinical Neuroscience Institute at Cambridge University. EGD acknowledges funding from the Gates Cambridge Trust. ML is supported by a fellowship from the </w:t>
      </w:r>
      <w:r w:rsidRPr="0052047F">
        <w:rPr>
          <w:shd w:val="clear" w:color="auto" w:fill="FFFFFF"/>
        </w:rPr>
        <w:lastRenderedPageBreak/>
        <w:t>Medical Research Council (MR/S006257/1). MRC received support from the National Institute for Health Research (NIHR) Cambridge Biomedical Research Centre, the NIHR Blood and Transplant Research Unit, a Medical Research Council New Investigator Research Grant (MR/N024907/1), an Arthritis Research UK Cure Challenge Research Grant (#21777), and an NIHR Research Professorship (RP-2017-08-ST2-002). ETB is supported by an NIHR Senior Investigator Award.</w:t>
      </w:r>
    </w:p>
    <w:p w14:paraId="2FC7B0FC" w14:textId="77777777" w:rsidR="00EB128D" w:rsidRPr="0052047F" w:rsidRDefault="00EB128D" w:rsidP="00EB128D">
      <w:pPr>
        <w:pStyle w:val="H1"/>
      </w:pPr>
      <w:r w:rsidRPr="0052047F">
        <w:t>Declaration of Conflicting Interests</w:t>
      </w:r>
    </w:p>
    <w:p w14:paraId="060DE523" w14:textId="1ADD8539" w:rsidR="00F25C49" w:rsidRPr="0052047F" w:rsidRDefault="00EB128D" w:rsidP="00EB128D">
      <w:r w:rsidRPr="0052047F">
        <w:rPr>
          <w:shd w:val="clear" w:color="auto" w:fill="FFFFFF"/>
        </w:rPr>
        <w:t xml:space="preserve">TWR is a consultant for and </w:t>
      </w:r>
      <w:r w:rsidRPr="0052047F">
        <w:t>receives royalties from Cambridge Cognition; received research grants from GlaxoSmithKline and Shionogi; is a consultant for Greenfield Bioventures, Cassava, Heptares and Arcadia. JWD has received research grants from Boehringer Ingelheim Pharma GmbH and GlaxoSmithKline. SK is employed by GlaxoSmithKline. ETB consults for Sosei Heptares. The remaining authors declare no conflicts of interest.</w:t>
      </w:r>
    </w:p>
    <w:p w14:paraId="428F9EED" w14:textId="77777777" w:rsidR="001B23F3" w:rsidRDefault="001B23F3">
      <w:pPr>
        <w:spacing w:line="259" w:lineRule="auto"/>
        <w:jc w:val="left"/>
        <w:rPr>
          <w:rFonts w:cs="Times New Roman"/>
          <w:szCs w:val="24"/>
        </w:rPr>
      </w:pPr>
      <w:r>
        <w:rPr>
          <w:rFonts w:cs="Times New Roman"/>
          <w:szCs w:val="24"/>
        </w:rPr>
        <w:br w:type="page"/>
      </w:r>
    </w:p>
    <w:p w14:paraId="3C98DE97" w14:textId="672267A1" w:rsidR="00487F55" w:rsidRPr="0052047F" w:rsidRDefault="00487F55" w:rsidP="00487F55">
      <w:pPr>
        <w:pStyle w:val="CitaviBibliographyHeading"/>
        <w:spacing w:line="240" w:lineRule="auto"/>
        <w:rPr>
          <w:b/>
          <w:bCs/>
        </w:rPr>
      </w:pPr>
      <w:r w:rsidRPr="0052047F">
        <w:rPr>
          <w:b/>
          <w:bCs/>
        </w:rPr>
        <w:lastRenderedPageBreak/>
        <w:t>References</w:t>
      </w:r>
    </w:p>
    <w:p w14:paraId="41E858B9" w14:textId="77777777" w:rsidR="00487F55" w:rsidRPr="0052047F" w:rsidRDefault="00487F55" w:rsidP="00487F55">
      <w:pPr>
        <w:pStyle w:val="CitaviBibliographyEntry"/>
        <w:spacing w:line="240" w:lineRule="auto"/>
      </w:pPr>
      <w:bookmarkStart w:id="9" w:name="_CTVL00108eaad763a3247ffbd59c65c961638c6"/>
      <w:r w:rsidRPr="0052047F">
        <w:t>Agnew-</w:t>
      </w:r>
      <w:proofErr w:type="spellStart"/>
      <w:r w:rsidRPr="0052047F">
        <w:t>Blais</w:t>
      </w:r>
      <w:proofErr w:type="spellEnd"/>
      <w:r w:rsidRPr="0052047F">
        <w:t xml:space="preserve"> J and </w:t>
      </w:r>
      <w:proofErr w:type="spellStart"/>
      <w:r w:rsidRPr="0052047F">
        <w:t>Danese</w:t>
      </w:r>
      <w:proofErr w:type="spellEnd"/>
      <w:r w:rsidRPr="0052047F">
        <w:t xml:space="preserve"> A (2016) Childhood maltreatment and </w:t>
      </w:r>
      <w:proofErr w:type="spellStart"/>
      <w:r w:rsidRPr="0052047F">
        <w:t>unfavourable</w:t>
      </w:r>
      <w:proofErr w:type="spellEnd"/>
      <w:r w:rsidRPr="0052047F">
        <w:t xml:space="preserve"> clinical outcomes in bipolar disorder: a systematic review and meta-analysis.</w:t>
      </w:r>
      <w:bookmarkEnd w:id="9"/>
      <w:r w:rsidRPr="0052047F">
        <w:t xml:space="preserve"> </w:t>
      </w:r>
      <w:r w:rsidRPr="0052047F">
        <w:rPr>
          <w:i/>
        </w:rPr>
        <w:t>The lancet. Psychiatry</w:t>
      </w:r>
      <w:r w:rsidRPr="0052047F">
        <w:t xml:space="preserve"> 3(4): 342–349.</w:t>
      </w:r>
    </w:p>
    <w:p w14:paraId="7DA7ED4F" w14:textId="77777777" w:rsidR="00487F55" w:rsidRPr="0052047F" w:rsidRDefault="00487F55" w:rsidP="00487F55">
      <w:pPr>
        <w:pStyle w:val="CitaviBibliographyEntry"/>
        <w:spacing w:line="240" w:lineRule="auto"/>
      </w:pPr>
      <w:bookmarkStart w:id="10" w:name="_CTVL00118e5ace14e7843f59c65bf67150ee3fd"/>
      <w:proofErr w:type="spellStart"/>
      <w:r w:rsidRPr="0052047F">
        <w:t>Amini-Khoei</w:t>
      </w:r>
      <w:proofErr w:type="spellEnd"/>
      <w:r w:rsidRPr="0052047F">
        <w:t xml:space="preserve"> H, </w:t>
      </w:r>
      <w:proofErr w:type="spellStart"/>
      <w:r w:rsidRPr="0052047F">
        <w:t>Haghani-Samani</w:t>
      </w:r>
      <w:proofErr w:type="spellEnd"/>
      <w:r w:rsidRPr="0052047F">
        <w:t xml:space="preserve"> E, </w:t>
      </w:r>
      <w:proofErr w:type="spellStart"/>
      <w:r w:rsidRPr="0052047F">
        <w:t>Beigi</w:t>
      </w:r>
      <w:proofErr w:type="spellEnd"/>
      <w:r w:rsidRPr="0052047F">
        <w:t xml:space="preserve"> M, et al. (2019) On the role of corticosterone in behavioral disorders, microbiota composition alteration and neuroimmune response in adult male mice subjected to maternal separation stress.</w:t>
      </w:r>
      <w:bookmarkEnd w:id="10"/>
      <w:r w:rsidRPr="0052047F">
        <w:t xml:space="preserve"> </w:t>
      </w:r>
      <w:r w:rsidRPr="0052047F">
        <w:rPr>
          <w:i/>
        </w:rPr>
        <w:t>International immunopharmacology</w:t>
      </w:r>
      <w:r w:rsidRPr="0052047F">
        <w:t xml:space="preserve"> 66: 242–250.</w:t>
      </w:r>
    </w:p>
    <w:p w14:paraId="03F3E5A2" w14:textId="77777777" w:rsidR="00487F55" w:rsidRPr="0052047F" w:rsidRDefault="00487F55" w:rsidP="00487F55">
      <w:pPr>
        <w:pStyle w:val="CitaviBibliographyEntry"/>
        <w:spacing w:line="240" w:lineRule="auto"/>
      </w:pPr>
      <w:bookmarkStart w:id="11" w:name="_CTVL001f276b396212f4039bb3433be4a992e31"/>
      <w:proofErr w:type="spellStart"/>
      <w:r w:rsidRPr="0052047F">
        <w:t>Amini-Khoei</w:t>
      </w:r>
      <w:proofErr w:type="spellEnd"/>
      <w:r w:rsidRPr="0052047F">
        <w:t xml:space="preserve"> H, </w:t>
      </w:r>
      <w:proofErr w:type="spellStart"/>
      <w:r w:rsidRPr="0052047F">
        <w:t>Mohammadi</w:t>
      </w:r>
      <w:proofErr w:type="spellEnd"/>
      <w:r w:rsidRPr="0052047F">
        <w:t>-Asl A, Amiri S, et al. (2017) Oxytocin mitigated the depressive-like behaviors of maternal separation stress through modulating mitochondrial function and neuroinflammation.</w:t>
      </w:r>
      <w:bookmarkEnd w:id="11"/>
      <w:r w:rsidRPr="0052047F">
        <w:t xml:space="preserve"> </w:t>
      </w:r>
      <w:r w:rsidRPr="0052047F">
        <w:rPr>
          <w:i/>
        </w:rPr>
        <w:t>Progress in neuro-psychopharmacology &amp; biological psychiatry</w:t>
      </w:r>
      <w:r w:rsidRPr="0052047F">
        <w:t xml:space="preserve"> 76: 169–178.</w:t>
      </w:r>
    </w:p>
    <w:p w14:paraId="28C052AA" w14:textId="77777777" w:rsidR="00487F55" w:rsidRPr="0052047F" w:rsidRDefault="00487F55" w:rsidP="00487F55">
      <w:pPr>
        <w:pStyle w:val="CitaviBibliographyEntry"/>
        <w:spacing w:line="240" w:lineRule="auto"/>
      </w:pPr>
      <w:bookmarkStart w:id="12" w:name="_CTVL001ea3b1cb353914723891f893bb5ae1194"/>
      <w:r w:rsidRPr="0052047F">
        <w:t>Andersen SL (2015) Exposure to early adversity: Points of cross-species translation that can lead to improved understanding of depression.</w:t>
      </w:r>
      <w:bookmarkEnd w:id="12"/>
      <w:r w:rsidRPr="0052047F">
        <w:t xml:space="preserve"> </w:t>
      </w:r>
      <w:r w:rsidRPr="0052047F">
        <w:rPr>
          <w:i/>
        </w:rPr>
        <w:t>Development and psychopathology</w:t>
      </w:r>
      <w:r w:rsidRPr="0052047F">
        <w:t xml:space="preserve"> 27(2): 477–491.</w:t>
      </w:r>
    </w:p>
    <w:p w14:paraId="0242EE99" w14:textId="77777777" w:rsidR="00487F55" w:rsidRPr="0052047F" w:rsidRDefault="00487F55" w:rsidP="00487F55">
      <w:pPr>
        <w:pStyle w:val="CitaviBibliographyEntry"/>
        <w:spacing w:line="240" w:lineRule="auto"/>
      </w:pPr>
      <w:bookmarkStart w:id="13" w:name="_CTVL001d2659d70b3fb49cdac8adff9ff68f847"/>
      <w:r w:rsidRPr="0052047F">
        <w:t>Antoni MH, Lutgendorf SK, Blomberg B, et al. (2012) Cognitive-behavioral stress management reverses anxiety-related leukocyte transcriptional dynamics.</w:t>
      </w:r>
      <w:bookmarkEnd w:id="13"/>
      <w:r w:rsidRPr="0052047F">
        <w:t xml:space="preserve"> </w:t>
      </w:r>
      <w:r w:rsidRPr="0052047F">
        <w:rPr>
          <w:i/>
        </w:rPr>
        <w:t>Biological psychiatry</w:t>
      </w:r>
      <w:r w:rsidRPr="0052047F">
        <w:t xml:space="preserve"> 71(4): 366–372.</w:t>
      </w:r>
    </w:p>
    <w:p w14:paraId="0E3C1FA6" w14:textId="77777777" w:rsidR="00487F55" w:rsidRPr="0052047F" w:rsidRDefault="00487F55" w:rsidP="00487F55">
      <w:pPr>
        <w:pStyle w:val="CitaviBibliographyEntry"/>
        <w:spacing w:line="240" w:lineRule="auto"/>
      </w:pPr>
      <w:bookmarkStart w:id="14" w:name="_CTVL001a7f839e159304c4893031598c4149901"/>
      <w:proofErr w:type="spellStart"/>
      <w:r w:rsidRPr="0052047F">
        <w:t>Audet</w:t>
      </w:r>
      <w:proofErr w:type="spellEnd"/>
      <w:r w:rsidRPr="0052047F">
        <w:t xml:space="preserve"> M-C, Jacobson-Pick S, </w:t>
      </w:r>
      <w:proofErr w:type="spellStart"/>
      <w:r w:rsidRPr="0052047F">
        <w:t>Wann</w:t>
      </w:r>
      <w:proofErr w:type="spellEnd"/>
      <w:r w:rsidRPr="0052047F">
        <w:t xml:space="preserve"> BP, et al. (2011) Social defeat promotes specific cytokine variations within the prefrontal cortex upon subsequent aggressive or endotoxin challenges.</w:t>
      </w:r>
      <w:bookmarkEnd w:id="14"/>
      <w:r w:rsidRPr="0052047F">
        <w:t xml:space="preserve"> </w:t>
      </w:r>
      <w:r w:rsidRPr="0052047F">
        <w:rPr>
          <w:i/>
        </w:rPr>
        <w:t>Brain, behavior, and immunity</w:t>
      </w:r>
      <w:r w:rsidRPr="0052047F">
        <w:t xml:space="preserve"> 25(6): 1197–1205.</w:t>
      </w:r>
    </w:p>
    <w:p w14:paraId="198C61C9" w14:textId="77777777" w:rsidR="00487F55" w:rsidRPr="0052047F" w:rsidRDefault="00487F55" w:rsidP="00487F55">
      <w:pPr>
        <w:pStyle w:val="CitaviBibliographyEntry"/>
        <w:spacing w:line="240" w:lineRule="auto"/>
      </w:pPr>
      <w:bookmarkStart w:id="15" w:name="_CTVL00101192b63f3ec434e97548dcd133aaeaa"/>
      <w:proofErr w:type="spellStart"/>
      <w:r w:rsidRPr="0052047F">
        <w:t>Avitsur</w:t>
      </w:r>
      <w:proofErr w:type="spellEnd"/>
      <w:r w:rsidRPr="0052047F">
        <w:t xml:space="preserve"> R, </w:t>
      </w:r>
      <w:proofErr w:type="spellStart"/>
      <w:r w:rsidRPr="0052047F">
        <w:t>Hunzeker</w:t>
      </w:r>
      <w:proofErr w:type="spellEnd"/>
      <w:r w:rsidRPr="0052047F">
        <w:t xml:space="preserve"> J and Sheridan JF (2006) Role of early stress in the individual differences in host response to viral infection.</w:t>
      </w:r>
      <w:bookmarkEnd w:id="15"/>
      <w:r w:rsidRPr="0052047F">
        <w:t xml:space="preserve"> </w:t>
      </w:r>
      <w:r w:rsidRPr="0052047F">
        <w:rPr>
          <w:i/>
        </w:rPr>
        <w:t>Brain, behavior, and immunity</w:t>
      </w:r>
      <w:r w:rsidRPr="0052047F">
        <w:t xml:space="preserve"> 20(4): 339–348.</w:t>
      </w:r>
    </w:p>
    <w:p w14:paraId="3D7DF9D9" w14:textId="77777777" w:rsidR="00487F55" w:rsidRPr="0052047F" w:rsidRDefault="00487F55" w:rsidP="00487F55">
      <w:pPr>
        <w:pStyle w:val="CitaviBibliographyEntry"/>
        <w:spacing w:line="240" w:lineRule="auto"/>
      </w:pPr>
      <w:bookmarkStart w:id="16" w:name="_CTVL001c15e038c393c4620a3cb6e24b0e082f7"/>
      <w:proofErr w:type="spellStart"/>
      <w:r w:rsidRPr="0052047F">
        <w:t>Avitsur</w:t>
      </w:r>
      <w:proofErr w:type="spellEnd"/>
      <w:r w:rsidRPr="0052047F">
        <w:t xml:space="preserve"> R, </w:t>
      </w:r>
      <w:proofErr w:type="spellStart"/>
      <w:r w:rsidRPr="0052047F">
        <w:t>Maayan</w:t>
      </w:r>
      <w:proofErr w:type="spellEnd"/>
      <w:r w:rsidRPr="0052047F">
        <w:t xml:space="preserve"> R and </w:t>
      </w:r>
      <w:proofErr w:type="spellStart"/>
      <w:r w:rsidRPr="0052047F">
        <w:t>Weizman</w:t>
      </w:r>
      <w:proofErr w:type="spellEnd"/>
      <w:r w:rsidRPr="0052047F">
        <w:t xml:space="preserve"> A (2013) Neonatal stress modulates sickness behavior: role for proinflammatory cytokines.</w:t>
      </w:r>
      <w:bookmarkEnd w:id="16"/>
      <w:r w:rsidRPr="0052047F">
        <w:t xml:space="preserve"> </w:t>
      </w:r>
      <w:r w:rsidRPr="0052047F">
        <w:rPr>
          <w:i/>
        </w:rPr>
        <w:t>Journal of neuroimmunology</w:t>
      </w:r>
      <w:r w:rsidRPr="0052047F">
        <w:t xml:space="preserve"> 257(1-2): 59–66.</w:t>
      </w:r>
    </w:p>
    <w:p w14:paraId="4975BED0" w14:textId="77777777" w:rsidR="00487F55" w:rsidRPr="0052047F" w:rsidRDefault="00487F55" w:rsidP="00487F55">
      <w:pPr>
        <w:pStyle w:val="CitaviBibliographyEntry"/>
        <w:spacing w:line="240" w:lineRule="auto"/>
      </w:pPr>
      <w:bookmarkStart w:id="17" w:name="_CTVL001822e827ba80b4671bc615c9bea00f9b2"/>
      <w:r w:rsidRPr="0052047F">
        <w:t xml:space="preserve">Baldy C, Fournier S, </w:t>
      </w:r>
      <w:proofErr w:type="spellStart"/>
      <w:r w:rsidRPr="0052047F">
        <w:t>Boisjoly</w:t>
      </w:r>
      <w:proofErr w:type="spellEnd"/>
      <w:r w:rsidRPr="0052047F">
        <w:t>-Villeneuve S, et al. (2018) The influence of sex and neonatal stress on medullary microglia in rat pups.</w:t>
      </w:r>
      <w:bookmarkEnd w:id="17"/>
      <w:r w:rsidRPr="0052047F">
        <w:t xml:space="preserve"> </w:t>
      </w:r>
      <w:r w:rsidRPr="0052047F">
        <w:rPr>
          <w:i/>
        </w:rPr>
        <w:t>Experimental physiology</w:t>
      </w:r>
      <w:r w:rsidRPr="0052047F">
        <w:t xml:space="preserve"> 103(9): 1192–1199.</w:t>
      </w:r>
    </w:p>
    <w:p w14:paraId="56CE57BA" w14:textId="77777777" w:rsidR="00487F55" w:rsidRPr="0052047F" w:rsidRDefault="00487F55" w:rsidP="00487F55">
      <w:pPr>
        <w:pStyle w:val="CitaviBibliographyEntry"/>
        <w:spacing w:line="240" w:lineRule="auto"/>
      </w:pPr>
      <w:bookmarkStart w:id="18" w:name="_CTVL001807117a4a6a7431fb12dd8de7c2c7851"/>
      <w:proofErr w:type="spellStart"/>
      <w:r w:rsidRPr="0052047F">
        <w:t>Banqueri</w:t>
      </w:r>
      <w:proofErr w:type="spellEnd"/>
      <w:r w:rsidRPr="0052047F">
        <w:t xml:space="preserve"> M, Méndez M, Gómez-</w:t>
      </w:r>
      <w:proofErr w:type="spellStart"/>
      <w:r w:rsidRPr="0052047F">
        <w:t>Lázaro</w:t>
      </w:r>
      <w:proofErr w:type="spellEnd"/>
      <w:r w:rsidRPr="0052047F">
        <w:t xml:space="preserve"> E, et al. (2019) Early life stress by repeated maternal separation induces long-term neuroinflammatory response in glial cells of male rats.</w:t>
      </w:r>
      <w:bookmarkEnd w:id="18"/>
      <w:r w:rsidRPr="0052047F">
        <w:t xml:space="preserve"> </w:t>
      </w:r>
      <w:r w:rsidRPr="0052047F">
        <w:rPr>
          <w:i/>
        </w:rPr>
        <w:t>Stress (Amsterdam, Netherlands)</w:t>
      </w:r>
      <w:r w:rsidRPr="0052047F">
        <w:t xml:space="preserve"> 22(5): 563–570.</w:t>
      </w:r>
    </w:p>
    <w:p w14:paraId="7E4E683B" w14:textId="77777777" w:rsidR="00487F55" w:rsidRPr="0052047F" w:rsidRDefault="00487F55" w:rsidP="00487F55">
      <w:pPr>
        <w:pStyle w:val="CitaviBibliographyEntry"/>
        <w:spacing w:line="240" w:lineRule="auto"/>
      </w:pPr>
      <w:bookmarkStart w:id="19" w:name="_CTVL001799fa7a2ae87435d9c3fdf0ffac8292d"/>
      <w:proofErr w:type="spellStart"/>
      <w:r w:rsidRPr="0052047F">
        <w:t>Barouei</w:t>
      </w:r>
      <w:proofErr w:type="spellEnd"/>
      <w:r w:rsidRPr="0052047F">
        <w:t xml:space="preserve"> J, Moussavi M and Hodgson DM (2015) Perinatal maternal probiotic intervention impacts immune responses and ileal mucin gene expression in a rat model of irritable bowel syndrome.</w:t>
      </w:r>
      <w:bookmarkEnd w:id="19"/>
      <w:r w:rsidRPr="0052047F">
        <w:t xml:space="preserve"> </w:t>
      </w:r>
      <w:r w:rsidRPr="0052047F">
        <w:rPr>
          <w:i/>
        </w:rPr>
        <w:t>Beneficial microbes</w:t>
      </w:r>
      <w:r w:rsidRPr="0052047F">
        <w:t xml:space="preserve"> 6(1): 83–95.</w:t>
      </w:r>
    </w:p>
    <w:p w14:paraId="4B0E87F9" w14:textId="77777777" w:rsidR="00487F55" w:rsidRPr="0052047F" w:rsidRDefault="00487F55" w:rsidP="00487F55">
      <w:pPr>
        <w:pStyle w:val="CitaviBibliographyEntry"/>
        <w:spacing w:line="240" w:lineRule="auto"/>
      </w:pPr>
      <w:bookmarkStart w:id="20" w:name="_CTVL001221140182b0e4a6381dab9e71d6c2cc6"/>
      <w:proofErr w:type="spellStart"/>
      <w:r w:rsidRPr="0052047F">
        <w:t>Barreau</w:t>
      </w:r>
      <w:proofErr w:type="spellEnd"/>
      <w:r w:rsidRPr="0052047F">
        <w:t xml:space="preserve"> F, Ferrier L, Fioramonti J, et al. (2004) Neonatal maternal deprivation triggers long term alterations in colonic epithelial barrier and mucosal immunity in rats.</w:t>
      </w:r>
      <w:bookmarkEnd w:id="20"/>
      <w:r w:rsidRPr="0052047F">
        <w:t xml:space="preserve"> </w:t>
      </w:r>
      <w:r w:rsidRPr="0052047F">
        <w:rPr>
          <w:i/>
        </w:rPr>
        <w:t>Gut</w:t>
      </w:r>
      <w:r w:rsidRPr="0052047F">
        <w:t xml:space="preserve"> 53(4): 501–506.</w:t>
      </w:r>
    </w:p>
    <w:p w14:paraId="3C4FF510" w14:textId="77777777" w:rsidR="00487F55" w:rsidRPr="0052047F" w:rsidRDefault="00487F55" w:rsidP="00487F55">
      <w:pPr>
        <w:pStyle w:val="CitaviBibliographyEntry"/>
        <w:spacing w:line="240" w:lineRule="auto"/>
      </w:pPr>
      <w:bookmarkStart w:id="21" w:name="_CTVL00160286cc0b8134bc9a93177c676eec61b"/>
      <w:r w:rsidRPr="0052047F">
        <w:t xml:space="preserve">Bassey RB and </w:t>
      </w:r>
      <w:proofErr w:type="spellStart"/>
      <w:r w:rsidRPr="0052047F">
        <w:t>Gondré</w:t>
      </w:r>
      <w:proofErr w:type="spellEnd"/>
      <w:r w:rsidRPr="0052047F">
        <w:t>-Lewis MC (2019) Combined early life stressors: Prenatal nicotine and maternal deprivation interact to influence affective and drug seeking behavioral phenotypes in rats.</w:t>
      </w:r>
      <w:bookmarkEnd w:id="21"/>
      <w:r w:rsidRPr="0052047F">
        <w:t xml:space="preserve"> </w:t>
      </w:r>
      <w:proofErr w:type="spellStart"/>
      <w:r w:rsidRPr="0052047F">
        <w:rPr>
          <w:i/>
        </w:rPr>
        <w:t>Behavioural</w:t>
      </w:r>
      <w:proofErr w:type="spellEnd"/>
      <w:r w:rsidRPr="0052047F">
        <w:rPr>
          <w:i/>
        </w:rPr>
        <w:t xml:space="preserve"> brain research</w:t>
      </w:r>
      <w:r w:rsidRPr="0052047F">
        <w:t xml:space="preserve"> 359: 814–822.</w:t>
      </w:r>
    </w:p>
    <w:p w14:paraId="28801FE7" w14:textId="77777777" w:rsidR="00487F55" w:rsidRPr="0052047F" w:rsidRDefault="00487F55" w:rsidP="00487F55">
      <w:pPr>
        <w:pStyle w:val="CitaviBibliographyEntry"/>
        <w:spacing w:line="240" w:lineRule="auto"/>
      </w:pPr>
      <w:bookmarkStart w:id="22" w:name="_CTVL001f97ded341759410bb84f402aed860c50"/>
      <w:r w:rsidRPr="0052047F">
        <w:t xml:space="preserve">Batten SV, Aslan M, </w:t>
      </w:r>
      <w:proofErr w:type="spellStart"/>
      <w:r w:rsidRPr="0052047F">
        <w:t>Maciejewski</w:t>
      </w:r>
      <w:proofErr w:type="spellEnd"/>
      <w:r w:rsidRPr="0052047F">
        <w:t xml:space="preserve"> PK, et al. (2004) Childhood maltreatment as a risk factor for adult cardiovascular disease and depression.</w:t>
      </w:r>
      <w:bookmarkEnd w:id="22"/>
      <w:r w:rsidRPr="0052047F">
        <w:t xml:space="preserve"> </w:t>
      </w:r>
      <w:r w:rsidRPr="0052047F">
        <w:rPr>
          <w:i/>
        </w:rPr>
        <w:t>The Journal of clinical psychiatry</w:t>
      </w:r>
      <w:r w:rsidRPr="0052047F">
        <w:t xml:space="preserve"> 65(2): 249–254.</w:t>
      </w:r>
    </w:p>
    <w:p w14:paraId="7F2D7E98" w14:textId="77777777" w:rsidR="00487F55" w:rsidRPr="0052047F" w:rsidRDefault="00487F55" w:rsidP="00487F55">
      <w:pPr>
        <w:pStyle w:val="CitaviBibliographyEntry"/>
        <w:spacing w:line="240" w:lineRule="auto"/>
      </w:pPr>
      <w:bookmarkStart w:id="23" w:name="_CTVL0011bcdd48a875742e7b91cb7c30356a451"/>
      <w:r w:rsidRPr="0052047F">
        <w:t xml:space="preserve">Baumeister D, Akhtar R, </w:t>
      </w:r>
      <w:proofErr w:type="spellStart"/>
      <w:r w:rsidRPr="0052047F">
        <w:t>Ciufolini</w:t>
      </w:r>
      <w:proofErr w:type="spellEnd"/>
      <w:r w:rsidRPr="0052047F">
        <w:t xml:space="preserve"> S, et al. (2016) Childhood trauma and adulthood inflammation: a meta-analysis of peripheral C-reactive protein, interleukin-6 and </w:t>
      </w:r>
      <w:proofErr w:type="spellStart"/>
      <w:r w:rsidRPr="0052047F">
        <w:t>tumour</w:t>
      </w:r>
      <w:proofErr w:type="spellEnd"/>
      <w:r w:rsidRPr="0052047F">
        <w:t xml:space="preserve"> necrosis factor-α.</w:t>
      </w:r>
      <w:bookmarkEnd w:id="23"/>
      <w:r w:rsidRPr="0052047F">
        <w:t xml:space="preserve"> </w:t>
      </w:r>
      <w:r w:rsidRPr="0052047F">
        <w:rPr>
          <w:i/>
        </w:rPr>
        <w:t>Molecular psychiatry</w:t>
      </w:r>
      <w:r w:rsidRPr="0052047F">
        <w:t xml:space="preserve"> 21(5): 642–649.</w:t>
      </w:r>
    </w:p>
    <w:p w14:paraId="49B70934" w14:textId="77777777" w:rsidR="00487F55" w:rsidRPr="0052047F" w:rsidRDefault="00487F55" w:rsidP="00487F55">
      <w:pPr>
        <w:pStyle w:val="CitaviBibliographyEntry"/>
        <w:spacing w:line="240" w:lineRule="auto"/>
      </w:pPr>
      <w:bookmarkStart w:id="24" w:name="_CTVL00144ad466c4c7d425190be1ec47356c55c"/>
      <w:r w:rsidRPr="0052047F">
        <w:lastRenderedPageBreak/>
        <w:t xml:space="preserve">Breivik T, Gundersen Y, </w:t>
      </w:r>
      <w:proofErr w:type="spellStart"/>
      <w:r w:rsidRPr="0052047F">
        <w:t>Murison</w:t>
      </w:r>
      <w:proofErr w:type="spellEnd"/>
      <w:r w:rsidRPr="0052047F">
        <w:t xml:space="preserve"> R, et al. (2015) Maternal Deprivation of Lewis Rat Pups Increases the Severity of </w:t>
      </w:r>
      <w:proofErr w:type="spellStart"/>
      <w:r w:rsidRPr="0052047F">
        <w:t>Experi</w:t>
      </w:r>
      <w:proofErr w:type="spellEnd"/>
      <w:r w:rsidRPr="0052047F">
        <w:t>-mental Periodontitis in Adulthood.</w:t>
      </w:r>
      <w:bookmarkEnd w:id="24"/>
      <w:r w:rsidRPr="0052047F">
        <w:t xml:space="preserve"> </w:t>
      </w:r>
      <w:r w:rsidRPr="0052047F">
        <w:rPr>
          <w:i/>
        </w:rPr>
        <w:t>The open dentistry journal</w:t>
      </w:r>
      <w:r w:rsidRPr="0052047F">
        <w:t xml:space="preserve"> 9: 65–78.</w:t>
      </w:r>
    </w:p>
    <w:p w14:paraId="64C8B2DD" w14:textId="77777777" w:rsidR="00487F55" w:rsidRPr="0052047F" w:rsidRDefault="00487F55" w:rsidP="00487F55">
      <w:pPr>
        <w:pStyle w:val="CitaviBibliographyEntry"/>
        <w:spacing w:line="240" w:lineRule="auto"/>
      </w:pPr>
      <w:bookmarkStart w:id="25" w:name="_CTVL001f0a639ff91ab4f4a8a461e3f9a2d1a26"/>
      <w:proofErr w:type="spellStart"/>
      <w:r w:rsidRPr="0052047F">
        <w:t>Brenes</w:t>
      </w:r>
      <w:proofErr w:type="spellEnd"/>
      <w:r w:rsidRPr="0052047F">
        <w:t xml:space="preserve"> </w:t>
      </w:r>
      <w:proofErr w:type="spellStart"/>
      <w:r w:rsidRPr="0052047F">
        <w:t>Sáenz</w:t>
      </w:r>
      <w:proofErr w:type="spellEnd"/>
      <w:r w:rsidRPr="0052047F">
        <w:t xml:space="preserve"> JC, Villagra OR and </w:t>
      </w:r>
      <w:proofErr w:type="spellStart"/>
      <w:r w:rsidRPr="0052047F">
        <w:t>Fornaguera</w:t>
      </w:r>
      <w:proofErr w:type="spellEnd"/>
      <w:r w:rsidRPr="0052047F">
        <w:t xml:space="preserve"> </w:t>
      </w:r>
      <w:proofErr w:type="spellStart"/>
      <w:r w:rsidRPr="0052047F">
        <w:t>Trías</w:t>
      </w:r>
      <w:proofErr w:type="spellEnd"/>
      <w:r w:rsidRPr="0052047F">
        <w:t xml:space="preserve"> J (2006) Factor analysis of Forced Swimming test, Sucrose Preference test and Open Field test on enriched, social and isolated reared rats.</w:t>
      </w:r>
      <w:bookmarkEnd w:id="25"/>
      <w:r w:rsidRPr="0052047F">
        <w:t xml:space="preserve"> </w:t>
      </w:r>
      <w:proofErr w:type="spellStart"/>
      <w:r w:rsidRPr="0052047F">
        <w:rPr>
          <w:i/>
        </w:rPr>
        <w:t>Behavioural</w:t>
      </w:r>
      <w:proofErr w:type="spellEnd"/>
      <w:r w:rsidRPr="0052047F">
        <w:rPr>
          <w:i/>
        </w:rPr>
        <w:t xml:space="preserve"> brain research</w:t>
      </w:r>
      <w:r w:rsidRPr="0052047F">
        <w:t xml:space="preserve"> 169(1): 57–65.</w:t>
      </w:r>
    </w:p>
    <w:p w14:paraId="236A8140" w14:textId="77777777" w:rsidR="00487F55" w:rsidRPr="0052047F" w:rsidRDefault="00487F55" w:rsidP="00487F55">
      <w:pPr>
        <w:pStyle w:val="CitaviBibliographyEntry"/>
        <w:spacing w:line="240" w:lineRule="auto"/>
      </w:pPr>
      <w:bookmarkStart w:id="26" w:name="_CTVL001ed32b0153cd44ebaa1abd8d5451a9bd2"/>
      <w:proofErr w:type="spellStart"/>
      <w:r w:rsidRPr="0052047F">
        <w:t>Carboni</w:t>
      </w:r>
      <w:proofErr w:type="spellEnd"/>
      <w:r w:rsidRPr="0052047F">
        <w:t xml:space="preserve"> L, Becchi S, </w:t>
      </w:r>
      <w:proofErr w:type="spellStart"/>
      <w:r w:rsidRPr="0052047F">
        <w:t>Piubelli</w:t>
      </w:r>
      <w:proofErr w:type="spellEnd"/>
      <w:r w:rsidRPr="0052047F">
        <w:t xml:space="preserve"> C, et al. (2010) Early-life stress and antidepressants modulate peripheral biomarkers in a gene-environment rat model of depression.</w:t>
      </w:r>
      <w:bookmarkEnd w:id="26"/>
      <w:r w:rsidRPr="0052047F">
        <w:t xml:space="preserve"> </w:t>
      </w:r>
      <w:r w:rsidRPr="0052047F">
        <w:rPr>
          <w:i/>
        </w:rPr>
        <w:t>Progress in neuro-psychopharmacology &amp; biological psychiatry</w:t>
      </w:r>
      <w:r w:rsidRPr="0052047F">
        <w:t xml:space="preserve"> 34(6): 1037–1048.</w:t>
      </w:r>
    </w:p>
    <w:p w14:paraId="7FA0AD35" w14:textId="77777777" w:rsidR="00487F55" w:rsidRPr="0052047F" w:rsidRDefault="00487F55" w:rsidP="00487F55">
      <w:pPr>
        <w:pStyle w:val="CitaviBibliographyEntry"/>
        <w:spacing w:line="240" w:lineRule="auto"/>
      </w:pPr>
      <w:bookmarkStart w:id="27" w:name="_CTVL001d34fd14c6ef64f63ab45edfd290596cf"/>
      <w:r w:rsidRPr="0052047F">
        <w:t xml:space="preserve">Carpenter LL, </w:t>
      </w:r>
      <w:proofErr w:type="spellStart"/>
      <w:r w:rsidRPr="0052047F">
        <w:t>Gawuga</w:t>
      </w:r>
      <w:proofErr w:type="spellEnd"/>
      <w:r w:rsidRPr="0052047F">
        <w:t xml:space="preserve"> CE, </w:t>
      </w:r>
      <w:proofErr w:type="spellStart"/>
      <w:r w:rsidRPr="0052047F">
        <w:t>Tyrka</w:t>
      </w:r>
      <w:proofErr w:type="spellEnd"/>
      <w:r w:rsidRPr="0052047F">
        <w:t xml:space="preserve"> AR, et al. (2010) Association between plasma IL-6 response to acute stress and early-life adversity in healthy adults.</w:t>
      </w:r>
      <w:bookmarkEnd w:id="27"/>
      <w:r w:rsidRPr="0052047F">
        <w:t xml:space="preserve"> </w:t>
      </w:r>
      <w:r w:rsidRPr="0052047F">
        <w:rPr>
          <w:i/>
        </w:rPr>
        <w:t>Neuropsychopharmacology official publication of the American College of Neuropsychopharmacology</w:t>
      </w:r>
      <w:r w:rsidRPr="0052047F">
        <w:t xml:space="preserve"> 35(13): 2617–2623.</w:t>
      </w:r>
    </w:p>
    <w:p w14:paraId="580DAA3B" w14:textId="77777777" w:rsidR="00487F55" w:rsidRPr="0052047F" w:rsidRDefault="00487F55" w:rsidP="00487F55">
      <w:pPr>
        <w:pStyle w:val="CitaviBibliographyEntry"/>
        <w:spacing w:line="240" w:lineRule="auto"/>
      </w:pPr>
      <w:bookmarkStart w:id="28" w:name="_CTVL00195f10a7411ea4e33afa7668742daac48"/>
      <w:r w:rsidRPr="0052047F">
        <w:t xml:space="preserve">Creswell JD, Irwin MR, </w:t>
      </w:r>
      <w:proofErr w:type="spellStart"/>
      <w:r w:rsidRPr="0052047F">
        <w:t>Burklund</w:t>
      </w:r>
      <w:proofErr w:type="spellEnd"/>
      <w:r w:rsidRPr="0052047F">
        <w:t xml:space="preserve"> LJ, et al. (2012) Mindfulness-Based Stress Reduction training reduces loneliness and pro-inflammatory gene expression in older adults: a small randomized controlled trial.</w:t>
      </w:r>
      <w:bookmarkEnd w:id="28"/>
      <w:r w:rsidRPr="0052047F">
        <w:t xml:space="preserve"> </w:t>
      </w:r>
      <w:r w:rsidRPr="0052047F">
        <w:rPr>
          <w:i/>
        </w:rPr>
        <w:t>Brain, behavior, and immunity</w:t>
      </w:r>
      <w:r w:rsidRPr="0052047F">
        <w:t xml:space="preserve"> 26(7): 1095–1101.</w:t>
      </w:r>
    </w:p>
    <w:p w14:paraId="19156976" w14:textId="77777777" w:rsidR="00487F55" w:rsidRPr="0052047F" w:rsidRDefault="00487F55" w:rsidP="00487F55">
      <w:pPr>
        <w:pStyle w:val="CitaviBibliographyEntry"/>
        <w:spacing w:line="240" w:lineRule="auto"/>
      </w:pPr>
      <w:bookmarkStart w:id="29" w:name="_CTVL001b459f97258a149a3b9f565247d6a34ae"/>
      <w:proofErr w:type="spellStart"/>
      <w:r w:rsidRPr="0052047F">
        <w:t>Dallé</w:t>
      </w:r>
      <w:proofErr w:type="spellEnd"/>
      <w:r w:rsidRPr="0052047F">
        <w:t xml:space="preserve"> E, Daniels WMU and </w:t>
      </w:r>
      <w:proofErr w:type="spellStart"/>
      <w:r w:rsidRPr="0052047F">
        <w:t>Mabandla</w:t>
      </w:r>
      <w:proofErr w:type="spellEnd"/>
      <w:r w:rsidRPr="0052047F">
        <w:t xml:space="preserve"> MV (2017) Fluvoxamine maleate normalizes striatal neuronal inflammatory cytokine activity in a Parkinsonian rat model associated with depression.</w:t>
      </w:r>
      <w:bookmarkEnd w:id="29"/>
      <w:r w:rsidRPr="0052047F">
        <w:t xml:space="preserve"> </w:t>
      </w:r>
      <w:proofErr w:type="spellStart"/>
      <w:r w:rsidRPr="0052047F">
        <w:rPr>
          <w:i/>
        </w:rPr>
        <w:t>Behavioural</w:t>
      </w:r>
      <w:proofErr w:type="spellEnd"/>
      <w:r w:rsidRPr="0052047F">
        <w:rPr>
          <w:i/>
        </w:rPr>
        <w:t xml:space="preserve"> brain research</w:t>
      </w:r>
      <w:r w:rsidRPr="0052047F">
        <w:t xml:space="preserve"> 316: 189–196.</w:t>
      </w:r>
    </w:p>
    <w:p w14:paraId="6412C11E" w14:textId="77777777" w:rsidR="00487F55" w:rsidRPr="0052047F" w:rsidRDefault="00487F55" w:rsidP="00487F55">
      <w:pPr>
        <w:pStyle w:val="CitaviBibliographyEntry"/>
        <w:spacing w:line="240" w:lineRule="auto"/>
      </w:pPr>
      <w:bookmarkStart w:id="30" w:name="_CTVL0019885195b10b14c1991922a73e386c783"/>
      <w:proofErr w:type="spellStart"/>
      <w:r w:rsidRPr="0052047F">
        <w:t>Danese</w:t>
      </w:r>
      <w:proofErr w:type="spellEnd"/>
      <w:r w:rsidRPr="0052047F">
        <w:t xml:space="preserve"> A, </w:t>
      </w:r>
      <w:proofErr w:type="spellStart"/>
      <w:r w:rsidRPr="0052047F">
        <w:t>Pariante</w:t>
      </w:r>
      <w:proofErr w:type="spellEnd"/>
      <w:r w:rsidRPr="0052047F">
        <w:t xml:space="preserve"> CM, Caspi A, et al. (2007) Childhood maltreatment predicts adult inflammation in a life-course study.</w:t>
      </w:r>
      <w:bookmarkEnd w:id="30"/>
      <w:r w:rsidRPr="0052047F">
        <w:t xml:space="preserve"> </w:t>
      </w:r>
      <w:r w:rsidRPr="0052047F">
        <w:rPr>
          <w:i/>
        </w:rPr>
        <w:t>Proceedings of the National Academy of Sciences</w:t>
      </w:r>
      <w:r w:rsidRPr="0052047F">
        <w:t xml:space="preserve"> 104(4): 1319–1324.</w:t>
      </w:r>
    </w:p>
    <w:p w14:paraId="33688E7C" w14:textId="77777777" w:rsidR="00487F55" w:rsidRPr="0052047F" w:rsidRDefault="00487F55" w:rsidP="00487F55">
      <w:pPr>
        <w:pStyle w:val="CitaviBibliographyEntry"/>
        <w:spacing w:line="240" w:lineRule="auto"/>
      </w:pPr>
      <w:bookmarkStart w:id="31" w:name="_CTVL0012b5d97ecb4d84001820b2835e7fb505e"/>
      <w:r w:rsidRPr="0052047F">
        <w:t>De Miguel C, Obi IE, Ho DH, et al. (2018) Early life stress induces immune priming in kidneys of adult male rats.</w:t>
      </w:r>
      <w:bookmarkEnd w:id="31"/>
      <w:r w:rsidRPr="0052047F">
        <w:t xml:space="preserve"> </w:t>
      </w:r>
      <w:r w:rsidRPr="0052047F">
        <w:rPr>
          <w:i/>
        </w:rPr>
        <w:t>American journal of physiology. Renal physiology</w:t>
      </w:r>
      <w:r w:rsidRPr="0052047F">
        <w:t xml:space="preserve"> 314(3): F343-F355.</w:t>
      </w:r>
    </w:p>
    <w:p w14:paraId="415A6830" w14:textId="77777777" w:rsidR="00487F55" w:rsidRPr="0052047F" w:rsidRDefault="00487F55" w:rsidP="00487F55">
      <w:pPr>
        <w:pStyle w:val="CitaviBibliographyEntry"/>
        <w:spacing w:line="240" w:lineRule="auto"/>
      </w:pPr>
      <w:bookmarkStart w:id="32" w:name="_CTVL001954ec244ed1841ac822750df7fedc9cb"/>
      <w:proofErr w:type="spellStart"/>
      <w:r w:rsidRPr="0052047F">
        <w:t>Desbonnet</w:t>
      </w:r>
      <w:proofErr w:type="spellEnd"/>
      <w:r w:rsidRPr="0052047F">
        <w:t xml:space="preserve"> L, Garrett L, Clarke G, et al. (2010) Effects of the probiotic Bifidobacterium </w:t>
      </w:r>
      <w:proofErr w:type="spellStart"/>
      <w:r w:rsidRPr="0052047F">
        <w:t>infantis</w:t>
      </w:r>
      <w:proofErr w:type="spellEnd"/>
      <w:r w:rsidRPr="0052047F">
        <w:t xml:space="preserve"> in the maternal separation model of depression.</w:t>
      </w:r>
      <w:bookmarkEnd w:id="32"/>
      <w:r w:rsidRPr="0052047F">
        <w:t xml:space="preserve"> </w:t>
      </w:r>
      <w:r w:rsidRPr="0052047F">
        <w:rPr>
          <w:i/>
        </w:rPr>
        <w:t>Neuroscience</w:t>
      </w:r>
      <w:r w:rsidRPr="0052047F">
        <w:t xml:space="preserve"> 170(4): 1179–1188.</w:t>
      </w:r>
    </w:p>
    <w:p w14:paraId="30A1858B" w14:textId="77777777" w:rsidR="00487F55" w:rsidRPr="0052047F" w:rsidRDefault="00487F55" w:rsidP="00487F55">
      <w:pPr>
        <w:pStyle w:val="CitaviBibliographyEntry"/>
        <w:spacing w:line="240" w:lineRule="auto"/>
      </w:pPr>
      <w:bookmarkStart w:id="33" w:name="_CTVL0013f2a74de4bcd4ff48a2b321f69c32807"/>
      <w:proofErr w:type="spellStart"/>
      <w:r w:rsidRPr="0052047F">
        <w:t>Dimatelis</w:t>
      </w:r>
      <w:proofErr w:type="spellEnd"/>
      <w:r w:rsidRPr="0052047F">
        <w:t xml:space="preserve"> JJ, Pillay NS, </w:t>
      </w:r>
      <w:proofErr w:type="spellStart"/>
      <w:r w:rsidRPr="0052047F">
        <w:t>Mutyaba</w:t>
      </w:r>
      <w:proofErr w:type="spellEnd"/>
      <w:r w:rsidRPr="0052047F">
        <w:t xml:space="preserve"> AK, et al. (2012) Early maternal separation leads to down-regulation of cytokine gene expression.</w:t>
      </w:r>
      <w:bookmarkEnd w:id="33"/>
      <w:r w:rsidRPr="0052047F">
        <w:t xml:space="preserve"> </w:t>
      </w:r>
      <w:r w:rsidRPr="0052047F">
        <w:rPr>
          <w:i/>
        </w:rPr>
        <w:t>Metabolic brain disease</w:t>
      </w:r>
      <w:r w:rsidRPr="0052047F">
        <w:t xml:space="preserve"> 27(3): 393–397.</w:t>
      </w:r>
    </w:p>
    <w:p w14:paraId="1BEF2BE6" w14:textId="77777777" w:rsidR="00487F55" w:rsidRPr="0052047F" w:rsidRDefault="00487F55" w:rsidP="00487F55">
      <w:pPr>
        <w:pStyle w:val="CitaviBibliographyEntry"/>
        <w:spacing w:line="240" w:lineRule="auto"/>
      </w:pPr>
      <w:bookmarkStart w:id="34" w:name="_CTVL001b5e2aa4638954f76a451626ffc440bdc"/>
      <w:r w:rsidRPr="0052047F">
        <w:t xml:space="preserve">Do Prado CH, </w:t>
      </w:r>
      <w:proofErr w:type="spellStart"/>
      <w:r w:rsidRPr="0052047F">
        <w:t>Narahari</w:t>
      </w:r>
      <w:proofErr w:type="spellEnd"/>
      <w:r w:rsidRPr="0052047F">
        <w:t xml:space="preserve"> T, Holland FH, et al. (2016) Effects of early adolescent environmental enrichment on cognitive dysfunction, prefrontal cortex development, and inflammatory cytokines after early life stress.</w:t>
      </w:r>
      <w:bookmarkEnd w:id="34"/>
      <w:r w:rsidRPr="0052047F">
        <w:t xml:space="preserve"> </w:t>
      </w:r>
      <w:r w:rsidRPr="0052047F">
        <w:rPr>
          <w:i/>
        </w:rPr>
        <w:t>Developmental psychobiology</w:t>
      </w:r>
      <w:r w:rsidRPr="0052047F">
        <w:t xml:space="preserve"> 58(4): 482–491.</w:t>
      </w:r>
    </w:p>
    <w:p w14:paraId="591A8F69" w14:textId="77777777" w:rsidR="00487F55" w:rsidRPr="0052047F" w:rsidRDefault="00487F55" w:rsidP="00487F55">
      <w:pPr>
        <w:pStyle w:val="CitaviBibliographyEntry"/>
        <w:spacing w:line="240" w:lineRule="auto"/>
      </w:pPr>
      <w:bookmarkStart w:id="35" w:name="_CTVL001c0c8f7b670644e9f982a12b417009559"/>
      <w:r w:rsidRPr="0052047F">
        <w:t xml:space="preserve">Edwards VJ, Holden GW, </w:t>
      </w:r>
      <w:proofErr w:type="spellStart"/>
      <w:r w:rsidRPr="0052047F">
        <w:t>Felitti</w:t>
      </w:r>
      <w:proofErr w:type="spellEnd"/>
      <w:r w:rsidRPr="0052047F">
        <w:t xml:space="preserve"> VJ, et al. (2003) Relationship between multiple forms of childhood maltreatment and adult mental health in community respondents: results from the adverse childhood experiences study.</w:t>
      </w:r>
      <w:bookmarkEnd w:id="35"/>
      <w:r w:rsidRPr="0052047F">
        <w:t xml:space="preserve"> </w:t>
      </w:r>
      <w:r w:rsidRPr="0052047F">
        <w:rPr>
          <w:i/>
        </w:rPr>
        <w:t>American Journal of Psychiatry</w:t>
      </w:r>
      <w:r w:rsidRPr="0052047F">
        <w:t xml:space="preserve"> 160(8): 1453–1460.</w:t>
      </w:r>
    </w:p>
    <w:p w14:paraId="17BAB1FE" w14:textId="77777777" w:rsidR="00487F55" w:rsidRPr="0052047F" w:rsidRDefault="00487F55" w:rsidP="00487F55">
      <w:pPr>
        <w:pStyle w:val="CitaviBibliographyEntry"/>
        <w:spacing w:line="240" w:lineRule="auto"/>
      </w:pPr>
      <w:bookmarkStart w:id="36" w:name="_CTVL0013c22ff2bac824e08b2b119565263d293"/>
      <w:r w:rsidRPr="0052047F">
        <w:t>Estes ML and McAllister AK (2016) Maternal immune activation: Implications for neuropsychiatric disorders.</w:t>
      </w:r>
      <w:bookmarkEnd w:id="36"/>
      <w:r w:rsidRPr="0052047F">
        <w:t xml:space="preserve"> </w:t>
      </w:r>
      <w:r w:rsidRPr="0052047F">
        <w:rPr>
          <w:i/>
        </w:rPr>
        <w:t>Science (New York, N.Y.)</w:t>
      </w:r>
      <w:r w:rsidRPr="0052047F">
        <w:t xml:space="preserve"> 353(6301): 772–777.</w:t>
      </w:r>
    </w:p>
    <w:p w14:paraId="6787B954" w14:textId="77777777" w:rsidR="00487F55" w:rsidRPr="0052047F" w:rsidRDefault="00487F55" w:rsidP="00487F55">
      <w:pPr>
        <w:pStyle w:val="CitaviBibliographyEntry"/>
        <w:spacing w:line="240" w:lineRule="auto"/>
      </w:pPr>
      <w:bookmarkStart w:id="37" w:name="_CTVL001a37c9fb4455f460284f69f35976a5077"/>
      <w:proofErr w:type="spellStart"/>
      <w:r w:rsidRPr="0052047F">
        <w:t>Fleshner</w:t>
      </w:r>
      <w:proofErr w:type="spellEnd"/>
      <w:r w:rsidRPr="0052047F">
        <w:t xml:space="preserve"> M and Crane CR (2017) Exosomes, DAMPs and miRNA: Features of Stress Physiology and Immune Homeostasis.</w:t>
      </w:r>
      <w:bookmarkEnd w:id="37"/>
      <w:r w:rsidRPr="0052047F">
        <w:t xml:space="preserve"> </w:t>
      </w:r>
      <w:r w:rsidRPr="0052047F">
        <w:rPr>
          <w:i/>
        </w:rPr>
        <w:t>Trends in immunology</w:t>
      </w:r>
      <w:r w:rsidRPr="0052047F">
        <w:t xml:space="preserve"> 38(10): 768–776.</w:t>
      </w:r>
    </w:p>
    <w:p w14:paraId="0813EFF8" w14:textId="77777777" w:rsidR="00487F55" w:rsidRPr="0052047F" w:rsidRDefault="00487F55" w:rsidP="00487F55">
      <w:pPr>
        <w:pStyle w:val="CitaviBibliographyEntry"/>
        <w:spacing w:line="240" w:lineRule="auto"/>
      </w:pPr>
      <w:bookmarkStart w:id="38" w:name="_CTVL001b9c7c2b482b043fb8fe5dad08dd9d8f0"/>
      <w:r w:rsidRPr="0052047F">
        <w:t>Frank MG, Hershman SA, Weber MD, et al. (2014) Chronic exposure to exogenous glucocorticoids primes microglia to pro-inflammatory stimuli and induces NLRP3 mRNA in the hippocampus.</w:t>
      </w:r>
      <w:bookmarkEnd w:id="38"/>
      <w:r w:rsidRPr="0052047F">
        <w:t xml:space="preserve"> </w:t>
      </w:r>
      <w:proofErr w:type="spellStart"/>
      <w:r w:rsidRPr="0052047F">
        <w:rPr>
          <w:i/>
        </w:rPr>
        <w:t>Psychoneuroendocrinology</w:t>
      </w:r>
      <w:proofErr w:type="spellEnd"/>
      <w:r w:rsidRPr="0052047F">
        <w:t xml:space="preserve"> 40: 191–200.</w:t>
      </w:r>
    </w:p>
    <w:p w14:paraId="024908D1" w14:textId="77777777" w:rsidR="00487F55" w:rsidRPr="0052047F" w:rsidRDefault="00487F55" w:rsidP="00487F55">
      <w:pPr>
        <w:pStyle w:val="CitaviBibliographyEntry"/>
        <w:spacing w:line="240" w:lineRule="auto"/>
      </w:pPr>
      <w:bookmarkStart w:id="39" w:name="_CTVL0017edb209a0b584380bea9cf5a652a22db"/>
      <w:r w:rsidRPr="0052047F">
        <w:t>Fuentes IM, Walker NK, Pierce AN, et al. (2016) Neonatal maternal separation increases susceptibility to experimental colitis and acute stress exposure in male mice.</w:t>
      </w:r>
      <w:bookmarkEnd w:id="39"/>
      <w:r w:rsidRPr="0052047F">
        <w:t xml:space="preserve"> </w:t>
      </w:r>
      <w:r w:rsidRPr="0052047F">
        <w:rPr>
          <w:i/>
        </w:rPr>
        <w:t>IBRO reports</w:t>
      </w:r>
      <w:r w:rsidRPr="0052047F">
        <w:t xml:space="preserve"> 1: 10–18.</w:t>
      </w:r>
    </w:p>
    <w:p w14:paraId="1B905FDD" w14:textId="77777777" w:rsidR="00487F55" w:rsidRPr="0052047F" w:rsidRDefault="00487F55" w:rsidP="00487F55">
      <w:pPr>
        <w:pStyle w:val="CitaviBibliographyEntry"/>
        <w:spacing w:line="240" w:lineRule="auto"/>
      </w:pPr>
      <w:bookmarkStart w:id="40" w:name="_CTVL001b8f1753110044f45b261f7b162246a10"/>
      <w:proofErr w:type="spellStart"/>
      <w:r w:rsidRPr="0052047F">
        <w:lastRenderedPageBreak/>
        <w:t>Ganguly</w:t>
      </w:r>
      <w:proofErr w:type="spellEnd"/>
      <w:r w:rsidRPr="0052047F">
        <w:t xml:space="preserve"> P, Honeycutt JA, Rowe JR, et al. (2019) Effects of early life stress on cocaine conditioning and AMPA receptor composition are sex-specific and driven by TNF.</w:t>
      </w:r>
      <w:bookmarkEnd w:id="40"/>
      <w:r w:rsidRPr="0052047F">
        <w:t xml:space="preserve"> </w:t>
      </w:r>
      <w:r w:rsidRPr="0052047F">
        <w:rPr>
          <w:i/>
        </w:rPr>
        <w:t>Brain, behavior, and immunity</w:t>
      </w:r>
      <w:r w:rsidRPr="0052047F">
        <w:t xml:space="preserve"> 78: 41–51.</w:t>
      </w:r>
    </w:p>
    <w:p w14:paraId="27BDCB18" w14:textId="77777777" w:rsidR="00487F55" w:rsidRPr="0052047F" w:rsidRDefault="00487F55" w:rsidP="00487F55">
      <w:pPr>
        <w:pStyle w:val="CitaviBibliographyEntry"/>
        <w:spacing w:line="240" w:lineRule="auto"/>
      </w:pPr>
      <w:bookmarkStart w:id="41" w:name="_CTVL001d85a04d262614a91ba509d863550c1d6"/>
      <w:proofErr w:type="spellStart"/>
      <w:r w:rsidRPr="0052047F">
        <w:t>Ganguly</w:t>
      </w:r>
      <w:proofErr w:type="spellEnd"/>
      <w:r w:rsidRPr="0052047F">
        <w:t xml:space="preserve"> P, Thompson V, </w:t>
      </w:r>
      <w:proofErr w:type="spellStart"/>
      <w:r w:rsidRPr="0052047F">
        <w:t>Gildawie</w:t>
      </w:r>
      <w:proofErr w:type="spellEnd"/>
      <w:r w:rsidRPr="0052047F">
        <w:t xml:space="preserve"> K, et al. (2018) Adolescent food restriction in rats alters prefrontal cortex microglia in an experience-dependent manner.</w:t>
      </w:r>
      <w:bookmarkEnd w:id="41"/>
      <w:r w:rsidRPr="0052047F">
        <w:t xml:space="preserve"> </w:t>
      </w:r>
      <w:r w:rsidRPr="0052047F">
        <w:rPr>
          <w:i/>
        </w:rPr>
        <w:t>Stress (Amsterdam, Netherlands)</w:t>
      </w:r>
      <w:r w:rsidRPr="0052047F">
        <w:t xml:space="preserve"> 21(2): 162–168.</w:t>
      </w:r>
    </w:p>
    <w:p w14:paraId="37E6B229" w14:textId="77777777" w:rsidR="00487F55" w:rsidRPr="0052047F" w:rsidRDefault="00487F55" w:rsidP="00487F55">
      <w:pPr>
        <w:pStyle w:val="CitaviBibliographyEntry"/>
        <w:spacing w:line="240" w:lineRule="auto"/>
      </w:pPr>
      <w:bookmarkStart w:id="42" w:name="_CTVL0013ff30ddd89d94a90b35fc220f18de024"/>
      <w:proofErr w:type="spellStart"/>
      <w:r w:rsidRPr="0052047F">
        <w:t>Genty</w:t>
      </w:r>
      <w:proofErr w:type="spellEnd"/>
      <w:r w:rsidRPr="0052047F">
        <w:t xml:space="preserve"> J, </w:t>
      </w:r>
      <w:proofErr w:type="spellStart"/>
      <w:r w:rsidRPr="0052047F">
        <w:t>Tetsi</w:t>
      </w:r>
      <w:proofErr w:type="spellEnd"/>
      <w:r w:rsidRPr="0052047F">
        <w:t xml:space="preserve"> </w:t>
      </w:r>
      <w:proofErr w:type="spellStart"/>
      <w:r w:rsidRPr="0052047F">
        <w:t>Nomigni</w:t>
      </w:r>
      <w:proofErr w:type="spellEnd"/>
      <w:r w:rsidRPr="0052047F">
        <w:t xml:space="preserve"> M, Anton F, et al. (2018) Maternal separation stress leads to resilience against neuropathic pain in adulthood.</w:t>
      </w:r>
      <w:bookmarkEnd w:id="42"/>
      <w:r w:rsidRPr="0052047F">
        <w:t xml:space="preserve"> </w:t>
      </w:r>
      <w:r w:rsidRPr="0052047F">
        <w:rPr>
          <w:i/>
        </w:rPr>
        <w:t>Neurobiology of stress</w:t>
      </w:r>
      <w:r w:rsidRPr="0052047F">
        <w:t xml:space="preserve"> 8: 21–32.</w:t>
      </w:r>
    </w:p>
    <w:p w14:paraId="17A2517C" w14:textId="77777777" w:rsidR="00487F55" w:rsidRPr="0052047F" w:rsidRDefault="00487F55" w:rsidP="00487F55">
      <w:pPr>
        <w:pStyle w:val="CitaviBibliographyEntry"/>
        <w:spacing w:line="240" w:lineRule="auto"/>
      </w:pPr>
      <w:bookmarkStart w:id="43" w:name="_CTVL00159a3cdd702344a9fbca77e5811d6e018"/>
      <w:r w:rsidRPr="0052047F">
        <w:t xml:space="preserve">Gibb BE, </w:t>
      </w:r>
      <w:proofErr w:type="spellStart"/>
      <w:r w:rsidRPr="0052047F">
        <w:t>Chelminski</w:t>
      </w:r>
      <w:proofErr w:type="spellEnd"/>
      <w:r w:rsidRPr="0052047F">
        <w:t xml:space="preserve"> I and Zimmerman M (2007) Childhood emotional, physical, and sexual abuse, and diagnoses of depressive and anxiety disorders in adult psychiatric outpatients.</w:t>
      </w:r>
      <w:bookmarkEnd w:id="43"/>
      <w:r w:rsidRPr="0052047F">
        <w:t xml:space="preserve"> </w:t>
      </w:r>
      <w:r w:rsidRPr="0052047F">
        <w:rPr>
          <w:i/>
        </w:rPr>
        <w:t>Depression and Anxiety</w:t>
      </w:r>
      <w:r w:rsidRPr="0052047F">
        <w:t xml:space="preserve"> 24(4): 256–263.</w:t>
      </w:r>
    </w:p>
    <w:p w14:paraId="1BB9B9DA" w14:textId="77777777" w:rsidR="00487F55" w:rsidRPr="0052047F" w:rsidRDefault="00487F55" w:rsidP="00487F55">
      <w:pPr>
        <w:pStyle w:val="CitaviBibliographyEntry"/>
        <w:spacing w:line="240" w:lineRule="auto"/>
      </w:pPr>
      <w:bookmarkStart w:id="44" w:name="_CTVL001da7b0b00e17e40a8aabf367b10a81e09"/>
      <w:proofErr w:type="spellStart"/>
      <w:r w:rsidRPr="0052047F">
        <w:t>Giridharan</w:t>
      </w:r>
      <w:proofErr w:type="spellEnd"/>
      <w:r w:rsidRPr="0052047F">
        <w:t xml:space="preserve"> VV, </w:t>
      </w:r>
      <w:proofErr w:type="spellStart"/>
      <w:r w:rsidRPr="0052047F">
        <w:t>Réus</w:t>
      </w:r>
      <w:proofErr w:type="spellEnd"/>
      <w:r w:rsidRPr="0052047F">
        <w:t xml:space="preserve"> GZ, Selvaraj S, et al. (2019) Maternal deprivation increases microglial activation and neuroinflammatory markers in the prefrontal cortex and hippocampus of infant rats.</w:t>
      </w:r>
      <w:bookmarkEnd w:id="44"/>
      <w:r w:rsidRPr="0052047F">
        <w:t xml:space="preserve"> </w:t>
      </w:r>
      <w:r w:rsidRPr="0052047F">
        <w:rPr>
          <w:i/>
        </w:rPr>
        <w:t>Journal of Psychiatric Research</w:t>
      </w:r>
      <w:r w:rsidRPr="0052047F">
        <w:t xml:space="preserve"> 115: 13–20.</w:t>
      </w:r>
    </w:p>
    <w:p w14:paraId="085106E5" w14:textId="77777777" w:rsidR="00487F55" w:rsidRPr="0052047F" w:rsidRDefault="00487F55" w:rsidP="00487F55">
      <w:pPr>
        <w:pStyle w:val="CitaviBibliographyEntry"/>
        <w:spacing w:line="240" w:lineRule="auto"/>
      </w:pPr>
      <w:bookmarkStart w:id="45" w:name="_CTVL0011b163ffb7d90481392e4bc5a5eb0c51e"/>
      <w:proofErr w:type="spellStart"/>
      <w:r w:rsidRPr="0052047F">
        <w:t>Gondré</w:t>
      </w:r>
      <w:proofErr w:type="spellEnd"/>
      <w:r w:rsidRPr="0052047F">
        <w:t>-Lewis MC, Darius PJ, Wang H, et al. (2016) Stereological analyses of reward system nuclei in maternally deprived/separated alcohol drinking rats.</w:t>
      </w:r>
      <w:bookmarkEnd w:id="45"/>
      <w:r w:rsidRPr="0052047F">
        <w:t xml:space="preserve"> </w:t>
      </w:r>
      <w:r w:rsidRPr="0052047F">
        <w:rPr>
          <w:i/>
        </w:rPr>
        <w:t>Journal of chemical neuroanatomy</w:t>
      </w:r>
      <w:r w:rsidRPr="0052047F">
        <w:t xml:space="preserve"> 76(Pt B): 122–132.</w:t>
      </w:r>
    </w:p>
    <w:p w14:paraId="38DE0C9D" w14:textId="77777777" w:rsidR="00487F55" w:rsidRPr="0052047F" w:rsidRDefault="00487F55" w:rsidP="00487F55">
      <w:pPr>
        <w:pStyle w:val="CitaviBibliographyEntry"/>
        <w:spacing w:line="240" w:lineRule="auto"/>
      </w:pPr>
      <w:bookmarkStart w:id="46" w:name="_CTVL001d952d4ecd51f4cf3b749e428fc812040"/>
      <w:r w:rsidRPr="0052047F">
        <w:t>Graeber MB (2010) Changing face of microglia.</w:t>
      </w:r>
      <w:bookmarkEnd w:id="46"/>
      <w:r w:rsidRPr="0052047F">
        <w:t xml:space="preserve"> </w:t>
      </w:r>
      <w:r w:rsidRPr="0052047F">
        <w:rPr>
          <w:i/>
        </w:rPr>
        <w:t>Science (New York, N.Y.)</w:t>
      </w:r>
      <w:r w:rsidRPr="0052047F">
        <w:t xml:space="preserve"> 330(6005): 783–788.</w:t>
      </w:r>
    </w:p>
    <w:p w14:paraId="16771242" w14:textId="77777777" w:rsidR="00487F55" w:rsidRPr="0052047F" w:rsidRDefault="00487F55" w:rsidP="00487F55">
      <w:pPr>
        <w:pStyle w:val="CitaviBibliographyEntry"/>
        <w:spacing w:line="240" w:lineRule="auto"/>
      </w:pPr>
      <w:bookmarkStart w:id="47" w:name="_CTVL001d8240994b9194bdb9eabbfe7527f328c"/>
      <w:r w:rsidRPr="0052047F">
        <w:t>Grassi-Oliveira R, Honeycutt JA, Holland FH, et al. (2016) Cognitive impairment effects of early life stress in adolescents can be predicted with early biomarkers: Impacts of sex, experience, and cytokines.</w:t>
      </w:r>
      <w:bookmarkEnd w:id="47"/>
      <w:r w:rsidRPr="0052047F">
        <w:t xml:space="preserve"> </w:t>
      </w:r>
      <w:proofErr w:type="spellStart"/>
      <w:r w:rsidRPr="0052047F">
        <w:rPr>
          <w:i/>
        </w:rPr>
        <w:t>Psychoneuroendocrinology</w:t>
      </w:r>
      <w:proofErr w:type="spellEnd"/>
      <w:r w:rsidRPr="0052047F">
        <w:t xml:space="preserve"> 71: 19–30.</w:t>
      </w:r>
    </w:p>
    <w:p w14:paraId="285C52D4" w14:textId="77777777" w:rsidR="00487F55" w:rsidRPr="0052047F" w:rsidRDefault="00487F55" w:rsidP="00487F55">
      <w:pPr>
        <w:pStyle w:val="CitaviBibliographyEntry"/>
        <w:spacing w:line="240" w:lineRule="auto"/>
      </w:pPr>
      <w:bookmarkStart w:id="48" w:name="_CTVL001ba473ff15d684996adc2e8f2647618aa"/>
      <w:r w:rsidRPr="0052047F">
        <w:t>Han Y, Zhang L, Wang Q, et al. (2019) Minocycline inhibits microglial activation and alleviates depressive-like behaviors in male adolescent mice subjected to maternal separation.</w:t>
      </w:r>
      <w:bookmarkEnd w:id="48"/>
      <w:r w:rsidRPr="0052047F">
        <w:t xml:space="preserve"> </w:t>
      </w:r>
      <w:proofErr w:type="spellStart"/>
      <w:r w:rsidRPr="0052047F">
        <w:rPr>
          <w:i/>
        </w:rPr>
        <w:t>Psychoneuroendocrinology</w:t>
      </w:r>
      <w:proofErr w:type="spellEnd"/>
      <w:r w:rsidRPr="0052047F">
        <w:t xml:space="preserve"> 107: 37–45.</w:t>
      </w:r>
    </w:p>
    <w:p w14:paraId="7419DD85" w14:textId="77777777" w:rsidR="00487F55" w:rsidRPr="0052047F" w:rsidRDefault="00487F55" w:rsidP="00487F55">
      <w:pPr>
        <w:pStyle w:val="CitaviBibliographyEntry"/>
        <w:spacing w:line="240" w:lineRule="auto"/>
      </w:pPr>
      <w:bookmarkStart w:id="49" w:name="_CTVL00197f57b42ad444578b8f5b0d1b3300199"/>
      <w:r w:rsidRPr="0052047F">
        <w:t xml:space="preserve">Harrison EL, </w:t>
      </w:r>
      <w:proofErr w:type="spellStart"/>
      <w:r w:rsidRPr="0052047F">
        <w:t>Jaehne</w:t>
      </w:r>
      <w:proofErr w:type="spellEnd"/>
      <w:r w:rsidRPr="0052047F">
        <w:t xml:space="preserve"> EJ, Jawahar MC, et al. (2014) Maternal separation modifies </w:t>
      </w:r>
      <w:proofErr w:type="spellStart"/>
      <w:r w:rsidRPr="0052047F">
        <w:t>behavioural</w:t>
      </w:r>
      <w:proofErr w:type="spellEnd"/>
      <w:r w:rsidRPr="0052047F">
        <w:t xml:space="preserve"> and neuroendocrine responses to stress in CCR7 deficient mice.</w:t>
      </w:r>
      <w:bookmarkEnd w:id="49"/>
      <w:r w:rsidRPr="0052047F">
        <w:t xml:space="preserve"> </w:t>
      </w:r>
      <w:proofErr w:type="spellStart"/>
      <w:r w:rsidRPr="0052047F">
        <w:rPr>
          <w:i/>
        </w:rPr>
        <w:t>Behavioural</w:t>
      </w:r>
      <w:proofErr w:type="spellEnd"/>
      <w:r w:rsidRPr="0052047F">
        <w:rPr>
          <w:i/>
        </w:rPr>
        <w:t xml:space="preserve"> brain research</w:t>
      </w:r>
      <w:r w:rsidRPr="0052047F">
        <w:t xml:space="preserve"> 263: 169–175.</w:t>
      </w:r>
    </w:p>
    <w:p w14:paraId="7F25864F" w14:textId="77777777" w:rsidR="00487F55" w:rsidRPr="0052047F" w:rsidRDefault="00487F55" w:rsidP="00487F55">
      <w:pPr>
        <w:pStyle w:val="CitaviBibliographyEntry"/>
        <w:spacing w:line="240" w:lineRule="auto"/>
      </w:pPr>
      <w:bookmarkStart w:id="50" w:name="_CTVL001adc47b3566f84e61b23628c48cd43786"/>
      <w:r w:rsidRPr="0052047F">
        <w:t>Hodel AS, Hunt RH, Cowell RA, et al. (2015) Duration of early adversity and structural brain development in post-institutionalized adolescents.</w:t>
      </w:r>
      <w:bookmarkEnd w:id="50"/>
      <w:r w:rsidRPr="0052047F">
        <w:t xml:space="preserve"> </w:t>
      </w:r>
      <w:proofErr w:type="spellStart"/>
      <w:r w:rsidRPr="0052047F">
        <w:rPr>
          <w:i/>
        </w:rPr>
        <w:t>NeuroImage</w:t>
      </w:r>
      <w:proofErr w:type="spellEnd"/>
      <w:r w:rsidRPr="0052047F">
        <w:t xml:space="preserve"> 105: 112–119.</w:t>
      </w:r>
    </w:p>
    <w:p w14:paraId="693D6D8C" w14:textId="77777777" w:rsidR="00487F55" w:rsidRPr="0052047F" w:rsidRDefault="00487F55" w:rsidP="00487F55">
      <w:pPr>
        <w:pStyle w:val="CitaviBibliographyEntry"/>
        <w:spacing w:line="240" w:lineRule="auto"/>
      </w:pPr>
      <w:bookmarkStart w:id="51" w:name="_CTVL001516e0ef8df9940fea64f6f47deb87cc9"/>
      <w:r w:rsidRPr="0052047F">
        <w:t xml:space="preserve">Hui J-J, Zhang Z-J, Liu S-S, et al. (2011) Hippocampal neurochemistry is involved in the </w:t>
      </w:r>
      <w:proofErr w:type="spellStart"/>
      <w:r w:rsidRPr="0052047F">
        <w:t>behavioural</w:t>
      </w:r>
      <w:proofErr w:type="spellEnd"/>
      <w:r w:rsidRPr="0052047F">
        <w:t xml:space="preserve"> effects of neonatal maternal separation and their reversal by post-weaning environmental enrichment: a magnetic resonance study.</w:t>
      </w:r>
      <w:bookmarkEnd w:id="51"/>
      <w:r w:rsidRPr="0052047F">
        <w:t xml:space="preserve"> </w:t>
      </w:r>
      <w:proofErr w:type="spellStart"/>
      <w:r w:rsidRPr="0052047F">
        <w:rPr>
          <w:i/>
        </w:rPr>
        <w:t>Behavioural</w:t>
      </w:r>
      <w:proofErr w:type="spellEnd"/>
      <w:r w:rsidRPr="0052047F">
        <w:rPr>
          <w:i/>
        </w:rPr>
        <w:t xml:space="preserve"> brain research</w:t>
      </w:r>
      <w:r w:rsidRPr="0052047F">
        <w:t xml:space="preserve"> 217(1): 122–127.</w:t>
      </w:r>
    </w:p>
    <w:p w14:paraId="0DE58211" w14:textId="77777777" w:rsidR="00487F55" w:rsidRPr="0052047F" w:rsidRDefault="00487F55" w:rsidP="00487F55">
      <w:pPr>
        <w:pStyle w:val="CitaviBibliographyEntry"/>
        <w:spacing w:line="240" w:lineRule="auto"/>
      </w:pPr>
      <w:bookmarkStart w:id="52" w:name="_CTVL0019777e5c3540f4b4695063e688c7326db"/>
      <w:r w:rsidRPr="0052047F">
        <w:t>Irish L, Kobayashi I and Delahanty DL (2010) Long-term physical health consequences of childhood sexual abuse: a meta-analytic review.</w:t>
      </w:r>
      <w:bookmarkEnd w:id="52"/>
      <w:r w:rsidRPr="0052047F">
        <w:t xml:space="preserve"> </w:t>
      </w:r>
      <w:r w:rsidRPr="0052047F">
        <w:rPr>
          <w:i/>
        </w:rPr>
        <w:t>Journal of pediatric psychology</w:t>
      </w:r>
      <w:r w:rsidRPr="0052047F">
        <w:t xml:space="preserve"> 35(5): 450–461.</w:t>
      </w:r>
    </w:p>
    <w:p w14:paraId="64B153A6" w14:textId="77777777" w:rsidR="00487F55" w:rsidRPr="0052047F" w:rsidRDefault="00487F55" w:rsidP="00487F55">
      <w:pPr>
        <w:pStyle w:val="CitaviBibliographyEntry"/>
        <w:spacing w:line="240" w:lineRule="auto"/>
      </w:pPr>
      <w:bookmarkStart w:id="53" w:name="_CTVL0013a25f26a4820449f9059077236f6d6d8"/>
      <w:proofErr w:type="spellStart"/>
      <w:r w:rsidRPr="0052047F">
        <w:t>Janusek</w:t>
      </w:r>
      <w:proofErr w:type="spellEnd"/>
      <w:r w:rsidRPr="0052047F">
        <w:t xml:space="preserve"> LW, Tell D, Gaylord-Harden N, et al. (2017) Relationship of childhood adversity and neighborhood violence to a proinflammatory phenotype in emerging adult African American men: An epigenetic link.</w:t>
      </w:r>
      <w:bookmarkEnd w:id="53"/>
      <w:r w:rsidRPr="0052047F">
        <w:t xml:space="preserve"> </w:t>
      </w:r>
      <w:r w:rsidRPr="0052047F">
        <w:rPr>
          <w:i/>
        </w:rPr>
        <w:t>Brain, behavior, and immunity</w:t>
      </w:r>
      <w:r w:rsidRPr="0052047F">
        <w:t xml:space="preserve"> 60: 126–135.</w:t>
      </w:r>
    </w:p>
    <w:p w14:paraId="16D871C0" w14:textId="77777777" w:rsidR="00487F55" w:rsidRPr="0052047F" w:rsidRDefault="00487F55" w:rsidP="00487F55">
      <w:pPr>
        <w:pStyle w:val="CitaviBibliographyEntry"/>
        <w:spacing w:line="240" w:lineRule="auto"/>
      </w:pPr>
      <w:bookmarkStart w:id="54" w:name="_CTVL0010a100f538440454c96959a0b6a0837ec"/>
      <w:proofErr w:type="spellStart"/>
      <w:r w:rsidRPr="0052047F">
        <w:t>Kiank</w:t>
      </w:r>
      <w:proofErr w:type="spellEnd"/>
      <w:r w:rsidRPr="0052047F">
        <w:t xml:space="preserve"> C, Mundt A and </w:t>
      </w:r>
      <w:proofErr w:type="spellStart"/>
      <w:r w:rsidRPr="0052047F">
        <w:t>Schuett</w:t>
      </w:r>
      <w:proofErr w:type="spellEnd"/>
      <w:r w:rsidRPr="0052047F">
        <w:t xml:space="preserve"> C (2009) Mild postnatal separation stress reduces repeated stress-induced immunosuppression in adult BALB/c mice.</w:t>
      </w:r>
      <w:bookmarkEnd w:id="54"/>
      <w:r w:rsidRPr="0052047F">
        <w:t xml:space="preserve"> </w:t>
      </w:r>
      <w:r w:rsidRPr="0052047F">
        <w:rPr>
          <w:i/>
        </w:rPr>
        <w:t>Neuro endocrinology letters</w:t>
      </w:r>
      <w:r w:rsidRPr="0052047F">
        <w:t xml:space="preserve"> 30(6): 761–768.</w:t>
      </w:r>
    </w:p>
    <w:p w14:paraId="2B47531F" w14:textId="77777777" w:rsidR="00487F55" w:rsidRPr="0052047F" w:rsidRDefault="00487F55" w:rsidP="00487F55">
      <w:pPr>
        <w:pStyle w:val="CitaviBibliographyEntry"/>
        <w:spacing w:line="240" w:lineRule="auto"/>
      </w:pPr>
      <w:bookmarkStart w:id="55" w:name="_CTVL001129f4a1175794fcf8913b2ec8f3503ab"/>
      <w:proofErr w:type="spellStart"/>
      <w:r w:rsidRPr="0052047F">
        <w:t>Knuesel</w:t>
      </w:r>
      <w:proofErr w:type="spellEnd"/>
      <w:r w:rsidRPr="0052047F">
        <w:t xml:space="preserve"> I, Chicha L, </w:t>
      </w:r>
      <w:proofErr w:type="spellStart"/>
      <w:r w:rsidRPr="0052047F">
        <w:t>Britschgi</w:t>
      </w:r>
      <w:proofErr w:type="spellEnd"/>
      <w:r w:rsidRPr="0052047F">
        <w:t xml:space="preserve"> M, et al. (2014) Maternal immune activation and abnormal brain development across CNS disorders.</w:t>
      </w:r>
      <w:bookmarkEnd w:id="55"/>
      <w:r w:rsidRPr="0052047F">
        <w:t xml:space="preserve"> </w:t>
      </w:r>
      <w:r w:rsidRPr="0052047F">
        <w:rPr>
          <w:i/>
        </w:rPr>
        <w:t>Nature reviews. Neurology</w:t>
      </w:r>
      <w:r w:rsidRPr="0052047F">
        <w:t xml:space="preserve"> 10(11): 643–660.</w:t>
      </w:r>
    </w:p>
    <w:p w14:paraId="6BA90E6A" w14:textId="77777777" w:rsidR="00487F55" w:rsidRPr="0052047F" w:rsidRDefault="00487F55" w:rsidP="00487F55">
      <w:pPr>
        <w:pStyle w:val="CitaviBibliographyEntry"/>
        <w:spacing w:line="240" w:lineRule="auto"/>
      </w:pPr>
      <w:bookmarkStart w:id="56" w:name="_CTVL001430798aad5b24e1185419576a197fd67"/>
      <w:proofErr w:type="spellStart"/>
      <w:r w:rsidRPr="0052047F">
        <w:lastRenderedPageBreak/>
        <w:t>Kruschinski</w:t>
      </w:r>
      <w:proofErr w:type="spellEnd"/>
      <w:r w:rsidRPr="0052047F">
        <w:t xml:space="preserve"> C, </w:t>
      </w:r>
      <w:proofErr w:type="spellStart"/>
      <w:r w:rsidRPr="0052047F">
        <w:t>Skripuletz</w:t>
      </w:r>
      <w:proofErr w:type="spellEnd"/>
      <w:r w:rsidRPr="0052047F">
        <w:t xml:space="preserve"> T, </w:t>
      </w:r>
      <w:proofErr w:type="spellStart"/>
      <w:r w:rsidRPr="0052047F">
        <w:t>Bedoui</w:t>
      </w:r>
      <w:proofErr w:type="spellEnd"/>
      <w:r w:rsidRPr="0052047F">
        <w:t xml:space="preserve"> S, et al. (2008) Postnatal life events affect the severity of asthmatic airway inflammation in the adult rat.</w:t>
      </w:r>
      <w:bookmarkEnd w:id="56"/>
      <w:r w:rsidRPr="0052047F">
        <w:t xml:space="preserve"> </w:t>
      </w:r>
      <w:r w:rsidRPr="0052047F">
        <w:rPr>
          <w:i/>
        </w:rPr>
        <w:t>Journal of immunology (Baltimore, Md. 1950)</w:t>
      </w:r>
      <w:r w:rsidRPr="0052047F">
        <w:t xml:space="preserve"> 180(6): 3919–3925.</w:t>
      </w:r>
    </w:p>
    <w:p w14:paraId="10B57694" w14:textId="77777777" w:rsidR="00487F55" w:rsidRPr="0052047F" w:rsidRDefault="00487F55" w:rsidP="00487F55">
      <w:pPr>
        <w:pStyle w:val="CitaviBibliographyEntry"/>
        <w:spacing w:line="240" w:lineRule="auto"/>
      </w:pPr>
      <w:bookmarkStart w:id="57" w:name="_CTVL001bf0bceab2473470792c13e371f5de995"/>
      <w:r w:rsidRPr="0052047F">
        <w:t xml:space="preserve">Lennon EM, </w:t>
      </w:r>
      <w:proofErr w:type="spellStart"/>
      <w:r w:rsidRPr="0052047F">
        <w:t>Maharshak</w:t>
      </w:r>
      <w:proofErr w:type="spellEnd"/>
      <w:r w:rsidRPr="0052047F">
        <w:t xml:space="preserve"> N, </w:t>
      </w:r>
      <w:proofErr w:type="spellStart"/>
      <w:r w:rsidRPr="0052047F">
        <w:t>Elloumi</w:t>
      </w:r>
      <w:proofErr w:type="spellEnd"/>
      <w:r w:rsidRPr="0052047F">
        <w:t xml:space="preserve"> H, et al. (2013) Early life stress triggers persistent colonic barrier dysfunction and exacerbates colitis in adult IL-10-/- mice.</w:t>
      </w:r>
      <w:bookmarkEnd w:id="57"/>
      <w:r w:rsidRPr="0052047F">
        <w:t xml:space="preserve"> </w:t>
      </w:r>
      <w:r w:rsidRPr="0052047F">
        <w:rPr>
          <w:i/>
        </w:rPr>
        <w:t>Inflammatory bowel diseases</w:t>
      </w:r>
      <w:r w:rsidRPr="0052047F">
        <w:t xml:space="preserve"> 19(4): 712–719.</w:t>
      </w:r>
    </w:p>
    <w:p w14:paraId="17AC009B" w14:textId="77777777" w:rsidR="00487F55" w:rsidRPr="0052047F" w:rsidRDefault="00487F55" w:rsidP="00487F55">
      <w:pPr>
        <w:pStyle w:val="CitaviBibliographyEntry"/>
        <w:spacing w:line="240" w:lineRule="auto"/>
      </w:pPr>
      <w:bookmarkStart w:id="58" w:name="_CTVL001d8f8cc95d6fb4e1cbd9cf2eb77cea231"/>
      <w:r w:rsidRPr="0052047F">
        <w:t>Li B, Lee C, Martin Z, et al. (2017) Intestinal epithelial injury induced by maternal separation is protected by hydrogen sulfide.</w:t>
      </w:r>
      <w:bookmarkEnd w:id="58"/>
      <w:r w:rsidRPr="0052047F">
        <w:t xml:space="preserve"> </w:t>
      </w:r>
      <w:r w:rsidRPr="0052047F">
        <w:rPr>
          <w:i/>
        </w:rPr>
        <w:t>Journal of pediatric surgery</w:t>
      </w:r>
      <w:r w:rsidRPr="0052047F">
        <w:t xml:space="preserve"> 52(1): 40–44.</w:t>
      </w:r>
    </w:p>
    <w:p w14:paraId="04E70681" w14:textId="77777777" w:rsidR="00487F55" w:rsidRPr="0052047F" w:rsidRDefault="00487F55" w:rsidP="00487F55">
      <w:pPr>
        <w:pStyle w:val="CitaviBibliographyEntry"/>
        <w:spacing w:line="240" w:lineRule="auto"/>
      </w:pPr>
      <w:bookmarkStart w:id="59" w:name="_CTVL001d759b1c190644eb9916d2ef883a805e8"/>
      <w:proofErr w:type="spellStart"/>
      <w:r w:rsidRPr="0052047F">
        <w:t>Majcher-Maślanka</w:t>
      </w:r>
      <w:proofErr w:type="spellEnd"/>
      <w:r w:rsidRPr="0052047F">
        <w:t xml:space="preserve"> I, </w:t>
      </w:r>
      <w:proofErr w:type="spellStart"/>
      <w:r w:rsidRPr="0052047F">
        <w:t>Solarz</w:t>
      </w:r>
      <w:proofErr w:type="spellEnd"/>
      <w:r w:rsidRPr="0052047F">
        <w:t xml:space="preserve"> A and </w:t>
      </w:r>
      <w:proofErr w:type="spellStart"/>
      <w:r w:rsidRPr="0052047F">
        <w:t>Chocyk</w:t>
      </w:r>
      <w:proofErr w:type="spellEnd"/>
      <w:r w:rsidRPr="0052047F">
        <w:t xml:space="preserve"> A (2019) Maternal separation disturbs postnatal development of the medial prefrontal cortex and affects the number of neurons and glial cells in adolescent rats.</w:t>
      </w:r>
      <w:bookmarkEnd w:id="59"/>
      <w:r w:rsidRPr="0052047F">
        <w:t xml:space="preserve"> </w:t>
      </w:r>
      <w:r w:rsidRPr="0052047F">
        <w:rPr>
          <w:i/>
        </w:rPr>
        <w:t>Neuroscience</w:t>
      </w:r>
      <w:r w:rsidRPr="0052047F">
        <w:t xml:space="preserve"> 423: 131–147.</w:t>
      </w:r>
    </w:p>
    <w:p w14:paraId="4E3C4E82" w14:textId="77777777" w:rsidR="00487F55" w:rsidRPr="0052047F" w:rsidRDefault="00487F55" w:rsidP="00487F55">
      <w:pPr>
        <w:pStyle w:val="CitaviBibliographyEntry"/>
        <w:spacing w:line="240" w:lineRule="auto"/>
      </w:pPr>
      <w:bookmarkStart w:id="60" w:name="_CTVL00106ea3eb48c8a4c91bde1e53980090d82"/>
      <w:r w:rsidRPr="0052047F">
        <w:t>Matthews K, Dalley JW, Matthews C, et al. (2001) Periodic maternal separation of neonatal rats produces region- and gender-specific effects on biogenic amine content in postmortem adult brain.</w:t>
      </w:r>
      <w:bookmarkEnd w:id="60"/>
      <w:r w:rsidRPr="0052047F">
        <w:t xml:space="preserve"> </w:t>
      </w:r>
      <w:r w:rsidRPr="0052047F">
        <w:rPr>
          <w:i/>
        </w:rPr>
        <w:t>Synapse</w:t>
      </w:r>
      <w:r w:rsidRPr="0052047F">
        <w:t xml:space="preserve"> 40(1): 1–10.</w:t>
      </w:r>
    </w:p>
    <w:p w14:paraId="42715D67" w14:textId="77777777" w:rsidR="00487F55" w:rsidRPr="0052047F" w:rsidRDefault="00487F55" w:rsidP="00487F55">
      <w:pPr>
        <w:pStyle w:val="CitaviBibliographyEntry"/>
        <w:spacing w:line="240" w:lineRule="auto"/>
      </w:pPr>
      <w:bookmarkStart w:id="61" w:name="_CTVL001daf8c1940c9841d7bedad40e80ba9de3"/>
      <w:r w:rsidRPr="0052047F">
        <w:t>Miller AH and Raison CL (2016) The role of inflammation in depression: from evolutionary imperative to modern treatment target.</w:t>
      </w:r>
      <w:bookmarkEnd w:id="61"/>
      <w:r w:rsidRPr="0052047F">
        <w:t xml:space="preserve"> </w:t>
      </w:r>
      <w:r w:rsidRPr="0052047F">
        <w:rPr>
          <w:i/>
        </w:rPr>
        <w:t>Nature reviews. Immunology</w:t>
      </w:r>
      <w:r w:rsidRPr="0052047F">
        <w:t xml:space="preserve"> 16(1): 22–34.</w:t>
      </w:r>
    </w:p>
    <w:p w14:paraId="13E3F531" w14:textId="77777777" w:rsidR="00487F55" w:rsidRPr="0052047F" w:rsidRDefault="00487F55" w:rsidP="00487F55">
      <w:pPr>
        <w:pStyle w:val="CitaviBibliographyEntry"/>
        <w:spacing w:line="240" w:lineRule="auto"/>
      </w:pPr>
      <w:bookmarkStart w:id="62" w:name="_CTVL0019b55bde64d2849c6b22e3c2f496876e4"/>
      <w:r w:rsidRPr="0052047F">
        <w:t>Mizoguchi H, Fukumoto K, Sakamoto G, et al. (2019) Maternal separation as a risk factor for aggravation of neuropathic pain in later life in mice.</w:t>
      </w:r>
      <w:bookmarkEnd w:id="62"/>
      <w:r w:rsidRPr="0052047F">
        <w:t xml:space="preserve"> </w:t>
      </w:r>
      <w:proofErr w:type="spellStart"/>
      <w:r w:rsidRPr="0052047F">
        <w:rPr>
          <w:i/>
        </w:rPr>
        <w:t>Behavioural</w:t>
      </w:r>
      <w:proofErr w:type="spellEnd"/>
      <w:r w:rsidRPr="0052047F">
        <w:rPr>
          <w:i/>
        </w:rPr>
        <w:t xml:space="preserve"> brain research</w:t>
      </w:r>
      <w:r w:rsidRPr="0052047F">
        <w:t xml:space="preserve"> 359: 942–949.</w:t>
      </w:r>
    </w:p>
    <w:p w14:paraId="1D0D485D" w14:textId="77777777" w:rsidR="00487F55" w:rsidRPr="0052047F" w:rsidRDefault="00487F55" w:rsidP="00487F55">
      <w:pPr>
        <w:pStyle w:val="CitaviBibliographyEntry"/>
        <w:spacing w:line="240" w:lineRule="auto"/>
      </w:pPr>
      <w:bookmarkStart w:id="63" w:name="_CTVL00155ed23c2dc394dc6b6ee2368ad0a44c3"/>
      <w:r w:rsidRPr="0052047F">
        <w:t>Morgan N, Irwin MR, Chung M, et al. (2014) The effects of mind-body therapies on the immune system: meta-analysis.</w:t>
      </w:r>
      <w:bookmarkEnd w:id="63"/>
      <w:r w:rsidRPr="0052047F">
        <w:t xml:space="preserve"> </w:t>
      </w:r>
      <w:proofErr w:type="spellStart"/>
      <w:r w:rsidRPr="0052047F">
        <w:rPr>
          <w:i/>
        </w:rPr>
        <w:t>PloS</w:t>
      </w:r>
      <w:proofErr w:type="spellEnd"/>
      <w:r w:rsidRPr="0052047F">
        <w:rPr>
          <w:i/>
        </w:rPr>
        <w:t xml:space="preserve"> one</w:t>
      </w:r>
      <w:r w:rsidRPr="0052047F">
        <w:t xml:space="preserve"> 9(7): e100903.</w:t>
      </w:r>
    </w:p>
    <w:p w14:paraId="158919F8" w14:textId="77777777" w:rsidR="00487F55" w:rsidRPr="0052047F" w:rsidRDefault="00487F55" w:rsidP="00487F55">
      <w:pPr>
        <w:pStyle w:val="CitaviBibliographyEntry"/>
        <w:spacing w:line="240" w:lineRule="auto"/>
      </w:pPr>
      <w:bookmarkStart w:id="64" w:name="_CTVL001d4e0903feb8347ef930abe1b69c3f6a0"/>
      <w:r w:rsidRPr="0052047F">
        <w:t>Moya-Pérez A, Perez-</w:t>
      </w:r>
      <w:proofErr w:type="spellStart"/>
      <w:r w:rsidRPr="0052047F">
        <w:t>Villalba</w:t>
      </w:r>
      <w:proofErr w:type="spellEnd"/>
      <w:r w:rsidRPr="0052047F">
        <w:t xml:space="preserve"> A, Benítez-</w:t>
      </w:r>
      <w:proofErr w:type="spellStart"/>
      <w:r w:rsidRPr="0052047F">
        <w:t>Páez</w:t>
      </w:r>
      <w:proofErr w:type="spellEnd"/>
      <w:r w:rsidRPr="0052047F">
        <w:t xml:space="preserve"> A, et al. (2017) Bifidobacterium CECT 7765 modulates early stress-induced immune, neuroendocrine and behavioral alterations in mice.</w:t>
      </w:r>
      <w:bookmarkEnd w:id="64"/>
      <w:r w:rsidRPr="0052047F">
        <w:t xml:space="preserve"> </w:t>
      </w:r>
      <w:r w:rsidRPr="0052047F">
        <w:rPr>
          <w:i/>
        </w:rPr>
        <w:t>Brain, behavior, and immunity</w:t>
      </w:r>
      <w:r w:rsidRPr="0052047F">
        <w:t xml:space="preserve"> 65: 43–56.</w:t>
      </w:r>
    </w:p>
    <w:p w14:paraId="295B3B86" w14:textId="77777777" w:rsidR="00487F55" w:rsidRPr="0052047F" w:rsidRDefault="00487F55" w:rsidP="00487F55">
      <w:pPr>
        <w:pStyle w:val="CitaviBibliographyEntry"/>
        <w:spacing w:line="240" w:lineRule="auto"/>
      </w:pPr>
      <w:bookmarkStart w:id="65" w:name="_CTVL001e1a2f1853d9e416a9a14be8182578e05"/>
      <w:proofErr w:type="spellStart"/>
      <w:r w:rsidRPr="0052047F">
        <w:t>Nanni</w:t>
      </w:r>
      <w:proofErr w:type="spellEnd"/>
      <w:r w:rsidRPr="0052047F">
        <w:t xml:space="preserve"> V, </w:t>
      </w:r>
      <w:proofErr w:type="spellStart"/>
      <w:r w:rsidRPr="0052047F">
        <w:t>Uher</w:t>
      </w:r>
      <w:proofErr w:type="spellEnd"/>
      <w:r w:rsidRPr="0052047F">
        <w:t xml:space="preserve"> R and </w:t>
      </w:r>
      <w:proofErr w:type="spellStart"/>
      <w:r w:rsidRPr="0052047F">
        <w:t>Danese</w:t>
      </w:r>
      <w:proofErr w:type="spellEnd"/>
      <w:r w:rsidRPr="0052047F">
        <w:t xml:space="preserve"> A (2012) Childhood maltreatment predicts unfavorable course of illness and treatment outcome in depression: a meta-analysis.</w:t>
      </w:r>
      <w:bookmarkEnd w:id="65"/>
      <w:r w:rsidRPr="0052047F">
        <w:t xml:space="preserve"> </w:t>
      </w:r>
      <w:r w:rsidRPr="0052047F">
        <w:rPr>
          <w:i/>
        </w:rPr>
        <w:t>American Journal of Psychiatry</w:t>
      </w:r>
      <w:r w:rsidRPr="0052047F">
        <w:t xml:space="preserve"> 169(2): 141–151.</w:t>
      </w:r>
    </w:p>
    <w:p w14:paraId="67941E53" w14:textId="77777777" w:rsidR="00487F55" w:rsidRPr="0052047F" w:rsidRDefault="00487F55" w:rsidP="00487F55">
      <w:pPr>
        <w:pStyle w:val="CitaviBibliographyEntry"/>
        <w:spacing w:line="240" w:lineRule="auto"/>
      </w:pPr>
      <w:bookmarkStart w:id="66" w:name="_CTVL001431c436f03df4e4885ac475642a32c27"/>
      <w:r w:rsidRPr="0052047F">
        <w:t>Odeon MM and Acosta GB (2019) Repeated maternal separation: Alcohol consumption, anxious behavior and corticosterone were reversed by a non-pharmacological treatment.</w:t>
      </w:r>
      <w:bookmarkEnd w:id="66"/>
      <w:r w:rsidRPr="0052047F">
        <w:t xml:space="preserve"> </w:t>
      </w:r>
      <w:r w:rsidRPr="0052047F">
        <w:rPr>
          <w:i/>
        </w:rPr>
        <w:t>Progress in neuro-psychopharmacology &amp; biological psychiatry</w:t>
      </w:r>
      <w:r w:rsidRPr="0052047F">
        <w:t xml:space="preserve"> 95: 109726.</w:t>
      </w:r>
    </w:p>
    <w:p w14:paraId="024835EB" w14:textId="77777777" w:rsidR="00487F55" w:rsidRPr="0052047F" w:rsidRDefault="00487F55" w:rsidP="00487F55">
      <w:pPr>
        <w:pStyle w:val="CitaviBibliographyEntry"/>
        <w:spacing w:line="240" w:lineRule="auto"/>
      </w:pPr>
      <w:bookmarkStart w:id="67" w:name="_CTVL001504cdc26d19c4615b1e06b454dde1296"/>
      <w:proofErr w:type="spellStart"/>
      <w:r w:rsidRPr="0052047F">
        <w:t>Oines</w:t>
      </w:r>
      <w:proofErr w:type="spellEnd"/>
      <w:r w:rsidRPr="0052047F">
        <w:t xml:space="preserve"> E, </w:t>
      </w:r>
      <w:proofErr w:type="spellStart"/>
      <w:r w:rsidRPr="0052047F">
        <w:t>Murison</w:t>
      </w:r>
      <w:proofErr w:type="spellEnd"/>
      <w:r w:rsidRPr="0052047F">
        <w:t xml:space="preserve"> R, </w:t>
      </w:r>
      <w:proofErr w:type="spellStart"/>
      <w:r w:rsidRPr="0052047F">
        <w:t>Mrdalj</w:t>
      </w:r>
      <w:proofErr w:type="spellEnd"/>
      <w:r w:rsidRPr="0052047F">
        <w:t xml:space="preserve"> J, et al. (2012) Neonatal maternal separation in male rats increases intestinal permeability and affects behavior after chronic social stress.</w:t>
      </w:r>
      <w:bookmarkEnd w:id="67"/>
      <w:r w:rsidRPr="0052047F">
        <w:t xml:space="preserve"> </w:t>
      </w:r>
      <w:r w:rsidRPr="0052047F">
        <w:rPr>
          <w:i/>
        </w:rPr>
        <w:t>Physiology &amp; behavior</w:t>
      </w:r>
      <w:r w:rsidRPr="0052047F">
        <w:t xml:space="preserve"> 105(4): 1058–1066.</w:t>
      </w:r>
    </w:p>
    <w:p w14:paraId="2F54EB6A" w14:textId="3312FB3E" w:rsidR="00487F55" w:rsidRPr="0052047F" w:rsidRDefault="00487F55" w:rsidP="00487F55">
      <w:pPr>
        <w:pStyle w:val="CitaviBibliographyEntry"/>
        <w:spacing w:line="240" w:lineRule="auto"/>
      </w:pPr>
      <w:bookmarkStart w:id="68" w:name="_CTVL001f55c2483b2b646f89decb35b359240f8"/>
      <w:proofErr w:type="spellStart"/>
      <w:r w:rsidRPr="0052047F">
        <w:t>O</w:t>
      </w:r>
      <w:r w:rsidR="0040189C" w:rsidRPr="0052047F">
        <w:t>’</w:t>
      </w:r>
      <w:r w:rsidRPr="0052047F">
        <w:t>Mahony</w:t>
      </w:r>
      <w:proofErr w:type="spellEnd"/>
      <w:r w:rsidRPr="0052047F">
        <w:t xml:space="preserve"> SM, Marchesi JR, Scully P, et al. (2009) Early life stress alters behavior, immunity, and microbiota in rats: implications for irritable bowel syndrome and psychiatric illnesses.</w:t>
      </w:r>
      <w:bookmarkEnd w:id="68"/>
      <w:r w:rsidRPr="0052047F">
        <w:t xml:space="preserve"> </w:t>
      </w:r>
      <w:r w:rsidRPr="0052047F">
        <w:rPr>
          <w:i/>
        </w:rPr>
        <w:t>Biological psychiatry</w:t>
      </w:r>
      <w:r w:rsidRPr="0052047F">
        <w:t xml:space="preserve"> 65(3): 263–267.</w:t>
      </w:r>
    </w:p>
    <w:p w14:paraId="07F712A7" w14:textId="436447AA" w:rsidR="00487F55" w:rsidRPr="0052047F" w:rsidRDefault="00487F55" w:rsidP="00487F55">
      <w:pPr>
        <w:pStyle w:val="CitaviBibliographyEntry"/>
        <w:spacing w:line="240" w:lineRule="auto"/>
      </w:pPr>
      <w:bookmarkStart w:id="69" w:name="_CTVL001860a90da3ec54f4785eb424a55c20dc9"/>
      <w:r w:rsidRPr="0052047F">
        <w:t>O</w:t>
      </w:r>
      <w:r w:rsidR="0040189C" w:rsidRPr="0052047F">
        <w:t>’</w:t>
      </w:r>
      <w:r w:rsidRPr="0052047F">
        <w:t>Malley D, Liston M, Hyland NP, et al. (2011) Colonic soluble mediators from the maternal separation model of irritable bowel syndrome activate submucosal neurons via an interleukin-6-dependent mechanism.</w:t>
      </w:r>
      <w:bookmarkEnd w:id="69"/>
      <w:r w:rsidRPr="0052047F">
        <w:t xml:space="preserve"> </w:t>
      </w:r>
      <w:r w:rsidRPr="0052047F">
        <w:rPr>
          <w:i/>
        </w:rPr>
        <w:t>American journal of physiology. Gastrointestinal and liver physiology</w:t>
      </w:r>
      <w:r w:rsidRPr="0052047F">
        <w:t xml:space="preserve"> 300(2): G241-52.</w:t>
      </w:r>
    </w:p>
    <w:p w14:paraId="048FBB7B" w14:textId="77777777" w:rsidR="00487F55" w:rsidRPr="0052047F" w:rsidRDefault="00487F55" w:rsidP="00487F55">
      <w:pPr>
        <w:pStyle w:val="CitaviBibliographyEntry"/>
        <w:spacing w:line="240" w:lineRule="auto"/>
      </w:pPr>
      <w:bookmarkStart w:id="70" w:name="_CTVL001df459212b2524e51bb6ad0d7d20950ae"/>
      <w:r w:rsidRPr="0052047F">
        <w:t xml:space="preserve">Pace TWW, </w:t>
      </w:r>
      <w:proofErr w:type="spellStart"/>
      <w:r w:rsidRPr="0052047F">
        <w:t>Mletzko</w:t>
      </w:r>
      <w:proofErr w:type="spellEnd"/>
      <w:r w:rsidRPr="0052047F">
        <w:t xml:space="preserve"> TC, </w:t>
      </w:r>
      <w:proofErr w:type="spellStart"/>
      <w:r w:rsidRPr="0052047F">
        <w:t>Alagbe</w:t>
      </w:r>
      <w:proofErr w:type="spellEnd"/>
      <w:r w:rsidRPr="0052047F">
        <w:t xml:space="preserve"> O, et al. (2006) Increased stress-induced inflammatory responses in male patients with major depression and increased early life stress.</w:t>
      </w:r>
      <w:bookmarkEnd w:id="70"/>
      <w:r w:rsidRPr="0052047F">
        <w:t xml:space="preserve"> </w:t>
      </w:r>
      <w:r w:rsidRPr="0052047F">
        <w:rPr>
          <w:i/>
        </w:rPr>
        <w:t>American Journal of Psychiatry</w:t>
      </w:r>
      <w:r w:rsidRPr="0052047F">
        <w:t xml:space="preserve"> 163(9): 1630–1633.</w:t>
      </w:r>
    </w:p>
    <w:p w14:paraId="53786DE2" w14:textId="77777777" w:rsidR="00487F55" w:rsidRPr="0052047F" w:rsidRDefault="00487F55" w:rsidP="00487F55">
      <w:pPr>
        <w:pStyle w:val="CitaviBibliographyEntry"/>
        <w:spacing w:line="240" w:lineRule="auto"/>
      </w:pPr>
      <w:bookmarkStart w:id="71" w:name="_CTVL001c0caba4c4a604173a169063fbea054df"/>
      <w:r w:rsidRPr="0052047F">
        <w:lastRenderedPageBreak/>
        <w:t xml:space="preserve">Pace TWW, Negi LT, </w:t>
      </w:r>
      <w:proofErr w:type="spellStart"/>
      <w:r w:rsidRPr="0052047F">
        <w:t>Adame</w:t>
      </w:r>
      <w:proofErr w:type="spellEnd"/>
      <w:r w:rsidRPr="0052047F">
        <w:t xml:space="preserve"> DD, et al. (2009) Effect of compassion meditation on neuroendocrine, innate immune and behavioral responses to psychosocial stress.</w:t>
      </w:r>
      <w:bookmarkEnd w:id="71"/>
      <w:r w:rsidRPr="0052047F">
        <w:t xml:space="preserve"> </w:t>
      </w:r>
      <w:proofErr w:type="spellStart"/>
      <w:r w:rsidRPr="0052047F">
        <w:rPr>
          <w:i/>
        </w:rPr>
        <w:t>Psychoneuroendocrinology</w:t>
      </w:r>
      <w:proofErr w:type="spellEnd"/>
      <w:r w:rsidRPr="0052047F">
        <w:t xml:space="preserve"> 34(1): 87–98.</w:t>
      </w:r>
    </w:p>
    <w:p w14:paraId="31EE1267" w14:textId="77777777" w:rsidR="00487F55" w:rsidRPr="0052047F" w:rsidRDefault="00487F55" w:rsidP="00487F55">
      <w:pPr>
        <w:pStyle w:val="CitaviBibliographyEntry"/>
        <w:spacing w:line="240" w:lineRule="auto"/>
      </w:pPr>
      <w:bookmarkStart w:id="72" w:name="_CTVL00130b8468174824df08b774377a214de05"/>
      <w:proofErr w:type="spellStart"/>
      <w:r w:rsidRPr="0052047F">
        <w:t>Pestka</w:t>
      </w:r>
      <w:proofErr w:type="spellEnd"/>
      <w:r w:rsidRPr="0052047F">
        <w:t xml:space="preserve"> S, Krause CD, Sarkar D, et al. (2004) Interleukin-10 and related cytokines and receptors.</w:t>
      </w:r>
      <w:bookmarkEnd w:id="72"/>
      <w:r w:rsidRPr="0052047F">
        <w:t xml:space="preserve"> </w:t>
      </w:r>
      <w:r w:rsidRPr="0052047F">
        <w:rPr>
          <w:i/>
        </w:rPr>
        <w:t>Annual review of immunology</w:t>
      </w:r>
      <w:r w:rsidRPr="0052047F">
        <w:t xml:space="preserve"> 22: 929–979.</w:t>
      </w:r>
    </w:p>
    <w:p w14:paraId="0EA7CAFF" w14:textId="77777777" w:rsidR="00487F55" w:rsidRPr="0052047F" w:rsidRDefault="00487F55" w:rsidP="00487F55">
      <w:pPr>
        <w:pStyle w:val="CitaviBibliographyEntry"/>
        <w:spacing w:line="240" w:lineRule="auto"/>
      </w:pPr>
      <w:bookmarkStart w:id="73" w:name="_CTVL001fce6f00c9adc4749a6d510d34cec49a8"/>
      <w:r w:rsidRPr="0052047F">
        <w:t>Pierce AN, Di Silvestro ER, Eller OC, et al. (2016) Urinary bladder hypersensitivity and dysfunction in female mice following early life and adult stress.</w:t>
      </w:r>
      <w:bookmarkEnd w:id="73"/>
      <w:r w:rsidRPr="0052047F">
        <w:t xml:space="preserve"> </w:t>
      </w:r>
      <w:r w:rsidRPr="0052047F">
        <w:rPr>
          <w:i/>
        </w:rPr>
        <w:t>Brain Research</w:t>
      </w:r>
      <w:r w:rsidRPr="0052047F">
        <w:t xml:space="preserve"> 1639: 58–73.</w:t>
      </w:r>
    </w:p>
    <w:p w14:paraId="3D0CCF9C" w14:textId="77777777" w:rsidR="00487F55" w:rsidRPr="0052047F" w:rsidRDefault="00487F55" w:rsidP="00487F55">
      <w:pPr>
        <w:pStyle w:val="CitaviBibliographyEntry"/>
        <w:spacing w:line="240" w:lineRule="auto"/>
      </w:pPr>
      <w:bookmarkStart w:id="74" w:name="_CTVL001ced0f0162ecd49a38ea8f64227c374f0"/>
      <w:r w:rsidRPr="0052047F">
        <w:t>Pierce AN, Ryals JM, Wang R, et al. (2014) Vaginal hypersensitivity and hypothalamic-pituitary-adrenal axis dysfunction as a result of neonatal maternal separation in female mice.</w:t>
      </w:r>
      <w:bookmarkEnd w:id="74"/>
      <w:r w:rsidRPr="0052047F">
        <w:t xml:space="preserve"> </w:t>
      </w:r>
      <w:r w:rsidRPr="0052047F">
        <w:rPr>
          <w:i/>
        </w:rPr>
        <w:t>Neuroscience</w:t>
      </w:r>
      <w:r w:rsidRPr="0052047F">
        <w:t xml:space="preserve"> 263: 216–230.</w:t>
      </w:r>
    </w:p>
    <w:p w14:paraId="7AC37ED9" w14:textId="77777777" w:rsidR="00487F55" w:rsidRPr="0052047F" w:rsidRDefault="00487F55" w:rsidP="00487F55">
      <w:pPr>
        <w:pStyle w:val="CitaviBibliographyEntry"/>
        <w:spacing w:line="240" w:lineRule="auto"/>
      </w:pPr>
      <w:bookmarkStart w:id="75" w:name="_CTVL0011d1124c50d044c02b41607f85b93eee5"/>
      <w:r w:rsidRPr="0052047F">
        <w:t>Pinheiro RMC, Lima MNM de, Portal BCD, et al. (2015) Long-lasting recognition memory impairment and alterations in brain levels of cytokines and BDNF induced by maternal deprivation: effects of valproic acid and topiramate.</w:t>
      </w:r>
      <w:bookmarkEnd w:id="75"/>
      <w:r w:rsidRPr="0052047F">
        <w:t xml:space="preserve"> </w:t>
      </w:r>
      <w:r w:rsidRPr="0052047F">
        <w:rPr>
          <w:i/>
        </w:rPr>
        <w:t>Journal of neural transmission (Vienna, Austria 1996)</w:t>
      </w:r>
      <w:r w:rsidRPr="0052047F">
        <w:t xml:space="preserve"> 122(5): 709–719.</w:t>
      </w:r>
    </w:p>
    <w:p w14:paraId="5BF31EC5" w14:textId="77777777" w:rsidR="00487F55" w:rsidRPr="0052047F" w:rsidRDefault="00487F55" w:rsidP="00487F55">
      <w:pPr>
        <w:pStyle w:val="CitaviBibliographyEntry"/>
        <w:spacing w:line="240" w:lineRule="auto"/>
      </w:pPr>
      <w:bookmarkStart w:id="76" w:name="_CTVL00107232d49ec554a6c8dd7ac4b36fb96db"/>
      <w:r w:rsidRPr="0052047F">
        <w:t xml:space="preserve">Pryce CR and </w:t>
      </w:r>
      <w:proofErr w:type="spellStart"/>
      <w:r w:rsidRPr="0052047F">
        <w:t>Feldon</w:t>
      </w:r>
      <w:proofErr w:type="spellEnd"/>
      <w:r w:rsidRPr="0052047F">
        <w:t xml:space="preserve"> J (2003) Long-term </w:t>
      </w:r>
      <w:proofErr w:type="spellStart"/>
      <w:r w:rsidRPr="0052047F">
        <w:t>neurobehavioural</w:t>
      </w:r>
      <w:proofErr w:type="spellEnd"/>
      <w:r w:rsidRPr="0052047F">
        <w:t xml:space="preserve"> impact of the postnatal environment in rats: manipulations, effects and mediating mechanisms.</w:t>
      </w:r>
      <w:bookmarkEnd w:id="76"/>
      <w:r w:rsidRPr="0052047F">
        <w:t xml:space="preserve"> </w:t>
      </w:r>
      <w:r w:rsidRPr="0052047F">
        <w:rPr>
          <w:i/>
        </w:rPr>
        <w:t>Neuroscience and biobehavioral reviews</w:t>
      </w:r>
      <w:r w:rsidRPr="0052047F">
        <w:t xml:space="preserve"> 27(1-2): 57–71.</w:t>
      </w:r>
    </w:p>
    <w:p w14:paraId="1A464B3D" w14:textId="77777777" w:rsidR="00487F55" w:rsidRPr="0052047F" w:rsidRDefault="00487F55" w:rsidP="00487F55">
      <w:pPr>
        <w:pStyle w:val="CitaviBibliographyEntry"/>
        <w:spacing w:line="240" w:lineRule="auto"/>
      </w:pPr>
      <w:bookmarkStart w:id="77" w:name="_CTVL00171d52749492d400e979cf76e5bfb08ef"/>
      <w:proofErr w:type="spellStart"/>
      <w:r w:rsidRPr="0052047F">
        <w:t>Réus</w:t>
      </w:r>
      <w:proofErr w:type="spellEnd"/>
      <w:r w:rsidRPr="0052047F">
        <w:t xml:space="preserve"> GZ, Dos Santos MAB, </w:t>
      </w:r>
      <w:proofErr w:type="spellStart"/>
      <w:r w:rsidRPr="0052047F">
        <w:t>Abelaira</w:t>
      </w:r>
      <w:proofErr w:type="spellEnd"/>
      <w:r w:rsidRPr="0052047F">
        <w:t xml:space="preserve"> HM, et al. (2013) Imipramine reverses alterations in cytokines and BDNF levels induced by maternal deprivation in adult rats.</w:t>
      </w:r>
      <w:bookmarkEnd w:id="77"/>
      <w:r w:rsidRPr="0052047F">
        <w:t xml:space="preserve"> </w:t>
      </w:r>
      <w:proofErr w:type="spellStart"/>
      <w:r w:rsidRPr="0052047F">
        <w:rPr>
          <w:i/>
        </w:rPr>
        <w:t>Behavioural</w:t>
      </w:r>
      <w:proofErr w:type="spellEnd"/>
      <w:r w:rsidRPr="0052047F">
        <w:rPr>
          <w:i/>
        </w:rPr>
        <w:t xml:space="preserve"> brain research</w:t>
      </w:r>
      <w:r w:rsidRPr="0052047F">
        <w:t xml:space="preserve"> 242: 40–46.</w:t>
      </w:r>
    </w:p>
    <w:p w14:paraId="3854B722" w14:textId="77777777" w:rsidR="00487F55" w:rsidRPr="0052047F" w:rsidRDefault="00487F55" w:rsidP="00487F55">
      <w:pPr>
        <w:pStyle w:val="CitaviBibliographyEntry"/>
        <w:spacing w:line="240" w:lineRule="auto"/>
      </w:pPr>
      <w:bookmarkStart w:id="78" w:name="_CTVL00100b64447a7344d3fa6dc6753d0a37b24"/>
      <w:proofErr w:type="spellStart"/>
      <w:r w:rsidRPr="0052047F">
        <w:t>Riba</w:t>
      </w:r>
      <w:proofErr w:type="spellEnd"/>
      <w:r w:rsidRPr="0052047F">
        <w:t xml:space="preserve"> A, </w:t>
      </w:r>
      <w:proofErr w:type="spellStart"/>
      <w:r w:rsidRPr="0052047F">
        <w:t>Olier</w:t>
      </w:r>
      <w:proofErr w:type="spellEnd"/>
      <w:r w:rsidRPr="0052047F">
        <w:t xml:space="preserve"> M, Lacroix-</w:t>
      </w:r>
      <w:proofErr w:type="spellStart"/>
      <w:r w:rsidRPr="0052047F">
        <w:t>Lamandé</w:t>
      </w:r>
      <w:proofErr w:type="spellEnd"/>
      <w:r w:rsidRPr="0052047F">
        <w:t xml:space="preserve"> S, et al. (2017) Paneth Cell Defects Induce Microbiota Dysbiosis in Mice and Promote Visceral Hypersensitivity.</w:t>
      </w:r>
      <w:bookmarkEnd w:id="78"/>
      <w:r w:rsidRPr="0052047F">
        <w:t xml:space="preserve"> </w:t>
      </w:r>
      <w:r w:rsidRPr="0052047F">
        <w:rPr>
          <w:i/>
        </w:rPr>
        <w:t>Gastroenterology</w:t>
      </w:r>
      <w:r w:rsidRPr="0052047F">
        <w:t xml:space="preserve"> 153(6): 1594-1606.e2.</w:t>
      </w:r>
    </w:p>
    <w:p w14:paraId="2BB40BAE" w14:textId="77777777" w:rsidR="00487F55" w:rsidRPr="0052047F" w:rsidRDefault="00487F55" w:rsidP="00487F55">
      <w:pPr>
        <w:pStyle w:val="CitaviBibliographyEntry"/>
        <w:spacing w:line="240" w:lineRule="auto"/>
      </w:pPr>
      <w:bookmarkStart w:id="79" w:name="_CTVL001913d485d5fe2439f87471ce06314a706"/>
      <w:proofErr w:type="spellStart"/>
      <w:r w:rsidRPr="0052047F">
        <w:t>Riba</w:t>
      </w:r>
      <w:proofErr w:type="spellEnd"/>
      <w:r w:rsidRPr="0052047F">
        <w:t xml:space="preserve"> A, </w:t>
      </w:r>
      <w:proofErr w:type="spellStart"/>
      <w:r w:rsidRPr="0052047F">
        <w:t>Olier</w:t>
      </w:r>
      <w:proofErr w:type="spellEnd"/>
      <w:r w:rsidRPr="0052047F">
        <w:t xml:space="preserve"> M, Lacroix-</w:t>
      </w:r>
      <w:proofErr w:type="spellStart"/>
      <w:r w:rsidRPr="0052047F">
        <w:t>Lamandé</w:t>
      </w:r>
      <w:proofErr w:type="spellEnd"/>
      <w:r w:rsidRPr="0052047F">
        <w:t xml:space="preserve"> S, et al. (2018) Early life stress in mice is a suitable model for Irritable Bowel Syndrome but does not predispose to colitis nor increase susceptibility to enteric infections.</w:t>
      </w:r>
      <w:bookmarkEnd w:id="79"/>
      <w:r w:rsidRPr="0052047F">
        <w:t xml:space="preserve"> </w:t>
      </w:r>
      <w:r w:rsidRPr="0052047F">
        <w:rPr>
          <w:i/>
        </w:rPr>
        <w:t>Brain, behavior, and immunity</w:t>
      </w:r>
      <w:r w:rsidRPr="0052047F">
        <w:t xml:space="preserve"> 73: 403–415.</w:t>
      </w:r>
    </w:p>
    <w:p w14:paraId="05CCBD75" w14:textId="77777777" w:rsidR="00487F55" w:rsidRPr="0052047F" w:rsidRDefault="00487F55" w:rsidP="00487F55">
      <w:pPr>
        <w:pStyle w:val="CitaviBibliographyEntry"/>
        <w:spacing w:line="240" w:lineRule="auto"/>
      </w:pPr>
      <w:bookmarkStart w:id="80" w:name="_CTVL001b3cded5620594fd1b1e2b83556288224"/>
      <w:r w:rsidRPr="0052047F">
        <w:t>Roque A, Ochoa-</w:t>
      </w:r>
      <w:proofErr w:type="spellStart"/>
      <w:r w:rsidRPr="0052047F">
        <w:t>Zarzosa</w:t>
      </w:r>
      <w:proofErr w:type="spellEnd"/>
      <w:r w:rsidRPr="0052047F">
        <w:t xml:space="preserve"> A and </w:t>
      </w:r>
      <w:proofErr w:type="spellStart"/>
      <w:r w:rsidRPr="0052047F">
        <w:t>Torner</w:t>
      </w:r>
      <w:proofErr w:type="spellEnd"/>
      <w:r w:rsidRPr="0052047F">
        <w:t xml:space="preserve"> L (2016) Maternal separation activates microglial cells and induces an inflammatory response in the hippocampus of male rat pups, independently of hypothalamic and peripheral cytokine levels.</w:t>
      </w:r>
      <w:bookmarkEnd w:id="80"/>
      <w:r w:rsidRPr="0052047F">
        <w:t xml:space="preserve"> </w:t>
      </w:r>
      <w:r w:rsidRPr="0052047F">
        <w:rPr>
          <w:i/>
        </w:rPr>
        <w:t>Brain, behavior, and immunity</w:t>
      </w:r>
      <w:r w:rsidRPr="0052047F">
        <w:t xml:space="preserve"> 55: 39–48.</w:t>
      </w:r>
    </w:p>
    <w:p w14:paraId="384EC6B6" w14:textId="77777777" w:rsidR="00487F55" w:rsidRPr="0052047F" w:rsidRDefault="00487F55" w:rsidP="00487F55">
      <w:pPr>
        <w:pStyle w:val="CitaviBibliographyEntry"/>
        <w:spacing w:line="240" w:lineRule="auto"/>
      </w:pPr>
      <w:bookmarkStart w:id="81" w:name="_CTVL001504d210bf0f04c918479d4883cee399c"/>
      <w:r w:rsidRPr="0052047F">
        <w:t xml:space="preserve">Saavedra LM, Fenton Navarro B and </w:t>
      </w:r>
      <w:proofErr w:type="spellStart"/>
      <w:r w:rsidRPr="0052047F">
        <w:t>Torner</w:t>
      </w:r>
      <w:proofErr w:type="spellEnd"/>
      <w:r w:rsidRPr="0052047F">
        <w:t xml:space="preserve"> L (2017) Early Life Stress Activates Glial Cells in the Hippocampus but Attenuates Cytokine Secretion in Response to an Immune Challenge in Rat Pups.</w:t>
      </w:r>
      <w:bookmarkEnd w:id="81"/>
      <w:r w:rsidRPr="0052047F">
        <w:t xml:space="preserve"> </w:t>
      </w:r>
      <w:r w:rsidRPr="0052047F">
        <w:rPr>
          <w:i/>
        </w:rPr>
        <w:t>Neuroimmunomodulation</w:t>
      </w:r>
      <w:r w:rsidRPr="0052047F">
        <w:t xml:space="preserve"> 24(4-5): 242–255.</w:t>
      </w:r>
    </w:p>
    <w:p w14:paraId="052B63A2" w14:textId="77777777" w:rsidR="00487F55" w:rsidRPr="0052047F" w:rsidRDefault="00487F55" w:rsidP="00487F55">
      <w:pPr>
        <w:pStyle w:val="CitaviBibliographyEntry"/>
        <w:spacing w:line="240" w:lineRule="auto"/>
      </w:pPr>
      <w:bookmarkStart w:id="82" w:name="_CTVL001e6b0cc65ef4d4155bca0be5b6d37efff"/>
      <w:proofErr w:type="spellStart"/>
      <w:r w:rsidRPr="0052047F">
        <w:t>Sabat</w:t>
      </w:r>
      <w:proofErr w:type="spellEnd"/>
      <w:r w:rsidRPr="0052047F">
        <w:t xml:space="preserve"> R, </w:t>
      </w:r>
      <w:proofErr w:type="spellStart"/>
      <w:r w:rsidRPr="0052047F">
        <w:t>Grütz</w:t>
      </w:r>
      <w:proofErr w:type="spellEnd"/>
      <w:r w:rsidRPr="0052047F">
        <w:t xml:space="preserve"> G, </w:t>
      </w:r>
      <w:proofErr w:type="spellStart"/>
      <w:r w:rsidRPr="0052047F">
        <w:t>Warszawska</w:t>
      </w:r>
      <w:proofErr w:type="spellEnd"/>
      <w:r w:rsidRPr="0052047F">
        <w:t xml:space="preserve"> K, et al. (2010) Biology of interleukin-10.</w:t>
      </w:r>
      <w:bookmarkEnd w:id="82"/>
      <w:r w:rsidRPr="0052047F">
        <w:t xml:space="preserve"> </w:t>
      </w:r>
      <w:r w:rsidRPr="0052047F">
        <w:rPr>
          <w:i/>
        </w:rPr>
        <w:t>Cytokine &amp; growth factor reviews</w:t>
      </w:r>
      <w:r w:rsidRPr="0052047F">
        <w:t xml:space="preserve"> 21(5): 331–344.</w:t>
      </w:r>
    </w:p>
    <w:p w14:paraId="3AE6C7AE" w14:textId="77777777" w:rsidR="00487F55" w:rsidRPr="0052047F" w:rsidRDefault="00487F55" w:rsidP="00487F55">
      <w:pPr>
        <w:pStyle w:val="CitaviBibliographyEntry"/>
        <w:spacing w:line="240" w:lineRule="auto"/>
      </w:pPr>
      <w:bookmarkStart w:id="83" w:name="_CTVL001ae4650523413445f808bffe010d92b6d"/>
      <w:r w:rsidRPr="0052047F">
        <w:t>Schmidt MV, Wang X-D and Meijer OC (2011) Early life stress paradigms in rodents: potential animal models of depression?</w:t>
      </w:r>
      <w:bookmarkEnd w:id="83"/>
      <w:r w:rsidRPr="0052047F">
        <w:t xml:space="preserve"> </w:t>
      </w:r>
      <w:r w:rsidRPr="0052047F">
        <w:rPr>
          <w:i/>
        </w:rPr>
        <w:t>Psychopharmacology</w:t>
      </w:r>
      <w:r w:rsidRPr="0052047F">
        <w:t xml:space="preserve"> 214(1): 131–140.</w:t>
      </w:r>
    </w:p>
    <w:p w14:paraId="7F82276B" w14:textId="77777777" w:rsidR="00487F55" w:rsidRPr="0052047F" w:rsidRDefault="00487F55" w:rsidP="00487F55">
      <w:pPr>
        <w:pStyle w:val="CitaviBibliographyEntry"/>
        <w:spacing w:line="240" w:lineRule="auto"/>
      </w:pPr>
      <w:bookmarkStart w:id="84" w:name="_CTVL001c6bb3bd201bb4a32b7fd5f8b4277ff60"/>
      <w:r w:rsidRPr="0052047F">
        <w:t xml:space="preserve">Semple BD, </w:t>
      </w:r>
      <w:proofErr w:type="spellStart"/>
      <w:r w:rsidRPr="0052047F">
        <w:t>Blomgren</w:t>
      </w:r>
      <w:proofErr w:type="spellEnd"/>
      <w:r w:rsidRPr="0052047F">
        <w:t xml:space="preserve"> K, </w:t>
      </w:r>
      <w:proofErr w:type="spellStart"/>
      <w:r w:rsidRPr="0052047F">
        <w:t>Gimlin</w:t>
      </w:r>
      <w:proofErr w:type="spellEnd"/>
      <w:r w:rsidRPr="0052047F">
        <w:t xml:space="preserve"> K, et al. (2013) Brain development in rodents and humans: Identifying benchmarks of maturation and vulnerability to injury across species.</w:t>
      </w:r>
      <w:bookmarkEnd w:id="84"/>
      <w:r w:rsidRPr="0052047F">
        <w:t xml:space="preserve"> </w:t>
      </w:r>
      <w:r w:rsidRPr="0052047F">
        <w:rPr>
          <w:i/>
        </w:rPr>
        <w:t>Progress in neurobiology</w:t>
      </w:r>
      <w:r w:rsidRPr="0052047F">
        <w:t xml:space="preserve"> 106-107: 1–16.</w:t>
      </w:r>
    </w:p>
    <w:p w14:paraId="757C08B7" w14:textId="77777777" w:rsidR="00487F55" w:rsidRPr="0052047F" w:rsidRDefault="00487F55" w:rsidP="00487F55">
      <w:pPr>
        <w:pStyle w:val="CitaviBibliographyEntry"/>
        <w:spacing w:line="240" w:lineRule="auto"/>
      </w:pPr>
      <w:bookmarkStart w:id="85" w:name="_CTVL001f3578d41e1694091bb4377be059408fa"/>
      <w:r w:rsidRPr="0052047F">
        <w:t>Shao L, Liu Y, Xiao J, et al. (2019) Activating metabotropic glutamate receptor‑7 attenuates visceral hypersensitivity in neonatal maternally separated rats.</w:t>
      </w:r>
      <w:bookmarkEnd w:id="85"/>
      <w:r w:rsidRPr="0052047F">
        <w:t xml:space="preserve"> </w:t>
      </w:r>
      <w:r w:rsidRPr="0052047F">
        <w:rPr>
          <w:i/>
        </w:rPr>
        <w:t>International journal of molecular medicine</w:t>
      </w:r>
      <w:r w:rsidRPr="0052047F">
        <w:t xml:space="preserve"> 43(2): 761–770.</w:t>
      </w:r>
    </w:p>
    <w:p w14:paraId="0E595B23" w14:textId="77777777" w:rsidR="00487F55" w:rsidRPr="0052047F" w:rsidRDefault="00487F55" w:rsidP="00487F55">
      <w:pPr>
        <w:pStyle w:val="CitaviBibliographyEntry"/>
        <w:spacing w:line="240" w:lineRule="auto"/>
      </w:pPr>
      <w:bookmarkStart w:id="86" w:name="_CTVL001ae6ee7ac08fd44cebf7c490720e151c5"/>
      <w:proofErr w:type="spellStart"/>
      <w:r w:rsidRPr="0052047F">
        <w:t>Spinhoven</w:t>
      </w:r>
      <w:proofErr w:type="spellEnd"/>
      <w:r w:rsidRPr="0052047F">
        <w:t xml:space="preserve"> P, </w:t>
      </w:r>
      <w:proofErr w:type="spellStart"/>
      <w:r w:rsidRPr="0052047F">
        <w:t>Elzinga</w:t>
      </w:r>
      <w:proofErr w:type="spellEnd"/>
      <w:r w:rsidRPr="0052047F">
        <w:t xml:space="preserve"> BM, </w:t>
      </w:r>
      <w:proofErr w:type="spellStart"/>
      <w:r w:rsidRPr="0052047F">
        <w:t>Hovens</w:t>
      </w:r>
      <w:proofErr w:type="spellEnd"/>
      <w:r w:rsidRPr="0052047F">
        <w:t xml:space="preserve"> JGFM, et al. (2010) The specificity of childhood adversities and negative life events across the life span to anxiety and depressive disorders.</w:t>
      </w:r>
      <w:bookmarkEnd w:id="86"/>
      <w:r w:rsidRPr="0052047F">
        <w:t xml:space="preserve"> </w:t>
      </w:r>
      <w:r w:rsidRPr="0052047F">
        <w:rPr>
          <w:i/>
        </w:rPr>
        <w:t>Journal of Affective Disorders</w:t>
      </w:r>
      <w:r w:rsidRPr="0052047F">
        <w:t xml:space="preserve"> 126(1-2): 103–112.</w:t>
      </w:r>
    </w:p>
    <w:p w14:paraId="1169036F" w14:textId="77777777" w:rsidR="00487F55" w:rsidRPr="0052047F" w:rsidRDefault="00487F55" w:rsidP="00487F55">
      <w:pPr>
        <w:pStyle w:val="CitaviBibliographyEntry"/>
        <w:spacing w:line="240" w:lineRule="auto"/>
      </w:pPr>
      <w:bookmarkStart w:id="87" w:name="_CTVL001909b454f716a4a408ac31c29e1f71a0a"/>
      <w:r w:rsidRPr="0052047F">
        <w:lastRenderedPageBreak/>
        <w:t xml:space="preserve">Steptoe A and </w:t>
      </w:r>
      <w:proofErr w:type="spellStart"/>
      <w:r w:rsidRPr="0052047F">
        <w:t>Kivimäki</w:t>
      </w:r>
      <w:proofErr w:type="spellEnd"/>
      <w:r w:rsidRPr="0052047F">
        <w:t xml:space="preserve"> M (2012) Stress and cardiovascular disease.</w:t>
      </w:r>
      <w:bookmarkEnd w:id="87"/>
      <w:r w:rsidRPr="0052047F">
        <w:t xml:space="preserve"> </w:t>
      </w:r>
      <w:r w:rsidRPr="0052047F">
        <w:rPr>
          <w:i/>
        </w:rPr>
        <w:t>Nature reviews. Cardiology</w:t>
      </w:r>
      <w:r w:rsidRPr="0052047F">
        <w:t xml:space="preserve"> 9(6): 360–370.</w:t>
      </w:r>
    </w:p>
    <w:p w14:paraId="0F86CA80" w14:textId="77777777" w:rsidR="00487F55" w:rsidRPr="0052047F" w:rsidRDefault="00487F55" w:rsidP="00487F55">
      <w:pPr>
        <w:pStyle w:val="CitaviBibliographyEntry"/>
        <w:spacing w:line="240" w:lineRule="auto"/>
      </w:pPr>
      <w:bookmarkStart w:id="88" w:name="_CTVL001cc497ca6b2f943d48033543480750d7f"/>
      <w:r w:rsidRPr="0052047F">
        <w:t>Stuart SA, Hinchcliffe JK and Robinson ESJ (2019) Evidence that neuropsychological deficits following early life adversity may underlie vulnerability to depression.</w:t>
      </w:r>
      <w:bookmarkEnd w:id="88"/>
      <w:r w:rsidRPr="0052047F">
        <w:t xml:space="preserve"> </w:t>
      </w:r>
      <w:r w:rsidRPr="0052047F">
        <w:rPr>
          <w:i/>
        </w:rPr>
        <w:t>Neuropsychopharmacology official publication of the American College of Neuropsychopharmacology</w:t>
      </w:r>
      <w:r w:rsidRPr="0052047F">
        <w:t xml:space="preserve"> 44(9): 1623–1630.</w:t>
      </w:r>
    </w:p>
    <w:p w14:paraId="135D6C07" w14:textId="77777777" w:rsidR="00487F55" w:rsidRPr="0052047F" w:rsidRDefault="00487F55" w:rsidP="00487F55">
      <w:pPr>
        <w:pStyle w:val="CitaviBibliographyEntry"/>
        <w:spacing w:line="240" w:lineRule="auto"/>
      </w:pPr>
      <w:bookmarkStart w:id="89" w:name="_CTVL00109a4cf1b6d6a40a4a55563852f142158"/>
      <w:r w:rsidRPr="0052047F">
        <w:t>Tang H-L, Zhang G, Ji N-N, et al. (2017) Toll-Like Receptor 4 in Paraventricular Nucleus Mediates Visceral Hypersensitivity Induced by Maternal Separation.</w:t>
      </w:r>
      <w:bookmarkEnd w:id="89"/>
      <w:r w:rsidRPr="0052047F">
        <w:t xml:space="preserve"> </w:t>
      </w:r>
      <w:r w:rsidRPr="0052047F">
        <w:rPr>
          <w:i/>
        </w:rPr>
        <w:t>Frontiers in pharmacology</w:t>
      </w:r>
      <w:r w:rsidRPr="0052047F">
        <w:t xml:space="preserve"> 8: 309.</w:t>
      </w:r>
    </w:p>
    <w:p w14:paraId="7A0A6600" w14:textId="77777777" w:rsidR="00487F55" w:rsidRPr="0052047F" w:rsidRDefault="00487F55" w:rsidP="00487F55">
      <w:pPr>
        <w:pStyle w:val="CitaviBibliographyEntry"/>
        <w:spacing w:line="240" w:lineRule="auto"/>
      </w:pPr>
      <w:bookmarkStart w:id="90" w:name="_CTVL0016808d2a46690461ab29575f9f45ba9e5"/>
      <w:proofErr w:type="spellStart"/>
      <w:r w:rsidRPr="0052047F">
        <w:t>Teicher</w:t>
      </w:r>
      <w:proofErr w:type="spellEnd"/>
      <w:r w:rsidRPr="0052047F">
        <w:t xml:space="preserve"> MH and Samson JA (2013) Childhood maltreatment and psychopathology: A case for ecophenotypic variants as clinically and neurobiologically distinct subtypes.</w:t>
      </w:r>
      <w:bookmarkEnd w:id="90"/>
      <w:r w:rsidRPr="0052047F">
        <w:t xml:space="preserve"> </w:t>
      </w:r>
      <w:r w:rsidRPr="0052047F">
        <w:rPr>
          <w:i/>
        </w:rPr>
        <w:t>American Journal of Psychiatry</w:t>
      </w:r>
      <w:r w:rsidRPr="0052047F">
        <w:t xml:space="preserve"> 170(10): 1114–1133.</w:t>
      </w:r>
    </w:p>
    <w:p w14:paraId="25893AF5" w14:textId="77777777" w:rsidR="00487F55" w:rsidRPr="0052047F" w:rsidRDefault="00487F55" w:rsidP="00487F55">
      <w:pPr>
        <w:pStyle w:val="CitaviBibliographyEntry"/>
        <w:spacing w:line="240" w:lineRule="auto"/>
      </w:pPr>
      <w:bookmarkStart w:id="91" w:name="_CTVL001b93865e7bb2b43a688eb4f1bc5660f0c"/>
      <w:r w:rsidRPr="0052047F">
        <w:t>Ulrich-Lai YM and Herman JP (2009) Neural regulation of endocrine and autonomic stress responses.</w:t>
      </w:r>
      <w:bookmarkEnd w:id="91"/>
      <w:r w:rsidRPr="0052047F">
        <w:t xml:space="preserve"> </w:t>
      </w:r>
      <w:r w:rsidRPr="0052047F">
        <w:rPr>
          <w:i/>
        </w:rPr>
        <w:t>Nature reviews. Neuroscience</w:t>
      </w:r>
      <w:r w:rsidRPr="0052047F">
        <w:t xml:space="preserve"> 10(6): 397–409.</w:t>
      </w:r>
    </w:p>
    <w:p w14:paraId="720D2711" w14:textId="77777777" w:rsidR="00487F55" w:rsidRPr="0052047F" w:rsidRDefault="00487F55" w:rsidP="00487F55">
      <w:pPr>
        <w:pStyle w:val="CitaviBibliographyEntry"/>
        <w:spacing w:line="240" w:lineRule="auto"/>
      </w:pPr>
      <w:bookmarkStart w:id="92" w:name="_CTVL00145e63b62adbf44e3b604bb0eab30f430"/>
      <w:r w:rsidRPr="0052047F">
        <w:t xml:space="preserve">van </w:t>
      </w:r>
      <w:proofErr w:type="spellStart"/>
      <w:r w:rsidRPr="0052047F">
        <w:t>Harmelen</w:t>
      </w:r>
      <w:proofErr w:type="spellEnd"/>
      <w:r w:rsidRPr="0052047F">
        <w:t xml:space="preserve"> A-L, van Tol M-J, van der Wee NJA, et al. (2010) Reduced medial prefrontal cortex volume in adults reporting childhood emotional maltreatment.</w:t>
      </w:r>
      <w:bookmarkEnd w:id="92"/>
      <w:r w:rsidRPr="0052047F">
        <w:t xml:space="preserve"> </w:t>
      </w:r>
      <w:r w:rsidRPr="0052047F">
        <w:rPr>
          <w:i/>
        </w:rPr>
        <w:t>Biological psychiatry</w:t>
      </w:r>
      <w:r w:rsidRPr="0052047F">
        <w:t xml:space="preserve"> 68(9): 832–838.</w:t>
      </w:r>
    </w:p>
    <w:p w14:paraId="4A1592D5" w14:textId="77777777" w:rsidR="00487F55" w:rsidRPr="0052047F" w:rsidRDefault="00487F55" w:rsidP="00487F55">
      <w:pPr>
        <w:pStyle w:val="CitaviBibliographyEntry"/>
        <w:spacing w:line="240" w:lineRule="auto"/>
      </w:pPr>
      <w:bookmarkStart w:id="93" w:name="_CTVL00169eaeb6ca0cd43788b6db816b5fa9cfc"/>
      <w:r w:rsidRPr="0052047F">
        <w:t xml:space="preserve">Veena J, </w:t>
      </w:r>
      <w:proofErr w:type="spellStart"/>
      <w:r w:rsidRPr="0052047F">
        <w:t>Srikumar</w:t>
      </w:r>
      <w:proofErr w:type="spellEnd"/>
      <w:r w:rsidRPr="0052047F">
        <w:t xml:space="preserve"> BN, Raju TR, et al. (2009) Exposure to enriched environment restores the survival and differentiation of </w:t>
      </w:r>
      <w:proofErr w:type="gramStart"/>
      <w:r w:rsidRPr="0052047F">
        <w:t>new born</w:t>
      </w:r>
      <w:proofErr w:type="gramEnd"/>
      <w:r w:rsidRPr="0052047F">
        <w:t xml:space="preserve"> cells in the hippocampus and ameliorates depressive symptoms in chronically stressed rats.</w:t>
      </w:r>
      <w:bookmarkEnd w:id="93"/>
      <w:r w:rsidRPr="0052047F">
        <w:t xml:space="preserve"> </w:t>
      </w:r>
      <w:r w:rsidRPr="0052047F">
        <w:rPr>
          <w:i/>
        </w:rPr>
        <w:t>Neuroscience letters</w:t>
      </w:r>
      <w:r w:rsidRPr="0052047F">
        <w:t xml:space="preserve"> 455(3): 178–182.</w:t>
      </w:r>
    </w:p>
    <w:p w14:paraId="3CD5C358" w14:textId="77777777" w:rsidR="00487F55" w:rsidRPr="0052047F" w:rsidRDefault="00487F55" w:rsidP="00487F55">
      <w:pPr>
        <w:pStyle w:val="CitaviBibliographyEntry"/>
        <w:spacing w:line="240" w:lineRule="auto"/>
      </w:pPr>
      <w:bookmarkStart w:id="94" w:name="_CTVL001c1f28282b39344f4a222e56a44d05c00"/>
      <w:proofErr w:type="spellStart"/>
      <w:r w:rsidRPr="0052047F">
        <w:t>Vig</w:t>
      </w:r>
      <w:proofErr w:type="spellEnd"/>
      <w:r w:rsidRPr="0052047F">
        <w:t xml:space="preserve"> R, Gordon JR, </w:t>
      </w:r>
      <w:proofErr w:type="spellStart"/>
      <w:r w:rsidRPr="0052047F">
        <w:t>Thébaud</w:t>
      </w:r>
      <w:proofErr w:type="spellEnd"/>
      <w:r w:rsidRPr="0052047F">
        <w:t xml:space="preserve"> B, et al. (2010) The effect of early-life stress on airway inflammation in adult mice.</w:t>
      </w:r>
      <w:bookmarkEnd w:id="94"/>
      <w:r w:rsidRPr="0052047F">
        <w:t xml:space="preserve"> </w:t>
      </w:r>
      <w:r w:rsidRPr="0052047F">
        <w:rPr>
          <w:i/>
        </w:rPr>
        <w:t>Neuroimmunomodulation</w:t>
      </w:r>
      <w:r w:rsidRPr="0052047F">
        <w:t xml:space="preserve"> 17(4): 229–239.</w:t>
      </w:r>
    </w:p>
    <w:p w14:paraId="0E631561" w14:textId="77777777" w:rsidR="00487F55" w:rsidRPr="0052047F" w:rsidRDefault="00487F55" w:rsidP="00487F55">
      <w:pPr>
        <w:pStyle w:val="CitaviBibliographyEntry"/>
        <w:spacing w:line="240" w:lineRule="auto"/>
      </w:pPr>
      <w:bookmarkStart w:id="95" w:name="_CTVL0013e48c5fa4a4549b68a4323177097f88c"/>
      <w:r w:rsidRPr="0052047F">
        <w:t xml:space="preserve">Viola TW, </w:t>
      </w:r>
      <w:proofErr w:type="spellStart"/>
      <w:r w:rsidRPr="0052047F">
        <w:t>Creutzberg</w:t>
      </w:r>
      <w:proofErr w:type="spellEnd"/>
      <w:r w:rsidRPr="0052047F">
        <w:t xml:space="preserve"> KC, </w:t>
      </w:r>
      <w:proofErr w:type="spellStart"/>
      <w:r w:rsidRPr="0052047F">
        <w:t>Zaparte</w:t>
      </w:r>
      <w:proofErr w:type="spellEnd"/>
      <w:r w:rsidRPr="0052047F">
        <w:t xml:space="preserve"> A, et al. (2019) Acute neuroinflammation elicited by TLR-3 systemic activation combined with early life stress induces working memory impairments in male adolescent mice.</w:t>
      </w:r>
      <w:bookmarkEnd w:id="95"/>
      <w:r w:rsidRPr="0052047F">
        <w:t xml:space="preserve"> </w:t>
      </w:r>
      <w:proofErr w:type="spellStart"/>
      <w:r w:rsidRPr="0052047F">
        <w:rPr>
          <w:i/>
        </w:rPr>
        <w:t>Behavioural</w:t>
      </w:r>
      <w:proofErr w:type="spellEnd"/>
      <w:r w:rsidRPr="0052047F">
        <w:rPr>
          <w:i/>
        </w:rPr>
        <w:t xml:space="preserve"> brain research</w:t>
      </w:r>
      <w:r w:rsidRPr="0052047F">
        <w:t xml:space="preserve"> 376: 112221.</w:t>
      </w:r>
    </w:p>
    <w:p w14:paraId="798E3B36" w14:textId="77777777" w:rsidR="00487F55" w:rsidRPr="0052047F" w:rsidRDefault="00487F55" w:rsidP="00487F55">
      <w:pPr>
        <w:pStyle w:val="CitaviBibliographyEntry"/>
        <w:spacing w:line="240" w:lineRule="auto"/>
      </w:pPr>
      <w:bookmarkStart w:id="96" w:name="_CTVL0011a1270de75d84ee78ffa9567f0b80b79"/>
      <w:r w:rsidRPr="0052047F">
        <w:t xml:space="preserve">Wang Q, Dong X, Wang Y, et al. (2017) Adolescent escitalopram prevents the effects of maternal separation on depression- and anxiety-like </w:t>
      </w:r>
      <w:proofErr w:type="spellStart"/>
      <w:r w:rsidRPr="0052047F">
        <w:t>behaviours</w:t>
      </w:r>
      <w:proofErr w:type="spellEnd"/>
      <w:r w:rsidRPr="0052047F">
        <w:t xml:space="preserve"> and regulates the levels of inflammatory cytokines in adult male mice.</w:t>
      </w:r>
      <w:bookmarkEnd w:id="96"/>
      <w:r w:rsidRPr="0052047F">
        <w:t xml:space="preserve"> </w:t>
      </w:r>
      <w:r w:rsidRPr="0052047F">
        <w:rPr>
          <w:i/>
        </w:rPr>
        <w:t>International journal of developmental neuroscience the official journal of the International Society for Developmental Neuroscience</w:t>
      </w:r>
      <w:r w:rsidRPr="0052047F">
        <w:t xml:space="preserve"> 62: 37–45.</w:t>
      </w:r>
    </w:p>
    <w:p w14:paraId="665EF11A" w14:textId="77777777" w:rsidR="00487F55" w:rsidRPr="0052047F" w:rsidRDefault="00487F55" w:rsidP="00487F55">
      <w:pPr>
        <w:pStyle w:val="CitaviBibliographyEntry"/>
        <w:spacing w:line="240" w:lineRule="auto"/>
      </w:pPr>
      <w:bookmarkStart w:id="97" w:name="_CTVL001e9d22cbbe9af43299c5b5dd3b32b2cd6"/>
      <w:r w:rsidRPr="0052047F">
        <w:t>Weber MD, Godbout JP and Sheridan JF (2017) Repeated Social Defeat, Neuroinflammation, and Behavior: Monocytes Carry the Signal.</w:t>
      </w:r>
      <w:bookmarkEnd w:id="97"/>
      <w:r w:rsidRPr="0052047F">
        <w:t xml:space="preserve"> </w:t>
      </w:r>
      <w:r w:rsidRPr="0052047F">
        <w:rPr>
          <w:i/>
        </w:rPr>
        <w:t>Neuropsychopharmacology official publication of the American College of Neuropsychopharmacology</w:t>
      </w:r>
      <w:r w:rsidRPr="0052047F">
        <w:t xml:space="preserve"> 42(1): 46–61.</w:t>
      </w:r>
    </w:p>
    <w:p w14:paraId="5D7EB03F" w14:textId="77777777" w:rsidR="00487F55" w:rsidRPr="0052047F" w:rsidRDefault="00487F55" w:rsidP="00487F55">
      <w:pPr>
        <w:pStyle w:val="CitaviBibliographyEntry"/>
        <w:spacing w:line="240" w:lineRule="auto"/>
      </w:pPr>
      <w:bookmarkStart w:id="98" w:name="_CTVL001dd4368409f79470cb29e20c3e7952321"/>
      <w:r w:rsidRPr="0052047F">
        <w:t xml:space="preserve">Wegman HL and </w:t>
      </w:r>
      <w:proofErr w:type="spellStart"/>
      <w:r w:rsidRPr="0052047F">
        <w:t>Stetler</w:t>
      </w:r>
      <w:proofErr w:type="spellEnd"/>
      <w:r w:rsidRPr="0052047F">
        <w:t xml:space="preserve"> C (2009) A meta-analytic review of the effects of childhood abuse on medical outcomes in adulthood.</w:t>
      </w:r>
      <w:bookmarkEnd w:id="98"/>
      <w:r w:rsidRPr="0052047F">
        <w:t xml:space="preserve"> </w:t>
      </w:r>
      <w:r w:rsidRPr="0052047F">
        <w:rPr>
          <w:i/>
        </w:rPr>
        <w:t>Psychosomatic medicine</w:t>
      </w:r>
      <w:r w:rsidRPr="0052047F">
        <w:t xml:space="preserve"> 71(8): 805–812.</w:t>
      </w:r>
    </w:p>
    <w:p w14:paraId="19545020" w14:textId="77777777" w:rsidR="00487F55" w:rsidRPr="0052047F" w:rsidRDefault="00487F55" w:rsidP="00487F55">
      <w:pPr>
        <w:pStyle w:val="CitaviBibliographyEntry"/>
        <w:spacing w:line="240" w:lineRule="auto"/>
      </w:pPr>
      <w:bookmarkStart w:id="99" w:name="_CTVL00188681e0539a144fa9ba9022d6167d5e7"/>
      <w:r w:rsidRPr="0052047F">
        <w:t xml:space="preserve">Wieck A, Andersen SL and </w:t>
      </w:r>
      <w:proofErr w:type="spellStart"/>
      <w:r w:rsidRPr="0052047F">
        <w:t>Brenhouse</w:t>
      </w:r>
      <w:proofErr w:type="spellEnd"/>
      <w:r w:rsidRPr="0052047F">
        <w:t xml:space="preserve"> HC (2013) Evidence for a neuroinflammatory mechanism in delayed effects of early life adversity in rats: relationship to cortical NMDA receptor expression.</w:t>
      </w:r>
      <w:bookmarkEnd w:id="99"/>
      <w:r w:rsidRPr="0052047F">
        <w:t xml:space="preserve"> </w:t>
      </w:r>
      <w:r w:rsidRPr="0052047F">
        <w:rPr>
          <w:i/>
        </w:rPr>
        <w:t>Brain, behavior, and immunity</w:t>
      </w:r>
      <w:r w:rsidRPr="0052047F">
        <w:t xml:space="preserve"> 28: 218–226.</w:t>
      </w:r>
    </w:p>
    <w:p w14:paraId="6D2438B1" w14:textId="77777777" w:rsidR="00487F55" w:rsidRPr="0052047F" w:rsidRDefault="00487F55" w:rsidP="00487F55">
      <w:pPr>
        <w:pStyle w:val="CitaviBibliographyEntry"/>
        <w:spacing w:line="240" w:lineRule="auto"/>
      </w:pPr>
      <w:bookmarkStart w:id="100" w:name="_CTVL0017f17d3e2841447a2aedc40745312abb5"/>
      <w:proofErr w:type="spellStart"/>
      <w:r w:rsidRPr="0052047F">
        <w:t>Wohleb</w:t>
      </w:r>
      <w:proofErr w:type="spellEnd"/>
      <w:r w:rsidRPr="0052047F">
        <w:t xml:space="preserve"> ES, Fenn AM, </w:t>
      </w:r>
      <w:proofErr w:type="spellStart"/>
      <w:r w:rsidRPr="0052047F">
        <w:t>Pacenta</w:t>
      </w:r>
      <w:proofErr w:type="spellEnd"/>
      <w:r w:rsidRPr="0052047F">
        <w:t xml:space="preserve"> AM, et al. (2012) Peripheral innate immune challenge exaggerated microglia activation, increased the number of inflammatory CNS macrophages, and prolonged social withdrawal in socially defeated mice.</w:t>
      </w:r>
      <w:bookmarkEnd w:id="100"/>
      <w:r w:rsidRPr="0052047F">
        <w:t xml:space="preserve"> </w:t>
      </w:r>
      <w:proofErr w:type="spellStart"/>
      <w:r w:rsidRPr="0052047F">
        <w:rPr>
          <w:i/>
        </w:rPr>
        <w:t>Psychoneuroendocrinology</w:t>
      </w:r>
      <w:proofErr w:type="spellEnd"/>
      <w:r w:rsidRPr="0052047F">
        <w:t xml:space="preserve"> 37(9): 1491–1505.</w:t>
      </w:r>
    </w:p>
    <w:p w14:paraId="01993943" w14:textId="77777777" w:rsidR="00487F55" w:rsidRPr="0052047F" w:rsidRDefault="00487F55" w:rsidP="00487F55">
      <w:pPr>
        <w:pStyle w:val="CitaviBibliographyEntry"/>
        <w:spacing w:line="240" w:lineRule="auto"/>
      </w:pPr>
      <w:bookmarkStart w:id="101" w:name="_CTVL001923ad26fb92e4b9b99c920f997dd2083"/>
      <w:r w:rsidRPr="0052047F">
        <w:t>Wright MO, Crawford E and Del Castillo D (2009) Childhood emotional maltreatment and later psychological distress among college students: the mediating role of maladaptive schemas.</w:t>
      </w:r>
      <w:bookmarkEnd w:id="101"/>
      <w:r w:rsidRPr="0052047F">
        <w:t xml:space="preserve"> </w:t>
      </w:r>
      <w:r w:rsidRPr="0052047F">
        <w:rPr>
          <w:i/>
        </w:rPr>
        <w:t>Child abuse &amp; neglect</w:t>
      </w:r>
      <w:r w:rsidRPr="0052047F">
        <w:t xml:space="preserve"> 33(1): 59–68.</w:t>
      </w:r>
    </w:p>
    <w:p w14:paraId="74EBDCF8" w14:textId="77777777" w:rsidR="00487F55" w:rsidRPr="0052047F" w:rsidRDefault="00487F55" w:rsidP="00487F55">
      <w:pPr>
        <w:pStyle w:val="CitaviBibliographyEntry"/>
        <w:spacing w:line="240" w:lineRule="auto"/>
      </w:pPr>
      <w:bookmarkStart w:id="102" w:name="_CTVL001731d26ca843d422196a5d9d2ff7116f3"/>
      <w:proofErr w:type="spellStart"/>
      <w:r w:rsidRPr="0052047F">
        <w:lastRenderedPageBreak/>
        <w:t>Zajdel</w:t>
      </w:r>
      <w:proofErr w:type="spellEnd"/>
      <w:r w:rsidRPr="0052047F">
        <w:t xml:space="preserve"> J, Zager A, </w:t>
      </w:r>
      <w:proofErr w:type="spellStart"/>
      <w:r w:rsidRPr="0052047F">
        <w:t>Blomqvist</w:t>
      </w:r>
      <w:proofErr w:type="spellEnd"/>
      <w:r w:rsidRPr="0052047F">
        <w:t xml:space="preserve"> A, et al. (2019) Acute maternal separation potentiates the gene expression and corticosterone response induced by inflammation.</w:t>
      </w:r>
      <w:bookmarkEnd w:id="102"/>
      <w:r w:rsidRPr="0052047F">
        <w:t xml:space="preserve"> </w:t>
      </w:r>
      <w:r w:rsidRPr="0052047F">
        <w:rPr>
          <w:i/>
        </w:rPr>
        <w:t>Brain, behavior, and immunity</w:t>
      </w:r>
      <w:r w:rsidRPr="0052047F">
        <w:t xml:space="preserve"> 77: 141–149.</w:t>
      </w:r>
    </w:p>
    <w:p w14:paraId="1BF720DE" w14:textId="4CE77939" w:rsidR="00FC1CF4" w:rsidRPr="0052047F" w:rsidRDefault="00487F55" w:rsidP="00487F55">
      <w:pPr>
        <w:pStyle w:val="CitaviBibliographyEntry"/>
        <w:spacing w:line="240" w:lineRule="auto"/>
      </w:pPr>
      <w:bookmarkStart w:id="103" w:name="_CTVL0010417576a51694b1c80526cdbbacf8cc3"/>
      <w:r w:rsidRPr="0052047F">
        <w:t>Zhu Y, Wang Y, Yao R, et al. (2017) Enhanced neuroinflammation mediated by DNA methylation of the glucocorticoid receptor triggers cognitive dysfunction after sevoflurane anesthesia in adult rats subjected to maternal separation during the neonatal period.</w:t>
      </w:r>
      <w:bookmarkEnd w:id="103"/>
      <w:r w:rsidRPr="0052047F">
        <w:t xml:space="preserve"> </w:t>
      </w:r>
      <w:r w:rsidRPr="0052047F">
        <w:rPr>
          <w:i/>
        </w:rPr>
        <w:t>Journal of Neuroinflammation</w:t>
      </w:r>
      <w:r w:rsidRPr="0052047F">
        <w:t xml:space="preserve"> 14(1): 6.</w:t>
      </w:r>
    </w:p>
    <w:bookmarkEnd w:id="0"/>
    <w:p w14:paraId="5BF66369" w14:textId="1B3AF7F5" w:rsidR="00FC1CF4" w:rsidRPr="0052047F" w:rsidRDefault="00FC1CF4" w:rsidP="00250ACA"/>
    <w:sectPr w:rsidR="00FC1CF4" w:rsidRPr="0052047F">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E552CA9" w14:textId="77777777" w:rsidR="00CF22F0" w:rsidRDefault="00CF22F0" w:rsidP="009801EE">
      <w:r>
        <w:separator/>
      </w:r>
    </w:p>
  </w:endnote>
  <w:endnote w:type="continuationSeparator" w:id="0">
    <w:p w14:paraId="25577E80" w14:textId="77777777" w:rsidR="00CF22F0" w:rsidRDefault="00CF22F0" w:rsidP="009801EE">
      <w:r>
        <w:continuationSeparator/>
      </w:r>
    </w:p>
  </w:endnote>
  <w:endnote w:type="continuationNotice" w:id="1">
    <w:p w14:paraId="221217E0" w14:textId="77777777" w:rsidR="00CF22F0" w:rsidRDefault="00CF22F0" w:rsidP="009801E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1782362"/>
      <w:docPartObj>
        <w:docPartGallery w:val="Page Numbers (Bottom of Page)"/>
        <w:docPartUnique/>
      </w:docPartObj>
    </w:sdtPr>
    <w:sdtEndPr>
      <w:rPr>
        <w:noProof/>
        <w:szCs w:val="24"/>
      </w:rPr>
    </w:sdtEndPr>
    <w:sdtContent>
      <w:p w14:paraId="16545D9F" w14:textId="17BB20CB" w:rsidR="00086FBF" w:rsidRPr="00E62B8C" w:rsidRDefault="00086FBF">
        <w:pPr>
          <w:pStyle w:val="Footer"/>
          <w:jc w:val="right"/>
          <w:rPr>
            <w:szCs w:val="24"/>
          </w:rPr>
        </w:pPr>
        <w:r w:rsidRPr="00E62B8C">
          <w:rPr>
            <w:szCs w:val="24"/>
          </w:rPr>
          <w:fldChar w:fldCharType="begin"/>
        </w:r>
        <w:r w:rsidRPr="00E62B8C">
          <w:rPr>
            <w:szCs w:val="24"/>
          </w:rPr>
          <w:instrText xml:space="preserve"> PAGE   \* MERGEFORMAT </w:instrText>
        </w:r>
        <w:r w:rsidRPr="00E62B8C">
          <w:rPr>
            <w:szCs w:val="24"/>
          </w:rPr>
          <w:fldChar w:fldCharType="separate"/>
        </w:r>
        <w:r w:rsidRPr="00E62B8C">
          <w:rPr>
            <w:noProof/>
            <w:szCs w:val="24"/>
          </w:rPr>
          <w:t>2</w:t>
        </w:r>
        <w:r w:rsidRPr="00E62B8C">
          <w:rPr>
            <w:noProof/>
            <w:szCs w:val="24"/>
          </w:rPr>
          <w:fldChar w:fldCharType="end"/>
        </w:r>
      </w:p>
    </w:sdtContent>
  </w:sdt>
  <w:p w14:paraId="57A66F87" w14:textId="77777777" w:rsidR="00086FBF" w:rsidRDefault="00086F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569337C" w14:textId="77777777" w:rsidR="00CF22F0" w:rsidRDefault="00CF22F0" w:rsidP="009801EE">
      <w:r>
        <w:separator/>
      </w:r>
    </w:p>
  </w:footnote>
  <w:footnote w:type="continuationSeparator" w:id="0">
    <w:p w14:paraId="20124901" w14:textId="77777777" w:rsidR="00CF22F0" w:rsidRDefault="00CF22F0" w:rsidP="009801EE">
      <w:r>
        <w:continuationSeparator/>
      </w:r>
    </w:p>
  </w:footnote>
  <w:footnote w:type="continuationNotice" w:id="1">
    <w:p w14:paraId="7C3CF08D" w14:textId="77777777" w:rsidR="00CF22F0" w:rsidRDefault="00CF22F0" w:rsidP="009801E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6026E80C"/>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9312C376"/>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6E819E0"/>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1BA4D9E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E4EA86A8"/>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03A64352"/>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46FEF8BC"/>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C8107FE2"/>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B2C26098"/>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0F22FCCA"/>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AE774F1"/>
    <w:multiLevelType w:val="hybridMultilevel"/>
    <w:tmpl w:val="47AAABF8"/>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cs="Courier New" w:hint="default"/>
      </w:rPr>
    </w:lvl>
    <w:lvl w:ilvl="2" w:tplc="04090005">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start w:val="1"/>
      <w:numFmt w:val="bullet"/>
      <w:lvlText w:val="o"/>
      <w:lvlJc w:val="left"/>
      <w:pPr>
        <w:ind w:left="5760" w:hanging="360"/>
      </w:pPr>
      <w:rPr>
        <w:rFonts w:ascii="Courier New" w:hAnsi="Courier New" w:cs="Courier New" w:hint="default"/>
      </w:rPr>
    </w:lvl>
    <w:lvl w:ilvl="5" w:tplc="04090005">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1" w15:restartNumberingAfterBreak="0">
    <w:nsid w:val="10F11A18"/>
    <w:multiLevelType w:val="hybridMultilevel"/>
    <w:tmpl w:val="9CD41C4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22950E7"/>
    <w:multiLevelType w:val="hybridMultilevel"/>
    <w:tmpl w:val="BBE85C20"/>
    <w:lvl w:ilvl="0" w:tplc="04090001">
      <w:start w:val="1"/>
      <w:numFmt w:val="bullet"/>
      <w:lvlText w:val=""/>
      <w:lvlJc w:val="left"/>
      <w:pPr>
        <w:ind w:left="3960" w:hanging="360"/>
      </w:pPr>
      <w:rPr>
        <w:rFonts w:ascii="Symbol" w:hAnsi="Symbol" w:hint="default"/>
      </w:rPr>
    </w:lvl>
    <w:lvl w:ilvl="1" w:tplc="04090003">
      <w:start w:val="1"/>
      <w:numFmt w:val="bullet"/>
      <w:lvlText w:val="o"/>
      <w:lvlJc w:val="left"/>
      <w:pPr>
        <w:ind w:left="4680" w:hanging="360"/>
      </w:pPr>
      <w:rPr>
        <w:rFonts w:ascii="Courier New" w:hAnsi="Courier New" w:cs="Courier New" w:hint="default"/>
      </w:rPr>
    </w:lvl>
    <w:lvl w:ilvl="2" w:tplc="04090005">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3" w15:restartNumberingAfterBreak="0">
    <w:nsid w:val="155B7AB8"/>
    <w:multiLevelType w:val="hybridMultilevel"/>
    <w:tmpl w:val="606C9A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99C2389"/>
    <w:multiLevelType w:val="hybridMultilevel"/>
    <w:tmpl w:val="88E2D9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ED179DD"/>
    <w:multiLevelType w:val="hybridMultilevel"/>
    <w:tmpl w:val="E5A204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EF55E07"/>
    <w:multiLevelType w:val="hybridMultilevel"/>
    <w:tmpl w:val="D436B5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2DF7CED"/>
    <w:multiLevelType w:val="hybridMultilevel"/>
    <w:tmpl w:val="CC068B8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5EB6203"/>
    <w:multiLevelType w:val="hybridMultilevel"/>
    <w:tmpl w:val="6FFEE86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2A4F6046"/>
    <w:multiLevelType w:val="hybridMultilevel"/>
    <w:tmpl w:val="359022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B093E18"/>
    <w:multiLevelType w:val="hybridMultilevel"/>
    <w:tmpl w:val="AE18666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30684A07"/>
    <w:multiLevelType w:val="hybridMultilevel"/>
    <w:tmpl w:val="421A5F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63963DE"/>
    <w:multiLevelType w:val="hybridMultilevel"/>
    <w:tmpl w:val="EC9A5D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83454AF"/>
    <w:multiLevelType w:val="hybridMultilevel"/>
    <w:tmpl w:val="FDEAB7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9130F93"/>
    <w:multiLevelType w:val="hybridMultilevel"/>
    <w:tmpl w:val="200E3A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15:restartNumberingAfterBreak="0">
    <w:nsid w:val="4A805090"/>
    <w:multiLevelType w:val="hybridMultilevel"/>
    <w:tmpl w:val="272AEAA2"/>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6" w15:restartNumberingAfterBreak="0">
    <w:nsid w:val="4DA217E0"/>
    <w:multiLevelType w:val="hybridMultilevel"/>
    <w:tmpl w:val="3BEAE8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7466CE4"/>
    <w:multiLevelType w:val="hybridMultilevel"/>
    <w:tmpl w:val="63C615B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6A505D3B"/>
    <w:multiLevelType w:val="hybridMultilevel"/>
    <w:tmpl w:val="EFA2A418"/>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9" w15:restartNumberingAfterBreak="0">
    <w:nsid w:val="71FA44CD"/>
    <w:multiLevelType w:val="hybridMultilevel"/>
    <w:tmpl w:val="592E988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2FF6500"/>
    <w:multiLevelType w:val="hybridMultilevel"/>
    <w:tmpl w:val="FC3E955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3"/>
  </w:num>
  <w:num w:numId="12">
    <w:abstractNumId w:val="18"/>
  </w:num>
  <w:num w:numId="13">
    <w:abstractNumId w:val="27"/>
  </w:num>
  <w:num w:numId="14">
    <w:abstractNumId w:val="30"/>
  </w:num>
  <w:num w:numId="15">
    <w:abstractNumId w:val="21"/>
  </w:num>
  <w:num w:numId="16">
    <w:abstractNumId w:val="16"/>
  </w:num>
  <w:num w:numId="17">
    <w:abstractNumId w:val="22"/>
  </w:num>
  <w:num w:numId="18">
    <w:abstractNumId w:val="14"/>
  </w:num>
  <w:num w:numId="19">
    <w:abstractNumId w:val="15"/>
  </w:num>
  <w:num w:numId="20">
    <w:abstractNumId w:val="19"/>
  </w:num>
  <w:num w:numId="21">
    <w:abstractNumId w:val="23"/>
  </w:num>
  <w:num w:numId="22">
    <w:abstractNumId w:val="24"/>
  </w:num>
  <w:num w:numId="23">
    <w:abstractNumId w:val="28"/>
  </w:num>
  <w:num w:numId="24">
    <w:abstractNumId w:val="20"/>
  </w:num>
  <w:num w:numId="25">
    <w:abstractNumId w:val="10"/>
  </w:num>
  <w:num w:numId="26">
    <w:abstractNumId w:val="25"/>
  </w:num>
  <w:num w:numId="27">
    <w:abstractNumId w:val="26"/>
  </w:num>
  <w:num w:numId="28">
    <w:abstractNumId w:val="12"/>
  </w:num>
  <w:num w:numId="29">
    <w:abstractNumId w:val="17"/>
  </w:num>
  <w:num w:numId="30">
    <w:abstractNumId w:val="29"/>
  </w:num>
  <w:num w:numId="3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removePersonalInformation/>
  <w:removeDateAndTime/>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7D12"/>
    <w:rsid w:val="00001185"/>
    <w:rsid w:val="00001A05"/>
    <w:rsid w:val="00001DEA"/>
    <w:rsid w:val="00001E6F"/>
    <w:rsid w:val="00001EDE"/>
    <w:rsid w:val="00002B84"/>
    <w:rsid w:val="00003EDF"/>
    <w:rsid w:val="00004A5F"/>
    <w:rsid w:val="0000660E"/>
    <w:rsid w:val="00006A76"/>
    <w:rsid w:val="00007903"/>
    <w:rsid w:val="000108EA"/>
    <w:rsid w:val="00010F91"/>
    <w:rsid w:val="00011FDD"/>
    <w:rsid w:val="000131A6"/>
    <w:rsid w:val="000150F7"/>
    <w:rsid w:val="0001598A"/>
    <w:rsid w:val="00015C13"/>
    <w:rsid w:val="00015D83"/>
    <w:rsid w:val="000167EE"/>
    <w:rsid w:val="0001682E"/>
    <w:rsid w:val="0002056B"/>
    <w:rsid w:val="000224F0"/>
    <w:rsid w:val="00023E53"/>
    <w:rsid w:val="00024635"/>
    <w:rsid w:val="00025058"/>
    <w:rsid w:val="00025692"/>
    <w:rsid w:val="00027AEE"/>
    <w:rsid w:val="00030723"/>
    <w:rsid w:val="00032B24"/>
    <w:rsid w:val="000341C0"/>
    <w:rsid w:val="00034F10"/>
    <w:rsid w:val="0003733B"/>
    <w:rsid w:val="0003744E"/>
    <w:rsid w:val="00042749"/>
    <w:rsid w:val="00042ED2"/>
    <w:rsid w:val="000438B4"/>
    <w:rsid w:val="00043F22"/>
    <w:rsid w:val="00044BBB"/>
    <w:rsid w:val="00045394"/>
    <w:rsid w:val="00045800"/>
    <w:rsid w:val="00045B22"/>
    <w:rsid w:val="00045D58"/>
    <w:rsid w:val="00046DE5"/>
    <w:rsid w:val="00050B30"/>
    <w:rsid w:val="00051FEB"/>
    <w:rsid w:val="00053A08"/>
    <w:rsid w:val="00053D28"/>
    <w:rsid w:val="00054504"/>
    <w:rsid w:val="00054B94"/>
    <w:rsid w:val="00054EC0"/>
    <w:rsid w:val="00061335"/>
    <w:rsid w:val="00061B7C"/>
    <w:rsid w:val="000650CB"/>
    <w:rsid w:val="00066BCB"/>
    <w:rsid w:val="0006758D"/>
    <w:rsid w:val="0006788E"/>
    <w:rsid w:val="00067DB7"/>
    <w:rsid w:val="000718F0"/>
    <w:rsid w:val="0007297B"/>
    <w:rsid w:val="0007310E"/>
    <w:rsid w:val="00075D46"/>
    <w:rsid w:val="00076796"/>
    <w:rsid w:val="00076C7F"/>
    <w:rsid w:val="000778A7"/>
    <w:rsid w:val="00077AD9"/>
    <w:rsid w:val="00080D7E"/>
    <w:rsid w:val="00082685"/>
    <w:rsid w:val="0008388A"/>
    <w:rsid w:val="00084B1B"/>
    <w:rsid w:val="00085812"/>
    <w:rsid w:val="00086D67"/>
    <w:rsid w:val="00086FBF"/>
    <w:rsid w:val="00090C20"/>
    <w:rsid w:val="00090CF7"/>
    <w:rsid w:val="000925C3"/>
    <w:rsid w:val="00092962"/>
    <w:rsid w:val="000937DD"/>
    <w:rsid w:val="00093BE2"/>
    <w:rsid w:val="00093BE5"/>
    <w:rsid w:val="000944AA"/>
    <w:rsid w:val="00095D2A"/>
    <w:rsid w:val="000A2F5D"/>
    <w:rsid w:val="000A6232"/>
    <w:rsid w:val="000A6283"/>
    <w:rsid w:val="000A6AD3"/>
    <w:rsid w:val="000A768A"/>
    <w:rsid w:val="000B0308"/>
    <w:rsid w:val="000B0A8E"/>
    <w:rsid w:val="000B2A48"/>
    <w:rsid w:val="000B33C7"/>
    <w:rsid w:val="000B36DF"/>
    <w:rsid w:val="000B371A"/>
    <w:rsid w:val="000B5D0C"/>
    <w:rsid w:val="000B7BA5"/>
    <w:rsid w:val="000C07AF"/>
    <w:rsid w:val="000C0987"/>
    <w:rsid w:val="000C1121"/>
    <w:rsid w:val="000C1B9C"/>
    <w:rsid w:val="000C24D5"/>
    <w:rsid w:val="000C2E62"/>
    <w:rsid w:val="000C3A3B"/>
    <w:rsid w:val="000C40CC"/>
    <w:rsid w:val="000C443C"/>
    <w:rsid w:val="000C4F54"/>
    <w:rsid w:val="000C57C4"/>
    <w:rsid w:val="000C5FDF"/>
    <w:rsid w:val="000C7825"/>
    <w:rsid w:val="000D0591"/>
    <w:rsid w:val="000D0F40"/>
    <w:rsid w:val="000D16D0"/>
    <w:rsid w:val="000D1EF9"/>
    <w:rsid w:val="000D1F36"/>
    <w:rsid w:val="000D2378"/>
    <w:rsid w:val="000D54A2"/>
    <w:rsid w:val="000D73EB"/>
    <w:rsid w:val="000E0416"/>
    <w:rsid w:val="000E239C"/>
    <w:rsid w:val="000E2A48"/>
    <w:rsid w:val="000E40E8"/>
    <w:rsid w:val="000E51C6"/>
    <w:rsid w:val="000F016B"/>
    <w:rsid w:val="000F06A5"/>
    <w:rsid w:val="000F08C6"/>
    <w:rsid w:val="000F2679"/>
    <w:rsid w:val="000F3673"/>
    <w:rsid w:val="000F75B4"/>
    <w:rsid w:val="00100CD6"/>
    <w:rsid w:val="00101C7B"/>
    <w:rsid w:val="001107E7"/>
    <w:rsid w:val="00110995"/>
    <w:rsid w:val="00111600"/>
    <w:rsid w:val="00111670"/>
    <w:rsid w:val="0011238B"/>
    <w:rsid w:val="001139CB"/>
    <w:rsid w:val="0011675D"/>
    <w:rsid w:val="001214F5"/>
    <w:rsid w:val="00122705"/>
    <w:rsid w:val="00122A99"/>
    <w:rsid w:val="00122B50"/>
    <w:rsid w:val="00122DBA"/>
    <w:rsid w:val="0012328E"/>
    <w:rsid w:val="00126113"/>
    <w:rsid w:val="00126B0E"/>
    <w:rsid w:val="001301FE"/>
    <w:rsid w:val="00131743"/>
    <w:rsid w:val="00134F01"/>
    <w:rsid w:val="0013522F"/>
    <w:rsid w:val="00135FBB"/>
    <w:rsid w:val="0013600B"/>
    <w:rsid w:val="001368D0"/>
    <w:rsid w:val="00136EFA"/>
    <w:rsid w:val="00137294"/>
    <w:rsid w:val="00141166"/>
    <w:rsid w:val="001415B1"/>
    <w:rsid w:val="00142B48"/>
    <w:rsid w:val="001431B5"/>
    <w:rsid w:val="001433C1"/>
    <w:rsid w:val="00145D02"/>
    <w:rsid w:val="0014626E"/>
    <w:rsid w:val="00150C52"/>
    <w:rsid w:val="00151886"/>
    <w:rsid w:val="0015398C"/>
    <w:rsid w:val="001542AB"/>
    <w:rsid w:val="001550FD"/>
    <w:rsid w:val="00155717"/>
    <w:rsid w:val="00155CF2"/>
    <w:rsid w:val="0015780A"/>
    <w:rsid w:val="00157F0A"/>
    <w:rsid w:val="0016312C"/>
    <w:rsid w:val="0016337B"/>
    <w:rsid w:val="00163402"/>
    <w:rsid w:val="00163EF5"/>
    <w:rsid w:val="001646B6"/>
    <w:rsid w:val="001653CB"/>
    <w:rsid w:val="00166A24"/>
    <w:rsid w:val="001701DC"/>
    <w:rsid w:val="00170B04"/>
    <w:rsid w:val="00171193"/>
    <w:rsid w:val="00171906"/>
    <w:rsid w:val="001728C6"/>
    <w:rsid w:val="001731D3"/>
    <w:rsid w:val="001751AC"/>
    <w:rsid w:val="0017570C"/>
    <w:rsid w:val="00175D73"/>
    <w:rsid w:val="00176B6F"/>
    <w:rsid w:val="00177784"/>
    <w:rsid w:val="00177B63"/>
    <w:rsid w:val="001805F0"/>
    <w:rsid w:val="0018147A"/>
    <w:rsid w:val="00182655"/>
    <w:rsid w:val="00182A4A"/>
    <w:rsid w:val="00183030"/>
    <w:rsid w:val="00185361"/>
    <w:rsid w:val="00185C49"/>
    <w:rsid w:val="00186216"/>
    <w:rsid w:val="00186E63"/>
    <w:rsid w:val="00187F43"/>
    <w:rsid w:val="00190171"/>
    <w:rsid w:val="001908CB"/>
    <w:rsid w:val="0019096D"/>
    <w:rsid w:val="00190A25"/>
    <w:rsid w:val="00190DD4"/>
    <w:rsid w:val="00190DEC"/>
    <w:rsid w:val="00192AF6"/>
    <w:rsid w:val="00193A6E"/>
    <w:rsid w:val="0019489D"/>
    <w:rsid w:val="00194F92"/>
    <w:rsid w:val="00194F9A"/>
    <w:rsid w:val="001953D3"/>
    <w:rsid w:val="00196AA6"/>
    <w:rsid w:val="00197D94"/>
    <w:rsid w:val="00197FA3"/>
    <w:rsid w:val="001A03FB"/>
    <w:rsid w:val="001A04EC"/>
    <w:rsid w:val="001A1B1C"/>
    <w:rsid w:val="001A1C9C"/>
    <w:rsid w:val="001A23A8"/>
    <w:rsid w:val="001A3242"/>
    <w:rsid w:val="001A397F"/>
    <w:rsid w:val="001A54C9"/>
    <w:rsid w:val="001A5D47"/>
    <w:rsid w:val="001A6851"/>
    <w:rsid w:val="001A6BD1"/>
    <w:rsid w:val="001A7067"/>
    <w:rsid w:val="001B0C3A"/>
    <w:rsid w:val="001B1D3D"/>
    <w:rsid w:val="001B2276"/>
    <w:rsid w:val="001B23F3"/>
    <w:rsid w:val="001B3C74"/>
    <w:rsid w:val="001B4B67"/>
    <w:rsid w:val="001B6C06"/>
    <w:rsid w:val="001B6D3F"/>
    <w:rsid w:val="001B6E2E"/>
    <w:rsid w:val="001C2494"/>
    <w:rsid w:val="001C3543"/>
    <w:rsid w:val="001C369C"/>
    <w:rsid w:val="001C450E"/>
    <w:rsid w:val="001C49DC"/>
    <w:rsid w:val="001C64CE"/>
    <w:rsid w:val="001C6C8C"/>
    <w:rsid w:val="001C762A"/>
    <w:rsid w:val="001D233C"/>
    <w:rsid w:val="001D443B"/>
    <w:rsid w:val="001D49E3"/>
    <w:rsid w:val="001D4B74"/>
    <w:rsid w:val="001D4D6B"/>
    <w:rsid w:val="001D5CF2"/>
    <w:rsid w:val="001D5D82"/>
    <w:rsid w:val="001D61B2"/>
    <w:rsid w:val="001D71A7"/>
    <w:rsid w:val="001E0C7B"/>
    <w:rsid w:val="001E11F3"/>
    <w:rsid w:val="001E2981"/>
    <w:rsid w:val="001E3198"/>
    <w:rsid w:val="001E348B"/>
    <w:rsid w:val="001E3E73"/>
    <w:rsid w:val="001E3ECD"/>
    <w:rsid w:val="001E4F2F"/>
    <w:rsid w:val="001E5448"/>
    <w:rsid w:val="001E60C0"/>
    <w:rsid w:val="001E718A"/>
    <w:rsid w:val="001E73E5"/>
    <w:rsid w:val="001E77C4"/>
    <w:rsid w:val="001E7A68"/>
    <w:rsid w:val="001F0AC8"/>
    <w:rsid w:val="001F0B4C"/>
    <w:rsid w:val="001F1837"/>
    <w:rsid w:val="001F40B8"/>
    <w:rsid w:val="001F4264"/>
    <w:rsid w:val="001F61AF"/>
    <w:rsid w:val="001F62A2"/>
    <w:rsid w:val="001F7FFD"/>
    <w:rsid w:val="00201570"/>
    <w:rsid w:val="002025E2"/>
    <w:rsid w:val="00202EBE"/>
    <w:rsid w:val="0020360A"/>
    <w:rsid w:val="0020508F"/>
    <w:rsid w:val="002051E2"/>
    <w:rsid w:val="00210D3E"/>
    <w:rsid w:val="002122B6"/>
    <w:rsid w:val="00212B7A"/>
    <w:rsid w:val="00215CDC"/>
    <w:rsid w:val="00216E44"/>
    <w:rsid w:val="00216F21"/>
    <w:rsid w:val="00216F98"/>
    <w:rsid w:val="00216FD4"/>
    <w:rsid w:val="00217010"/>
    <w:rsid w:val="002177FD"/>
    <w:rsid w:val="00221374"/>
    <w:rsid w:val="002215C2"/>
    <w:rsid w:val="00222A11"/>
    <w:rsid w:val="00222B91"/>
    <w:rsid w:val="00224058"/>
    <w:rsid w:val="002256CA"/>
    <w:rsid w:val="00227958"/>
    <w:rsid w:val="00230389"/>
    <w:rsid w:val="002336E5"/>
    <w:rsid w:val="00233C8E"/>
    <w:rsid w:val="00233E7B"/>
    <w:rsid w:val="0023599B"/>
    <w:rsid w:val="00235A7D"/>
    <w:rsid w:val="00236808"/>
    <w:rsid w:val="00236C9E"/>
    <w:rsid w:val="00236CA4"/>
    <w:rsid w:val="002455F6"/>
    <w:rsid w:val="00245A64"/>
    <w:rsid w:val="002469E8"/>
    <w:rsid w:val="00247F5B"/>
    <w:rsid w:val="002500FE"/>
    <w:rsid w:val="0025040A"/>
    <w:rsid w:val="00250451"/>
    <w:rsid w:val="00250ACA"/>
    <w:rsid w:val="00251104"/>
    <w:rsid w:val="002514B4"/>
    <w:rsid w:val="00251C9C"/>
    <w:rsid w:val="002571C5"/>
    <w:rsid w:val="0026028A"/>
    <w:rsid w:val="002608D6"/>
    <w:rsid w:val="00260C15"/>
    <w:rsid w:val="00261332"/>
    <w:rsid w:val="002639DC"/>
    <w:rsid w:val="00263D84"/>
    <w:rsid w:val="00265308"/>
    <w:rsid w:val="00265390"/>
    <w:rsid w:val="00267A01"/>
    <w:rsid w:val="00270104"/>
    <w:rsid w:val="00271014"/>
    <w:rsid w:val="00273D85"/>
    <w:rsid w:val="00274476"/>
    <w:rsid w:val="00274689"/>
    <w:rsid w:val="002747D5"/>
    <w:rsid w:val="00274E9F"/>
    <w:rsid w:val="00275489"/>
    <w:rsid w:val="00275ACE"/>
    <w:rsid w:val="002766B3"/>
    <w:rsid w:val="0027755A"/>
    <w:rsid w:val="002805AB"/>
    <w:rsid w:val="00282BE2"/>
    <w:rsid w:val="00284888"/>
    <w:rsid w:val="002858B2"/>
    <w:rsid w:val="00286ADB"/>
    <w:rsid w:val="002871DA"/>
    <w:rsid w:val="00291493"/>
    <w:rsid w:val="00291626"/>
    <w:rsid w:val="00291932"/>
    <w:rsid w:val="00292919"/>
    <w:rsid w:val="00293AD5"/>
    <w:rsid w:val="00293BA5"/>
    <w:rsid w:val="00297BA4"/>
    <w:rsid w:val="002A070A"/>
    <w:rsid w:val="002A0717"/>
    <w:rsid w:val="002A0BCF"/>
    <w:rsid w:val="002A10B1"/>
    <w:rsid w:val="002A1912"/>
    <w:rsid w:val="002A3CFC"/>
    <w:rsid w:val="002A5D82"/>
    <w:rsid w:val="002A633B"/>
    <w:rsid w:val="002A77A1"/>
    <w:rsid w:val="002A7A2F"/>
    <w:rsid w:val="002B00D0"/>
    <w:rsid w:val="002B294B"/>
    <w:rsid w:val="002B2A51"/>
    <w:rsid w:val="002B3204"/>
    <w:rsid w:val="002B34A5"/>
    <w:rsid w:val="002B3F6F"/>
    <w:rsid w:val="002B61DF"/>
    <w:rsid w:val="002B6642"/>
    <w:rsid w:val="002B6D5E"/>
    <w:rsid w:val="002B7315"/>
    <w:rsid w:val="002B76CC"/>
    <w:rsid w:val="002C0BC3"/>
    <w:rsid w:val="002C189F"/>
    <w:rsid w:val="002C3D66"/>
    <w:rsid w:val="002C4C45"/>
    <w:rsid w:val="002C54C0"/>
    <w:rsid w:val="002C68EB"/>
    <w:rsid w:val="002C7919"/>
    <w:rsid w:val="002C79E0"/>
    <w:rsid w:val="002D0023"/>
    <w:rsid w:val="002D28F0"/>
    <w:rsid w:val="002D4841"/>
    <w:rsid w:val="002E1A47"/>
    <w:rsid w:val="002E2699"/>
    <w:rsid w:val="002E2A83"/>
    <w:rsid w:val="002E549E"/>
    <w:rsid w:val="002E5CBC"/>
    <w:rsid w:val="002E5E1B"/>
    <w:rsid w:val="002E67A2"/>
    <w:rsid w:val="002E7998"/>
    <w:rsid w:val="002E7C4A"/>
    <w:rsid w:val="002E7E57"/>
    <w:rsid w:val="002F1642"/>
    <w:rsid w:val="002F1897"/>
    <w:rsid w:val="002F1FDA"/>
    <w:rsid w:val="002F2B6B"/>
    <w:rsid w:val="002F3460"/>
    <w:rsid w:val="002F485D"/>
    <w:rsid w:val="002F4ECB"/>
    <w:rsid w:val="002F61BA"/>
    <w:rsid w:val="002F63C8"/>
    <w:rsid w:val="002F63EF"/>
    <w:rsid w:val="002F6E1B"/>
    <w:rsid w:val="0030106C"/>
    <w:rsid w:val="003017B4"/>
    <w:rsid w:val="00301EF9"/>
    <w:rsid w:val="00301F92"/>
    <w:rsid w:val="003028B0"/>
    <w:rsid w:val="003034DA"/>
    <w:rsid w:val="003051A0"/>
    <w:rsid w:val="00305629"/>
    <w:rsid w:val="00305AAB"/>
    <w:rsid w:val="00306CE0"/>
    <w:rsid w:val="00307D3B"/>
    <w:rsid w:val="00310305"/>
    <w:rsid w:val="00310817"/>
    <w:rsid w:val="003108DE"/>
    <w:rsid w:val="0031278D"/>
    <w:rsid w:val="003128E3"/>
    <w:rsid w:val="00314FB7"/>
    <w:rsid w:val="00314FC1"/>
    <w:rsid w:val="00317819"/>
    <w:rsid w:val="00320E0E"/>
    <w:rsid w:val="00320ED8"/>
    <w:rsid w:val="003218CE"/>
    <w:rsid w:val="00322F4E"/>
    <w:rsid w:val="00323FA5"/>
    <w:rsid w:val="00324E05"/>
    <w:rsid w:val="0032523C"/>
    <w:rsid w:val="0032537B"/>
    <w:rsid w:val="0032626C"/>
    <w:rsid w:val="00326804"/>
    <w:rsid w:val="003270FD"/>
    <w:rsid w:val="003275C2"/>
    <w:rsid w:val="003279AB"/>
    <w:rsid w:val="00327BF7"/>
    <w:rsid w:val="0033026B"/>
    <w:rsid w:val="00331952"/>
    <w:rsid w:val="0033525C"/>
    <w:rsid w:val="003362E5"/>
    <w:rsid w:val="0033663C"/>
    <w:rsid w:val="003369AB"/>
    <w:rsid w:val="00337B8E"/>
    <w:rsid w:val="00340164"/>
    <w:rsid w:val="00342EB4"/>
    <w:rsid w:val="0034352E"/>
    <w:rsid w:val="0034537A"/>
    <w:rsid w:val="00346C76"/>
    <w:rsid w:val="00351283"/>
    <w:rsid w:val="003512A6"/>
    <w:rsid w:val="0035199D"/>
    <w:rsid w:val="003527CE"/>
    <w:rsid w:val="003537A2"/>
    <w:rsid w:val="00353A60"/>
    <w:rsid w:val="003563AE"/>
    <w:rsid w:val="00356E67"/>
    <w:rsid w:val="003578FA"/>
    <w:rsid w:val="00360A0E"/>
    <w:rsid w:val="00363462"/>
    <w:rsid w:val="00363E4A"/>
    <w:rsid w:val="003652AD"/>
    <w:rsid w:val="0036552A"/>
    <w:rsid w:val="003709AC"/>
    <w:rsid w:val="0037208D"/>
    <w:rsid w:val="003726F6"/>
    <w:rsid w:val="0037435B"/>
    <w:rsid w:val="00374825"/>
    <w:rsid w:val="00376558"/>
    <w:rsid w:val="003766E5"/>
    <w:rsid w:val="00376DF7"/>
    <w:rsid w:val="00377087"/>
    <w:rsid w:val="0038263A"/>
    <w:rsid w:val="003833AF"/>
    <w:rsid w:val="00383402"/>
    <w:rsid w:val="0038561F"/>
    <w:rsid w:val="003858BE"/>
    <w:rsid w:val="00385D6F"/>
    <w:rsid w:val="00387532"/>
    <w:rsid w:val="003921D8"/>
    <w:rsid w:val="003923D3"/>
    <w:rsid w:val="00392CD0"/>
    <w:rsid w:val="00393D70"/>
    <w:rsid w:val="00396D65"/>
    <w:rsid w:val="003A18E3"/>
    <w:rsid w:val="003A1A5E"/>
    <w:rsid w:val="003A1AE8"/>
    <w:rsid w:val="003A1F36"/>
    <w:rsid w:val="003A2704"/>
    <w:rsid w:val="003A2F3B"/>
    <w:rsid w:val="003A607E"/>
    <w:rsid w:val="003A6249"/>
    <w:rsid w:val="003A787D"/>
    <w:rsid w:val="003B0653"/>
    <w:rsid w:val="003B143C"/>
    <w:rsid w:val="003B22CF"/>
    <w:rsid w:val="003B2B3A"/>
    <w:rsid w:val="003B2F56"/>
    <w:rsid w:val="003B5769"/>
    <w:rsid w:val="003B63F2"/>
    <w:rsid w:val="003C17AF"/>
    <w:rsid w:val="003D0959"/>
    <w:rsid w:val="003D30D1"/>
    <w:rsid w:val="003D3F38"/>
    <w:rsid w:val="003D5346"/>
    <w:rsid w:val="003D6D49"/>
    <w:rsid w:val="003D6EE6"/>
    <w:rsid w:val="003E0FEC"/>
    <w:rsid w:val="003E2580"/>
    <w:rsid w:val="003E2628"/>
    <w:rsid w:val="003E26E6"/>
    <w:rsid w:val="003E28DA"/>
    <w:rsid w:val="003E3533"/>
    <w:rsid w:val="003E4F16"/>
    <w:rsid w:val="003E53ED"/>
    <w:rsid w:val="003E5498"/>
    <w:rsid w:val="003F5E3F"/>
    <w:rsid w:val="003F6045"/>
    <w:rsid w:val="003F6532"/>
    <w:rsid w:val="003F7701"/>
    <w:rsid w:val="003F7AAC"/>
    <w:rsid w:val="0040049B"/>
    <w:rsid w:val="00400D49"/>
    <w:rsid w:val="0040189C"/>
    <w:rsid w:val="004018AE"/>
    <w:rsid w:val="00404A42"/>
    <w:rsid w:val="004051D5"/>
    <w:rsid w:val="00410C61"/>
    <w:rsid w:val="00411507"/>
    <w:rsid w:val="00411576"/>
    <w:rsid w:val="00411B61"/>
    <w:rsid w:val="00411D00"/>
    <w:rsid w:val="00411DC6"/>
    <w:rsid w:val="00411E4B"/>
    <w:rsid w:val="00412060"/>
    <w:rsid w:val="00414159"/>
    <w:rsid w:val="004150EA"/>
    <w:rsid w:val="00415F67"/>
    <w:rsid w:val="00416DD7"/>
    <w:rsid w:val="00416E42"/>
    <w:rsid w:val="00417005"/>
    <w:rsid w:val="004218B4"/>
    <w:rsid w:val="0042357A"/>
    <w:rsid w:val="004236A2"/>
    <w:rsid w:val="00424824"/>
    <w:rsid w:val="00427D71"/>
    <w:rsid w:val="00433269"/>
    <w:rsid w:val="00433EBC"/>
    <w:rsid w:val="00433ED1"/>
    <w:rsid w:val="00434878"/>
    <w:rsid w:val="004366FE"/>
    <w:rsid w:val="0044099F"/>
    <w:rsid w:val="004417FA"/>
    <w:rsid w:val="00442425"/>
    <w:rsid w:val="00442716"/>
    <w:rsid w:val="00443F0E"/>
    <w:rsid w:val="0044470E"/>
    <w:rsid w:val="00444AE0"/>
    <w:rsid w:val="00446DF8"/>
    <w:rsid w:val="004471B1"/>
    <w:rsid w:val="00450E3C"/>
    <w:rsid w:val="004516A0"/>
    <w:rsid w:val="004525AC"/>
    <w:rsid w:val="004539CB"/>
    <w:rsid w:val="00455F10"/>
    <w:rsid w:val="004564F3"/>
    <w:rsid w:val="004565AF"/>
    <w:rsid w:val="0045785E"/>
    <w:rsid w:val="004600FA"/>
    <w:rsid w:val="0046117C"/>
    <w:rsid w:val="00461443"/>
    <w:rsid w:val="00462C2B"/>
    <w:rsid w:val="00465E8C"/>
    <w:rsid w:val="004661BC"/>
    <w:rsid w:val="00467BEA"/>
    <w:rsid w:val="0047040E"/>
    <w:rsid w:val="00472438"/>
    <w:rsid w:val="00473BA7"/>
    <w:rsid w:val="00474B27"/>
    <w:rsid w:val="00475AEB"/>
    <w:rsid w:val="00475B8D"/>
    <w:rsid w:val="004807AB"/>
    <w:rsid w:val="004841A4"/>
    <w:rsid w:val="0048435F"/>
    <w:rsid w:val="004847B1"/>
    <w:rsid w:val="00485068"/>
    <w:rsid w:val="00485217"/>
    <w:rsid w:val="0048533E"/>
    <w:rsid w:val="00487F55"/>
    <w:rsid w:val="00491AE1"/>
    <w:rsid w:val="00491CE6"/>
    <w:rsid w:val="00491E84"/>
    <w:rsid w:val="00492626"/>
    <w:rsid w:val="004926A8"/>
    <w:rsid w:val="0049348D"/>
    <w:rsid w:val="00493AB5"/>
    <w:rsid w:val="00493F2C"/>
    <w:rsid w:val="00495433"/>
    <w:rsid w:val="00496FEE"/>
    <w:rsid w:val="004979A4"/>
    <w:rsid w:val="004A071C"/>
    <w:rsid w:val="004A13B3"/>
    <w:rsid w:val="004A1448"/>
    <w:rsid w:val="004A4D3A"/>
    <w:rsid w:val="004B14A0"/>
    <w:rsid w:val="004B1573"/>
    <w:rsid w:val="004B1985"/>
    <w:rsid w:val="004B1987"/>
    <w:rsid w:val="004B51B0"/>
    <w:rsid w:val="004B5503"/>
    <w:rsid w:val="004B603B"/>
    <w:rsid w:val="004B68B5"/>
    <w:rsid w:val="004B7A07"/>
    <w:rsid w:val="004C1138"/>
    <w:rsid w:val="004C1E34"/>
    <w:rsid w:val="004C2197"/>
    <w:rsid w:val="004C2D0E"/>
    <w:rsid w:val="004C4243"/>
    <w:rsid w:val="004C538C"/>
    <w:rsid w:val="004C577B"/>
    <w:rsid w:val="004C6F20"/>
    <w:rsid w:val="004C716E"/>
    <w:rsid w:val="004D1418"/>
    <w:rsid w:val="004D1A63"/>
    <w:rsid w:val="004D1AAB"/>
    <w:rsid w:val="004D2ED2"/>
    <w:rsid w:val="004D453C"/>
    <w:rsid w:val="004D6247"/>
    <w:rsid w:val="004D7832"/>
    <w:rsid w:val="004D785A"/>
    <w:rsid w:val="004D795F"/>
    <w:rsid w:val="004E1BC0"/>
    <w:rsid w:val="004E4D7F"/>
    <w:rsid w:val="004E5A24"/>
    <w:rsid w:val="004E6213"/>
    <w:rsid w:val="004E6FAB"/>
    <w:rsid w:val="004E78E8"/>
    <w:rsid w:val="004F0047"/>
    <w:rsid w:val="004F1A1D"/>
    <w:rsid w:val="004F2503"/>
    <w:rsid w:val="004F3509"/>
    <w:rsid w:val="004F3E85"/>
    <w:rsid w:val="004F481D"/>
    <w:rsid w:val="004F77F5"/>
    <w:rsid w:val="0050043E"/>
    <w:rsid w:val="00501305"/>
    <w:rsid w:val="00501E89"/>
    <w:rsid w:val="005033C8"/>
    <w:rsid w:val="005035A0"/>
    <w:rsid w:val="00504B08"/>
    <w:rsid w:val="00510CA0"/>
    <w:rsid w:val="00510D1A"/>
    <w:rsid w:val="00514E22"/>
    <w:rsid w:val="0051567A"/>
    <w:rsid w:val="0052047F"/>
    <w:rsid w:val="00520BAB"/>
    <w:rsid w:val="0052182B"/>
    <w:rsid w:val="00521B98"/>
    <w:rsid w:val="005224FD"/>
    <w:rsid w:val="00522859"/>
    <w:rsid w:val="00524F10"/>
    <w:rsid w:val="0052588C"/>
    <w:rsid w:val="0052672E"/>
    <w:rsid w:val="005301FC"/>
    <w:rsid w:val="00531A01"/>
    <w:rsid w:val="00532C51"/>
    <w:rsid w:val="0053461A"/>
    <w:rsid w:val="00536BF4"/>
    <w:rsid w:val="00541173"/>
    <w:rsid w:val="0054180D"/>
    <w:rsid w:val="0054274C"/>
    <w:rsid w:val="00542B5C"/>
    <w:rsid w:val="00542F33"/>
    <w:rsid w:val="00547296"/>
    <w:rsid w:val="00547E2A"/>
    <w:rsid w:val="005502BE"/>
    <w:rsid w:val="00553A91"/>
    <w:rsid w:val="00553FD7"/>
    <w:rsid w:val="00555654"/>
    <w:rsid w:val="00555BB6"/>
    <w:rsid w:val="00556076"/>
    <w:rsid w:val="00556524"/>
    <w:rsid w:val="0055769B"/>
    <w:rsid w:val="00560842"/>
    <w:rsid w:val="00560B36"/>
    <w:rsid w:val="00561F48"/>
    <w:rsid w:val="00562E3C"/>
    <w:rsid w:val="0056576B"/>
    <w:rsid w:val="005657EB"/>
    <w:rsid w:val="0056775A"/>
    <w:rsid w:val="005678A3"/>
    <w:rsid w:val="00567E80"/>
    <w:rsid w:val="00570139"/>
    <w:rsid w:val="005705D0"/>
    <w:rsid w:val="00570A9D"/>
    <w:rsid w:val="005711C7"/>
    <w:rsid w:val="00571700"/>
    <w:rsid w:val="00573EBA"/>
    <w:rsid w:val="00574D4F"/>
    <w:rsid w:val="00575123"/>
    <w:rsid w:val="00575ABC"/>
    <w:rsid w:val="00577899"/>
    <w:rsid w:val="005818B1"/>
    <w:rsid w:val="00583149"/>
    <w:rsid w:val="00583A9D"/>
    <w:rsid w:val="005841FC"/>
    <w:rsid w:val="00591DE2"/>
    <w:rsid w:val="005937AE"/>
    <w:rsid w:val="00593935"/>
    <w:rsid w:val="00593CBF"/>
    <w:rsid w:val="005947E8"/>
    <w:rsid w:val="005948F3"/>
    <w:rsid w:val="00594D75"/>
    <w:rsid w:val="0059574E"/>
    <w:rsid w:val="0059594B"/>
    <w:rsid w:val="005963EA"/>
    <w:rsid w:val="005A00B6"/>
    <w:rsid w:val="005A2B1A"/>
    <w:rsid w:val="005A2EFB"/>
    <w:rsid w:val="005A5525"/>
    <w:rsid w:val="005A5825"/>
    <w:rsid w:val="005A6876"/>
    <w:rsid w:val="005B24A3"/>
    <w:rsid w:val="005B5C15"/>
    <w:rsid w:val="005B6D6C"/>
    <w:rsid w:val="005B7C88"/>
    <w:rsid w:val="005C2BB8"/>
    <w:rsid w:val="005C314E"/>
    <w:rsid w:val="005C449E"/>
    <w:rsid w:val="005C5364"/>
    <w:rsid w:val="005C54DB"/>
    <w:rsid w:val="005C5D62"/>
    <w:rsid w:val="005C64AE"/>
    <w:rsid w:val="005D08FD"/>
    <w:rsid w:val="005D236B"/>
    <w:rsid w:val="005D2C81"/>
    <w:rsid w:val="005D3B50"/>
    <w:rsid w:val="005D43DA"/>
    <w:rsid w:val="005D773A"/>
    <w:rsid w:val="005D7C5A"/>
    <w:rsid w:val="005E02B1"/>
    <w:rsid w:val="005E0BC5"/>
    <w:rsid w:val="005E0C5E"/>
    <w:rsid w:val="005E2B81"/>
    <w:rsid w:val="005E4AF9"/>
    <w:rsid w:val="005E56FA"/>
    <w:rsid w:val="005E6D00"/>
    <w:rsid w:val="005E7007"/>
    <w:rsid w:val="005E7911"/>
    <w:rsid w:val="005E7B65"/>
    <w:rsid w:val="005F0397"/>
    <w:rsid w:val="0060083F"/>
    <w:rsid w:val="006013E5"/>
    <w:rsid w:val="0060149A"/>
    <w:rsid w:val="00601D79"/>
    <w:rsid w:val="0060293D"/>
    <w:rsid w:val="006041B9"/>
    <w:rsid w:val="00604AC4"/>
    <w:rsid w:val="00607473"/>
    <w:rsid w:val="0061122E"/>
    <w:rsid w:val="00611317"/>
    <w:rsid w:val="00611F2A"/>
    <w:rsid w:val="00612D96"/>
    <w:rsid w:val="006138FC"/>
    <w:rsid w:val="00616CDC"/>
    <w:rsid w:val="006171E3"/>
    <w:rsid w:val="00621AF0"/>
    <w:rsid w:val="00624BF2"/>
    <w:rsid w:val="00625DB0"/>
    <w:rsid w:val="0062616B"/>
    <w:rsid w:val="00631F19"/>
    <w:rsid w:val="006321F0"/>
    <w:rsid w:val="00634FF2"/>
    <w:rsid w:val="006363AB"/>
    <w:rsid w:val="00636663"/>
    <w:rsid w:val="00640B7E"/>
    <w:rsid w:val="00641050"/>
    <w:rsid w:val="00642083"/>
    <w:rsid w:val="0064218C"/>
    <w:rsid w:val="00642DF2"/>
    <w:rsid w:val="006446DD"/>
    <w:rsid w:val="00645BA4"/>
    <w:rsid w:val="00651FE8"/>
    <w:rsid w:val="0065346E"/>
    <w:rsid w:val="0065402F"/>
    <w:rsid w:val="00654773"/>
    <w:rsid w:val="00661B1F"/>
    <w:rsid w:val="0066392E"/>
    <w:rsid w:val="00663A8E"/>
    <w:rsid w:val="00663B9D"/>
    <w:rsid w:val="00663FC0"/>
    <w:rsid w:val="006647FB"/>
    <w:rsid w:val="006652CA"/>
    <w:rsid w:val="00665D5E"/>
    <w:rsid w:val="00666468"/>
    <w:rsid w:val="00666F5B"/>
    <w:rsid w:val="006674A3"/>
    <w:rsid w:val="0066768D"/>
    <w:rsid w:val="006736B5"/>
    <w:rsid w:val="00673A89"/>
    <w:rsid w:val="006749B3"/>
    <w:rsid w:val="00675859"/>
    <w:rsid w:val="006759F7"/>
    <w:rsid w:val="006773B2"/>
    <w:rsid w:val="006800AE"/>
    <w:rsid w:val="00680270"/>
    <w:rsid w:val="00680FAF"/>
    <w:rsid w:val="00683BD0"/>
    <w:rsid w:val="00684511"/>
    <w:rsid w:val="00685218"/>
    <w:rsid w:val="00685B43"/>
    <w:rsid w:val="00685E67"/>
    <w:rsid w:val="0068626C"/>
    <w:rsid w:val="006864BD"/>
    <w:rsid w:val="0068651A"/>
    <w:rsid w:val="00686A3B"/>
    <w:rsid w:val="00687E41"/>
    <w:rsid w:val="006908DA"/>
    <w:rsid w:val="00691E63"/>
    <w:rsid w:val="00692AE4"/>
    <w:rsid w:val="006955E1"/>
    <w:rsid w:val="00695DA0"/>
    <w:rsid w:val="0069603C"/>
    <w:rsid w:val="006968E2"/>
    <w:rsid w:val="006A23FD"/>
    <w:rsid w:val="006A25CF"/>
    <w:rsid w:val="006A295C"/>
    <w:rsid w:val="006A2B50"/>
    <w:rsid w:val="006A3719"/>
    <w:rsid w:val="006A4AA5"/>
    <w:rsid w:val="006A7AFF"/>
    <w:rsid w:val="006B11FB"/>
    <w:rsid w:val="006B4CD8"/>
    <w:rsid w:val="006B5FE9"/>
    <w:rsid w:val="006C04DD"/>
    <w:rsid w:val="006C0B1E"/>
    <w:rsid w:val="006C4491"/>
    <w:rsid w:val="006C51AA"/>
    <w:rsid w:val="006C5649"/>
    <w:rsid w:val="006C64A0"/>
    <w:rsid w:val="006C7E84"/>
    <w:rsid w:val="006C7F13"/>
    <w:rsid w:val="006D1059"/>
    <w:rsid w:val="006D1061"/>
    <w:rsid w:val="006D1F6E"/>
    <w:rsid w:val="006D2B43"/>
    <w:rsid w:val="006D63E1"/>
    <w:rsid w:val="006E02DD"/>
    <w:rsid w:val="006E108A"/>
    <w:rsid w:val="006E25A3"/>
    <w:rsid w:val="006E2BF0"/>
    <w:rsid w:val="006E323F"/>
    <w:rsid w:val="006E3BA6"/>
    <w:rsid w:val="006E4007"/>
    <w:rsid w:val="006F0308"/>
    <w:rsid w:val="006F031E"/>
    <w:rsid w:val="006F0716"/>
    <w:rsid w:val="006F12C3"/>
    <w:rsid w:val="006F1E5D"/>
    <w:rsid w:val="006F28A1"/>
    <w:rsid w:val="006F5F95"/>
    <w:rsid w:val="00701B23"/>
    <w:rsid w:val="00702BC7"/>
    <w:rsid w:val="00703A8C"/>
    <w:rsid w:val="0070783E"/>
    <w:rsid w:val="00710303"/>
    <w:rsid w:val="00711106"/>
    <w:rsid w:val="00712845"/>
    <w:rsid w:val="00712D88"/>
    <w:rsid w:val="0071368A"/>
    <w:rsid w:val="00714F6B"/>
    <w:rsid w:val="00715E46"/>
    <w:rsid w:val="007171E1"/>
    <w:rsid w:val="00720149"/>
    <w:rsid w:val="00720ABC"/>
    <w:rsid w:val="007229C6"/>
    <w:rsid w:val="00722B2E"/>
    <w:rsid w:val="0072303C"/>
    <w:rsid w:val="0072357A"/>
    <w:rsid w:val="0072461A"/>
    <w:rsid w:val="007247D8"/>
    <w:rsid w:val="007259CA"/>
    <w:rsid w:val="0072795B"/>
    <w:rsid w:val="00732074"/>
    <w:rsid w:val="00732226"/>
    <w:rsid w:val="00733C2C"/>
    <w:rsid w:val="00734DE6"/>
    <w:rsid w:val="00735415"/>
    <w:rsid w:val="00735A44"/>
    <w:rsid w:val="00735F1C"/>
    <w:rsid w:val="00735F6A"/>
    <w:rsid w:val="007365B2"/>
    <w:rsid w:val="00737207"/>
    <w:rsid w:val="007406EF"/>
    <w:rsid w:val="00740769"/>
    <w:rsid w:val="00743489"/>
    <w:rsid w:val="00745645"/>
    <w:rsid w:val="0074694C"/>
    <w:rsid w:val="00747B29"/>
    <w:rsid w:val="00750525"/>
    <w:rsid w:val="00751C0F"/>
    <w:rsid w:val="007533A5"/>
    <w:rsid w:val="0075544C"/>
    <w:rsid w:val="00757A61"/>
    <w:rsid w:val="007600D3"/>
    <w:rsid w:val="0076012B"/>
    <w:rsid w:val="00760790"/>
    <w:rsid w:val="00763AAF"/>
    <w:rsid w:val="0076479B"/>
    <w:rsid w:val="00764D93"/>
    <w:rsid w:val="0077037D"/>
    <w:rsid w:val="00772F57"/>
    <w:rsid w:val="00773028"/>
    <w:rsid w:val="00773556"/>
    <w:rsid w:val="00773766"/>
    <w:rsid w:val="007755AA"/>
    <w:rsid w:val="00775980"/>
    <w:rsid w:val="00776E32"/>
    <w:rsid w:val="0077745E"/>
    <w:rsid w:val="0078483E"/>
    <w:rsid w:val="007853FD"/>
    <w:rsid w:val="0078736A"/>
    <w:rsid w:val="00790E82"/>
    <w:rsid w:val="007913E1"/>
    <w:rsid w:val="007915D1"/>
    <w:rsid w:val="00791699"/>
    <w:rsid w:val="0079225D"/>
    <w:rsid w:val="007938A1"/>
    <w:rsid w:val="00794B0C"/>
    <w:rsid w:val="00794BFF"/>
    <w:rsid w:val="00796204"/>
    <w:rsid w:val="007976EC"/>
    <w:rsid w:val="007A0CF6"/>
    <w:rsid w:val="007A17A6"/>
    <w:rsid w:val="007A2185"/>
    <w:rsid w:val="007A35A3"/>
    <w:rsid w:val="007A539E"/>
    <w:rsid w:val="007A63EC"/>
    <w:rsid w:val="007B3342"/>
    <w:rsid w:val="007B408F"/>
    <w:rsid w:val="007C0793"/>
    <w:rsid w:val="007C13A6"/>
    <w:rsid w:val="007C1F43"/>
    <w:rsid w:val="007C2305"/>
    <w:rsid w:val="007C2396"/>
    <w:rsid w:val="007C2719"/>
    <w:rsid w:val="007C5125"/>
    <w:rsid w:val="007C563B"/>
    <w:rsid w:val="007C70B2"/>
    <w:rsid w:val="007C799D"/>
    <w:rsid w:val="007D0068"/>
    <w:rsid w:val="007D06C7"/>
    <w:rsid w:val="007D0F8C"/>
    <w:rsid w:val="007D1AB6"/>
    <w:rsid w:val="007D285F"/>
    <w:rsid w:val="007D421A"/>
    <w:rsid w:val="007D6716"/>
    <w:rsid w:val="007D7A9C"/>
    <w:rsid w:val="007E1994"/>
    <w:rsid w:val="007E34E3"/>
    <w:rsid w:val="007E3C6C"/>
    <w:rsid w:val="007E4168"/>
    <w:rsid w:val="007E4B54"/>
    <w:rsid w:val="007E5923"/>
    <w:rsid w:val="007E6169"/>
    <w:rsid w:val="007E7421"/>
    <w:rsid w:val="007E7AFA"/>
    <w:rsid w:val="007F1F40"/>
    <w:rsid w:val="007F209D"/>
    <w:rsid w:val="007F2CA6"/>
    <w:rsid w:val="007F2FDC"/>
    <w:rsid w:val="007F4831"/>
    <w:rsid w:val="00801C87"/>
    <w:rsid w:val="00801D17"/>
    <w:rsid w:val="00801F64"/>
    <w:rsid w:val="0080247B"/>
    <w:rsid w:val="008037D3"/>
    <w:rsid w:val="008037EA"/>
    <w:rsid w:val="00804644"/>
    <w:rsid w:val="00804B9C"/>
    <w:rsid w:val="0080699B"/>
    <w:rsid w:val="008072A2"/>
    <w:rsid w:val="00807B84"/>
    <w:rsid w:val="00810F23"/>
    <w:rsid w:val="0081132E"/>
    <w:rsid w:val="00811A04"/>
    <w:rsid w:val="008133A1"/>
    <w:rsid w:val="00814618"/>
    <w:rsid w:val="00814990"/>
    <w:rsid w:val="00814E1B"/>
    <w:rsid w:val="00816539"/>
    <w:rsid w:val="0081787C"/>
    <w:rsid w:val="0081793C"/>
    <w:rsid w:val="00817AB4"/>
    <w:rsid w:val="00817B91"/>
    <w:rsid w:val="00820495"/>
    <w:rsid w:val="00821C88"/>
    <w:rsid w:val="00822541"/>
    <w:rsid w:val="0082454A"/>
    <w:rsid w:val="0082457F"/>
    <w:rsid w:val="00824D8E"/>
    <w:rsid w:val="00825299"/>
    <w:rsid w:val="00826A76"/>
    <w:rsid w:val="0082734B"/>
    <w:rsid w:val="008327A3"/>
    <w:rsid w:val="00832932"/>
    <w:rsid w:val="008347DE"/>
    <w:rsid w:val="00834B7D"/>
    <w:rsid w:val="00836157"/>
    <w:rsid w:val="00836171"/>
    <w:rsid w:val="00836ED6"/>
    <w:rsid w:val="008370E2"/>
    <w:rsid w:val="00837465"/>
    <w:rsid w:val="008417C0"/>
    <w:rsid w:val="008430CC"/>
    <w:rsid w:val="008430EE"/>
    <w:rsid w:val="00843A7E"/>
    <w:rsid w:val="00844639"/>
    <w:rsid w:val="0084557E"/>
    <w:rsid w:val="00845DC5"/>
    <w:rsid w:val="008465A0"/>
    <w:rsid w:val="008469FC"/>
    <w:rsid w:val="00847D13"/>
    <w:rsid w:val="008507CA"/>
    <w:rsid w:val="00850934"/>
    <w:rsid w:val="00852930"/>
    <w:rsid w:val="00853CCB"/>
    <w:rsid w:val="00854303"/>
    <w:rsid w:val="00856120"/>
    <w:rsid w:val="00856FE2"/>
    <w:rsid w:val="008619AB"/>
    <w:rsid w:val="00862EA5"/>
    <w:rsid w:val="00863001"/>
    <w:rsid w:val="0086347C"/>
    <w:rsid w:val="008658E3"/>
    <w:rsid w:val="00865E87"/>
    <w:rsid w:val="0086713D"/>
    <w:rsid w:val="00867752"/>
    <w:rsid w:val="0086780F"/>
    <w:rsid w:val="00867A50"/>
    <w:rsid w:val="00867D1F"/>
    <w:rsid w:val="00870BCF"/>
    <w:rsid w:val="00871EA8"/>
    <w:rsid w:val="008768D6"/>
    <w:rsid w:val="00877AD5"/>
    <w:rsid w:val="00880B47"/>
    <w:rsid w:val="00880CB6"/>
    <w:rsid w:val="00881D93"/>
    <w:rsid w:val="0088344C"/>
    <w:rsid w:val="00884843"/>
    <w:rsid w:val="0088740D"/>
    <w:rsid w:val="00887787"/>
    <w:rsid w:val="00891F71"/>
    <w:rsid w:val="00892C6A"/>
    <w:rsid w:val="008936CE"/>
    <w:rsid w:val="00894223"/>
    <w:rsid w:val="008947D9"/>
    <w:rsid w:val="00895F78"/>
    <w:rsid w:val="00897082"/>
    <w:rsid w:val="008A25D0"/>
    <w:rsid w:val="008A4313"/>
    <w:rsid w:val="008A5B07"/>
    <w:rsid w:val="008A68BD"/>
    <w:rsid w:val="008A7A1E"/>
    <w:rsid w:val="008B0640"/>
    <w:rsid w:val="008B13CC"/>
    <w:rsid w:val="008B2A66"/>
    <w:rsid w:val="008B4980"/>
    <w:rsid w:val="008B584A"/>
    <w:rsid w:val="008B678A"/>
    <w:rsid w:val="008B79BE"/>
    <w:rsid w:val="008C0855"/>
    <w:rsid w:val="008C08D4"/>
    <w:rsid w:val="008C16C3"/>
    <w:rsid w:val="008C1B88"/>
    <w:rsid w:val="008C26E8"/>
    <w:rsid w:val="008C472C"/>
    <w:rsid w:val="008C58DE"/>
    <w:rsid w:val="008C62F3"/>
    <w:rsid w:val="008C7801"/>
    <w:rsid w:val="008D02AA"/>
    <w:rsid w:val="008D07B2"/>
    <w:rsid w:val="008D1C4B"/>
    <w:rsid w:val="008D1EC4"/>
    <w:rsid w:val="008D35E9"/>
    <w:rsid w:val="008D3B69"/>
    <w:rsid w:val="008D49CE"/>
    <w:rsid w:val="008D67F7"/>
    <w:rsid w:val="008D70C1"/>
    <w:rsid w:val="008D7747"/>
    <w:rsid w:val="008E0C87"/>
    <w:rsid w:val="008E185F"/>
    <w:rsid w:val="008E1AA1"/>
    <w:rsid w:val="008E37CD"/>
    <w:rsid w:val="008E3A67"/>
    <w:rsid w:val="008E3BCA"/>
    <w:rsid w:val="008E4667"/>
    <w:rsid w:val="008E4B98"/>
    <w:rsid w:val="008E60E8"/>
    <w:rsid w:val="008E64AF"/>
    <w:rsid w:val="008F001D"/>
    <w:rsid w:val="008F1B20"/>
    <w:rsid w:val="008F222C"/>
    <w:rsid w:val="008F2B41"/>
    <w:rsid w:val="008F3642"/>
    <w:rsid w:val="008F6BD5"/>
    <w:rsid w:val="008F7071"/>
    <w:rsid w:val="008F7418"/>
    <w:rsid w:val="008F75EB"/>
    <w:rsid w:val="008F785D"/>
    <w:rsid w:val="008F7D12"/>
    <w:rsid w:val="00903386"/>
    <w:rsid w:val="0090569D"/>
    <w:rsid w:val="00905D21"/>
    <w:rsid w:val="00910028"/>
    <w:rsid w:val="00910629"/>
    <w:rsid w:val="009126AE"/>
    <w:rsid w:val="009129E4"/>
    <w:rsid w:val="00913485"/>
    <w:rsid w:val="00913718"/>
    <w:rsid w:val="0091422A"/>
    <w:rsid w:val="00914BDC"/>
    <w:rsid w:val="00915829"/>
    <w:rsid w:val="009171FB"/>
    <w:rsid w:val="00917A09"/>
    <w:rsid w:val="00917FF8"/>
    <w:rsid w:val="009204DE"/>
    <w:rsid w:val="009215D4"/>
    <w:rsid w:val="0092175F"/>
    <w:rsid w:val="009223E9"/>
    <w:rsid w:val="00922F7A"/>
    <w:rsid w:val="00923F12"/>
    <w:rsid w:val="009242A5"/>
    <w:rsid w:val="00924E95"/>
    <w:rsid w:val="00925C46"/>
    <w:rsid w:val="009267E6"/>
    <w:rsid w:val="00930A14"/>
    <w:rsid w:val="00931C63"/>
    <w:rsid w:val="00931D07"/>
    <w:rsid w:val="00932658"/>
    <w:rsid w:val="009328BD"/>
    <w:rsid w:val="00940308"/>
    <w:rsid w:val="00941469"/>
    <w:rsid w:val="009414F3"/>
    <w:rsid w:val="009427D4"/>
    <w:rsid w:val="00942E24"/>
    <w:rsid w:val="00942F47"/>
    <w:rsid w:val="00943FAC"/>
    <w:rsid w:val="00944318"/>
    <w:rsid w:val="0094502F"/>
    <w:rsid w:val="0094561A"/>
    <w:rsid w:val="00945B1D"/>
    <w:rsid w:val="00945E92"/>
    <w:rsid w:val="00945EC6"/>
    <w:rsid w:val="00945EC9"/>
    <w:rsid w:val="00946492"/>
    <w:rsid w:val="00947186"/>
    <w:rsid w:val="00950FDB"/>
    <w:rsid w:val="009526A8"/>
    <w:rsid w:val="0095371D"/>
    <w:rsid w:val="00954038"/>
    <w:rsid w:val="00954F37"/>
    <w:rsid w:val="00957247"/>
    <w:rsid w:val="00957A87"/>
    <w:rsid w:val="009623DB"/>
    <w:rsid w:val="009630C5"/>
    <w:rsid w:val="00963F1E"/>
    <w:rsid w:val="0096584B"/>
    <w:rsid w:val="00965D3A"/>
    <w:rsid w:val="00967D72"/>
    <w:rsid w:val="0097022F"/>
    <w:rsid w:val="0097059D"/>
    <w:rsid w:val="009708A8"/>
    <w:rsid w:val="0097157F"/>
    <w:rsid w:val="00971FF3"/>
    <w:rsid w:val="00975EF3"/>
    <w:rsid w:val="00976D83"/>
    <w:rsid w:val="009801E9"/>
    <w:rsid w:val="009801EE"/>
    <w:rsid w:val="009806AE"/>
    <w:rsid w:val="009837A7"/>
    <w:rsid w:val="0098390C"/>
    <w:rsid w:val="00984EA7"/>
    <w:rsid w:val="00985B95"/>
    <w:rsid w:val="00985EE7"/>
    <w:rsid w:val="00986798"/>
    <w:rsid w:val="00992828"/>
    <w:rsid w:val="00992DD1"/>
    <w:rsid w:val="0099397C"/>
    <w:rsid w:val="00994625"/>
    <w:rsid w:val="00994845"/>
    <w:rsid w:val="00994F72"/>
    <w:rsid w:val="0099545A"/>
    <w:rsid w:val="00996C08"/>
    <w:rsid w:val="00996F88"/>
    <w:rsid w:val="009A027D"/>
    <w:rsid w:val="009A1233"/>
    <w:rsid w:val="009A4C13"/>
    <w:rsid w:val="009A518E"/>
    <w:rsid w:val="009A6FD8"/>
    <w:rsid w:val="009A71D2"/>
    <w:rsid w:val="009A7F05"/>
    <w:rsid w:val="009B03BC"/>
    <w:rsid w:val="009B118E"/>
    <w:rsid w:val="009B20AE"/>
    <w:rsid w:val="009B2675"/>
    <w:rsid w:val="009B2D70"/>
    <w:rsid w:val="009B4720"/>
    <w:rsid w:val="009B4960"/>
    <w:rsid w:val="009B6A0D"/>
    <w:rsid w:val="009B6A8F"/>
    <w:rsid w:val="009C1B05"/>
    <w:rsid w:val="009C21B9"/>
    <w:rsid w:val="009C3B46"/>
    <w:rsid w:val="009C3E3F"/>
    <w:rsid w:val="009C407F"/>
    <w:rsid w:val="009C56AC"/>
    <w:rsid w:val="009C576F"/>
    <w:rsid w:val="009C5C74"/>
    <w:rsid w:val="009C600C"/>
    <w:rsid w:val="009C61AE"/>
    <w:rsid w:val="009C71A4"/>
    <w:rsid w:val="009D0612"/>
    <w:rsid w:val="009D291C"/>
    <w:rsid w:val="009D405B"/>
    <w:rsid w:val="009D4A3F"/>
    <w:rsid w:val="009D51C9"/>
    <w:rsid w:val="009D5FDB"/>
    <w:rsid w:val="009D63F2"/>
    <w:rsid w:val="009D6752"/>
    <w:rsid w:val="009D6DE4"/>
    <w:rsid w:val="009E14FC"/>
    <w:rsid w:val="009E1626"/>
    <w:rsid w:val="009E1AA8"/>
    <w:rsid w:val="009E3507"/>
    <w:rsid w:val="009E484A"/>
    <w:rsid w:val="009E5837"/>
    <w:rsid w:val="009F031A"/>
    <w:rsid w:val="009F25E4"/>
    <w:rsid w:val="009F3780"/>
    <w:rsid w:val="009F3AC4"/>
    <w:rsid w:val="009F43F1"/>
    <w:rsid w:val="009F4DF0"/>
    <w:rsid w:val="009F5194"/>
    <w:rsid w:val="009F637C"/>
    <w:rsid w:val="009F6EAD"/>
    <w:rsid w:val="009F6FAF"/>
    <w:rsid w:val="009F78CC"/>
    <w:rsid w:val="009F7BCF"/>
    <w:rsid w:val="00A04CF1"/>
    <w:rsid w:val="00A04E57"/>
    <w:rsid w:val="00A05AC3"/>
    <w:rsid w:val="00A061BF"/>
    <w:rsid w:val="00A07FE5"/>
    <w:rsid w:val="00A11E05"/>
    <w:rsid w:val="00A124FC"/>
    <w:rsid w:val="00A12DB4"/>
    <w:rsid w:val="00A13774"/>
    <w:rsid w:val="00A143C9"/>
    <w:rsid w:val="00A145A0"/>
    <w:rsid w:val="00A161BA"/>
    <w:rsid w:val="00A17F10"/>
    <w:rsid w:val="00A22BA7"/>
    <w:rsid w:val="00A23291"/>
    <w:rsid w:val="00A24E6E"/>
    <w:rsid w:val="00A25B73"/>
    <w:rsid w:val="00A26357"/>
    <w:rsid w:val="00A27928"/>
    <w:rsid w:val="00A30D90"/>
    <w:rsid w:val="00A31BED"/>
    <w:rsid w:val="00A31CE1"/>
    <w:rsid w:val="00A33DF4"/>
    <w:rsid w:val="00A351AB"/>
    <w:rsid w:val="00A35B7B"/>
    <w:rsid w:val="00A3788A"/>
    <w:rsid w:val="00A40398"/>
    <w:rsid w:val="00A41477"/>
    <w:rsid w:val="00A43E63"/>
    <w:rsid w:val="00A50B64"/>
    <w:rsid w:val="00A50FF1"/>
    <w:rsid w:val="00A53641"/>
    <w:rsid w:val="00A56940"/>
    <w:rsid w:val="00A570B0"/>
    <w:rsid w:val="00A608E9"/>
    <w:rsid w:val="00A620D4"/>
    <w:rsid w:val="00A63AF2"/>
    <w:rsid w:val="00A63CE2"/>
    <w:rsid w:val="00A6492B"/>
    <w:rsid w:val="00A64EB9"/>
    <w:rsid w:val="00A665F1"/>
    <w:rsid w:val="00A6663A"/>
    <w:rsid w:val="00A66762"/>
    <w:rsid w:val="00A71282"/>
    <w:rsid w:val="00A749C6"/>
    <w:rsid w:val="00A74B14"/>
    <w:rsid w:val="00A75802"/>
    <w:rsid w:val="00A75856"/>
    <w:rsid w:val="00A80A36"/>
    <w:rsid w:val="00A81463"/>
    <w:rsid w:val="00A853F4"/>
    <w:rsid w:val="00A8625C"/>
    <w:rsid w:val="00A86724"/>
    <w:rsid w:val="00A87227"/>
    <w:rsid w:val="00A900BB"/>
    <w:rsid w:val="00A904E7"/>
    <w:rsid w:val="00A9060F"/>
    <w:rsid w:val="00A91787"/>
    <w:rsid w:val="00A947AC"/>
    <w:rsid w:val="00A96069"/>
    <w:rsid w:val="00A9650F"/>
    <w:rsid w:val="00A967C9"/>
    <w:rsid w:val="00A977A6"/>
    <w:rsid w:val="00AA34AB"/>
    <w:rsid w:val="00AB0225"/>
    <w:rsid w:val="00AB0EFF"/>
    <w:rsid w:val="00AB1BEB"/>
    <w:rsid w:val="00AB33FB"/>
    <w:rsid w:val="00AB3A04"/>
    <w:rsid w:val="00AB430D"/>
    <w:rsid w:val="00AB4716"/>
    <w:rsid w:val="00AB4D19"/>
    <w:rsid w:val="00AB569A"/>
    <w:rsid w:val="00AB5A98"/>
    <w:rsid w:val="00AB638C"/>
    <w:rsid w:val="00AB7DD3"/>
    <w:rsid w:val="00AC0ADA"/>
    <w:rsid w:val="00AC1719"/>
    <w:rsid w:val="00AC2877"/>
    <w:rsid w:val="00AC2C2E"/>
    <w:rsid w:val="00AC4142"/>
    <w:rsid w:val="00AC6242"/>
    <w:rsid w:val="00AD0E1D"/>
    <w:rsid w:val="00AD15D7"/>
    <w:rsid w:val="00AD1ADF"/>
    <w:rsid w:val="00AD21A8"/>
    <w:rsid w:val="00AD2396"/>
    <w:rsid w:val="00AD3286"/>
    <w:rsid w:val="00AE0B24"/>
    <w:rsid w:val="00AE0BA4"/>
    <w:rsid w:val="00AE0ECA"/>
    <w:rsid w:val="00AE18F9"/>
    <w:rsid w:val="00AE20FA"/>
    <w:rsid w:val="00AE22E9"/>
    <w:rsid w:val="00AE2C18"/>
    <w:rsid w:val="00AE37A9"/>
    <w:rsid w:val="00AE5EF2"/>
    <w:rsid w:val="00AE76DA"/>
    <w:rsid w:val="00AE791F"/>
    <w:rsid w:val="00AF03D0"/>
    <w:rsid w:val="00AF08AF"/>
    <w:rsid w:val="00AF2AEA"/>
    <w:rsid w:val="00AF31EB"/>
    <w:rsid w:val="00AF3C1A"/>
    <w:rsid w:val="00AF4D6D"/>
    <w:rsid w:val="00AF7DB0"/>
    <w:rsid w:val="00B05B29"/>
    <w:rsid w:val="00B075CE"/>
    <w:rsid w:val="00B07907"/>
    <w:rsid w:val="00B11159"/>
    <w:rsid w:val="00B1120D"/>
    <w:rsid w:val="00B11D26"/>
    <w:rsid w:val="00B11F21"/>
    <w:rsid w:val="00B12BD4"/>
    <w:rsid w:val="00B14633"/>
    <w:rsid w:val="00B14DF4"/>
    <w:rsid w:val="00B153ED"/>
    <w:rsid w:val="00B17041"/>
    <w:rsid w:val="00B2149F"/>
    <w:rsid w:val="00B219E2"/>
    <w:rsid w:val="00B227E6"/>
    <w:rsid w:val="00B2359B"/>
    <w:rsid w:val="00B24404"/>
    <w:rsid w:val="00B25102"/>
    <w:rsid w:val="00B275AC"/>
    <w:rsid w:val="00B27C0A"/>
    <w:rsid w:val="00B31858"/>
    <w:rsid w:val="00B33D95"/>
    <w:rsid w:val="00B36465"/>
    <w:rsid w:val="00B37789"/>
    <w:rsid w:val="00B40069"/>
    <w:rsid w:val="00B409AB"/>
    <w:rsid w:val="00B41284"/>
    <w:rsid w:val="00B42921"/>
    <w:rsid w:val="00B46A2F"/>
    <w:rsid w:val="00B51B99"/>
    <w:rsid w:val="00B5384C"/>
    <w:rsid w:val="00B54A35"/>
    <w:rsid w:val="00B55588"/>
    <w:rsid w:val="00B55D57"/>
    <w:rsid w:val="00B60B88"/>
    <w:rsid w:val="00B62FA1"/>
    <w:rsid w:val="00B6394C"/>
    <w:rsid w:val="00B671F3"/>
    <w:rsid w:val="00B67DE3"/>
    <w:rsid w:val="00B726EF"/>
    <w:rsid w:val="00B733AD"/>
    <w:rsid w:val="00B7354F"/>
    <w:rsid w:val="00B73F3C"/>
    <w:rsid w:val="00B74081"/>
    <w:rsid w:val="00B744C6"/>
    <w:rsid w:val="00B75AD9"/>
    <w:rsid w:val="00B76A7D"/>
    <w:rsid w:val="00B76A9C"/>
    <w:rsid w:val="00B80865"/>
    <w:rsid w:val="00B80CFB"/>
    <w:rsid w:val="00B8212A"/>
    <w:rsid w:val="00B826E8"/>
    <w:rsid w:val="00B859BC"/>
    <w:rsid w:val="00B85B6D"/>
    <w:rsid w:val="00B8669C"/>
    <w:rsid w:val="00B866E8"/>
    <w:rsid w:val="00B87A4C"/>
    <w:rsid w:val="00B87F8E"/>
    <w:rsid w:val="00B92C7E"/>
    <w:rsid w:val="00B92CE6"/>
    <w:rsid w:val="00B9416B"/>
    <w:rsid w:val="00B95163"/>
    <w:rsid w:val="00B961B9"/>
    <w:rsid w:val="00B96BAA"/>
    <w:rsid w:val="00B97C46"/>
    <w:rsid w:val="00BA0643"/>
    <w:rsid w:val="00BA0721"/>
    <w:rsid w:val="00BA1E7A"/>
    <w:rsid w:val="00BA2B19"/>
    <w:rsid w:val="00BA3040"/>
    <w:rsid w:val="00BA34CA"/>
    <w:rsid w:val="00BA402B"/>
    <w:rsid w:val="00BA41F7"/>
    <w:rsid w:val="00BA4ACD"/>
    <w:rsid w:val="00BA4CF2"/>
    <w:rsid w:val="00BA536E"/>
    <w:rsid w:val="00BA5A13"/>
    <w:rsid w:val="00BA6BA7"/>
    <w:rsid w:val="00BB06B0"/>
    <w:rsid w:val="00BB3365"/>
    <w:rsid w:val="00BB3E16"/>
    <w:rsid w:val="00BB5884"/>
    <w:rsid w:val="00BB5B1D"/>
    <w:rsid w:val="00BB5C1E"/>
    <w:rsid w:val="00BB69A5"/>
    <w:rsid w:val="00BB7801"/>
    <w:rsid w:val="00BC0158"/>
    <w:rsid w:val="00BC13DF"/>
    <w:rsid w:val="00BC1D9D"/>
    <w:rsid w:val="00BC21FE"/>
    <w:rsid w:val="00BC301F"/>
    <w:rsid w:val="00BC4C6E"/>
    <w:rsid w:val="00BC5261"/>
    <w:rsid w:val="00BD1116"/>
    <w:rsid w:val="00BD1BE6"/>
    <w:rsid w:val="00BD3902"/>
    <w:rsid w:val="00BD56BD"/>
    <w:rsid w:val="00BD5F6E"/>
    <w:rsid w:val="00BD6D67"/>
    <w:rsid w:val="00BE025B"/>
    <w:rsid w:val="00BE0B29"/>
    <w:rsid w:val="00BE10AC"/>
    <w:rsid w:val="00BE1B3F"/>
    <w:rsid w:val="00BE2BE8"/>
    <w:rsid w:val="00BE63EF"/>
    <w:rsid w:val="00BF495C"/>
    <w:rsid w:val="00BF5368"/>
    <w:rsid w:val="00BF5BD5"/>
    <w:rsid w:val="00C00F9A"/>
    <w:rsid w:val="00C02A07"/>
    <w:rsid w:val="00C03F45"/>
    <w:rsid w:val="00C054FC"/>
    <w:rsid w:val="00C07005"/>
    <w:rsid w:val="00C0724D"/>
    <w:rsid w:val="00C07F83"/>
    <w:rsid w:val="00C11E8C"/>
    <w:rsid w:val="00C1238B"/>
    <w:rsid w:val="00C12664"/>
    <w:rsid w:val="00C13C87"/>
    <w:rsid w:val="00C1590D"/>
    <w:rsid w:val="00C15F63"/>
    <w:rsid w:val="00C15F84"/>
    <w:rsid w:val="00C20E82"/>
    <w:rsid w:val="00C21EDE"/>
    <w:rsid w:val="00C21FEF"/>
    <w:rsid w:val="00C226A3"/>
    <w:rsid w:val="00C2379D"/>
    <w:rsid w:val="00C238CE"/>
    <w:rsid w:val="00C24361"/>
    <w:rsid w:val="00C244FB"/>
    <w:rsid w:val="00C24C3E"/>
    <w:rsid w:val="00C2528C"/>
    <w:rsid w:val="00C27FAF"/>
    <w:rsid w:val="00C30B27"/>
    <w:rsid w:val="00C323DF"/>
    <w:rsid w:val="00C3292D"/>
    <w:rsid w:val="00C33AE7"/>
    <w:rsid w:val="00C34000"/>
    <w:rsid w:val="00C344BB"/>
    <w:rsid w:val="00C40485"/>
    <w:rsid w:val="00C405D0"/>
    <w:rsid w:val="00C4212C"/>
    <w:rsid w:val="00C441E0"/>
    <w:rsid w:val="00C44642"/>
    <w:rsid w:val="00C464C4"/>
    <w:rsid w:val="00C46AA1"/>
    <w:rsid w:val="00C50448"/>
    <w:rsid w:val="00C505B9"/>
    <w:rsid w:val="00C52C9D"/>
    <w:rsid w:val="00C535F4"/>
    <w:rsid w:val="00C554B6"/>
    <w:rsid w:val="00C617E3"/>
    <w:rsid w:val="00C62A72"/>
    <w:rsid w:val="00C63B62"/>
    <w:rsid w:val="00C64BFB"/>
    <w:rsid w:val="00C6655E"/>
    <w:rsid w:val="00C666F8"/>
    <w:rsid w:val="00C67851"/>
    <w:rsid w:val="00C716B7"/>
    <w:rsid w:val="00C73680"/>
    <w:rsid w:val="00C741D6"/>
    <w:rsid w:val="00C74AD5"/>
    <w:rsid w:val="00C74D39"/>
    <w:rsid w:val="00C767BB"/>
    <w:rsid w:val="00C77238"/>
    <w:rsid w:val="00C77BF2"/>
    <w:rsid w:val="00C77F15"/>
    <w:rsid w:val="00C81948"/>
    <w:rsid w:val="00C81A2F"/>
    <w:rsid w:val="00C82C15"/>
    <w:rsid w:val="00C847D6"/>
    <w:rsid w:val="00C84D99"/>
    <w:rsid w:val="00C85842"/>
    <w:rsid w:val="00C85BA1"/>
    <w:rsid w:val="00C8633B"/>
    <w:rsid w:val="00C87EE0"/>
    <w:rsid w:val="00C91E95"/>
    <w:rsid w:val="00C925B8"/>
    <w:rsid w:val="00C92CD2"/>
    <w:rsid w:val="00C95F2C"/>
    <w:rsid w:val="00C9660A"/>
    <w:rsid w:val="00CA336F"/>
    <w:rsid w:val="00CA3C42"/>
    <w:rsid w:val="00CA6331"/>
    <w:rsid w:val="00CA64BD"/>
    <w:rsid w:val="00CB001E"/>
    <w:rsid w:val="00CB02F3"/>
    <w:rsid w:val="00CB15B9"/>
    <w:rsid w:val="00CB39ED"/>
    <w:rsid w:val="00CB4359"/>
    <w:rsid w:val="00CB4FBE"/>
    <w:rsid w:val="00CB501B"/>
    <w:rsid w:val="00CB6DC5"/>
    <w:rsid w:val="00CB6FD7"/>
    <w:rsid w:val="00CB7E93"/>
    <w:rsid w:val="00CB7FB8"/>
    <w:rsid w:val="00CC14CD"/>
    <w:rsid w:val="00CC196C"/>
    <w:rsid w:val="00CC1D6E"/>
    <w:rsid w:val="00CC3C82"/>
    <w:rsid w:val="00CC41D5"/>
    <w:rsid w:val="00CC4ADC"/>
    <w:rsid w:val="00CC544D"/>
    <w:rsid w:val="00CC5841"/>
    <w:rsid w:val="00CC5CEE"/>
    <w:rsid w:val="00CC72D2"/>
    <w:rsid w:val="00CC76DF"/>
    <w:rsid w:val="00CC7925"/>
    <w:rsid w:val="00CC7B6A"/>
    <w:rsid w:val="00CD0646"/>
    <w:rsid w:val="00CD2C42"/>
    <w:rsid w:val="00CD2DFF"/>
    <w:rsid w:val="00CD41E2"/>
    <w:rsid w:val="00CD4985"/>
    <w:rsid w:val="00CD786E"/>
    <w:rsid w:val="00CE07E0"/>
    <w:rsid w:val="00CE1CD0"/>
    <w:rsid w:val="00CE21A7"/>
    <w:rsid w:val="00CE310C"/>
    <w:rsid w:val="00CE45EA"/>
    <w:rsid w:val="00CF0339"/>
    <w:rsid w:val="00CF0AE9"/>
    <w:rsid w:val="00CF10F3"/>
    <w:rsid w:val="00CF22F0"/>
    <w:rsid w:val="00CF25A8"/>
    <w:rsid w:val="00CF288F"/>
    <w:rsid w:val="00CF30FB"/>
    <w:rsid w:val="00CF3FB0"/>
    <w:rsid w:val="00CF66B8"/>
    <w:rsid w:val="00CF6D8A"/>
    <w:rsid w:val="00CF7954"/>
    <w:rsid w:val="00D00B47"/>
    <w:rsid w:val="00D01826"/>
    <w:rsid w:val="00D021A2"/>
    <w:rsid w:val="00D02FC8"/>
    <w:rsid w:val="00D0365D"/>
    <w:rsid w:val="00D03E82"/>
    <w:rsid w:val="00D03E88"/>
    <w:rsid w:val="00D042E9"/>
    <w:rsid w:val="00D06843"/>
    <w:rsid w:val="00D06B0A"/>
    <w:rsid w:val="00D106A4"/>
    <w:rsid w:val="00D10BD2"/>
    <w:rsid w:val="00D12A33"/>
    <w:rsid w:val="00D12FD0"/>
    <w:rsid w:val="00D131A6"/>
    <w:rsid w:val="00D13E7D"/>
    <w:rsid w:val="00D14611"/>
    <w:rsid w:val="00D14D26"/>
    <w:rsid w:val="00D166A8"/>
    <w:rsid w:val="00D1713A"/>
    <w:rsid w:val="00D21592"/>
    <w:rsid w:val="00D22196"/>
    <w:rsid w:val="00D2329B"/>
    <w:rsid w:val="00D246B5"/>
    <w:rsid w:val="00D251DD"/>
    <w:rsid w:val="00D25900"/>
    <w:rsid w:val="00D264B0"/>
    <w:rsid w:val="00D333C5"/>
    <w:rsid w:val="00D33464"/>
    <w:rsid w:val="00D33AE7"/>
    <w:rsid w:val="00D343B8"/>
    <w:rsid w:val="00D36E74"/>
    <w:rsid w:val="00D371F0"/>
    <w:rsid w:val="00D37D8A"/>
    <w:rsid w:val="00D41F9A"/>
    <w:rsid w:val="00D42D50"/>
    <w:rsid w:val="00D455F8"/>
    <w:rsid w:val="00D478C8"/>
    <w:rsid w:val="00D52DE9"/>
    <w:rsid w:val="00D5408B"/>
    <w:rsid w:val="00D54229"/>
    <w:rsid w:val="00D54EBB"/>
    <w:rsid w:val="00D5549B"/>
    <w:rsid w:val="00D5557B"/>
    <w:rsid w:val="00D55BDF"/>
    <w:rsid w:val="00D562FB"/>
    <w:rsid w:val="00D57496"/>
    <w:rsid w:val="00D606C8"/>
    <w:rsid w:val="00D62025"/>
    <w:rsid w:val="00D63253"/>
    <w:rsid w:val="00D63E29"/>
    <w:rsid w:val="00D64827"/>
    <w:rsid w:val="00D64D67"/>
    <w:rsid w:val="00D664C0"/>
    <w:rsid w:val="00D67EAB"/>
    <w:rsid w:val="00D70BE9"/>
    <w:rsid w:val="00D70F10"/>
    <w:rsid w:val="00D71405"/>
    <w:rsid w:val="00D731E2"/>
    <w:rsid w:val="00D73BB2"/>
    <w:rsid w:val="00D74962"/>
    <w:rsid w:val="00D74B7E"/>
    <w:rsid w:val="00D7573D"/>
    <w:rsid w:val="00D767B1"/>
    <w:rsid w:val="00D77790"/>
    <w:rsid w:val="00D810AF"/>
    <w:rsid w:val="00D8209B"/>
    <w:rsid w:val="00D821E4"/>
    <w:rsid w:val="00D82D1F"/>
    <w:rsid w:val="00D83CA8"/>
    <w:rsid w:val="00D844C3"/>
    <w:rsid w:val="00D85879"/>
    <w:rsid w:val="00D863DA"/>
    <w:rsid w:val="00D8732B"/>
    <w:rsid w:val="00D90360"/>
    <w:rsid w:val="00D916B9"/>
    <w:rsid w:val="00D92353"/>
    <w:rsid w:val="00D96E06"/>
    <w:rsid w:val="00D97086"/>
    <w:rsid w:val="00D97F11"/>
    <w:rsid w:val="00DA0004"/>
    <w:rsid w:val="00DA093A"/>
    <w:rsid w:val="00DA0E2F"/>
    <w:rsid w:val="00DA45D2"/>
    <w:rsid w:val="00DA5625"/>
    <w:rsid w:val="00DA56A6"/>
    <w:rsid w:val="00DA695B"/>
    <w:rsid w:val="00DA7E0A"/>
    <w:rsid w:val="00DB158F"/>
    <w:rsid w:val="00DB25E7"/>
    <w:rsid w:val="00DB2BB6"/>
    <w:rsid w:val="00DB3552"/>
    <w:rsid w:val="00DB5498"/>
    <w:rsid w:val="00DB66E4"/>
    <w:rsid w:val="00DB76B9"/>
    <w:rsid w:val="00DB7F7E"/>
    <w:rsid w:val="00DC1788"/>
    <w:rsid w:val="00DC2174"/>
    <w:rsid w:val="00DC3C73"/>
    <w:rsid w:val="00DC5C8F"/>
    <w:rsid w:val="00DC7652"/>
    <w:rsid w:val="00DD09BF"/>
    <w:rsid w:val="00DD10C3"/>
    <w:rsid w:val="00DD3C25"/>
    <w:rsid w:val="00DD5BA9"/>
    <w:rsid w:val="00DD5BC5"/>
    <w:rsid w:val="00DD61FA"/>
    <w:rsid w:val="00DD6278"/>
    <w:rsid w:val="00DD654A"/>
    <w:rsid w:val="00DE00FB"/>
    <w:rsid w:val="00DE010E"/>
    <w:rsid w:val="00DE26A9"/>
    <w:rsid w:val="00DE374E"/>
    <w:rsid w:val="00DE3D2C"/>
    <w:rsid w:val="00DE686D"/>
    <w:rsid w:val="00DE79AE"/>
    <w:rsid w:val="00DF5D4F"/>
    <w:rsid w:val="00DF66C5"/>
    <w:rsid w:val="00DF7222"/>
    <w:rsid w:val="00DF74EB"/>
    <w:rsid w:val="00DF7A88"/>
    <w:rsid w:val="00E0016F"/>
    <w:rsid w:val="00E00AB4"/>
    <w:rsid w:val="00E01C7C"/>
    <w:rsid w:val="00E03509"/>
    <w:rsid w:val="00E05D73"/>
    <w:rsid w:val="00E0603A"/>
    <w:rsid w:val="00E0615E"/>
    <w:rsid w:val="00E065B3"/>
    <w:rsid w:val="00E076ED"/>
    <w:rsid w:val="00E11346"/>
    <w:rsid w:val="00E12E21"/>
    <w:rsid w:val="00E12F06"/>
    <w:rsid w:val="00E14F41"/>
    <w:rsid w:val="00E14FE9"/>
    <w:rsid w:val="00E1678D"/>
    <w:rsid w:val="00E16DA8"/>
    <w:rsid w:val="00E1707A"/>
    <w:rsid w:val="00E17273"/>
    <w:rsid w:val="00E208D9"/>
    <w:rsid w:val="00E20D8C"/>
    <w:rsid w:val="00E2263A"/>
    <w:rsid w:val="00E2316A"/>
    <w:rsid w:val="00E23BE4"/>
    <w:rsid w:val="00E23E67"/>
    <w:rsid w:val="00E23ED5"/>
    <w:rsid w:val="00E26796"/>
    <w:rsid w:val="00E30126"/>
    <w:rsid w:val="00E30517"/>
    <w:rsid w:val="00E307D5"/>
    <w:rsid w:val="00E3281B"/>
    <w:rsid w:val="00E32944"/>
    <w:rsid w:val="00E33264"/>
    <w:rsid w:val="00E33662"/>
    <w:rsid w:val="00E345AA"/>
    <w:rsid w:val="00E34D00"/>
    <w:rsid w:val="00E36EFC"/>
    <w:rsid w:val="00E40551"/>
    <w:rsid w:val="00E4141C"/>
    <w:rsid w:val="00E42020"/>
    <w:rsid w:val="00E44FD0"/>
    <w:rsid w:val="00E46078"/>
    <w:rsid w:val="00E4737D"/>
    <w:rsid w:val="00E52197"/>
    <w:rsid w:val="00E56469"/>
    <w:rsid w:val="00E56F66"/>
    <w:rsid w:val="00E57B0A"/>
    <w:rsid w:val="00E6131D"/>
    <w:rsid w:val="00E627C0"/>
    <w:rsid w:val="00E62B8C"/>
    <w:rsid w:val="00E62EC1"/>
    <w:rsid w:val="00E641E9"/>
    <w:rsid w:val="00E643BD"/>
    <w:rsid w:val="00E66C55"/>
    <w:rsid w:val="00E7109B"/>
    <w:rsid w:val="00E72E37"/>
    <w:rsid w:val="00E7545F"/>
    <w:rsid w:val="00E76F8A"/>
    <w:rsid w:val="00E772FA"/>
    <w:rsid w:val="00E80D66"/>
    <w:rsid w:val="00E8112B"/>
    <w:rsid w:val="00E877D4"/>
    <w:rsid w:val="00E90F9D"/>
    <w:rsid w:val="00E91716"/>
    <w:rsid w:val="00E92344"/>
    <w:rsid w:val="00E95AC8"/>
    <w:rsid w:val="00E965BB"/>
    <w:rsid w:val="00E979D4"/>
    <w:rsid w:val="00EA06B9"/>
    <w:rsid w:val="00EA11EA"/>
    <w:rsid w:val="00EA1A92"/>
    <w:rsid w:val="00EA5201"/>
    <w:rsid w:val="00EA604E"/>
    <w:rsid w:val="00EB05A3"/>
    <w:rsid w:val="00EB128D"/>
    <w:rsid w:val="00EB1DC2"/>
    <w:rsid w:val="00EB4F14"/>
    <w:rsid w:val="00EB4FA0"/>
    <w:rsid w:val="00EB5160"/>
    <w:rsid w:val="00EB691B"/>
    <w:rsid w:val="00EB695C"/>
    <w:rsid w:val="00EB7C75"/>
    <w:rsid w:val="00EC07ED"/>
    <w:rsid w:val="00EC0A1E"/>
    <w:rsid w:val="00EC15E9"/>
    <w:rsid w:val="00EC20D8"/>
    <w:rsid w:val="00EC28D1"/>
    <w:rsid w:val="00EC2BF8"/>
    <w:rsid w:val="00EC3390"/>
    <w:rsid w:val="00EC3CC2"/>
    <w:rsid w:val="00EC3EF6"/>
    <w:rsid w:val="00EC46E4"/>
    <w:rsid w:val="00EC4818"/>
    <w:rsid w:val="00EC5AC9"/>
    <w:rsid w:val="00EC5C12"/>
    <w:rsid w:val="00EC6939"/>
    <w:rsid w:val="00EC7048"/>
    <w:rsid w:val="00EC7C0D"/>
    <w:rsid w:val="00ED13EC"/>
    <w:rsid w:val="00ED2640"/>
    <w:rsid w:val="00ED375C"/>
    <w:rsid w:val="00ED4A59"/>
    <w:rsid w:val="00ED4C6B"/>
    <w:rsid w:val="00ED4E99"/>
    <w:rsid w:val="00ED552A"/>
    <w:rsid w:val="00ED5697"/>
    <w:rsid w:val="00ED67F1"/>
    <w:rsid w:val="00ED7185"/>
    <w:rsid w:val="00EE05F8"/>
    <w:rsid w:val="00EE4125"/>
    <w:rsid w:val="00EE5541"/>
    <w:rsid w:val="00EE5893"/>
    <w:rsid w:val="00EE5D81"/>
    <w:rsid w:val="00EE6F5E"/>
    <w:rsid w:val="00EE7603"/>
    <w:rsid w:val="00EE79C0"/>
    <w:rsid w:val="00EE7E9B"/>
    <w:rsid w:val="00EF2725"/>
    <w:rsid w:val="00EF3002"/>
    <w:rsid w:val="00EF4761"/>
    <w:rsid w:val="00EF4F7D"/>
    <w:rsid w:val="00EF5564"/>
    <w:rsid w:val="00F00122"/>
    <w:rsid w:val="00F00746"/>
    <w:rsid w:val="00F0413D"/>
    <w:rsid w:val="00F0458D"/>
    <w:rsid w:val="00F049E7"/>
    <w:rsid w:val="00F0521A"/>
    <w:rsid w:val="00F06F6A"/>
    <w:rsid w:val="00F079EE"/>
    <w:rsid w:val="00F07A5A"/>
    <w:rsid w:val="00F10867"/>
    <w:rsid w:val="00F11879"/>
    <w:rsid w:val="00F12172"/>
    <w:rsid w:val="00F1347B"/>
    <w:rsid w:val="00F14784"/>
    <w:rsid w:val="00F1633A"/>
    <w:rsid w:val="00F16DCF"/>
    <w:rsid w:val="00F1738E"/>
    <w:rsid w:val="00F17697"/>
    <w:rsid w:val="00F239DF"/>
    <w:rsid w:val="00F24B40"/>
    <w:rsid w:val="00F2555A"/>
    <w:rsid w:val="00F25C49"/>
    <w:rsid w:val="00F26825"/>
    <w:rsid w:val="00F30967"/>
    <w:rsid w:val="00F32D88"/>
    <w:rsid w:val="00F36EC2"/>
    <w:rsid w:val="00F3768A"/>
    <w:rsid w:val="00F41089"/>
    <w:rsid w:val="00F427B3"/>
    <w:rsid w:val="00F427F1"/>
    <w:rsid w:val="00F431F7"/>
    <w:rsid w:val="00F43306"/>
    <w:rsid w:val="00F4442D"/>
    <w:rsid w:val="00F447F3"/>
    <w:rsid w:val="00F46FD9"/>
    <w:rsid w:val="00F4781F"/>
    <w:rsid w:val="00F511A2"/>
    <w:rsid w:val="00F516C0"/>
    <w:rsid w:val="00F55FCB"/>
    <w:rsid w:val="00F56830"/>
    <w:rsid w:val="00F56FDC"/>
    <w:rsid w:val="00F57895"/>
    <w:rsid w:val="00F57BFC"/>
    <w:rsid w:val="00F611B4"/>
    <w:rsid w:val="00F6219C"/>
    <w:rsid w:val="00F669DE"/>
    <w:rsid w:val="00F67755"/>
    <w:rsid w:val="00F67909"/>
    <w:rsid w:val="00F71B4B"/>
    <w:rsid w:val="00F72116"/>
    <w:rsid w:val="00F740B5"/>
    <w:rsid w:val="00F74920"/>
    <w:rsid w:val="00F7562D"/>
    <w:rsid w:val="00F77FBE"/>
    <w:rsid w:val="00F808A2"/>
    <w:rsid w:val="00F80ADC"/>
    <w:rsid w:val="00F82CE3"/>
    <w:rsid w:val="00F83C5C"/>
    <w:rsid w:val="00F84A09"/>
    <w:rsid w:val="00F90133"/>
    <w:rsid w:val="00F932BC"/>
    <w:rsid w:val="00F93BF1"/>
    <w:rsid w:val="00F9562D"/>
    <w:rsid w:val="00FA0BDD"/>
    <w:rsid w:val="00FA1513"/>
    <w:rsid w:val="00FA40FB"/>
    <w:rsid w:val="00FA6806"/>
    <w:rsid w:val="00FA73BB"/>
    <w:rsid w:val="00FA73E1"/>
    <w:rsid w:val="00FB0166"/>
    <w:rsid w:val="00FB0429"/>
    <w:rsid w:val="00FB2421"/>
    <w:rsid w:val="00FB36B9"/>
    <w:rsid w:val="00FB39A0"/>
    <w:rsid w:val="00FB3F4E"/>
    <w:rsid w:val="00FB3F98"/>
    <w:rsid w:val="00FB455E"/>
    <w:rsid w:val="00FB45DF"/>
    <w:rsid w:val="00FB6B9E"/>
    <w:rsid w:val="00FC1CF4"/>
    <w:rsid w:val="00FC613E"/>
    <w:rsid w:val="00FC6934"/>
    <w:rsid w:val="00FC7127"/>
    <w:rsid w:val="00FC76FB"/>
    <w:rsid w:val="00FD00C4"/>
    <w:rsid w:val="00FD0A1B"/>
    <w:rsid w:val="00FD3554"/>
    <w:rsid w:val="00FD3576"/>
    <w:rsid w:val="00FD60EC"/>
    <w:rsid w:val="00FD6B36"/>
    <w:rsid w:val="00FD71EE"/>
    <w:rsid w:val="00FD7891"/>
    <w:rsid w:val="00FE0E6D"/>
    <w:rsid w:val="00FE1100"/>
    <w:rsid w:val="00FE48AE"/>
    <w:rsid w:val="00FE7C4E"/>
    <w:rsid w:val="00FF0C4D"/>
    <w:rsid w:val="00FF2003"/>
    <w:rsid w:val="00FF31B7"/>
    <w:rsid w:val="00FF3CAD"/>
    <w:rsid w:val="00FF3FB3"/>
    <w:rsid w:val="00FF4D31"/>
    <w:rsid w:val="00FF601C"/>
    <w:rsid w:val="00FF6A7F"/>
    <w:rsid w:val="00FF79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0CE92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128D"/>
    <w:pPr>
      <w:spacing w:line="480" w:lineRule="auto"/>
      <w:jc w:val="both"/>
    </w:pPr>
    <w:rPr>
      <w:rFonts w:ascii="Times New Roman" w:hAnsi="Times New Roman"/>
      <w:sz w:val="24"/>
    </w:rPr>
  </w:style>
  <w:style w:type="paragraph" w:styleId="Heading1">
    <w:name w:val="heading 1"/>
    <w:basedOn w:val="Normal"/>
    <w:next w:val="Normal"/>
    <w:link w:val="Heading1Char"/>
    <w:uiPriority w:val="9"/>
    <w:qFormat/>
    <w:rsid w:val="009801E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9801E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9801EE"/>
    <w:pPr>
      <w:keepNext/>
      <w:keepLines/>
      <w:spacing w:before="40" w:after="0"/>
      <w:outlineLvl w:val="2"/>
    </w:pPr>
    <w:rPr>
      <w:rFonts w:asciiTheme="majorHAnsi" w:eastAsiaTheme="majorEastAsia" w:hAnsiTheme="majorHAnsi" w:cstheme="majorBidi"/>
      <w:color w:val="1F3763" w:themeColor="accent1" w:themeShade="7F"/>
      <w:szCs w:val="24"/>
    </w:rPr>
  </w:style>
  <w:style w:type="paragraph" w:styleId="Heading4">
    <w:name w:val="heading 4"/>
    <w:basedOn w:val="Normal"/>
    <w:next w:val="Normal"/>
    <w:link w:val="Heading4Char"/>
    <w:uiPriority w:val="9"/>
    <w:semiHidden/>
    <w:unhideWhenUsed/>
    <w:qFormat/>
    <w:rsid w:val="009801EE"/>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9801EE"/>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9801EE"/>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9801EE"/>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9801EE"/>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9801EE"/>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43C9"/>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semiHidden/>
    <w:unhideWhenUsed/>
    <w:qFormat/>
    <w:rsid w:val="00A143C9"/>
    <w:pPr>
      <w:outlineLvl w:val="9"/>
    </w:pPr>
  </w:style>
  <w:style w:type="paragraph" w:styleId="Bibliography">
    <w:name w:val="Bibliography"/>
    <w:basedOn w:val="Normal"/>
    <w:next w:val="Normal"/>
    <w:uiPriority w:val="37"/>
    <w:semiHidden/>
    <w:unhideWhenUsed/>
    <w:rsid w:val="009801EE"/>
  </w:style>
  <w:style w:type="character" w:styleId="BookTitle">
    <w:name w:val="Book Title"/>
    <w:basedOn w:val="DefaultParagraphFont"/>
    <w:uiPriority w:val="33"/>
    <w:qFormat/>
    <w:rsid w:val="00A143C9"/>
    <w:rPr>
      <w:b/>
      <w:bCs/>
      <w:i/>
      <w:iCs/>
      <w:spacing w:val="5"/>
    </w:rPr>
  </w:style>
  <w:style w:type="character" w:styleId="IntenseReference">
    <w:name w:val="Intense Reference"/>
    <w:basedOn w:val="DefaultParagraphFont"/>
    <w:uiPriority w:val="32"/>
    <w:qFormat/>
    <w:rsid w:val="00A143C9"/>
    <w:rPr>
      <w:b/>
      <w:bCs/>
      <w:smallCaps/>
      <w:color w:val="4472C4" w:themeColor="accent1"/>
      <w:spacing w:val="5"/>
    </w:rPr>
  </w:style>
  <w:style w:type="character" w:styleId="SubtleReference">
    <w:name w:val="Subtle Reference"/>
    <w:basedOn w:val="DefaultParagraphFont"/>
    <w:uiPriority w:val="31"/>
    <w:qFormat/>
    <w:rsid w:val="00A143C9"/>
    <w:rPr>
      <w:smallCaps/>
      <w:color w:val="5A5A5A" w:themeColor="text1" w:themeTint="A5"/>
    </w:rPr>
  </w:style>
  <w:style w:type="character" w:styleId="IntenseEmphasis">
    <w:name w:val="Intense Emphasis"/>
    <w:basedOn w:val="DefaultParagraphFont"/>
    <w:uiPriority w:val="21"/>
    <w:qFormat/>
    <w:rsid w:val="00A143C9"/>
    <w:rPr>
      <w:i/>
      <w:iCs/>
      <w:color w:val="4472C4" w:themeColor="accent1"/>
    </w:rPr>
  </w:style>
  <w:style w:type="character" w:styleId="SubtleEmphasis">
    <w:name w:val="Subtle Emphasis"/>
    <w:basedOn w:val="DefaultParagraphFont"/>
    <w:uiPriority w:val="19"/>
    <w:qFormat/>
    <w:rsid w:val="00A143C9"/>
    <w:rPr>
      <w:i/>
      <w:iCs/>
      <w:color w:val="404040" w:themeColor="text1" w:themeTint="BF"/>
    </w:rPr>
  </w:style>
  <w:style w:type="paragraph" w:styleId="IntenseQuote">
    <w:name w:val="Intense Quote"/>
    <w:basedOn w:val="Normal"/>
    <w:next w:val="Normal"/>
    <w:link w:val="IntenseQuoteChar"/>
    <w:uiPriority w:val="30"/>
    <w:qFormat/>
    <w:rsid w:val="009801EE"/>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A143C9"/>
    <w:rPr>
      <w:rFonts w:ascii="Times New Roman" w:hAnsi="Times New Roman"/>
      <w:i/>
      <w:iCs/>
      <w:color w:val="4472C4" w:themeColor="accent1"/>
    </w:rPr>
  </w:style>
  <w:style w:type="paragraph" w:styleId="Quote">
    <w:name w:val="Quote"/>
    <w:basedOn w:val="Normal"/>
    <w:next w:val="Normal"/>
    <w:link w:val="QuoteChar"/>
    <w:uiPriority w:val="29"/>
    <w:qFormat/>
    <w:rsid w:val="009801EE"/>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A143C9"/>
    <w:rPr>
      <w:rFonts w:ascii="Times New Roman" w:hAnsi="Times New Roman"/>
      <w:i/>
      <w:iCs/>
      <w:color w:val="404040" w:themeColor="text1" w:themeTint="BF"/>
    </w:rPr>
  </w:style>
  <w:style w:type="paragraph" w:styleId="ListParagraph">
    <w:name w:val="List Paragraph"/>
    <w:basedOn w:val="Normal"/>
    <w:uiPriority w:val="34"/>
    <w:qFormat/>
    <w:rsid w:val="009801EE"/>
    <w:pPr>
      <w:ind w:left="720"/>
      <w:contextualSpacing/>
    </w:pPr>
  </w:style>
  <w:style w:type="table" w:styleId="MediumList1-Accent1">
    <w:name w:val="Medium List 1 Accent 1"/>
    <w:basedOn w:val="TableNormal"/>
    <w:uiPriority w:val="65"/>
    <w:rsid w:val="00A143C9"/>
    <w:pPr>
      <w:spacing w:after="0" w:line="240" w:lineRule="auto"/>
    </w:pPr>
    <w:rPr>
      <w:color w:val="000000" w:themeColor="text1"/>
    </w:rPr>
    <w:tblPr>
      <w:tblStyleRowBandSize w:val="1"/>
      <w:tblStyleColBandSize w:val="1"/>
      <w:tblBorders>
        <w:top w:val="single" w:sz="8" w:space="0" w:color="4472C4" w:themeColor="accent1"/>
        <w:bottom w:val="single" w:sz="8" w:space="0" w:color="4472C4" w:themeColor="accent1"/>
      </w:tblBorders>
    </w:tblPr>
    <w:tblStylePr w:type="firstRow">
      <w:rPr>
        <w:rFonts w:asciiTheme="majorHAnsi" w:eastAsiaTheme="majorEastAsia" w:hAnsiTheme="majorHAnsi" w:cstheme="majorBidi"/>
      </w:rPr>
      <w:tblPr/>
      <w:tcPr>
        <w:tcBorders>
          <w:top w:val="nil"/>
          <w:bottom w:val="single" w:sz="8" w:space="0" w:color="4472C4" w:themeColor="accent1"/>
        </w:tcBorders>
      </w:tcPr>
    </w:tblStylePr>
    <w:tblStylePr w:type="lastRow">
      <w:rPr>
        <w:b/>
        <w:bCs/>
        <w:color w:val="44546A" w:themeColor="text2"/>
      </w:rPr>
      <w:tblPr/>
      <w:tcPr>
        <w:tcBorders>
          <w:top w:val="single" w:sz="8" w:space="0" w:color="4472C4" w:themeColor="accent1"/>
          <w:bottom w:val="single" w:sz="8" w:space="0" w:color="4472C4" w:themeColor="accent1"/>
        </w:tcBorders>
      </w:tcPr>
    </w:tblStylePr>
    <w:tblStylePr w:type="firstCol">
      <w:rPr>
        <w:b/>
        <w:bCs/>
      </w:rPr>
    </w:tblStylePr>
    <w:tblStylePr w:type="lastCol">
      <w:rPr>
        <w:b/>
        <w:bCs/>
      </w:rPr>
      <w:tblPr/>
      <w:tcPr>
        <w:tcBorders>
          <w:top w:val="single" w:sz="8" w:space="0" w:color="4472C4" w:themeColor="accent1"/>
          <w:bottom w:val="single" w:sz="8" w:space="0" w:color="4472C4" w:themeColor="accent1"/>
        </w:tcBorders>
      </w:tcPr>
    </w:tblStylePr>
    <w:tblStylePr w:type="band1Vert">
      <w:tblPr/>
      <w:tcPr>
        <w:shd w:val="clear" w:color="auto" w:fill="D0DBF0" w:themeFill="accent1" w:themeFillTint="3F"/>
      </w:tcPr>
    </w:tblStylePr>
    <w:tblStylePr w:type="band1Horz">
      <w:tblPr/>
      <w:tcPr>
        <w:shd w:val="clear" w:color="auto" w:fill="D0DBF0" w:themeFill="accent1" w:themeFillTint="3F"/>
      </w:tcPr>
    </w:tblStylePr>
  </w:style>
  <w:style w:type="table" w:styleId="MediumShading2-Accent1">
    <w:name w:val="Medium Shading 2 Accent 1"/>
    <w:basedOn w:val="TableNormal"/>
    <w:uiPriority w:val="64"/>
    <w:rsid w:val="00A143C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1"/>
      </w:tcPr>
    </w:tblStylePr>
    <w:tblStylePr w:type="lastCol">
      <w:rPr>
        <w:b/>
        <w:bCs/>
        <w:color w:val="FFFFFF" w:themeColor="background1"/>
      </w:rPr>
      <w:tblPr/>
      <w:tcPr>
        <w:tcBorders>
          <w:left w:val="nil"/>
          <w:right w:val="nil"/>
          <w:insideH w:val="nil"/>
          <w:insideV w:val="nil"/>
        </w:tcBorders>
        <w:shd w:val="clear" w:color="auto" w:fill="4472C4"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1">
    <w:name w:val="Medium Shading 1 Accent 1"/>
    <w:basedOn w:val="TableNormal"/>
    <w:uiPriority w:val="63"/>
    <w:semiHidden/>
    <w:unhideWhenUsed/>
    <w:rsid w:val="00A143C9"/>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LightGrid-Accent1">
    <w:name w:val="Light Grid Accent 1"/>
    <w:basedOn w:val="TableNormal"/>
    <w:uiPriority w:val="62"/>
    <w:semiHidden/>
    <w:unhideWhenUsed/>
    <w:rsid w:val="00A143C9"/>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styleId="LightList-Accent1">
    <w:name w:val="Light List Accent 1"/>
    <w:basedOn w:val="TableNormal"/>
    <w:uiPriority w:val="61"/>
    <w:semiHidden/>
    <w:unhideWhenUsed/>
    <w:rsid w:val="00A143C9"/>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styleId="LightShading-Accent1">
    <w:name w:val="Light Shading Accent 1"/>
    <w:basedOn w:val="TableNormal"/>
    <w:uiPriority w:val="60"/>
    <w:semiHidden/>
    <w:unhideWhenUsed/>
    <w:rsid w:val="00A143C9"/>
    <w:pPr>
      <w:spacing w:after="0" w:line="240" w:lineRule="auto"/>
    </w:pPr>
    <w:rPr>
      <w:color w:val="2F5496" w:themeColor="accent1" w:themeShade="BF"/>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ColorfulGrid">
    <w:name w:val="Colorful Grid"/>
    <w:basedOn w:val="TableNormal"/>
    <w:uiPriority w:val="73"/>
    <w:semiHidden/>
    <w:unhideWhenUsed/>
    <w:rsid w:val="00A143C9"/>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List">
    <w:name w:val="Colorful List"/>
    <w:basedOn w:val="TableNormal"/>
    <w:uiPriority w:val="72"/>
    <w:semiHidden/>
    <w:unhideWhenUsed/>
    <w:rsid w:val="00A143C9"/>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Shading">
    <w:name w:val="Colorful Shading"/>
    <w:basedOn w:val="TableNormal"/>
    <w:uiPriority w:val="71"/>
    <w:semiHidden/>
    <w:unhideWhenUsed/>
    <w:rsid w:val="00A143C9"/>
    <w:pPr>
      <w:spacing w:after="0" w:line="240" w:lineRule="auto"/>
    </w:pPr>
    <w:rPr>
      <w:color w:val="000000" w:themeColor="text1"/>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semiHidden/>
    <w:unhideWhenUsed/>
    <w:rsid w:val="00A143C9"/>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MediumGrid3">
    <w:name w:val="Medium Grid 3"/>
    <w:basedOn w:val="TableNormal"/>
    <w:uiPriority w:val="69"/>
    <w:semiHidden/>
    <w:unhideWhenUsed/>
    <w:rsid w:val="00A143C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2">
    <w:name w:val="Medium Grid 2"/>
    <w:basedOn w:val="TableNormal"/>
    <w:uiPriority w:val="68"/>
    <w:semiHidden/>
    <w:unhideWhenUsed/>
    <w:rsid w:val="00A143C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1">
    <w:name w:val="Medium Grid 1"/>
    <w:basedOn w:val="TableNormal"/>
    <w:uiPriority w:val="67"/>
    <w:semiHidden/>
    <w:unhideWhenUsed/>
    <w:rsid w:val="00A143C9"/>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List2">
    <w:name w:val="Medium List 2"/>
    <w:basedOn w:val="TableNormal"/>
    <w:uiPriority w:val="66"/>
    <w:semiHidden/>
    <w:unhideWhenUsed/>
    <w:rsid w:val="00A143C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1">
    <w:name w:val="Medium List 1"/>
    <w:basedOn w:val="TableNormal"/>
    <w:uiPriority w:val="65"/>
    <w:semiHidden/>
    <w:unhideWhenUsed/>
    <w:rsid w:val="00A143C9"/>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Shading2">
    <w:name w:val="Medium Shading 2"/>
    <w:basedOn w:val="TableNormal"/>
    <w:uiPriority w:val="64"/>
    <w:semiHidden/>
    <w:unhideWhenUsed/>
    <w:rsid w:val="00A143C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
    <w:name w:val="Medium Shading 1"/>
    <w:basedOn w:val="TableNormal"/>
    <w:uiPriority w:val="63"/>
    <w:semiHidden/>
    <w:unhideWhenUsed/>
    <w:rsid w:val="00A143C9"/>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LightGrid">
    <w:name w:val="Light Grid"/>
    <w:basedOn w:val="TableNormal"/>
    <w:uiPriority w:val="62"/>
    <w:semiHidden/>
    <w:unhideWhenUsed/>
    <w:rsid w:val="00A143C9"/>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List">
    <w:name w:val="Light List"/>
    <w:basedOn w:val="TableNormal"/>
    <w:uiPriority w:val="61"/>
    <w:semiHidden/>
    <w:unhideWhenUsed/>
    <w:rsid w:val="00A143C9"/>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
    <w:name w:val="Light Shading"/>
    <w:basedOn w:val="TableNormal"/>
    <w:uiPriority w:val="60"/>
    <w:semiHidden/>
    <w:unhideWhenUsed/>
    <w:rsid w:val="00A143C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Spacing">
    <w:name w:val="No Spacing"/>
    <w:uiPriority w:val="1"/>
    <w:qFormat/>
    <w:rsid w:val="00A143C9"/>
    <w:pPr>
      <w:spacing w:after="0" w:line="240" w:lineRule="auto"/>
    </w:pPr>
  </w:style>
  <w:style w:type="character" w:styleId="HTMLVariable">
    <w:name w:val="HTML Variable"/>
    <w:basedOn w:val="DefaultParagraphFont"/>
    <w:uiPriority w:val="99"/>
    <w:semiHidden/>
    <w:unhideWhenUsed/>
    <w:rsid w:val="00A143C9"/>
    <w:rPr>
      <w:i/>
      <w:iCs/>
    </w:rPr>
  </w:style>
  <w:style w:type="character" w:styleId="HTMLTypewriter">
    <w:name w:val="HTML Typewriter"/>
    <w:basedOn w:val="DefaultParagraphFont"/>
    <w:uiPriority w:val="99"/>
    <w:semiHidden/>
    <w:unhideWhenUsed/>
    <w:rsid w:val="00A143C9"/>
    <w:rPr>
      <w:rFonts w:ascii="Consolas" w:hAnsi="Consolas"/>
      <w:sz w:val="20"/>
      <w:szCs w:val="20"/>
    </w:rPr>
  </w:style>
  <w:style w:type="character" w:styleId="HTMLSample">
    <w:name w:val="HTML Sample"/>
    <w:basedOn w:val="DefaultParagraphFont"/>
    <w:uiPriority w:val="99"/>
    <w:semiHidden/>
    <w:unhideWhenUsed/>
    <w:rsid w:val="00A143C9"/>
    <w:rPr>
      <w:rFonts w:ascii="Consolas" w:hAnsi="Consolas"/>
      <w:sz w:val="24"/>
      <w:szCs w:val="24"/>
    </w:rPr>
  </w:style>
  <w:style w:type="paragraph" w:styleId="HTMLPreformatted">
    <w:name w:val="HTML Preformatted"/>
    <w:basedOn w:val="Normal"/>
    <w:link w:val="HTMLPreformattedChar"/>
    <w:uiPriority w:val="99"/>
    <w:semiHidden/>
    <w:unhideWhenUsed/>
    <w:rsid w:val="009801EE"/>
    <w:pPr>
      <w:spacing w:after="0"/>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A143C9"/>
    <w:rPr>
      <w:rFonts w:ascii="Consolas" w:hAnsi="Consolas"/>
      <w:sz w:val="20"/>
      <w:szCs w:val="20"/>
    </w:rPr>
  </w:style>
  <w:style w:type="character" w:styleId="HTMLKeyboard">
    <w:name w:val="HTML Keyboard"/>
    <w:basedOn w:val="DefaultParagraphFont"/>
    <w:uiPriority w:val="99"/>
    <w:semiHidden/>
    <w:unhideWhenUsed/>
    <w:rsid w:val="00A143C9"/>
    <w:rPr>
      <w:rFonts w:ascii="Consolas" w:hAnsi="Consolas"/>
      <w:sz w:val="20"/>
      <w:szCs w:val="20"/>
    </w:rPr>
  </w:style>
  <w:style w:type="character" w:styleId="HTMLDefinition">
    <w:name w:val="HTML Definition"/>
    <w:basedOn w:val="DefaultParagraphFont"/>
    <w:uiPriority w:val="99"/>
    <w:semiHidden/>
    <w:unhideWhenUsed/>
    <w:rsid w:val="00A143C9"/>
    <w:rPr>
      <w:i/>
      <w:iCs/>
    </w:rPr>
  </w:style>
  <w:style w:type="character" w:styleId="HTMLCode">
    <w:name w:val="HTML Code"/>
    <w:basedOn w:val="DefaultParagraphFont"/>
    <w:uiPriority w:val="99"/>
    <w:semiHidden/>
    <w:unhideWhenUsed/>
    <w:rsid w:val="00A143C9"/>
    <w:rPr>
      <w:rFonts w:ascii="Consolas" w:hAnsi="Consolas"/>
      <w:sz w:val="20"/>
      <w:szCs w:val="20"/>
    </w:rPr>
  </w:style>
  <w:style w:type="character" w:styleId="HTMLCite">
    <w:name w:val="HTML Cite"/>
    <w:basedOn w:val="DefaultParagraphFont"/>
    <w:uiPriority w:val="99"/>
    <w:semiHidden/>
    <w:unhideWhenUsed/>
    <w:rsid w:val="00A143C9"/>
    <w:rPr>
      <w:i/>
      <w:iCs/>
    </w:rPr>
  </w:style>
  <w:style w:type="paragraph" w:styleId="HTMLAddress">
    <w:name w:val="HTML Address"/>
    <w:basedOn w:val="Normal"/>
    <w:link w:val="HTMLAddressChar"/>
    <w:uiPriority w:val="99"/>
    <w:semiHidden/>
    <w:unhideWhenUsed/>
    <w:rsid w:val="009801EE"/>
    <w:pPr>
      <w:spacing w:after="0"/>
    </w:pPr>
    <w:rPr>
      <w:i/>
      <w:iCs/>
    </w:rPr>
  </w:style>
  <w:style w:type="character" w:customStyle="1" w:styleId="HTMLAddressChar">
    <w:name w:val="HTML Address Char"/>
    <w:basedOn w:val="DefaultParagraphFont"/>
    <w:link w:val="HTMLAddress"/>
    <w:uiPriority w:val="99"/>
    <w:semiHidden/>
    <w:rsid w:val="00A143C9"/>
    <w:rPr>
      <w:rFonts w:ascii="Times New Roman" w:hAnsi="Times New Roman"/>
      <w:i/>
      <w:iCs/>
    </w:rPr>
  </w:style>
  <w:style w:type="character" w:styleId="HTMLAcronym">
    <w:name w:val="HTML Acronym"/>
    <w:basedOn w:val="DefaultParagraphFont"/>
    <w:uiPriority w:val="99"/>
    <w:semiHidden/>
    <w:unhideWhenUsed/>
    <w:rsid w:val="00A143C9"/>
  </w:style>
  <w:style w:type="paragraph" w:styleId="NormalWeb">
    <w:name w:val="Normal (Web)"/>
    <w:basedOn w:val="Normal"/>
    <w:uiPriority w:val="99"/>
    <w:semiHidden/>
    <w:unhideWhenUsed/>
    <w:rsid w:val="009801EE"/>
    <w:rPr>
      <w:rFonts w:cs="Times New Roman"/>
      <w:szCs w:val="24"/>
    </w:rPr>
  </w:style>
  <w:style w:type="paragraph" w:styleId="PlainText">
    <w:name w:val="Plain Text"/>
    <w:basedOn w:val="Normal"/>
    <w:link w:val="PlainTextChar"/>
    <w:uiPriority w:val="99"/>
    <w:semiHidden/>
    <w:unhideWhenUsed/>
    <w:rsid w:val="009801EE"/>
    <w:pPr>
      <w:spacing w:after="0"/>
    </w:pPr>
    <w:rPr>
      <w:rFonts w:ascii="Consolas" w:hAnsi="Consolas"/>
      <w:sz w:val="21"/>
      <w:szCs w:val="21"/>
    </w:rPr>
  </w:style>
  <w:style w:type="character" w:customStyle="1" w:styleId="PlainTextChar">
    <w:name w:val="Plain Text Char"/>
    <w:basedOn w:val="DefaultParagraphFont"/>
    <w:link w:val="PlainText"/>
    <w:uiPriority w:val="99"/>
    <w:semiHidden/>
    <w:rsid w:val="00A143C9"/>
    <w:rPr>
      <w:rFonts w:ascii="Consolas" w:hAnsi="Consolas"/>
      <w:sz w:val="21"/>
      <w:szCs w:val="21"/>
    </w:rPr>
  </w:style>
  <w:style w:type="paragraph" w:styleId="DocumentMap">
    <w:name w:val="Document Map"/>
    <w:basedOn w:val="Normal"/>
    <w:link w:val="DocumentMapChar"/>
    <w:uiPriority w:val="99"/>
    <w:semiHidden/>
    <w:unhideWhenUsed/>
    <w:rsid w:val="009801EE"/>
    <w:pPr>
      <w:spacing w:after="0"/>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A143C9"/>
    <w:rPr>
      <w:rFonts w:ascii="Segoe UI" w:hAnsi="Segoe UI" w:cs="Segoe UI"/>
      <w:sz w:val="16"/>
      <w:szCs w:val="16"/>
    </w:rPr>
  </w:style>
  <w:style w:type="character" w:styleId="Emphasis">
    <w:name w:val="Emphasis"/>
    <w:basedOn w:val="DefaultParagraphFont"/>
    <w:uiPriority w:val="20"/>
    <w:qFormat/>
    <w:rsid w:val="00A143C9"/>
    <w:rPr>
      <w:i/>
      <w:iCs/>
    </w:rPr>
  </w:style>
  <w:style w:type="character" w:styleId="Strong">
    <w:name w:val="Strong"/>
    <w:basedOn w:val="DefaultParagraphFont"/>
    <w:uiPriority w:val="22"/>
    <w:qFormat/>
    <w:rsid w:val="00A143C9"/>
    <w:rPr>
      <w:b/>
      <w:bCs/>
    </w:rPr>
  </w:style>
  <w:style w:type="character" w:styleId="FollowedHyperlink">
    <w:name w:val="FollowedHyperlink"/>
    <w:basedOn w:val="DefaultParagraphFont"/>
    <w:uiPriority w:val="99"/>
    <w:semiHidden/>
    <w:unhideWhenUsed/>
    <w:rsid w:val="00A143C9"/>
    <w:rPr>
      <w:color w:val="954F72" w:themeColor="followedHyperlink"/>
      <w:u w:val="single"/>
    </w:rPr>
  </w:style>
  <w:style w:type="character" w:styleId="Hyperlink">
    <w:name w:val="Hyperlink"/>
    <w:basedOn w:val="DefaultParagraphFont"/>
    <w:uiPriority w:val="99"/>
    <w:unhideWhenUsed/>
    <w:rsid w:val="00A143C9"/>
    <w:rPr>
      <w:color w:val="0563C1" w:themeColor="hyperlink"/>
      <w:u w:val="single"/>
    </w:rPr>
  </w:style>
  <w:style w:type="paragraph" w:styleId="BlockText">
    <w:name w:val="Block Text"/>
    <w:basedOn w:val="Normal"/>
    <w:uiPriority w:val="99"/>
    <w:semiHidden/>
    <w:unhideWhenUsed/>
    <w:rsid w:val="009801EE"/>
    <w:pPr>
      <w:pBdr>
        <w:top w:val="single" w:sz="2" w:space="10" w:color="4472C4" w:themeColor="accent1" w:shadow="1"/>
        <w:left w:val="single" w:sz="2" w:space="10" w:color="4472C4" w:themeColor="accent1" w:shadow="1"/>
        <w:bottom w:val="single" w:sz="2" w:space="10" w:color="4472C4" w:themeColor="accent1" w:shadow="1"/>
        <w:right w:val="single" w:sz="2" w:space="10" w:color="4472C4" w:themeColor="accent1" w:shadow="1"/>
      </w:pBdr>
      <w:ind w:left="1152" w:right="1152"/>
    </w:pPr>
    <w:rPr>
      <w:rFonts w:eastAsiaTheme="minorEastAsia"/>
      <w:i/>
      <w:iCs/>
      <w:color w:val="4472C4" w:themeColor="accent1"/>
    </w:rPr>
  </w:style>
  <w:style w:type="paragraph" w:styleId="BodyTextIndent3">
    <w:name w:val="Body Text Indent 3"/>
    <w:basedOn w:val="Normal"/>
    <w:link w:val="BodyTextIndent3Char"/>
    <w:uiPriority w:val="99"/>
    <w:semiHidden/>
    <w:unhideWhenUsed/>
    <w:rsid w:val="009801EE"/>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A143C9"/>
    <w:rPr>
      <w:rFonts w:ascii="Times New Roman" w:hAnsi="Times New Roman"/>
      <w:sz w:val="16"/>
      <w:szCs w:val="16"/>
    </w:rPr>
  </w:style>
  <w:style w:type="paragraph" w:styleId="BodyTextIndent2">
    <w:name w:val="Body Text Indent 2"/>
    <w:basedOn w:val="Normal"/>
    <w:link w:val="BodyTextIndent2Char"/>
    <w:uiPriority w:val="99"/>
    <w:semiHidden/>
    <w:unhideWhenUsed/>
    <w:rsid w:val="009801EE"/>
    <w:pPr>
      <w:spacing w:after="120"/>
      <w:ind w:left="360"/>
    </w:pPr>
  </w:style>
  <w:style w:type="character" w:customStyle="1" w:styleId="BodyTextIndent2Char">
    <w:name w:val="Body Text Indent 2 Char"/>
    <w:basedOn w:val="DefaultParagraphFont"/>
    <w:link w:val="BodyTextIndent2"/>
    <w:uiPriority w:val="99"/>
    <w:semiHidden/>
    <w:rsid w:val="00A143C9"/>
    <w:rPr>
      <w:rFonts w:ascii="Times New Roman" w:hAnsi="Times New Roman"/>
    </w:rPr>
  </w:style>
  <w:style w:type="paragraph" w:styleId="BodyText3">
    <w:name w:val="Body Text 3"/>
    <w:basedOn w:val="Normal"/>
    <w:link w:val="BodyText3Char"/>
    <w:uiPriority w:val="99"/>
    <w:semiHidden/>
    <w:unhideWhenUsed/>
    <w:rsid w:val="009801EE"/>
    <w:pPr>
      <w:spacing w:after="120"/>
    </w:pPr>
    <w:rPr>
      <w:sz w:val="16"/>
      <w:szCs w:val="16"/>
    </w:rPr>
  </w:style>
  <w:style w:type="character" w:customStyle="1" w:styleId="BodyText3Char">
    <w:name w:val="Body Text 3 Char"/>
    <w:basedOn w:val="DefaultParagraphFont"/>
    <w:link w:val="BodyText3"/>
    <w:uiPriority w:val="99"/>
    <w:semiHidden/>
    <w:rsid w:val="00A143C9"/>
    <w:rPr>
      <w:rFonts w:ascii="Times New Roman" w:hAnsi="Times New Roman"/>
      <w:sz w:val="16"/>
      <w:szCs w:val="16"/>
    </w:rPr>
  </w:style>
  <w:style w:type="paragraph" w:styleId="BodyText2">
    <w:name w:val="Body Text 2"/>
    <w:basedOn w:val="Normal"/>
    <w:link w:val="BodyText2Char"/>
    <w:uiPriority w:val="99"/>
    <w:semiHidden/>
    <w:unhideWhenUsed/>
    <w:rsid w:val="009801EE"/>
    <w:pPr>
      <w:spacing w:after="120"/>
    </w:pPr>
  </w:style>
  <w:style w:type="character" w:customStyle="1" w:styleId="BodyText2Char">
    <w:name w:val="Body Text 2 Char"/>
    <w:basedOn w:val="DefaultParagraphFont"/>
    <w:link w:val="BodyText2"/>
    <w:uiPriority w:val="99"/>
    <w:semiHidden/>
    <w:rsid w:val="00A143C9"/>
    <w:rPr>
      <w:rFonts w:ascii="Times New Roman" w:hAnsi="Times New Roman"/>
    </w:rPr>
  </w:style>
  <w:style w:type="paragraph" w:styleId="NoteHeading">
    <w:name w:val="Note Heading"/>
    <w:basedOn w:val="Normal"/>
    <w:next w:val="Normal"/>
    <w:link w:val="NoteHeadingChar"/>
    <w:uiPriority w:val="99"/>
    <w:semiHidden/>
    <w:unhideWhenUsed/>
    <w:rsid w:val="009801EE"/>
    <w:pPr>
      <w:spacing w:after="0"/>
    </w:pPr>
  </w:style>
  <w:style w:type="character" w:customStyle="1" w:styleId="NoteHeadingChar">
    <w:name w:val="Note Heading Char"/>
    <w:basedOn w:val="DefaultParagraphFont"/>
    <w:link w:val="NoteHeading"/>
    <w:uiPriority w:val="99"/>
    <w:semiHidden/>
    <w:rsid w:val="00A143C9"/>
    <w:rPr>
      <w:rFonts w:ascii="Times New Roman" w:hAnsi="Times New Roman"/>
    </w:rPr>
  </w:style>
  <w:style w:type="paragraph" w:styleId="BodyTextIndent">
    <w:name w:val="Body Text Indent"/>
    <w:basedOn w:val="Normal"/>
    <w:link w:val="BodyTextIndentChar"/>
    <w:uiPriority w:val="99"/>
    <w:semiHidden/>
    <w:unhideWhenUsed/>
    <w:rsid w:val="009801EE"/>
    <w:pPr>
      <w:spacing w:after="120"/>
      <w:ind w:left="360"/>
    </w:pPr>
  </w:style>
  <w:style w:type="character" w:customStyle="1" w:styleId="BodyTextIndentChar">
    <w:name w:val="Body Text Indent Char"/>
    <w:basedOn w:val="DefaultParagraphFont"/>
    <w:link w:val="BodyTextIndent"/>
    <w:uiPriority w:val="99"/>
    <w:semiHidden/>
    <w:rsid w:val="00A143C9"/>
    <w:rPr>
      <w:rFonts w:ascii="Times New Roman" w:hAnsi="Times New Roman"/>
    </w:rPr>
  </w:style>
  <w:style w:type="paragraph" w:styleId="BodyTextFirstIndent2">
    <w:name w:val="Body Text First Indent 2"/>
    <w:basedOn w:val="BodyTextIndent"/>
    <w:link w:val="BodyTextFirstIndent2Char"/>
    <w:uiPriority w:val="99"/>
    <w:semiHidden/>
    <w:unhideWhenUsed/>
    <w:rsid w:val="00A143C9"/>
    <w:pPr>
      <w:spacing w:after="160"/>
      <w:ind w:firstLine="360"/>
    </w:pPr>
  </w:style>
  <w:style w:type="character" w:customStyle="1" w:styleId="BodyTextFirstIndent2Char">
    <w:name w:val="Body Text First Indent 2 Char"/>
    <w:basedOn w:val="BodyTextIndentChar"/>
    <w:link w:val="BodyTextFirstIndent2"/>
    <w:uiPriority w:val="99"/>
    <w:semiHidden/>
    <w:rsid w:val="00A143C9"/>
    <w:rPr>
      <w:rFonts w:ascii="Times New Roman" w:hAnsi="Times New Roman"/>
    </w:rPr>
  </w:style>
  <w:style w:type="paragraph" w:styleId="BodyText">
    <w:name w:val="Body Text"/>
    <w:basedOn w:val="Normal"/>
    <w:link w:val="BodyTextChar"/>
    <w:uiPriority w:val="99"/>
    <w:semiHidden/>
    <w:unhideWhenUsed/>
    <w:rsid w:val="009801EE"/>
    <w:pPr>
      <w:spacing w:after="120"/>
    </w:pPr>
  </w:style>
  <w:style w:type="character" w:customStyle="1" w:styleId="BodyTextChar">
    <w:name w:val="Body Text Char"/>
    <w:basedOn w:val="DefaultParagraphFont"/>
    <w:link w:val="BodyText"/>
    <w:uiPriority w:val="99"/>
    <w:semiHidden/>
    <w:rsid w:val="00A143C9"/>
    <w:rPr>
      <w:rFonts w:ascii="Times New Roman" w:hAnsi="Times New Roman"/>
    </w:rPr>
  </w:style>
  <w:style w:type="paragraph" w:styleId="BodyTextFirstIndent">
    <w:name w:val="Body Text First Indent"/>
    <w:basedOn w:val="BodyText"/>
    <w:link w:val="BodyTextFirstIndentChar"/>
    <w:uiPriority w:val="99"/>
    <w:semiHidden/>
    <w:unhideWhenUsed/>
    <w:rsid w:val="00A143C9"/>
    <w:pPr>
      <w:spacing w:after="160"/>
      <w:ind w:firstLine="360"/>
    </w:pPr>
  </w:style>
  <w:style w:type="character" w:customStyle="1" w:styleId="BodyTextFirstIndentChar">
    <w:name w:val="Body Text First Indent Char"/>
    <w:basedOn w:val="BodyTextChar"/>
    <w:link w:val="BodyTextFirstIndent"/>
    <w:uiPriority w:val="99"/>
    <w:semiHidden/>
    <w:rsid w:val="00A143C9"/>
    <w:rPr>
      <w:rFonts w:ascii="Times New Roman" w:hAnsi="Times New Roman"/>
    </w:rPr>
  </w:style>
  <w:style w:type="paragraph" w:styleId="Date">
    <w:name w:val="Date"/>
    <w:basedOn w:val="Normal"/>
    <w:next w:val="Normal"/>
    <w:link w:val="DateChar"/>
    <w:uiPriority w:val="99"/>
    <w:semiHidden/>
    <w:unhideWhenUsed/>
    <w:rsid w:val="009801EE"/>
  </w:style>
  <w:style w:type="character" w:customStyle="1" w:styleId="DateChar">
    <w:name w:val="Date Char"/>
    <w:basedOn w:val="DefaultParagraphFont"/>
    <w:link w:val="Date"/>
    <w:uiPriority w:val="99"/>
    <w:semiHidden/>
    <w:rsid w:val="00A143C9"/>
    <w:rPr>
      <w:rFonts w:ascii="Times New Roman" w:hAnsi="Times New Roman"/>
    </w:rPr>
  </w:style>
  <w:style w:type="paragraph" w:styleId="Salutation">
    <w:name w:val="Salutation"/>
    <w:basedOn w:val="Normal"/>
    <w:next w:val="Normal"/>
    <w:link w:val="SalutationChar"/>
    <w:uiPriority w:val="99"/>
    <w:semiHidden/>
    <w:unhideWhenUsed/>
    <w:rsid w:val="009801EE"/>
  </w:style>
  <w:style w:type="character" w:customStyle="1" w:styleId="SalutationChar">
    <w:name w:val="Salutation Char"/>
    <w:basedOn w:val="DefaultParagraphFont"/>
    <w:link w:val="Salutation"/>
    <w:uiPriority w:val="99"/>
    <w:semiHidden/>
    <w:rsid w:val="00A143C9"/>
    <w:rPr>
      <w:rFonts w:ascii="Times New Roman" w:hAnsi="Times New Roman"/>
    </w:rPr>
  </w:style>
  <w:style w:type="paragraph" w:styleId="Subtitle">
    <w:name w:val="Subtitle"/>
    <w:basedOn w:val="Normal"/>
    <w:next w:val="Normal"/>
    <w:link w:val="SubtitleChar"/>
    <w:uiPriority w:val="11"/>
    <w:qFormat/>
    <w:rsid w:val="009801EE"/>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A143C9"/>
    <w:rPr>
      <w:rFonts w:ascii="Times New Roman" w:eastAsiaTheme="minorEastAsia" w:hAnsi="Times New Roman"/>
      <w:color w:val="5A5A5A" w:themeColor="text1" w:themeTint="A5"/>
      <w:spacing w:val="15"/>
    </w:rPr>
  </w:style>
  <w:style w:type="paragraph" w:styleId="MessageHeader">
    <w:name w:val="Message Header"/>
    <w:basedOn w:val="Normal"/>
    <w:link w:val="MessageHeaderChar"/>
    <w:uiPriority w:val="99"/>
    <w:semiHidden/>
    <w:unhideWhenUsed/>
    <w:rsid w:val="009801EE"/>
    <w:pPr>
      <w:pBdr>
        <w:top w:val="single" w:sz="6" w:space="1" w:color="auto"/>
        <w:left w:val="single" w:sz="6" w:space="1" w:color="auto"/>
        <w:bottom w:val="single" w:sz="6" w:space="1" w:color="auto"/>
        <w:right w:val="single" w:sz="6" w:space="1" w:color="auto"/>
      </w:pBdr>
      <w:shd w:val="pct20" w:color="auto" w:fill="auto"/>
      <w:spacing w:after="0"/>
      <w:ind w:left="1080" w:hanging="1080"/>
    </w:pPr>
    <w:rPr>
      <w:rFonts w:asciiTheme="majorHAnsi" w:eastAsiaTheme="majorEastAsia" w:hAnsiTheme="majorHAnsi" w:cstheme="majorBidi"/>
      <w:szCs w:val="24"/>
    </w:rPr>
  </w:style>
  <w:style w:type="character" w:customStyle="1" w:styleId="MessageHeaderChar">
    <w:name w:val="Message Header Char"/>
    <w:basedOn w:val="DefaultParagraphFont"/>
    <w:link w:val="MessageHeader"/>
    <w:uiPriority w:val="99"/>
    <w:semiHidden/>
    <w:rsid w:val="00A143C9"/>
    <w:rPr>
      <w:rFonts w:asciiTheme="majorHAnsi" w:eastAsiaTheme="majorEastAsia" w:hAnsiTheme="majorHAnsi" w:cstheme="majorBidi"/>
      <w:sz w:val="24"/>
      <w:szCs w:val="24"/>
      <w:shd w:val="pct20" w:color="auto" w:fill="auto"/>
    </w:rPr>
  </w:style>
  <w:style w:type="paragraph" w:styleId="ListContinue5">
    <w:name w:val="List Continue 5"/>
    <w:basedOn w:val="Normal"/>
    <w:uiPriority w:val="99"/>
    <w:semiHidden/>
    <w:unhideWhenUsed/>
    <w:rsid w:val="009801EE"/>
    <w:pPr>
      <w:spacing w:after="120"/>
      <w:ind w:left="1800"/>
      <w:contextualSpacing/>
    </w:pPr>
  </w:style>
  <w:style w:type="paragraph" w:styleId="ListContinue4">
    <w:name w:val="List Continue 4"/>
    <w:basedOn w:val="Normal"/>
    <w:uiPriority w:val="99"/>
    <w:semiHidden/>
    <w:unhideWhenUsed/>
    <w:rsid w:val="009801EE"/>
    <w:pPr>
      <w:spacing w:after="120"/>
      <w:ind w:left="1440"/>
      <w:contextualSpacing/>
    </w:pPr>
  </w:style>
  <w:style w:type="paragraph" w:styleId="ListContinue3">
    <w:name w:val="List Continue 3"/>
    <w:basedOn w:val="Normal"/>
    <w:uiPriority w:val="99"/>
    <w:semiHidden/>
    <w:unhideWhenUsed/>
    <w:rsid w:val="009801EE"/>
    <w:pPr>
      <w:spacing w:after="120"/>
      <w:ind w:left="1080"/>
      <w:contextualSpacing/>
    </w:pPr>
  </w:style>
  <w:style w:type="paragraph" w:styleId="ListContinue2">
    <w:name w:val="List Continue 2"/>
    <w:basedOn w:val="Normal"/>
    <w:uiPriority w:val="99"/>
    <w:semiHidden/>
    <w:unhideWhenUsed/>
    <w:rsid w:val="009801EE"/>
    <w:pPr>
      <w:spacing w:after="120"/>
      <w:ind w:left="720"/>
      <w:contextualSpacing/>
    </w:pPr>
  </w:style>
  <w:style w:type="paragraph" w:styleId="ListContinue">
    <w:name w:val="List Continue"/>
    <w:basedOn w:val="Normal"/>
    <w:uiPriority w:val="99"/>
    <w:semiHidden/>
    <w:unhideWhenUsed/>
    <w:rsid w:val="009801EE"/>
    <w:pPr>
      <w:spacing w:after="120"/>
      <w:ind w:left="360"/>
      <w:contextualSpacing/>
    </w:pPr>
  </w:style>
  <w:style w:type="paragraph" w:styleId="Signature">
    <w:name w:val="Signature"/>
    <w:basedOn w:val="Normal"/>
    <w:link w:val="SignatureChar"/>
    <w:uiPriority w:val="99"/>
    <w:semiHidden/>
    <w:unhideWhenUsed/>
    <w:rsid w:val="009801EE"/>
    <w:pPr>
      <w:spacing w:after="0"/>
      <w:ind w:left="4320"/>
    </w:pPr>
  </w:style>
  <w:style w:type="character" w:customStyle="1" w:styleId="SignatureChar">
    <w:name w:val="Signature Char"/>
    <w:basedOn w:val="DefaultParagraphFont"/>
    <w:link w:val="Signature"/>
    <w:uiPriority w:val="99"/>
    <w:semiHidden/>
    <w:rsid w:val="00A143C9"/>
    <w:rPr>
      <w:rFonts w:ascii="Times New Roman" w:hAnsi="Times New Roman"/>
    </w:rPr>
  </w:style>
  <w:style w:type="paragraph" w:styleId="Closing">
    <w:name w:val="Closing"/>
    <w:basedOn w:val="Normal"/>
    <w:link w:val="ClosingChar"/>
    <w:uiPriority w:val="99"/>
    <w:semiHidden/>
    <w:unhideWhenUsed/>
    <w:rsid w:val="009801EE"/>
    <w:pPr>
      <w:spacing w:after="0"/>
      <w:ind w:left="4320"/>
    </w:pPr>
  </w:style>
  <w:style w:type="character" w:customStyle="1" w:styleId="ClosingChar">
    <w:name w:val="Closing Char"/>
    <w:basedOn w:val="DefaultParagraphFont"/>
    <w:link w:val="Closing"/>
    <w:uiPriority w:val="99"/>
    <w:semiHidden/>
    <w:rsid w:val="00A143C9"/>
    <w:rPr>
      <w:rFonts w:ascii="Times New Roman" w:hAnsi="Times New Roman"/>
    </w:rPr>
  </w:style>
  <w:style w:type="paragraph" w:styleId="Title">
    <w:name w:val="Title"/>
    <w:basedOn w:val="Normal"/>
    <w:next w:val="Normal"/>
    <w:link w:val="TitleChar"/>
    <w:uiPriority w:val="10"/>
    <w:qFormat/>
    <w:rsid w:val="009801EE"/>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143C9"/>
    <w:rPr>
      <w:rFonts w:asciiTheme="majorHAnsi" w:eastAsiaTheme="majorEastAsia" w:hAnsiTheme="majorHAnsi" w:cstheme="majorBidi"/>
      <w:spacing w:val="-10"/>
      <w:kern w:val="28"/>
      <w:sz w:val="56"/>
      <w:szCs w:val="56"/>
    </w:rPr>
  </w:style>
  <w:style w:type="paragraph" w:styleId="ListNumber5">
    <w:name w:val="List Number 5"/>
    <w:basedOn w:val="Normal"/>
    <w:uiPriority w:val="99"/>
    <w:semiHidden/>
    <w:unhideWhenUsed/>
    <w:rsid w:val="009801EE"/>
    <w:pPr>
      <w:numPr>
        <w:numId w:val="1"/>
      </w:numPr>
      <w:contextualSpacing/>
    </w:pPr>
  </w:style>
  <w:style w:type="paragraph" w:styleId="ListNumber4">
    <w:name w:val="List Number 4"/>
    <w:basedOn w:val="Normal"/>
    <w:uiPriority w:val="99"/>
    <w:semiHidden/>
    <w:unhideWhenUsed/>
    <w:rsid w:val="009801EE"/>
    <w:pPr>
      <w:numPr>
        <w:numId w:val="2"/>
      </w:numPr>
      <w:contextualSpacing/>
    </w:pPr>
  </w:style>
  <w:style w:type="paragraph" w:styleId="ListNumber3">
    <w:name w:val="List Number 3"/>
    <w:basedOn w:val="Normal"/>
    <w:uiPriority w:val="99"/>
    <w:semiHidden/>
    <w:unhideWhenUsed/>
    <w:rsid w:val="009801EE"/>
    <w:pPr>
      <w:numPr>
        <w:numId w:val="3"/>
      </w:numPr>
      <w:contextualSpacing/>
    </w:pPr>
  </w:style>
  <w:style w:type="paragraph" w:styleId="ListNumber2">
    <w:name w:val="List Number 2"/>
    <w:basedOn w:val="Normal"/>
    <w:uiPriority w:val="99"/>
    <w:semiHidden/>
    <w:unhideWhenUsed/>
    <w:rsid w:val="009801EE"/>
    <w:pPr>
      <w:numPr>
        <w:numId w:val="4"/>
      </w:numPr>
      <w:contextualSpacing/>
    </w:pPr>
  </w:style>
  <w:style w:type="paragraph" w:styleId="ListBullet5">
    <w:name w:val="List Bullet 5"/>
    <w:basedOn w:val="Normal"/>
    <w:uiPriority w:val="99"/>
    <w:semiHidden/>
    <w:unhideWhenUsed/>
    <w:rsid w:val="009801EE"/>
    <w:pPr>
      <w:numPr>
        <w:numId w:val="5"/>
      </w:numPr>
      <w:contextualSpacing/>
    </w:pPr>
  </w:style>
  <w:style w:type="paragraph" w:styleId="ListBullet4">
    <w:name w:val="List Bullet 4"/>
    <w:basedOn w:val="Normal"/>
    <w:uiPriority w:val="99"/>
    <w:semiHidden/>
    <w:unhideWhenUsed/>
    <w:rsid w:val="009801EE"/>
    <w:pPr>
      <w:numPr>
        <w:numId w:val="6"/>
      </w:numPr>
      <w:contextualSpacing/>
    </w:pPr>
  </w:style>
  <w:style w:type="paragraph" w:styleId="ListBullet3">
    <w:name w:val="List Bullet 3"/>
    <w:basedOn w:val="Normal"/>
    <w:uiPriority w:val="99"/>
    <w:semiHidden/>
    <w:unhideWhenUsed/>
    <w:rsid w:val="009801EE"/>
    <w:pPr>
      <w:numPr>
        <w:numId w:val="7"/>
      </w:numPr>
      <w:contextualSpacing/>
    </w:pPr>
  </w:style>
  <w:style w:type="paragraph" w:styleId="ListBullet2">
    <w:name w:val="List Bullet 2"/>
    <w:basedOn w:val="Normal"/>
    <w:uiPriority w:val="99"/>
    <w:semiHidden/>
    <w:unhideWhenUsed/>
    <w:rsid w:val="009801EE"/>
    <w:pPr>
      <w:numPr>
        <w:numId w:val="8"/>
      </w:numPr>
      <w:contextualSpacing/>
    </w:pPr>
  </w:style>
  <w:style w:type="paragraph" w:styleId="List5">
    <w:name w:val="List 5"/>
    <w:basedOn w:val="Normal"/>
    <w:uiPriority w:val="99"/>
    <w:semiHidden/>
    <w:unhideWhenUsed/>
    <w:rsid w:val="009801EE"/>
    <w:pPr>
      <w:ind w:left="1800" w:hanging="360"/>
      <w:contextualSpacing/>
    </w:pPr>
  </w:style>
  <w:style w:type="paragraph" w:styleId="List4">
    <w:name w:val="List 4"/>
    <w:basedOn w:val="Normal"/>
    <w:uiPriority w:val="99"/>
    <w:semiHidden/>
    <w:unhideWhenUsed/>
    <w:rsid w:val="009801EE"/>
    <w:pPr>
      <w:ind w:left="1440" w:hanging="360"/>
      <w:contextualSpacing/>
    </w:pPr>
  </w:style>
  <w:style w:type="paragraph" w:styleId="List3">
    <w:name w:val="List 3"/>
    <w:basedOn w:val="Normal"/>
    <w:uiPriority w:val="99"/>
    <w:semiHidden/>
    <w:unhideWhenUsed/>
    <w:rsid w:val="009801EE"/>
    <w:pPr>
      <w:ind w:left="1080" w:hanging="360"/>
      <w:contextualSpacing/>
    </w:pPr>
  </w:style>
  <w:style w:type="paragraph" w:styleId="List2">
    <w:name w:val="List 2"/>
    <w:basedOn w:val="Normal"/>
    <w:uiPriority w:val="99"/>
    <w:semiHidden/>
    <w:unhideWhenUsed/>
    <w:rsid w:val="009801EE"/>
    <w:pPr>
      <w:ind w:left="720" w:hanging="360"/>
      <w:contextualSpacing/>
    </w:pPr>
  </w:style>
  <w:style w:type="paragraph" w:styleId="ListNumber">
    <w:name w:val="List Number"/>
    <w:basedOn w:val="Normal"/>
    <w:uiPriority w:val="99"/>
    <w:semiHidden/>
    <w:unhideWhenUsed/>
    <w:rsid w:val="009801EE"/>
    <w:pPr>
      <w:numPr>
        <w:numId w:val="9"/>
      </w:numPr>
      <w:contextualSpacing/>
    </w:pPr>
  </w:style>
  <w:style w:type="paragraph" w:styleId="ListBullet">
    <w:name w:val="List Bullet"/>
    <w:basedOn w:val="Normal"/>
    <w:uiPriority w:val="99"/>
    <w:semiHidden/>
    <w:unhideWhenUsed/>
    <w:rsid w:val="009801EE"/>
    <w:pPr>
      <w:numPr>
        <w:numId w:val="10"/>
      </w:numPr>
      <w:contextualSpacing/>
    </w:pPr>
  </w:style>
  <w:style w:type="paragraph" w:styleId="List">
    <w:name w:val="List"/>
    <w:basedOn w:val="Normal"/>
    <w:uiPriority w:val="99"/>
    <w:semiHidden/>
    <w:unhideWhenUsed/>
    <w:rsid w:val="009801EE"/>
    <w:pPr>
      <w:ind w:left="360" w:hanging="360"/>
      <w:contextualSpacing/>
    </w:pPr>
  </w:style>
  <w:style w:type="paragraph" w:styleId="TOAHeading">
    <w:name w:val="toa heading"/>
    <w:basedOn w:val="Normal"/>
    <w:next w:val="Normal"/>
    <w:uiPriority w:val="99"/>
    <w:semiHidden/>
    <w:unhideWhenUsed/>
    <w:rsid w:val="009801EE"/>
    <w:pPr>
      <w:spacing w:before="120"/>
    </w:pPr>
    <w:rPr>
      <w:rFonts w:asciiTheme="majorHAnsi" w:eastAsiaTheme="majorEastAsia" w:hAnsiTheme="majorHAnsi" w:cstheme="majorBidi"/>
      <w:b/>
      <w:bCs/>
      <w:szCs w:val="24"/>
    </w:rPr>
  </w:style>
  <w:style w:type="paragraph" w:styleId="MacroText">
    <w:name w:val="macro"/>
    <w:link w:val="MacroTextChar"/>
    <w:uiPriority w:val="99"/>
    <w:semiHidden/>
    <w:unhideWhenUsed/>
    <w:rsid w:val="00A143C9"/>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A143C9"/>
    <w:rPr>
      <w:rFonts w:ascii="Consolas" w:hAnsi="Consolas"/>
      <w:sz w:val="20"/>
      <w:szCs w:val="20"/>
    </w:rPr>
  </w:style>
  <w:style w:type="paragraph" w:styleId="TableofAuthorities">
    <w:name w:val="table of authorities"/>
    <w:basedOn w:val="Normal"/>
    <w:next w:val="Normal"/>
    <w:uiPriority w:val="99"/>
    <w:semiHidden/>
    <w:unhideWhenUsed/>
    <w:rsid w:val="009801EE"/>
    <w:pPr>
      <w:spacing w:after="0"/>
      <w:ind w:left="220" w:hanging="220"/>
    </w:pPr>
  </w:style>
  <w:style w:type="paragraph" w:styleId="EndnoteText">
    <w:name w:val="endnote text"/>
    <w:basedOn w:val="Normal"/>
    <w:link w:val="EndnoteTextChar"/>
    <w:uiPriority w:val="99"/>
    <w:semiHidden/>
    <w:unhideWhenUsed/>
    <w:rsid w:val="009801EE"/>
    <w:pPr>
      <w:spacing w:after="0"/>
    </w:pPr>
    <w:rPr>
      <w:sz w:val="20"/>
      <w:szCs w:val="20"/>
    </w:rPr>
  </w:style>
  <w:style w:type="character" w:customStyle="1" w:styleId="EndnoteTextChar">
    <w:name w:val="Endnote Text Char"/>
    <w:basedOn w:val="DefaultParagraphFont"/>
    <w:link w:val="EndnoteText"/>
    <w:uiPriority w:val="99"/>
    <w:semiHidden/>
    <w:rsid w:val="00A143C9"/>
    <w:rPr>
      <w:rFonts w:ascii="Times New Roman" w:hAnsi="Times New Roman"/>
      <w:sz w:val="20"/>
      <w:szCs w:val="20"/>
    </w:rPr>
  </w:style>
  <w:style w:type="character" w:styleId="EndnoteReference">
    <w:name w:val="endnote reference"/>
    <w:basedOn w:val="DefaultParagraphFont"/>
    <w:uiPriority w:val="99"/>
    <w:semiHidden/>
    <w:unhideWhenUsed/>
    <w:rsid w:val="00A143C9"/>
    <w:rPr>
      <w:vertAlign w:val="superscript"/>
    </w:rPr>
  </w:style>
  <w:style w:type="character" w:styleId="PageNumber">
    <w:name w:val="page number"/>
    <w:basedOn w:val="DefaultParagraphFont"/>
    <w:uiPriority w:val="99"/>
    <w:semiHidden/>
    <w:unhideWhenUsed/>
    <w:rsid w:val="00A143C9"/>
  </w:style>
  <w:style w:type="character" w:styleId="LineNumber">
    <w:name w:val="line number"/>
    <w:basedOn w:val="DefaultParagraphFont"/>
    <w:uiPriority w:val="99"/>
    <w:semiHidden/>
    <w:unhideWhenUsed/>
    <w:rsid w:val="00A143C9"/>
  </w:style>
  <w:style w:type="character" w:styleId="CommentReference">
    <w:name w:val="annotation reference"/>
    <w:basedOn w:val="DefaultParagraphFont"/>
    <w:uiPriority w:val="99"/>
    <w:semiHidden/>
    <w:unhideWhenUsed/>
    <w:rsid w:val="00A143C9"/>
    <w:rPr>
      <w:sz w:val="16"/>
      <w:szCs w:val="16"/>
    </w:rPr>
  </w:style>
  <w:style w:type="character" w:styleId="FootnoteReference">
    <w:name w:val="footnote reference"/>
    <w:basedOn w:val="DefaultParagraphFont"/>
    <w:uiPriority w:val="99"/>
    <w:semiHidden/>
    <w:unhideWhenUsed/>
    <w:rsid w:val="00A143C9"/>
    <w:rPr>
      <w:vertAlign w:val="superscript"/>
    </w:rPr>
  </w:style>
  <w:style w:type="paragraph" w:styleId="EnvelopeReturn">
    <w:name w:val="envelope return"/>
    <w:basedOn w:val="Normal"/>
    <w:uiPriority w:val="99"/>
    <w:semiHidden/>
    <w:unhideWhenUsed/>
    <w:rsid w:val="009801EE"/>
    <w:pPr>
      <w:spacing w:after="0"/>
    </w:pPr>
    <w:rPr>
      <w:rFonts w:asciiTheme="majorHAnsi" w:eastAsiaTheme="majorEastAsia" w:hAnsiTheme="majorHAnsi" w:cstheme="majorBidi"/>
      <w:sz w:val="20"/>
      <w:szCs w:val="20"/>
    </w:rPr>
  </w:style>
  <w:style w:type="paragraph" w:styleId="EnvelopeAddress">
    <w:name w:val="envelope address"/>
    <w:basedOn w:val="Normal"/>
    <w:uiPriority w:val="99"/>
    <w:semiHidden/>
    <w:unhideWhenUsed/>
    <w:rsid w:val="009801EE"/>
    <w:pPr>
      <w:framePr w:w="7920" w:h="1980" w:hRule="exact" w:hSpace="180" w:wrap="auto" w:hAnchor="page" w:xAlign="center" w:yAlign="bottom"/>
      <w:spacing w:after="0"/>
      <w:ind w:left="2880"/>
    </w:pPr>
    <w:rPr>
      <w:rFonts w:asciiTheme="majorHAnsi" w:eastAsiaTheme="majorEastAsia" w:hAnsiTheme="majorHAnsi" w:cstheme="majorBidi"/>
      <w:szCs w:val="24"/>
    </w:rPr>
  </w:style>
  <w:style w:type="paragraph" w:styleId="TableofFigures">
    <w:name w:val="table of figures"/>
    <w:basedOn w:val="Normal"/>
    <w:next w:val="Normal"/>
    <w:uiPriority w:val="99"/>
    <w:semiHidden/>
    <w:unhideWhenUsed/>
    <w:rsid w:val="009801EE"/>
    <w:pPr>
      <w:spacing w:after="0"/>
    </w:pPr>
  </w:style>
  <w:style w:type="paragraph" w:styleId="Caption">
    <w:name w:val="caption"/>
    <w:basedOn w:val="Normal"/>
    <w:next w:val="Normal"/>
    <w:uiPriority w:val="35"/>
    <w:unhideWhenUsed/>
    <w:qFormat/>
    <w:rsid w:val="009801EE"/>
    <w:pPr>
      <w:spacing w:after="200"/>
    </w:pPr>
    <w:rPr>
      <w:i/>
      <w:iCs/>
      <w:color w:val="44546A" w:themeColor="text2"/>
      <w:sz w:val="18"/>
      <w:szCs w:val="18"/>
    </w:rPr>
  </w:style>
  <w:style w:type="paragraph" w:styleId="Index1">
    <w:name w:val="index 1"/>
    <w:basedOn w:val="Normal"/>
    <w:next w:val="Normal"/>
    <w:autoRedefine/>
    <w:uiPriority w:val="99"/>
    <w:semiHidden/>
    <w:unhideWhenUsed/>
    <w:rsid w:val="009801EE"/>
    <w:pPr>
      <w:spacing w:after="0"/>
      <w:ind w:left="220" w:hanging="220"/>
    </w:pPr>
  </w:style>
  <w:style w:type="paragraph" w:styleId="IndexHeading">
    <w:name w:val="index heading"/>
    <w:basedOn w:val="Normal"/>
    <w:next w:val="Index1"/>
    <w:uiPriority w:val="99"/>
    <w:semiHidden/>
    <w:unhideWhenUsed/>
    <w:rsid w:val="009801EE"/>
    <w:rPr>
      <w:rFonts w:asciiTheme="majorHAnsi" w:eastAsiaTheme="majorEastAsia" w:hAnsiTheme="majorHAnsi" w:cstheme="majorBidi"/>
      <w:b/>
      <w:bCs/>
    </w:rPr>
  </w:style>
  <w:style w:type="paragraph" w:styleId="Footer">
    <w:name w:val="footer"/>
    <w:basedOn w:val="Normal"/>
    <w:link w:val="FooterChar"/>
    <w:uiPriority w:val="99"/>
    <w:unhideWhenUsed/>
    <w:rsid w:val="009801EE"/>
    <w:pPr>
      <w:tabs>
        <w:tab w:val="center" w:pos="4680"/>
        <w:tab w:val="right" w:pos="9360"/>
      </w:tabs>
      <w:spacing w:after="0"/>
    </w:pPr>
  </w:style>
  <w:style w:type="character" w:customStyle="1" w:styleId="FooterChar">
    <w:name w:val="Footer Char"/>
    <w:basedOn w:val="DefaultParagraphFont"/>
    <w:link w:val="Footer"/>
    <w:uiPriority w:val="99"/>
    <w:rsid w:val="00A143C9"/>
    <w:rPr>
      <w:rFonts w:ascii="Times New Roman" w:hAnsi="Times New Roman"/>
    </w:rPr>
  </w:style>
  <w:style w:type="paragraph" w:styleId="Header">
    <w:name w:val="header"/>
    <w:basedOn w:val="Normal"/>
    <w:link w:val="HeaderChar"/>
    <w:uiPriority w:val="99"/>
    <w:unhideWhenUsed/>
    <w:rsid w:val="009801EE"/>
    <w:pPr>
      <w:tabs>
        <w:tab w:val="center" w:pos="4680"/>
        <w:tab w:val="right" w:pos="9360"/>
      </w:tabs>
      <w:spacing w:after="0"/>
    </w:pPr>
  </w:style>
  <w:style w:type="character" w:customStyle="1" w:styleId="HeaderChar">
    <w:name w:val="Header Char"/>
    <w:basedOn w:val="DefaultParagraphFont"/>
    <w:link w:val="Header"/>
    <w:uiPriority w:val="99"/>
    <w:rsid w:val="00A143C9"/>
    <w:rPr>
      <w:rFonts w:ascii="Times New Roman" w:hAnsi="Times New Roman"/>
    </w:rPr>
  </w:style>
  <w:style w:type="paragraph" w:styleId="CommentText">
    <w:name w:val="annotation text"/>
    <w:basedOn w:val="Normal"/>
    <w:link w:val="CommentTextChar"/>
    <w:uiPriority w:val="99"/>
    <w:semiHidden/>
    <w:unhideWhenUsed/>
    <w:rsid w:val="009801EE"/>
    <w:rPr>
      <w:sz w:val="20"/>
      <w:szCs w:val="20"/>
    </w:rPr>
  </w:style>
  <w:style w:type="character" w:customStyle="1" w:styleId="CommentTextChar">
    <w:name w:val="Comment Text Char"/>
    <w:basedOn w:val="DefaultParagraphFont"/>
    <w:link w:val="CommentText"/>
    <w:uiPriority w:val="99"/>
    <w:semiHidden/>
    <w:rsid w:val="00A143C9"/>
    <w:rPr>
      <w:rFonts w:ascii="Times New Roman" w:hAnsi="Times New Roman"/>
      <w:sz w:val="20"/>
      <w:szCs w:val="20"/>
    </w:rPr>
  </w:style>
  <w:style w:type="paragraph" w:styleId="FootnoteText">
    <w:name w:val="footnote text"/>
    <w:basedOn w:val="Normal"/>
    <w:link w:val="FootnoteTextChar"/>
    <w:uiPriority w:val="99"/>
    <w:semiHidden/>
    <w:unhideWhenUsed/>
    <w:rsid w:val="009801EE"/>
    <w:pPr>
      <w:spacing w:after="0"/>
    </w:pPr>
    <w:rPr>
      <w:sz w:val="20"/>
      <w:szCs w:val="20"/>
    </w:rPr>
  </w:style>
  <w:style w:type="character" w:customStyle="1" w:styleId="FootnoteTextChar">
    <w:name w:val="Footnote Text Char"/>
    <w:basedOn w:val="DefaultParagraphFont"/>
    <w:link w:val="FootnoteText"/>
    <w:uiPriority w:val="99"/>
    <w:semiHidden/>
    <w:rsid w:val="00A143C9"/>
    <w:rPr>
      <w:rFonts w:ascii="Times New Roman" w:hAnsi="Times New Roman"/>
      <w:sz w:val="20"/>
      <w:szCs w:val="20"/>
    </w:rPr>
  </w:style>
  <w:style w:type="paragraph" w:styleId="NormalIndent">
    <w:name w:val="Normal Indent"/>
    <w:basedOn w:val="Normal"/>
    <w:uiPriority w:val="99"/>
    <w:semiHidden/>
    <w:unhideWhenUsed/>
    <w:rsid w:val="009801EE"/>
    <w:pPr>
      <w:ind w:left="720"/>
    </w:pPr>
  </w:style>
  <w:style w:type="paragraph" w:styleId="TOC9">
    <w:name w:val="toc 9"/>
    <w:basedOn w:val="Normal"/>
    <w:next w:val="Normal"/>
    <w:autoRedefine/>
    <w:uiPriority w:val="39"/>
    <w:semiHidden/>
    <w:unhideWhenUsed/>
    <w:rsid w:val="009801EE"/>
    <w:pPr>
      <w:spacing w:after="100"/>
      <w:ind w:left="1760"/>
    </w:pPr>
  </w:style>
  <w:style w:type="paragraph" w:styleId="TOC8">
    <w:name w:val="toc 8"/>
    <w:basedOn w:val="Normal"/>
    <w:next w:val="Normal"/>
    <w:autoRedefine/>
    <w:uiPriority w:val="39"/>
    <w:semiHidden/>
    <w:unhideWhenUsed/>
    <w:rsid w:val="009801EE"/>
    <w:pPr>
      <w:spacing w:after="100"/>
      <w:ind w:left="1540"/>
    </w:pPr>
  </w:style>
  <w:style w:type="paragraph" w:styleId="TOC7">
    <w:name w:val="toc 7"/>
    <w:basedOn w:val="Normal"/>
    <w:next w:val="Normal"/>
    <w:autoRedefine/>
    <w:uiPriority w:val="39"/>
    <w:semiHidden/>
    <w:unhideWhenUsed/>
    <w:rsid w:val="009801EE"/>
    <w:pPr>
      <w:spacing w:after="100"/>
      <w:ind w:left="1320"/>
    </w:pPr>
  </w:style>
  <w:style w:type="paragraph" w:styleId="TOC6">
    <w:name w:val="toc 6"/>
    <w:basedOn w:val="Normal"/>
    <w:next w:val="Normal"/>
    <w:autoRedefine/>
    <w:uiPriority w:val="39"/>
    <w:semiHidden/>
    <w:unhideWhenUsed/>
    <w:rsid w:val="009801EE"/>
    <w:pPr>
      <w:spacing w:after="100"/>
      <w:ind w:left="1100"/>
    </w:pPr>
  </w:style>
  <w:style w:type="paragraph" w:styleId="TOC5">
    <w:name w:val="toc 5"/>
    <w:basedOn w:val="Normal"/>
    <w:next w:val="Normal"/>
    <w:autoRedefine/>
    <w:uiPriority w:val="39"/>
    <w:semiHidden/>
    <w:unhideWhenUsed/>
    <w:rsid w:val="009801EE"/>
    <w:pPr>
      <w:spacing w:after="100"/>
      <w:ind w:left="880"/>
    </w:pPr>
  </w:style>
  <w:style w:type="paragraph" w:styleId="TOC4">
    <w:name w:val="toc 4"/>
    <w:basedOn w:val="Normal"/>
    <w:next w:val="Normal"/>
    <w:autoRedefine/>
    <w:uiPriority w:val="39"/>
    <w:semiHidden/>
    <w:unhideWhenUsed/>
    <w:rsid w:val="009801EE"/>
    <w:pPr>
      <w:spacing w:after="100"/>
      <w:ind w:left="660"/>
    </w:pPr>
  </w:style>
  <w:style w:type="paragraph" w:styleId="TOC3">
    <w:name w:val="toc 3"/>
    <w:basedOn w:val="Normal"/>
    <w:next w:val="Normal"/>
    <w:autoRedefine/>
    <w:uiPriority w:val="39"/>
    <w:semiHidden/>
    <w:unhideWhenUsed/>
    <w:rsid w:val="009801EE"/>
    <w:pPr>
      <w:spacing w:after="100"/>
      <w:ind w:left="440"/>
    </w:pPr>
  </w:style>
  <w:style w:type="paragraph" w:styleId="TOC2">
    <w:name w:val="toc 2"/>
    <w:basedOn w:val="Normal"/>
    <w:next w:val="Normal"/>
    <w:autoRedefine/>
    <w:uiPriority w:val="39"/>
    <w:semiHidden/>
    <w:unhideWhenUsed/>
    <w:rsid w:val="009801EE"/>
    <w:pPr>
      <w:spacing w:after="100"/>
      <w:ind w:left="220"/>
    </w:pPr>
  </w:style>
  <w:style w:type="paragraph" w:styleId="TOC1">
    <w:name w:val="toc 1"/>
    <w:basedOn w:val="Normal"/>
    <w:next w:val="Normal"/>
    <w:autoRedefine/>
    <w:uiPriority w:val="39"/>
    <w:semiHidden/>
    <w:unhideWhenUsed/>
    <w:rsid w:val="009801EE"/>
    <w:pPr>
      <w:spacing w:after="100"/>
    </w:pPr>
  </w:style>
  <w:style w:type="paragraph" w:styleId="Index9">
    <w:name w:val="index 9"/>
    <w:basedOn w:val="Normal"/>
    <w:next w:val="Normal"/>
    <w:autoRedefine/>
    <w:uiPriority w:val="99"/>
    <w:semiHidden/>
    <w:unhideWhenUsed/>
    <w:rsid w:val="009801EE"/>
    <w:pPr>
      <w:spacing w:after="0"/>
      <w:ind w:left="1980" w:hanging="220"/>
    </w:pPr>
  </w:style>
  <w:style w:type="paragraph" w:styleId="Index8">
    <w:name w:val="index 8"/>
    <w:basedOn w:val="Normal"/>
    <w:next w:val="Normal"/>
    <w:autoRedefine/>
    <w:uiPriority w:val="99"/>
    <w:semiHidden/>
    <w:unhideWhenUsed/>
    <w:rsid w:val="009801EE"/>
    <w:pPr>
      <w:spacing w:after="0"/>
      <w:ind w:left="1760" w:hanging="220"/>
    </w:pPr>
  </w:style>
  <w:style w:type="paragraph" w:styleId="Index7">
    <w:name w:val="index 7"/>
    <w:basedOn w:val="Normal"/>
    <w:next w:val="Normal"/>
    <w:autoRedefine/>
    <w:uiPriority w:val="99"/>
    <w:semiHidden/>
    <w:unhideWhenUsed/>
    <w:rsid w:val="009801EE"/>
    <w:pPr>
      <w:spacing w:after="0"/>
      <w:ind w:left="1540" w:hanging="220"/>
    </w:pPr>
  </w:style>
  <w:style w:type="paragraph" w:styleId="Index6">
    <w:name w:val="index 6"/>
    <w:basedOn w:val="Normal"/>
    <w:next w:val="Normal"/>
    <w:autoRedefine/>
    <w:uiPriority w:val="99"/>
    <w:semiHidden/>
    <w:unhideWhenUsed/>
    <w:rsid w:val="009801EE"/>
    <w:pPr>
      <w:spacing w:after="0"/>
      <w:ind w:left="1320" w:hanging="220"/>
    </w:pPr>
  </w:style>
  <w:style w:type="paragraph" w:styleId="Index5">
    <w:name w:val="index 5"/>
    <w:basedOn w:val="Normal"/>
    <w:next w:val="Normal"/>
    <w:autoRedefine/>
    <w:uiPriority w:val="99"/>
    <w:semiHidden/>
    <w:unhideWhenUsed/>
    <w:rsid w:val="009801EE"/>
    <w:pPr>
      <w:spacing w:after="0"/>
      <w:ind w:left="1100" w:hanging="220"/>
    </w:pPr>
  </w:style>
  <w:style w:type="paragraph" w:styleId="Index4">
    <w:name w:val="index 4"/>
    <w:basedOn w:val="Normal"/>
    <w:next w:val="Normal"/>
    <w:autoRedefine/>
    <w:uiPriority w:val="99"/>
    <w:semiHidden/>
    <w:unhideWhenUsed/>
    <w:rsid w:val="009801EE"/>
    <w:pPr>
      <w:spacing w:after="0"/>
      <w:ind w:left="880" w:hanging="220"/>
    </w:pPr>
  </w:style>
  <w:style w:type="paragraph" w:styleId="Index3">
    <w:name w:val="index 3"/>
    <w:basedOn w:val="Normal"/>
    <w:next w:val="Normal"/>
    <w:autoRedefine/>
    <w:uiPriority w:val="99"/>
    <w:semiHidden/>
    <w:unhideWhenUsed/>
    <w:rsid w:val="009801EE"/>
    <w:pPr>
      <w:spacing w:after="0"/>
      <w:ind w:left="660" w:hanging="220"/>
    </w:pPr>
  </w:style>
  <w:style w:type="paragraph" w:styleId="Index2">
    <w:name w:val="index 2"/>
    <w:basedOn w:val="Normal"/>
    <w:next w:val="Normal"/>
    <w:autoRedefine/>
    <w:uiPriority w:val="99"/>
    <w:semiHidden/>
    <w:unhideWhenUsed/>
    <w:rsid w:val="009801EE"/>
    <w:pPr>
      <w:spacing w:after="0"/>
      <w:ind w:left="440" w:hanging="220"/>
    </w:pPr>
  </w:style>
  <w:style w:type="character" w:customStyle="1" w:styleId="Heading9Char">
    <w:name w:val="Heading 9 Char"/>
    <w:basedOn w:val="DefaultParagraphFont"/>
    <w:link w:val="Heading9"/>
    <w:uiPriority w:val="9"/>
    <w:semiHidden/>
    <w:rsid w:val="00A143C9"/>
    <w:rPr>
      <w:rFonts w:asciiTheme="majorHAnsi" w:eastAsiaTheme="majorEastAsia" w:hAnsiTheme="majorHAnsi" w:cstheme="majorBidi"/>
      <w:i/>
      <w:iCs/>
      <w:color w:val="272727" w:themeColor="text1" w:themeTint="D8"/>
      <w:sz w:val="21"/>
      <w:szCs w:val="21"/>
    </w:rPr>
  </w:style>
  <w:style w:type="character" w:customStyle="1" w:styleId="Heading8Char">
    <w:name w:val="Heading 8 Char"/>
    <w:basedOn w:val="DefaultParagraphFont"/>
    <w:link w:val="Heading8"/>
    <w:uiPriority w:val="9"/>
    <w:semiHidden/>
    <w:rsid w:val="00A143C9"/>
    <w:rPr>
      <w:rFonts w:asciiTheme="majorHAnsi" w:eastAsiaTheme="majorEastAsia" w:hAnsiTheme="majorHAnsi" w:cstheme="majorBidi"/>
      <w:color w:val="272727" w:themeColor="text1" w:themeTint="D8"/>
      <w:sz w:val="21"/>
      <w:szCs w:val="21"/>
    </w:rPr>
  </w:style>
  <w:style w:type="character" w:customStyle="1" w:styleId="Heading7Char">
    <w:name w:val="Heading 7 Char"/>
    <w:basedOn w:val="DefaultParagraphFont"/>
    <w:link w:val="Heading7"/>
    <w:uiPriority w:val="9"/>
    <w:semiHidden/>
    <w:rsid w:val="00A143C9"/>
    <w:rPr>
      <w:rFonts w:asciiTheme="majorHAnsi" w:eastAsiaTheme="majorEastAsia" w:hAnsiTheme="majorHAnsi" w:cstheme="majorBidi"/>
      <w:i/>
      <w:iCs/>
      <w:color w:val="1F3763" w:themeColor="accent1" w:themeShade="7F"/>
    </w:rPr>
  </w:style>
  <w:style w:type="character" w:customStyle="1" w:styleId="Heading6Char">
    <w:name w:val="Heading 6 Char"/>
    <w:basedOn w:val="DefaultParagraphFont"/>
    <w:link w:val="Heading6"/>
    <w:uiPriority w:val="9"/>
    <w:semiHidden/>
    <w:rsid w:val="00A143C9"/>
    <w:rPr>
      <w:rFonts w:asciiTheme="majorHAnsi" w:eastAsiaTheme="majorEastAsia" w:hAnsiTheme="majorHAnsi" w:cstheme="majorBidi"/>
      <w:color w:val="1F3763" w:themeColor="accent1" w:themeShade="7F"/>
    </w:rPr>
  </w:style>
  <w:style w:type="character" w:customStyle="1" w:styleId="Heading5Char">
    <w:name w:val="Heading 5 Char"/>
    <w:basedOn w:val="DefaultParagraphFont"/>
    <w:link w:val="Heading5"/>
    <w:uiPriority w:val="9"/>
    <w:semiHidden/>
    <w:rsid w:val="00A143C9"/>
    <w:rPr>
      <w:rFonts w:asciiTheme="majorHAnsi" w:eastAsiaTheme="majorEastAsia" w:hAnsiTheme="majorHAnsi" w:cstheme="majorBidi"/>
      <w:color w:val="2F5496" w:themeColor="accent1" w:themeShade="BF"/>
    </w:rPr>
  </w:style>
  <w:style w:type="character" w:customStyle="1" w:styleId="Heading4Char">
    <w:name w:val="Heading 4 Char"/>
    <w:basedOn w:val="DefaultParagraphFont"/>
    <w:link w:val="Heading4"/>
    <w:uiPriority w:val="9"/>
    <w:semiHidden/>
    <w:rsid w:val="00A143C9"/>
    <w:rPr>
      <w:rFonts w:asciiTheme="majorHAnsi" w:eastAsiaTheme="majorEastAsia" w:hAnsiTheme="majorHAnsi" w:cstheme="majorBidi"/>
      <w:i/>
      <w:iCs/>
      <w:color w:val="2F5496" w:themeColor="accent1" w:themeShade="BF"/>
    </w:rPr>
  </w:style>
  <w:style w:type="character" w:customStyle="1" w:styleId="Heading3Char">
    <w:name w:val="Heading 3 Char"/>
    <w:basedOn w:val="DefaultParagraphFont"/>
    <w:link w:val="Heading3"/>
    <w:uiPriority w:val="9"/>
    <w:semiHidden/>
    <w:rsid w:val="00A143C9"/>
    <w:rPr>
      <w:rFonts w:asciiTheme="majorHAnsi" w:eastAsiaTheme="majorEastAsia" w:hAnsiTheme="majorHAnsi" w:cstheme="majorBidi"/>
      <w:color w:val="1F3763" w:themeColor="accent1" w:themeShade="7F"/>
      <w:sz w:val="24"/>
      <w:szCs w:val="24"/>
    </w:rPr>
  </w:style>
  <w:style w:type="character" w:customStyle="1" w:styleId="Heading2Char">
    <w:name w:val="Heading 2 Char"/>
    <w:basedOn w:val="DefaultParagraphFont"/>
    <w:link w:val="Heading2"/>
    <w:uiPriority w:val="9"/>
    <w:semiHidden/>
    <w:rsid w:val="00A143C9"/>
    <w:rPr>
      <w:rFonts w:asciiTheme="majorHAnsi" w:eastAsiaTheme="majorEastAsia" w:hAnsiTheme="majorHAnsi" w:cstheme="majorBidi"/>
      <w:color w:val="2F5496" w:themeColor="accent1" w:themeShade="BF"/>
      <w:sz w:val="26"/>
      <w:szCs w:val="26"/>
    </w:rPr>
  </w:style>
  <w:style w:type="character" w:styleId="PlaceholderText">
    <w:name w:val="Placeholder Text"/>
    <w:basedOn w:val="DefaultParagraphFont"/>
    <w:uiPriority w:val="99"/>
    <w:semiHidden/>
    <w:rsid w:val="00A143C9"/>
    <w:rPr>
      <w:color w:val="808080"/>
    </w:rPr>
  </w:style>
  <w:style w:type="paragraph" w:customStyle="1" w:styleId="CitaviBibliographyHeading">
    <w:name w:val="Citavi Bibliography Heading"/>
    <w:basedOn w:val="Normal"/>
    <w:link w:val="CitaviBibliographyHeadingChar"/>
    <w:uiPriority w:val="99"/>
    <w:rsid w:val="009801EE"/>
  </w:style>
  <w:style w:type="character" w:customStyle="1" w:styleId="CitaviBibliographyHeadingChar">
    <w:name w:val="Citavi Bibliography Heading Char"/>
    <w:basedOn w:val="DefaultParagraphFont"/>
    <w:link w:val="CitaviBibliographyHeading"/>
    <w:uiPriority w:val="99"/>
    <w:rsid w:val="003563AE"/>
    <w:rPr>
      <w:rFonts w:ascii="Times New Roman" w:hAnsi="Times New Roman"/>
    </w:rPr>
  </w:style>
  <w:style w:type="paragraph" w:customStyle="1" w:styleId="CitaviBibliographyEntry">
    <w:name w:val="Citavi Bibliography Entry"/>
    <w:basedOn w:val="Normal"/>
    <w:link w:val="CitaviBibliographyEntryChar"/>
    <w:uiPriority w:val="99"/>
    <w:rsid w:val="009801EE"/>
    <w:pPr>
      <w:tabs>
        <w:tab w:val="left" w:pos="227"/>
        <w:tab w:val="left" w:pos="340"/>
      </w:tabs>
      <w:spacing w:after="0"/>
      <w:ind w:left="340" w:hanging="340"/>
    </w:pPr>
  </w:style>
  <w:style w:type="character" w:customStyle="1" w:styleId="CitaviBibliographyEntryChar">
    <w:name w:val="Citavi Bibliography Entry Char"/>
    <w:basedOn w:val="DefaultParagraphFont"/>
    <w:link w:val="CitaviBibliographyEntry"/>
    <w:uiPriority w:val="99"/>
    <w:rsid w:val="003563AE"/>
    <w:rPr>
      <w:rFonts w:ascii="Times New Roman" w:hAnsi="Times New Roman"/>
      <w:sz w:val="24"/>
      <w:lang w:val="en-GB"/>
    </w:rPr>
  </w:style>
  <w:style w:type="paragraph" w:customStyle="1" w:styleId="H1">
    <w:name w:val="H1"/>
    <w:basedOn w:val="Normal"/>
    <w:link w:val="H1Char"/>
    <w:qFormat/>
    <w:rsid w:val="00593935"/>
    <w:pPr>
      <w:spacing w:before="200"/>
    </w:pPr>
    <w:rPr>
      <w:rFonts w:cs="Times New Roman"/>
      <w:b/>
      <w:bCs/>
      <w:szCs w:val="24"/>
    </w:rPr>
  </w:style>
  <w:style w:type="character" w:customStyle="1" w:styleId="H1Char">
    <w:name w:val="H1 Char"/>
    <w:basedOn w:val="DefaultParagraphFont"/>
    <w:link w:val="H1"/>
    <w:rsid w:val="00593935"/>
    <w:rPr>
      <w:rFonts w:ascii="Times New Roman" w:hAnsi="Times New Roman" w:cs="Times New Roman"/>
      <w:b/>
      <w:bCs/>
      <w:sz w:val="24"/>
      <w:szCs w:val="24"/>
    </w:rPr>
  </w:style>
  <w:style w:type="paragraph" w:customStyle="1" w:styleId="H2">
    <w:name w:val="H2"/>
    <w:basedOn w:val="H1"/>
    <w:link w:val="H2Char"/>
    <w:qFormat/>
    <w:rsid w:val="001B6D3F"/>
  </w:style>
  <w:style w:type="paragraph" w:customStyle="1" w:styleId="H3">
    <w:name w:val="H3"/>
    <w:basedOn w:val="H2"/>
    <w:link w:val="H3Char"/>
    <w:qFormat/>
    <w:rsid w:val="00015C13"/>
    <w:rPr>
      <w:i/>
      <w:iCs/>
    </w:rPr>
  </w:style>
  <w:style w:type="character" w:customStyle="1" w:styleId="H2Char">
    <w:name w:val="H2 Char"/>
    <w:basedOn w:val="H1Char"/>
    <w:link w:val="H2"/>
    <w:rsid w:val="001B6D3F"/>
    <w:rPr>
      <w:rFonts w:ascii="Times New Roman" w:hAnsi="Times New Roman" w:cs="Times New Roman"/>
      <w:b/>
      <w:bCs/>
      <w:sz w:val="24"/>
      <w:szCs w:val="24"/>
      <w:u w:val="single"/>
    </w:rPr>
  </w:style>
  <w:style w:type="character" w:customStyle="1" w:styleId="H3Char">
    <w:name w:val="H3 Char"/>
    <w:basedOn w:val="H2Char"/>
    <w:link w:val="H3"/>
    <w:rsid w:val="00015C13"/>
    <w:rPr>
      <w:rFonts w:ascii="Times New Roman" w:hAnsi="Times New Roman" w:cs="Times New Roman"/>
      <w:b/>
      <w:bCs/>
      <w:i/>
      <w:iCs/>
      <w:sz w:val="24"/>
      <w:szCs w:val="24"/>
      <w:u w:val="single"/>
      <w:lang w:val="en-GB"/>
    </w:rPr>
  </w:style>
  <w:style w:type="paragraph" w:customStyle="1" w:styleId="H4">
    <w:name w:val="H4"/>
    <w:basedOn w:val="H2"/>
    <w:qFormat/>
    <w:rsid w:val="00233C8E"/>
    <w:rPr>
      <w:b w:val="0"/>
      <w:i/>
    </w:rPr>
  </w:style>
  <w:style w:type="paragraph" w:customStyle="1" w:styleId="CitaviChapterBibliographyHeading">
    <w:name w:val="Citavi Chapter Bibliography Heading"/>
    <w:basedOn w:val="Heading2"/>
    <w:link w:val="CitaviChapterBibliographyHeadingChar"/>
    <w:uiPriority w:val="99"/>
    <w:rsid w:val="00BB5C1E"/>
  </w:style>
  <w:style w:type="character" w:customStyle="1" w:styleId="CitaviChapterBibliographyHeadingChar">
    <w:name w:val="Citavi Chapter Bibliography Heading Char"/>
    <w:basedOn w:val="DefaultParagraphFont"/>
    <w:link w:val="CitaviChapterBibliographyHeading"/>
    <w:uiPriority w:val="99"/>
    <w:rsid w:val="00BB5C1E"/>
    <w:rPr>
      <w:rFonts w:asciiTheme="majorHAnsi" w:eastAsiaTheme="majorEastAsia" w:hAnsiTheme="majorHAnsi" w:cstheme="majorBidi"/>
      <w:color w:val="2F5496" w:themeColor="accent1" w:themeShade="BF"/>
      <w:sz w:val="26"/>
      <w:szCs w:val="26"/>
      <w:lang w:val="en-GB"/>
    </w:rPr>
  </w:style>
  <w:style w:type="paragraph" w:customStyle="1" w:styleId="CitaviBibliographySubheading1">
    <w:name w:val="Citavi Bibliography Subheading 1"/>
    <w:basedOn w:val="Heading2"/>
    <w:link w:val="CitaviBibliographySubheading1Char"/>
    <w:uiPriority w:val="99"/>
    <w:rsid w:val="00BB5C1E"/>
    <w:pPr>
      <w:outlineLvl w:val="9"/>
    </w:pPr>
  </w:style>
  <w:style w:type="character" w:customStyle="1" w:styleId="CitaviBibliographySubheading1Char">
    <w:name w:val="Citavi Bibliography Subheading 1 Char"/>
    <w:basedOn w:val="DefaultParagraphFont"/>
    <w:link w:val="CitaviBibliographySubheading1"/>
    <w:uiPriority w:val="99"/>
    <w:rsid w:val="00BB5C1E"/>
    <w:rPr>
      <w:rFonts w:asciiTheme="majorHAnsi" w:eastAsiaTheme="majorEastAsia" w:hAnsiTheme="majorHAnsi" w:cstheme="majorBidi"/>
      <w:color w:val="2F5496" w:themeColor="accent1" w:themeShade="BF"/>
      <w:sz w:val="26"/>
      <w:szCs w:val="26"/>
      <w:lang w:val="en-GB"/>
    </w:rPr>
  </w:style>
  <w:style w:type="paragraph" w:customStyle="1" w:styleId="CitaviBibliographySubheading2">
    <w:name w:val="Citavi Bibliography Subheading 2"/>
    <w:basedOn w:val="Heading3"/>
    <w:link w:val="CitaviBibliographySubheading2Char"/>
    <w:uiPriority w:val="99"/>
    <w:rsid w:val="00BB5C1E"/>
    <w:pPr>
      <w:outlineLvl w:val="9"/>
    </w:pPr>
  </w:style>
  <w:style w:type="character" w:customStyle="1" w:styleId="CitaviBibliographySubheading2Char">
    <w:name w:val="Citavi Bibliography Subheading 2 Char"/>
    <w:basedOn w:val="DefaultParagraphFont"/>
    <w:link w:val="CitaviBibliographySubheading2"/>
    <w:uiPriority w:val="99"/>
    <w:rsid w:val="00BB5C1E"/>
    <w:rPr>
      <w:rFonts w:asciiTheme="majorHAnsi" w:eastAsiaTheme="majorEastAsia" w:hAnsiTheme="majorHAnsi" w:cstheme="majorBidi"/>
      <w:color w:val="1F3763" w:themeColor="accent1" w:themeShade="7F"/>
      <w:sz w:val="24"/>
      <w:szCs w:val="24"/>
      <w:lang w:val="en-GB"/>
    </w:rPr>
  </w:style>
  <w:style w:type="paragraph" w:customStyle="1" w:styleId="CitaviBibliographySubheading3">
    <w:name w:val="Citavi Bibliography Subheading 3"/>
    <w:basedOn w:val="Heading4"/>
    <w:link w:val="CitaviBibliographySubheading3Char"/>
    <w:uiPriority w:val="99"/>
    <w:rsid w:val="00BB5C1E"/>
    <w:pPr>
      <w:outlineLvl w:val="9"/>
    </w:pPr>
  </w:style>
  <w:style w:type="character" w:customStyle="1" w:styleId="CitaviBibliographySubheading3Char">
    <w:name w:val="Citavi Bibliography Subheading 3 Char"/>
    <w:basedOn w:val="DefaultParagraphFont"/>
    <w:link w:val="CitaviBibliographySubheading3"/>
    <w:uiPriority w:val="99"/>
    <w:rsid w:val="00BB5C1E"/>
    <w:rPr>
      <w:rFonts w:asciiTheme="majorHAnsi" w:eastAsiaTheme="majorEastAsia" w:hAnsiTheme="majorHAnsi" w:cstheme="majorBidi"/>
      <w:i/>
      <w:iCs/>
      <w:color w:val="2F5496" w:themeColor="accent1" w:themeShade="BF"/>
      <w:lang w:val="en-GB"/>
    </w:rPr>
  </w:style>
  <w:style w:type="paragraph" w:customStyle="1" w:styleId="CitaviBibliographySubheading4">
    <w:name w:val="Citavi Bibliography Subheading 4"/>
    <w:basedOn w:val="Heading5"/>
    <w:link w:val="CitaviBibliographySubheading4Char"/>
    <w:uiPriority w:val="99"/>
    <w:rsid w:val="00BB5C1E"/>
    <w:pPr>
      <w:outlineLvl w:val="9"/>
    </w:pPr>
  </w:style>
  <w:style w:type="character" w:customStyle="1" w:styleId="CitaviBibliographySubheading4Char">
    <w:name w:val="Citavi Bibliography Subheading 4 Char"/>
    <w:basedOn w:val="DefaultParagraphFont"/>
    <w:link w:val="CitaviBibliographySubheading4"/>
    <w:uiPriority w:val="99"/>
    <w:rsid w:val="00BB5C1E"/>
    <w:rPr>
      <w:rFonts w:asciiTheme="majorHAnsi" w:eastAsiaTheme="majorEastAsia" w:hAnsiTheme="majorHAnsi" w:cstheme="majorBidi"/>
      <w:color w:val="2F5496" w:themeColor="accent1" w:themeShade="BF"/>
      <w:lang w:val="en-GB"/>
    </w:rPr>
  </w:style>
  <w:style w:type="paragraph" w:customStyle="1" w:styleId="CitaviBibliographySubheading5">
    <w:name w:val="Citavi Bibliography Subheading 5"/>
    <w:basedOn w:val="Heading6"/>
    <w:link w:val="CitaviBibliographySubheading5Char"/>
    <w:uiPriority w:val="99"/>
    <w:rsid w:val="00BB5C1E"/>
    <w:pPr>
      <w:outlineLvl w:val="9"/>
    </w:pPr>
  </w:style>
  <w:style w:type="character" w:customStyle="1" w:styleId="CitaviBibliographySubheading5Char">
    <w:name w:val="Citavi Bibliography Subheading 5 Char"/>
    <w:basedOn w:val="DefaultParagraphFont"/>
    <w:link w:val="CitaviBibliographySubheading5"/>
    <w:uiPriority w:val="99"/>
    <w:rsid w:val="00BB5C1E"/>
    <w:rPr>
      <w:rFonts w:asciiTheme="majorHAnsi" w:eastAsiaTheme="majorEastAsia" w:hAnsiTheme="majorHAnsi" w:cstheme="majorBidi"/>
      <w:color w:val="1F3763" w:themeColor="accent1" w:themeShade="7F"/>
      <w:lang w:val="en-GB"/>
    </w:rPr>
  </w:style>
  <w:style w:type="paragraph" w:customStyle="1" w:styleId="CitaviBibliographySubheading6">
    <w:name w:val="Citavi Bibliography Subheading 6"/>
    <w:basedOn w:val="Heading7"/>
    <w:link w:val="CitaviBibliographySubheading6Char"/>
    <w:uiPriority w:val="99"/>
    <w:rsid w:val="00BB5C1E"/>
    <w:pPr>
      <w:outlineLvl w:val="9"/>
    </w:pPr>
  </w:style>
  <w:style w:type="character" w:customStyle="1" w:styleId="CitaviBibliographySubheading6Char">
    <w:name w:val="Citavi Bibliography Subheading 6 Char"/>
    <w:basedOn w:val="DefaultParagraphFont"/>
    <w:link w:val="CitaviBibliographySubheading6"/>
    <w:uiPriority w:val="99"/>
    <w:rsid w:val="00BB5C1E"/>
    <w:rPr>
      <w:rFonts w:asciiTheme="majorHAnsi" w:eastAsiaTheme="majorEastAsia" w:hAnsiTheme="majorHAnsi" w:cstheme="majorBidi"/>
      <w:i/>
      <w:iCs/>
      <w:color w:val="1F3763" w:themeColor="accent1" w:themeShade="7F"/>
      <w:lang w:val="en-GB"/>
    </w:rPr>
  </w:style>
  <w:style w:type="paragraph" w:customStyle="1" w:styleId="CitaviBibliographySubheading7">
    <w:name w:val="Citavi Bibliography Subheading 7"/>
    <w:basedOn w:val="Heading8"/>
    <w:link w:val="CitaviBibliographySubheading7Char"/>
    <w:uiPriority w:val="99"/>
    <w:rsid w:val="00BB5C1E"/>
    <w:pPr>
      <w:outlineLvl w:val="9"/>
    </w:pPr>
  </w:style>
  <w:style w:type="character" w:customStyle="1" w:styleId="CitaviBibliographySubheading7Char">
    <w:name w:val="Citavi Bibliography Subheading 7 Char"/>
    <w:basedOn w:val="DefaultParagraphFont"/>
    <w:link w:val="CitaviBibliographySubheading7"/>
    <w:uiPriority w:val="99"/>
    <w:rsid w:val="00BB5C1E"/>
    <w:rPr>
      <w:rFonts w:asciiTheme="majorHAnsi" w:eastAsiaTheme="majorEastAsia" w:hAnsiTheme="majorHAnsi" w:cstheme="majorBidi"/>
      <w:color w:val="272727" w:themeColor="text1" w:themeTint="D8"/>
      <w:sz w:val="21"/>
      <w:szCs w:val="21"/>
      <w:lang w:val="en-GB"/>
    </w:rPr>
  </w:style>
  <w:style w:type="paragraph" w:customStyle="1" w:styleId="CitaviBibliographySubheading8">
    <w:name w:val="Citavi Bibliography Subheading 8"/>
    <w:basedOn w:val="Heading9"/>
    <w:link w:val="CitaviBibliographySubheading8Char"/>
    <w:uiPriority w:val="99"/>
    <w:rsid w:val="00BB5C1E"/>
    <w:pPr>
      <w:outlineLvl w:val="9"/>
    </w:pPr>
  </w:style>
  <w:style w:type="character" w:customStyle="1" w:styleId="CitaviBibliographySubheading8Char">
    <w:name w:val="Citavi Bibliography Subheading 8 Char"/>
    <w:basedOn w:val="DefaultParagraphFont"/>
    <w:link w:val="CitaviBibliographySubheading8"/>
    <w:uiPriority w:val="99"/>
    <w:rsid w:val="00BB5C1E"/>
    <w:rPr>
      <w:rFonts w:asciiTheme="majorHAnsi" w:eastAsiaTheme="majorEastAsia" w:hAnsiTheme="majorHAnsi" w:cstheme="majorBidi"/>
      <w:i/>
      <w:iCs/>
      <w:color w:val="272727" w:themeColor="text1" w:themeTint="D8"/>
      <w:sz w:val="21"/>
      <w:szCs w:val="21"/>
      <w:lang w:val="en-GB"/>
    </w:rPr>
  </w:style>
  <w:style w:type="paragraph" w:styleId="CommentSubject">
    <w:name w:val="annotation subject"/>
    <w:basedOn w:val="CommentText"/>
    <w:next w:val="CommentText"/>
    <w:link w:val="CommentSubjectChar"/>
    <w:uiPriority w:val="99"/>
    <w:semiHidden/>
    <w:unhideWhenUsed/>
    <w:rsid w:val="00D06B0A"/>
    <w:rPr>
      <w:b/>
      <w:bCs/>
    </w:rPr>
  </w:style>
  <w:style w:type="character" w:customStyle="1" w:styleId="CommentSubjectChar">
    <w:name w:val="Comment Subject Char"/>
    <w:basedOn w:val="CommentTextChar"/>
    <w:link w:val="CommentSubject"/>
    <w:uiPriority w:val="99"/>
    <w:semiHidden/>
    <w:rsid w:val="00D06B0A"/>
    <w:rPr>
      <w:rFonts w:ascii="Times New Roman" w:hAnsi="Times New Roman"/>
      <w:b/>
      <w:bCs/>
      <w:sz w:val="20"/>
      <w:szCs w:val="20"/>
      <w:lang w:val="en-GB"/>
    </w:rPr>
  </w:style>
  <w:style w:type="paragraph" w:styleId="BalloonText">
    <w:name w:val="Balloon Text"/>
    <w:basedOn w:val="Normal"/>
    <w:link w:val="BalloonTextChar"/>
    <w:uiPriority w:val="99"/>
    <w:semiHidden/>
    <w:unhideWhenUsed/>
    <w:rsid w:val="009801EE"/>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6B0A"/>
    <w:rPr>
      <w:rFonts w:ascii="Segoe UI" w:hAnsi="Segoe UI" w:cs="Segoe UI"/>
      <w:sz w:val="18"/>
      <w:szCs w:val="18"/>
    </w:rPr>
  </w:style>
  <w:style w:type="paragraph" w:styleId="Revision">
    <w:name w:val="Revision"/>
    <w:hidden/>
    <w:uiPriority w:val="99"/>
    <w:semiHidden/>
    <w:rsid w:val="00D06B0A"/>
    <w:pPr>
      <w:spacing w:after="0" w:line="240" w:lineRule="auto"/>
    </w:pPr>
    <w:rPr>
      <w:rFonts w:ascii="Times New Roman" w:hAnsi="Times New Roman"/>
      <w:lang w:val="en-GB"/>
    </w:rPr>
  </w:style>
  <w:style w:type="table" w:styleId="TableGrid">
    <w:name w:val="Table Grid"/>
    <w:basedOn w:val="TableNormal"/>
    <w:uiPriority w:val="39"/>
    <w:rsid w:val="00ED67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
    <w:name w:val="Grid Table 5 Dark"/>
    <w:basedOn w:val="TableNormal"/>
    <w:uiPriority w:val="50"/>
    <w:rsid w:val="000D1F36"/>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PlainTable5">
    <w:name w:val="Plain Table 5"/>
    <w:basedOn w:val="TableNormal"/>
    <w:uiPriority w:val="45"/>
    <w:rsid w:val="0019096D"/>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1564769">
      <w:bodyDiv w:val="1"/>
      <w:marLeft w:val="0"/>
      <w:marRight w:val="0"/>
      <w:marTop w:val="0"/>
      <w:marBottom w:val="0"/>
      <w:divBdr>
        <w:top w:val="none" w:sz="0" w:space="0" w:color="auto"/>
        <w:left w:val="none" w:sz="0" w:space="0" w:color="auto"/>
        <w:bottom w:val="none" w:sz="0" w:space="0" w:color="auto"/>
        <w:right w:val="none" w:sz="0" w:space="0" w:color="auto"/>
      </w:divBdr>
    </w:div>
    <w:div w:id="735470551">
      <w:bodyDiv w:val="1"/>
      <w:marLeft w:val="0"/>
      <w:marRight w:val="0"/>
      <w:marTop w:val="0"/>
      <w:marBottom w:val="0"/>
      <w:divBdr>
        <w:top w:val="none" w:sz="0" w:space="0" w:color="auto"/>
        <w:left w:val="none" w:sz="0" w:space="0" w:color="auto"/>
        <w:bottom w:val="none" w:sz="0" w:space="0" w:color="auto"/>
        <w:right w:val="none" w:sz="0" w:space="0" w:color="auto"/>
      </w:divBdr>
    </w:div>
    <w:div w:id="842554346">
      <w:bodyDiv w:val="1"/>
      <w:marLeft w:val="0"/>
      <w:marRight w:val="0"/>
      <w:marTop w:val="0"/>
      <w:marBottom w:val="0"/>
      <w:divBdr>
        <w:top w:val="none" w:sz="0" w:space="0" w:color="auto"/>
        <w:left w:val="none" w:sz="0" w:space="0" w:color="auto"/>
        <w:bottom w:val="none" w:sz="0" w:space="0" w:color="auto"/>
        <w:right w:val="none" w:sz="0" w:space="0" w:color="auto"/>
      </w:divBdr>
    </w:div>
    <w:div w:id="981275578">
      <w:bodyDiv w:val="1"/>
      <w:marLeft w:val="0"/>
      <w:marRight w:val="0"/>
      <w:marTop w:val="0"/>
      <w:marBottom w:val="0"/>
      <w:divBdr>
        <w:top w:val="none" w:sz="0" w:space="0" w:color="auto"/>
        <w:left w:val="none" w:sz="0" w:space="0" w:color="auto"/>
        <w:bottom w:val="none" w:sz="0" w:space="0" w:color="auto"/>
        <w:right w:val="none" w:sz="0" w:space="0" w:color="auto"/>
      </w:divBdr>
    </w:div>
    <w:div w:id="1423837980">
      <w:bodyDiv w:val="1"/>
      <w:marLeft w:val="0"/>
      <w:marRight w:val="0"/>
      <w:marTop w:val="0"/>
      <w:marBottom w:val="0"/>
      <w:divBdr>
        <w:top w:val="none" w:sz="0" w:space="0" w:color="auto"/>
        <w:left w:val="none" w:sz="0" w:space="0" w:color="auto"/>
        <w:bottom w:val="none" w:sz="0" w:space="0" w:color="auto"/>
        <w:right w:val="none" w:sz="0" w:space="0" w:color="auto"/>
      </w:divBdr>
    </w:div>
    <w:div w:id="1765414526">
      <w:bodyDiv w:val="1"/>
      <w:marLeft w:val="0"/>
      <w:marRight w:val="0"/>
      <w:marTop w:val="0"/>
      <w:marBottom w:val="0"/>
      <w:divBdr>
        <w:top w:val="none" w:sz="0" w:space="0" w:color="auto"/>
        <w:left w:val="none" w:sz="0" w:space="0" w:color="auto"/>
        <w:bottom w:val="none" w:sz="0" w:space="0" w:color="auto"/>
        <w:right w:val="none" w:sz="0" w:space="0" w:color="auto"/>
      </w:divBdr>
    </w:div>
    <w:div w:id="1964387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4EC663-9EE9-40B3-8CEC-8A17D23235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10126</Words>
  <Characters>57723</Characters>
  <Application>Microsoft Office Word</Application>
  <DocSecurity>0</DocSecurity>
  <Lines>481</Lines>
  <Paragraphs>135</Paragraphs>
  <ScaleCrop>false</ScaleCrop>
  <Company/>
  <LinksUpToDate>false</LinksUpToDate>
  <CharactersWithSpaces>67714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2020-11-21T10:20:00Z</dcterms:created>
  <dcterms:modified xsi:type="dcterms:W3CDTF">2020-11-21T10:20:00Z</dcterms:modified>
</cp:coreProperties>
</file>