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B31934" w14:textId="0064B217" w:rsidR="14DCECE3" w:rsidRPr="002D17F8" w:rsidRDefault="00530E45" w:rsidP="399D00E8">
      <w:pPr>
        <w:spacing w:before="120" w:after="120" w:line="240" w:lineRule="auto"/>
        <w:jc w:val="both"/>
        <w:rPr>
          <w:b/>
          <w:bCs/>
          <w:sz w:val="28"/>
          <w:szCs w:val="28"/>
        </w:rPr>
      </w:pPr>
      <w:r w:rsidRPr="00FA13E3">
        <w:rPr>
          <w:b/>
          <w:bCs/>
          <w:sz w:val="28"/>
          <w:szCs w:val="28"/>
          <w:lang w:val="en-US"/>
        </w:rPr>
        <w:t>S</w:t>
      </w:r>
      <w:proofErr w:type="spellStart"/>
      <w:r w:rsidRPr="00FA13E3">
        <w:rPr>
          <w:b/>
          <w:bCs/>
          <w:sz w:val="28"/>
          <w:szCs w:val="28"/>
        </w:rPr>
        <w:t>ynergistic</w:t>
      </w:r>
      <w:proofErr w:type="spellEnd"/>
      <w:r w:rsidRPr="00FA13E3">
        <w:rPr>
          <w:b/>
          <w:bCs/>
          <w:sz w:val="28"/>
          <w:szCs w:val="28"/>
        </w:rPr>
        <w:t xml:space="preserve"> insights into human health</w:t>
      </w:r>
      <w:r w:rsidRPr="002D17F8">
        <w:rPr>
          <w:b/>
          <w:bCs/>
          <w:sz w:val="28"/>
          <w:szCs w:val="28"/>
        </w:rPr>
        <w:t xml:space="preserve"> </w:t>
      </w:r>
      <w:r w:rsidRPr="008A5185">
        <w:rPr>
          <w:b/>
          <w:bCs/>
          <w:sz w:val="28"/>
          <w:szCs w:val="28"/>
          <w:lang w:val="en-US"/>
        </w:rPr>
        <w:t xml:space="preserve">from </w:t>
      </w:r>
      <w:r w:rsidRPr="00FA13E3">
        <w:rPr>
          <w:b/>
          <w:bCs/>
          <w:sz w:val="28"/>
          <w:szCs w:val="28"/>
        </w:rPr>
        <w:t xml:space="preserve">aptamer- and antibody-based </w:t>
      </w:r>
      <w:proofErr w:type="spellStart"/>
      <w:r w:rsidRPr="00FA13E3">
        <w:rPr>
          <w:b/>
          <w:bCs/>
          <w:sz w:val="28"/>
          <w:szCs w:val="28"/>
        </w:rPr>
        <w:t>proteom</w:t>
      </w:r>
      <w:r w:rsidRPr="00FA13E3">
        <w:rPr>
          <w:b/>
          <w:bCs/>
          <w:sz w:val="28"/>
          <w:szCs w:val="28"/>
          <w:lang w:val="en-US"/>
        </w:rPr>
        <w:t>ic</w:t>
      </w:r>
      <w:proofErr w:type="spellEnd"/>
      <w:r w:rsidRPr="00FA13E3">
        <w:rPr>
          <w:b/>
          <w:bCs/>
          <w:sz w:val="28"/>
          <w:szCs w:val="28"/>
        </w:rPr>
        <w:t xml:space="preserve"> profiling</w:t>
      </w:r>
      <w:r w:rsidR="6F312016" w:rsidRPr="002D17F8">
        <w:rPr>
          <w:b/>
          <w:bCs/>
          <w:sz w:val="28"/>
          <w:szCs w:val="28"/>
        </w:rPr>
        <w:t xml:space="preserve"> </w:t>
      </w:r>
      <w:r w:rsidR="1DF11FDF" w:rsidRPr="002D17F8">
        <w:rPr>
          <w:b/>
          <w:bCs/>
          <w:sz w:val="28"/>
          <w:szCs w:val="28"/>
        </w:rPr>
        <w:t xml:space="preserve"> </w:t>
      </w:r>
    </w:p>
    <w:p w14:paraId="760AC741" w14:textId="3ADDCEF3" w:rsidR="399D00E8" w:rsidRPr="00177CF7" w:rsidRDefault="399D00E8" w:rsidP="399D00E8">
      <w:pPr>
        <w:spacing w:before="120" w:after="120" w:line="240" w:lineRule="auto"/>
        <w:jc w:val="both"/>
      </w:pPr>
    </w:p>
    <w:p w14:paraId="692BCA48" w14:textId="2B831EEF" w:rsidR="00A637C6" w:rsidRPr="00177CF7" w:rsidRDefault="00A637C6" w:rsidP="00DA052E">
      <w:pPr>
        <w:spacing w:before="120" w:after="120" w:line="240" w:lineRule="auto"/>
        <w:jc w:val="both"/>
      </w:pPr>
      <w:r w:rsidRPr="00177CF7">
        <w:t>Maik Pietzner</w:t>
      </w:r>
      <w:r w:rsidRPr="00177CF7">
        <w:rPr>
          <w:vertAlign w:val="superscript"/>
        </w:rPr>
        <w:t>1</w:t>
      </w:r>
      <w:r w:rsidRPr="00177CF7">
        <w:rPr>
          <w:vertAlign w:val="superscript"/>
          <w:lang w:val="en-US"/>
        </w:rPr>
        <w:t>,2</w:t>
      </w:r>
      <w:r w:rsidRPr="00177CF7">
        <w:t>, Eleanor Wheeler</w:t>
      </w:r>
      <w:r w:rsidRPr="00177CF7">
        <w:rPr>
          <w:vertAlign w:val="superscript"/>
        </w:rPr>
        <w:t>1</w:t>
      </w:r>
      <w:r w:rsidRPr="00177CF7">
        <w:t>, Julia Carrasco-Zanini</w:t>
      </w:r>
      <w:r w:rsidRPr="00177CF7">
        <w:rPr>
          <w:vertAlign w:val="superscript"/>
        </w:rPr>
        <w:t>1</w:t>
      </w:r>
      <w:r w:rsidRPr="00177CF7">
        <w:t>, Nicola D. Kerrison</w:t>
      </w:r>
      <w:r w:rsidRPr="00177CF7">
        <w:rPr>
          <w:vertAlign w:val="superscript"/>
        </w:rPr>
        <w:t>1</w:t>
      </w:r>
      <w:r w:rsidRPr="00177CF7">
        <w:t>, Erin Oerton</w:t>
      </w:r>
      <w:r w:rsidRPr="00177CF7">
        <w:rPr>
          <w:vertAlign w:val="superscript"/>
        </w:rPr>
        <w:t>1</w:t>
      </w:r>
      <w:r w:rsidR="00A1062D" w:rsidRPr="00177CF7">
        <w:t xml:space="preserve">, </w:t>
      </w:r>
      <w:r w:rsidR="004C174F" w:rsidRPr="00177CF7">
        <w:t>Mine Koprulu</w:t>
      </w:r>
      <w:r w:rsidR="004C174F" w:rsidRPr="00177CF7">
        <w:rPr>
          <w:vertAlign w:val="superscript"/>
        </w:rPr>
        <w:t>1</w:t>
      </w:r>
      <w:r w:rsidR="004C174F" w:rsidRPr="00177CF7">
        <w:t xml:space="preserve">, </w:t>
      </w:r>
      <w:r w:rsidRPr="00177CF7">
        <w:t>Jian’an Luan</w:t>
      </w:r>
      <w:r w:rsidRPr="00177CF7">
        <w:rPr>
          <w:vertAlign w:val="superscript"/>
        </w:rPr>
        <w:t>1</w:t>
      </w:r>
      <w:r w:rsidRPr="00177CF7">
        <w:t>,</w:t>
      </w:r>
      <w:r w:rsidR="00DA052E" w:rsidRPr="00177CF7">
        <w:t xml:space="preserve"> Aroon</w:t>
      </w:r>
      <w:r w:rsidR="00553D02" w:rsidRPr="00177CF7">
        <w:t xml:space="preserve"> D</w:t>
      </w:r>
      <w:r w:rsidR="0057176C" w:rsidRPr="00177CF7">
        <w:t>. Hingorani</w:t>
      </w:r>
      <w:r w:rsidR="0057176C" w:rsidRPr="00177CF7">
        <w:rPr>
          <w:vertAlign w:val="superscript"/>
        </w:rPr>
        <w:t>3,</w:t>
      </w:r>
      <w:r w:rsidR="00C55E22" w:rsidRPr="00177CF7">
        <w:rPr>
          <w:vertAlign w:val="superscript"/>
        </w:rPr>
        <w:t>4,5</w:t>
      </w:r>
      <w:r w:rsidR="00DA052E" w:rsidRPr="00177CF7">
        <w:t>,</w:t>
      </w:r>
      <w:r w:rsidRPr="00177CF7">
        <w:t xml:space="preserve"> </w:t>
      </w:r>
      <w:r w:rsidR="00A1062D" w:rsidRPr="00177CF7">
        <w:t>Steve A. Williams</w:t>
      </w:r>
      <w:r w:rsidR="00074EDC" w:rsidRPr="00177CF7">
        <w:rPr>
          <w:vertAlign w:val="superscript"/>
        </w:rPr>
        <w:t>6</w:t>
      </w:r>
      <w:r w:rsidR="00A1062D" w:rsidRPr="00177CF7">
        <w:t xml:space="preserve">, </w:t>
      </w:r>
      <w:r w:rsidRPr="00177CF7">
        <w:t>Nicholas J. Wareham</w:t>
      </w:r>
      <w:r w:rsidRPr="00177CF7">
        <w:rPr>
          <w:vertAlign w:val="superscript"/>
        </w:rPr>
        <w:t>1</w:t>
      </w:r>
      <w:r w:rsidR="00DA052E" w:rsidRPr="00177CF7">
        <w:rPr>
          <w:vertAlign w:val="superscript"/>
        </w:rPr>
        <w:t>,</w:t>
      </w:r>
      <w:r w:rsidR="00F47173" w:rsidRPr="00177CF7">
        <w:rPr>
          <w:vertAlign w:val="superscript"/>
        </w:rPr>
        <w:t>5</w:t>
      </w:r>
      <w:r w:rsidRPr="00177CF7">
        <w:t>,</w:t>
      </w:r>
      <w:r w:rsidR="00A1062D" w:rsidRPr="00177CF7">
        <w:t xml:space="preserve"> </w:t>
      </w:r>
      <w:r w:rsidRPr="00177CF7">
        <w:t>Claudia Langenberg</w:t>
      </w:r>
      <w:r w:rsidRPr="00177CF7">
        <w:rPr>
          <w:vertAlign w:val="superscript"/>
        </w:rPr>
        <w:t>1,</w:t>
      </w:r>
      <w:r w:rsidR="00A1062D" w:rsidRPr="00177CF7">
        <w:rPr>
          <w:vertAlign w:val="superscript"/>
        </w:rPr>
        <w:t>2</w:t>
      </w:r>
      <w:r w:rsidRPr="00177CF7">
        <w:rPr>
          <w:vertAlign w:val="superscript"/>
        </w:rPr>
        <w:t>,</w:t>
      </w:r>
      <w:r w:rsidR="00F47173" w:rsidRPr="00177CF7">
        <w:rPr>
          <w:vertAlign w:val="superscript"/>
        </w:rPr>
        <w:t>5</w:t>
      </w:r>
      <w:r w:rsidRPr="00177CF7">
        <w:t xml:space="preserve">* </w:t>
      </w:r>
    </w:p>
    <w:p w14:paraId="0F4A685D" w14:textId="77777777" w:rsidR="00A1062D" w:rsidRPr="00177CF7" w:rsidRDefault="00A1062D" w:rsidP="00A1062D">
      <w:pPr>
        <w:spacing w:before="120" w:after="120" w:line="240" w:lineRule="auto"/>
        <w:jc w:val="both"/>
        <w:rPr>
          <w:b/>
          <w:bCs/>
        </w:rPr>
      </w:pPr>
    </w:p>
    <w:p w14:paraId="73FA443F" w14:textId="66A6279C" w:rsidR="00A637C6" w:rsidRPr="00177CF7" w:rsidRDefault="00A637C6" w:rsidP="00DA052E">
      <w:pPr>
        <w:spacing w:before="120" w:after="120" w:line="240" w:lineRule="auto"/>
        <w:jc w:val="both"/>
      </w:pPr>
      <w:r w:rsidRPr="00177CF7">
        <w:rPr>
          <w:b/>
          <w:bCs/>
        </w:rPr>
        <w:t>Affiliations</w:t>
      </w:r>
    </w:p>
    <w:p w14:paraId="5110F60F" w14:textId="65128CF3" w:rsidR="00A637C6" w:rsidRPr="00177CF7" w:rsidRDefault="00A637C6" w:rsidP="00DA052E">
      <w:pPr>
        <w:spacing w:before="120" w:after="120" w:line="240" w:lineRule="auto"/>
        <w:jc w:val="both"/>
      </w:pPr>
      <w:r w:rsidRPr="00177CF7">
        <w:rPr>
          <w:vertAlign w:val="superscript"/>
          <w:lang w:val="en-US"/>
        </w:rPr>
        <w:t>1</w:t>
      </w:r>
      <w:r w:rsidRPr="00177CF7">
        <w:t>MRC Epidemiology Unit, University of Cambridge, Cambridge, UK</w:t>
      </w:r>
    </w:p>
    <w:p w14:paraId="2A129CCB" w14:textId="7DF7A7D5" w:rsidR="00661924" w:rsidRPr="00177CF7" w:rsidRDefault="00A637C6" w:rsidP="00661924">
      <w:pPr>
        <w:spacing w:before="120" w:after="120" w:line="240" w:lineRule="auto"/>
        <w:jc w:val="both"/>
        <w:rPr>
          <w:rFonts w:eastAsia="Times New Roman"/>
        </w:rPr>
      </w:pPr>
      <w:r w:rsidRPr="00177CF7">
        <w:rPr>
          <w:rFonts w:eastAsia="Times New Roman"/>
          <w:color w:val="000000"/>
          <w:vertAlign w:val="superscript"/>
          <w:lang w:val="en-US"/>
        </w:rPr>
        <w:t>2</w:t>
      </w:r>
      <w:r w:rsidR="00183513" w:rsidRPr="00177CF7">
        <w:rPr>
          <w:rFonts w:eastAsia="Times New Roman"/>
          <w:color w:val="000000"/>
          <w:lang w:val="en-US"/>
        </w:rPr>
        <w:t xml:space="preserve">Computational Medicine, </w:t>
      </w:r>
      <w:r w:rsidR="00F569EE" w:rsidRPr="00177CF7">
        <w:rPr>
          <w:rFonts w:eastAsia="Times New Roman"/>
          <w:color w:val="000000"/>
          <w:lang w:val="en-US"/>
        </w:rPr>
        <w:t>Berlin Institute of Health</w:t>
      </w:r>
      <w:r w:rsidR="005F01AD" w:rsidRPr="00177CF7">
        <w:rPr>
          <w:rFonts w:eastAsia="Times New Roman"/>
          <w:color w:val="000000"/>
          <w:lang w:val="en-US"/>
        </w:rPr>
        <w:t xml:space="preserve"> (BIH)</w:t>
      </w:r>
      <w:r w:rsidR="00F569EE" w:rsidRPr="00177CF7">
        <w:rPr>
          <w:rFonts w:eastAsia="Times New Roman"/>
          <w:color w:val="000000"/>
          <w:lang w:val="en-US"/>
        </w:rPr>
        <w:t xml:space="preserve"> at </w:t>
      </w:r>
      <w:proofErr w:type="spellStart"/>
      <w:r w:rsidR="00F569EE" w:rsidRPr="00177CF7">
        <w:rPr>
          <w:rFonts w:eastAsia="Times New Roman"/>
          <w:color w:val="000000"/>
          <w:lang w:val="en-US"/>
        </w:rPr>
        <w:t>Charité</w:t>
      </w:r>
      <w:proofErr w:type="spellEnd"/>
      <w:r w:rsidR="00F569EE" w:rsidRPr="00177CF7">
        <w:rPr>
          <w:rFonts w:eastAsia="Times New Roman"/>
          <w:color w:val="000000"/>
          <w:lang w:val="en-US"/>
        </w:rPr>
        <w:t xml:space="preserve"> – </w:t>
      </w:r>
      <w:proofErr w:type="spellStart"/>
      <w:r w:rsidR="00F569EE" w:rsidRPr="00177CF7">
        <w:rPr>
          <w:rFonts w:eastAsia="Times New Roman"/>
          <w:color w:val="000000"/>
          <w:lang w:val="en-US"/>
        </w:rPr>
        <w:t>Universitätsmedizin</w:t>
      </w:r>
      <w:proofErr w:type="spellEnd"/>
      <w:r w:rsidR="00F569EE" w:rsidRPr="00177CF7">
        <w:rPr>
          <w:rFonts w:eastAsia="Times New Roman"/>
          <w:color w:val="000000"/>
          <w:lang w:val="en-US"/>
        </w:rPr>
        <w:t xml:space="preserve"> Berlin,</w:t>
      </w:r>
      <w:r w:rsidR="00F81AE6" w:rsidRPr="00177CF7">
        <w:rPr>
          <w:rFonts w:eastAsia="Times New Roman"/>
          <w:color w:val="000000"/>
          <w:lang w:val="en-US"/>
        </w:rPr>
        <w:t xml:space="preserve"> </w:t>
      </w:r>
      <w:r w:rsidR="00F569EE" w:rsidRPr="00177CF7">
        <w:rPr>
          <w:rFonts w:eastAsia="Times New Roman"/>
          <w:color w:val="000000"/>
          <w:lang w:val="en-US"/>
        </w:rPr>
        <w:t>Germany</w:t>
      </w:r>
    </w:p>
    <w:p w14:paraId="6A8D0A52" w14:textId="77777777" w:rsidR="00661924" w:rsidRPr="00177CF7" w:rsidRDefault="00661924" w:rsidP="00661924">
      <w:pPr>
        <w:spacing w:before="120" w:after="120" w:line="240" w:lineRule="auto"/>
        <w:jc w:val="both"/>
        <w:rPr>
          <w:rFonts w:eastAsia="Times New Roman"/>
        </w:rPr>
      </w:pPr>
      <w:r w:rsidRPr="00177CF7">
        <w:rPr>
          <w:rFonts w:eastAsia="Times New Roman"/>
          <w:vertAlign w:val="superscript"/>
        </w:rPr>
        <w:t>3</w:t>
      </w:r>
      <w:r w:rsidRPr="00177CF7">
        <w:rPr>
          <w:rFonts w:eastAsia="Times New Roman"/>
        </w:rPr>
        <w:t>Institute of Cardiovascular Science, Faculty of Population Health, University College London, London WC1E 6BT, UK</w:t>
      </w:r>
    </w:p>
    <w:p w14:paraId="07458421" w14:textId="3FD1DBCF" w:rsidR="00661924" w:rsidRPr="00177CF7" w:rsidRDefault="00661924" w:rsidP="00661924">
      <w:pPr>
        <w:spacing w:before="120" w:after="120" w:line="240" w:lineRule="auto"/>
        <w:jc w:val="both"/>
        <w:rPr>
          <w:rFonts w:eastAsia="Times New Roman"/>
        </w:rPr>
      </w:pPr>
      <w:r w:rsidRPr="00177CF7">
        <w:rPr>
          <w:rFonts w:eastAsia="Times New Roman"/>
          <w:vertAlign w:val="superscript"/>
        </w:rPr>
        <w:t>4</w:t>
      </w:r>
      <w:r w:rsidRPr="00177CF7">
        <w:rPr>
          <w:rFonts w:eastAsia="Times New Roman"/>
        </w:rPr>
        <w:t>UCL BHF Research Accelerator centre</w:t>
      </w:r>
    </w:p>
    <w:p w14:paraId="14490D99" w14:textId="0C3751CE" w:rsidR="00DA052E" w:rsidRPr="00177CF7" w:rsidRDefault="00433057" w:rsidP="00183513">
      <w:pPr>
        <w:spacing w:before="120" w:after="120" w:line="240" w:lineRule="auto"/>
        <w:jc w:val="both"/>
      </w:pPr>
      <w:r w:rsidRPr="00177CF7">
        <w:rPr>
          <w:vertAlign w:val="superscript"/>
          <w:lang w:val="en-US"/>
        </w:rPr>
        <w:t>5</w:t>
      </w:r>
      <w:r w:rsidR="002B5053" w:rsidRPr="00177CF7">
        <w:rPr>
          <w:lang w:val="en-US"/>
        </w:rPr>
        <w:t>Health Data Research UK</w:t>
      </w:r>
      <w:r w:rsidR="002B5053" w:rsidRPr="00177CF7" w:rsidDel="00183513">
        <w:rPr>
          <w:lang w:val="en-US"/>
        </w:rPr>
        <w:t xml:space="preserve"> </w:t>
      </w:r>
    </w:p>
    <w:p w14:paraId="11C1EB81" w14:textId="5B8D6E33" w:rsidR="00DA052E" w:rsidRPr="00177CF7" w:rsidRDefault="002B5053" w:rsidP="00F47173">
      <w:pPr>
        <w:spacing w:before="120" w:after="120" w:line="240" w:lineRule="auto"/>
        <w:jc w:val="both"/>
      </w:pPr>
      <w:r w:rsidRPr="00177CF7">
        <w:rPr>
          <w:vertAlign w:val="superscript"/>
          <w:lang w:val="en-US"/>
        </w:rPr>
        <w:t>6</w:t>
      </w:r>
      <w:proofErr w:type="spellStart"/>
      <w:r w:rsidR="00A637C6" w:rsidRPr="00177CF7">
        <w:t>SomaLogic</w:t>
      </w:r>
      <w:proofErr w:type="spellEnd"/>
      <w:r w:rsidR="00A637C6" w:rsidRPr="00177CF7">
        <w:t>, Inc., Boulder, CO, USA</w:t>
      </w:r>
    </w:p>
    <w:p w14:paraId="2BDDBFEC" w14:textId="77777777" w:rsidR="00DA052E" w:rsidRPr="00177CF7" w:rsidRDefault="00DA052E" w:rsidP="00A1062D">
      <w:pPr>
        <w:spacing w:before="120" w:after="120" w:line="240" w:lineRule="auto"/>
        <w:jc w:val="both"/>
      </w:pPr>
    </w:p>
    <w:p w14:paraId="305DA2C4" w14:textId="6F0909A3" w:rsidR="00A637C6" w:rsidRPr="00177CF7" w:rsidRDefault="00A637C6" w:rsidP="00DA052E">
      <w:pPr>
        <w:spacing w:before="120" w:after="120" w:line="240" w:lineRule="auto"/>
        <w:jc w:val="both"/>
      </w:pPr>
      <w:r w:rsidRPr="00177CF7">
        <w:t>*Correspondence to Dr Claudia Langenberg (</w:t>
      </w:r>
      <w:hyperlink r:id="rId9" w:history="1">
        <w:r w:rsidRPr="00177CF7">
          <w:rPr>
            <w:rStyle w:val="Hyperlink"/>
          </w:rPr>
          <w:t>claudia.langenberg@mrc-epid.cam.ac.uk</w:t>
        </w:r>
      </w:hyperlink>
      <w:r w:rsidRPr="00177CF7">
        <w:t>)</w:t>
      </w:r>
    </w:p>
    <w:p w14:paraId="5B0EEA13" w14:textId="77777777" w:rsidR="00A637C6" w:rsidRPr="00177CF7" w:rsidRDefault="00A637C6" w:rsidP="00DA052E">
      <w:pPr>
        <w:spacing w:before="120" w:after="120" w:line="240" w:lineRule="auto"/>
        <w:jc w:val="both"/>
      </w:pPr>
    </w:p>
    <w:p w14:paraId="1B0BFB6A" w14:textId="77777777" w:rsidR="00DA052E" w:rsidRPr="00177CF7" w:rsidRDefault="00DA052E">
      <w:pPr>
        <w:rPr>
          <w:b/>
        </w:rPr>
      </w:pPr>
      <w:r w:rsidRPr="00177CF7">
        <w:rPr>
          <w:b/>
        </w:rPr>
        <w:br w:type="page"/>
      </w:r>
    </w:p>
    <w:p w14:paraId="00000005" w14:textId="1EB1836F" w:rsidR="00766C45" w:rsidRPr="00177CF7" w:rsidRDefault="00555D20" w:rsidP="007505CA">
      <w:pPr>
        <w:spacing w:before="120" w:after="120" w:line="360" w:lineRule="auto"/>
        <w:jc w:val="both"/>
        <w:rPr>
          <w:b/>
        </w:rPr>
      </w:pPr>
      <w:r w:rsidRPr="00177CF7">
        <w:rPr>
          <w:b/>
        </w:rPr>
        <w:lastRenderedPageBreak/>
        <w:t>ABSTRACT</w:t>
      </w:r>
    </w:p>
    <w:p w14:paraId="228A65BA" w14:textId="4CAE3A4D" w:rsidR="00DA5BFB" w:rsidRPr="00177CF7" w:rsidRDefault="00F34005" w:rsidP="000304AE">
      <w:pPr>
        <w:spacing w:line="360" w:lineRule="auto"/>
        <w:jc w:val="both"/>
        <w:rPr>
          <w:strike/>
        </w:rPr>
      </w:pPr>
      <w:r w:rsidRPr="00177CF7">
        <w:t xml:space="preserve">Affinity-based proteomics has enabled </w:t>
      </w:r>
      <w:r w:rsidR="006B6C87" w:rsidRPr="00177CF7">
        <w:t>scalable quantification</w:t>
      </w:r>
      <w:r w:rsidRPr="00177CF7">
        <w:t xml:space="preserve"> of thousands of protein</w:t>
      </w:r>
      <w:r w:rsidR="006B6C87" w:rsidRPr="00177CF7">
        <w:t xml:space="preserve"> target</w:t>
      </w:r>
      <w:r w:rsidRPr="00177CF7">
        <w:t>s</w:t>
      </w:r>
      <w:r w:rsidR="00BA1102" w:rsidRPr="00177CF7">
        <w:t xml:space="preserve"> </w:t>
      </w:r>
      <w:r w:rsidR="00B370E4" w:rsidRPr="00177CF7">
        <w:t xml:space="preserve">in </w:t>
      </w:r>
      <w:r w:rsidR="002101B9" w:rsidRPr="00177CF7">
        <w:t>blood</w:t>
      </w:r>
      <w:r w:rsidR="00B370E4" w:rsidRPr="00177CF7">
        <w:t xml:space="preserve"> </w:t>
      </w:r>
      <w:r w:rsidR="00BE6797" w:rsidRPr="00177CF7">
        <w:t>enhancing</w:t>
      </w:r>
      <w:r w:rsidR="0005565B" w:rsidRPr="00177CF7">
        <w:t xml:space="preserve"> biomarker </w:t>
      </w:r>
      <w:r w:rsidR="00BA1102" w:rsidRPr="00177CF7">
        <w:t>discovery</w:t>
      </w:r>
      <w:r w:rsidR="00164C75" w:rsidRPr="00177CF7">
        <w:t xml:space="preserve">, </w:t>
      </w:r>
      <w:r w:rsidR="006B6C87" w:rsidRPr="00177CF7">
        <w:t xml:space="preserve">understanding </w:t>
      </w:r>
      <w:r w:rsidR="00164C75" w:rsidRPr="00177CF7">
        <w:t>of disease mechanisms,</w:t>
      </w:r>
      <w:r w:rsidR="0005565B" w:rsidRPr="00177CF7">
        <w:t xml:space="preserve"> and </w:t>
      </w:r>
      <w:r w:rsidR="006B6C87" w:rsidRPr="00177CF7">
        <w:t xml:space="preserve">genetic evaluation of </w:t>
      </w:r>
      <w:r w:rsidR="0005565B" w:rsidRPr="00177CF7">
        <w:t>drug target</w:t>
      </w:r>
      <w:r w:rsidR="006B6C87" w:rsidRPr="00177CF7">
        <w:t>s in humans through</w:t>
      </w:r>
      <w:r w:rsidR="00555D20" w:rsidRPr="00177CF7">
        <w:t xml:space="preserve"> protein quantitative trait loci (</w:t>
      </w:r>
      <w:proofErr w:type="spellStart"/>
      <w:r w:rsidR="00555D20" w:rsidRPr="00177CF7">
        <w:t>pQTL</w:t>
      </w:r>
      <w:r w:rsidR="00DB1F94" w:rsidRPr="00177CF7">
        <w:t>s</w:t>
      </w:r>
      <w:proofErr w:type="spellEnd"/>
      <w:r w:rsidR="00555D20" w:rsidRPr="00177CF7">
        <w:t>)</w:t>
      </w:r>
      <w:r w:rsidR="00E71B1C" w:rsidRPr="00177CF7">
        <w:t>.</w:t>
      </w:r>
      <w:r w:rsidR="009752EF" w:rsidRPr="00177CF7">
        <w:t xml:space="preserve"> </w:t>
      </w:r>
      <w:r w:rsidR="0087590C" w:rsidRPr="00177CF7">
        <w:t>W</w:t>
      </w:r>
      <w:r w:rsidR="000E6FBC" w:rsidRPr="00177CF7">
        <w:t xml:space="preserve">e </w:t>
      </w:r>
      <w:r w:rsidR="0087590C" w:rsidRPr="00177CF7">
        <w:t>integrated two</w:t>
      </w:r>
      <w:r w:rsidR="00E21CC5" w:rsidRPr="00177CF7">
        <w:t xml:space="preserve"> partly complementary techniques </w:t>
      </w:r>
      <w:r w:rsidR="000D20D7" w:rsidRPr="00177CF7">
        <w:t xml:space="preserve">(the aptamer-based </w:t>
      </w:r>
      <w:proofErr w:type="spellStart"/>
      <w:r w:rsidR="000D20D7" w:rsidRPr="00177CF7">
        <w:t>SomaScan</w:t>
      </w:r>
      <w:proofErr w:type="spellEnd"/>
      <w:r w:rsidR="000D20D7" w:rsidRPr="00177CF7">
        <w:t xml:space="preserve">® v4 assay and the antibody-based </w:t>
      </w:r>
      <w:proofErr w:type="spellStart"/>
      <w:r w:rsidR="000D20D7" w:rsidRPr="00177CF7">
        <w:t>Olink</w:t>
      </w:r>
      <w:proofErr w:type="spellEnd"/>
      <w:r w:rsidR="000D20D7" w:rsidRPr="00177CF7">
        <w:t xml:space="preserve"> assays)</w:t>
      </w:r>
      <w:r w:rsidR="00E21CC5" w:rsidRPr="00177CF7">
        <w:t xml:space="preserve"> </w:t>
      </w:r>
      <w:r w:rsidR="00C90E03" w:rsidRPr="00177CF7">
        <w:t xml:space="preserve">to systematically assess </w:t>
      </w:r>
      <w:r w:rsidR="007B7500" w:rsidRPr="00177CF7">
        <w:t xml:space="preserve">phenotypic consequences </w:t>
      </w:r>
      <w:r w:rsidR="003E2235" w:rsidRPr="00177CF7">
        <w:t>of</w:t>
      </w:r>
      <w:r w:rsidR="006B444B" w:rsidRPr="00177CF7">
        <w:t xml:space="preserve"> hundreds of</w:t>
      </w:r>
      <w:r w:rsidR="007B7500" w:rsidRPr="00177CF7">
        <w:t xml:space="preserve"> </w:t>
      </w:r>
      <w:proofErr w:type="spellStart"/>
      <w:r w:rsidR="007B7500" w:rsidRPr="00177CF7">
        <w:t>pQTLs</w:t>
      </w:r>
      <w:proofErr w:type="spellEnd"/>
      <w:r w:rsidR="007B7500" w:rsidRPr="00177CF7">
        <w:t xml:space="preserve"> </w:t>
      </w:r>
      <w:r w:rsidR="004560C1" w:rsidRPr="00177CF7">
        <w:t xml:space="preserve">discovered </w:t>
      </w:r>
      <w:r w:rsidR="002452A7" w:rsidRPr="00177CF7">
        <w:t>for</w:t>
      </w:r>
      <w:r w:rsidR="004560C1" w:rsidRPr="00177CF7">
        <w:t xml:space="preserve"> 871</w:t>
      </w:r>
      <w:r w:rsidR="002452A7" w:rsidRPr="00177CF7">
        <w:t xml:space="preserve"> </w:t>
      </w:r>
      <w:r w:rsidR="004560C1" w:rsidRPr="00177CF7">
        <w:t>proteins targets</w:t>
      </w:r>
      <w:r w:rsidR="00B0336A" w:rsidRPr="00177CF7">
        <w:t xml:space="preserve"> across both platforms</w:t>
      </w:r>
      <w:r w:rsidR="002452A7" w:rsidRPr="00177CF7">
        <w:t>.</w:t>
      </w:r>
      <w:r w:rsidR="00823A59" w:rsidRPr="00177CF7">
        <w:t xml:space="preserve"> </w:t>
      </w:r>
      <w:r w:rsidR="00632760" w:rsidRPr="00177CF7">
        <w:t xml:space="preserve">We </w:t>
      </w:r>
      <w:r w:rsidR="00EA1587" w:rsidRPr="00177CF7">
        <w:t>create</w:t>
      </w:r>
      <w:r w:rsidR="001F3B31" w:rsidRPr="00177CF7">
        <w:t>d</w:t>
      </w:r>
      <w:r w:rsidR="00EA1587" w:rsidRPr="00177CF7">
        <w:t xml:space="preserve"> </w:t>
      </w:r>
      <w:r w:rsidR="00A74F09" w:rsidRPr="00177CF7">
        <w:t xml:space="preserve">a </w:t>
      </w:r>
      <w:r w:rsidR="00204DF3" w:rsidRPr="00177CF7">
        <w:t>genetically anchored</w:t>
      </w:r>
      <w:r w:rsidR="00CF1874" w:rsidRPr="00177CF7">
        <w:t xml:space="preserve"> </w:t>
      </w:r>
      <w:r w:rsidR="00CA65BF" w:rsidRPr="00177CF7">
        <w:t>cross-platform</w:t>
      </w:r>
      <w:r w:rsidR="00A74F09" w:rsidRPr="00177CF7">
        <w:t xml:space="preserve"> proteome-phenome network</w:t>
      </w:r>
      <w:r w:rsidR="00EA5F50" w:rsidRPr="00177CF7">
        <w:t xml:space="preserve"> </w:t>
      </w:r>
      <w:r w:rsidR="00851614" w:rsidRPr="00177CF7">
        <w:t>comprising</w:t>
      </w:r>
      <w:r w:rsidR="00EA5F50" w:rsidRPr="00177CF7">
        <w:t xml:space="preserve"> </w:t>
      </w:r>
      <w:r w:rsidR="00A85A42" w:rsidRPr="00177CF7">
        <w:t>547 protein-phenotype conn</w:t>
      </w:r>
      <w:r w:rsidR="00247925" w:rsidRPr="00177CF7">
        <w:t>ections,</w:t>
      </w:r>
      <w:r w:rsidR="0013217B" w:rsidRPr="00177CF7">
        <w:t xml:space="preserve"> </w:t>
      </w:r>
      <w:r w:rsidR="005D608D" w:rsidRPr="00177CF7">
        <w:t>36.</w:t>
      </w:r>
      <w:r w:rsidR="00C93642" w:rsidRPr="00177CF7">
        <w:t>3</w:t>
      </w:r>
      <w:r w:rsidR="0013217B" w:rsidRPr="00177CF7">
        <w:t xml:space="preserve">% of </w:t>
      </w:r>
      <w:r w:rsidR="00247925" w:rsidRPr="00177CF7">
        <w:t>which were</w:t>
      </w:r>
      <w:r w:rsidR="0013217B" w:rsidRPr="00177CF7">
        <w:t xml:space="preserve"> </w:t>
      </w:r>
      <w:r w:rsidR="000C716E" w:rsidRPr="00177CF7">
        <w:t xml:space="preserve">only seen with one </w:t>
      </w:r>
      <w:r w:rsidR="00DA00DC" w:rsidRPr="00177CF7">
        <w:t>of the two platforms</w:t>
      </w:r>
      <w:r w:rsidR="00F639DE" w:rsidRPr="00177CF7">
        <w:t xml:space="preserve"> </w:t>
      </w:r>
      <w:r w:rsidR="00C64A3C" w:rsidRPr="00177CF7">
        <w:t>suggesting that both techniques capture distinct aspects of protein biology</w:t>
      </w:r>
      <w:r w:rsidR="00247925" w:rsidRPr="00177CF7">
        <w:t>.</w:t>
      </w:r>
      <w:r w:rsidR="00C64A3C" w:rsidRPr="00177CF7">
        <w:t xml:space="preserve"> </w:t>
      </w:r>
      <w:r w:rsidR="008D3093" w:rsidRPr="00177CF7">
        <w:t>We further highlight</w:t>
      </w:r>
      <w:r w:rsidR="000B3E1C" w:rsidRPr="00177CF7">
        <w:t xml:space="preserve"> </w:t>
      </w:r>
      <w:r w:rsidR="00C9277C" w:rsidRPr="00177CF7">
        <w:t>discordance of genetically predicted effect directions</w:t>
      </w:r>
      <w:r w:rsidR="008D3093" w:rsidRPr="00177CF7">
        <w:t xml:space="preserve"> between assays</w:t>
      </w:r>
      <w:r w:rsidR="00C9277C" w:rsidRPr="00177CF7">
        <w:t xml:space="preserve">, such as for PILRA and </w:t>
      </w:r>
      <w:r w:rsidR="00BE0A1C" w:rsidRPr="00177CF7">
        <w:t>A</w:t>
      </w:r>
      <w:r w:rsidR="00C9277C" w:rsidRPr="00177CF7">
        <w:t>lzheimer’s disease</w:t>
      </w:r>
      <w:r w:rsidR="00841649" w:rsidRPr="00177CF7">
        <w:t>.</w:t>
      </w:r>
      <w:r w:rsidR="007C6413" w:rsidRPr="00177CF7">
        <w:t xml:space="preserve"> </w:t>
      </w:r>
      <w:r w:rsidR="00247925" w:rsidRPr="00177CF7">
        <w:t>Our results</w:t>
      </w:r>
      <w:r w:rsidR="00A74F09" w:rsidRPr="00177CF7">
        <w:t xml:space="preserve"> </w:t>
      </w:r>
      <w:r w:rsidR="000E798A" w:rsidRPr="00177CF7">
        <w:t>highligh</w:t>
      </w:r>
      <w:r w:rsidR="00247925" w:rsidRPr="00177CF7">
        <w:t>t</w:t>
      </w:r>
      <w:r w:rsidR="000E798A" w:rsidRPr="00177CF7">
        <w:t xml:space="preserve"> the </w:t>
      </w:r>
      <w:r w:rsidR="00DA00DC" w:rsidRPr="00177CF7">
        <w:t>synergistic</w:t>
      </w:r>
      <w:r w:rsidR="00D14EBF" w:rsidRPr="00177CF7">
        <w:t xml:space="preserve"> </w:t>
      </w:r>
      <w:r w:rsidR="000E798A" w:rsidRPr="00177CF7">
        <w:t xml:space="preserve">nature of </w:t>
      </w:r>
      <w:r w:rsidR="00644FA1" w:rsidRPr="00177CF7">
        <w:t xml:space="preserve">these </w:t>
      </w:r>
      <w:r w:rsidR="000E798A" w:rsidRPr="00177CF7">
        <w:t>techn</w:t>
      </w:r>
      <w:r w:rsidR="00644FA1" w:rsidRPr="00177CF7">
        <w:t>ologies</w:t>
      </w:r>
      <w:r w:rsidR="000E798A" w:rsidRPr="00177CF7">
        <w:t xml:space="preserve"> </w:t>
      </w:r>
      <w:r w:rsidR="00DA4616" w:rsidRPr="00177CF7">
        <w:t xml:space="preserve">to </w:t>
      </w:r>
      <w:r w:rsidR="420C4AF2" w:rsidRPr="00177CF7">
        <w:t xml:space="preserve">better understand and </w:t>
      </w:r>
      <w:r w:rsidR="00DA4616" w:rsidRPr="00177CF7">
        <w:t>identify novel disease mechanisms</w:t>
      </w:r>
      <w:r w:rsidR="0012606F" w:rsidRPr="00177CF7">
        <w:t xml:space="preserve"> and provide a benchmark for future cross-platform discoveries</w:t>
      </w:r>
      <w:r w:rsidR="008F42F6" w:rsidRPr="00177CF7">
        <w:t xml:space="preserve">. </w:t>
      </w:r>
    </w:p>
    <w:p w14:paraId="00000008" w14:textId="77777777" w:rsidR="00766C45" w:rsidRPr="00177CF7" w:rsidRDefault="00555D20">
      <w:pPr>
        <w:spacing w:line="360" w:lineRule="auto"/>
        <w:jc w:val="both"/>
        <w:rPr>
          <w:b/>
        </w:rPr>
      </w:pPr>
      <w:r w:rsidRPr="00177CF7">
        <w:br w:type="page"/>
      </w:r>
    </w:p>
    <w:p w14:paraId="00000009" w14:textId="77777777" w:rsidR="00766C45" w:rsidRPr="00177CF7" w:rsidRDefault="00555D20">
      <w:pPr>
        <w:spacing w:line="360" w:lineRule="auto"/>
        <w:jc w:val="both"/>
        <w:rPr>
          <w:b/>
        </w:rPr>
      </w:pPr>
      <w:r w:rsidRPr="00177CF7">
        <w:rPr>
          <w:b/>
        </w:rPr>
        <w:lastRenderedPageBreak/>
        <w:t>INTRODUCTION</w:t>
      </w:r>
    </w:p>
    <w:p w14:paraId="5D864806" w14:textId="5A920D20" w:rsidR="00692CD9" w:rsidRPr="00177CF7" w:rsidRDefault="00555D20">
      <w:pPr>
        <w:spacing w:line="360" w:lineRule="auto"/>
        <w:jc w:val="both"/>
      </w:pPr>
      <w:r w:rsidRPr="00177CF7">
        <w:t>Proteins are the essential functional units of human metabolism</w:t>
      </w:r>
      <w:r w:rsidR="00CF3151" w:rsidRPr="00177CF7">
        <w:t xml:space="preserve"> that translate genomic information and</w:t>
      </w:r>
      <w:r w:rsidRPr="00177CF7">
        <w:t xml:space="preserve"> enabl</w:t>
      </w:r>
      <w:r w:rsidR="00CF3151" w:rsidRPr="00177CF7">
        <w:t>e</w:t>
      </w:r>
      <w:r w:rsidRPr="00177CF7">
        <w:t xml:space="preserve"> growth, development, and homeostasis. Naturally</w:t>
      </w:r>
      <w:r w:rsidR="00C47530" w:rsidRPr="00177CF7">
        <w:t xml:space="preserve"> </w:t>
      </w:r>
      <w:r w:rsidRPr="00177CF7">
        <w:t xml:space="preserve">occurring sequence variation in the human genome, either in close </w:t>
      </w:r>
      <w:r w:rsidR="00CF3151" w:rsidRPr="00177CF7">
        <w:t xml:space="preserve">physical </w:t>
      </w:r>
      <w:r w:rsidRPr="00177CF7">
        <w:t>proximity to the protein-encoding gene (</w:t>
      </w:r>
      <w:r w:rsidRPr="00177CF7">
        <w:rPr>
          <w:i/>
        </w:rPr>
        <w:t>cis</w:t>
      </w:r>
      <w:r w:rsidRPr="00177CF7">
        <w:t>) or anywhere else in the genome (</w:t>
      </w:r>
      <w:r w:rsidRPr="00177CF7">
        <w:rPr>
          <w:i/>
        </w:rPr>
        <w:t>trans</w:t>
      </w:r>
      <w:r w:rsidRPr="00177CF7">
        <w:t xml:space="preserve">), </w:t>
      </w:r>
      <w:r w:rsidR="00CF3151" w:rsidRPr="00177CF7">
        <w:t>has</w:t>
      </w:r>
      <w:r w:rsidRPr="00177CF7">
        <w:t xml:space="preserve"> wide</w:t>
      </w:r>
      <w:r w:rsidR="00CF3151" w:rsidRPr="00177CF7">
        <w:t>-ranging</w:t>
      </w:r>
      <w:r w:rsidRPr="00177CF7">
        <w:t xml:space="preserve"> effects on proteins, including, but not limited to, expression, structure</w:t>
      </w:r>
      <w:r w:rsidR="007D6EF6" w:rsidRPr="00177CF7">
        <w:t>, and</w:t>
      </w:r>
      <w:r w:rsidRPr="00177CF7">
        <w:t xml:space="preserve"> </w:t>
      </w:r>
      <w:r w:rsidR="008D58B4" w:rsidRPr="00177CF7">
        <w:t>function</w:t>
      </w:r>
      <w:r w:rsidRPr="00177CF7">
        <w:t xml:space="preserve">, with </w:t>
      </w:r>
      <w:r w:rsidR="00406812" w:rsidRPr="00177CF7">
        <w:t>important implications for human health</w:t>
      </w:r>
      <w:r w:rsidR="009663BE" w:rsidRPr="00177CF7">
        <w:fldChar w:fldCharType="begin" w:fldLock="1"/>
      </w:r>
      <w:r w:rsidR="00633049" w:rsidRPr="00177CF7">
        <w:instrText>ADDIN CSL_CITATION {"citationItems":[{"id":"ITEM-1","itemData":{"DOI":"10.1038/s41576-020-0268-2","ISSN":"1471-0056","abstract":"Proteomic analysis of cells, tissues and body fluids has generated valuable insights into the complex processes influencing human biology. Proteins represent intermediate phenotypes for disease and provide insight into how genetic and non-genetic risk factors are mechanistically linked to clinical outcomes. Associations between protein levels and DNA sequence variants that colocalize with risk alleles for common diseases can expose disease-associated pathways, revealing novel drug targets and translational biomarkers. However, genome-wide, population-scale analyses of proteomic data are only now emerging. Here, we review current findings from studies of the plasma proteome and discuss their potential for advancing biomedical translation through the interpretation of genome-wide association analyses. We highlight the challenges faced by currently available technologies and provide perspectives relevant to their future application in large-scale biobank studies. In this Review, Suhre, McCarthy and Schwenk describe how combining genetics with plasma proteomics is providing notable insights into human disease. As changes in the circulating proteome are often an intermediate molecular readout between a genetic variant and its organismal effect, proteomics can enable a deeper understanding of disease mechanisms, clinical biomarkers and therapeutic opportunities.","author":[{"dropping-particle":"","family":"Suhre","given":"Karsten","non-dropping-particle":"","parse-names":false,"suffix":""},{"dropping-particle":"","family":"McCarthy","given":"Mark I.","non-dropping-particle":"","parse-names":false,"suffix":""},{"dropping-particle":"","family":"Schwenk","given":"Jochen M.","non-dropping-particle":"","parse-names":false,"suffix":""}],"container-title":"Nature Reviews Genetics","id":"ITEM-1","issued":{"date-parts":[["2020","8","28"]]},"page":"1-19","publisher":"Nature Publishing Group","title":"Genetics meets proteomics: perspectives for large population-based studies","type":"article-journal"},"uris":["http://www.mendeley.com/documents/?uuid=53a94f2b-d3b3-3255-8bcf-aafdc6d04bb7"]},{"id":"ITEM-2","itemData":{"DOI":"10.1038/s41467-018-03910-9","ISSN":"20411723","PMID":"29691392","author":[{"dropping-particle":"","family":"Deboever","given":"Christopher","non-dropping-particle":"","parse-names":false,"suffix":""},{"dropping-particle":"","family":"Tanigawa","given":"Yosuke","non-dropping-particle":"","parse-names":false,"suffix":""},{"dropping-particle":"","family":"Lindholm","given":"Malene E.","non-dropping-particle":"","parse-names":false,"suffix":""},{"dropping-particle":"","family":"Mcinnes","given":"Greg","non-dropping-particle":"","parse-names":false,"suffix":""},{"dropping-particle":"","family":"Lavertu","given":"Adam","non-dropping-particle":"","parse-names":false,"suffix":""},{"dropping-particle":"","family":"Ingelsson","given":"Erik","non-dropping-particle":"","parse-names":false,"suffix":""},{"dropping-particle":"","family":"Chang","given":"Chris","non-dropping-particle":"","parse-names":false,"suffix":""},{"dropping-particle":"","family":"Ashley","given":"Euan A.","non-dropping-particle":"","parse-names":false,"suffix":""},{"dropping-particle":"","family":"Bustamante","given":"Carlos D.","non-dropping-particle":"","parse-names":false,"suffix":""},{"dropping-particle":"","family":"Daly","given":"Mark J.","non-dropping-particle":"","parse-names":false,"suffix":""},{"dropping-particle":"","family":"Rivas","given":"Manuel A.","non-dropping-particle":"","parse-names":false,"suffix":""}],"container-title":"Nature Communications","id":"ITEM-2","issue":"1","issued":{"date-parts":[["2018","12","1"]]},"page":"1-10","publisher":"Nature Publishing Group","title":"Medical relevance of protein-truncating variants across 337,205 individuals in the UK Biobank study","type":"article-journal","volume":"9"},"uris":["http://www.mendeley.com/documents/?uuid=bc38e9e9-96e1-416a-9012-a24814bdb588"]}],"mendeley":{"formattedCitation":"&lt;sup&gt;1,2&lt;/sup&gt;","plainTextFormattedCitation":"1,2","previouslyFormattedCitation":"&lt;sup&gt;1,2&lt;/sup&gt;"},"properties":{"noteIndex":0},"schema":"https://github.com/citation-style-language/schema/raw/master/csl-citation.json"}</w:instrText>
      </w:r>
      <w:r w:rsidR="009663BE" w:rsidRPr="00177CF7">
        <w:fldChar w:fldCharType="separate"/>
      </w:r>
      <w:r w:rsidR="00633049" w:rsidRPr="00177CF7">
        <w:rPr>
          <w:noProof/>
          <w:vertAlign w:val="superscript"/>
        </w:rPr>
        <w:t>1,2</w:t>
      </w:r>
      <w:r w:rsidR="009663BE" w:rsidRPr="00177CF7">
        <w:fldChar w:fldCharType="end"/>
      </w:r>
      <w:r w:rsidRPr="00177CF7">
        <w:t>.</w:t>
      </w:r>
      <w:r w:rsidR="00063F56" w:rsidRPr="00177CF7">
        <w:t xml:space="preserve"> Early </w:t>
      </w:r>
      <w:r w:rsidR="00E97C67" w:rsidRPr="00177CF7">
        <w:t xml:space="preserve">studies </w:t>
      </w:r>
      <w:r w:rsidR="00063F56" w:rsidRPr="00177CF7">
        <w:t>have started to describe the genetic architecture of protein targets</w:t>
      </w:r>
      <w:r w:rsidR="00122027" w:rsidRPr="00177CF7">
        <w:t xml:space="preserve"> measured in plasma but </w:t>
      </w:r>
      <w:r w:rsidR="0053316D" w:rsidRPr="00177CF7">
        <w:t xml:space="preserve">all </w:t>
      </w:r>
      <w:r w:rsidR="00122027" w:rsidRPr="00177CF7">
        <w:t>have been small</w:t>
      </w:r>
      <w:r w:rsidR="00E70836" w:rsidRPr="00177CF7">
        <w:t>-</w:t>
      </w:r>
      <w:r w:rsidR="00122027" w:rsidRPr="00177CF7">
        <w:t xml:space="preserve">scale </w:t>
      </w:r>
      <w:r w:rsidR="00C07E5C" w:rsidRPr="00177CF7">
        <w:t>or</w:t>
      </w:r>
      <w:r w:rsidR="008C2274" w:rsidRPr="00177CF7">
        <w:t xml:space="preserve"> restricted to one platform</w:t>
      </w:r>
      <w:r w:rsidR="00E20023" w:rsidRPr="00177CF7">
        <w:rPr>
          <w:i/>
        </w:rPr>
        <w:fldChar w:fldCharType="begin" w:fldLock="1"/>
      </w:r>
      <w:r w:rsidR="007212AD">
        <w:rPr>
          <w:i/>
        </w:rPr>
        <w:instrText>ADDIN CSL_CITATION {"citationItems":[{"id":"ITEM-1","itemData":{"DOI":"10.1038/ncomms14357","ISBN":"2041-1723","ISSN":"20411723","PMID":"28240269","abstract":"Genome-wide association studies (GWAS) with intermediate phenotypes, like changes in metabolite and protein levels, provide functional evidence to map disease associations and translate them into clinical applications. However, although hundreds of genetic variants have been associated with complex disorders, the underlying molecular pathways often remain elusive. Associations with intermediate traits are key in establishing functional links between GWAS-identified risk-variants and disease end points. Here we describe a GWAS using a highly multiplexed aptamer-based affinity proteomics platform. We quantify 539 associa-tions between protein levels and gene variants (pQTLs) in a German cohort and replicate over half of them in an Arab and Asian cohort. Fifty-five of the replicated pQTLs are located in trans. Our associations overlap with 57 genetic risk loci for 42 unique disease end points. We integrate this information into a genome-proteome network and provide an interactive web-tool for interrogations. Our results provide a basis for novel approaches to pharma-ceutical and diagnostic applications.","author":[{"dropping-particle":"","family":"Suhre","given":"Karsten","non-dropping-particle":"","parse-names":false,"suffix":""},{"dropping-particle":"","family":"Arnold","given":"Matthias","non-dropping-particle":"","parse-names":false,"suffix":""},{"dropping-particle":"","family":"Bhagwat","given":"Aditya Mukund","non-dropping-particle":"","parse-names":false,"suffix":""},{"dropping-particle":"","family":"Cotton","given":"Richard J.","non-dropping-particle":"","parse-names":false,"suffix":""},{"dropping-particle":"","family":"Engelke","given":"Rudolf","non-dropping-particle":"","parse-names":false,"suffix":""},{"dropping-particle":"","family":"Raffler","given":"Johannes","non-dropping-particle":"","parse-names":false,"suffix":""},{"dropping-particle":"","family":"Sarwath","given":"Hina","non-dropping-particle":"","parse-names":false,"suffix":""},{"dropping-particle":"","family":"Thareja","given":"Gaurav","non-dropping-particle":"","parse-names":false,"suffix":""},{"dropping-particle":"","family":"Wahl","given":"Annika","non-dropping-particle":"","parse-names":false,"suffix":""},{"dropping-particle":"","family":"Delisle","given":"Robert Kirk","non-dropping-particle":"","parse-names":false,"suffix":""},{"dropping-particle":"","family":"Gold","given":"Larry","non-dropping-particle":"","parse-names":false,"suffix":""},{"dropping-particle":"","family":"Pezer","given":"Marija","non-dropping-particle":"","parse-names":false,"suffix":""},{"dropping-particle":"","family":"Lauc","given":"Gordan","non-dropping-particle":"","parse-names":false,"suffix":""},{"dropping-particle":"","family":"Selim","given":"Mohammed A.El Din","non-dropping-particle":"","parse-names":false,"suffix":""},{"dropping-particle":"","family":"Mook-Kanamori","given":"Dennis O.","non-dropping-particle":"","parse-names":false,"suffix":""},{"dropping-particle":"","family":"Al-Dous","given":"Eman K.","non-dropping-particle":"","parse-names":false,"suffix":""},{"dropping-particle":"","family":"Mohamoud","given":"Yasmin A.","non-dropping-particle":"","parse-names":false,"suffix":""},{"dropping-particle":"","family":"Malek","given":"Joel","non-dropping-particle":"","parse-names":false,"suffix":""},{"dropping-particle":"","family":"Strauch","given":"Konstantin","non-dropping-particle":"","parse-names":false,"suffix":""},{"dropping-particle":"","family":"Grallert","given":"Harald","non-dropping-particle":"","parse-names":false,"suffix":""},{"dropping-particle":"","family":"Peters","given":"Annette","non-dropping-particle":"","parse-names":false,"suffix":""},{"dropping-particle":"","family":"Kastenmüller","given":"Gabi","non-dropping-particle":"","parse-names":false,"suffix":""},{"dropping-particle":"","family":"Gieger","given":"Christian","non-dropping-particle":"","parse-names":false,"suffix":""},{"dropping-particle":"","family":"Graumann","given":"Johannes","non-dropping-particle":"","parse-names":false,"suffix":""}],"container-title":"Nature Communications","id":"ITEM-1","issued":{"date-parts":[["2017","2","27"]]},"publisher":"Nature Publishing Group","title":"Connecting genetic risk to disease end points through the human blood plasma proteome","type":"article-journal","volume":"8"},"uris":["http://www.mendeley.com/documents/?uuid=2ea1b189-6046-465d-bc67-815112c70eb1"]},{"id":"ITEM-2","itemData":{"DOI":"10.1126/science.aaq1327","ISBN":"4159801714","ISSN":"1095-9203","PMID":"30072576","abstract":"Proteins circulating in the blood are critical for age-related disease processes; however, the serum proteome has remained largely unexplored. To this end, 4137 proteins covering most predicted extracellular proteins were measured in the serum of 5457 Icelanders over 65 years of age. Pairwise correlation between proteins as they varied across individuals revealed 27 different network modules of serum proteins, many of which were associated with cardiovascular and metabolic disease states, as well as overall survival. The protein modules were controlled by cis- and trans-acting genetic variants, which in many cases were also associated with complex disease. This revealed co-regulated groups of circulating proteins that incorporated regulatory control between tissues and demonstrated close relationships to past, current, and future disease states.","author":[{"dropping-particle":"","family":"Emilsson","given":"Valur","non-dropping-particle":"","parse-names":false,"suffix":""},{"dropping-particle":"","family":"Ilkov","given":"Marjan","non-dropping-particle":"","parse-names":false,"suffix":""},{"dropping-particle":"","family":"Lamb","given":"John R.","non-dropping-particle":"","parse-names":false,"suffix":""},{"dropping-particle":"","family":"Finkel","given":"Nancy","non-dropping-particle":"","parse-names":false,"suffix":""},{"dropping-particle":"","family":"Gudmundsson","given":"Elias F.","non-dropping-particle":"","parse-names":false,"suffix":""},{"dropping-particle":"","family":"Pitts","given":"Rebecca","non-dropping-particle":"","parse-names":false,"suffix":""},{"dropping-particle":"","family":"Hoover","given":"Heather","non-dropping-particle":"","parse-names":false,"suffix":""},{"dropping-particle":"","family":"Gudmundsdottir","given":"Valborg","non-dropping-particle":"","parse-names":false,"suffix":""},{"dropping-particle":"","family":"Horman","given":"Shane R.","non-dropping-particle":"","parse-names":false,"suffix":""},{"dropping-particle":"","family":"Aspelund","given":"Thor","non-dropping-particle":"","parse-names":false,"suffix":""},{"dropping-particle":"","family":"Shu","given":"Le","non-dropping-particle":"","parse-names":false,"suffix":""},{"dropping-particle":"","family":"Trifonov","given":"Vladimir","non-dropping-particle":"","parse-names":false,"suffix":""},{"dropping-particle":"","family":"Sigurdsson","given":"Sigurdur","non-dropping-particle":"","parse-names":false,"suffix":""},{"dropping-particle":"","family":"Manolescu","given":"Andrei","non-dropping-particle":"","parse-names":false,"suffix":""},{"dropping-particle":"","family":"Zhu","given":"Jun","non-dropping-particle":"","parse-names":false,"suffix":""},{"dropping-particle":"","family":"Olafsson","given":"Örn","non-dropping-particle":"","parse-names":false,"suffix":""},{"dropping-particle":"","family":"Jakobsdottir","given":"Johanna","non-dropping-particle":"","parse-names":false,"suffix":""},{"dropping-particle":"","family":"Lesley","given":"Scott A.","non-dropping-particle":"","parse-names":false,"suffix":""},{"dropping-particle":"","family":"To","given":"Jeremy","non-dropping-particle":"","parse-names":false,"suffix":""},{"dropping-particle":"","family":"Zhang","given":"Jia","non-dropping-particle":"","parse-names":false,"suffix":""},{"dropping-particle":"","family":"Harris","given":"Tamara B.","non-dropping-particle":"","parse-names":false,"suffix":""},{"dropping-particle":"","family":"Launer","given":"Lenore J.","non-dropping-particle":"","parse-names":false,"suffix":""},{"dropping-particle":"","family":"Zhang","given":"Bin","non-dropping-particle":"","parse-names":false,"suffix":""},{"dropping-particle":"","family":"Eiriksdottir","given":"Gudny","non-dropping-particle":"","parse-names":false,"suffix":""},{"dropping-particle":"","family":"Yang","given":"Xia","non-dropping-particle":"","parse-names":false,"suffix":""},{"dropping-particle":"","family":"Orth","given":"Anthony P.","non-dropping-particle":"","parse-names":false,"suffix":""},{"dropping-particle":"","family":"Jennings","given":"Lori L.","non-dropping-particle":"","parse-names":false,"suffix":""},{"dropping-particle":"","family":"Gudnason","given":"Vilmundur","non-dropping-particle":"","parse-names":false,"suffix":""}],"container-title":"Science (New York, N.Y.)","id":"ITEM-2","issue":"6404","issued":{"date-parts":[["2018"]]},"page":"769-773","title":"Co-regulatory networks of human serum proteins link genetics to disease.","type":"article-journal","volume":"361"},"uris":["http://www.mendeley.com/documents/?uuid=0086a112-c106-45e4-805f-233603120da3"]},{"id":"ITEM-3","itemData":{"DOI":"10.1038/s41586-018-0175-2","ISSN":"1476-4687","PMID":"29875488","abstract":"Although plasma proteins have important roles in biological processes and are the direct targets of many drugs, the genetic factors that control inter-individual variation in plasma protein levels are not well understood. Here we characterize the genetic architecture of the human plasma proteome in healthy blood donors from the INTERVAL study. We identify 1,927 genetic associations with 1,478 proteins, a fourfold increase on existing knowledge, including trans associations for 1,104 proteins. To understand the consequences of perturbations in plasma protein levels, we apply an integrated approach that links genetic variation with biological pathway, disease, and drug databases. We show that protein quantitative trait loci overlap with gene expression quantitative trait loci, as well as with disease-associated loci, and find evidence that protein biomarkers have causal roles in disease using Mendelian randomization analysis. By linking genetic factors to diseases via specific proteins, our analyses highlight potential therapeutic targets, opportunities for matching existing drugs with new disease indications, and potential safety concerns for drugs under development.","author":[{"dropping-particle":"","family":"Sun","given":"Benjamin B.","non-dropping-particle":"","parse-names":false,"suffix":""},{"dropping-particle":"","family":"Maranville","given":"Joseph C.","non-dropping-particle":"","parse-names":false,"suffix":""},{"dropping-particle":"","family":"Peters","given":"James E.","non-dropping-particle":"","parse-names":false,"suffix":""},{"dropping-particle":"","family":"Stacey","given":"David","non-dropping-particle":"","parse-names":false,"suffix":""},{"dropping-particle":"","family":"Staley","given":"James R.","non-dropping-particle":"","parse-names":false,"suffix":""},{"dropping-particle":"","family":"Blackshaw","given":"James","non-dropping-particle":"","parse-names":false,"suffix":""},{"dropping-particle":"","family":"Burgess","given":"Stephen","non-dropping-particle":"","parse-names":false,"suffix":""},{"dropping-particle":"","family":"Jiang","given":"Tao","non-dropping-particle":"","parse-names":false,"suffix":""},{"dropping-particle":"","family":"Paige","given":"Ellie","non-dropping-particle":"","parse-names":false,"suffix":""},{"dropping-particle":"","family":"Surendran","given":"Praveen","non-dropping-particle":"","parse-names":false,"suffix":""},{"dropping-particle":"","family":"Oliver-Williams","given":"Clare","non-dropping-particle":"","parse-names":false,"suffix":""},{"dropping-particle":"","family":"Kamat","given":"Mihir A.","non-dropping-particle":"","parse-names":false,"suffix":""},{"dropping-particle":"","family":"Prins","given":"Bram P.","non-dropping-particle":"","parse-names":false,"suffix":""},{"dropping-particle":"","family":"Wilcox","given":"Sheri K.","non-dropping-particle":"","parse-names":false,"suffix":""},{"dropping-particle":"","family":"Zimmerman","given":"Erik S.","non-dropping-particle":"","parse-names":false,"suffix":""},{"dropping-particle":"","family":"Chi","given":"An","non-dropping-particle":"","parse-names":false,"suffix":""},{"dropping-particle":"","family":"Bansal","given":"Narinder","non-dropping-particle":"","parse-names":false,"suffix":""},{"dropping-particle":"","family":"Spain","given":"Sarah L.","non-dropping-particle":"","parse-names":false,"suffix":""},{"dropping-particle":"","family":"Wood","given":"Angela M.","non-dropping-particle":"","parse-names":false,"suffix":""},{"dropping-particle":"","family":"Morrell","given":"Nicholas W.","non-dropping-particle":"","parse-names":false,"suffix":""},{"dropping-particle":"","family":"Bradley","given":"John R.","non-dropping-particle":"","parse-names":false,"suffix":""},{"dropping-particle":"","family":"Janjic","given":"Nebojsa","non-dropping-particle":"","parse-names":false,"suffix":""},{"dropping-particle":"","family":"Roberts","given":"David J.","non-dropping-particle":"","parse-names":false,"suffix":""},{"dropping-particle":"","family":"Ouwehand","given":"Willem H.","non-dropping-particle":"","parse-names":false,"suffix":""},{"dropping-particle":"","family":"Todd","given":"John A.","non-dropping-particle":"","parse-names":false,"suffix":""},{"dropping-particle":"","family":"Soranzo","given":"Nicole","non-dropping-particle":"","parse-names":false,"suffix":""},{"dropping-particle":"","family":"Suhre","given":"Karsten","non-dropping-particle":"","parse-names":false,"suffix":""},{"dropping-particle":"","family":"Paul","given":"Dirk S.","non-dropping-particle":"","parse-names":false,"suffix":""},{"dropping-particle":"","family":"Fox","given":"Caroline S.","non-dropping-particle":"","parse-names":false,"suffix":""},{"dropping-particle":"","family":"Plenge","given":"Robert M.","non-dropping-particle":"","parse-names":false,"suffix":""},{"dropping-particle":"","family":"Danesh","given":"John","non-dropping-particle":"","parse-names":false,"suffix":""},{"dropping-particle":"","family":"Runz","given":"Heiko","non-dropping-particle":"","parse-names":false,"suffix":""},{"dropping-particle":"","family":"Butterworth","given":"Adam S.","non-dropping-particle":"","parse-names":false,"suffix":""}],"container-title":"Nature","id":"ITEM-3","issue":"7708","issued":{"date-parts":[["2018","6","6"]]},"page":"73-79","publisher":"Springer US","title":"Genomic atlas of the human plasma proteome.","type":"article-journal","volume":"558"},"uris":["http://www.mendeley.com/documents/?uuid=474a4c65-8f2c-433c-a346-f6aeff94a9ae"]},{"id":"ITEM-4","itemData":{"DOI":"10.1038/s41467-018-05512-x","ISBN":"4146701805","ISSN":"20411723","abstract":"Identifying genetic variants associated with circulating protein concentrations (protein quantitative trait loci; pQTLs) and integrating them with variants from genome-wide association studies (GWAS) may illuminate the proteome’s causal role in disease and bridge a knowledge gap regarding SNP-disease associations. We provide the results of GWAS of 71 high-value cardiovascular disease proteins in 6861 Framingham Heart Study participants and independent external replication. We report the mapping of over 16,000 pQTL variants and their functional relevance. We provide an integrated plasma protein-QTL database. Thirteen proteins harbor pQTL variants that match coronary disease-risk variants from GWAS or test causal for coronary disease by Mendelian randomization. Eight of these proteins predict new-onset cardiovascular disease events in Framingham participants. We demonstrate that identifying pQTLs, integrating them with GWAS results, employing Mendelian randomization, and prospectively testing protein-trait associations holds potential for elucidating causal genes, proteins, and pathways for cardiovascular disease and may identify targets for its prevention and treatment.","author":[{"dropping-particle":"","family":"Yao","given":"Chen","non-dropping-particle":"","parse-names":false,"suffix":""},{"dropping-particle":"","family":"Chen","given":"George","non-dropping-particle":"","parse-names":false,"suffix":""},{"dropping-particle":"","family":"Song","given":"Ci","non-dropping-particle":"","parse-names":false,"suffix":""},{"dropping-particle":"","family":"Keefe","given":"Joshua","non-dropping-particle":"","parse-names":false,"suffix":""},{"dropping-particle":"","family":"Mendelson","given":"Michael","non-dropping-particle":"","parse-names":false,"suffix":""},{"dropping-particle":"","family":"Huan","given":"Tianxiao","non-dropping-particle":"","parse-names":false,"suffix":""},{"dropping-particle":"","family":"Sun","given":"Benjamin B.","non-dropping-particle":"","parse-names":false,"suffix":""},{"dropping-particle":"","family":"Laser","given":"Annika","non-dropping-particle":"","parse-names":false,"suffix":""},{"dropping-particle":"","family":"Maranville","given":"Joseph C.","non-dropping-particle":"","parse-names":false,"suffix":""},{"dropping-particle":"","family":"Wu","given":"Hongsheng","non-dropping-particle":"","parse-names":false,"suffix":""},{"dropping-particle":"","family":"Ho","given":"Jennifer E.","non-dropping-particle":"","parse-names":false,"suffix":""},{"dropping-particle":"","family":"Courchesne","given":"Paul","non-dropping-particle":"","parse-names":false,"suffix":""},{"dropping-particle":"","family":"Lyass","given":"Asya","non-dropping-particle":"","parse-names":false,"suffix":""},{"dropping-particle":"","family":"Larson","given":"Martin G.","non-dropping-particle":"","parse-names":false,"suffix":""},{"dropping-particle":"","family":"Gieger","given":"Christian","non-dropping-particle":"","parse-names":false,"suffix":""},{"dropping-particle":"","family":"Graumann","given":"Johannes","non-dropping-particle":"","parse-names":false,"suffix":""},{"dropping-particle":"","family":"Johnson","given":"Andrew D.","non-dropping-particle":"","parse-names":false,"suffix":""},{"dropping-particle":"","family":"Danesh","given":"John","non-dropping-particle":"","parse-names":false,"suffix":""},{"dropping-particle":"","family":"Runz","given":"Heiko","non-dropping-particle":"","parse-names":false,"suffix":""},{"dropping-particle":"","family":"Hwang","given":"Shih-Jen Jen","non-dropping-particle":"","parse-names":false,"suffix":""},{"dropping-particle":"","family":"Liu","given":"Chunyu","non-dropping-particle":"","parse-names":false,"suffix":""},{"dropping-particle":"","family":"Butterworth","given":"Adam S.","non-dropping-particle":"","parse-names":false,"suffix":""},{"dropping-particle":"","family":"Suhre","given":"Karsten","non-dropping-particle":"","parse-names":false,"suffix":""},{"dropping-particle":"","family":"Levy","given":"Daniel","non-dropping-particle":"","parse-names":false,"suffix":""}],"container-title":"Nature Communications","id":"ITEM-4","issue":"1","issued":{"date-parts":[["2018","12","15"]]},"page":"3268","publisher":"Nature Publishing Group","title":"Genome‐wide mapping of plasma protein QTLs identifies putatively causal genes and pathways for cardiovascular disease","type":"article-journal","volume":"9"},"uris":["http://www.mendeley.com/documents/?uuid=8bc8e848-132a-4528-b70f-620b58763774"]},{"id":"ITEM-5","itemData":{"DOI":"10.1371/journal.pgen.1006706","ISBN":"1111111111","ISSN":"1553-7404","PMID":"28369058","abstract":"Recent advances in highly multiplexed immunoassays have allowed systematic large-scale measurement of hundreds of plasma proteins in large cohort studies. In combination with genotyping, such studies offer the prospect to 1) identify mechanisms involved with regulation of protein expression in plasma, and 2) determine whether the plasma proteins are likely to be causally implicated in disease. We report here the results of genome-wide association (GWA) studies of 83 proteins considered relevant to cardiovascular disease (CVD), measured in 3,394 individuals with multiple CVD risk factors. We identified 79 genome-wide significant (p&lt;5e-8) association signals, 55 of which replicated at P&lt;0.0007 in separate validation studies (n = 2,639 individuals). Using automated text mining, manual curation, and network-based methods incorporating information on expression quantitative trait loci (eQTL), we propose plausible causal mechanisms for 25 trans-acting loci, including a potential post-translational regulation of stem cell factor by matrix metalloproteinase 9 and receptor-ligand pairs such as RANK-RANK ligand. Using public GWA study data, we further evaluate all 79 loci for their causal effect on coronary artery disease, and highlight several potentially causal associations. Overall, a majority of the plasma proteins studied showed evidence of regulation at the genetic level. Our results enable future studies of the causal architecture of human disease, which in turn should aid discovery of new drug targets.","author":[{"dropping-particle":"","family":"Folkersen","given":"Lasse","non-dropping-particle":"","parse-names":false,"suffix":""},{"dropping-particle":"","family":"Fauman","given":"Eric","non-dropping-particle":"","parse-names":false,"suffix":""},{"dropping-particle":"","family":"Sabater-Lleal","given":"Maria","non-dropping-particle":"","parse-names":false,"suffix":""},{"dropping-particle":"","family":"Strawbridge","given":"Rona J","non-dropping-particle":"","parse-names":false,"suffix":""},{"dropping-particle":"","family":"Frånberg","given":"Mattias","non-dropping-particle":"","parse-names":false,"suffix":""},{"dropping-particle":"","family":"Sennblad","given":"Bengt","non-dropping-particle":"","parse-names":false,"suffix":""},{"dropping-particle":"","family":"Baldassarre","given":"Damiano","non-dropping-particle":"","parse-names":false,"suffix":""},{"dropping-particle":"","family":"Veglia","given":"Fabrizio","non-dropping-particle":"","parse-names":false,"suffix":""},{"dropping-particle":"","family":"Humphries","given":"Steve E","non-dropping-particle":"","parse-names":false,"suffix":""},{"dropping-particle":"","family":"Rauramaa","given":"Rainer","non-dropping-particle":"","parse-names":false,"suffix":""},{"dropping-particle":"","family":"Faire","given":"Ulf","non-dropping-particle":"de","parse-names":false,"suffix":""},{"dropping-particle":"","family":"Smit","given":"Andries J","non-dropping-particle":"","parse-names":false,"suffix":""},{"dropping-particle":"","family":"Giral","given":"Philippe","non-dropping-particle":"","parse-names":false,"suffix":""},{"dropping-particle":"","family":"Kurl","given":"Sudhir","non-dropping-particle":"","parse-names":false,"suffix":""},{"dropping-particle":"","family":"Mannarino","given":"Elmo","non-dropping-particle":"","parse-names":false,"suffix":""},{"dropping-particle":"","family":"Enroth","given":"Stefan","non-dropping-particle":"","parse-names":false,"suffix":""},{"dropping-particle":"","family":"Johansson","given":"Åsa","non-dropping-particle":"","parse-names":false,"suffix":""},{"dropping-particle":"","family":"Enroth","given":"Sofia Bosdotter","non-dropping-particle":"","parse-names":false,"suffix":""},{"dropping-particle":"","family":"Gustafsson","given":"Stefan","non-dropping-particle":"","parse-names":false,"suffix":""},{"dropping-particle":"","family":"Lind","given":"Lars","non-dropping-particle":"","parse-names":false,"suffix":""},{"dropping-particle":"","family":"Lindgren","given":"Cecilia","non-dropping-particle":"","parse-names":false,"suffix":""},{"dropping-particle":"","family":"Morris","given":"Andrew P","non-dropping-particle":"","parse-names":false,"suffix":""},{"dropping-particle":"","family":"Giedraitis","given":"Vilmantas","non-dropping-particle":"","parse-names":false,"suffix":""},{"dropping-particle":"","family":"Silveira","given":"Angela","non-dropping-particle":"","parse-names":false,"suffix":""},{"dropping-particle":"","family":"Franco-Cereceda","given":"Anders","non-dropping-particle":"","parse-names":false,"suffix":""},{"dropping-particle":"","family":"Tremoli","given":"Elena","non-dropping-particle":"","parse-names":false,"suffix":""},{"dropping-particle":"","family":"IMPROVE study group","given":"","non-dropping-particle":"","parse-names":false,"suffix":""},{"dropping-particle":"","family":"Gyllensten","given":"Ulf","non-dropping-particle":"","parse-names":false,"suffix":""},{"dropping-particle":"","family":"Ingelsson","given":"Erik","non-dropping-particle":"","parse-names":false,"suffix":""},{"dropping-particle":"","family":"Brunak","given":"Søren","non-dropping-particle":"","parse-names":false,"suffix":""},{"dropping-particle":"","family":"Eriksson","given":"Per","non-dropping-particle":"","parse-names":false,"suffix":""},{"dropping-particle":"","family":"Ziemek","given":"Daniel","non-dropping-particle":"","parse-names":false,"suffix":""},{"dropping-particle":"","family":"Hamsten","given":"Anders","non-dropping-particle":"","parse-names":false,"suffix":""},{"dropping-particle":"","family":"Mälarstig","given":"Anders","non-dropping-particle":"","parse-names":false,"suffix":""}],"container-title":"PLoS genetics","id":"ITEM-5","issue":"4","issued":{"date-parts":[["2017","4"]]},"page":"e1006706","title":"Mapping of 79 loci for 83 plasma protein biomarkers in cardiovascular disease.","type":"article-journal","volume":"13"},"uris":["http://www.mendeley.com/documents/?uuid=082f7fe7-9c5c-3c3c-8061-cbc38933fc7b"]},{"id":"ITEM-6","itemData":{"DOI":"10.1038/s42255-020-00287-2","ISSN":"25225812","PMID":"33067605","abstract":"Circulating proteins are vital in human health and disease and are frequently used as biomarkers for clinical decision-making or as targets for pharmacological intervention. Here, we map and replicate protein quantitative trait loci (pQTL) for 90 cardiovascular proteins in over 30,000 individuals, resulting in 451 pQTLs for 85 proteins. For each protein, we further perform pathway mapping to obtain trans-pQTL gene and regulatory designations. We substantiate these regulatory findings with orthogonal evidence for trans-pQTLs using mouse knockdown experiments (ABCA1 and TRIB1) and clinical trial results (chemokine receptors CCR2 and CCR5), with consistent regulation. Finally, we evaluate known drug targets, and suggest new target candidates or repositioning opportunities using Mendelian randomization. This identifies 11 proteins with causal evidence of involvement in human disease that have not previously been targeted, including EGF, IL-16, PAPPA, SPON1, F3, ADM, CASP-8, CHI3L1, CXCL16, GDF15 and MMP-12. Taken together, these findings demonstrate the utility of large-scale mapping of the genetics of the proteome and provide a resource for future precision studies of circulating proteins in human health.","author":[{"dropping-particle":"","family":"Folkersen","given":"Lasse","non-dropping-particle":"","parse-names":false,"suffix":""},{"dropping-particle":"","family":"Gustafsson","given":"Stefan","non-dropping-particle":"","parse-names":false,"suffix":""},{"dropping-particle":"","family":"Wang","given":"Qin","non-dropping-particle":"","parse-names":false,"suffix":""},{"dropping-particle":"","family":"Hansen","given":"Daniel Hvidberg","non-dropping-particle":"","parse-names":false,"suffix":""},{"dropping-particle":"","family":"Hedman","given":"Åsa K.","non-dropping-particle":"","parse-names":false,"suffix":""},{"dropping-particle":"","family":"Schork","given":"Andrew","non-dropping-particle":"","parse-names":false,"suffix":""},{"dropping-particle":"","family":"Page","given":"Karen","non-dropping-particle":"","parse-names":false,"suffix":""},{"dropping-particle":"V.","family":"Zhernakova","given":"Daria","non-dropping-particle":"","parse-names":false,"suffix":""},{"dropping-particle":"","family":"Wu","given":"Yang","non-dropping-particle":"","parse-names":false,"suffix":""},{"dropping-particle":"","family":"Peters","given":"James","non-dropping-particle":"","parse-names":false,"suffix":""},{"dropping-particle":"","family":"Eriksson","given":"Niclas","non-dropping-particle":"","parse-names":false,"suffix":""},{"dropping-particle":"","family":"Bergen","given":"Sarah E.","non-dropping-particle":"","parse-names":false,"suffix":""},{"dropping-particle":"","family":"Boutin","given":"Thibaud S.","non-dropping-particle":"","parse-names":false,"suffix":""},{"dropping-particle":"","family":"Bretherick","given":"Andrew D.","non-dropping-particle":"","parse-names":false,"suffix":""},{"dropping-particle":"","family":"Enroth","given":"Stefan","non-dropping-particle":"","parse-names":false,"suffix":""},{"dropping-particle":"","family":"Kalnapenkis","given":"Anette","non-dropping-particle":"","parse-names":false,"suffix":""},{"dropping-particle":"","family":"Gådin","given":"Jesper R.","non-dropping-particle":"","parse-names":false,"suffix":""},{"dropping-particle":"","family":"Suur","given":"Bianca E.","non-dropping-particle":"","parse-names":false,"suffix":""},{"dropping-particle":"","family":"Chen","given":"Yan","non-dropping-particle":"","parse-names":false,"suffix":""},{"dropping-particle":"","family":"Matic","given":"Ljubica","non-dropping-particle":"","parse-names":false,"suffix":""},{"dropping-particle":"","family":"Gale","given":"Jeremy D.","non-dropping-particle":"","parse-names":false,"suffix":""},{"dropping-particle":"","family":"Lee","given":"Julie","non-dropping-particle":"","parse-names":false,"suffix":""},{"dropping-particle":"","family":"Zhang","given":"Weidong","non-dropping-particle":"","parse-names":false,"suffix":""},{"dropping-particle":"","family":"Quazi","given":"Amira","non-dropping-particle":"","parse-names":false,"suffix":""},{"dropping-particle":"","family":"Ala-Korpela","given":"Mika","non-dropping-particle":"","parse-names":false,"suffix":""},{"dropping-particle":"","family":"Choi","given":"Seung Hoan","non-dropping-particle":"","parse-names":false,"suffix":""},{"dropping-particle":"","family":"Claringbould","given":"Annique","non-dropping-particle":"","parse-names":false,"suffix":""},{"dropping-particle":"","family":"Danesh","given":"John","non-dropping-particle":"","parse-names":false,"suffix":""},{"dropping-particle":"","family":"Davey Smith","given":"George","non-dropping-particle":"","parse-names":false,"suffix":""},{"dropping-particle":"","family":"Masi","given":"Federico","non-dropping-particle":"de","parse-names":false,"suffix":""},{"dropping-particle":"","family":"Elmståhl","given":"Sölve","non-dropping-particle":"","parse-names":false,"suffix":""},{"dropping-particle":"","family":"Engström","given":"Gunnar","non-dropping-particle":"","parse-names":false,"suffix":""},{"dropping-particle":"","family":"Fauman","given":"Eric","non-dropping-particle":"","parse-names":false,"suffix":""},{"dropping-particle":"","family":"Fernandez","given":"Celine","non-dropping-particle":"","parse-names":false,"suffix":""},{"dropping-particle":"","family":"Franke","given":"Lude","non-dropping-particle":"","parse-names":false,"suffix":""},{"dropping-particle":"","family":"Franks","given":"Paul W.","non-dropping-particle":"","parse-names":false,"suffix":""},{"dropping-particle":"","family":"Giedraitis","given":"Vilmantas","non-dropping-particle":"","parse-names":false,"suffix":""},{"dropping-particle":"","family":"Haley","given":"Chris","non-dropping-particle":"","parse-names":false,"suffix":""},{"dropping-particle":"","family":"Hamsten","given":"Anders","non-dropping-particle":"","parse-names":false,"suffix":""},{"dropping-particle":"","family":"Ingason","given":"Andres","non-dropping-particle":"","parse-names":false,"suffix":""},{"dropping-particle":"","family":"Johansson","given":"Åsa","non-dropping-particle":"","parse-names":false,"suffix":""},{"dropping-particle":"","family":"Joshi","given":"Peter K.","non-dropping-particle":"","parse-names":false,"suffix":""},{"dropping-particle":"","family":"Lind","given":"Lars","non-dropping-particle":"","parse-names":false,"suffix":""},{"dropping-particle":"","family":"Lindgren","given":"Cecilia M.","non-dropping-particle":"","parse-names":false,"suffix":""},{"dropping-particle":"","family":"Lubitz","given":"Steven","non-dropping-particle":"","parse-names":false,"suffix":""},{"dropping-particle":"","family":"Palmer","given":"Tom","non-dropping-particle":"","parse-names":false,"suffix":""},{"dropping-particle":"","family":"Macdonald-Dunlop","given":"Erin","non-dropping-particle":"","parse-names":false,"suffix":""},{"dropping-particle":"","family":"Magnusson","given":"Martin","non-dropping-particle":"","parse-names":false,"suffix":""},{"dropping-particle":"","family":"Melander","given":"Olle","non-dropping-particle":"","parse-names":false,"suffix":""},{"dropping-particle":"","family":"Michaelsson","given":"Karl","non-dropping-particle":"","parse-names":false,"suffix":""},{"dropping-particle":"","family":"Morris","given":"Andrew P.","non-dropping-particle":"","parse-names":false,"suffix":""},{"dropping-particle":"","family":"Mägi","given":"Reedik","non-dropping-particle":"","parse-names":false,"suffix":""},{"dropping-particle":"","family":"Nagle","given":"Michael W.","non-dropping-particle":"","parse-names":false,"suffix":""},{"dropping-particle":"","family":"Nilsson","given":"Peter M.","non-dropping-particle":"","parse-names":false,"suffix":""},{"dropping-particle":"","family":"Nilsson","given":"Jan","non-dropping-particle":"","parse-names":false,"suffix":""},{"dropping-particle":"","family":"Orho-Melander","given":"Marju","non-dropping-particle":"","parse-names":false,"suffix":""},{"dropping-particle":"","family":"Polasek","given":"Ozren","non-dropping-particle":"","parse-names":false,"suffix":""},{"dropping-particle":"","family":"Prins","given":"Bram","non-dropping-particle":"","parse-names":false,"suffix":""},{"dropping-particle":"","family":"Pålsson","given":"Erik","non-dropping-particle":"","parse-names":false,"suffix":""},{"dropping-particle":"","family":"Qi","given":"Ting","non-dropping-particle":"","parse-names":false,"suffix":""},{"dropping-particle":"","family":"Sjögren","given":"Marketa","non-dropping-particle":"","parse-names":false,"suffix":""},{"dropping-particle":"","family":"Sundström","given":"Johan","non-dropping-particle":"","parse-names":false,"suffix":""},{"dropping-particle":"","family":"Surendran","given":"Praveen","non-dropping-particle":"","parse-names":false,"suffix":""},{"dropping-particle":"","family":"Võsa","given":"Urmo","non-dropping-particle":"","parse-names":false,"suffix":""},{"dropping-particle":"","family":"Werge","given":"Thomas","non-dropping-particle":"","parse-names":false,"suffix":""},{"dropping-particle":"","family":"Wernersson","given":"Rasmus","non-dropping-particle":"","parse-names":false,"suffix":""},{"dropping-particle":"","family":"Westra","given":"Harm Jan","non-dropping-particle":"","parse-names":false,"suffix":""},{"dropping-particle":"","family":"Yang","given":"Jian","non-dropping-particle":"","parse-names":false,"suffix":""},{"dropping-particle":"","family":"Zhernakova","given":"Alexandra","non-dropping-particle":"","parse-names":false,"suffix":""},{"dropping-particle":"","family":"Ärnlöv","given":"Johan","non-dropping-particle":"","parse-names":false,"suffix":""},{"dropping-particle":"","family":"Fu","given":"Jingyuan","non-dropping-particle":"","parse-names":false,"suffix":""},{"dropping-particle":"","family":"Smith","given":"J. Gustav","non-dropping-particle":"","parse-names":false,"suffix":""},{"dropping-particle":"","family":"Esko","given":"Tõnu","non-dropping-particle":"","parse-names":false,"suffix":""},{"dropping-particle":"","family":"Hayward","given":"Caroline","non-dropping-particle":"","parse-names":false,"suffix":""},{"dropping-particle":"","family":"Gyllensten","given":"Ulf","non-dropping-particle":"","parse-names":false,"suffix":""},{"dropping-particle":"","family":"Landen","given":"Mikael","non-dropping-particle":"","parse-names":false,"suffix":""},{"dropping-particle":"","family":"Siegbahn","given":"Agneta","non-dropping-particle":"","parse-names":false,"suffix":""},{"dropping-particle":"","family":"Wilson","given":"James F.","non-dropping-particle":"","parse-names":false,"suffix":""},{"dropping-particle":"","family":"Wallentin","given":"Lars","non-dropping-particle":"","parse-names":false,"suffix":""},{"dropping-particle":"","family":"Butterworth","given":"Adam S.","non-dropping-particle":"","parse-names":false,"suffix":""},{"dropping-particle":"V.","family":"Holmes","given":"Michael","non-dropping-particle":"","parse-names":false,"suffix":""},{"dropping-particle":"","family":"Ingelsson","given":"Erik","non-dropping-particle":"","parse-names":false,"suffix":""},{"dropping-particle":"","family":"Mälarstig","given":"Anders","non-dropping-particle":"","parse-names":false,"suffix":""}],"container-title":"Nature Metabolism","id":"ITEM-6","issue":"10","issued":{"date-parts":[["2020"]]},"page":"1135-1148","publisher":"Springer US","title":"Genomic and drug target evaluation of 90 cardiovascular proteins in 30,931 individuals","type":"article-journal","volume":"2"},"uris":["http://www.mendeley.com/documents/?uuid=e356e314-e447-4315-93b5-17b6100ac034"]},{"id":"ITEM-7","itemData":{"DOI":"10.1126/science.abj1541","ISSN":"1095-9203","PMID":"34648354","abstract":"[Figure: see text].","author":[{"dropping-particle":"","family":"Pietzner","given":"Maik","non-dropping-particle":"","parse-names":false,"suffix":""},{"dropping-particle":"","family":"Wheeler","given":"Eleanor","non-dropping-particle":"","parse-names":false,"suffix":""},{"dropping-particle":"","family":"Carrasco-Zanini","given":"Julia","non-dropping-particle":"","parse-names":false,"suffix":""},{"dropping-particle":"","family":"Cortes","given":"Adrian","non-dropping-particle":"","parse-names":false,"suffix":""},{"dropping-particle":"","family":"Koprulu","given":"Mine","non-dropping-particle":"","parse-names":false,"suffix":""},{"dropping-particle":"","family":"Wörheide","given":"Maria A","non-dropping-particle":"","parse-names":false,"suffix":""},{"dropping-particle":"","family":"Oerton","given":"Erin","non-dropping-particle":"","parse-names":false,"suffix":""},{"dropping-particle":"","family":"Cook","given":"James","non-dropping-particle":"","parse-names":false,"suffix":""},{"dropping-particle":"","family":"Stewart","given":"Isobel D","non-dropping-particle":"","parse-names":false,"suffix":""},{"dropping-particle":"","family":"Kerrison","given":"Nicola D","non-dropping-particle":"","parse-names":false,"suffix":""},{"dropping-particle":"","family":"Luan","given":"Jian'an","non-dropping-particle":"","parse-names":false,"suffix":""},{"dropping-particle":"","family":"Raffler","given":"Johannes","non-dropping-particle":"","parse-names":false,"suffix":""},{"dropping-particle":"","family":"Arnold","given":"Matthias","non-dropping-particle":"","parse-names":false,"suffix":""},{"dropping-particle":"","family":"Arlt","given":"Wiebke","non-dropping-particle":"","parse-names":false,"suffix":""},{"dropping-particle":"","family":"O'Rahilly","given":"Stephen","non-dropping-particle":"","parse-names":false,"suffix":""},{"dropping-particle":"","family":"Kastenmüller","given":"Gabi","non-dropping-particle":"","parse-names":false,"suffix":""},{"dropping-particle":"","family":"Gamazon","given":"Eric R","non-dropping-particle":"","parse-names":false,"suffix":""},{"dropping-particle":"","family":"Hingorani","given":"Aroon D","non-dropping-particle":"","parse-names":false,"suffix":""},{"dropping-particle":"","family":"Scott","given":"Robert A","non-dropping-particle":"","parse-names":false,"suffix":""},{"dropping-particle":"","family":"Wareham","given":"Nicholas J","non-dropping-particle":"","parse-names":false,"suffix":""},{"dropping-particle":"","family":"Langenberg","given":"Claudia","non-dropping-particle":"","parse-names":false,"suffix":""}],"container-title":"Science (New York, N.Y.)","id":"ITEM-7","issue":"October","issued":{"date-parts":[["2021","10","14"]]},"page":"eabj1541","title":"Mapping the proteo-genomic convergence of human diseases.","type":"article-journal","volume":"1541"},"uris":["http://www.mendeley.com/documents/?uuid=23dea57b-18a0-4835-b875-6c3b377252f4"]}],"mendeley":{"formattedCitation":"&lt;sup&gt;3–9&lt;/sup&gt;","plainTextFormattedCitation":"3–9","previouslyFormattedCitation":"&lt;sup&gt;3–9&lt;/sup&gt;"},"properties":{"noteIndex":0},"schema":"https://github.com/citation-style-language/schema/raw/master/csl-citation.json"}</w:instrText>
      </w:r>
      <w:r w:rsidR="00E20023" w:rsidRPr="00177CF7">
        <w:rPr>
          <w:i/>
        </w:rPr>
        <w:fldChar w:fldCharType="separate"/>
      </w:r>
      <w:r w:rsidR="00AB37AF" w:rsidRPr="00AB37AF">
        <w:rPr>
          <w:noProof/>
          <w:vertAlign w:val="superscript"/>
        </w:rPr>
        <w:t>3–9</w:t>
      </w:r>
      <w:r w:rsidR="00E20023" w:rsidRPr="00177CF7">
        <w:rPr>
          <w:i/>
        </w:rPr>
        <w:fldChar w:fldCharType="end"/>
      </w:r>
      <w:r w:rsidR="00063F56" w:rsidRPr="00177CF7">
        <w:t>.</w:t>
      </w:r>
      <w:r w:rsidRPr="00177CF7">
        <w:t xml:space="preserve"> </w:t>
      </w:r>
    </w:p>
    <w:p w14:paraId="2C6A3253" w14:textId="4068E4E8" w:rsidR="00CB5743" w:rsidRPr="00177CF7" w:rsidRDefault="00555D20">
      <w:pPr>
        <w:spacing w:line="360" w:lineRule="auto"/>
        <w:jc w:val="both"/>
      </w:pPr>
      <w:r w:rsidRPr="00177CF7">
        <w:t>Modulating protein abundances or function represents the most common mode of action of drugs</w:t>
      </w:r>
      <w:r w:rsidR="00354B8F" w:rsidRPr="00177CF7">
        <w:fldChar w:fldCharType="begin" w:fldLock="1"/>
      </w:r>
      <w:r w:rsidR="007212AD">
        <w:instrText>ADDIN CSL_CITATION {"citationItems":[{"id":"ITEM-1","itemData":{"DOI":"10.1038/nrd.2016.230","ISSN":"14741784","PMID":"27910877","abstract":"The success of mechanism-based drug discovery depends on the definition of the drug target. This definition becomes even more important as we try to link drug response to genetic variation, understand stratified clinical efficacy and safety, rationalize the differences between drugs in the same therapeutic class and predict drug utility in patient subgroups. However, drug targets are often poorly defined in the literature, both for launched drugs and for potential therapeutic agents in discovery and development. Here, we present an updated comprehensive map of molecular targets of approved drugs. We curate a total of 893 human and pathogen-derived biomolecules through which 1,578 US FDA-approved drugs act. These biomolecules include 667 human-genome-derived proteins targeted by drugs for human disease. Analysis of these drug targets indicates the continued dominance of privileged target families across disease areas, but also the growth of novel first-in-class mechanisms, particularly in oncology. We explore the relationships between bioactivity class and clinical success, as well as the presence of orthologues between human and animal models and between pathogen and human genomes. Through the collaboration of three independent teams, we highlight some of the ongoing challenges in accurately defining the targets of molecular therapeutics and present conventions for deconvoluting the complexities of molecular pharmacology and drug efficacy.","author":[{"dropping-particle":"","family":"Santos","given":"Rita","non-dropping-particle":"","parse-names":false,"suffix":""},{"dropping-particle":"","family":"Ursu","given":"Oleg","non-dropping-particle":"","parse-names":false,"suffix":""},{"dropping-particle":"","family":"Gaulton","given":"Anna","non-dropping-particle":"","parse-names":false,"suffix":""},{"dropping-particle":"","family":"Bento","given":"A. Patrícia","non-dropping-particle":"","parse-names":false,"suffix":""},{"dropping-particle":"","family":"Donadi","given":"Ramesh S.","non-dropping-particle":"","parse-names":false,"suffix":""},{"dropping-particle":"","family":"Bologa","given":"Cristian G.","non-dropping-particle":"","parse-names":false,"suffix":""},{"dropping-particle":"","family":"Karlsson","given":"Anneli","non-dropping-particle":"","parse-names":false,"suffix":""},{"dropping-particle":"","family":"Al-Lazikani","given":"Bissan","non-dropping-particle":"","parse-names":false,"suffix":""},{"dropping-particle":"","family":"Hersey","given":"Anne","non-dropping-particle":"","parse-names":false,"suffix":""},{"dropping-particle":"","family":"Oprea","given":"Tudor I.","non-dropping-particle":"","parse-names":false,"suffix":""},{"dropping-particle":"","family":"Overington","given":"John P.","non-dropping-particle":"","parse-names":false,"suffix":""}],"container-title":"Nature Reviews Drug Discovery","id":"ITEM-1","issue":"1","issued":{"date-parts":[["2016"]]},"page":"19-34","publisher":"Nature Publishing Group","title":"A comprehensive map of molecular drug targets","type":"article-journal","volume":"16"},"uris":["http://www.mendeley.com/documents/?uuid=ad3e16e2-6030-47c7-81cb-050ac50fabde"]}],"mendeley":{"formattedCitation":"&lt;sup&gt;10&lt;/sup&gt;","plainTextFormattedCitation":"10","previouslyFormattedCitation":"&lt;sup&gt;10&lt;/sup&gt;"},"properties":{"noteIndex":0},"schema":"https://github.com/citation-style-language/schema/raw/master/csl-citation.json"}</w:instrText>
      </w:r>
      <w:r w:rsidR="00354B8F" w:rsidRPr="00177CF7">
        <w:fldChar w:fldCharType="separate"/>
      </w:r>
      <w:r w:rsidR="00AB37AF" w:rsidRPr="00AB37AF">
        <w:rPr>
          <w:noProof/>
          <w:vertAlign w:val="superscript"/>
        </w:rPr>
        <w:t>10</w:t>
      </w:r>
      <w:r w:rsidR="00354B8F" w:rsidRPr="00177CF7">
        <w:fldChar w:fldCharType="end"/>
      </w:r>
      <w:r w:rsidRPr="00177CF7">
        <w:t xml:space="preserve"> and major pharmaceutical companies now </w:t>
      </w:r>
      <w:r w:rsidR="00CF3151" w:rsidRPr="00177CF7">
        <w:t xml:space="preserve">integrate </w:t>
      </w:r>
      <w:r w:rsidRPr="00177CF7">
        <w:t>protein</w:t>
      </w:r>
      <w:r w:rsidR="00887CBA" w:rsidRPr="00177CF7">
        <w:t xml:space="preserve"> </w:t>
      </w:r>
      <w:r w:rsidRPr="00177CF7">
        <w:t>quantitative trait loci</w:t>
      </w:r>
      <w:r w:rsidR="00936367" w:rsidRPr="00177CF7">
        <w:t xml:space="preserve"> (</w:t>
      </w:r>
      <w:proofErr w:type="spellStart"/>
      <w:r w:rsidR="00936367" w:rsidRPr="00177CF7">
        <w:t>pQTL</w:t>
      </w:r>
      <w:r w:rsidR="00DB1F94" w:rsidRPr="00177CF7">
        <w:t>s</w:t>
      </w:r>
      <w:proofErr w:type="spellEnd"/>
      <w:r w:rsidR="00936367" w:rsidRPr="00177CF7">
        <w:t>)</w:t>
      </w:r>
      <w:r w:rsidRPr="00177CF7">
        <w:t xml:space="preserve"> </w:t>
      </w:r>
      <w:r w:rsidR="00CF3151" w:rsidRPr="00177CF7">
        <w:t xml:space="preserve">into their strategies to </w:t>
      </w:r>
      <w:r w:rsidRPr="00177CF7">
        <w:t>identif</w:t>
      </w:r>
      <w:r w:rsidR="00CF3151" w:rsidRPr="00177CF7">
        <w:t>y new</w:t>
      </w:r>
      <w:r w:rsidRPr="00177CF7">
        <w:t xml:space="preserve"> drug targets </w:t>
      </w:r>
      <w:r w:rsidR="00CF3151" w:rsidRPr="00177CF7">
        <w:t xml:space="preserve">or </w:t>
      </w:r>
      <w:r w:rsidR="00600987" w:rsidRPr="00177CF7">
        <w:t xml:space="preserve">to </w:t>
      </w:r>
      <w:r w:rsidRPr="00177CF7">
        <w:t>repurpos</w:t>
      </w:r>
      <w:r w:rsidR="00CF3151" w:rsidRPr="00177CF7">
        <w:t>e</w:t>
      </w:r>
      <w:r w:rsidRPr="00177CF7">
        <w:t xml:space="preserve"> existing drugs</w:t>
      </w:r>
      <w:r w:rsidR="00354B8F" w:rsidRPr="00177CF7">
        <w:fldChar w:fldCharType="begin" w:fldLock="1"/>
      </w:r>
      <w:r w:rsidR="007212AD">
        <w:instrText>ADDIN CSL_CITATION {"citationItems":[{"id":"ITEM-1","itemData":{"DOI":"10.1038/s41588-020-0682-6","ISSN":"15461718","PMID":"32895551","abstract":"The human proteome is a major source of therapeutic targets. Recent genetic association analyses of the plasma proteome enable systematic evaluation of the causal consequences of variation in plasma protein levels. Here we estimated the effects of 1,002 proteins on 225 phenotypes using two-sample Mendelian randomization (MR) and colocalization. Of 413 associations supported by evidence from MR, 130 (31.5%) were not supported by results of colocalization analyses, suggesting that genetic confounding due to linkage disequilibrium is widespread in naïve phenome-wide association studies of proteins. Combining MR and colocalization evidence in cis-only analyses, we identified 111 putatively causal effects between 65 proteins and 52 disease-related phenotypes (https://www.epigraphdb.org/pqtl/). Evaluation of data from historic drug development programs showed that target-indication pairs with MR and colocalization support were more likely to be approved, evidencing the value of this approach in identifying and prioritizing potential therapeutic targets.","author":[{"dropping-particle":"","family":"Zheng","given":"Jie","non-dropping-particle":"","parse-names":false,"suffix":""},{"dropping-particle":"","family":"Haberland","given":"Valeriia","non-dropping-particle":"","parse-names":false,"suffix":""},{"dropping-particle":"","family":"Baird","given":"Denis","non-dropping-particle":"","parse-names":false,"suffix":""},{"dropping-particle":"","family":"Walker","given":"Venexia","non-dropping-particle":"","parse-names":false,"suffix":""},{"dropping-particle":"","family":"Haycock","given":"Philip C.","non-dropping-particle":"","parse-names":false,"suffix":""},{"dropping-particle":"","family":"Hurle","given":"Mark R.","non-dropping-particle":"","parse-names":false,"suffix":""},{"dropping-particle":"","family":"Gutteridge","given":"Alex","non-dropping-particle":"","parse-names":false,"suffix":""},{"dropping-particle":"","family":"Erola","given":"Pau","non-dropping-particle":"","parse-names":false,"suffix":""},{"dropping-particle":"","family":"Liu","given":"Yi","non-dropping-particle":"","parse-names":false,"suffix":""},{"dropping-particle":"","family":"Luo","given":"Shan","non-dropping-particle":"","parse-names":false,"suffix":""},{"dropping-particle":"","family":"Robinson","given":"Jamie","non-dropping-particle":"","parse-names":false,"suffix":""},{"dropping-particle":"","family":"Richardson","given":"Tom G.","non-dropping-particle":"","parse-names":false,"suffix":""},{"dropping-particle":"","family":"Staley","given":"James R.","non-dropping-particle":"","parse-names":false,"suffix":""},{"dropping-particle":"","family":"Elsworth","given":"Benjamin","non-dropping-particle":"","parse-names":false,"suffix":""},{"dropping-particle":"","family":"Burgess","given":"Stephen","non-dropping-particle":"","parse-names":false,"suffix":""},{"dropping-particle":"","family":"Sun","given":"Benjamin B.","non-dropping-particle":"","parse-names":false,"suffix":""},{"dropping-particle":"","family":"Danesh","given":"John","non-dropping-particle":"","parse-names":false,"suffix":""},{"dropping-particle":"","family":"Runz","given":"Heiko","non-dropping-particle":"","parse-names":false,"suffix":""},{"dropping-particle":"","family":"Maranville","given":"Joseph C.","non-dropping-particle":"","parse-names":false,"suffix":""},{"dropping-particle":"","family":"Martin","given":"Hannah M.","non-dropping-particle":"","parse-names":false,"suffix":""},{"dropping-particle":"","family":"Yarmolinsky","given":"James","non-dropping-particle":"","parse-names":false,"suffix":""},{"dropping-particle":"","family":"Laurin","given":"Charles","non-dropping-particle":"","parse-names":false,"suffix":""},{"dropping-particle":"V.","family":"Holmes","given":"Michael","non-dropping-particle":"","parse-names":false,"suffix":""},{"dropping-particle":"","family":"Liu","given":"Jimmy Z.","non-dropping-particle":"","parse-names":false,"suffix":""},{"dropping-particle":"","family":"Estrada","given":"Karol","non-dropping-particle":"","parse-names":false,"suffix":""},{"dropping-particle":"","family":"Santos","given":"Rita","non-dropping-particle":"","parse-names":false,"suffix":""},{"dropping-particle":"","family":"McCarthy","given":"Linda","non-dropping-particle":"","parse-names":false,"suffix":""},{"dropping-particle":"","family":"Waterworth","given":"Dawn","non-dropping-particle":"","parse-names":false,"suffix":""},{"dropping-particle":"","family":"Nelson","given":"Matthew R.","non-dropping-particle":"","parse-names":false,"suffix":""},{"dropping-particle":"","family":"Smith","given":"George Davey","non-dropping-particle":"","parse-names":false,"suffix":""},{"dropping-particle":"","family":"Butterworth","given":"Adam S.","non-dropping-particle":"","parse-names":false,"suffix":""},{"dropping-particle":"","family":"Hemani","given":"Gibran","non-dropping-particle":"","parse-names":false,"suffix":""},{"dropping-particle":"","family":"Scott","given":"Robert A.","non-dropping-particle":"","parse-names":false,"suffix":""},{"dropping-particle":"","family":"Gaunt","given":"Tom R.","non-dropping-particle":"","parse-names":false,"suffix":""}],"container-title":"Nature Genetics","id":"ITEM-1","issue":"10","issued":{"date-parts":[["2020","9","7"]]},"page":"1122-1131","publisher":"Springer US","title":"Phenome-wide Mendelian randomization mapping the influence of the plasma proteome on complex diseases","type":"article-journal","volume":"52"},"uris":["http://www.mendeley.com/documents/?uuid=7a83745b-38f7-4cc6-8b3e-6642d02b27fb"]},{"id":"ITEM-2","itemData":{"DOI":"10.1038/ng.3314","ISSN":"1061-4036","abstract":"Matthew Nelson and colleagues investigate how well genetic evidence for disease susceptibility predicts drug mechanisms. They find a correlation between gene products that are successful drug targets and genetic loci associated with the disease treated by the drug and predict that selecting genetically supported targets could increase the success rate of drugs in clinical development.","author":[{"dropping-particle":"","family":"Nelson","given":"Matthew R","non-dropping-particle":"","parse-names":false,"suffix":""},{"dropping-particle":"","family":"Tipney","given":"Hannah","non-dropping-particle":"","parse-names":false,"suffix":""},{"dropping-particle":"","family":"Painter","given":"Jeffery L","non-dropping-particle":"","parse-names":false,"suffix":""},{"dropping-particle":"","family":"Shen","given":"Judong","non-dropping-particle":"","parse-names":false,"suffix":""},{"dropping-particle":"","family":"Nicoletti","given":"Paola","non-dropping-particle":"","parse-names":false,"suffix":""},{"dropping-particle":"","family":"Shen","given":"Yufeng","non-dropping-particle":"","parse-names":false,"suffix":""},{"dropping-particle":"","family":"Floratos","given":"Aris","non-dropping-particle":"","parse-names":false,"suffix":""},{"dropping-particle":"","family":"Sham","given":"Pak Chung","non-dropping-particle":"","parse-names":false,"suffix":""},{"dropping-particle":"","family":"Li","given":"Mulin Jun","non-dropping-particle":"","parse-names":false,"suffix":""},{"dropping-particle":"","family":"Wang","given":"Junwen","non-dropping-particle":"","parse-names":false,"suffix":""},{"dropping-particle":"","family":"Cardon","given":"Lon R","non-dropping-particle":"","parse-names":false,"suffix":""},{"dropping-particle":"","family":"Whittaker","given":"John C","non-dropping-particle":"","parse-names":false,"suffix":""},{"dropping-particle":"","family":"Sanseau","given":"Philippe","non-dropping-particle":"","parse-names":false,"suffix":""}],"container-title":"Nature Genetics","id":"ITEM-2","issue":"8","issued":{"date-parts":[["2015","8","29"]]},"page":"856-860","publisher":"Nature Publishing Group","title":"The support of human genetic evidence for approved drug indications","type":"article-journal","volume":"47"},"uris":["http://www.mendeley.com/documents/?uuid=869cd886-4264-3885-b37d-ea6b571539cd"]},{"id":"ITEM-3","itemData":{"DOI":"10.1371/journal.pgen.1008489","ISSN":"1553-7404","author":[{"dropping-particle":"","family":"King","given":"Emily A.","non-dropping-particle":"","parse-names":false,"suffix":""},{"dropping-particle":"","family":"Davis","given":"J. Wade","non-dropping-particle":"","parse-names":false,"suffix":""},{"dropping-particle":"","family":"Degner","given":"Jacob F.","non-dropping-particle":"","parse-names":false,"suffix":""}],"container-title":"PLOS Genetics","editor":[{"dropping-particle":"","family":"Marchini","given":"Jonathan","non-dropping-particle":"","parse-names":false,"suffix":""}],"id":"ITEM-3","issue":"12","issued":{"date-parts":[["2019","12","12"]]},"page":"e1008489","title":"Are drug targets with genetic support twice as likely to be approved? Revised estimates of the impact of genetic support for drug mechanisms on the probability of drug approval","type":"article-journal","volume":"15"},"uris":["http://www.mendeley.com/documents/?uuid=0989b06d-dc72-37ab-8b1a-a4fa764eac40"]}],"mendeley":{"formattedCitation":"&lt;sup&gt;11–13&lt;/sup&gt;","plainTextFormattedCitation":"11–13","previouslyFormattedCitation":"&lt;sup&gt;11–13&lt;/sup&gt;"},"properties":{"noteIndex":0},"schema":"https://github.com/citation-style-language/schema/raw/master/csl-citation.json"}</w:instrText>
      </w:r>
      <w:r w:rsidR="00354B8F" w:rsidRPr="00177CF7">
        <w:fldChar w:fldCharType="separate"/>
      </w:r>
      <w:r w:rsidR="00AB37AF" w:rsidRPr="00AB37AF">
        <w:rPr>
          <w:noProof/>
          <w:vertAlign w:val="superscript"/>
        </w:rPr>
        <w:t>11–13</w:t>
      </w:r>
      <w:r w:rsidR="00354B8F" w:rsidRPr="00177CF7">
        <w:fldChar w:fldCharType="end"/>
      </w:r>
      <w:r w:rsidRPr="00177CF7">
        <w:t xml:space="preserve">. </w:t>
      </w:r>
      <w:r w:rsidR="0053440F" w:rsidRPr="00177CF7">
        <w:t>This</w:t>
      </w:r>
      <w:r w:rsidRPr="00177CF7">
        <w:t xml:space="preserve"> </w:t>
      </w:r>
      <w:r w:rsidR="00E16873" w:rsidRPr="00177CF7">
        <w:t xml:space="preserve">has only been possible through the commercial </w:t>
      </w:r>
      <w:r w:rsidRPr="00177CF7">
        <w:t xml:space="preserve">development </w:t>
      </w:r>
      <w:r w:rsidR="00E16873" w:rsidRPr="00177CF7">
        <w:t xml:space="preserve">and application </w:t>
      </w:r>
      <w:r w:rsidRPr="00177CF7">
        <w:t xml:space="preserve">of </w:t>
      </w:r>
      <w:r w:rsidR="00E16873" w:rsidRPr="00177CF7">
        <w:t xml:space="preserve">scalable </w:t>
      </w:r>
      <w:r w:rsidRPr="00177CF7">
        <w:t>affinity-based</w:t>
      </w:r>
      <w:r w:rsidR="00E16873" w:rsidRPr="00177CF7">
        <w:t xml:space="preserve"> proteomic</w:t>
      </w:r>
      <w:r w:rsidRPr="00177CF7">
        <w:t xml:space="preserve"> techniques</w:t>
      </w:r>
      <w:r w:rsidR="00E16873" w:rsidRPr="00177CF7">
        <w:t xml:space="preserve"> that</w:t>
      </w:r>
      <w:r w:rsidRPr="00177CF7">
        <w:t xml:space="preserve"> </w:t>
      </w:r>
      <w:r w:rsidR="00E16873" w:rsidRPr="00177CF7">
        <w:t>can measure thousands of</w:t>
      </w:r>
      <w:r w:rsidRPr="00177CF7">
        <w:t xml:space="preserve"> </w:t>
      </w:r>
      <w:r w:rsidR="0053440F" w:rsidRPr="00177CF7">
        <w:t>protein</w:t>
      </w:r>
      <w:r w:rsidR="00E16873" w:rsidRPr="00177CF7">
        <w:t xml:space="preserve"> targets simultaneously</w:t>
      </w:r>
      <w:r w:rsidR="000F4B73" w:rsidRPr="00177CF7">
        <w:t xml:space="preserve">. </w:t>
      </w:r>
      <w:r w:rsidR="005C1788" w:rsidRPr="00177CF7">
        <w:t xml:space="preserve">Projects </w:t>
      </w:r>
      <w:r w:rsidRPr="00177CF7">
        <w:t xml:space="preserve">are now underway to apply these techniques to large-scale </w:t>
      </w:r>
      <w:r w:rsidR="00E16873" w:rsidRPr="00177CF7">
        <w:t>studies</w:t>
      </w:r>
      <w:r w:rsidRPr="00177CF7">
        <w:t>, such as the UK Biobank</w:t>
      </w:r>
      <w:r w:rsidR="004639CA" w:rsidRPr="00177CF7">
        <w:fldChar w:fldCharType="begin" w:fldLock="1"/>
      </w:r>
      <w:r w:rsidR="007212AD">
        <w:instrText>ADDIN CSL_CITATION {"citationItems":[{"id":"ITEM-1","itemData":{"DOI":"10.1371/journal.pmed.1001779","ISSN":"1549-1676","PMID":"25826379","abstract":"Cathie Sudlow and colleagues describe the UK Biobank, a large population-based prospective study, established to allow investigation of the genetic and non-genetic determinants of the diseases of middle and old age.","author":[{"dropping-particle":"","family":"Sudlow","given":"Cathie","non-dropping-particle":"","parse-names":false,"suffix":""},{"dropping-particle":"","family":"Gallacher","given":"John","non-dropping-particle":"","parse-names":false,"suffix":""},{"dropping-particle":"","family":"Allen","given":"Naomi","non-dropping-particle":"","parse-names":false,"suffix":""},{"dropping-particle":"","family":"Beral","given":"Valerie","non-dropping-particle":"","parse-names":false,"suffix":""},{"dropping-particle":"","family":"Burton","given":"Paul","non-dropping-particle":"","parse-names":false,"suffix":""},{"dropping-particle":"","family":"Danesh","given":"John","non-dropping-particle":"","parse-names":false,"suffix":""},{"dropping-particle":"","family":"Downey","given":"Paul","non-dropping-particle":"","parse-names":false,"suffix":""},{"dropping-particle":"","family":"Elliott","given":"Paul","non-dropping-particle":"","parse-names":false,"suffix":""},{"dropping-particle":"","family":"Green","given":"Jane","non-dropping-particle":"","parse-names":false,"suffix":""},{"dropping-particle":"","family":"Landray","given":"Martin","non-dropping-particle":"","parse-names":false,"suffix":""},{"dropping-particle":"","family":"Liu","given":"Bette","non-dropping-particle":"","parse-names":false,"suffix":""},{"dropping-particle":"","family":"Matthews","given":"Paul","non-dropping-particle":"","parse-names":false,"suffix":""},{"dropping-particle":"","family":"Ong","given":"Giok","non-dropping-particle":"","parse-names":false,"suffix":""},{"dropping-particle":"","family":"Pell","given":"Jill","non-dropping-particle":"","parse-names":false,"suffix":""},{"dropping-particle":"","family":"Silman","given":"Alan","non-dropping-particle":"","parse-names":false,"suffix":""},{"dropping-particle":"","family":"Young","given":"Alan","non-dropping-particle":"","parse-names":false,"suffix":""},{"dropping-particle":"","family":"Sprosen","given":"Tim","non-dropping-particle":"","parse-names":false,"suffix":""},{"dropping-particle":"","family":"Peakman","given":"Tim","non-dropping-particle":"","parse-names":false,"suffix":""},{"dropping-particle":"","family":"Collins","given":"Rory","non-dropping-particle":"","parse-names":false,"suffix":""}],"container-title":"PLoS medicine","id":"ITEM-1","issue":"3","issued":{"date-parts":[["2015","3","1"]]},"page":"e1001779","publisher":"Public Library of Science","title":"UK biobank: an open access resource for identifying the causes of a wide range of complex diseases of middle and old age.","type":"article-journal","volume":"12"},"uris":["http://www.mendeley.com/documents/?uuid=cfe0cf01-65a1-4335-b855-a45738df6a89"]},{"id":"ITEM-2","itemData":{"URL":"https://www.ukbiobank.ac.uk/learn-more-about-uk-biobank/news/uk-biobank-launches-one-of-the-largest-scientific-studies","id":"ITEM-2","issued":{"date-parts":[["2020"]]},"page":"https://www.ukbiobank.ac.uk/learn-more-about-uk-bi","title":"UK Biobank proteomics","type":"webpage"},"uris":["http://www.mendeley.com/documents/?uuid=a272ba4a-f2d3-4c6b-98ba-a4126413bf3d"]}],"mendeley":{"formattedCitation":"&lt;sup&gt;14,15&lt;/sup&gt;","plainTextFormattedCitation":"14,15","previouslyFormattedCitation":"&lt;sup&gt;14,15&lt;/sup&gt;"},"properties":{"noteIndex":0},"schema":"https://github.com/citation-style-language/schema/raw/master/csl-citation.json"}</w:instrText>
      </w:r>
      <w:r w:rsidR="004639CA" w:rsidRPr="00177CF7">
        <w:fldChar w:fldCharType="separate"/>
      </w:r>
      <w:r w:rsidR="00AB37AF" w:rsidRPr="00AB37AF">
        <w:rPr>
          <w:noProof/>
          <w:vertAlign w:val="superscript"/>
        </w:rPr>
        <w:t>14,15</w:t>
      </w:r>
      <w:r w:rsidR="004639CA" w:rsidRPr="00177CF7">
        <w:fldChar w:fldCharType="end"/>
      </w:r>
      <w:r w:rsidR="00936367" w:rsidRPr="00177CF7">
        <w:t xml:space="preserve">, </w:t>
      </w:r>
      <w:r w:rsidR="00E16873" w:rsidRPr="00177CF7">
        <w:t xml:space="preserve">which </w:t>
      </w:r>
      <w:r w:rsidR="00A1534D" w:rsidRPr="00177CF7">
        <w:t xml:space="preserve">will </w:t>
      </w:r>
      <w:r w:rsidR="00E16873" w:rsidRPr="00177CF7">
        <w:t>provide major scientific opportunities</w:t>
      </w:r>
      <w:r w:rsidR="00AF7D3F" w:rsidRPr="00177CF7">
        <w:t>. However,</w:t>
      </w:r>
      <w:r w:rsidR="00E16873" w:rsidRPr="00177CF7">
        <w:t xml:space="preserve"> </w:t>
      </w:r>
      <w:r w:rsidR="00CB5743" w:rsidRPr="00177CF7">
        <w:t xml:space="preserve">information </w:t>
      </w:r>
      <w:r w:rsidR="00AF7D3F" w:rsidRPr="00177CF7">
        <w:t>about</w:t>
      </w:r>
      <w:r w:rsidR="00CB5743" w:rsidRPr="00177CF7">
        <w:t xml:space="preserve"> the consistency of protein measures and </w:t>
      </w:r>
      <w:r w:rsidR="00583CBE" w:rsidRPr="00177CF7">
        <w:t xml:space="preserve">the </w:t>
      </w:r>
      <w:proofErr w:type="spellStart"/>
      <w:r w:rsidR="00CB5743" w:rsidRPr="00177CF7">
        <w:t>pQTLs</w:t>
      </w:r>
      <w:proofErr w:type="spellEnd"/>
      <w:r w:rsidR="00583CBE" w:rsidRPr="00177CF7">
        <w:t xml:space="preserve"> identified using different </w:t>
      </w:r>
      <w:r w:rsidR="00F339EB" w:rsidRPr="00177CF7">
        <w:t>proteomics</w:t>
      </w:r>
      <w:r w:rsidR="00CB5743" w:rsidRPr="00177CF7">
        <w:t xml:space="preserve"> platforms </w:t>
      </w:r>
      <w:r w:rsidR="00AF7D3F" w:rsidRPr="00177CF7">
        <w:t xml:space="preserve">is needed </w:t>
      </w:r>
      <w:r w:rsidR="00CB5743" w:rsidRPr="00177CF7">
        <w:t>to inform</w:t>
      </w:r>
      <w:r w:rsidR="00CE66AA" w:rsidRPr="00177CF7">
        <w:t xml:space="preserve"> the </w:t>
      </w:r>
      <w:r w:rsidR="00CB5743" w:rsidRPr="00177CF7">
        <w:t xml:space="preserve">generalisability of </w:t>
      </w:r>
      <w:r w:rsidR="003E597F" w:rsidRPr="00177CF7">
        <w:t>genetic</w:t>
      </w:r>
      <w:r w:rsidR="00CB5743" w:rsidRPr="00177CF7">
        <w:t xml:space="preserve"> </w:t>
      </w:r>
      <w:r w:rsidR="00CE66AA" w:rsidRPr="00177CF7">
        <w:t xml:space="preserve">findings </w:t>
      </w:r>
      <w:r w:rsidR="00CB5743" w:rsidRPr="00177CF7">
        <w:t xml:space="preserve">and strategies for future data integration </w:t>
      </w:r>
      <w:r w:rsidR="004168CF" w:rsidRPr="00177CF7">
        <w:t>or</w:t>
      </w:r>
      <w:r w:rsidR="00CB5743" w:rsidRPr="00177CF7">
        <w:t xml:space="preserve"> meta-analytical approaches</w:t>
      </w:r>
      <w:r w:rsidR="004168CF" w:rsidRPr="00177CF7">
        <w:t>, and, more</w:t>
      </w:r>
      <w:r w:rsidR="007455C1" w:rsidRPr="00177CF7">
        <w:t xml:space="preserve"> importantly,</w:t>
      </w:r>
      <w:r w:rsidR="004168CF" w:rsidRPr="00177CF7">
        <w:t xml:space="preserve"> </w:t>
      </w:r>
      <w:r w:rsidR="00A33FB2" w:rsidRPr="00177CF7">
        <w:t xml:space="preserve">for </w:t>
      </w:r>
      <w:r w:rsidR="007455C1" w:rsidRPr="00177CF7">
        <w:t xml:space="preserve">possible downstream consequence for biomedical </w:t>
      </w:r>
      <w:r w:rsidR="00A33FB2" w:rsidRPr="00177CF7">
        <w:t>applications</w:t>
      </w:r>
      <w:r w:rsidR="007455C1" w:rsidRPr="00177CF7">
        <w:t xml:space="preserve">, </w:t>
      </w:r>
      <w:r w:rsidR="009A17FC" w:rsidRPr="00177CF7">
        <w:t>for example, the</w:t>
      </w:r>
      <w:r w:rsidR="007455C1" w:rsidRPr="00177CF7">
        <w:t xml:space="preserve"> alignment of </w:t>
      </w:r>
      <w:proofErr w:type="spellStart"/>
      <w:r w:rsidR="007455C1" w:rsidRPr="00177CF7">
        <w:t>pQTLs</w:t>
      </w:r>
      <w:proofErr w:type="spellEnd"/>
      <w:r w:rsidR="007455C1" w:rsidRPr="00177CF7">
        <w:t xml:space="preserve"> with disease-causing genetic variants</w:t>
      </w:r>
      <w:r w:rsidR="00CB5743" w:rsidRPr="00177CF7">
        <w:t>.</w:t>
      </w:r>
    </w:p>
    <w:p w14:paraId="699B6251" w14:textId="65BC9CBF" w:rsidR="001A289A" w:rsidRPr="00177CF7" w:rsidRDefault="00AC1A86" w:rsidP="009E62E6">
      <w:pPr>
        <w:spacing w:line="360" w:lineRule="auto"/>
        <w:jc w:val="both"/>
      </w:pPr>
      <w:r w:rsidRPr="00177CF7">
        <w:t>Here w</w:t>
      </w:r>
      <w:r w:rsidR="00555D20" w:rsidRPr="00177CF7">
        <w:t xml:space="preserve">e </w:t>
      </w:r>
      <w:r w:rsidRPr="00177CF7">
        <w:t>assess</w:t>
      </w:r>
      <w:r w:rsidR="00555D20" w:rsidRPr="00177CF7">
        <w:t xml:space="preserve"> 871 protein</w:t>
      </w:r>
      <w:r w:rsidRPr="00177CF7">
        <w:t>s</w:t>
      </w:r>
      <w:r w:rsidR="00555D20" w:rsidRPr="00177CF7">
        <w:t xml:space="preserve"> target</w:t>
      </w:r>
      <w:r w:rsidRPr="00177CF7">
        <w:t>ed</w:t>
      </w:r>
      <w:r w:rsidR="00555D20" w:rsidRPr="00177CF7">
        <w:t xml:space="preserve"> by </w:t>
      </w:r>
      <w:r w:rsidR="009A17FC" w:rsidRPr="00177CF7">
        <w:t xml:space="preserve">two complementary </w:t>
      </w:r>
      <w:r w:rsidR="00F77FFC" w:rsidRPr="00177CF7">
        <w:t>techniques, the</w:t>
      </w:r>
      <w:r w:rsidR="006B7A17" w:rsidRPr="00177CF7">
        <w:t xml:space="preserve"> </w:t>
      </w:r>
      <w:proofErr w:type="spellStart"/>
      <w:r w:rsidR="006B7A17" w:rsidRPr="00177CF7">
        <w:t>Soma</w:t>
      </w:r>
      <w:r w:rsidR="00F77FFC" w:rsidRPr="00177CF7">
        <w:t>Scan</w:t>
      </w:r>
      <w:proofErr w:type="spellEnd"/>
      <w:r w:rsidR="00F77FFC" w:rsidRPr="00177CF7">
        <w:t xml:space="preserve"> v4 assay</w:t>
      </w:r>
      <w:r w:rsidR="00C2357A" w:rsidRPr="00177CF7">
        <w:fldChar w:fldCharType="begin" w:fldLock="1"/>
      </w:r>
      <w:r w:rsidR="007212AD">
        <w:instrText>ADDIN CSL_CITATION {"citationItems":[{"id":"ITEM-1","itemData":{"DOI":"10.1371/journal.pone.0015004","ISSN":"19326203","PMID":"21165148","abstract":"Background: The interrogation of proteomes (\"proteomics\") in a highly multiplexed and efficient manner remains a coveted and challenging goal in biology and medicine. Methodology/Principal Findings: We present a new aptamer-based proteomic technology for biomarker discovery capable of simultaneously measuring thousands of proteins from small sample volumes (15 μL of serum or plasma). Our current assay measures 813 proteins with low limits of detection (1 pM median), 7 logs of overall dynamic range (~100 fM-1 μM), and 5% median coefficient of variation. This technology is enabled by a new generation of aptamers that contain chemically modified nucleotides, which greatly expand the physicochemical diversity of the large randomized nucleic acid libraries from which the aptamers are selected. Proteins in complex matrices such as plasma are measured with a process that transforms a signature of protein concentrations into a corresponding signature of DNA aptamer concentrations, which is quantified on a DNA microarray. Our assay takes advantage of the dual nature of aptamers as both folded protein-binding entities with defined shapes and unique nucleotide sequences recognizable by specific hybridization probes. To demonstrate the utility of our proteomics biomarker discovery technology, we applied it to a clinical study of chronic kidney disease (CKD). We identified two well known CKD biomarkers as well as an additional 58 potential CKD biomarkers. These results demonstrate the potential utility of our technology to rapidly discover unique protein signatures characteristic of various disease states. Conclusions/Significance: We describe a versatile and powerful tool that allows large-scale comparison of proteome profiles among discrete populations. This unbiased and highly multiplexed search engine will enable the discovery of novel biomarkers in a manner that is unencumbered by our incomplete knowledge of biology, thereby helping to advance the next generation of evidence-based medicine. © 2010 Gold et al.","author":[{"dropping-particle":"","family":"Gold","given":"Larry","non-dropping-particle":"","parse-names":false,"suffix":""},{"dropping-particle":"","family":"Ayers","given":"Deborah","non-dropping-particle":"","parse-names":false,"suffix":""},{"dropping-particle":"","family":"Bertino","given":"Jennifer","non-dropping-particle":"","parse-names":false,"suffix":""},{"dropping-particle":"","family":"Bock","given":"Christopher","non-dropping-particle":"","parse-names":false,"suffix":""},{"dropping-particle":"","family":"Bock","given":"Ashley","non-dropping-particle":"","parse-names":false,"suffix":""},{"dropping-particle":"","family":"Brody","given":"Edward N.","non-dropping-particle":"","parse-names":false,"suffix":""},{"dropping-particle":"","family":"Carter","given":"Jeff","non-dropping-particle":"","parse-names":false,"suffix":""},{"dropping-particle":"","family":"Dalby","given":"Andrew B.","non-dropping-particle":"","parse-names":false,"suffix":""},{"dropping-particle":"","family":"Eaton","given":"Bruce E.","non-dropping-particle":"","parse-names":false,"suffix":""},{"dropping-particle":"","family":"Fitzwater","given":"Tim","non-dropping-particle":"","parse-names":false,"suffix":""},{"dropping-particle":"","family":"Flather","given":"Dylan","non-dropping-particle":"","parse-names":false,"suffix":""},{"dropping-particle":"","family":"Forbes","given":"Ashley","non-dropping-particle":"","parse-names":false,"suffix":""},{"dropping-particle":"","family":"Foreman","given":"Trudi","non-dropping-particle":"","parse-names":false,"suffix":""},{"dropping-particle":"","family":"Fowler","given":"Cate","non-dropping-particle":"","parse-names":false,"suffix":""},{"dropping-particle":"","family":"Gawande","given":"Bharat","non-dropping-particle":"","parse-names":false,"suffix":""},{"dropping-particle":"","family":"Goss","given":"Meredith","non-dropping-particle":"","parse-names":false,"suffix":""},{"dropping-particle":"","family":"Gunn","given":"Magda","non-dropping-particle":"","parse-names":false,"suffix":""},{"dropping-particle":"","family":"Gupta","given":"Shashi","non-dropping-particle":"","parse-names":false,"suffix":""},{"dropping-particle":"","family":"Halladay","given":"Dennis","non-dropping-particle":"","parse-names":false,"suffix":""},{"dropping-particle":"","family":"Heil","given":"Jim","non-dropping-particle":"","parse-names":false,"suffix":""},{"dropping-particle":"","family":"Heilig","given":"Joe","non-dropping-particle":"","parse-names":false,"suffix":""},{"dropping-particle":"","family":"Hicke","given":"Brian","non-dropping-particle":"","parse-names":false,"suffix":""},{"dropping-particle":"","family":"Husar","given":"Gregory","non-dropping-particle":"","parse-names":false,"suffix":""},{"dropping-particle":"","family":"Janjic","given":"Nebojsa","non-dropping-particle":"","parse-names":false,"suffix":""},{"dropping-particle":"","family":"Jarvis","given":"Thale","non-dropping-particle":"","parse-names":false,"suffix":""},{"dropping-particle":"","family":"Jennings","given":"Susan","non-dropping-particle":"","parse-names":false,"suffix":""},{"dropping-particle":"","family":"Katilius","given":"Evaldas","non-dropping-particle":"","parse-names":false,"suffix":""},{"dropping-particle":"","family":"Keeney","given":"Tracy R.","non-dropping-particle":"","parse-names":false,"suffix":""},{"dropping-particle":"","family":"Kim","given":"Nancy","non-dropping-particle":"","parse-names":false,"suffix":""},{"dropping-particle":"","family":"Koch","given":"Tad H.","non-dropping-particle":"","parse-names":false,"suffix":""},{"dropping-particle":"","family":"Kraemer","given":"Stephan","non-dropping-particle":"","parse-names":false,"suffix":""},{"dropping-particle":"","family":"Kroiss","given":"Luke","non-dropping-particle":"","parse-names":false,"suffix":""},{"dropping-particle":"","family":"Le","given":"Ngan","non-dropping-particle":"","parse-names":false,"suffix":""},{"dropping-particle":"","family":"Levine","given":"Daniel","non-dropping-particle":"","parse-names":false,"suffix":""},{"dropping-particle":"","family":"Lindsey","given":"Wes","non-dropping-particle":"","parse-names":false,"suffix":""},{"dropping-particle":"","family":"Lollo","given":"Bridget","non-dropping-particle":"","parse-names":false,"suffix":""},{"dropping-particle":"","family":"Mayfield","given":"Wes","non-dropping-particle":"","parse-names":false,"suffix":""},{"dropping-particle":"","family":"Mehan","given":"Mike","non-dropping-particle":"","parse-names":false,"suffix":""},{"dropping-particle":"","family":"Mehler","given":"Robert","non-dropping-particle":"","parse-names":false,"suffix":""},{"dropping-particle":"","family":"Nelson","given":"Sally K.","non-dropping-particle":"","parse-names":false,"suffix":""},{"dropping-particle":"","family":"Nelson","given":"Michele","non-dropping-particle":"","parse-names":false,"suffix":""},{"dropping-particle":"","family":"Nieuwlandt","given":"Dan","non-dropping-particle":"","parse-names":false,"suffix":""},{"dropping-particle":"","family":"Nikrad","given":"Malti","non-dropping-particle":"","parse-names":false,"suffix":""},{"dropping-particle":"","family":"Ochsner","given":"Urs","non-dropping-particle":"","parse-names":false,"suffix":""},{"dropping-particle":"","family":"Ostroff","given":"Rachel M.","non-dropping-particle":"","parse-names":false,"suffix":""},{"dropping-particle":"","family":"Otis","given":"Matt","non-dropping-particle":"","parse-names":false,"suffix":""},{"dropping-particle":"","family":"Parker","given":"Thomas","non-dropping-particle":"","parse-names":false,"suffix":""},{"dropping-particle":"","family":"Pietrasiewicz","given":"Steve","non-dropping-particle":"","parse-names":false,"suffix":""},{"dropping-particle":"","family":"Resnicow","given":"Daniel I.","non-dropping-particle":"","parse-names":false,"suffix":""},{"dropping-particle":"","family":"Rohloff","given":"John","non-dropping-particle":"","parse-names":false,"suffix":""},{"dropping-particle":"","family":"Sanders","given":"Glenn","non-dropping-particle":"","parse-names":false,"suffix":""},{"dropping-particle":"","family":"Sattin","given":"Sarah","non-dropping-particle":"","parse-names":false,"suffix":""},{"dropping-particle":"","family":"Schneider","given":"Daniel","non-dropping-particle":"","parse-names":false,"suffix":""},{"dropping-particle":"","family":"Singer","given":"Britta","non-dropping-particle":"","parse-names":false,"suffix":""},{"dropping-particle":"","family":"Stanton","given":"Martin","non-dropping-particle":"","parse-names":false,"suffix":""},{"dropping-particle":"","family":"Sterkel","given":"Alana","non-dropping-particle":"","parse-names":false,"suffix":""},{"dropping-particle":"","family":"Stewart","given":"Alex","non-dropping-particle":"","parse-names":false,"suffix":""},{"dropping-particle":"","family":"Stratford","given":"Suzanne","non-dropping-particle":"","parse-names":false,"suffix":""},{"dropping-particle":"","family":"Vaught","given":"Jonathan D.","non-dropping-particle":"","parse-names":false,"suffix":""},{"dropping-particle":"","family":"Vrkljan","given":"Mike","non-dropping-particle":"","parse-names":false,"suffix":""},{"dropping-particle":"","family":"Walker","given":"Jeffrey J.","non-dropping-particle":"","parse-names":false,"suffix":""},{"dropping-particle":"","family":"Watrobka","given":"Mike","non-dropping-particle":"","parse-names":false,"suffix":""},{"dropping-particle":"","family":"Waugh","given":"Sheela","non-dropping-particle":"","parse-names":false,"suffix":""},{"dropping-particle":"","family":"Weiss","given":"Allison","non-dropping-particle":"","parse-names":false,"suffix":""},{"dropping-particle":"","family":"Wilcox","given":"Sheri K.","non-dropping-particle":"","parse-names":false,"suffix":""},{"dropping-particle":"","family":"Wolfson","given":"Alexey","non-dropping-particle":"","parse-names":false,"suffix":""},{"dropping-particle":"","family":"Wolk","given":"Steven K.","non-dropping-particle":"","parse-names":false,"suffix":""},{"dropping-particle":"","family":"Zhang","given":"Chi","non-dropping-particle":"","parse-names":false,"suffix":""},{"dropping-particle":"","family":"Zichi","given":"Dom","non-dropping-particle":"","parse-names":false,"suffix":""}],"container-title":"PLoS ONE","id":"ITEM-1","issue":"12","issued":{"date-parts":[["2010"]]},"title":"Aptamer-based multiplexed proteomic technology for biomarker discovery","type":"article-journal","volume":"5"},"uris":["http://www.mendeley.com/documents/?uuid=e955bb72-f102-487d-bb89-3e31c5c2574e"]}],"mendeley":{"formattedCitation":"&lt;sup&gt;16&lt;/sup&gt;","plainTextFormattedCitation":"16","previouslyFormattedCitation":"&lt;sup&gt;16&lt;/sup&gt;"},"properties":{"noteIndex":0},"schema":"https://github.com/citation-style-language/schema/raw/master/csl-citation.json"}</w:instrText>
      </w:r>
      <w:r w:rsidR="00C2357A" w:rsidRPr="00177CF7">
        <w:fldChar w:fldCharType="separate"/>
      </w:r>
      <w:r w:rsidR="00AB37AF" w:rsidRPr="00AB37AF">
        <w:rPr>
          <w:noProof/>
          <w:vertAlign w:val="superscript"/>
        </w:rPr>
        <w:t>16</w:t>
      </w:r>
      <w:r w:rsidR="00C2357A" w:rsidRPr="00177CF7">
        <w:fldChar w:fldCharType="end"/>
      </w:r>
      <w:r w:rsidR="00F77FFC" w:rsidRPr="00177CF7">
        <w:t xml:space="preserve"> (aptamer-based)</w:t>
      </w:r>
      <w:r w:rsidR="006B7A17" w:rsidRPr="00177CF7">
        <w:t xml:space="preserve"> and </w:t>
      </w:r>
      <w:proofErr w:type="spellStart"/>
      <w:r w:rsidR="006B7A17" w:rsidRPr="00177CF7">
        <w:t>Olink</w:t>
      </w:r>
      <w:r w:rsidR="00F77FFC" w:rsidRPr="00177CF7">
        <w:t>’s</w:t>
      </w:r>
      <w:proofErr w:type="spellEnd"/>
      <w:r w:rsidR="00F77FFC" w:rsidRPr="00177CF7">
        <w:t xml:space="preserve"> proximity extension assay</w:t>
      </w:r>
      <w:r w:rsidR="00F77FFC" w:rsidRPr="00177CF7">
        <w:fldChar w:fldCharType="begin" w:fldLock="1"/>
      </w:r>
      <w:r w:rsidR="007212AD">
        <w:instrText>ADDIN CSL_CITATION {"citationItems":[{"id":"ITEM-1","itemData":{"DOI":"10.1371/journal.pone.0095192","ISSN":"19326203","PMID":"24755770","abstract":"Medical research is developing an ever greater need for comprehensive high-quality data generation to realize the promises of personalized health care based on molecular biomarkers. The nucleic acid proximity-based methods proximity ligation and proximity extension assays have, with their dual reporters, shown potential to relieve the shortcomings of antibodies and their inherent cross-reactivity in multiplex protein quantification applications. The aim of the present study was to develop a robust 96-plex immunoassay based on the proximity extension assay (PEA) for improved high throughput detection of protein biomarkers. This was enabled by: (1) a modified design leading to a reduced number of pipetting steps compared to the existing PEA protocol, as well as improved intra-assay precision; (2) a new enzymatic system that uses a hyper-thermostabile enzyme, Pwo, for uniting the two probes allowing for room temperature addition of all reagents and improved the sensitivity; (3) introduction of an inter-plate control and a new normalization procedure leading to improved inter-assay precision (reproducibility). The multiplex proximity extension assay was found to perform well in complex samples, such as serum and plasma, and also in xenografted mice and resuspended dried blood spots, consuming only 1 μL sample per test. All-in-all, the development of the current multiplex technique is a step toward robust high throughput protein marker discovery and research. © 2014 Assarsson et al.","author":[{"dropping-particle":"","family":"Assarsson","given":"Erika","non-dropping-particle":"","parse-names":false,"suffix":""},{"dropping-particle":"","family":"Lundberg","given":"Martin","non-dropping-particle":"","parse-names":false,"suffix":""},{"dropping-particle":"","family":"Holmquist","given":"Göran","non-dropping-particle":"","parse-names":false,"suffix":""},{"dropping-particle":"","family":"Björkesten","given":"Johan","non-dropping-particle":"","parse-names":false,"suffix":""},{"dropping-particle":"","family":"Thorsen","given":"Stine Bucht","non-dropping-particle":"","parse-names":false,"suffix":""},{"dropping-particle":"","family":"Ekman","given":"Daniel","non-dropping-particle":"","parse-names":false,"suffix":""},{"dropping-particle":"","family":"Eriksson","given":"Anna","non-dropping-particle":"","parse-names":false,"suffix":""},{"dropping-particle":"","family":"Dickens","given":"Emma Rennel","non-dropping-particle":"","parse-names":false,"suffix":""},{"dropping-particle":"","family":"Ohlsson","given":"Sandra","non-dropping-particle":"","parse-names":false,"suffix":""},{"dropping-particle":"","family":"Edfeldt","given":"Gabriella","non-dropping-particle":"","parse-names":false,"suffix":""},{"dropping-particle":"","family":"Andersson","given":"Ann Catrin","non-dropping-particle":"","parse-names":false,"suffix":""},{"dropping-particle":"","family":"Lindstedt","given":"Patrik","non-dropping-particle":"","parse-names":false,"suffix":""},{"dropping-particle":"","family":"Stenvang","given":"Jan","non-dropping-particle":"","parse-names":false,"suffix":""},{"dropping-particle":"","family":"Gullberg","given":"Mats","non-dropping-particle":"","parse-names":false,"suffix":""},{"dropping-particle":"","family":"Fredriksson","given":"Simon","non-dropping-particle":"","parse-names":false,"suffix":""}],"container-title":"PLoS ONE","id":"ITEM-1","issue":"4","issued":{"date-parts":[["2014"]]},"title":"Homogenous 96-plex PEA immunoassay exhibiting high sensitivity, specificity, and excellent scalability","type":"article-journal","volume":"9"},"uris":["http://www.mendeley.com/documents/?uuid=65de5f3e-d319-4a29-a593-64bc4b5f10c4"]}],"mendeley":{"formattedCitation":"&lt;sup&gt;17&lt;/sup&gt;","plainTextFormattedCitation":"17","previouslyFormattedCitation":"&lt;sup&gt;17&lt;/sup&gt;"},"properties":{"noteIndex":0},"schema":"https://github.com/citation-style-language/schema/raw/master/csl-citation.json"}</w:instrText>
      </w:r>
      <w:r w:rsidR="00F77FFC" w:rsidRPr="00177CF7">
        <w:fldChar w:fldCharType="separate"/>
      </w:r>
      <w:r w:rsidR="00AB37AF" w:rsidRPr="00AB37AF">
        <w:rPr>
          <w:noProof/>
          <w:vertAlign w:val="superscript"/>
        </w:rPr>
        <w:t>17</w:t>
      </w:r>
      <w:r w:rsidR="00F77FFC" w:rsidRPr="00177CF7">
        <w:fldChar w:fldCharType="end"/>
      </w:r>
      <w:r w:rsidR="00F77FFC" w:rsidRPr="00177CF7">
        <w:t xml:space="preserve"> (PEA, antibody-based)</w:t>
      </w:r>
      <w:r w:rsidR="00FF38A4" w:rsidRPr="00177CF7">
        <w:t>,</w:t>
      </w:r>
      <w:r w:rsidR="006B7A17" w:rsidRPr="00177CF7">
        <w:t xml:space="preserve"> </w:t>
      </w:r>
      <w:r w:rsidR="00555D20" w:rsidRPr="00177CF7">
        <w:t xml:space="preserve">measured in up to 10,708 </w:t>
      </w:r>
      <w:r w:rsidRPr="00177CF7">
        <w:t>individuals</w:t>
      </w:r>
      <w:r w:rsidR="00555D20" w:rsidRPr="00177CF7">
        <w:t xml:space="preserve">, </w:t>
      </w:r>
      <w:r w:rsidRPr="00177CF7">
        <w:t xml:space="preserve">including </w:t>
      </w:r>
      <w:r w:rsidR="00555D20" w:rsidRPr="00177CF7">
        <w:t xml:space="preserve">overlapping measurements </w:t>
      </w:r>
      <w:r w:rsidR="00396BB4" w:rsidRPr="00177CF7">
        <w:t xml:space="preserve">by both technologies </w:t>
      </w:r>
      <w:r w:rsidR="00555D20" w:rsidRPr="00177CF7">
        <w:t xml:space="preserve">in a subset of 485 participants. We </w:t>
      </w:r>
      <w:r w:rsidR="00893CBF" w:rsidRPr="00177CF7">
        <w:t xml:space="preserve">use </w:t>
      </w:r>
      <w:r w:rsidR="00953E0E" w:rsidRPr="00177CF7">
        <w:t xml:space="preserve">a </w:t>
      </w:r>
      <w:r w:rsidR="00893CBF" w:rsidRPr="00177CF7">
        <w:t>machine learning approac</w:t>
      </w:r>
      <w:r w:rsidR="00953E0E" w:rsidRPr="00177CF7">
        <w:t>h</w:t>
      </w:r>
      <w:r w:rsidR="00893CBF" w:rsidRPr="00177CF7">
        <w:t xml:space="preserve"> to </w:t>
      </w:r>
      <w:r w:rsidR="00555D20" w:rsidRPr="00177CF7">
        <w:t xml:space="preserve">identify technical parameters </w:t>
      </w:r>
      <w:r w:rsidR="00893CBF" w:rsidRPr="00177CF7">
        <w:t>and</w:t>
      </w:r>
      <w:r w:rsidR="00555D20" w:rsidRPr="00177CF7">
        <w:t xml:space="preserve"> protein characteristics </w:t>
      </w:r>
      <w:r w:rsidR="00731070" w:rsidRPr="00177CF7">
        <w:t>that contribute</w:t>
      </w:r>
      <w:r w:rsidRPr="00177CF7">
        <w:t xml:space="preserve"> to</w:t>
      </w:r>
      <w:r w:rsidR="00555D20" w:rsidRPr="00177CF7">
        <w:t xml:space="preserve"> </w:t>
      </w:r>
      <w:r w:rsidR="00FF38A4" w:rsidRPr="00177CF7">
        <w:t xml:space="preserve">measurement </w:t>
      </w:r>
      <w:r w:rsidR="00555D20" w:rsidRPr="00177CF7">
        <w:t>variation</w:t>
      </w:r>
      <w:r w:rsidRPr="00177CF7">
        <w:t xml:space="preserve"> between platforms</w:t>
      </w:r>
      <w:r w:rsidR="00555D20" w:rsidRPr="00177CF7">
        <w:t xml:space="preserve">. We </w:t>
      </w:r>
      <w:r w:rsidRPr="00177CF7">
        <w:t xml:space="preserve">identify </w:t>
      </w:r>
      <w:r w:rsidR="00555D20" w:rsidRPr="00177CF7">
        <w:t xml:space="preserve">hundreds of </w:t>
      </w:r>
      <w:proofErr w:type="spellStart"/>
      <w:r w:rsidR="00555D20" w:rsidRPr="00177CF7">
        <w:t>pQTLs</w:t>
      </w:r>
      <w:proofErr w:type="spellEnd"/>
      <w:r w:rsidR="00555D20" w:rsidRPr="00177CF7">
        <w:t xml:space="preserve"> </w:t>
      </w:r>
      <w:r w:rsidRPr="00177CF7">
        <w:t>and</w:t>
      </w:r>
      <w:r w:rsidR="004253A8" w:rsidRPr="00177CF7">
        <w:t xml:space="preserve"> </w:t>
      </w:r>
      <w:r w:rsidR="00B2163F" w:rsidRPr="00177CF7">
        <w:t xml:space="preserve">systematically </w:t>
      </w:r>
      <w:r w:rsidRPr="00177CF7">
        <w:t xml:space="preserve">assess their consistency </w:t>
      </w:r>
      <w:r w:rsidR="00555D20" w:rsidRPr="00177CF7">
        <w:t>in a reciprocal</w:t>
      </w:r>
      <w:r w:rsidRPr="00177CF7">
        <w:t xml:space="preserve"> </w:t>
      </w:r>
      <w:r w:rsidR="00555D20" w:rsidRPr="00177CF7">
        <w:t>design</w:t>
      </w:r>
      <w:r w:rsidR="009B1778" w:rsidRPr="00177CF7">
        <w:t>,</w:t>
      </w:r>
      <w:r w:rsidR="0006663B" w:rsidRPr="00177CF7">
        <w:t xml:space="preserve"> </w:t>
      </w:r>
      <w:r w:rsidR="00A84456" w:rsidRPr="00177CF7">
        <w:t xml:space="preserve">generating a unique </w:t>
      </w:r>
      <w:r w:rsidR="00E46DF7" w:rsidRPr="00177CF7">
        <w:t xml:space="preserve">benchmark </w:t>
      </w:r>
      <w:r w:rsidR="00A84456" w:rsidRPr="00177CF7">
        <w:t>for future studies</w:t>
      </w:r>
      <w:r w:rsidR="00B2163F" w:rsidRPr="00177CF7">
        <w:t>.</w:t>
      </w:r>
      <w:r w:rsidR="00E73644" w:rsidRPr="00177CF7">
        <w:t xml:space="preserve"> We create a comprehensive</w:t>
      </w:r>
      <w:r w:rsidR="00691391" w:rsidRPr="00177CF7">
        <w:t>,</w:t>
      </w:r>
      <w:r w:rsidR="00E73644" w:rsidRPr="00177CF7">
        <w:t xml:space="preserve"> genetically anchored cross-platform protein–phenotype network</w:t>
      </w:r>
      <w:r w:rsidR="00691391" w:rsidRPr="00177CF7">
        <w:t xml:space="preserve"> using </w:t>
      </w:r>
      <w:proofErr w:type="spellStart"/>
      <w:r w:rsidR="00691391" w:rsidRPr="00177CF7">
        <w:t>colocalisation</w:t>
      </w:r>
      <w:proofErr w:type="spellEnd"/>
      <w:r w:rsidR="00691391" w:rsidRPr="00177CF7">
        <w:t xml:space="preserve"> a</w:t>
      </w:r>
      <w:r w:rsidR="00190842" w:rsidRPr="00177CF7">
        <w:t xml:space="preserve">nalysis </w:t>
      </w:r>
      <w:r w:rsidR="00B00F10" w:rsidRPr="00177CF7">
        <w:t xml:space="preserve">at protein-encoding loci </w:t>
      </w:r>
      <w:r w:rsidR="00D94652" w:rsidRPr="00177CF7">
        <w:t xml:space="preserve">across </w:t>
      </w:r>
      <w:r w:rsidR="00D349A3" w:rsidRPr="00177CF7">
        <w:t>thousands of phenotyp</w:t>
      </w:r>
      <w:r w:rsidR="005E2063" w:rsidRPr="00177CF7">
        <w:t>e</w:t>
      </w:r>
      <w:r w:rsidR="00FE47A3" w:rsidRPr="00177CF7">
        <w:t>s</w:t>
      </w:r>
      <w:r w:rsidR="005E2063" w:rsidRPr="00177CF7">
        <w:t>,</w:t>
      </w:r>
      <w:r w:rsidR="00E73644" w:rsidRPr="00177CF7">
        <w:t xml:space="preserve"> </w:t>
      </w:r>
      <w:r w:rsidR="00AD5FD7" w:rsidRPr="00177CF7">
        <w:t xml:space="preserve">identifying </w:t>
      </w:r>
      <w:r w:rsidR="001C7DC9" w:rsidRPr="00177CF7">
        <w:t>substantial synergy between both platforms</w:t>
      </w:r>
      <w:r w:rsidR="00932E8C" w:rsidRPr="00177CF7">
        <w:t xml:space="preserve">. </w:t>
      </w:r>
      <w:r w:rsidR="0088457E" w:rsidRPr="00177CF7">
        <w:t xml:space="preserve">We show </w:t>
      </w:r>
      <w:r w:rsidR="003E1B9D" w:rsidRPr="00177CF7">
        <w:t xml:space="preserve">that </w:t>
      </w:r>
      <w:r w:rsidR="00A451EF" w:rsidRPr="00177CF7">
        <w:t xml:space="preserve">protein-phenotype </w:t>
      </w:r>
      <w:proofErr w:type="spellStart"/>
      <w:r w:rsidR="008B068F" w:rsidRPr="00177CF7">
        <w:t>coloca</w:t>
      </w:r>
      <w:r w:rsidR="00201634" w:rsidRPr="00177CF7">
        <w:t>lisation</w:t>
      </w:r>
      <w:proofErr w:type="spellEnd"/>
      <w:r w:rsidR="00A451EF" w:rsidRPr="00177CF7">
        <w:t xml:space="preserve"> seen with only one platform </w:t>
      </w:r>
      <w:r w:rsidR="00560D34" w:rsidRPr="00177CF7">
        <w:t>go</w:t>
      </w:r>
      <w:r w:rsidR="002D4AC9" w:rsidRPr="00177CF7">
        <w:t>es</w:t>
      </w:r>
      <w:r w:rsidR="00560D34" w:rsidRPr="00177CF7">
        <w:t xml:space="preserve"> beyond missing target </w:t>
      </w:r>
      <w:r w:rsidR="0064642C" w:rsidRPr="00177CF7">
        <w:t>specificity and</w:t>
      </w:r>
      <w:r w:rsidR="002D4AC9" w:rsidRPr="00177CF7">
        <w:t xml:space="preserve"> can be </w:t>
      </w:r>
      <w:r w:rsidR="00A451EF" w:rsidRPr="00177CF7">
        <w:t>explained by</w:t>
      </w:r>
      <w:r w:rsidR="00255554" w:rsidRPr="00177CF7">
        <w:t xml:space="preserve"> alternative </w:t>
      </w:r>
      <w:proofErr w:type="spellStart"/>
      <w:r w:rsidR="00255554" w:rsidRPr="00177CF7">
        <w:t>proteoforms</w:t>
      </w:r>
      <w:proofErr w:type="spellEnd"/>
      <w:r w:rsidR="00255554" w:rsidRPr="00177CF7">
        <w:t xml:space="preserve"> induced by </w:t>
      </w:r>
      <w:r w:rsidR="002C4D1E" w:rsidRPr="00177CF7">
        <w:t xml:space="preserve">genetic variants </w:t>
      </w:r>
      <w:r w:rsidR="00F3079E" w:rsidRPr="00177CF7">
        <w:t xml:space="preserve">altering </w:t>
      </w:r>
      <w:r w:rsidR="002C4D1E" w:rsidRPr="00177CF7">
        <w:t>the amino ac</w:t>
      </w:r>
      <w:r w:rsidR="00072152" w:rsidRPr="00177CF7">
        <w:t>i</w:t>
      </w:r>
      <w:r w:rsidR="002C4D1E" w:rsidRPr="00177CF7">
        <w:t xml:space="preserve">d sequence </w:t>
      </w:r>
      <w:r w:rsidR="005E2063" w:rsidRPr="00177CF7">
        <w:t>of the protein</w:t>
      </w:r>
      <w:r w:rsidR="00F3079E" w:rsidRPr="00177CF7">
        <w:t xml:space="preserve"> and </w:t>
      </w:r>
      <w:r w:rsidR="001A289A" w:rsidRPr="00177CF7">
        <w:t xml:space="preserve">the effects of </w:t>
      </w:r>
      <w:r w:rsidR="00560D34" w:rsidRPr="00177CF7">
        <w:t>alternative splicing</w:t>
      </w:r>
      <w:r w:rsidR="00B95E99" w:rsidRPr="00177CF7">
        <w:t>.</w:t>
      </w:r>
    </w:p>
    <w:p w14:paraId="6E8D9E43" w14:textId="77777777" w:rsidR="001A289A" w:rsidRPr="00177CF7" w:rsidRDefault="001A289A">
      <w:r w:rsidRPr="00177CF7">
        <w:br w:type="page"/>
      </w:r>
    </w:p>
    <w:p w14:paraId="0000000E" w14:textId="2AFB3BB7" w:rsidR="00766C45" w:rsidRPr="00177CF7" w:rsidRDefault="00555D20" w:rsidP="009E62E6">
      <w:pPr>
        <w:spacing w:line="360" w:lineRule="auto"/>
        <w:jc w:val="both"/>
        <w:rPr>
          <w:b/>
        </w:rPr>
      </w:pPr>
      <w:r w:rsidRPr="00177CF7">
        <w:rPr>
          <w:b/>
        </w:rPr>
        <w:lastRenderedPageBreak/>
        <w:t>RESULTS</w:t>
      </w:r>
    </w:p>
    <w:p w14:paraId="02BDCD5E" w14:textId="3210D1A1" w:rsidR="00885565" w:rsidRDefault="00555D20" w:rsidP="00701CC7">
      <w:pPr>
        <w:spacing w:line="360" w:lineRule="auto"/>
        <w:jc w:val="both"/>
      </w:pPr>
      <w:r w:rsidRPr="00177CF7">
        <w:t xml:space="preserve">We used the </w:t>
      </w:r>
      <w:proofErr w:type="spellStart"/>
      <w:r w:rsidRPr="00177CF7">
        <w:t>S</w:t>
      </w:r>
      <w:r w:rsidR="007F7489" w:rsidRPr="00177CF7">
        <w:t>omaS</w:t>
      </w:r>
      <w:r w:rsidRPr="00177CF7">
        <w:t>can</w:t>
      </w:r>
      <w:proofErr w:type="spellEnd"/>
      <w:r w:rsidRPr="00177CF7">
        <w:t xml:space="preserve"> v4 platform (</w:t>
      </w:r>
      <w:proofErr w:type="spellStart"/>
      <w:r w:rsidRPr="00177CF7">
        <w:t>SomaLogic</w:t>
      </w:r>
      <w:proofErr w:type="spellEnd"/>
      <w:r w:rsidRPr="00177CF7">
        <w:t xml:space="preserve"> Inc., Boulder, Colorado, US) to measure protein abundances of 4,7</w:t>
      </w:r>
      <w:r w:rsidR="008748C6" w:rsidRPr="00177CF7">
        <w:t>75</w:t>
      </w:r>
      <w:r w:rsidRPr="00177CF7">
        <w:t xml:space="preserve"> unique human protein targets (covered by 4,979 unique aptamers) from frozen EDTA-plasma samples </w:t>
      </w:r>
      <w:r w:rsidR="005F57E2" w:rsidRPr="00177CF7">
        <w:t>in</w:t>
      </w:r>
      <w:r w:rsidRPr="00177CF7">
        <w:t xml:space="preserve"> 12,345 participants </w:t>
      </w:r>
      <w:r w:rsidR="00FD659D" w:rsidRPr="00177CF7">
        <w:t>from</w:t>
      </w:r>
      <w:r w:rsidRPr="00177CF7">
        <w:t xml:space="preserve"> the Fenland study</w:t>
      </w:r>
      <w:r w:rsidR="00240FAC" w:rsidRPr="00177CF7">
        <w:fldChar w:fldCharType="begin" w:fldLock="1"/>
      </w:r>
      <w:r w:rsidR="007212AD">
        <w:instrText>ADDIN CSL_CITATION {"citationItems":[{"id":"ITEM-1","itemData":{"DOI":"10.1186/s12966-019-0882-6","ISSN":"1479-5868","author":[{"dropping-particle":"","family":"Lindsay","given":"Tim","non-dropping-particle":"","parse-names":false,"suffix":""},{"dropping-particle":"","family":"Westgate","given":"Kate","non-dropping-particle":"","parse-names":false,"suffix":""},{"dropping-particle":"","family":"Wijndaele","given":"Katrien","non-dropping-particle":"","parse-names":false,"suffix":""},{"dropping-particle":"","family":"Hollidge","given":"Stefanie","non-dropping-particle":"","parse-names":false,"suffix":""},{"dropping-particle":"","family":"Kerrison","given":"Nicola","non-dropping-particle":"","parse-names":false,"suffix":""},{"dropping-particle":"","family":"Forouhi","given":"Nita","non-dropping-particle":"","parse-names":false,"suffix":""},{"dropping-particle":"","family":"Griffin","given":"Simon","non-dropping-particle":"","parse-names":false,"suffix":""},{"dropping-particle":"","family":"Wareham","given":"Nick","non-dropping-particle":"","parse-names":false,"suffix":""},{"dropping-particle":"","family":"Brage","given":"Søren","non-dropping-particle":"","parse-names":false,"suffix":""}],"container-title":"International Journal of Behavioral Nutrition and Physical Activity","id":"ITEM-1","issue":"1","issued":{"date-parts":[["2019","12","9"]]},"page":"126","title":"Descriptive epidemiology of physical activity energy expenditure in UK adults (The Fenland study)","type":"article-journal","volume":"16"},"uris":["http://www.mendeley.com/documents/?uuid=aa70c522-2fde-3523-97de-84a95fd43284"]}],"mendeley":{"formattedCitation":"&lt;sup&gt;18&lt;/sup&gt;","plainTextFormattedCitation":"18","previouslyFormattedCitation":"&lt;sup&gt;18&lt;/sup&gt;"},"properties":{"noteIndex":0},"schema":"https://github.com/citation-style-language/schema/raw/master/csl-citation.json"}</w:instrText>
      </w:r>
      <w:r w:rsidR="00240FAC" w:rsidRPr="00177CF7">
        <w:fldChar w:fldCharType="separate"/>
      </w:r>
      <w:r w:rsidR="00AB37AF" w:rsidRPr="00AB37AF">
        <w:rPr>
          <w:noProof/>
          <w:vertAlign w:val="superscript"/>
        </w:rPr>
        <w:t>18</w:t>
      </w:r>
      <w:r w:rsidR="00240FAC" w:rsidRPr="00177CF7">
        <w:fldChar w:fldCharType="end"/>
      </w:r>
      <w:r w:rsidR="00811224" w:rsidRPr="00177CF7">
        <w:t xml:space="preserve"> (</w:t>
      </w:r>
      <w:r w:rsidR="00811224" w:rsidRPr="00177CF7">
        <w:rPr>
          <w:b/>
          <w:bCs/>
        </w:rPr>
        <w:t xml:space="preserve">Supplementary </w:t>
      </w:r>
      <w:r w:rsidR="00AE6B68">
        <w:rPr>
          <w:b/>
          <w:bCs/>
        </w:rPr>
        <w:t>Data</w:t>
      </w:r>
      <w:r w:rsidR="00811224" w:rsidRPr="00177CF7">
        <w:rPr>
          <w:b/>
          <w:bCs/>
        </w:rPr>
        <w:t xml:space="preserve"> 1</w:t>
      </w:r>
      <w:r w:rsidR="00811224" w:rsidRPr="00177CF7">
        <w:t>)</w:t>
      </w:r>
      <w:r w:rsidRPr="00177CF7">
        <w:t xml:space="preserve">. </w:t>
      </w:r>
      <w:r w:rsidR="00C76717" w:rsidRPr="00177CF7">
        <w:t xml:space="preserve">We assessed 1,069 protein targets based on 1,104 measures across 12 </w:t>
      </w:r>
      <w:proofErr w:type="spellStart"/>
      <w:r w:rsidR="00C76717" w:rsidRPr="00177CF7">
        <w:t>Olink</w:t>
      </w:r>
      <w:proofErr w:type="spellEnd"/>
      <w:r w:rsidR="00C76717" w:rsidRPr="00177CF7">
        <w:t xml:space="preserve">® Target 96-plex panels, based on the proximity extension assay (PEA) technology using </w:t>
      </w:r>
      <w:r w:rsidR="008278FE" w:rsidRPr="00177CF7">
        <w:t xml:space="preserve">the same </w:t>
      </w:r>
      <w:r w:rsidR="00C76717" w:rsidRPr="00177CF7">
        <w:t xml:space="preserve">EDTA-plasma samples from </w:t>
      </w:r>
      <w:r w:rsidRPr="00177CF7">
        <w:t xml:space="preserve">485 </w:t>
      </w:r>
      <w:r w:rsidR="00C37D07" w:rsidRPr="00177CF7">
        <w:t xml:space="preserve">Fenland study </w:t>
      </w:r>
      <w:r w:rsidRPr="00177CF7">
        <w:t>participants</w:t>
      </w:r>
      <w:r w:rsidR="00CA71AF" w:rsidRPr="00177CF7">
        <w:t>.</w:t>
      </w:r>
      <w:r w:rsidRPr="00177CF7">
        <w:t xml:space="preserve"> </w:t>
      </w:r>
      <w:r w:rsidR="00CA71AF" w:rsidRPr="00177CF7">
        <w:t>Measure</w:t>
      </w:r>
      <w:r w:rsidR="00615508" w:rsidRPr="00177CF7">
        <w:t>ments</w:t>
      </w:r>
      <w:r w:rsidR="00CA71AF" w:rsidRPr="00177CF7">
        <w:t xml:space="preserve"> were performed </w:t>
      </w:r>
      <w:r w:rsidRPr="00177CF7">
        <w:t xml:space="preserve">by the manufacturers </w:t>
      </w:r>
      <w:r w:rsidR="00CA71AF" w:rsidRPr="00177CF7">
        <w:t>and methods have previously been described in detail</w:t>
      </w:r>
      <w:r w:rsidR="007F7489" w:rsidRPr="00177CF7">
        <w:fldChar w:fldCharType="begin" w:fldLock="1"/>
      </w:r>
      <w:r w:rsidR="007212AD">
        <w:instrText>ADDIN CSL_CITATION {"citationItems":[{"id":"ITEM-1","itemData":{"DOI":"10.1038/s41467-020-19996-z","ISSN":"2041-1723","PMID":"33328453","abstract":"Understanding the genetic architecture of host proteins interacting with SARS-CoV-2 or mediating the maladaptive host response to COVID-19 can help to identify new or repurpose existing drugs targeting those proteins. We present a genetic discovery study of 179 such host proteins among 10,708 individuals using an aptamer-based technique. We identify 220 host DNA sequence variants acting in cis (MAF 0.01-49.9%) and explaining 0.3-70.9% of the variance of 97 of these proteins, including 45 with no previously known protein quantitative trait loci (pQTL) and 38 encoding current drug targets. Systematic characterization of pQTLs across the phenome identified protein-drug-disease links and evidence that putative viral interaction partners such as MARK3 affect immune response. Our results accelerate the evaluation and prioritization of new drug development programmes and repurposing of trials to prevent, treat or reduce adverse outcomes. Rapid sharing and detailed interrogation of results is facilitated through an interactive webserver ( https://omicscience.org/apps/covidpgwas/ ).","author":[{"dropping-particle":"","family":"Pietzner","given":"Maik","non-dropping-particle":"","parse-names":false,"suffix":""},{"dropping-particle":"","family":"Wheeler","given":"Eleanor","non-dropping-particle":"","parse-names":false,"suffix":""},{"dropping-particle":"","family":"Carrasco-Zanini","given":"Julia","non-dropping-particle":"","parse-names":false,"suffix":""},{"dropping-particle":"","family":"Raffler","given":"Johannes","non-dropping-particle":"","parse-names":false,"suffix":""},{"dropping-particle":"","family":"Kerrison","given":"Nicola D","non-dropping-particle":"","parse-names":false,"suffix":""},{"dropping-particle":"","family":"Oerton","given":"Erin","non-dropping-particle":"","parse-names":false,"suffix":""},{"dropping-particle":"","family":"Auyeung","given":"Victoria P W","non-dropping-particle":"","parse-names":false,"suffix":""},{"dropping-particle":"","family":"Luan","given":"Jian’an","non-dropping-particle":"","parse-names":false,"suffix":""},{"dropping-particle":"","family":"Finan","given":"Chris","non-dropping-particle":"","parse-names":false,"suffix":""},{"dropping-particle":"","family":"Casas","given":"Juan P","non-dropping-particle":"","parse-names":false,"suffix":""},{"dropping-particle":"","family":"Ostroff","given":"Rachel","non-dropping-particle":"","parse-names":false,"suffix":""},{"dropping-particle":"","family":"Williams","given":"Steve A","non-dropping-particle":"","parse-names":false,"suffix":""},{"dropping-particle":"","family":"Kastenmüller","given":"Gabi","non-dropping-particle":"","parse-names":false,"suffix":""},{"dropping-particle":"","family":"Ralser","given":"Markus","non-dropping-particle":"","parse-names":false,"suffix":""},{"dropping-particle":"","family":"Gamazon","given":"Eric R","non-dropping-particle":"","parse-names":false,"suffix":""},{"dropping-particle":"","family":"Wareham","given":"Nicholas J","non-dropping-particle":"","parse-names":false,"suffix":""},{"dropping-particle":"","family":"Hingorani","given":"Aroon D","non-dropping-particle":"","parse-names":false,"suffix":""},{"dropping-particle":"","family":"Langenberg","given":"Claudia","non-dropping-particle":"","parse-names":false,"suffix":""}],"container-title":"Nature communications","id":"ITEM-1","issue":"1","issued":{"date-parts":[["2020","2","16"]]},"page":"6397","title":"Genetic architecture of host proteins involved in SARS-CoV-2 infection.","type":"article-journal","volume":"11"},"uris":["http://www.mendeley.com/documents/?uuid=f0f2062b-4491-4aad-82b6-572f97d63059"]},{"id":"ITEM-2","itemData":{"DOI":"10.1038/s41591-019-0665-2","ISSN":"1546170X","PMID":"31792462","abstract":"Proteins are effector molecules that mediate the functions of genes1,2 and modulate comorbidities3–10, behaviors and drug treatments11. They represent an enormous potential resource for personalized, systemic and data-driven diagnosis, prevention, monitoring and treatment. However, the concept of using plasma proteins for individualized health assessment across many health conditions simultaneously has not been tested. Here, we show that plasma protein expression patterns strongly encode for multiple different health states, future disease risks and lifestyle behaviors. We developed and validated protein-phenotype models for 11 different health indicators: liver fat, kidney filtration, percentage body fat, visceral fat mass, lean body mass, cardiopulmonary fitness, physical activity, alcohol consumption, cigarette smoking, diabetes risk and primary cardiovascular event risk. The analyses were prospectively planned, documented and executed at scale on archived samples and clinical data, with a total of ~85 million protein measurements in 16,894 participants. Our proof-of-concept study demonstrates that protein expression patterns reliably encode for many different health issues, and that large-scale protein scanning12–16 coupled with machine learning is viable for the development and future simultaneous delivery of multiple measures of health. We anticipate that, with further validation and the addition of more protein-phenotype models, this approach could enable a single-source, individualized so-called liquid health check.","author":[{"dropping-particle":"","family":"Williams","given":"Stephen A.","non-dropping-particle":"","parse-names":false,"suffix":""},{"dropping-particle":"","family":"Kivimaki","given":"Mika","non-dropping-particle":"","parse-names":false,"suffix":""},{"dropping-particle":"","family":"Langenberg","given":"Claudia","non-dropping-particle":"","parse-names":false,"suffix":""},{"dropping-particle":"","family":"Hingorani","given":"Aroon D.","non-dropping-particle":"","parse-names":false,"suffix":""},{"dropping-particle":"","family":"Casas","given":"J. P.","non-dropping-particle":"","parse-names":false,"suffix":""},{"dropping-particle":"","family":"Bouchard","given":"Claude","non-dropping-particle":"","parse-names":false,"suffix":""},{"dropping-particle":"","family":"Jonasson","given":"Christian","non-dropping-particle":"","parse-names":false,"suffix":""},{"dropping-particle":"","family":"Sarzynski","given":"Mark A.","non-dropping-particle":"","parse-names":false,"suffix":""},{"dropping-particle":"","family":"Shipley","given":"Martin J.","non-dropping-particle":"","parse-names":false,"suffix":""},{"dropping-particle":"","family":"Alexander","given":"Leigh","non-dropping-particle":"","parse-names":false,"suffix":""},{"dropping-particle":"","family":"Ash","given":"Jessica","non-dropping-particle":"","parse-names":false,"suffix":""},{"dropping-particle":"","family":"Bauer","given":"Tim","non-dropping-particle":"","parse-names":false,"suffix":""},{"dropping-particle":"","family":"Chadwick","given":"Jessica","non-dropping-particle":"","parse-names":false,"suffix":""},{"dropping-particle":"","family":"Datta","given":"Gargi","non-dropping-particle":"","parse-names":false,"suffix":""},{"dropping-particle":"","family":"DeLisle","given":"Robert Kirk","non-dropping-particle":"","parse-names":false,"suffix":""},{"dropping-particle":"","family":"Hagar","given":"Yolanda","non-dropping-particle":"","parse-names":false,"suffix":""},{"dropping-particle":"","family":"Hinterberg","given":"Michael","non-dropping-particle":"","parse-names":false,"suffix":""},{"dropping-particle":"","family":"Ostroff","given":"Rachel","non-dropping-particle":"","parse-names":false,"suffix":""},{"dropping-particle":"","family":"Weiss","given":"Sophie","non-dropping-particle":"","parse-names":false,"suffix":""},{"dropping-particle":"","family":"Ganz","given":"Peter","non-dropping-particle":"","parse-names":false,"suffix":""},{"dropping-particle":"","family":"Wareham","given":"Nicholas J.","non-dropping-particle":"","parse-names":false,"suffix":""}],"container-title":"Nature Medicine","id":"ITEM-2","issue":"12","issued":{"date-parts":[["2019","12","1"]]},"page":"1851-1857","publisher":"Springer US","title":"Plasma protein patterns as comprehensive indicators of health","type":"article-journal","volume":"25"},"uris":["http://www.mendeley.com/documents/?uuid=f785d3ef-fd63-4453-b8de-b3070fd1a66c"]}],"mendeley":{"formattedCitation":"&lt;sup&gt;19,20&lt;/sup&gt;","plainTextFormattedCitation":"19,20","previouslyFormattedCitation":"&lt;sup&gt;19,20&lt;/sup&gt;"},"properties":{"noteIndex":0},"schema":"https://github.com/citation-style-language/schema/raw/master/csl-citation.json"}</w:instrText>
      </w:r>
      <w:r w:rsidR="007F7489" w:rsidRPr="00177CF7">
        <w:fldChar w:fldCharType="separate"/>
      </w:r>
      <w:r w:rsidR="00AB37AF" w:rsidRPr="00AB37AF">
        <w:rPr>
          <w:noProof/>
          <w:vertAlign w:val="superscript"/>
        </w:rPr>
        <w:t>19,20</w:t>
      </w:r>
      <w:r w:rsidR="007F7489" w:rsidRPr="00177CF7">
        <w:fldChar w:fldCharType="end"/>
      </w:r>
      <w:r w:rsidR="00CA71AF" w:rsidRPr="00177CF7">
        <w:t xml:space="preserve"> </w:t>
      </w:r>
      <w:r w:rsidR="00122E95" w:rsidRPr="00177CF7">
        <w:t>and</w:t>
      </w:r>
      <w:r w:rsidR="00CA71AF" w:rsidRPr="00177CF7">
        <w:t xml:space="preserve"> </w:t>
      </w:r>
      <w:r w:rsidR="007F7489" w:rsidRPr="00177CF7">
        <w:t xml:space="preserve">are </w:t>
      </w:r>
      <w:r w:rsidR="00CA71AF" w:rsidRPr="00177CF7">
        <w:t>provided in the</w:t>
      </w:r>
      <w:r w:rsidR="00122E95" w:rsidRPr="00177CF7">
        <w:t xml:space="preserve"> Methods</w:t>
      </w:r>
      <w:r w:rsidR="00615508" w:rsidRPr="00177CF7">
        <w:t xml:space="preserve"> section</w:t>
      </w:r>
      <w:r w:rsidR="00CA71AF" w:rsidRPr="00177CF7">
        <w:t>.</w:t>
      </w:r>
      <w:r w:rsidR="0059617C" w:rsidRPr="00177CF7">
        <w:t xml:space="preserve"> We identified a total of 871 overlapping proteins targeted by 937 unique </w:t>
      </w:r>
      <w:proofErr w:type="spellStart"/>
      <w:r w:rsidR="0059617C" w:rsidRPr="00177CF7">
        <w:t>SomaScan</w:t>
      </w:r>
      <w:proofErr w:type="spellEnd"/>
      <w:r w:rsidR="0059617C" w:rsidRPr="00177CF7">
        <w:t xml:space="preserve"> – </w:t>
      </w:r>
      <w:proofErr w:type="spellStart"/>
      <w:r w:rsidR="0059617C" w:rsidRPr="00177CF7">
        <w:t>Olink</w:t>
      </w:r>
      <w:proofErr w:type="spellEnd"/>
      <w:r w:rsidR="0059617C" w:rsidRPr="00177CF7">
        <w:t xml:space="preserve"> reagent parings (</w:t>
      </w:r>
      <w:r w:rsidR="00701CC7" w:rsidRPr="00177CF7">
        <w:rPr>
          <w:b/>
          <w:bCs/>
        </w:rPr>
        <w:t>Fig.</w:t>
      </w:r>
      <w:r w:rsidR="007A31E7" w:rsidRPr="00177CF7">
        <w:rPr>
          <w:b/>
          <w:bCs/>
        </w:rPr>
        <w:t xml:space="preserve"> </w:t>
      </w:r>
      <w:r w:rsidR="00701CC7" w:rsidRPr="00177CF7">
        <w:rPr>
          <w:b/>
          <w:bCs/>
        </w:rPr>
        <w:t>1</w:t>
      </w:r>
      <w:r w:rsidR="00701CC7" w:rsidRPr="00177CF7">
        <w:t xml:space="preserve">, </w:t>
      </w:r>
      <w:r w:rsidR="0059617C" w:rsidRPr="00177CF7">
        <w:t xml:space="preserve">see </w:t>
      </w:r>
      <w:r w:rsidR="0059617C" w:rsidRPr="00177CF7">
        <w:rPr>
          <w:b/>
          <w:bCs/>
        </w:rPr>
        <w:t>Methods</w:t>
      </w:r>
      <w:r w:rsidR="0059617C" w:rsidRPr="00177CF7">
        <w:t>).</w:t>
      </w:r>
      <w:r w:rsidRPr="00177CF7">
        <w:t xml:space="preserve"> </w:t>
      </w:r>
    </w:p>
    <w:p w14:paraId="235F1079" w14:textId="77777777" w:rsidR="0021628D" w:rsidRDefault="0021628D" w:rsidP="0021628D">
      <w:pPr>
        <w:spacing w:line="360" w:lineRule="auto"/>
        <w:jc w:val="both"/>
        <w:rPr>
          <w:b/>
          <w:bCs/>
          <w:i/>
          <w:iCs/>
        </w:rPr>
      </w:pPr>
      <w:r>
        <w:rPr>
          <w:noProof/>
        </w:rPr>
        <w:drawing>
          <wp:inline distT="0" distB="0" distL="0" distR="0" wp14:anchorId="700E8637" wp14:editId="783FD600">
            <wp:extent cx="5731510" cy="4300855"/>
            <wp:effectExtent l="0" t="0" r="2540" b="4445"/>
            <wp:docPr id="1" name="Picture 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10;&#10;Description automatically generated"/>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31510" cy="4300855"/>
                    </a:xfrm>
                    <a:prstGeom prst="rect">
                      <a:avLst/>
                    </a:prstGeom>
                    <a:noFill/>
                    <a:ln>
                      <a:noFill/>
                    </a:ln>
                  </pic:spPr>
                </pic:pic>
              </a:graphicData>
            </a:graphic>
          </wp:inline>
        </w:drawing>
      </w:r>
    </w:p>
    <w:p w14:paraId="1107B745" w14:textId="77777777" w:rsidR="0021628D" w:rsidRPr="001729E5" w:rsidRDefault="0021628D" w:rsidP="0021628D">
      <w:pPr>
        <w:spacing w:line="240" w:lineRule="auto"/>
        <w:jc w:val="both"/>
        <w:rPr>
          <w:sz w:val="20"/>
          <w:szCs w:val="20"/>
        </w:rPr>
      </w:pPr>
      <w:r w:rsidRPr="001729E5">
        <w:rPr>
          <w:b/>
          <w:bCs/>
          <w:sz w:val="20"/>
          <w:szCs w:val="20"/>
        </w:rPr>
        <w:t>Figure 1 Scheme of the study design.</w:t>
      </w:r>
      <w:r w:rsidRPr="001729E5">
        <w:rPr>
          <w:sz w:val="20"/>
          <w:szCs w:val="20"/>
        </w:rPr>
        <w:t xml:space="preserve"> The Venn diagram displays the overlap in protein targets captured by the </w:t>
      </w:r>
      <w:proofErr w:type="spellStart"/>
      <w:r w:rsidRPr="001729E5">
        <w:rPr>
          <w:sz w:val="20"/>
          <w:szCs w:val="20"/>
        </w:rPr>
        <w:t>SomaScan</w:t>
      </w:r>
      <w:proofErr w:type="spellEnd"/>
      <w:r w:rsidRPr="001729E5">
        <w:rPr>
          <w:sz w:val="20"/>
          <w:szCs w:val="20"/>
        </w:rPr>
        <w:t xml:space="preserve"> assay and the </w:t>
      </w:r>
      <w:proofErr w:type="spellStart"/>
      <w:r w:rsidRPr="001729E5">
        <w:rPr>
          <w:sz w:val="20"/>
          <w:szCs w:val="20"/>
        </w:rPr>
        <w:t>Olink</w:t>
      </w:r>
      <w:proofErr w:type="spellEnd"/>
      <w:r w:rsidRPr="001729E5">
        <w:rPr>
          <w:sz w:val="20"/>
          <w:szCs w:val="20"/>
        </w:rPr>
        <w:t xml:space="preserve"> proximity extension assay (PEA). Modes of binding to the protein target are depicted simplified next to each ellipse. Correlation coefficients were used to compare both technologies and factors possibly accounting for measurement differences and low correlation coefficients examined in a subset of 485 individuals with overlapping measurements. For the set of 871 common protein targets genome-wide association analysis were performed in 10,708 (</w:t>
      </w:r>
      <w:proofErr w:type="spellStart"/>
      <w:r w:rsidRPr="001729E5">
        <w:rPr>
          <w:sz w:val="20"/>
          <w:szCs w:val="20"/>
        </w:rPr>
        <w:t>SomaScan</w:t>
      </w:r>
      <w:proofErr w:type="spellEnd"/>
      <w:r w:rsidRPr="001729E5">
        <w:rPr>
          <w:sz w:val="20"/>
          <w:szCs w:val="20"/>
        </w:rPr>
        <w:t xml:space="preserve"> assay) and 485 (</w:t>
      </w:r>
      <w:proofErr w:type="spellStart"/>
      <w:r w:rsidRPr="001729E5">
        <w:rPr>
          <w:sz w:val="20"/>
          <w:szCs w:val="20"/>
        </w:rPr>
        <w:t>Olink</w:t>
      </w:r>
      <w:proofErr w:type="spellEnd"/>
      <w:r w:rsidRPr="001729E5">
        <w:rPr>
          <w:sz w:val="20"/>
          <w:szCs w:val="20"/>
        </w:rPr>
        <w:t xml:space="preserve"> PEA) participants in the Fenland cohort. Correspondence of genetic associations was analysed by examining local genetic architecture, comparison of effect estimates, and evaluation of phenotypic consequences. Parts of this figure have been created with BioRender.com. </w:t>
      </w:r>
    </w:p>
    <w:p w14:paraId="00000011" w14:textId="2A4A97D2" w:rsidR="00766C45" w:rsidRPr="00177CF7" w:rsidRDefault="00555D20" w:rsidP="002108EE">
      <w:pPr>
        <w:spacing w:line="360" w:lineRule="auto"/>
        <w:jc w:val="both"/>
        <w:rPr>
          <w:b/>
          <w:i/>
        </w:rPr>
      </w:pPr>
      <w:r w:rsidRPr="00177CF7">
        <w:rPr>
          <w:b/>
          <w:i/>
        </w:rPr>
        <w:lastRenderedPageBreak/>
        <w:t xml:space="preserve">Technical factors </w:t>
      </w:r>
      <w:r w:rsidR="002108EE" w:rsidRPr="00177CF7">
        <w:rPr>
          <w:b/>
          <w:i/>
        </w:rPr>
        <w:t xml:space="preserve">affecting </w:t>
      </w:r>
      <w:r w:rsidRPr="00177CF7">
        <w:rPr>
          <w:b/>
          <w:i/>
        </w:rPr>
        <w:t>correlation</w:t>
      </w:r>
      <w:r w:rsidR="002108EE" w:rsidRPr="00177CF7">
        <w:rPr>
          <w:b/>
          <w:i/>
        </w:rPr>
        <w:t>s between protein targets</w:t>
      </w:r>
    </w:p>
    <w:p w14:paraId="6AAEABBB" w14:textId="1DFCF7E0" w:rsidR="00CA687A" w:rsidRPr="00177CF7" w:rsidRDefault="00C2336F" w:rsidP="00620135">
      <w:pPr>
        <w:spacing w:line="360" w:lineRule="auto"/>
        <w:jc w:val="both"/>
      </w:pPr>
      <w:r w:rsidRPr="00177CF7">
        <w:t xml:space="preserve">We observed </w:t>
      </w:r>
      <w:r w:rsidR="00A16ECF" w:rsidRPr="00177CF7">
        <w:t>varying correlation coefficients for overlapping measurements with a median of</w:t>
      </w:r>
      <w:r w:rsidR="002108EE" w:rsidRPr="00177CF7">
        <w:t xml:space="preserve"> </w:t>
      </w:r>
      <w:r w:rsidR="00555D20" w:rsidRPr="00177CF7">
        <w:t>0.38 (IQR: 0.08-0.64)</w:t>
      </w:r>
      <w:r w:rsidR="00F41B52" w:rsidRPr="00177CF7">
        <w:t xml:space="preserve"> </w:t>
      </w:r>
      <w:r w:rsidR="00436466" w:rsidRPr="00177CF7">
        <w:t xml:space="preserve">spanning almost the entire range </w:t>
      </w:r>
      <w:r w:rsidR="00D6218A" w:rsidRPr="00177CF7">
        <w:t>from</w:t>
      </w:r>
      <w:r w:rsidR="002108EE" w:rsidRPr="00177CF7">
        <w:t xml:space="preserve"> </w:t>
      </w:r>
      <w:r w:rsidR="00E845B4" w:rsidRPr="00177CF7">
        <w:t xml:space="preserve">high </w:t>
      </w:r>
      <w:r w:rsidR="00A26688" w:rsidRPr="00177CF7">
        <w:t xml:space="preserve">positive </w:t>
      </w:r>
      <w:r w:rsidR="00555D20" w:rsidRPr="00177CF7">
        <w:t>(Leptin, r=0.95)</w:t>
      </w:r>
      <w:r w:rsidR="00D6218A" w:rsidRPr="00177CF7">
        <w:t xml:space="preserve"> to </w:t>
      </w:r>
      <w:r w:rsidR="00555D20" w:rsidRPr="00177CF7">
        <w:t>inverse</w:t>
      </w:r>
      <w:r w:rsidR="002108EE" w:rsidRPr="00177CF7">
        <w:t xml:space="preserve"> </w:t>
      </w:r>
      <w:r w:rsidR="00555D20" w:rsidRPr="00177CF7">
        <w:t>correlat</w:t>
      </w:r>
      <w:r w:rsidR="002108EE" w:rsidRPr="00177CF7">
        <w:t>ions</w:t>
      </w:r>
      <w:r w:rsidR="00555D20" w:rsidRPr="00177CF7">
        <w:t xml:space="preserve"> (Heat shock protein beta-1, r=-0.48) (</w:t>
      </w:r>
      <w:r w:rsidR="00555D20" w:rsidRPr="00177CF7">
        <w:rPr>
          <w:b/>
        </w:rPr>
        <w:t>Fig. 2</w:t>
      </w:r>
      <w:r w:rsidR="007377BA" w:rsidRPr="00177CF7">
        <w:rPr>
          <w:b/>
        </w:rPr>
        <w:t>a</w:t>
      </w:r>
      <w:r w:rsidR="00555D20" w:rsidRPr="00177CF7">
        <w:rPr>
          <w:b/>
        </w:rPr>
        <w:t xml:space="preserve"> and Supplementary </w:t>
      </w:r>
      <w:r w:rsidR="00AE6B68">
        <w:rPr>
          <w:b/>
        </w:rPr>
        <w:t>Data</w:t>
      </w:r>
      <w:r w:rsidR="00555D20" w:rsidRPr="00177CF7">
        <w:rPr>
          <w:b/>
        </w:rPr>
        <w:t xml:space="preserve"> </w:t>
      </w:r>
      <w:r w:rsidR="007D6F88" w:rsidRPr="00177CF7">
        <w:rPr>
          <w:b/>
        </w:rPr>
        <w:t>2</w:t>
      </w:r>
      <w:r w:rsidR="00555D20" w:rsidRPr="00177CF7">
        <w:t xml:space="preserve">). </w:t>
      </w:r>
      <w:r w:rsidR="00277829" w:rsidRPr="00177CF7">
        <w:t xml:space="preserve">When we used </w:t>
      </w:r>
      <w:r w:rsidR="00DC26F7" w:rsidRPr="00177CF7">
        <w:t xml:space="preserve">the </w:t>
      </w:r>
      <w:proofErr w:type="spellStart"/>
      <w:r w:rsidR="00277829" w:rsidRPr="00177CF7">
        <w:t>SomaLogic</w:t>
      </w:r>
      <w:proofErr w:type="spellEnd"/>
      <w:r w:rsidR="00277829" w:rsidRPr="00177CF7">
        <w:t xml:space="preserve"> data without a normalisation step applied to correct for unwanted technical variation</w:t>
      </w:r>
      <w:r w:rsidR="008D7A24" w:rsidRPr="00177CF7">
        <w:t xml:space="preserve"> and to make data comparable across cohorts,</w:t>
      </w:r>
      <w:r w:rsidR="00277829" w:rsidRPr="00177CF7">
        <w:t xml:space="preserve"> </w:t>
      </w:r>
      <w:r w:rsidR="00DC26F7" w:rsidRPr="00177CF7">
        <w:t>w</w:t>
      </w:r>
      <w:r w:rsidR="008F6EB6" w:rsidRPr="00177CF7">
        <w:t xml:space="preserve">e observed </w:t>
      </w:r>
      <w:r w:rsidR="00AE2849" w:rsidRPr="00177CF7">
        <w:t xml:space="preserve">a higher median correlation (median: 0.50, IQR: 0.19-0.72) </w:t>
      </w:r>
      <w:r w:rsidR="005E241A" w:rsidRPr="00177CF7">
        <w:t>(</w:t>
      </w:r>
      <w:r w:rsidR="005E241A" w:rsidRPr="00177CF7">
        <w:rPr>
          <w:b/>
          <w:bCs/>
        </w:rPr>
        <w:t>Fig. 2a</w:t>
      </w:r>
      <w:r w:rsidR="005E241A" w:rsidRPr="00177CF7">
        <w:t>)</w:t>
      </w:r>
      <w:r w:rsidR="00007D9F" w:rsidRPr="00177CF7">
        <w:t>.</w:t>
      </w:r>
      <w:r w:rsidR="005E241A" w:rsidRPr="00177CF7">
        <w:t xml:space="preserve"> </w:t>
      </w:r>
      <w:r w:rsidR="00135074" w:rsidRPr="00177CF7">
        <w:t xml:space="preserve">While correlation coefficients </w:t>
      </w:r>
      <w:r w:rsidR="00D948EF" w:rsidRPr="00177CF7">
        <w:t>seem</w:t>
      </w:r>
      <w:r w:rsidR="006967E0" w:rsidRPr="00177CF7">
        <w:t>ed</w:t>
      </w:r>
      <w:r w:rsidR="00D948EF" w:rsidRPr="00177CF7">
        <w:t xml:space="preserve"> to i</w:t>
      </w:r>
      <w:r w:rsidR="006967E0" w:rsidRPr="00177CF7">
        <w:t>ncrease</w:t>
      </w:r>
      <w:r w:rsidR="00D948EF" w:rsidRPr="00177CF7">
        <w:t xml:space="preserve">, we </w:t>
      </w:r>
      <w:r w:rsidR="00216A52" w:rsidRPr="00177CF7">
        <w:t>observed</w:t>
      </w:r>
      <w:r w:rsidR="006A1E06" w:rsidRPr="00177CF7">
        <w:t xml:space="preserve"> </w:t>
      </w:r>
      <w:r w:rsidR="003D0786" w:rsidRPr="00177CF7">
        <w:t xml:space="preserve">substantial differences in the association with various phenotypic characteristics </w:t>
      </w:r>
      <w:r w:rsidR="007505B1" w:rsidRPr="00177CF7">
        <w:t>comparing normalised to non-normalised data (</w:t>
      </w:r>
      <w:r w:rsidR="007505B1" w:rsidRPr="00177CF7">
        <w:rPr>
          <w:b/>
          <w:bCs/>
        </w:rPr>
        <w:t>Supplementary Fig. 1</w:t>
      </w:r>
      <w:r w:rsidR="007505B1" w:rsidRPr="00177CF7">
        <w:t>)</w:t>
      </w:r>
      <w:r w:rsidR="006D656F" w:rsidRPr="00177CF7">
        <w:t xml:space="preserve">. For </w:t>
      </w:r>
      <w:r w:rsidR="00081D5D" w:rsidRPr="00177CF7">
        <w:t>example</w:t>
      </w:r>
      <w:r w:rsidR="005004D4" w:rsidRPr="00177CF7">
        <w:t>, systolic blood pressure was associated with</w:t>
      </w:r>
      <w:r w:rsidR="008E5E20" w:rsidRPr="00177CF7">
        <w:t xml:space="preserve"> </w:t>
      </w:r>
      <w:r w:rsidR="00892EAA" w:rsidRPr="00177CF7">
        <w:t xml:space="preserve">3,745 aptamers in the entire </w:t>
      </w:r>
      <w:proofErr w:type="spellStart"/>
      <w:r w:rsidR="00892EAA" w:rsidRPr="00177CF7">
        <w:t>SomaScan</w:t>
      </w:r>
      <w:proofErr w:type="spellEnd"/>
      <w:r w:rsidR="00892EAA" w:rsidRPr="00177CF7">
        <w:t xml:space="preserve"> data using the non-normalised compared to </w:t>
      </w:r>
      <w:r w:rsidR="00EB259C" w:rsidRPr="00177CF7">
        <w:t>1,528 in the normalised data set</w:t>
      </w:r>
      <w:r w:rsidR="00CC3841" w:rsidRPr="00177CF7">
        <w:t>.</w:t>
      </w:r>
      <w:r w:rsidR="00E837AA" w:rsidRPr="00177CF7">
        <w:t xml:space="preserve"> Such an effect might be </w:t>
      </w:r>
      <w:r w:rsidR="008D377C" w:rsidRPr="00177CF7">
        <w:t>explained by</w:t>
      </w:r>
      <w:r w:rsidR="00E837AA" w:rsidRPr="00177CF7">
        <w:t xml:space="preserve"> </w:t>
      </w:r>
      <w:r w:rsidR="00EE33C2" w:rsidRPr="00177CF7">
        <w:t xml:space="preserve">phenotypic variation that is associated with </w:t>
      </w:r>
      <w:r w:rsidR="00E837AA" w:rsidRPr="00177CF7">
        <w:t xml:space="preserve">median </w:t>
      </w:r>
      <w:r w:rsidR="00E50FC7" w:rsidRPr="00177CF7">
        <w:t>fluorescence intensities</w:t>
      </w:r>
      <w:r w:rsidR="001A6B34" w:rsidRPr="00177CF7">
        <w:t xml:space="preserve"> across proteins</w:t>
      </w:r>
      <w:r w:rsidR="00E50FC7" w:rsidRPr="00177CF7">
        <w:t xml:space="preserve"> per sample</w:t>
      </w:r>
      <w:r w:rsidR="009B6433" w:rsidRPr="00177CF7">
        <w:t xml:space="preserve">, which can introduce artificial </w:t>
      </w:r>
      <w:r w:rsidR="003C54D2" w:rsidRPr="00177CF7">
        <w:t>associations.</w:t>
      </w:r>
      <w:r w:rsidR="00CC3841" w:rsidRPr="00177CF7">
        <w:t xml:space="preserve"> </w:t>
      </w:r>
    </w:p>
    <w:p w14:paraId="60FCB8A9" w14:textId="1B2F4E8C" w:rsidR="000B4148" w:rsidRDefault="006E5199" w:rsidP="002108EE">
      <w:pPr>
        <w:spacing w:line="360" w:lineRule="auto"/>
        <w:jc w:val="both"/>
      </w:pPr>
      <w:r w:rsidRPr="00177CF7">
        <w:t>We identified technical factors</w:t>
      </w:r>
      <w:r w:rsidR="006904E8" w:rsidRPr="00177CF7">
        <w:t xml:space="preserve">, </w:t>
      </w:r>
      <w:r w:rsidR="007D73F9" w:rsidRPr="00177CF7">
        <w:t>such as</w:t>
      </w:r>
      <w:r w:rsidR="006904E8" w:rsidRPr="00177CF7">
        <w:t xml:space="preserve"> </w:t>
      </w:r>
      <w:r w:rsidR="00F90738" w:rsidRPr="00177CF7">
        <w:t xml:space="preserve">binding affinity of the </w:t>
      </w:r>
      <w:proofErr w:type="spellStart"/>
      <w:r w:rsidR="00F90738" w:rsidRPr="00177CF7">
        <w:t>SOMAmer</w:t>
      </w:r>
      <w:proofErr w:type="spellEnd"/>
      <w:r w:rsidR="00F90738" w:rsidRPr="00177CF7">
        <w:t xml:space="preserve"> reagent</w:t>
      </w:r>
      <w:r w:rsidR="007D73F9" w:rsidRPr="00177CF7">
        <w:t xml:space="preserve"> or missing/extreme measurements</w:t>
      </w:r>
      <w:r w:rsidR="00D82CDC" w:rsidRPr="00177CF7">
        <w:t xml:space="preserve"> (likely </w:t>
      </w:r>
      <w:r w:rsidR="00974D25" w:rsidRPr="00177CF7">
        <w:t xml:space="preserve">due </w:t>
      </w:r>
      <w:r w:rsidR="0082728D" w:rsidRPr="00177CF7">
        <w:t xml:space="preserve">to </w:t>
      </w:r>
      <w:r w:rsidR="00753C81" w:rsidRPr="00177CF7">
        <w:t>technical variation and strong genetic effects</w:t>
      </w:r>
      <w:r w:rsidR="00974D25" w:rsidRPr="00177CF7">
        <w:t xml:space="preserve">, see </w:t>
      </w:r>
      <w:r w:rsidR="00974D25" w:rsidRPr="00177CF7">
        <w:rPr>
          <w:b/>
          <w:bCs/>
        </w:rPr>
        <w:t>Supplemental Note</w:t>
      </w:r>
      <w:r w:rsidR="00D82CDC" w:rsidRPr="00177CF7">
        <w:t>)</w:t>
      </w:r>
      <w:r w:rsidR="00F90738" w:rsidRPr="00177CF7">
        <w:t>,</w:t>
      </w:r>
      <w:r w:rsidRPr="00177CF7">
        <w:t xml:space="preserve"> </w:t>
      </w:r>
      <w:r w:rsidR="00613B3C" w:rsidRPr="00177CF7">
        <w:t xml:space="preserve">and </w:t>
      </w:r>
      <w:r w:rsidR="00A26688" w:rsidRPr="00177CF7">
        <w:t>certain</w:t>
      </w:r>
      <w:r w:rsidR="00613B3C" w:rsidRPr="00177CF7">
        <w:t xml:space="preserve"> protein characteristics</w:t>
      </w:r>
      <w:r w:rsidR="00F90738" w:rsidRPr="00177CF7">
        <w:t xml:space="preserve">, </w:t>
      </w:r>
      <w:r w:rsidR="00F41B52" w:rsidRPr="00177CF7">
        <w:t>for example</w:t>
      </w:r>
      <w:r w:rsidR="00F90738" w:rsidRPr="00177CF7">
        <w:t xml:space="preserve">, </w:t>
      </w:r>
      <w:r w:rsidR="00F41B52" w:rsidRPr="00177CF7">
        <w:t>presence</w:t>
      </w:r>
      <w:r w:rsidR="003F4DC9" w:rsidRPr="00177CF7">
        <w:t xml:space="preserve"> of a transmembrane domain,</w:t>
      </w:r>
      <w:r w:rsidR="00613B3C" w:rsidRPr="00177CF7">
        <w:t xml:space="preserve"> </w:t>
      </w:r>
      <w:r w:rsidR="00466B70" w:rsidRPr="00177CF7">
        <w:t xml:space="preserve">to </w:t>
      </w:r>
      <w:r w:rsidR="00A73662" w:rsidRPr="00177CF7">
        <w:t>explain</w:t>
      </w:r>
      <w:r w:rsidR="00BD5256" w:rsidRPr="00177CF7">
        <w:t xml:space="preserve"> varying correlation coefficients</w:t>
      </w:r>
      <w:r w:rsidR="00A73662" w:rsidRPr="00177CF7">
        <w:t>, based on</w:t>
      </w:r>
      <w:r w:rsidR="002C257B" w:rsidRPr="00177CF7">
        <w:t xml:space="preserve"> a</w:t>
      </w:r>
      <w:r w:rsidR="00555D20" w:rsidRPr="00177CF7">
        <w:t xml:space="preserve"> random forest-based feature selection algorithm (</w:t>
      </w:r>
      <w:r w:rsidR="009A2571" w:rsidRPr="00177CF7">
        <w:t xml:space="preserve">Fig. 2b, </w:t>
      </w:r>
      <w:r w:rsidR="00555D20" w:rsidRPr="00177CF7">
        <w:t xml:space="preserve">see </w:t>
      </w:r>
      <w:r w:rsidR="00555D20" w:rsidRPr="00177CF7">
        <w:rPr>
          <w:b/>
        </w:rPr>
        <w:t>Methods</w:t>
      </w:r>
      <w:r w:rsidR="009A2571" w:rsidRPr="00177CF7">
        <w:rPr>
          <w:b/>
        </w:rPr>
        <w:t xml:space="preserve"> </w:t>
      </w:r>
      <w:r w:rsidR="009A2571" w:rsidRPr="00177CF7">
        <w:rPr>
          <w:bCs/>
        </w:rPr>
        <w:t>and</w:t>
      </w:r>
      <w:r w:rsidR="009A2571" w:rsidRPr="00177CF7">
        <w:rPr>
          <w:b/>
        </w:rPr>
        <w:t xml:space="preserve"> Supplementary Note</w:t>
      </w:r>
      <w:r w:rsidR="00E9304E">
        <w:rPr>
          <w:b/>
        </w:rPr>
        <w:t xml:space="preserve"> 1</w:t>
      </w:r>
      <w:r w:rsidR="00555D20" w:rsidRPr="00177CF7">
        <w:t>)</w:t>
      </w:r>
      <w:r w:rsidR="009A2571" w:rsidRPr="00177CF7">
        <w:t xml:space="preserve">. </w:t>
      </w:r>
      <w:r w:rsidR="000815B8" w:rsidRPr="00177CF7">
        <w:t xml:space="preserve">In line with </w:t>
      </w:r>
      <w:r w:rsidR="006D26BF" w:rsidRPr="00177CF7">
        <w:t>previous findings</w:t>
      </w:r>
      <w:r w:rsidR="006D26BF" w:rsidRPr="00177CF7">
        <w:fldChar w:fldCharType="begin" w:fldLock="1"/>
      </w:r>
      <w:r w:rsidR="007212AD">
        <w:instrText>ADDIN CSL_CITATION {"citationItems":[{"id":"ITEM-1","itemData":{"DOI":"10.1002/pmic.201900278","ISSN":"1615-9861","PMID":"32386347","abstract":"Novel proteomics platforms, such as the aptamer-based SOMAscan platform, can quantify large numbers of proteins efficiently and cost-effectively and are rapidly growing in popularity. However, comparisons to conventional immunoassays remain underexplored, leaving investigators unsure when cross-assay comparisons are appropriate. The correlation of results from immunoassays with relative protein quantification is explored by SOMAscan. For 63 proteins assessed in two chronic obstructive pulmonary disease (COPD) cohorts, subpopulations and intermediate outcome measures in COPD Study (SPIROMICS), and COPDGene, using myriad rules based medicine multiplex immunoassays and SOMAscan, Spearman correlation coefficients range from -0.13 to 0.97, with a median correlation coefficient of ≈0.5 and consistent results across cohorts. A similar range is observed for immunoassays in the population-based Multi-Ethnic Study of Atherosclerosis and for other assays in COPDGene and SPIROMICS. Comparisons of relative quantification from the antibody-based Olink platform and SOMAscan in a small cohort of myocardial infarction patients also show a wide correlation range. Finally, cis pQTL data, mass spectrometry aptamer confirmation, and other publicly available data are integrated to assess relationships with observed correlations. Correlation between proteomics assays shows a wide range and should be carefully considered when comparing and meta-analyzing proteomics data across assays and studies.","author":[{"dropping-particle":"","family":"Raffield","given":"Laura M.","non-dropping-particle":"","parse-names":false,"suffix":""},{"dropping-particle":"","family":"Dang","given":"Hong","non-dropping-particle":"","parse-names":false,"suffix":""},{"dropping-particle":"","family":"Pratte","given":"Katherine A.","non-dropping-particle":"","parse-names":false,"suffix":""},{"dropping-particle":"","family":"Jacobson","given":"Sean","non-dropping-particle":"","parse-names":false,"suffix":""},{"dropping-particle":"","family":"Gillenwater","given":"Lucas A.","non-dropping-particle":"","parse-names":false,"suffix":""},{"dropping-particle":"","family":"Ampleford","given":"Elizabeth","non-dropping-particle":"","parse-names":false,"suffix":""},{"dropping-particle":"","family":"Barjaktarevic","given":"Igor","non-dropping-particle":"","parse-names":false,"suffix":""},{"dropping-particle":"","family":"Basta","given":"Patricia","non-dropping-particle":"","parse-names":false,"suffix":""},{"dropping-particle":"","family":"Clish","given":"Clary B.","non-dropping-particle":"","parse-names":false,"suffix":""},{"dropping-particle":"","family":"Comellas","given":"Alejandro P.","non-dropping-particle":"","parse-names":false,"suffix":""},{"dropping-particle":"","family":"Cornell","given":"Elaine","non-dropping-particle":"","parse-names":false,"suffix":""},{"dropping-particle":"","family":"Curtis","given":"Jeffrey L.","non-dropping-particle":"","parse-names":false,"suffix":""},{"dropping-particle":"","family":"Doerschuk","given":"Claire","non-dropping-particle":"","parse-names":false,"suffix":""},{"dropping-particle":"","family":"Durda","given":"Peter","non-dropping-particle":"","parse-names":false,"suffix":""},{"dropping-particle":"","family":"Emson","given":"Claire","non-dropping-particle":"","parse-names":false,"suffix":""},{"dropping-particle":"","family":"Freeman","given":"Christine M.","non-dropping-particle":"","parse-names":false,"suffix":""},{"dropping-particle":"","family":"Guo","given":"Xiuqing","non-dropping-particle":"","parse-names":false,"suffix":""},{"dropping-particle":"","family":"Hastie","given":"Annette T.","non-dropping-particle":"","parse-names":false,"suffix":""},{"dropping-particle":"","family":"Hawkins","given":"Gregory A.","non-dropping-particle":"","parse-names":false,"suffix":""},{"dropping-particle":"","family":"Herrera","given":"Julio","non-dropping-particle":"","parse-names":false,"suffix":""},{"dropping-particle":"","family":"Johnson","given":"W. Craig","non-dropping-particle":"","parse-names":false,"suffix":""},{"dropping-particle":"","family":"Labaki","given":"Wassim W.","non-dropping-particle":"","parse-names":false,"suffix":""},{"dropping-particle":"","family":"Liu","given":"Yongmei","non-dropping-particle":"","parse-names":false,"suffix":""},{"dropping-particle":"","family":"Masters","given":"Brett","non-dropping-particle":"","parse-names":false,"suffix":""},{"dropping-particle":"","family":"Miller","given":"Michael","non-dropping-particle":"","parse-names":false,"suffix":""},{"dropping-particle":"","family":"Ortega","given":"Victor E.","non-dropping-particle":"","parse-names":false,"suffix":""},{"dropping-particle":"","family":"Papanicolaou","given":"George","non-dropping-particle":"","parse-names":false,"suffix":""},{"dropping-particle":"","family":"Peters","given":"Stephen","non-dropping-particle":"","parse-names":false,"suffix":""},{"dropping-particle":"","family":"Taylor","given":"Kent D.","non-dropping-particle":"","parse-names":false,"suffix":""},{"dropping-particle":"","family":"Rich","given":"Stephen S.","non-dropping-particle":"","parse-names":false,"suffix":""},{"dropping-particle":"","family":"Rotter","given":"Jerome I.","non-dropping-particle":"","parse-names":false,"suffix":""},{"dropping-particle":"","family":"Auer","given":"Paul","non-dropping-particle":"","parse-names":false,"suffix":""},{"dropping-particle":"","family":"Reiner","given":"Alex P.","non-dropping-particle":"","parse-names":false,"suffix":""},{"dropping-particle":"","family":"Tracy","given":"Russell P.","non-dropping-particle":"","parse-names":false,"suffix":""},{"dropping-particle":"","family":"Ngo","given":"Debby","non-dropping-particle":"","parse-names":false,"suffix":""},{"dropping-particle":"","family":"Gerszten","given":"Robert E.","non-dropping-particle":"","parse-names":false,"suffix":""},{"dropping-particle":"","family":"O'Neal","given":"Wanda K.","non-dropping-particle":"","parse-names":false,"suffix":""},{"dropping-particle":"","family":"Bowler","given":"Russell P.","non-dropping-particle":"","parse-names":false,"suffix":""},{"dropping-particle":"","family":"NHLBI Trans-Omics for Precision Medicine (TOPMed) Consortium","given":"","non-dropping-particle":"","parse-names":false,"suffix":""}],"container-title":"Proteomics","id":"ITEM-1","issue":"12","issued":{"date-parts":[["2020"]]},"page":"e1900278","title":"Comparison of Proteomic Assessment Methods in Multiple Cohort Studies.","type":"article-journal","volume":"20"},"uris":["http://www.mendeley.com/documents/?uuid=71bff136-3ade-4bb1-aea1-cc99efc3af4e"]}],"mendeley":{"formattedCitation":"&lt;sup&gt;21&lt;/sup&gt;","plainTextFormattedCitation":"21","previouslyFormattedCitation":"&lt;sup&gt;21&lt;/sup&gt;"},"properties":{"noteIndex":0},"schema":"https://github.com/citation-style-language/schema/raw/master/csl-citation.json"}</w:instrText>
      </w:r>
      <w:r w:rsidR="006D26BF" w:rsidRPr="00177CF7">
        <w:fldChar w:fldCharType="separate"/>
      </w:r>
      <w:r w:rsidR="00AB37AF" w:rsidRPr="00AB37AF">
        <w:rPr>
          <w:noProof/>
          <w:vertAlign w:val="superscript"/>
        </w:rPr>
        <w:t>21</w:t>
      </w:r>
      <w:r w:rsidR="006D26BF" w:rsidRPr="00177CF7">
        <w:fldChar w:fldCharType="end"/>
      </w:r>
      <w:r w:rsidR="006D26BF" w:rsidRPr="00177CF7">
        <w:t>, p</w:t>
      </w:r>
      <w:r w:rsidR="000815B8" w:rsidRPr="00177CF7">
        <w:t>rotein targets that have been validated by orthogonal methods, such as mass spectrometry</w:t>
      </w:r>
      <w:r w:rsidR="00DD1C71" w:rsidRPr="00177CF7">
        <w:t>-based target validation</w:t>
      </w:r>
      <w:r w:rsidR="000815B8" w:rsidRPr="00177CF7">
        <w:t xml:space="preserve"> or immunoassays, showed higher correlation coefficients as well</w:t>
      </w:r>
      <w:r w:rsidR="00DD754E" w:rsidRPr="00177CF7">
        <w:t xml:space="preserve"> (</w:t>
      </w:r>
      <w:r w:rsidR="00831425" w:rsidRPr="00177CF7">
        <w:t>median correlation: 0.57 vs 0.27, p-value&lt;1.59</w:t>
      </w:r>
      <w:r w:rsidR="003664FB" w:rsidRPr="00177CF7">
        <w:t>x10</w:t>
      </w:r>
      <w:r w:rsidR="00831425" w:rsidRPr="00177CF7">
        <w:rPr>
          <w:vertAlign w:val="superscript"/>
        </w:rPr>
        <w:t>-21</w:t>
      </w:r>
      <w:r w:rsidR="00DD754E" w:rsidRPr="00177CF7">
        <w:t>)</w:t>
      </w:r>
      <w:r w:rsidR="000815B8" w:rsidRPr="00177CF7">
        <w:t xml:space="preserve">. </w:t>
      </w:r>
      <w:r w:rsidR="009A2571" w:rsidRPr="00177CF7">
        <w:t>These results</w:t>
      </w:r>
      <w:r w:rsidR="00422C21" w:rsidRPr="00177CF7">
        <w:t xml:space="preserve"> were</w:t>
      </w:r>
      <w:r w:rsidR="00763682" w:rsidRPr="00177CF7">
        <w:t xml:space="preserve"> largely</w:t>
      </w:r>
      <w:r w:rsidR="00422C21" w:rsidRPr="00177CF7">
        <w:t xml:space="preserve"> independent of the normalisation procedure used</w:t>
      </w:r>
      <w:r w:rsidR="00D117DB" w:rsidRPr="00177CF7">
        <w:t xml:space="preserve"> and we considered the normalised </w:t>
      </w:r>
      <w:proofErr w:type="spellStart"/>
      <w:r w:rsidR="00D117DB" w:rsidRPr="00177CF7">
        <w:t>SomaScan</w:t>
      </w:r>
      <w:proofErr w:type="spellEnd"/>
      <w:r w:rsidR="00D117DB" w:rsidRPr="00177CF7">
        <w:t xml:space="preserve"> data as the primary resource in the following analyses.</w:t>
      </w:r>
    </w:p>
    <w:p w14:paraId="2129924E" w14:textId="77777777" w:rsidR="00563300" w:rsidRDefault="00563300" w:rsidP="002108EE">
      <w:pPr>
        <w:spacing w:line="360" w:lineRule="auto"/>
        <w:jc w:val="both"/>
      </w:pPr>
    </w:p>
    <w:p w14:paraId="670F0192" w14:textId="6A22DE73" w:rsidR="0021628D" w:rsidRDefault="0021628D" w:rsidP="002108EE">
      <w:pPr>
        <w:spacing w:line="360" w:lineRule="auto"/>
        <w:jc w:val="both"/>
      </w:pPr>
      <w:r>
        <w:rPr>
          <w:noProof/>
        </w:rPr>
        <w:lastRenderedPageBreak/>
        <w:drawing>
          <wp:inline distT="0" distB="0" distL="0" distR="0" wp14:anchorId="42220B13" wp14:editId="1025D22C">
            <wp:extent cx="5731510" cy="2505710"/>
            <wp:effectExtent l="0" t="0" r="2540" b="8890"/>
            <wp:docPr id="2" name="Picture 2" descr="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Chart, histogram&#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1510" cy="2505710"/>
                    </a:xfrm>
                    <a:prstGeom prst="rect">
                      <a:avLst/>
                    </a:prstGeom>
                    <a:noFill/>
                    <a:ln>
                      <a:noFill/>
                    </a:ln>
                  </pic:spPr>
                </pic:pic>
              </a:graphicData>
            </a:graphic>
          </wp:inline>
        </w:drawing>
      </w:r>
    </w:p>
    <w:p w14:paraId="6914288A" w14:textId="0E06ED9E" w:rsidR="00563300" w:rsidRPr="00563300" w:rsidRDefault="00563300" w:rsidP="00563300">
      <w:pPr>
        <w:spacing w:line="240" w:lineRule="auto"/>
        <w:jc w:val="both"/>
        <w:rPr>
          <w:sz w:val="20"/>
          <w:szCs w:val="20"/>
        </w:rPr>
      </w:pPr>
      <w:r w:rsidRPr="00563300">
        <w:rPr>
          <w:b/>
          <w:bCs/>
          <w:sz w:val="20"/>
          <w:szCs w:val="20"/>
        </w:rPr>
        <w:t xml:space="preserve">Figure 2 Summary of correlations between measurements on both platforms. a </w:t>
      </w:r>
      <w:r w:rsidRPr="00563300">
        <w:rPr>
          <w:sz w:val="20"/>
          <w:szCs w:val="20"/>
        </w:rPr>
        <w:t xml:space="preserve">Distribution of correlation coefficients across 937 mapping aptamer – </w:t>
      </w:r>
      <w:proofErr w:type="spellStart"/>
      <w:r w:rsidRPr="00563300">
        <w:rPr>
          <w:sz w:val="20"/>
          <w:szCs w:val="20"/>
        </w:rPr>
        <w:t>Olink</w:t>
      </w:r>
      <w:proofErr w:type="spellEnd"/>
      <w:r w:rsidRPr="00563300">
        <w:rPr>
          <w:sz w:val="20"/>
          <w:szCs w:val="20"/>
        </w:rPr>
        <w:t xml:space="preserve"> measure pairs (n=871 unique protein targets). Source data can be found in Supplementary Data 2. </w:t>
      </w:r>
      <w:r w:rsidRPr="00563300">
        <w:rPr>
          <w:b/>
          <w:bCs/>
          <w:sz w:val="20"/>
          <w:szCs w:val="20"/>
        </w:rPr>
        <w:t>b</w:t>
      </w:r>
      <w:r w:rsidRPr="00563300">
        <w:rPr>
          <w:sz w:val="20"/>
          <w:szCs w:val="20"/>
        </w:rPr>
        <w:t xml:space="preserve"> Importance measures derived from a random forest-based variable selection procedure to predict Spearman correlation coefficients across all 871 protein targets, including technical factors and protein characteristics. Coloured box plots indicate variables for which the importance measure remained significant after accounting for multiple testing (adjusted p&lt;0.01). Boxplots display the distribution of importance measures for each variable across 500 bootstrap samples.</w:t>
      </w:r>
      <w:r>
        <w:rPr>
          <w:sz w:val="20"/>
          <w:szCs w:val="20"/>
        </w:rPr>
        <w:t xml:space="preserve"> </w:t>
      </w:r>
      <w:proofErr w:type="gramStart"/>
      <w:r w:rsidRPr="00563300">
        <w:rPr>
          <w:sz w:val="20"/>
          <w:szCs w:val="20"/>
        </w:rPr>
        <w:t>For</w:t>
      </w:r>
      <w:proofErr w:type="gramEnd"/>
      <w:r w:rsidRPr="00563300">
        <w:rPr>
          <w:sz w:val="20"/>
          <w:szCs w:val="20"/>
        </w:rPr>
        <w:t xml:space="preserve"> the purpose of visualisation, median values have been highlighted by bars. %-below LOD = Fraction of measurement values below the detection limit of the assay. Source data are provided as a Source Data file.</w:t>
      </w:r>
    </w:p>
    <w:p w14:paraId="00000015" w14:textId="7CA31368" w:rsidR="00766C45" w:rsidRPr="00177CF7" w:rsidRDefault="005D18E7" w:rsidP="002108EE">
      <w:pPr>
        <w:spacing w:line="360" w:lineRule="auto"/>
        <w:jc w:val="both"/>
        <w:rPr>
          <w:b/>
          <w:bCs/>
          <w:i/>
          <w:iCs/>
        </w:rPr>
      </w:pPr>
      <w:r w:rsidRPr="00177CF7">
        <w:rPr>
          <w:b/>
          <w:bCs/>
          <w:i/>
          <w:iCs/>
        </w:rPr>
        <w:t>Shared genetic effects are target-dependent</w:t>
      </w:r>
    </w:p>
    <w:p w14:paraId="00000018" w14:textId="74B04A74" w:rsidR="00766C45" w:rsidRPr="00177CF7" w:rsidRDefault="00972712" w:rsidP="005C1F0E">
      <w:pPr>
        <w:spacing w:line="360" w:lineRule="auto"/>
        <w:jc w:val="both"/>
      </w:pPr>
      <w:r w:rsidRPr="00177CF7">
        <w:t xml:space="preserve">We </w:t>
      </w:r>
      <w:r w:rsidR="006967E0" w:rsidRPr="00177CF7">
        <w:t>identified</w:t>
      </w:r>
      <w:r w:rsidR="007C69BB" w:rsidRPr="00177CF7">
        <w:t xml:space="preserve"> a total of </w:t>
      </w:r>
      <w:r w:rsidRPr="00177CF7">
        <w:t xml:space="preserve">1,923 genetic variant - </w:t>
      </w:r>
      <w:proofErr w:type="spellStart"/>
      <w:r w:rsidRPr="00177CF7">
        <w:t>SOMAmer</w:t>
      </w:r>
      <w:proofErr w:type="spellEnd"/>
      <w:r w:rsidRPr="00177CF7">
        <w:t xml:space="preserve"> - </w:t>
      </w:r>
      <w:proofErr w:type="spellStart"/>
      <w:r w:rsidRPr="00177CF7">
        <w:t>Olink</w:t>
      </w:r>
      <w:proofErr w:type="spellEnd"/>
      <w:r w:rsidRPr="00177CF7">
        <w:t xml:space="preserve"> triplets</w:t>
      </w:r>
      <w:r w:rsidR="0089726A" w:rsidRPr="00177CF7">
        <w:t xml:space="preserve"> with evidence from </w:t>
      </w:r>
      <w:r w:rsidR="00553961" w:rsidRPr="00177CF7">
        <w:t>at least one</w:t>
      </w:r>
      <w:r w:rsidR="0089726A" w:rsidRPr="00177CF7">
        <w:t xml:space="preserve"> platform</w:t>
      </w:r>
      <w:r w:rsidRPr="00177CF7">
        <w:t xml:space="preserve"> (</w:t>
      </w:r>
      <w:r w:rsidR="00B95335" w:rsidRPr="00177CF7">
        <w:t xml:space="preserve">816 </w:t>
      </w:r>
      <w:proofErr w:type="spellStart"/>
      <w:r w:rsidR="00B95335" w:rsidRPr="00177CF7">
        <w:t>SOMAmer</w:t>
      </w:r>
      <w:proofErr w:type="spellEnd"/>
      <w:r w:rsidR="00B95335" w:rsidRPr="00177CF7">
        <w:t xml:space="preserve"> reagents, 770 </w:t>
      </w:r>
      <w:proofErr w:type="spellStart"/>
      <w:r w:rsidR="00B95335" w:rsidRPr="00177CF7">
        <w:t>Olink</w:t>
      </w:r>
      <w:proofErr w:type="spellEnd"/>
      <w:r w:rsidR="00B95335" w:rsidRPr="00177CF7">
        <w:t xml:space="preserve"> measures, and 1,267 </w:t>
      </w:r>
      <w:r w:rsidR="00564EED" w:rsidRPr="00177CF7">
        <w:t>genetic variants</w:t>
      </w:r>
      <w:r w:rsidRPr="00177CF7">
        <w:t xml:space="preserve">, </w:t>
      </w:r>
      <w:r w:rsidRPr="00177CF7">
        <w:rPr>
          <w:b/>
        </w:rPr>
        <w:t xml:space="preserve">Supplementary </w:t>
      </w:r>
      <w:r w:rsidR="00FC1E8A" w:rsidRPr="00177CF7">
        <w:rPr>
          <w:b/>
        </w:rPr>
        <w:t>Fig.</w:t>
      </w:r>
      <w:r w:rsidR="00AA57E3" w:rsidRPr="00177CF7">
        <w:rPr>
          <w:b/>
        </w:rPr>
        <w:t xml:space="preserve"> 2 and</w:t>
      </w:r>
      <w:r w:rsidR="00FC1E8A" w:rsidRPr="00177CF7">
        <w:rPr>
          <w:b/>
        </w:rPr>
        <w:t xml:space="preserve"> </w:t>
      </w:r>
      <w:r w:rsidR="00AE6B68">
        <w:rPr>
          <w:b/>
        </w:rPr>
        <w:t>Data</w:t>
      </w:r>
      <w:r w:rsidRPr="00177CF7">
        <w:rPr>
          <w:b/>
        </w:rPr>
        <w:t xml:space="preserve"> </w:t>
      </w:r>
      <w:r w:rsidR="0000749B" w:rsidRPr="00177CF7">
        <w:rPr>
          <w:b/>
        </w:rPr>
        <w:t>3</w:t>
      </w:r>
      <w:r w:rsidRPr="00177CF7">
        <w:rPr>
          <w:bCs/>
        </w:rPr>
        <w:t>, see</w:t>
      </w:r>
      <w:r w:rsidRPr="00177CF7">
        <w:rPr>
          <w:b/>
        </w:rPr>
        <w:t xml:space="preserve"> Methods</w:t>
      </w:r>
      <w:r w:rsidRPr="00177CF7">
        <w:t>) and</w:t>
      </w:r>
      <w:r w:rsidR="00CB0D88" w:rsidRPr="00177CF7">
        <w:t xml:space="preserve"> observed considerably lower correlation</w:t>
      </w:r>
      <w:r w:rsidR="00CA280C" w:rsidRPr="00177CF7">
        <w:t xml:space="preserve"> coefficients </w:t>
      </w:r>
      <w:r w:rsidR="00E911C9" w:rsidRPr="00177CF7">
        <w:t>between effect estimates (</w:t>
      </w:r>
      <w:r w:rsidR="00E911C9" w:rsidRPr="00177CF7">
        <w:rPr>
          <w:b/>
          <w:bCs/>
        </w:rPr>
        <w:t>Fig. 3</w:t>
      </w:r>
      <w:r w:rsidR="00E911C9" w:rsidRPr="00177CF7">
        <w:t xml:space="preserve">) </w:t>
      </w:r>
      <w:r w:rsidR="00A26CA8" w:rsidRPr="00177CF7">
        <w:t>than previously reported</w:t>
      </w:r>
      <w:r w:rsidR="00462FAE" w:rsidRPr="00177CF7">
        <w:fldChar w:fldCharType="begin" w:fldLock="1"/>
      </w:r>
      <w:r w:rsidR="006D26BF" w:rsidRPr="00177CF7">
        <w:instrText>ADDIN CSL_CITATION {"citationItems":[{"id":"ITEM-1","itemData":{"DOI":"10.1038/s41586-018-0175-2","ISSN":"1476-4687","PMID":"29875488","abstract":"Although plasma proteins have important roles in biological processes and are the direct targets of many drugs, the genetic factors that control inter-individual variation in plasma protein levels are not well understood. Here we characterize the genetic architecture of the human plasma proteome in healthy blood donors from the INTERVAL study. We identify 1,927 genetic associations with 1,478 proteins, a fourfold increase on existing knowledge, including trans associations for 1,104 proteins. To understand the consequences of perturbations in plasma protein levels, we apply an integrated approach that links genetic variation with biological pathway, disease, and drug databases. We show that protein quantitative trait loci overlap with gene expression quantitative trait loci, as well as with disease-associated loci, and find evidence that protein biomarkers have causal roles in disease using Mendelian randomization analysis. By linking genetic factors to diseases via specific proteins, our analyses highlight potential therapeutic targets, opportunities for matching existing drugs with new disease indications, and potential safety concerns for drugs under development.","author":[{"dropping-particle":"","family":"Sun","given":"Benjamin B.","non-dropping-particle":"","parse-names":false,"suffix":""},{"dropping-particle":"","family":"Maranville","given":"Joseph C.","non-dropping-particle":"","parse-names":false,"suffix":""},{"dropping-particle":"","family":"Peters","given":"James E.","non-dropping-particle":"","parse-names":false,"suffix":""},{"dropping-particle":"","family":"Stacey","given":"David","non-dropping-particle":"","parse-names":false,"suffix":""},{"dropping-particle":"","family":"Staley","given":"James R.","non-dropping-particle":"","parse-names":false,"suffix":""},{"dropping-particle":"","family":"Blackshaw","given":"James","non-dropping-particle":"","parse-names":false,"suffix":""},{"dropping-particle":"","family":"Burgess","given":"Stephen","non-dropping-particle":"","parse-names":false,"suffix":""},{"dropping-particle":"","family":"Jiang","given":"Tao","non-dropping-particle":"","parse-names":false,"suffix":""},{"dropping-particle":"","family":"Paige","given":"Ellie","non-dropping-particle":"","parse-names":false,"suffix":""},{"dropping-particle":"","family":"Surendran","given":"Praveen","non-dropping-particle":"","parse-names":false,"suffix":""},{"dropping-particle":"","family":"Oliver-Williams","given":"Clare","non-dropping-particle":"","parse-names":false,"suffix":""},{"dropping-particle":"","family":"Kamat","given":"Mihir A.","non-dropping-particle":"","parse-names":false,"suffix":""},{"dropping-particle":"","family":"Prins","given":"Bram P.","non-dropping-particle":"","parse-names":false,"suffix":""},{"dropping-particle":"","family":"Wilcox","given":"Sheri K.","non-dropping-particle":"","parse-names":false,"suffix":""},{"dropping-particle":"","family":"Zimmerman","given":"Erik S.","non-dropping-particle":"","parse-names":false,"suffix":""},{"dropping-particle":"","family":"Chi","given":"An","non-dropping-particle":"","parse-names":false,"suffix":""},{"dropping-particle":"","family":"Bansal","given":"Narinder","non-dropping-particle":"","parse-names":false,"suffix":""},{"dropping-particle":"","family":"Spain","given":"Sarah L.","non-dropping-particle":"","parse-names":false,"suffix":""},{"dropping-particle":"","family":"Wood","given":"Angela M.","non-dropping-particle":"","parse-names":false,"suffix":""},{"dropping-particle":"","family":"Morrell","given":"Nicholas W.","non-dropping-particle":"","parse-names":false,"suffix":""},{"dropping-particle":"","family":"Bradley","given":"John R.","non-dropping-particle":"","parse-names":false,"suffix":""},{"dropping-particle":"","family":"Janjic","given":"Nebojsa","non-dropping-particle":"","parse-names":false,"suffix":""},{"dropping-particle":"","family":"Roberts","given":"David J.","non-dropping-particle":"","parse-names":false,"suffix":""},{"dropping-particle":"","family":"Ouwehand","given":"Willem H.","non-dropping-particle":"","parse-names":false,"suffix":""},{"dropping-particle":"","family":"Todd","given":"John A.","non-dropping-particle":"","parse-names":false,"suffix":""},{"dropping-particle":"","family":"Soranzo","given":"Nicole","non-dropping-particle":"","parse-names":false,"suffix":""},{"dropping-particle":"","family":"Suhre","given":"Karsten","non-dropping-particle":"","parse-names":false,"suffix":""},{"dropping-particle":"","family":"Paul","given":"Dirk S.","non-dropping-particle":"","parse-names":false,"suffix":""},{"dropping-particle":"","family":"Fox","given":"Caroline S.","non-dropping-particle":"","parse-names":false,"suffix":""},{"dropping-particle":"","family":"Plenge","given":"Robert M.","non-dropping-particle":"","parse-names":false,"suffix":""},{"dropping-particle":"","family":"Danesh","given":"John","non-dropping-particle":"","parse-names":false,"suffix":""},{"dropping-particle":"","family":"Runz","given":"Heiko","non-dropping-particle":"","parse-names":false,"suffix":""},{"dropping-particle":"","family":"Butterworth","given":"Adam S.","non-dropping-particle":"","parse-names":false,"suffix":""}],"container-title":"Nature","id":"ITEM-1","issue":"7708","issued":{"date-parts":[["2018","6","6"]]},"page":"73-79","publisher":"Springer US","title":"Genomic atlas of the human plasma proteome.","type":"article-journal","volume":"558"},"uris":["http://www.mendeley.com/documents/?uuid=474a4c65-8f2c-433c-a346-f6aeff94a9ae"]}],"mendeley":{"formattedCitation":"&lt;sup&gt;5&lt;/sup&gt;","plainTextFormattedCitation":"5","previouslyFormattedCitation":"&lt;sup&gt;5&lt;/sup&gt;"},"properties":{"noteIndex":0},"schema":"https://github.com/citation-style-language/schema/raw/master/csl-citation.json"}</w:instrText>
      </w:r>
      <w:r w:rsidR="00462FAE" w:rsidRPr="00177CF7">
        <w:fldChar w:fldCharType="separate"/>
      </w:r>
      <w:r w:rsidR="00462FAE" w:rsidRPr="00177CF7">
        <w:rPr>
          <w:noProof/>
          <w:vertAlign w:val="superscript"/>
        </w:rPr>
        <w:t>5</w:t>
      </w:r>
      <w:r w:rsidR="00462FAE" w:rsidRPr="00177CF7">
        <w:fldChar w:fldCharType="end"/>
      </w:r>
      <w:r w:rsidR="00AB696F" w:rsidRPr="00177CF7">
        <w:t>,</w:t>
      </w:r>
      <w:r w:rsidR="00A26CA8" w:rsidRPr="00177CF7">
        <w:t xml:space="preserve"> w</w:t>
      </w:r>
      <w:r w:rsidR="00BD7C78" w:rsidRPr="00177CF7">
        <w:t xml:space="preserve">ith values of 0.41 for </w:t>
      </w:r>
      <w:r w:rsidR="00BD7C78" w:rsidRPr="00177CF7">
        <w:rPr>
          <w:i/>
          <w:iCs/>
        </w:rPr>
        <w:t>cis</w:t>
      </w:r>
      <w:r w:rsidR="00BD7C78" w:rsidRPr="00177CF7">
        <w:t>-</w:t>
      </w:r>
      <w:proofErr w:type="spellStart"/>
      <w:r w:rsidR="00BD7C78" w:rsidRPr="00177CF7">
        <w:t>pQTLs</w:t>
      </w:r>
      <w:proofErr w:type="spellEnd"/>
      <w:r w:rsidR="00BD7C78" w:rsidRPr="00177CF7">
        <w:t xml:space="preserve"> and 0.34 for </w:t>
      </w:r>
      <w:r w:rsidR="00BD7C78" w:rsidRPr="00177CF7">
        <w:rPr>
          <w:i/>
          <w:iCs/>
        </w:rPr>
        <w:t>trans</w:t>
      </w:r>
      <w:r w:rsidR="00BD7C78" w:rsidRPr="00177CF7">
        <w:t>-</w:t>
      </w:r>
      <w:proofErr w:type="spellStart"/>
      <w:r w:rsidR="00BD7C78" w:rsidRPr="00177CF7">
        <w:t>pQTLs</w:t>
      </w:r>
      <w:proofErr w:type="spellEnd"/>
      <w:r w:rsidR="00B95335" w:rsidRPr="00177CF7">
        <w:t>.</w:t>
      </w:r>
      <w:r w:rsidR="007D60DB" w:rsidRPr="00177CF7">
        <w:t xml:space="preserve"> </w:t>
      </w:r>
      <w:r w:rsidR="005F4271" w:rsidRPr="00177CF7">
        <w:t>Correlation coefficients were higher (</w:t>
      </w:r>
      <w:r w:rsidR="005160F5" w:rsidRPr="00177CF7">
        <w:rPr>
          <w:i/>
          <w:iCs/>
        </w:rPr>
        <w:t>cis</w:t>
      </w:r>
      <w:r w:rsidR="005160F5" w:rsidRPr="00177CF7">
        <w:t>-</w:t>
      </w:r>
      <w:proofErr w:type="spellStart"/>
      <w:r w:rsidR="005160F5" w:rsidRPr="00177CF7">
        <w:t>pQTL</w:t>
      </w:r>
      <w:proofErr w:type="spellEnd"/>
      <w:r w:rsidR="005160F5" w:rsidRPr="00177CF7">
        <w:t xml:space="preserve">: </w:t>
      </w:r>
      <w:r w:rsidR="005F4271" w:rsidRPr="00177CF7">
        <w:t>0.68</w:t>
      </w:r>
      <w:r w:rsidR="005160F5" w:rsidRPr="00177CF7">
        <w:t xml:space="preserve">, </w:t>
      </w:r>
      <w:r w:rsidR="005160F5" w:rsidRPr="00177CF7">
        <w:rPr>
          <w:i/>
          <w:iCs/>
        </w:rPr>
        <w:t>trans</w:t>
      </w:r>
      <w:r w:rsidR="005160F5" w:rsidRPr="00177CF7">
        <w:t>-</w:t>
      </w:r>
      <w:proofErr w:type="spellStart"/>
      <w:r w:rsidR="005160F5" w:rsidRPr="00177CF7">
        <w:t>pQTL</w:t>
      </w:r>
      <w:proofErr w:type="spellEnd"/>
      <w:r w:rsidR="005160F5" w:rsidRPr="00177CF7">
        <w:t>:</w:t>
      </w:r>
      <w:r w:rsidR="005F4271" w:rsidRPr="00177CF7">
        <w:t xml:space="preserve"> 0.75</w:t>
      </w:r>
      <w:r w:rsidR="005160F5" w:rsidRPr="00177CF7">
        <w:t>)</w:t>
      </w:r>
      <w:r w:rsidR="005F4271" w:rsidRPr="00177CF7">
        <w:t xml:space="preserve"> for </w:t>
      </w:r>
      <w:r w:rsidR="005B2A23" w:rsidRPr="00177CF7">
        <w:rPr>
          <w:iCs/>
        </w:rPr>
        <w:t>well-correlating protein targets (</w:t>
      </w:r>
      <w:r w:rsidR="005B2A23" w:rsidRPr="00177CF7">
        <w:rPr>
          <w:b/>
          <w:bCs/>
          <w:iCs/>
        </w:rPr>
        <w:t xml:space="preserve">Supplementary Fig. </w:t>
      </w:r>
      <w:r w:rsidR="00D633C5" w:rsidRPr="00177CF7">
        <w:rPr>
          <w:b/>
          <w:bCs/>
          <w:iCs/>
        </w:rPr>
        <w:t>3</w:t>
      </w:r>
      <w:r w:rsidR="005B2A23" w:rsidRPr="00177CF7">
        <w:rPr>
          <w:iCs/>
        </w:rPr>
        <w:t xml:space="preserve">) </w:t>
      </w:r>
      <w:r w:rsidR="005B2A23" w:rsidRPr="00177CF7">
        <w:t>and</w:t>
      </w:r>
      <w:r w:rsidR="009F6178" w:rsidRPr="00177CF7">
        <w:t xml:space="preserve"> </w:t>
      </w:r>
      <w:r w:rsidR="00964DFA" w:rsidRPr="00177CF7">
        <w:t>comparable to</w:t>
      </w:r>
      <w:r w:rsidR="009F6178" w:rsidRPr="00177CF7">
        <w:t xml:space="preserve"> an indepen</w:t>
      </w:r>
      <w:r w:rsidR="00DD4ADA" w:rsidRPr="00177CF7">
        <w:t xml:space="preserve">dent set of </w:t>
      </w:r>
      <w:proofErr w:type="spellStart"/>
      <w:r w:rsidR="00DD4ADA" w:rsidRPr="00177CF7">
        <w:t>Olink</w:t>
      </w:r>
      <w:proofErr w:type="spellEnd"/>
      <w:r w:rsidR="00DD4ADA" w:rsidRPr="00177CF7">
        <w:t>-based pQTLs</w:t>
      </w:r>
      <w:r w:rsidR="006804F7" w:rsidRPr="00177CF7">
        <w:fldChar w:fldCharType="begin" w:fldLock="1"/>
      </w:r>
      <w:r w:rsidR="00B455B1" w:rsidRPr="00177CF7">
        <w:instrText>ADDIN CSL_CITATION {"citationItems":[{"id":"ITEM-1","itemData":{"DOI":"10.1038/s42255-020-00287-2","ISSN":"25225812","PMID":"33067605","abstract":"Circulating proteins are vital in human health and disease and are frequently used as biomarkers for clinical decision-making or as targets for pharmacological intervention. Here, we map and replicate protein quantitative trait loci (pQTL) for 90 cardiovascular proteins in over 30,000 individuals, resulting in 451 pQTLs for 85 proteins. For each protein, we further perform pathway mapping to obtain trans-pQTL gene and regulatory designations. We substantiate these regulatory findings with orthogonal evidence for trans-pQTLs using mouse knockdown experiments (ABCA1 and TRIB1) and clinical trial results (chemokine receptors CCR2 and CCR5), with consistent regulation. Finally, we evaluate known drug targets, and suggest new target candidates or repositioning opportunities using Mendelian randomization. This identifies 11 proteins with causal evidence of involvement in human disease that have not previously been targeted, including EGF, IL-16, PAPPA, SPON1, F3, ADM, CASP-8, CHI3L1, CXCL16, GDF15 and MMP-12. Taken together, these findings demonstrate the utility of large-scale mapping of the genetics of the proteome and provide a resource for future precision studies of circulating proteins in human health.","author":[{"dropping-particle":"","family":"Folkersen","given":"Lasse","non-dropping-particle":"","parse-names":false,"suffix":""},{"dropping-particle":"","family":"Gustafsson","given":"Stefan","non-dropping-particle":"","parse-names":false,"suffix":""},{"dropping-particle":"","family":"Wang","given":"Qin","non-dropping-particle":"","parse-names":false,"suffix":""},{"dropping-particle":"","family":"Hansen","given":"Daniel Hvidberg","non-dropping-particle":"","parse-names":false,"suffix":""},{"dropping-particle":"","family":"Hedman","given":"Åsa K.","non-dropping-particle":"","parse-names":false,"suffix":""},{"dropping-particle":"","family":"Schork","given":"Andrew","non-dropping-particle":"","parse-names":false,"suffix":""},{"dropping-particle":"","family":"Page","given":"Karen","non-dropping-particle":"","parse-names":false,"suffix":""},{"dropping-particle":"V.","family":"Zhernakova","given":"Daria","non-dropping-particle":"","parse-names":false,"suffix":""},{"dropping-particle":"","family":"Wu","given":"Yang","non-dropping-particle":"","parse-names":false,"suffix":""},{"dropping-particle":"","family":"Peters","given":"James","non-dropping-particle":"","parse-names":false,"suffix":""},{"dropping-particle":"","family":"Eriksson","given":"Niclas","non-dropping-particle":"","parse-names":false,"suffix":""},{"dropping-particle":"","family":"Bergen","given":"Sarah E.","non-dropping-particle":"","parse-names":false,"suffix":""},{"dropping-particle":"","family":"Boutin","given":"Thibaud S.","non-dropping-particle":"","parse-names":false,"suffix":""},{"dropping-particle":"","family":"Bretherick","given":"Andrew D.","non-dropping-particle":"","parse-names":false,"suffix":""},{"dropping-particle":"","family":"Enroth","given":"Stefan","non-dropping-particle":"","parse-names":false,"suffix":""},{"dropping-particle":"","family":"Kalnapenkis","given":"Anette","non-dropping-particle":"","parse-names":false,"suffix":""},{"dropping-particle":"","family":"Gådin","given":"Jesper R.","non-dropping-particle":"","parse-names":false,"suffix":""},{"dropping-particle":"","family":"Suur","given":"Bianca E.","non-dropping-particle":"","parse-names":false,"suffix":""},{"dropping-particle":"","family":"Chen","given":"Yan","non-dropping-particle":"","parse-names":false,"suffix":""},{"dropping-particle":"","family":"Matic","given":"Ljubica","non-dropping-particle":"","parse-names":false,"suffix":""},{"dropping-particle":"","family":"Gale","given":"Jeremy D.","non-dropping-particle":"","parse-names":false,"suffix":""},{"dropping-particle":"","family":"Lee","given":"Julie","non-dropping-particle":"","parse-names":false,"suffix":""},{"dropping-particle":"","family":"Zhang","given":"Weidong","non-dropping-particle":"","parse-names":false,"suffix":""},{"dropping-particle":"","family":"Quazi","given":"Amira","non-dropping-particle":"","parse-names":false,"suffix":""},{"dropping-particle":"","family":"Ala-Korpela","given":"Mika","non-dropping-particle":"","parse-names":false,"suffix":""},{"dropping-particle":"","family":"Choi","given":"Seung Hoan","non-dropping-particle":"","parse-names":false,"suffix":""},{"dropping-particle":"","family":"Claringbould","given":"Annique","non-dropping-particle":"","parse-names":false,"suffix":""},{"dropping-particle":"","family":"Danesh","given":"John","non-dropping-particle":"","parse-names":false,"suffix":""},{"dropping-particle":"","family":"Davey Smith","given":"George","non-dropping-particle":"","parse-names":false,"suffix":""},{"dropping-particle":"","family":"Masi","given":"Federico","non-dropping-particle":"de","parse-names":false,"suffix":""},{"dropping-particle":"","family":"Elmståhl","given":"Sölve","non-dropping-particle":"","parse-names":false,"suffix":""},{"dropping-particle":"","family":"Engström","given":"Gunnar","non-dropping-particle":"","parse-names":false,"suffix":""},{"dropping-particle":"","family":"Fauman","given":"Eric","non-dropping-particle":"","parse-names":false,"suffix":""},{"dropping-particle":"","family":"Fernandez","given":"Celine","non-dropping-particle":"","parse-names":false,"suffix":""},{"dropping-particle":"","family":"Franke","given":"Lude","non-dropping-particle":"","parse-names":false,"suffix":""},{"dropping-particle":"","family":"Franks","given":"Paul W.","non-dropping-particle":"","parse-names":false,"suffix":""},{"dropping-particle":"","family":"Giedraitis","given":"Vilmantas","non-dropping-particle":"","parse-names":false,"suffix":""},{"dropping-particle":"","family":"Haley","given":"Chris","non-dropping-particle":"","parse-names":false,"suffix":""},{"dropping-particle":"","family":"Hamsten","given":"Anders","non-dropping-particle":"","parse-names":false,"suffix":""},{"dropping-particle":"","family":"Ingason","given":"Andres","non-dropping-particle":"","parse-names":false,"suffix":""},{"dropping-particle":"","family":"Johansson","given":"Åsa","non-dropping-particle":"","parse-names":false,"suffix":""},{"dropping-particle":"","family":"Joshi","given":"Peter K.","non-dropping-particle":"","parse-names":false,"suffix":""},{"dropping-particle":"","family":"Lind","given":"Lars","non-dropping-particle":"","parse-names":false,"suffix":""},{"dropping-particle":"","family":"Lindgren","given":"Cecilia M.","non-dropping-particle":"","parse-names":false,"suffix":""},{"dropping-particle":"","family":"Lubitz","given":"Steven","non-dropping-particle":"","parse-names":false,"suffix":""},{"dropping-particle":"","family":"Palmer","given":"Tom","non-dropping-particle":"","parse-names":false,"suffix":""},{"dropping-particle":"","family":"Macdonald-Dunlop","given":"Erin","non-dropping-particle":"","parse-names":false,"suffix":""},{"dropping-particle":"","family":"Magnusson","given":"Martin","non-dropping-particle":"","parse-names":false,"suffix":""},{"dropping-particle":"","family":"Melander","given":"Olle","non-dropping-particle":"","parse-names":false,"suffix":""},{"dropping-particle":"","family":"Michaelsson","given":"Karl","non-dropping-particle":"","parse-names":false,"suffix":""},{"dropping-particle":"","family":"Morris","given":"Andrew P.","non-dropping-particle":"","parse-names":false,"suffix":""},{"dropping-particle":"","family":"Mägi","given":"Reedik","non-dropping-particle":"","parse-names":false,"suffix":""},{"dropping-particle":"","family":"Nagle","given":"Michael W.","non-dropping-particle":"","parse-names":false,"suffix":""},{"dropping-particle":"","family":"Nilsson","given":"Peter M.","non-dropping-particle":"","parse-names":false,"suffix":""},{"dropping-particle":"","family":"Nilsson","given":"Jan","non-dropping-particle":"","parse-names":false,"suffix":""},{"dropping-particle":"","family":"Orho-Melander","given":"Marju","non-dropping-particle":"","parse-names":false,"suffix":""},{"dropping-particle":"","family":"Polasek","given":"Ozren","non-dropping-particle":"","parse-names":false,"suffix":""},{"dropping-particle":"","family":"Prins","given":"Bram","non-dropping-particle":"","parse-names":false,"suffix":""},{"dropping-particle":"","family":"Pålsson","given":"Erik","non-dropping-particle":"","parse-names":false,"suffix":""},{"dropping-particle":"","family":"Qi","given":"Ting","non-dropping-particle":"","parse-names":false,"suffix":""},{"dropping-particle":"","family":"Sjögren","given":"Marketa","non-dropping-particle":"","parse-names":false,"suffix":""},{"dropping-particle":"","family":"Sundström","given":"Johan","non-dropping-particle":"","parse-names":false,"suffix":""},{"dropping-particle":"","family":"Surendran","given":"Praveen","non-dropping-particle":"","parse-names":false,"suffix":""},{"dropping-particle":"","family":"Võsa","given":"Urmo","non-dropping-particle":"","parse-names":false,"suffix":""},{"dropping-particle":"","family":"Werge","given":"Thomas","non-dropping-particle":"","parse-names":false,"suffix":""},{"dropping-particle":"","family":"Wernersson","given":"Rasmus","non-dropping-particle":"","parse-names":false,"suffix":""},{"dropping-particle":"","family":"Westra","given":"Harm Jan","non-dropping-particle":"","parse-names":false,"suffix":""},{"dropping-particle":"","family":"Yang","given":"Jian","non-dropping-particle":"","parse-names":false,"suffix":""},{"dropping-particle":"","family":"Zhernakova","given":"Alexandra","non-dropping-particle":"","parse-names":false,"suffix":""},{"dropping-particle":"","family":"Ärnlöv","given":"Johan","non-dropping-particle":"","parse-names":false,"suffix":""},{"dropping-particle":"","family":"Fu","given":"Jingyuan","non-dropping-particle":"","parse-names":false,"suffix":""},{"dropping-particle":"","family":"Smith","given":"J. Gustav","non-dropping-particle":"","parse-names":false,"suffix":""},{"dropping-particle":"","family":"Esko","given":"Tõnu","non-dropping-particle":"","parse-names":false,"suffix":""},{"dropping-particle":"","family":"Hayward","given":"Caroline","non-dropping-particle":"","parse-names":false,"suffix":""},{"dropping-particle":"","family":"Gyllensten","given":"Ulf","non-dropping-particle":"","parse-names":false,"suffix":""},{"dropping-particle":"","family":"Landen","given":"Mikael","non-dropping-particle":"","parse-names":false,"suffix":""},{"dropping-particle":"","family":"Siegbahn","given":"Agneta","non-dropping-particle":"","parse-names":false,"suffix":""},{"dropping-particle":"","family":"Wilson","given":"James F.","non-dropping-particle":"","parse-names":false,"suffix":""},{"dropping-particle":"","family":"Wallentin","given":"Lars","non-dropping-particle":"","parse-names":false,"suffix":""},{"dropping-particle":"","family":"Butterworth","given":"Adam S.","non-dropping-particle":"","parse-names":false,"suffix":""},{"dropping-particle":"V.","family":"Holmes","given":"Michael","non-dropping-particle":"","parse-names":false,"suffix":""},{"dropping-particle":"","family":"Ingelsson","given":"Erik","non-dropping-particle":"","parse-names":false,"suffix":""},{"dropping-particle":"","family":"Mälarstig","given":"Anders","non-dropping-particle":"","parse-names":false,"suffix":""}],"container-title":"Nature Metabolism","id":"ITEM-1","issue":"10","issued":{"date-parts":[["2020"]]},"page":"1135-1148","publisher":"Springer US","title":"Genomic and drug target evaluation of 90 cardiovascular proteins in 30,931 individuals","type":"article-journal","volume":"2"},"uris":["http://www.mendeley.com/documents/?uuid=e356e314-e447-4315-93b5-17b6100ac034"]}],"mendeley":{"formattedCitation":"&lt;sup&gt;8&lt;/sup&gt;","plainTextFormattedCitation":"8","previouslyFormattedCitation":"&lt;sup&gt;8&lt;/sup&gt;"},"properties":{"noteIndex":0},"schema":"https://github.com/citation-style-language/schema/raw/master/csl-citation.json"}</w:instrText>
      </w:r>
      <w:r w:rsidR="006804F7" w:rsidRPr="00177CF7">
        <w:fldChar w:fldCharType="separate"/>
      </w:r>
      <w:r w:rsidR="006804F7" w:rsidRPr="00177CF7">
        <w:rPr>
          <w:noProof/>
          <w:vertAlign w:val="superscript"/>
        </w:rPr>
        <w:t>8</w:t>
      </w:r>
      <w:r w:rsidR="006804F7" w:rsidRPr="00177CF7">
        <w:fldChar w:fldCharType="end"/>
      </w:r>
      <w:r w:rsidR="00DD4ADA" w:rsidRPr="00177CF7">
        <w:t xml:space="preserve"> (</w:t>
      </w:r>
      <w:r w:rsidR="00DD4ADA" w:rsidRPr="00177CF7">
        <w:rPr>
          <w:b/>
          <w:bCs/>
        </w:rPr>
        <w:t xml:space="preserve">Supplementary Fig. </w:t>
      </w:r>
      <w:r w:rsidR="00D633C5" w:rsidRPr="00177CF7">
        <w:rPr>
          <w:b/>
          <w:bCs/>
        </w:rPr>
        <w:t>4</w:t>
      </w:r>
      <w:r w:rsidR="00DD4ADA" w:rsidRPr="00177CF7">
        <w:rPr>
          <w:b/>
          <w:bCs/>
        </w:rPr>
        <w:t xml:space="preserve"> </w:t>
      </w:r>
      <w:r w:rsidR="00DD4ADA" w:rsidRPr="00177CF7">
        <w:t>and</w:t>
      </w:r>
      <w:r w:rsidR="00DD4ADA" w:rsidRPr="00177CF7">
        <w:rPr>
          <w:b/>
          <w:bCs/>
        </w:rPr>
        <w:t xml:space="preserve"> Supplementary </w:t>
      </w:r>
      <w:r w:rsidR="00AE6B68">
        <w:rPr>
          <w:b/>
          <w:bCs/>
        </w:rPr>
        <w:t>Data</w:t>
      </w:r>
      <w:r w:rsidR="00DD4ADA" w:rsidRPr="00177CF7">
        <w:rPr>
          <w:b/>
          <w:bCs/>
        </w:rPr>
        <w:t xml:space="preserve"> </w:t>
      </w:r>
      <w:r w:rsidR="00153982" w:rsidRPr="00177CF7">
        <w:rPr>
          <w:b/>
          <w:bCs/>
        </w:rPr>
        <w:t>4</w:t>
      </w:r>
      <w:r w:rsidR="00DD4ADA" w:rsidRPr="00177CF7">
        <w:t>)</w:t>
      </w:r>
      <w:r w:rsidR="005F4271" w:rsidRPr="00177CF7">
        <w:t>.</w:t>
      </w:r>
      <w:r w:rsidR="001640B3" w:rsidRPr="00177CF7">
        <w:t xml:space="preserve"> </w:t>
      </w:r>
    </w:p>
    <w:p w14:paraId="592D8095" w14:textId="7090EEBF" w:rsidR="009950E9" w:rsidRPr="00177CF7" w:rsidRDefault="00B16406" w:rsidP="00BB1013">
      <w:pPr>
        <w:spacing w:line="360" w:lineRule="auto"/>
        <w:jc w:val="both"/>
        <w:rPr>
          <w:b/>
          <w:i/>
        </w:rPr>
      </w:pPr>
      <w:bookmarkStart w:id="0" w:name="_heading=h.gjdgxs" w:colFirst="0" w:colLast="0"/>
      <w:bookmarkEnd w:id="0"/>
      <w:r w:rsidRPr="00177CF7">
        <w:t xml:space="preserve">We next tested </w:t>
      </w:r>
      <w:r w:rsidR="005C1F0E" w:rsidRPr="00177CF7">
        <w:t xml:space="preserve">more rigorously for a shared genetic architecture </w:t>
      </w:r>
      <w:r w:rsidR="001257F7" w:rsidRPr="00177CF7">
        <w:t xml:space="preserve">across platforms and </w:t>
      </w:r>
      <w:r w:rsidR="00555D20" w:rsidRPr="00177CF7">
        <w:t>identified 306 (63.9%) genomic region</w:t>
      </w:r>
      <w:r w:rsidR="00E548DE" w:rsidRPr="00177CF7">
        <w:t>-</w:t>
      </w:r>
      <w:r w:rsidR="009D112F" w:rsidRPr="00177CF7">
        <w:t>to</w:t>
      </w:r>
      <w:r w:rsidR="00E548DE" w:rsidRPr="00177CF7">
        <w:t>-</w:t>
      </w:r>
      <w:r w:rsidR="00555D20" w:rsidRPr="00177CF7">
        <w:t xml:space="preserve">protein target </w:t>
      </w:r>
      <w:r w:rsidR="009D112F" w:rsidRPr="00177CF7">
        <w:t xml:space="preserve">associations </w:t>
      </w:r>
      <w:r w:rsidR="000C48C5" w:rsidRPr="00177CF7">
        <w:t xml:space="preserve">that were </w:t>
      </w:r>
      <w:r w:rsidR="009D112F" w:rsidRPr="00177CF7">
        <w:t>shared</w:t>
      </w:r>
      <w:r w:rsidR="000C48C5" w:rsidRPr="00177CF7">
        <w:t xml:space="preserve"> between platform</w:t>
      </w:r>
      <w:r w:rsidR="009D112F" w:rsidRPr="00177CF7">
        <w:t>s</w:t>
      </w:r>
      <w:r w:rsidR="000C48C5" w:rsidRPr="00177CF7">
        <w:t xml:space="preserve">, </w:t>
      </w:r>
      <w:r w:rsidR="00230BFB" w:rsidRPr="00177CF7">
        <w:t>that is,</w:t>
      </w:r>
      <w:r w:rsidR="000C48C5" w:rsidRPr="00177CF7">
        <w:t xml:space="preserve"> showed </w:t>
      </w:r>
      <w:r w:rsidR="004523A0" w:rsidRPr="00177CF7">
        <w:t xml:space="preserve">the same, </w:t>
      </w:r>
      <w:r w:rsidR="00613F17" w:rsidRPr="00177CF7">
        <w:t>directional</w:t>
      </w:r>
      <w:r w:rsidR="00FD659D" w:rsidRPr="00177CF7">
        <w:t>ly</w:t>
      </w:r>
      <w:r w:rsidR="00613F17" w:rsidRPr="00177CF7">
        <w:t xml:space="preserve"> </w:t>
      </w:r>
      <w:r w:rsidR="009D112F" w:rsidRPr="00177CF7">
        <w:t>con</w:t>
      </w:r>
      <w:r w:rsidR="00F47981" w:rsidRPr="00177CF7">
        <w:t>s</w:t>
      </w:r>
      <w:r w:rsidR="009D112F" w:rsidRPr="00177CF7">
        <w:t xml:space="preserve">istent </w:t>
      </w:r>
      <w:r w:rsidR="00613F17" w:rsidRPr="00177CF7">
        <w:t xml:space="preserve">genetic signal </w:t>
      </w:r>
      <w:r w:rsidR="00450286" w:rsidRPr="00177CF7">
        <w:t xml:space="preserve">(see </w:t>
      </w:r>
      <w:r w:rsidR="00450286" w:rsidRPr="00177CF7">
        <w:rPr>
          <w:b/>
          <w:bCs/>
        </w:rPr>
        <w:t>Methods</w:t>
      </w:r>
      <w:r w:rsidR="00D068D6" w:rsidRPr="00177CF7">
        <w:rPr>
          <w:b/>
          <w:bCs/>
        </w:rPr>
        <w:t xml:space="preserve"> </w:t>
      </w:r>
      <w:r w:rsidR="00D068D6" w:rsidRPr="00177CF7">
        <w:t>and</w:t>
      </w:r>
      <w:r w:rsidR="00D068D6" w:rsidRPr="00177CF7">
        <w:rPr>
          <w:b/>
          <w:bCs/>
        </w:rPr>
        <w:t xml:space="preserve"> Supplementary Fig. </w:t>
      </w:r>
      <w:r w:rsidR="00D633C5" w:rsidRPr="00177CF7">
        <w:rPr>
          <w:b/>
          <w:bCs/>
        </w:rPr>
        <w:t>5</w:t>
      </w:r>
      <w:r w:rsidR="00F2115B" w:rsidRPr="00177CF7">
        <w:rPr>
          <w:b/>
          <w:bCs/>
        </w:rPr>
        <w:t xml:space="preserve"> and Supplementary </w:t>
      </w:r>
      <w:r w:rsidR="00FA2264">
        <w:rPr>
          <w:b/>
          <w:bCs/>
        </w:rPr>
        <w:t>Data</w:t>
      </w:r>
      <w:r w:rsidR="00F2115B" w:rsidRPr="00177CF7">
        <w:rPr>
          <w:b/>
          <w:bCs/>
        </w:rPr>
        <w:t xml:space="preserve"> </w:t>
      </w:r>
      <w:r w:rsidR="00171CF0" w:rsidRPr="00177CF7">
        <w:rPr>
          <w:b/>
          <w:bCs/>
        </w:rPr>
        <w:t>5</w:t>
      </w:r>
      <w:r w:rsidR="00450286" w:rsidRPr="00177CF7">
        <w:t>),</w:t>
      </w:r>
      <w:r w:rsidR="00555D20" w:rsidRPr="00177CF7">
        <w:t xml:space="preserve"> with approximately similar fractions for </w:t>
      </w:r>
      <w:r w:rsidR="00555D20" w:rsidRPr="00177CF7">
        <w:rPr>
          <w:i/>
        </w:rPr>
        <w:t>cis</w:t>
      </w:r>
      <w:r w:rsidR="00555D20" w:rsidRPr="00177CF7">
        <w:t xml:space="preserve"> and </w:t>
      </w:r>
      <w:r w:rsidR="00555D20" w:rsidRPr="00177CF7">
        <w:rPr>
          <w:i/>
        </w:rPr>
        <w:t>trans</w:t>
      </w:r>
      <w:r w:rsidR="00555D20" w:rsidRPr="00177CF7">
        <w:t>-</w:t>
      </w:r>
      <w:proofErr w:type="spellStart"/>
      <w:r w:rsidR="00555D20" w:rsidRPr="00177CF7">
        <w:t>pQTLs</w:t>
      </w:r>
      <w:proofErr w:type="spellEnd"/>
      <w:r w:rsidR="00555D20" w:rsidRPr="00177CF7">
        <w:t xml:space="preserve"> </w:t>
      </w:r>
      <w:r w:rsidR="000156B5" w:rsidRPr="00177CF7">
        <w:t xml:space="preserve">out of </w:t>
      </w:r>
      <w:r w:rsidR="00E65877" w:rsidRPr="00177CF7">
        <w:t xml:space="preserve">479 with sufficient power for replication </w:t>
      </w:r>
      <w:r w:rsidR="00555D20" w:rsidRPr="00177CF7">
        <w:t>(</w:t>
      </w:r>
      <w:r w:rsidR="00555D20" w:rsidRPr="00177CF7">
        <w:rPr>
          <w:b/>
        </w:rPr>
        <w:t xml:space="preserve">Fig. </w:t>
      </w:r>
      <w:r w:rsidR="00E65877" w:rsidRPr="00177CF7">
        <w:rPr>
          <w:b/>
        </w:rPr>
        <w:t>3</w:t>
      </w:r>
      <w:r w:rsidR="00B00AF2" w:rsidRPr="00177CF7">
        <w:rPr>
          <w:b/>
        </w:rPr>
        <w:t>b</w:t>
      </w:r>
      <w:r w:rsidR="00555D20" w:rsidRPr="00177CF7">
        <w:t>).</w:t>
      </w:r>
      <w:r w:rsidR="00BC415E" w:rsidRPr="00177CF7">
        <w:t xml:space="preserve"> This included </w:t>
      </w:r>
      <w:r w:rsidR="008235A7" w:rsidRPr="00177CF7">
        <w:t>13</w:t>
      </w:r>
      <w:r w:rsidR="00BC415E" w:rsidRPr="00177CF7">
        <w:t xml:space="preserve"> regions for which </w:t>
      </w:r>
      <w:r w:rsidR="000A3918" w:rsidRPr="00177CF7">
        <w:t xml:space="preserve">we discovered two independent </w:t>
      </w:r>
      <w:r w:rsidR="000A3918" w:rsidRPr="00177CF7">
        <w:rPr>
          <w:i/>
          <w:iCs/>
        </w:rPr>
        <w:t>cis</w:t>
      </w:r>
      <w:r w:rsidR="000A3918" w:rsidRPr="00177CF7">
        <w:t>-</w:t>
      </w:r>
      <w:proofErr w:type="spellStart"/>
      <w:r w:rsidR="000A3918" w:rsidRPr="00177CF7">
        <w:t>pQTLs</w:t>
      </w:r>
      <w:proofErr w:type="spellEnd"/>
      <w:r w:rsidR="000A3918" w:rsidRPr="00177CF7">
        <w:t xml:space="preserve"> </w:t>
      </w:r>
      <w:r w:rsidR="00F108BF" w:rsidRPr="00177CF7">
        <w:t>(</w:t>
      </w:r>
      <w:r w:rsidR="007876DF" w:rsidRPr="00177CF7">
        <w:t>r</w:t>
      </w:r>
      <w:r w:rsidR="00F108BF" w:rsidRPr="00177CF7">
        <w:rPr>
          <w:vertAlign w:val="superscript"/>
        </w:rPr>
        <w:t>2</w:t>
      </w:r>
      <w:r w:rsidR="00F108BF" w:rsidRPr="00177CF7">
        <w:t xml:space="preserve">&lt;0.1) </w:t>
      </w:r>
      <w:r w:rsidR="000A3918" w:rsidRPr="00177CF7">
        <w:t xml:space="preserve">for </w:t>
      </w:r>
      <w:proofErr w:type="spellStart"/>
      <w:r w:rsidR="000A3918" w:rsidRPr="00177CF7">
        <w:t>SomaScan</w:t>
      </w:r>
      <w:proofErr w:type="spellEnd"/>
      <w:r w:rsidR="000A3918" w:rsidRPr="00177CF7">
        <w:t xml:space="preserve"> </w:t>
      </w:r>
      <w:r w:rsidR="00955A0C" w:rsidRPr="00177CF7">
        <w:t>but</w:t>
      </w:r>
      <w:r w:rsidR="008235A7" w:rsidRPr="00177CF7">
        <w:t xml:space="preserve"> only the secondary signal was shared with </w:t>
      </w:r>
      <w:proofErr w:type="spellStart"/>
      <w:r w:rsidR="008235A7" w:rsidRPr="00177CF7">
        <w:t>Olink</w:t>
      </w:r>
      <w:proofErr w:type="spellEnd"/>
      <w:r w:rsidR="00564883" w:rsidRPr="00177CF7">
        <w:t xml:space="preserve"> (</w:t>
      </w:r>
      <w:r w:rsidR="00564883" w:rsidRPr="00177CF7">
        <w:rPr>
          <w:b/>
          <w:bCs/>
        </w:rPr>
        <w:t>Supplementary Fig. 6 and 7</w:t>
      </w:r>
      <w:r w:rsidR="00564883" w:rsidRPr="00177CF7">
        <w:t>)</w:t>
      </w:r>
      <w:r w:rsidR="008235A7" w:rsidRPr="00177CF7">
        <w:t>.</w:t>
      </w:r>
      <w:r w:rsidR="00E510FC" w:rsidRPr="00177CF7">
        <w:t xml:space="preserve"> </w:t>
      </w:r>
      <w:r w:rsidR="00555D20" w:rsidRPr="00177CF7">
        <w:t xml:space="preserve">The </w:t>
      </w:r>
      <w:r w:rsidR="00B24A0D" w:rsidRPr="00177CF7">
        <w:t>remaining 36.1% genomic region - protein target associations were platform-specific because they were either 1) only evident for one of the two assays</w:t>
      </w:r>
      <w:r w:rsidR="00555D20" w:rsidRPr="00177CF7">
        <w:t xml:space="preserve"> (24.6%, N=59 for </w:t>
      </w:r>
      <w:r w:rsidR="003D66A6" w:rsidRPr="00177CF7">
        <w:t xml:space="preserve">the </w:t>
      </w:r>
      <w:proofErr w:type="spellStart"/>
      <w:r w:rsidR="00555D20" w:rsidRPr="00177CF7">
        <w:t>SomaScan</w:t>
      </w:r>
      <w:proofErr w:type="spellEnd"/>
      <w:r w:rsidR="003D66A6" w:rsidRPr="00177CF7">
        <w:t xml:space="preserve"> assay</w:t>
      </w:r>
      <w:r w:rsidR="00555D20" w:rsidRPr="00177CF7">
        <w:t xml:space="preserve"> and N=59 for </w:t>
      </w:r>
      <w:proofErr w:type="spellStart"/>
      <w:r w:rsidR="00555D20" w:rsidRPr="00177CF7">
        <w:t>Olink</w:t>
      </w:r>
      <w:proofErr w:type="spellEnd"/>
      <w:r w:rsidR="00555D20" w:rsidRPr="00177CF7">
        <w:t xml:space="preserve">), </w:t>
      </w:r>
      <w:r w:rsidR="00B24A0D" w:rsidRPr="00177CF7">
        <w:t xml:space="preserve">or 2) </w:t>
      </w:r>
      <w:r w:rsidR="00555D20" w:rsidRPr="00177CF7">
        <w:t xml:space="preserve">showed evidence for distinct genetic signals at the same </w:t>
      </w:r>
      <w:r w:rsidR="00555D20" w:rsidRPr="00177CF7">
        <w:lastRenderedPageBreak/>
        <w:t>locus</w:t>
      </w:r>
      <w:r w:rsidR="00B24A0D" w:rsidRPr="00177CF7">
        <w:t xml:space="preserve"> (10%, 48 pairs)</w:t>
      </w:r>
      <w:r w:rsidR="00555D20" w:rsidRPr="00177CF7">
        <w:t xml:space="preserve">. </w:t>
      </w:r>
      <w:r w:rsidR="000D5678" w:rsidRPr="00177CF7">
        <w:t xml:space="preserve">We observed a lower fraction of shared genomic regions when comparing to publicly available </w:t>
      </w:r>
      <w:proofErr w:type="spellStart"/>
      <w:r w:rsidR="000D5678" w:rsidRPr="00177CF7">
        <w:t>Olink</w:t>
      </w:r>
      <w:proofErr w:type="spellEnd"/>
      <w:r w:rsidR="000D5678" w:rsidRPr="00177CF7">
        <w:t xml:space="preserve"> pQTLs</w:t>
      </w:r>
      <w:r w:rsidR="00B455B1" w:rsidRPr="00177CF7">
        <w:fldChar w:fldCharType="begin" w:fldLock="1"/>
      </w:r>
      <w:r w:rsidR="00290B08" w:rsidRPr="00177CF7">
        <w:instrText>ADDIN CSL_CITATION {"citationItems":[{"id":"ITEM-1","itemData":{"DOI":"10.1038/s42255-020-00287-2","ISSN":"25225812","PMID":"33067605","abstract":"Circulating proteins are vital in human health and disease and are frequently used as biomarkers for clinical decision-making or as targets for pharmacological intervention. Here, we map and replicate protein quantitative trait loci (pQTL) for 90 cardiovascular proteins in over 30,000 individuals, resulting in 451 pQTLs for 85 proteins. For each protein, we further perform pathway mapping to obtain trans-pQTL gene and regulatory designations. We substantiate these regulatory findings with orthogonal evidence for trans-pQTLs using mouse knockdown experiments (ABCA1 and TRIB1) and clinical trial results (chemokine receptors CCR2 and CCR5), with consistent regulation. Finally, we evaluate known drug targets, and suggest new target candidates or repositioning opportunities using Mendelian randomization. This identifies 11 proteins with causal evidence of involvement in human disease that have not previously been targeted, including EGF, IL-16, PAPPA, SPON1, F3, ADM, CASP-8, CHI3L1, CXCL16, GDF15 and MMP-12. Taken together, these findings demonstrate the utility of large-scale mapping of the genetics of the proteome and provide a resource for future precision studies of circulating proteins in human health.","author":[{"dropping-particle":"","family":"Folkersen","given":"Lasse","non-dropping-particle":"","parse-names":false,"suffix":""},{"dropping-particle":"","family":"Gustafsson","given":"Stefan","non-dropping-particle":"","parse-names":false,"suffix":""},{"dropping-particle":"","family":"Wang","given":"Qin","non-dropping-particle":"","parse-names":false,"suffix":""},{"dropping-particle":"","family":"Hansen","given":"Daniel Hvidberg","non-dropping-particle":"","parse-names":false,"suffix":""},{"dropping-particle":"","family":"Hedman","given":"Åsa K.","non-dropping-particle":"","parse-names":false,"suffix":""},{"dropping-particle":"","family":"Schork","given":"Andrew","non-dropping-particle":"","parse-names":false,"suffix":""},{"dropping-particle":"","family":"Page","given":"Karen","non-dropping-particle":"","parse-names":false,"suffix":""},{"dropping-particle":"V.","family":"Zhernakova","given":"Daria","non-dropping-particle":"","parse-names":false,"suffix":""},{"dropping-particle":"","family":"Wu","given":"Yang","non-dropping-particle":"","parse-names":false,"suffix":""},{"dropping-particle":"","family":"Peters","given":"James","non-dropping-particle":"","parse-names":false,"suffix":""},{"dropping-particle":"","family":"Eriksson","given":"Niclas","non-dropping-particle":"","parse-names":false,"suffix":""},{"dropping-particle":"","family":"Bergen","given":"Sarah E.","non-dropping-particle":"","parse-names":false,"suffix":""},{"dropping-particle":"","family":"Boutin","given":"Thibaud S.","non-dropping-particle":"","parse-names":false,"suffix":""},{"dropping-particle":"","family":"Bretherick","given":"Andrew D.","non-dropping-particle":"","parse-names":false,"suffix":""},{"dropping-particle":"","family":"Enroth","given":"Stefan","non-dropping-particle":"","parse-names":false,"suffix":""},{"dropping-particle":"","family":"Kalnapenkis","given":"Anette","non-dropping-particle":"","parse-names":false,"suffix":""},{"dropping-particle":"","family":"Gådin","given":"Jesper R.","non-dropping-particle":"","parse-names":false,"suffix":""},{"dropping-particle":"","family":"Suur","given":"Bianca E.","non-dropping-particle":"","parse-names":false,"suffix":""},{"dropping-particle":"","family":"Chen","given":"Yan","non-dropping-particle":"","parse-names":false,"suffix":""},{"dropping-particle":"","family":"Matic","given":"Ljubica","non-dropping-particle":"","parse-names":false,"suffix":""},{"dropping-particle":"","family":"Gale","given":"Jeremy D.","non-dropping-particle":"","parse-names":false,"suffix":""},{"dropping-particle":"","family":"Lee","given":"Julie","non-dropping-particle":"","parse-names":false,"suffix":""},{"dropping-particle":"","family":"Zhang","given":"Weidong","non-dropping-particle":"","parse-names":false,"suffix":""},{"dropping-particle":"","family":"Quazi","given":"Amira","non-dropping-particle":"","parse-names":false,"suffix":""},{"dropping-particle":"","family":"Ala-Korpela","given":"Mika","non-dropping-particle":"","parse-names":false,"suffix":""},{"dropping-particle":"","family":"Choi","given":"Seung Hoan","non-dropping-particle":"","parse-names":false,"suffix":""},{"dropping-particle":"","family":"Claringbould","given":"Annique","non-dropping-particle":"","parse-names":false,"suffix":""},{"dropping-particle":"","family":"Danesh","given":"John","non-dropping-particle":"","parse-names":false,"suffix":""},{"dropping-particle":"","family":"Davey Smith","given":"George","non-dropping-particle":"","parse-names":false,"suffix":""},{"dropping-particle":"","family":"Masi","given":"Federico","non-dropping-particle":"de","parse-names":false,"suffix":""},{"dropping-particle":"","family":"Elmståhl","given":"Sölve","non-dropping-particle":"","parse-names":false,"suffix":""},{"dropping-particle":"","family":"Engström","given":"Gunnar","non-dropping-particle":"","parse-names":false,"suffix":""},{"dropping-particle":"","family":"Fauman","given":"Eric","non-dropping-particle":"","parse-names":false,"suffix":""},{"dropping-particle":"","family":"Fernandez","given":"Celine","non-dropping-particle":"","parse-names":false,"suffix":""},{"dropping-particle":"","family":"Franke","given":"Lude","non-dropping-particle":"","parse-names":false,"suffix":""},{"dropping-particle":"","family":"Franks","given":"Paul W.","non-dropping-particle":"","parse-names":false,"suffix":""},{"dropping-particle":"","family":"Giedraitis","given":"Vilmantas","non-dropping-particle":"","parse-names":false,"suffix":""},{"dropping-particle":"","family":"Haley","given":"Chris","non-dropping-particle":"","parse-names":false,"suffix":""},{"dropping-particle":"","family":"Hamsten","given":"Anders","non-dropping-particle":"","parse-names":false,"suffix":""},{"dropping-particle":"","family":"Ingason","given":"Andres","non-dropping-particle":"","parse-names":false,"suffix":""},{"dropping-particle":"","family":"Johansson","given":"Åsa","non-dropping-particle":"","parse-names":false,"suffix":""},{"dropping-particle":"","family":"Joshi","given":"Peter K.","non-dropping-particle":"","parse-names":false,"suffix":""},{"dropping-particle":"","family":"Lind","given":"Lars","non-dropping-particle":"","parse-names":false,"suffix":""},{"dropping-particle":"","family":"Lindgren","given":"Cecilia M.","non-dropping-particle":"","parse-names":false,"suffix":""},{"dropping-particle":"","family":"Lubitz","given":"Steven","non-dropping-particle":"","parse-names":false,"suffix":""},{"dropping-particle":"","family":"Palmer","given":"Tom","non-dropping-particle":"","parse-names":false,"suffix":""},{"dropping-particle":"","family":"Macdonald-Dunlop","given":"Erin","non-dropping-particle":"","parse-names":false,"suffix":""},{"dropping-particle":"","family":"Magnusson","given":"Martin","non-dropping-particle":"","parse-names":false,"suffix":""},{"dropping-particle":"","family":"Melander","given":"Olle","non-dropping-particle":"","parse-names":false,"suffix":""},{"dropping-particle":"","family":"Michaelsson","given":"Karl","non-dropping-particle":"","parse-names":false,"suffix":""},{"dropping-particle":"","family":"Morris","given":"Andrew P.","non-dropping-particle":"","parse-names":false,"suffix":""},{"dropping-particle":"","family":"Mägi","given":"Reedik","non-dropping-particle":"","parse-names":false,"suffix":""},{"dropping-particle":"","family":"Nagle","given":"Michael W.","non-dropping-particle":"","parse-names":false,"suffix":""},{"dropping-particle":"","family":"Nilsson","given":"Peter M.","non-dropping-particle":"","parse-names":false,"suffix":""},{"dropping-particle":"","family":"Nilsson","given":"Jan","non-dropping-particle":"","parse-names":false,"suffix":""},{"dropping-particle":"","family":"Orho-Melander","given":"Marju","non-dropping-particle":"","parse-names":false,"suffix":""},{"dropping-particle":"","family":"Polasek","given":"Ozren","non-dropping-particle":"","parse-names":false,"suffix":""},{"dropping-particle":"","family":"Prins","given":"Bram","non-dropping-particle":"","parse-names":false,"suffix":""},{"dropping-particle":"","family":"Pålsson","given":"Erik","non-dropping-particle":"","parse-names":false,"suffix":""},{"dropping-particle":"","family":"Qi","given":"Ting","non-dropping-particle":"","parse-names":false,"suffix":""},{"dropping-particle":"","family":"Sjögren","given":"Marketa","non-dropping-particle":"","parse-names":false,"suffix":""},{"dropping-particle":"","family":"Sundström","given":"Johan","non-dropping-particle":"","parse-names":false,"suffix":""},{"dropping-particle":"","family":"Surendran","given":"Praveen","non-dropping-particle":"","parse-names":false,"suffix":""},{"dropping-particle":"","family":"Võsa","given":"Urmo","non-dropping-particle":"","parse-names":false,"suffix":""},{"dropping-particle":"","family":"Werge","given":"Thomas","non-dropping-particle":"","parse-names":false,"suffix":""},{"dropping-particle":"","family":"Wernersson","given":"Rasmus","non-dropping-particle":"","parse-names":false,"suffix":""},{"dropping-particle":"","family":"Westra","given":"Harm Jan","non-dropping-particle":"","parse-names":false,"suffix":""},{"dropping-particle":"","family":"Yang","given":"Jian","non-dropping-particle":"","parse-names":false,"suffix":""},{"dropping-particle":"","family":"Zhernakova","given":"Alexandra","non-dropping-particle":"","parse-names":false,"suffix":""},{"dropping-particle":"","family":"Ärnlöv","given":"Johan","non-dropping-particle":"","parse-names":false,"suffix":""},{"dropping-particle":"","family":"Fu","given":"Jingyuan","non-dropping-particle":"","parse-names":false,"suffix":""},{"dropping-particle":"","family":"Smith","given":"J. Gustav","non-dropping-particle":"","parse-names":false,"suffix":""},{"dropping-particle":"","family":"Esko","given":"Tõnu","non-dropping-particle":"","parse-names":false,"suffix":""},{"dropping-particle":"","family":"Hayward","given":"Caroline","non-dropping-particle":"","parse-names":false,"suffix":""},{"dropping-particle":"","family":"Gyllensten","given":"Ulf","non-dropping-particle":"","parse-names":false,"suffix":""},{"dropping-particle":"","family":"Landen","given":"Mikael","non-dropping-particle":"","parse-names":false,"suffix":""},{"dropping-particle":"","family":"Siegbahn","given":"Agneta","non-dropping-particle":"","parse-names":false,"suffix":""},{"dropping-particle":"","family":"Wilson","given":"James F.","non-dropping-particle":"","parse-names":false,"suffix":""},{"dropping-particle":"","family":"Wallentin","given":"Lars","non-dropping-particle":"","parse-names":false,"suffix":""},{"dropping-particle":"","family":"Butterworth","given":"Adam S.","non-dropping-particle":"","parse-names":false,"suffix":""},{"dropping-particle":"V.","family":"Holmes","given":"Michael","non-dropping-particle":"","parse-names":false,"suffix":""},{"dropping-particle":"","family":"Ingelsson","given":"Erik","non-dropping-particle":"","parse-names":false,"suffix":""},{"dropping-particle":"","family":"Mälarstig","given":"Anders","non-dropping-particle":"","parse-names":false,"suffix":""}],"container-title":"Nature Metabolism","id":"ITEM-1","issue":"10","issued":{"date-parts":[["2020"]]},"page":"1135-1148","publisher":"Springer US","title":"Genomic and drug target evaluation of 90 cardiovascular proteins in 30,931 individuals","type":"article-journal","volume":"2"},"uris":["http://www.mendeley.com/documents/?uuid=e356e314-e447-4315-93b5-17b6100ac034"]}],"mendeley":{"formattedCitation":"&lt;sup&gt;8&lt;/sup&gt;","plainTextFormattedCitation":"8","previouslyFormattedCitation":"&lt;sup&gt;8&lt;/sup&gt;"},"properties":{"noteIndex":0},"schema":"https://github.com/citation-style-language/schema/raw/master/csl-citation.json"}</w:instrText>
      </w:r>
      <w:r w:rsidR="00B455B1" w:rsidRPr="00177CF7">
        <w:fldChar w:fldCharType="separate"/>
      </w:r>
      <w:r w:rsidR="00B455B1" w:rsidRPr="00177CF7">
        <w:rPr>
          <w:noProof/>
          <w:vertAlign w:val="superscript"/>
        </w:rPr>
        <w:t>8</w:t>
      </w:r>
      <w:r w:rsidR="00B455B1" w:rsidRPr="00177CF7">
        <w:fldChar w:fldCharType="end"/>
      </w:r>
      <w:r w:rsidR="000D5678" w:rsidRPr="00177CF7">
        <w:t xml:space="preserve"> with </w:t>
      </w:r>
      <w:r w:rsidR="00017927" w:rsidRPr="00177CF7">
        <w:t xml:space="preserve">39.1%, which was best explained by </w:t>
      </w:r>
      <w:r w:rsidR="00EF3EB0" w:rsidRPr="00177CF7">
        <w:t xml:space="preserve">the presence of multiple </w:t>
      </w:r>
      <w:r w:rsidR="00B93EE6" w:rsidRPr="00177CF7">
        <w:t>non-</w:t>
      </w:r>
      <w:r w:rsidR="00EF3EB0" w:rsidRPr="00177CF7">
        <w:t xml:space="preserve">specific </w:t>
      </w:r>
      <w:r w:rsidR="00EF3EB0" w:rsidRPr="00177CF7">
        <w:rPr>
          <w:i/>
          <w:iCs/>
        </w:rPr>
        <w:t>trans</w:t>
      </w:r>
      <w:r w:rsidR="00EF3EB0" w:rsidRPr="00177CF7">
        <w:t>-</w:t>
      </w:r>
      <w:proofErr w:type="spellStart"/>
      <w:r w:rsidR="00EF3EB0" w:rsidRPr="00177CF7">
        <w:t>pQTLs</w:t>
      </w:r>
      <w:proofErr w:type="spellEnd"/>
      <w:r w:rsidR="0065640C" w:rsidRPr="00177CF7">
        <w:t xml:space="preserve"> (see </w:t>
      </w:r>
      <w:r w:rsidR="0065640C" w:rsidRPr="00177CF7">
        <w:rPr>
          <w:b/>
          <w:bCs/>
        </w:rPr>
        <w:t>Supplementa</w:t>
      </w:r>
      <w:r w:rsidR="007D6340" w:rsidRPr="00177CF7">
        <w:rPr>
          <w:b/>
          <w:bCs/>
        </w:rPr>
        <w:t>ry</w:t>
      </w:r>
      <w:r w:rsidR="0065640C" w:rsidRPr="00177CF7">
        <w:rPr>
          <w:b/>
          <w:bCs/>
        </w:rPr>
        <w:t xml:space="preserve"> Note</w:t>
      </w:r>
      <w:r w:rsidR="00E9304E">
        <w:rPr>
          <w:b/>
          <w:bCs/>
        </w:rPr>
        <w:t xml:space="preserve"> 1</w:t>
      </w:r>
      <w:r w:rsidR="009802BF" w:rsidRPr="00177CF7">
        <w:rPr>
          <w:b/>
          <w:bCs/>
        </w:rPr>
        <w:t xml:space="preserve"> </w:t>
      </w:r>
      <w:r w:rsidR="009802BF" w:rsidRPr="00177CF7">
        <w:t>and</w:t>
      </w:r>
      <w:r w:rsidR="009802BF" w:rsidRPr="00177CF7">
        <w:rPr>
          <w:b/>
          <w:bCs/>
        </w:rPr>
        <w:t xml:space="preserve"> Supplementary </w:t>
      </w:r>
      <w:r w:rsidR="00FA2264">
        <w:rPr>
          <w:b/>
          <w:bCs/>
        </w:rPr>
        <w:t>Data</w:t>
      </w:r>
      <w:r w:rsidR="009802BF" w:rsidRPr="00177CF7">
        <w:rPr>
          <w:b/>
          <w:bCs/>
        </w:rPr>
        <w:t xml:space="preserve"> </w:t>
      </w:r>
      <w:r w:rsidR="008B5A21" w:rsidRPr="00177CF7">
        <w:rPr>
          <w:b/>
          <w:bCs/>
        </w:rPr>
        <w:t>6</w:t>
      </w:r>
      <w:r w:rsidR="0065640C" w:rsidRPr="00177CF7">
        <w:t>).</w:t>
      </w:r>
      <w:r w:rsidR="00E45889" w:rsidRPr="00177CF7">
        <w:t xml:space="preserve"> </w:t>
      </w:r>
    </w:p>
    <w:p w14:paraId="5A39C4F1" w14:textId="032418D1" w:rsidR="0059136D" w:rsidRPr="00177CF7" w:rsidRDefault="00711B2A" w:rsidP="009950E9">
      <w:pPr>
        <w:spacing w:line="360" w:lineRule="auto"/>
        <w:jc w:val="both"/>
      </w:pPr>
      <w:r w:rsidRPr="00177CF7">
        <w:t>Based on this assessment w</w:t>
      </w:r>
      <w:r w:rsidR="0059136D" w:rsidRPr="00177CF7">
        <w:t>e identified the following factors to be associated with a</w:t>
      </w:r>
      <w:r w:rsidR="001A21F2" w:rsidRPr="00177CF7">
        <w:t xml:space="preserve"> </w:t>
      </w:r>
      <w:r w:rsidR="00175C5C" w:rsidRPr="00177CF7">
        <w:t>higher</w:t>
      </w:r>
      <w:r w:rsidR="0059136D" w:rsidRPr="00177CF7">
        <w:t xml:space="preserve"> likelihood of a </w:t>
      </w:r>
      <w:r w:rsidR="00686058" w:rsidRPr="00177CF7">
        <w:t>distinct or platform</w:t>
      </w:r>
      <w:r w:rsidR="00CD607F" w:rsidRPr="00177CF7">
        <w:t>-specific</w:t>
      </w:r>
      <w:r w:rsidR="0059136D" w:rsidRPr="00177CF7">
        <w:t xml:space="preserve"> </w:t>
      </w:r>
      <w:proofErr w:type="spellStart"/>
      <w:r w:rsidR="00BE6980" w:rsidRPr="00177CF7">
        <w:t>pQTL</w:t>
      </w:r>
      <w:proofErr w:type="spellEnd"/>
      <w:r w:rsidR="0059136D" w:rsidRPr="00177CF7">
        <w:t xml:space="preserve">: </w:t>
      </w:r>
      <w:r w:rsidR="00C26CF2" w:rsidRPr="00177CF7">
        <w:t xml:space="preserve">1) a </w:t>
      </w:r>
      <w:r w:rsidR="001A21F2" w:rsidRPr="00177CF7">
        <w:t>lower</w:t>
      </w:r>
      <w:r w:rsidR="00C26CF2" w:rsidRPr="00177CF7">
        <w:t xml:space="preserve"> observational correlation, 2) </w:t>
      </w:r>
      <w:r w:rsidR="00CD607F" w:rsidRPr="00177CF7">
        <w:t>lower</w:t>
      </w:r>
      <w:r w:rsidR="00C26CF2" w:rsidRPr="00177CF7">
        <w:t xml:space="preserve"> binding affinity of the </w:t>
      </w:r>
      <w:proofErr w:type="spellStart"/>
      <w:r w:rsidR="00C26CF2" w:rsidRPr="00177CF7">
        <w:t>SOMAmer</w:t>
      </w:r>
      <w:proofErr w:type="spellEnd"/>
      <w:r w:rsidR="00C26CF2" w:rsidRPr="00177CF7">
        <w:t xml:space="preserve"> reagent to the protein target</w:t>
      </w:r>
      <w:r w:rsidR="00175C5C" w:rsidRPr="00177CF7">
        <w:t xml:space="preserve"> 3) </w:t>
      </w:r>
      <w:r w:rsidR="00CD607F" w:rsidRPr="00177CF7">
        <w:t xml:space="preserve">linkage to </w:t>
      </w:r>
      <w:r w:rsidR="002507DB" w:rsidRPr="00177CF7">
        <w:t xml:space="preserve">a </w:t>
      </w:r>
      <w:r w:rsidR="00D56191" w:rsidRPr="00177CF7">
        <w:t xml:space="preserve">protein altering variant (in particular for </w:t>
      </w:r>
      <w:r w:rsidR="00D56191" w:rsidRPr="00177CF7">
        <w:rPr>
          <w:i/>
          <w:iCs/>
        </w:rPr>
        <w:t>cis</w:t>
      </w:r>
      <w:r w:rsidR="00D56191" w:rsidRPr="00177CF7">
        <w:t>-</w:t>
      </w:r>
      <w:proofErr w:type="spellStart"/>
      <w:r w:rsidR="00D56191" w:rsidRPr="00177CF7">
        <w:t>pQTLs</w:t>
      </w:r>
      <w:proofErr w:type="spellEnd"/>
      <w:r w:rsidR="00D56191" w:rsidRPr="00177CF7">
        <w:t xml:space="preserve"> discovered using the </w:t>
      </w:r>
      <w:proofErr w:type="spellStart"/>
      <w:r w:rsidR="00D56191" w:rsidRPr="00177CF7">
        <w:t>SOMAscan</w:t>
      </w:r>
      <w:proofErr w:type="spellEnd"/>
      <w:r w:rsidR="00D56191" w:rsidRPr="00177CF7">
        <w:t xml:space="preserve"> assay)</w:t>
      </w:r>
      <w:r w:rsidR="00F816BC" w:rsidRPr="00177CF7">
        <w:t xml:space="preserve">, 4) a </w:t>
      </w:r>
      <w:r w:rsidR="00CD607F" w:rsidRPr="00177CF7">
        <w:t>high</w:t>
      </w:r>
      <w:r w:rsidR="00F816BC" w:rsidRPr="00177CF7">
        <w:t xml:space="preserve"> proportion of extreme values in </w:t>
      </w:r>
      <w:proofErr w:type="spellStart"/>
      <w:r w:rsidR="00F816BC" w:rsidRPr="00177CF7">
        <w:t>SomaScan</w:t>
      </w:r>
      <w:proofErr w:type="spellEnd"/>
      <w:r w:rsidR="00F816BC" w:rsidRPr="00177CF7">
        <w:t xml:space="preserve"> measurements</w:t>
      </w:r>
      <w:r w:rsidR="009852CF" w:rsidRPr="00177CF7">
        <w:t xml:space="preserve">, and 5) </w:t>
      </w:r>
      <w:r w:rsidR="00230D09" w:rsidRPr="00177CF7">
        <w:t xml:space="preserve">missing </w:t>
      </w:r>
      <w:proofErr w:type="spellStart"/>
      <w:r w:rsidR="009852CF" w:rsidRPr="00177CF7">
        <w:t>colocalisation</w:t>
      </w:r>
      <w:proofErr w:type="spellEnd"/>
      <w:r w:rsidR="009852CF" w:rsidRPr="00177CF7">
        <w:t xml:space="preserve"> with </w:t>
      </w:r>
      <w:r w:rsidR="00473CB2" w:rsidRPr="00177CF7">
        <w:rPr>
          <w:i/>
          <w:iCs/>
        </w:rPr>
        <w:t>cis</w:t>
      </w:r>
      <w:r w:rsidR="00473CB2" w:rsidRPr="00177CF7">
        <w:t>-</w:t>
      </w:r>
      <w:proofErr w:type="spellStart"/>
      <w:r w:rsidR="00473CB2" w:rsidRPr="00177CF7">
        <w:t>eQTLs</w:t>
      </w:r>
      <w:proofErr w:type="spellEnd"/>
      <w:r w:rsidR="00473CB2" w:rsidRPr="00177CF7">
        <w:t xml:space="preserve"> and phenotypic traits</w:t>
      </w:r>
      <w:r w:rsidR="001465E1" w:rsidRPr="00177CF7">
        <w:t xml:space="preserve"> (</w:t>
      </w:r>
      <w:r w:rsidR="001465E1" w:rsidRPr="00177CF7">
        <w:rPr>
          <w:b/>
          <w:bCs/>
        </w:rPr>
        <w:t xml:space="preserve">Fig. 3c </w:t>
      </w:r>
      <w:r w:rsidR="001465E1" w:rsidRPr="00177CF7">
        <w:t>and</w:t>
      </w:r>
      <w:r w:rsidR="001465E1" w:rsidRPr="00177CF7">
        <w:rPr>
          <w:b/>
          <w:bCs/>
        </w:rPr>
        <w:t xml:space="preserve"> Supplementary </w:t>
      </w:r>
      <w:r w:rsidR="00FA2264">
        <w:rPr>
          <w:b/>
          <w:bCs/>
        </w:rPr>
        <w:t>Data</w:t>
      </w:r>
      <w:r w:rsidR="001465E1" w:rsidRPr="00177CF7">
        <w:rPr>
          <w:b/>
          <w:bCs/>
        </w:rPr>
        <w:t xml:space="preserve"> </w:t>
      </w:r>
      <w:r w:rsidR="00300D68" w:rsidRPr="00177CF7">
        <w:rPr>
          <w:b/>
          <w:bCs/>
        </w:rPr>
        <w:t>7</w:t>
      </w:r>
      <w:r w:rsidR="001465E1" w:rsidRPr="00177CF7">
        <w:rPr>
          <w:b/>
          <w:bCs/>
        </w:rPr>
        <w:t>-</w:t>
      </w:r>
      <w:r w:rsidR="00300D68" w:rsidRPr="00177CF7">
        <w:rPr>
          <w:b/>
          <w:bCs/>
        </w:rPr>
        <w:t>9</w:t>
      </w:r>
      <w:r w:rsidR="001465E1" w:rsidRPr="00177CF7">
        <w:t>)</w:t>
      </w:r>
      <w:r w:rsidR="00A214EE" w:rsidRPr="00177CF7">
        <w:t>,</w:t>
      </w:r>
      <w:r w:rsidR="001965C7" w:rsidRPr="00177CF7">
        <w:t xml:space="preserve"> by evaluating meta-regression</w:t>
      </w:r>
      <w:r w:rsidR="00495EFF" w:rsidRPr="00177CF7">
        <w:t xml:space="preserve"> models</w:t>
      </w:r>
      <w:r w:rsidR="001965C7" w:rsidRPr="00177CF7">
        <w:t xml:space="preserve"> </w:t>
      </w:r>
      <w:r w:rsidR="00A31BCE" w:rsidRPr="00177CF7">
        <w:t xml:space="preserve">(see </w:t>
      </w:r>
      <w:r w:rsidR="00A31BCE" w:rsidRPr="00177CF7">
        <w:rPr>
          <w:b/>
          <w:bCs/>
        </w:rPr>
        <w:t>Methods</w:t>
      </w:r>
      <w:r w:rsidR="00A31BCE" w:rsidRPr="00177CF7">
        <w:t>)</w:t>
      </w:r>
      <w:r w:rsidR="001465E1" w:rsidRPr="00177CF7">
        <w:t>.</w:t>
      </w:r>
    </w:p>
    <w:p w14:paraId="49F7C869" w14:textId="1AD8AE1E" w:rsidR="00481FDA" w:rsidRDefault="004F6681" w:rsidP="00481FDA">
      <w:pPr>
        <w:spacing w:line="360" w:lineRule="auto"/>
        <w:jc w:val="both"/>
      </w:pPr>
      <w:r w:rsidRPr="00177CF7">
        <w:t xml:space="preserve">Finally, </w:t>
      </w:r>
      <w:r w:rsidR="00B156D2" w:rsidRPr="00177CF7">
        <w:t>we observed that g</w:t>
      </w:r>
      <w:r w:rsidR="00F5583A" w:rsidRPr="00177CF7">
        <w:t>enotype</w:t>
      </w:r>
      <w:r w:rsidR="00546E41" w:rsidRPr="00177CF7">
        <w:t>s</w:t>
      </w:r>
      <w:r w:rsidR="0072153C" w:rsidRPr="00177CF7">
        <w:t xml:space="preserve"> significantly affected the </w:t>
      </w:r>
      <w:r w:rsidR="002B2116" w:rsidRPr="00177CF7">
        <w:t xml:space="preserve">correlations of </w:t>
      </w:r>
      <w:r w:rsidR="00546E41" w:rsidRPr="00177CF7">
        <w:t>measurement</w:t>
      </w:r>
      <w:r w:rsidR="002B2116" w:rsidRPr="00177CF7">
        <w:t>s</w:t>
      </w:r>
      <w:r w:rsidR="00546E41" w:rsidRPr="00177CF7">
        <w:t xml:space="preserve"> </w:t>
      </w:r>
      <w:r w:rsidR="0072153C" w:rsidRPr="00177CF7">
        <w:t>between platforms</w:t>
      </w:r>
      <w:r w:rsidR="00B156D2" w:rsidRPr="00177CF7">
        <w:t xml:space="preserve">. </w:t>
      </w:r>
      <w:r w:rsidR="00481FDA" w:rsidRPr="00177CF7">
        <w:t xml:space="preserve">We identified 22 instances in which the correlation coefficient between measurements of the same protein target across both platforms significantly differed by genotype (false discovery rate&lt;20% for an interaction term), including </w:t>
      </w:r>
      <w:proofErr w:type="spellStart"/>
      <w:r w:rsidR="00481FDA" w:rsidRPr="00177CF7">
        <w:t>pQTLs</w:t>
      </w:r>
      <w:proofErr w:type="spellEnd"/>
      <w:r w:rsidR="00481FDA" w:rsidRPr="00177CF7">
        <w:t xml:space="preserve"> in </w:t>
      </w:r>
      <w:r w:rsidR="00481FDA" w:rsidRPr="00177CF7">
        <w:rPr>
          <w:i/>
        </w:rPr>
        <w:t>cis</w:t>
      </w:r>
      <w:r w:rsidR="00481FDA" w:rsidRPr="00177CF7">
        <w:t xml:space="preserve"> and </w:t>
      </w:r>
      <w:r w:rsidR="00481FDA" w:rsidRPr="00177CF7">
        <w:rPr>
          <w:i/>
        </w:rPr>
        <w:t>trans</w:t>
      </w:r>
      <w:r w:rsidR="00481FDA" w:rsidRPr="00177CF7">
        <w:t xml:space="preserve"> (</w:t>
      </w:r>
      <w:r w:rsidR="00481FDA" w:rsidRPr="00177CF7">
        <w:rPr>
          <w:b/>
        </w:rPr>
        <w:t xml:space="preserve">Fig. </w:t>
      </w:r>
      <w:r w:rsidR="007E49F8" w:rsidRPr="00177CF7">
        <w:rPr>
          <w:b/>
        </w:rPr>
        <w:t>3d</w:t>
      </w:r>
      <w:r w:rsidR="00481FDA" w:rsidRPr="00177CF7">
        <w:t xml:space="preserve">). </w:t>
      </w:r>
      <w:r w:rsidR="009A27B4" w:rsidRPr="00177CF7">
        <w:t>In other words</w:t>
      </w:r>
      <w:r w:rsidR="00481FDA" w:rsidRPr="00177CF7">
        <w:t xml:space="preserve">, </w:t>
      </w:r>
      <w:r w:rsidR="0079284C" w:rsidRPr="00177CF7">
        <w:t>the agreement between both platforms was higher for a genetically</w:t>
      </w:r>
      <w:r w:rsidR="00B66091" w:rsidRPr="00177CF7">
        <w:t xml:space="preserve"> </w:t>
      </w:r>
      <w:r w:rsidR="0079284C" w:rsidRPr="00177CF7">
        <w:t>defined subg</w:t>
      </w:r>
      <w:r w:rsidR="003964C5" w:rsidRPr="00177CF7">
        <w:t>r</w:t>
      </w:r>
      <w:r w:rsidR="0079284C" w:rsidRPr="00177CF7">
        <w:t>oup of pa</w:t>
      </w:r>
      <w:r w:rsidR="003964C5" w:rsidRPr="00177CF7">
        <w:t xml:space="preserve">rticipants, with effects in </w:t>
      </w:r>
      <w:r w:rsidR="003964C5" w:rsidRPr="00177CF7">
        <w:rPr>
          <w:i/>
          <w:iCs/>
        </w:rPr>
        <w:t>cis</w:t>
      </w:r>
      <w:r w:rsidR="003964C5" w:rsidRPr="00177CF7">
        <w:t xml:space="preserve"> possibly pointing to epitope effects</w:t>
      </w:r>
      <w:r w:rsidR="00B66091" w:rsidRPr="00177CF7">
        <w:t>, whereas</w:t>
      </w:r>
      <w:r w:rsidR="003964C5" w:rsidRPr="00177CF7">
        <w:t xml:space="preserve"> effects in </w:t>
      </w:r>
      <w:r w:rsidR="003964C5" w:rsidRPr="00177CF7">
        <w:rPr>
          <w:i/>
          <w:iCs/>
        </w:rPr>
        <w:t>trans</w:t>
      </w:r>
      <w:r w:rsidR="003964C5" w:rsidRPr="00177CF7">
        <w:t xml:space="preserve"> pointing towards posttranslational modifications, such as glycosylation (</w:t>
      </w:r>
      <w:r w:rsidR="003964C5" w:rsidRPr="00177CF7">
        <w:rPr>
          <w:b/>
          <w:bCs/>
        </w:rPr>
        <w:t xml:space="preserve">Supplementary </w:t>
      </w:r>
      <w:r w:rsidR="00FA2264">
        <w:rPr>
          <w:b/>
          <w:bCs/>
        </w:rPr>
        <w:t>Data</w:t>
      </w:r>
      <w:r w:rsidR="003964C5" w:rsidRPr="00177CF7">
        <w:rPr>
          <w:b/>
          <w:bCs/>
        </w:rPr>
        <w:t xml:space="preserve"> </w:t>
      </w:r>
      <w:r w:rsidR="00811C66" w:rsidRPr="00177CF7">
        <w:rPr>
          <w:b/>
          <w:bCs/>
        </w:rPr>
        <w:t>10</w:t>
      </w:r>
      <w:r w:rsidR="003964C5" w:rsidRPr="00177CF7">
        <w:rPr>
          <w:b/>
          <w:bCs/>
        </w:rPr>
        <w:t xml:space="preserve"> </w:t>
      </w:r>
      <w:r w:rsidR="003964C5" w:rsidRPr="00177CF7">
        <w:t>and</w:t>
      </w:r>
      <w:r w:rsidR="003964C5" w:rsidRPr="00177CF7">
        <w:rPr>
          <w:b/>
          <w:bCs/>
        </w:rPr>
        <w:t xml:space="preserve"> Supplementary Note</w:t>
      </w:r>
      <w:r w:rsidR="00E9304E">
        <w:rPr>
          <w:b/>
          <w:bCs/>
        </w:rPr>
        <w:t xml:space="preserve"> 1</w:t>
      </w:r>
      <w:r w:rsidR="003964C5" w:rsidRPr="00177CF7">
        <w:t>).</w:t>
      </w:r>
      <w:r w:rsidR="00481FDA" w:rsidRPr="00177CF7">
        <w:t xml:space="preserve"> </w:t>
      </w:r>
      <w:r w:rsidR="004901EB" w:rsidRPr="00177CF7">
        <w:t xml:space="preserve">For example, </w:t>
      </w:r>
      <w:r w:rsidR="00A94B40" w:rsidRPr="00177CF7">
        <w:t>we identified that stratifying the correlation of YKL-40</w:t>
      </w:r>
      <w:r w:rsidR="00695F59" w:rsidRPr="00177CF7">
        <w:t xml:space="preserve"> (r=</w:t>
      </w:r>
      <w:r w:rsidR="00E45778" w:rsidRPr="00177CF7">
        <w:t>0.</w:t>
      </w:r>
      <w:r w:rsidR="006F3CC7" w:rsidRPr="00177CF7">
        <w:t>45</w:t>
      </w:r>
      <w:r w:rsidR="00BE08FC" w:rsidRPr="00177CF7">
        <w:t xml:space="preserve"> overall</w:t>
      </w:r>
      <w:r w:rsidR="00695F59" w:rsidRPr="00177CF7">
        <w:t>)</w:t>
      </w:r>
      <w:r w:rsidR="00A94B40" w:rsidRPr="00177CF7">
        <w:t xml:space="preserve"> by </w:t>
      </w:r>
      <w:r w:rsidR="00695F59" w:rsidRPr="00177CF7">
        <w:t xml:space="preserve">rs2071579 improved </w:t>
      </w:r>
      <w:r w:rsidR="006F3CC7" w:rsidRPr="00177CF7">
        <w:t xml:space="preserve">up </w:t>
      </w:r>
      <w:r w:rsidR="00902A78" w:rsidRPr="00177CF7">
        <w:t xml:space="preserve">to 0.96 </w:t>
      </w:r>
      <w:r w:rsidR="006F3CC7" w:rsidRPr="00177CF7">
        <w:t>among</w:t>
      </w:r>
      <w:r w:rsidR="00902A78" w:rsidRPr="00177CF7">
        <w:t xml:space="preserve"> carriers of the </w:t>
      </w:r>
      <w:r w:rsidR="0066336A" w:rsidRPr="00177CF7">
        <w:t xml:space="preserve">minor </w:t>
      </w:r>
      <w:r w:rsidR="00D822A1" w:rsidRPr="00177CF7">
        <w:t>C allele</w:t>
      </w:r>
      <w:r w:rsidR="00695F59" w:rsidRPr="00177CF7">
        <w:t>.</w:t>
      </w:r>
      <w:r w:rsidR="00D822A1" w:rsidRPr="00177CF7">
        <w:t xml:space="preserve"> </w:t>
      </w:r>
      <w:r w:rsidR="00366106" w:rsidRPr="00177CF7">
        <w:t>r</w:t>
      </w:r>
      <w:r w:rsidR="001A3747" w:rsidRPr="00177CF7">
        <w:t>s2071579 is in almost complete LD (r</w:t>
      </w:r>
      <w:r w:rsidR="001A3747" w:rsidRPr="00177CF7">
        <w:rPr>
          <w:vertAlign w:val="superscript"/>
        </w:rPr>
        <w:t>2</w:t>
      </w:r>
      <w:r w:rsidR="001A3747" w:rsidRPr="00177CF7">
        <w:t xml:space="preserve">=0.99) with the missense variant </w:t>
      </w:r>
      <w:r w:rsidR="00344849" w:rsidRPr="00177CF7">
        <w:t xml:space="preserve">rs880633 (p.R145G), </w:t>
      </w:r>
      <w:r w:rsidR="00975B93" w:rsidRPr="00177CF7">
        <w:t>the major C-allele (</w:t>
      </w:r>
      <w:r w:rsidR="00B86227" w:rsidRPr="00177CF7">
        <w:t>AF</w:t>
      </w:r>
      <w:r w:rsidR="00975B93" w:rsidRPr="00177CF7">
        <w:t>=53%</w:t>
      </w:r>
      <w:r w:rsidR="005A2F38" w:rsidRPr="00177CF7">
        <w:t xml:space="preserve"> in Fenland</w:t>
      </w:r>
      <w:r w:rsidR="00975B93" w:rsidRPr="00177CF7">
        <w:t>)</w:t>
      </w:r>
      <w:r w:rsidR="00344849" w:rsidRPr="00177CF7">
        <w:t xml:space="preserve"> introduces an </w:t>
      </w:r>
      <w:r w:rsidR="00B86227" w:rsidRPr="00177CF7">
        <w:t>arginine to glycine</w:t>
      </w:r>
      <w:r w:rsidR="00344849" w:rsidRPr="00177CF7">
        <w:t xml:space="preserve"> </w:t>
      </w:r>
      <w:r w:rsidR="0089016D" w:rsidRPr="00177CF7">
        <w:t>subs</w:t>
      </w:r>
      <w:r w:rsidR="00AF582B" w:rsidRPr="00177CF7">
        <w:t>titution</w:t>
      </w:r>
      <w:r w:rsidR="00344849" w:rsidRPr="00177CF7">
        <w:t xml:space="preserve"> in </w:t>
      </w:r>
      <w:r w:rsidR="00A73E1D" w:rsidRPr="00177CF7">
        <w:t>a predicted antibody binding sequence of YKL-40, thereby likely a</w:t>
      </w:r>
      <w:r w:rsidR="005A2F38" w:rsidRPr="00177CF7">
        <w:t xml:space="preserve">ttenuating the </w:t>
      </w:r>
      <w:r w:rsidR="003D496D" w:rsidRPr="00177CF7">
        <w:t>binding capacity of</w:t>
      </w:r>
      <w:r w:rsidR="00A73E1D" w:rsidRPr="00177CF7">
        <w:t xml:space="preserve"> </w:t>
      </w:r>
      <w:r w:rsidR="00023A83" w:rsidRPr="00177CF7">
        <w:t>the aptamer reagent</w:t>
      </w:r>
      <w:r w:rsidR="00E32FA6" w:rsidRPr="00177CF7">
        <w:t>.</w:t>
      </w:r>
      <w:r w:rsidR="009F7248" w:rsidRPr="00177CF7">
        <w:t xml:space="preserve"> </w:t>
      </w:r>
      <w:r w:rsidR="00055787" w:rsidRPr="00177CF7">
        <w:t>As</w:t>
      </w:r>
      <w:r w:rsidR="009F7248" w:rsidRPr="00177CF7">
        <w:t xml:space="preserve"> this results in a constant</w:t>
      </w:r>
      <w:r w:rsidR="00111920" w:rsidRPr="00177CF7">
        <w:t xml:space="preserve"> dilution</w:t>
      </w:r>
      <w:r w:rsidR="009F7248" w:rsidRPr="00177CF7">
        <w:t xml:space="preserve"> factor</w:t>
      </w:r>
      <w:r w:rsidR="00055787" w:rsidRPr="00177CF7">
        <w:t xml:space="preserve"> depending on the genotype</w:t>
      </w:r>
      <w:r w:rsidR="00111920" w:rsidRPr="00177CF7">
        <w:t xml:space="preserve">, correlations between the affected </w:t>
      </w:r>
      <w:proofErr w:type="spellStart"/>
      <w:r w:rsidR="00111920" w:rsidRPr="00177CF7">
        <w:t>SomaScan</w:t>
      </w:r>
      <w:proofErr w:type="spellEnd"/>
      <w:r w:rsidR="00111920" w:rsidRPr="00177CF7">
        <w:t xml:space="preserve"> assay and the possibly unaffected </w:t>
      </w:r>
      <w:proofErr w:type="spellStart"/>
      <w:r w:rsidR="00111920" w:rsidRPr="00177CF7">
        <w:t>Olink</w:t>
      </w:r>
      <w:proofErr w:type="spellEnd"/>
      <w:r w:rsidR="00111920" w:rsidRPr="00177CF7">
        <w:t xml:space="preserve"> assay improve upon stratification.</w:t>
      </w:r>
      <w:r w:rsidR="00055787" w:rsidRPr="00177CF7">
        <w:t xml:space="preserve">  </w:t>
      </w:r>
      <w:r w:rsidR="00695F59" w:rsidRPr="00177CF7">
        <w:t xml:space="preserve"> </w:t>
      </w:r>
    </w:p>
    <w:p w14:paraId="5D79A649" w14:textId="665275C1" w:rsidR="001729E5" w:rsidRPr="00177CF7" w:rsidRDefault="002D624F" w:rsidP="00ED6EC6">
      <w:pPr>
        <w:spacing w:line="360" w:lineRule="auto"/>
        <w:jc w:val="center"/>
      </w:pPr>
      <w:r>
        <w:rPr>
          <w:noProof/>
        </w:rPr>
        <w:lastRenderedPageBreak/>
        <w:drawing>
          <wp:inline distT="0" distB="0" distL="0" distR="0" wp14:anchorId="405926BE" wp14:editId="5307E5D1">
            <wp:extent cx="4320000" cy="5953955"/>
            <wp:effectExtent l="0" t="0" r="4445" b="8890"/>
            <wp:docPr id="3" name="Picture 3"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Chart&#10;&#10;Description automatically generated"/>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320000" cy="5953955"/>
                    </a:xfrm>
                    <a:prstGeom prst="rect">
                      <a:avLst/>
                    </a:prstGeom>
                    <a:noFill/>
                    <a:ln>
                      <a:noFill/>
                    </a:ln>
                  </pic:spPr>
                </pic:pic>
              </a:graphicData>
            </a:graphic>
          </wp:inline>
        </w:drawing>
      </w:r>
    </w:p>
    <w:p w14:paraId="1FB67E34" w14:textId="77777777" w:rsidR="00977B0A" w:rsidRPr="00977B0A" w:rsidRDefault="00977B0A" w:rsidP="00977B0A">
      <w:pPr>
        <w:spacing w:line="240" w:lineRule="auto"/>
        <w:jc w:val="both"/>
        <w:rPr>
          <w:b/>
          <w:bCs/>
          <w:i/>
          <w:iCs/>
          <w:sz w:val="20"/>
          <w:szCs w:val="20"/>
        </w:rPr>
      </w:pPr>
      <w:r w:rsidRPr="00977B0A">
        <w:rPr>
          <w:b/>
          <w:bCs/>
          <w:sz w:val="20"/>
          <w:szCs w:val="20"/>
        </w:rPr>
        <w:t>Figure 3 Consistency of genetic effects across platforms.</w:t>
      </w:r>
      <w:r w:rsidRPr="00977B0A">
        <w:rPr>
          <w:sz w:val="20"/>
          <w:szCs w:val="20"/>
        </w:rPr>
        <w:t xml:space="preserve"> a Comparison of beta estimates from linear regression models across 816 corresponding </w:t>
      </w:r>
      <w:proofErr w:type="spellStart"/>
      <w:r w:rsidRPr="00977B0A">
        <w:rPr>
          <w:sz w:val="20"/>
          <w:szCs w:val="20"/>
        </w:rPr>
        <w:t>SOMAmer</w:t>
      </w:r>
      <w:proofErr w:type="spellEnd"/>
      <w:r w:rsidRPr="00977B0A">
        <w:rPr>
          <w:sz w:val="20"/>
          <w:szCs w:val="20"/>
        </w:rPr>
        <w:t xml:space="preserve"> - </w:t>
      </w:r>
      <w:proofErr w:type="spellStart"/>
      <w:r w:rsidRPr="00977B0A">
        <w:rPr>
          <w:sz w:val="20"/>
          <w:szCs w:val="20"/>
        </w:rPr>
        <w:t>Olink</w:t>
      </w:r>
      <w:proofErr w:type="spellEnd"/>
      <w:r w:rsidRPr="00977B0A">
        <w:rPr>
          <w:sz w:val="20"/>
          <w:szCs w:val="20"/>
        </w:rPr>
        <w:t xml:space="preserve"> pairs (n=770 unique protein targets) with at least one genome-wide associated genetic variant for either of the two, including 1,267 distinct genetic variants (R²&lt;0.8). Colouring is based on the genomic location of genetic variants. Red indicates variants close to the protein encoding gene (cis, ±500kb) and blue otherwise. Estimates are presented in Supplementary Data 3. b Summary of platform agreement for 479 genomic region – protein target associations with sufficient power among the Fenland subsample with available </w:t>
      </w:r>
      <w:proofErr w:type="spellStart"/>
      <w:r w:rsidRPr="00977B0A">
        <w:rPr>
          <w:sz w:val="20"/>
          <w:szCs w:val="20"/>
        </w:rPr>
        <w:t>Olink</w:t>
      </w:r>
      <w:proofErr w:type="spellEnd"/>
      <w:r w:rsidRPr="00977B0A">
        <w:rPr>
          <w:sz w:val="20"/>
          <w:szCs w:val="20"/>
        </w:rPr>
        <w:t xml:space="preserve"> measures (N=485). More information is detailed in Supplementary Data 5. c Factors associated with </w:t>
      </w:r>
      <w:proofErr w:type="spellStart"/>
      <w:r w:rsidRPr="00977B0A">
        <w:rPr>
          <w:sz w:val="20"/>
          <w:szCs w:val="20"/>
        </w:rPr>
        <w:t>pQTLs</w:t>
      </w:r>
      <w:proofErr w:type="spellEnd"/>
      <w:r w:rsidRPr="00977B0A">
        <w:rPr>
          <w:sz w:val="20"/>
          <w:szCs w:val="20"/>
        </w:rPr>
        <w:t xml:space="preserve"> that are shared across platforms compared to three sets of platform-specific controls. Odds ratios and 95%-confidence intervals for factors associated with cross-platform protein quantitative trait loci (</w:t>
      </w:r>
      <w:proofErr w:type="spellStart"/>
      <w:r w:rsidRPr="00977B0A">
        <w:rPr>
          <w:sz w:val="20"/>
          <w:szCs w:val="20"/>
        </w:rPr>
        <w:t>pQTL</w:t>
      </w:r>
      <w:proofErr w:type="spellEnd"/>
      <w:r w:rsidRPr="00977B0A">
        <w:rPr>
          <w:sz w:val="20"/>
          <w:szCs w:val="20"/>
        </w:rPr>
        <w:t xml:space="preserve">) across the </w:t>
      </w:r>
      <w:proofErr w:type="spellStart"/>
      <w:r w:rsidRPr="00977B0A">
        <w:rPr>
          <w:sz w:val="20"/>
          <w:szCs w:val="20"/>
        </w:rPr>
        <w:t>SomaScan</w:t>
      </w:r>
      <w:proofErr w:type="spellEnd"/>
      <w:r w:rsidRPr="00977B0A">
        <w:rPr>
          <w:sz w:val="20"/>
          <w:szCs w:val="20"/>
        </w:rPr>
        <w:t xml:space="preserve"> v4 and </w:t>
      </w:r>
      <w:proofErr w:type="spellStart"/>
      <w:r w:rsidRPr="00977B0A">
        <w:rPr>
          <w:sz w:val="20"/>
          <w:szCs w:val="20"/>
        </w:rPr>
        <w:t>Olink</w:t>
      </w:r>
      <w:proofErr w:type="spellEnd"/>
      <w:r w:rsidRPr="00977B0A">
        <w:rPr>
          <w:sz w:val="20"/>
          <w:szCs w:val="20"/>
        </w:rPr>
        <w:t xml:space="preserve"> assays (Supplementary Data 9). The panels are based on 540 variant – protein target pairs (306 shared, 234 platform-specific) with sufficient power for replication in the Fenland sample. PAV = protein altering variant; </w:t>
      </w:r>
      <w:proofErr w:type="spellStart"/>
      <w:r w:rsidRPr="00977B0A">
        <w:rPr>
          <w:sz w:val="20"/>
          <w:szCs w:val="20"/>
        </w:rPr>
        <w:t>eQTL</w:t>
      </w:r>
      <w:proofErr w:type="spellEnd"/>
      <w:r w:rsidRPr="00977B0A">
        <w:rPr>
          <w:sz w:val="20"/>
          <w:szCs w:val="20"/>
        </w:rPr>
        <w:t xml:space="preserve"> = expression quantitative trait loci; </w:t>
      </w:r>
      <w:proofErr w:type="spellStart"/>
      <w:r w:rsidRPr="00977B0A">
        <w:rPr>
          <w:sz w:val="20"/>
          <w:szCs w:val="20"/>
        </w:rPr>
        <w:t>Coloc</w:t>
      </w:r>
      <w:proofErr w:type="spellEnd"/>
      <w:r w:rsidRPr="00977B0A">
        <w:rPr>
          <w:sz w:val="20"/>
          <w:szCs w:val="20"/>
        </w:rPr>
        <w:t xml:space="preserve">. = </w:t>
      </w:r>
      <w:proofErr w:type="spellStart"/>
      <w:r w:rsidRPr="00977B0A">
        <w:rPr>
          <w:sz w:val="20"/>
          <w:szCs w:val="20"/>
        </w:rPr>
        <w:t>colocalisation</w:t>
      </w:r>
      <w:proofErr w:type="spellEnd"/>
      <w:r w:rsidRPr="00977B0A">
        <w:rPr>
          <w:sz w:val="20"/>
          <w:szCs w:val="20"/>
        </w:rPr>
        <w:t xml:space="preserve">; GWAS = genome-wide association analysis d Spearman correlation coefficients stratified by genotype. The first bar in each column indicates the overall correlation, and the three successive bars indicate the correlation among homozygous carriers of the major allele, heterozygous carriers, and homozygous carriers of the minor allele (if any). Colours indicate whether the </w:t>
      </w:r>
      <w:proofErr w:type="spellStart"/>
      <w:r w:rsidRPr="00977B0A">
        <w:rPr>
          <w:sz w:val="20"/>
          <w:szCs w:val="20"/>
        </w:rPr>
        <w:t>pQTL</w:t>
      </w:r>
      <w:proofErr w:type="spellEnd"/>
      <w:r w:rsidRPr="00977B0A">
        <w:rPr>
          <w:sz w:val="20"/>
          <w:szCs w:val="20"/>
        </w:rPr>
        <w:t xml:space="preserve"> was in cis (orange) or trans (blue). Protein target </w:t>
      </w:r>
      <w:r w:rsidRPr="00977B0A">
        <w:rPr>
          <w:sz w:val="20"/>
          <w:szCs w:val="20"/>
        </w:rPr>
        <w:lastRenderedPageBreak/>
        <w:t xml:space="preserve">– </w:t>
      </w:r>
      <w:proofErr w:type="spellStart"/>
      <w:r w:rsidRPr="00977B0A">
        <w:rPr>
          <w:sz w:val="20"/>
          <w:szCs w:val="20"/>
        </w:rPr>
        <w:t>pQTL</w:t>
      </w:r>
      <w:proofErr w:type="spellEnd"/>
      <w:r w:rsidRPr="00977B0A">
        <w:rPr>
          <w:sz w:val="20"/>
          <w:szCs w:val="20"/>
        </w:rPr>
        <w:t xml:space="preserve"> pairs were selected based on a linear regression model (see Main text). Source data are provided as a Source Data file.</w:t>
      </w:r>
    </w:p>
    <w:p w14:paraId="1B11A662" w14:textId="5B39C9DD" w:rsidR="000B1422" w:rsidRPr="00177CF7" w:rsidRDefault="0027533C" w:rsidP="008D7D0D">
      <w:pPr>
        <w:spacing w:line="360" w:lineRule="auto"/>
        <w:jc w:val="both"/>
        <w:rPr>
          <w:b/>
          <w:bCs/>
          <w:i/>
          <w:iCs/>
        </w:rPr>
      </w:pPr>
      <w:r w:rsidRPr="00177CF7">
        <w:rPr>
          <w:b/>
          <w:bCs/>
          <w:i/>
          <w:iCs/>
        </w:rPr>
        <w:t xml:space="preserve">A </w:t>
      </w:r>
      <w:r w:rsidR="00A06055" w:rsidRPr="00177CF7">
        <w:rPr>
          <w:b/>
          <w:bCs/>
          <w:i/>
          <w:iCs/>
        </w:rPr>
        <w:t>genetically anchored protein-phenotype network across platforms</w:t>
      </w:r>
    </w:p>
    <w:p w14:paraId="273FCB8F" w14:textId="48D3272D" w:rsidR="00F96E6C" w:rsidRDefault="001C1489" w:rsidP="006C1204">
      <w:pPr>
        <w:spacing w:line="360" w:lineRule="auto"/>
        <w:jc w:val="both"/>
      </w:pPr>
      <w:r w:rsidRPr="00177CF7">
        <w:t>We creat</w:t>
      </w:r>
      <w:r w:rsidR="003806C8" w:rsidRPr="00177CF7">
        <w:t>ed</w:t>
      </w:r>
      <w:r w:rsidRPr="00177CF7">
        <w:t xml:space="preserve"> a </w:t>
      </w:r>
      <w:r w:rsidR="00693C30" w:rsidRPr="00177CF7">
        <w:t>gene</w:t>
      </w:r>
      <w:r w:rsidR="001758E8" w:rsidRPr="00177CF7">
        <w:noBreakHyphen/>
      </w:r>
      <w:r w:rsidRPr="00177CF7">
        <w:t>protein–phenotype network</w:t>
      </w:r>
      <w:r w:rsidR="00693C30" w:rsidRPr="00177CF7">
        <w:t xml:space="preserve">, </w:t>
      </w:r>
      <w:r w:rsidR="001758E8" w:rsidRPr="00177CF7">
        <w:t>t</w:t>
      </w:r>
      <w:r w:rsidR="00C907BA" w:rsidRPr="00177CF7">
        <w:t xml:space="preserve">o systematically explore the </w:t>
      </w:r>
      <w:r w:rsidR="008C4232" w:rsidRPr="00177CF7">
        <w:t>synergy of cross-platform proteomic studies</w:t>
      </w:r>
      <w:r w:rsidR="009E510C" w:rsidRPr="00177CF7">
        <w:t xml:space="preserve"> </w:t>
      </w:r>
      <w:r w:rsidR="00693C30" w:rsidRPr="00177CF7">
        <w:t>to identify and better understand</w:t>
      </w:r>
      <w:r w:rsidR="009E510C" w:rsidRPr="00177CF7">
        <w:t xml:space="preserve"> disease mechanisms</w:t>
      </w:r>
      <w:r w:rsidR="00693C30" w:rsidRPr="00177CF7">
        <w:t xml:space="preserve">. </w:t>
      </w:r>
      <w:r w:rsidR="00DC2CD4" w:rsidRPr="00177CF7">
        <w:t>To this end</w:t>
      </w:r>
      <w:r w:rsidR="00693C30" w:rsidRPr="00177CF7">
        <w:t xml:space="preserve">, </w:t>
      </w:r>
      <w:r w:rsidR="008C4232" w:rsidRPr="00177CF7">
        <w:t>w</w:t>
      </w:r>
      <w:r w:rsidR="00BA4A5A" w:rsidRPr="00177CF7">
        <w:t xml:space="preserve">e </w:t>
      </w:r>
      <w:r w:rsidR="00292AD7" w:rsidRPr="00177CF7">
        <w:t>performed</w:t>
      </w:r>
      <w:r w:rsidR="00F54BDD" w:rsidRPr="00177CF7">
        <w:t xml:space="preserve"> phenome-wide </w:t>
      </w:r>
      <w:proofErr w:type="spellStart"/>
      <w:r w:rsidR="00F54BDD" w:rsidRPr="00177CF7">
        <w:t>colocalisation</w:t>
      </w:r>
      <w:proofErr w:type="spellEnd"/>
      <w:r w:rsidR="00F54BDD" w:rsidRPr="00177CF7">
        <w:t xml:space="preserve"> screens </w:t>
      </w:r>
      <w:r w:rsidR="00ED6654" w:rsidRPr="00177CF7">
        <w:t xml:space="preserve">for </w:t>
      </w:r>
      <w:r w:rsidR="004B21A7" w:rsidRPr="00177CF7">
        <w:t xml:space="preserve">all </w:t>
      </w:r>
      <w:r w:rsidR="0009621F" w:rsidRPr="00177CF7">
        <w:t xml:space="preserve">871 protein-encoding regions mapping to the </w:t>
      </w:r>
      <w:r w:rsidR="00F826F8" w:rsidRPr="00177CF7">
        <w:t>set of overlapping</w:t>
      </w:r>
      <w:r w:rsidR="0009621F" w:rsidRPr="00177CF7">
        <w:t xml:space="preserve"> protein targets </w:t>
      </w:r>
      <w:r w:rsidR="00292AD7" w:rsidRPr="00177CF7">
        <w:t xml:space="preserve">using </w:t>
      </w:r>
      <w:r w:rsidR="00133AF4" w:rsidRPr="00177CF7">
        <w:t xml:space="preserve">region-wide summary statistics derived from both </w:t>
      </w:r>
      <w:r w:rsidR="00BC0B5E" w:rsidRPr="00177CF7">
        <w:t xml:space="preserve">proteomic </w:t>
      </w:r>
      <w:r w:rsidR="00133AF4" w:rsidRPr="00177CF7">
        <w:t>platforms</w:t>
      </w:r>
      <w:r w:rsidR="00A30BCC" w:rsidRPr="00177CF7">
        <w:t xml:space="preserve"> </w:t>
      </w:r>
      <w:r w:rsidR="00164994" w:rsidRPr="00177CF7">
        <w:t>(</w:t>
      </w:r>
      <w:r w:rsidR="00164994" w:rsidRPr="00177CF7">
        <w:rPr>
          <w:b/>
          <w:bCs/>
        </w:rPr>
        <w:t>Fig. 4</w:t>
      </w:r>
      <w:r w:rsidR="007C45EC" w:rsidRPr="00177CF7">
        <w:rPr>
          <w:b/>
          <w:bCs/>
        </w:rPr>
        <w:t xml:space="preserve">, </w:t>
      </w:r>
      <w:r w:rsidR="007C45EC" w:rsidRPr="00177CF7">
        <w:t>see</w:t>
      </w:r>
      <w:r w:rsidR="007C45EC" w:rsidRPr="00177CF7">
        <w:rPr>
          <w:b/>
          <w:bCs/>
        </w:rPr>
        <w:t xml:space="preserve"> Methods</w:t>
      </w:r>
      <w:r w:rsidR="00164994" w:rsidRPr="00177CF7">
        <w:t>).</w:t>
      </w:r>
      <w:r w:rsidR="00424A41" w:rsidRPr="00177CF7">
        <w:t xml:space="preserve"> We </w:t>
      </w:r>
      <w:r w:rsidR="00DC2CD4" w:rsidRPr="00177CF7">
        <w:t xml:space="preserve">identified </w:t>
      </w:r>
      <w:r w:rsidR="006B310A" w:rsidRPr="00177CF7">
        <w:t xml:space="preserve">shared </w:t>
      </w:r>
      <w:r w:rsidR="005A03F1" w:rsidRPr="00177CF7">
        <w:t xml:space="preserve">genetic </w:t>
      </w:r>
      <w:r w:rsidR="006B310A" w:rsidRPr="00177CF7">
        <w:t>signal</w:t>
      </w:r>
      <w:r w:rsidR="00CC3768" w:rsidRPr="00177CF7">
        <w:t>s</w:t>
      </w:r>
      <w:r w:rsidR="006B310A" w:rsidRPr="00177CF7">
        <w:t xml:space="preserve"> for </w:t>
      </w:r>
      <w:r w:rsidR="007E102A" w:rsidRPr="00177CF7">
        <w:t xml:space="preserve">a total of </w:t>
      </w:r>
      <w:r w:rsidR="000676F3" w:rsidRPr="00177CF7">
        <w:t>547</w:t>
      </w:r>
      <w:r w:rsidR="007E102A" w:rsidRPr="00177CF7">
        <w:t xml:space="preserve"> protein </w:t>
      </w:r>
      <w:r w:rsidR="006F11BF" w:rsidRPr="00177CF7">
        <w:t>target–phenotype pairs</w:t>
      </w:r>
      <w:r w:rsidR="00CC3768" w:rsidRPr="00177CF7">
        <w:t xml:space="preserve"> (posterior probability</w:t>
      </w:r>
      <w:r w:rsidR="00C50203" w:rsidRPr="00177CF7">
        <w:t xml:space="preserve"> </w:t>
      </w:r>
      <w:r w:rsidR="00CC3768" w:rsidRPr="00177CF7">
        <w:t>&gt;</w:t>
      </w:r>
      <w:r w:rsidR="00C50203" w:rsidRPr="00177CF7">
        <w:t xml:space="preserve"> </w:t>
      </w:r>
      <w:r w:rsidR="00CC3768" w:rsidRPr="00177CF7">
        <w:t>80%)</w:t>
      </w:r>
      <w:r w:rsidR="006F11BF" w:rsidRPr="00177CF7">
        <w:t xml:space="preserve">, comprising </w:t>
      </w:r>
      <w:r w:rsidR="00650532" w:rsidRPr="00177CF7">
        <w:t xml:space="preserve">112 protein targets and </w:t>
      </w:r>
      <w:r w:rsidR="00AB6F50" w:rsidRPr="00177CF7">
        <w:t>342 phenotypes (</w:t>
      </w:r>
      <w:r w:rsidR="00E743DF">
        <w:rPr>
          <w:b/>
          <w:bCs/>
        </w:rPr>
        <w:t>Supplementary Data 11</w:t>
      </w:r>
      <w:r w:rsidR="00AB6F50" w:rsidRPr="00177CF7">
        <w:t xml:space="preserve">). </w:t>
      </w:r>
      <w:r w:rsidR="006D6BB3" w:rsidRPr="00177CF7">
        <w:t xml:space="preserve">About a third (36.3%) of the </w:t>
      </w:r>
      <w:r w:rsidR="00391331" w:rsidRPr="00177CF7">
        <w:t xml:space="preserve">gene-protein-phenotype pairs were only seen for </w:t>
      </w:r>
      <w:r w:rsidR="0096141A" w:rsidRPr="00177CF7">
        <w:t>one of the two</w:t>
      </w:r>
      <w:r w:rsidR="00391331" w:rsidRPr="00177CF7">
        <w:t xml:space="preserve"> platfo</w:t>
      </w:r>
      <w:r w:rsidR="004F0F74" w:rsidRPr="00177CF7">
        <w:t>r</w:t>
      </w:r>
      <w:r w:rsidR="00391331" w:rsidRPr="00177CF7">
        <w:t>m</w:t>
      </w:r>
      <w:r w:rsidR="0096141A" w:rsidRPr="00177CF7">
        <w:t>s</w:t>
      </w:r>
      <w:r w:rsidR="009D5C76" w:rsidRPr="00177CF7">
        <w:t>,</w:t>
      </w:r>
      <w:r w:rsidR="0096141A" w:rsidRPr="00177CF7">
        <w:t xml:space="preserve"> including </w:t>
      </w:r>
      <w:r w:rsidR="00B34ED1" w:rsidRPr="00177CF7">
        <w:t>108</w:t>
      </w:r>
      <w:r w:rsidR="00A54602" w:rsidRPr="00177CF7">
        <w:t xml:space="preserve"> pairs</w:t>
      </w:r>
      <w:r w:rsidR="00B34ED1" w:rsidRPr="00177CF7">
        <w:t xml:space="preserve"> </w:t>
      </w:r>
      <w:r w:rsidR="00987239" w:rsidRPr="00177CF7">
        <w:t xml:space="preserve">unique to </w:t>
      </w:r>
      <w:proofErr w:type="spellStart"/>
      <w:r w:rsidR="00987239" w:rsidRPr="00177CF7">
        <w:t>Olink</w:t>
      </w:r>
      <w:proofErr w:type="spellEnd"/>
      <w:r w:rsidR="00987239" w:rsidRPr="00177CF7">
        <w:t xml:space="preserve"> and </w:t>
      </w:r>
      <w:r w:rsidR="00570DD8" w:rsidRPr="00177CF7">
        <w:t xml:space="preserve">91 </w:t>
      </w:r>
      <w:r w:rsidR="00A54602" w:rsidRPr="00177CF7">
        <w:t xml:space="preserve">pairs </w:t>
      </w:r>
      <w:r w:rsidR="00570DD8" w:rsidRPr="00177CF7">
        <w:t xml:space="preserve">unique to </w:t>
      </w:r>
      <w:proofErr w:type="spellStart"/>
      <w:r w:rsidR="00570DD8" w:rsidRPr="00177CF7">
        <w:t>SomaScan</w:t>
      </w:r>
      <w:proofErr w:type="spellEnd"/>
      <w:r w:rsidR="005977FB" w:rsidRPr="00177CF7">
        <w:t xml:space="preserve"> </w:t>
      </w:r>
      <w:r w:rsidR="006B2DD2" w:rsidRPr="00177CF7">
        <w:t>accounting for</w:t>
      </w:r>
      <w:r w:rsidR="005977FB" w:rsidRPr="00177CF7">
        <w:t xml:space="preserve"> the differences in statistical power</w:t>
      </w:r>
      <w:r w:rsidR="00570DD8" w:rsidRPr="00177CF7">
        <w:t>.</w:t>
      </w:r>
      <w:r w:rsidR="00A54602" w:rsidRPr="00177CF7">
        <w:t xml:space="preserve"> </w:t>
      </w:r>
      <w:r w:rsidR="00C80B41" w:rsidRPr="00177CF7">
        <w:t>A few (1.4%) showed strong evidence for a shared signal</w:t>
      </w:r>
      <w:r w:rsidR="00A91AFF" w:rsidRPr="00177CF7">
        <w:t xml:space="preserve"> with proteins measured by both platforms but with opposing effect directions. </w:t>
      </w:r>
      <w:r w:rsidR="006E4758" w:rsidRPr="00177CF7">
        <w:t xml:space="preserve">We further identified </w:t>
      </w:r>
      <w:r w:rsidR="00FA6810" w:rsidRPr="00177CF7">
        <w:t>four</w:t>
      </w:r>
      <w:r w:rsidR="006E4758" w:rsidRPr="00177CF7">
        <w:t xml:space="preserve"> pairs which were consistent across platforms once the </w:t>
      </w:r>
      <w:r w:rsidR="006C1204" w:rsidRPr="00177CF7">
        <w:t xml:space="preserve">effect of the lead </w:t>
      </w:r>
      <w:r w:rsidR="006C1204" w:rsidRPr="00177CF7">
        <w:rPr>
          <w:i/>
          <w:iCs/>
        </w:rPr>
        <w:t>cis</w:t>
      </w:r>
      <w:r w:rsidR="006C1204" w:rsidRPr="00177CF7">
        <w:t>-</w:t>
      </w:r>
      <w:proofErr w:type="spellStart"/>
      <w:r w:rsidR="006C1204" w:rsidRPr="00177CF7">
        <w:t>pQTL</w:t>
      </w:r>
      <w:proofErr w:type="spellEnd"/>
      <w:r w:rsidR="006C1204" w:rsidRPr="00177CF7">
        <w:t xml:space="preserve"> for the </w:t>
      </w:r>
      <w:proofErr w:type="spellStart"/>
      <w:r w:rsidR="006C1204" w:rsidRPr="00177CF7">
        <w:t>SomaScan</w:t>
      </w:r>
      <w:proofErr w:type="spellEnd"/>
      <w:r w:rsidR="006C1204" w:rsidRPr="00177CF7">
        <w:t xml:space="preserve"> assay has been </w:t>
      </w:r>
      <w:proofErr w:type="gramStart"/>
      <w:r w:rsidR="006C1204" w:rsidRPr="00177CF7">
        <w:t>taken into account</w:t>
      </w:r>
      <w:proofErr w:type="gramEnd"/>
      <w:r w:rsidR="006C1204" w:rsidRPr="00177CF7">
        <w:t xml:space="preserve">, </w:t>
      </w:r>
      <w:r w:rsidR="009D1873" w:rsidRPr="00177CF7">
        <w:t xml:space="preserve">indicating </w:t>
      </w:r>
      <w:r w:rsidR="000B2C64" w:rsidRPr="00177CF7">
        <w:t xml:space="preserve">recovery of </w:t>
      </w:r>
      <w:r w:rsidR="00DB7C37" w:rsidRPr="00177CF7">
        <w:t>biological</w:t>
      </w:r>
      <w:r w:rsidR="000B2C64" w:rsidRPr="00177CF7">
        <w:t xml:space="preserve"> plausible information by </w:t>
      </w:r>
      <w:r w:rsidR="00A63BC0" w:rsidRPr="00177CF7">
        <w:t>accounting for possible measurement artefacts.</w:t>
      </w:r>
      <w:r w:rsidR="00D4108B" w:rsidRPr="00177CF7">
        <w:t xml:space="preserve"> </w:t>
      </w:r>
      <w:r w:rsidR="000E1EDC" w:rsidRPr="00177CF7">
        <w:t>Finally, about a third (34.3%) of the gene-protein-phenotype pairs were consistent between both platforms.</w:t>
      </w:r>
    </w:p>
    <w:p w14:paraId="435E0C6A" w14:textId="2B0C9083" w:rsidR="00ED6EC6" w:rsidRDefault="009A3F61" w:rsidP="006C1204">
      <w:pPr>
        <w:spacing w:line="360" w:lineRule="auto"/>
        <w:jc w:val="both"/>
      </w:pPr>
      <w:r>
        <w:rPr>
          <w:noProof/>
        </w:rPr>
        <w:lastRenderedPageBreak/>
        <w:drawing>
          <wp:inline distT="0" distB="0" distL="0" distR="0" wp14:anchorId="3639D5A9" wp14:editId="6E01B682">
            <wp:extent cx="5731510" cy="5731510"/>
            <wp:effectExtent l="0" t="0" r="2540" b="2540"/>
            <wp:docPr id="4" name="Picture 4"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Map&#10;&#10;Description automatically generated"/>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31510" cy="5731510"/>
                    </a:xfrm>
                    <a:prstGeom prst="rect">
                      <a:avLst/>
                    </a:prstGeom>
                    <a:noFill/>
                    <a:ln>
                      <a:noFill/>
                    </a:ln>
                  </pic:spPr>
                </pic:pic>
              </a:graphicData>
            </a:graphic>
          </wp:inline>
        </w:drawing>
      </w:r>
    </w:p>
    <w:p w14:paraId="5AE4C332" w14:textId="2FE7EAEF" w:rsidR="009A3F61" w:rsidRPr="004670F8" w:rsidRDefault="004670F8" w:rsidP="004670F8">
      <w:pPr>
        <w:spacing w:line="240" w:lineRule="auto"/>
        <w:jc w:val="both"/>
        <w:rPr>
          <w:sz w:val="20"/>
          <w:szCs w:val="20"/>
        </w:rPr>
      </w:pPr>
      <w:r w:rsidRPr="004670F8">
        <w:rPr>
          <w:b/>
          <w:bCs/>
          <w:sz w:val="20"/>
          <w:szCs w:val="20"/>
        </w:rPr>
        <w:t xml:space="preserve">Figure 4 A genetically anchored protein – phenotype network. </w:t>
      </w:r>
      <w:r w:rsidRPr="004670F8">
        <w:rPr>
          <w:sz w:val="20"/>
          <w:szCs w:val="20"/>
        </w:rPr>
        <w:t xml:space="preserve">Each node is either a protein target (square) or a phenotype (circle) and a connection was drawn between both if the protein target shares a genetic signal (posterior probability (PP) &gt; 80%) with the phenotype within a ±500kb region around the protein encoding gene (Supplementary Data 11). Colours indicate whether the shared signal was identified using the </w:t>
      </w:r>
      <w:proofErr w:type="spellStart"/>
      <w:r w:rsidRPr="004670F8">
        <w:rPr>
          <w:sz w:val="20"/>
          <w:szCs w:val="20"/>
        </w:rPr>
        <w:t>SomaScan</w:t>
      </w:r>
      <w:proofErr w:type="spellEnd"/>
      <w:r w:rsidRPr="004670F8">
        <w:rPr>
          <w:sz w:val="20"/>
          <w:szCs w:val="20"/>
        </w:rPr>
        <w:t xml:space="preserve"> (cyan) or the </w:t>
      </w:r>
      <w:proofErr w:type="spellStart"/>
      <w:r w:rsidRPr="004670F8">
        <w:rPr>
          <w:sz w:val="20"/>
          <w:szCs w:val="20"/>
        </w:rPr>
        <w:t>Olink</w:t>
      </w:r>
      <w:proofErr w:type="spellEnd"/>
      <w:r w:rsidRPr="004670F8">
        <w:rPr>
          <w:sz w:val="20"/>
          <w:szCs w:val="20"/>
        </w:rPr>
        <w:t xml:space="preserve"> assay (orange). Protein-phenotype connections consistent between both platforms are indicated by two lines connecting the protein and the phenotype. Solid lines indicate a positive association of the shared genetic variant with the phenotype aligned to the protein-increasing allele. The inset highlights selected subnetworks for which both proteomic techniques provide complementary information.</w:t>
      </w:r>
    </w:p>
    <w:p w14:paraId="1B3AADCB" w14:textId="78F9D31E" w:rsidR="00C763BB" w:rsidRPr="00177CF7" w:rsidRDefault="00071DA2" w:rsidP="0001601F">
      <w:pPr>
        <w:spacing w:line="240" w:lineRule="auto"/>
        <w:jc w:val="both"/>
        <w:rPr>
          <w:b/>
          <w:bCs/>
          <w:i/>
          <w:iCs/>
        </w:rPr>
      </w:pPr>
      <w:r w:rsidRPr="00177CF7">
        <w:rPr>
          <w:b/>
          <w:bCs/>
          <w:i/>
          <w:iCs/>
        </w:rPr>
        <w:t>Directional</w:t>
      </w:r>
      <w:r w:rsidR="00FD659D" w:rsidRPr="00177CF7">
        <w:rPr>
          <w:b/>
          <w:bCs/>
          <w:i/>
          <w:iCs/>
        </w:rPr>
        <w:t>ly</w:t>
      </w:r>
      <w:r w:rsidRPr="00177CF7">
        <w:rPr>
          <w:b/>
          <w:bCs/>
          <w:i/>
          <w:iCs/>
        </w:rPr>
        <w:t xml:space="preserve"> </w:t>
      </w:r>
      <w:r w:rsidR="00C717E0" w:rsidRPr="00177CF7">
        <w:rPr>
          <w:b/>
          <w:bCs/>
          <w:i/>
          <w:iCs/>
        </w:rPr>
        <w:t>dis</w:t>
      </w:r>
      <w:r w:rsidRPr="00177CF7">
        <w:rPr>
          <w:b/>
          <w:bCs/>
          <w:i/>
          <w:iCs/>
        </w:rPr>
        <w:t>cordant associations at a</w:t>
      </w:r>
      <w:r w:rsidR="00C717E0" w:rsidRPr="00177CF7">
        <w:rPr>
          <w:b/>
          <w:bCs/>
          <w:i/>
          <w:iCs/>
        </w:rPr>
        <w:t>n Alzheimer’s disease locus</w:t>
      </w:r>
      <w:r w:rsidR="007F7965" w:rsidRPr="00177CF7">
        <w:rPr>
          <w:b/>
          <w:bCs/>
          <w:i/>
          <w:iCs/>
        </w:rPr>
        <w:t xml:space="preserve"> </w:t>
      </w:r>
    </w:p>
    <w:p w14:paraId="0000001D" w14:textId="13F775B4" w:rsidR="00766C45" w:rsidRPr="00177CF7" w:rsidRDefault="00555D20" w:rsidP="00541458">
      <w:pPr>
        <w:spacing w:line="360" w:lineRule="auto"/>
        <w:jc w:val="both"/>
      </w:pPr>
      <w:bookmarkStart w:id="1" w:name="_heading=h.hn5qay4iompd" w:colFirst="0" w:colLast="0"/>
      <w:bookmarkEnd w:id="1"/>
      <w:r w:rsidRPr="00177CF7">
        <w:t>We identified</w:t>
      </w:r>
      <w:r w:rsidR="008928C1" w:rsidRPr="00177CF7">
        <w:t xml:space="preserve"> eight</w:t>
      </w:r>
      <w:r w:rsidRPr="00177CF7">
        <w:t xml:space="preserve"> </w:t>
      </w:r>
      <w:r w:rsidR="002A2389" w:rsidRPr="00177CF7">
        <w:t xml:space="preserve">protein target – phenotype </w:t>
      </w:r>
      <w:r w:rsidRPr="00177CF7">
        <w:t xml:space="preserve">pairs for which </w:t>
      </w:r>
      <w:r w:rsidR="0075727A" w:rsidRPr="00177CF7">
        <w:t xml:space="preserve">proteins as measured by both </w:t>
      </w:r>
      <w:r w:rsidR="0026570F" w:rsidRPr="00177CF7">
        <w:t>assays</w:t>
      </w:r>
      <w:r w:rsidR="0075727A" w:rsidRPr="00177CF7">
        <w:t xml:space="preserve"> were highly likely to share </w:t>
      </w:r>
      <w:r w:rsidR="0073213E" w:rsidRPr="00177CF7">
        <w:t xml:space="preserve">the same genetic signal with the </w:t>
      </w:r>
      <w:r w:rsidR="001A722A" w:rsidRPr="00177CF7">
        <w:t xml:space="preserve">same </w:t>
      </w:r>
      <w:r w:rsidR="0073213E" w:rsidRPr="00177CF7">
        <w:t xml:space="preserve">phenotype but </w:t>
      </w:r>
      <w:r w:rsidR="008703A9" w:rsidRPr="00177CF7">
        <w:t xml:space="preserve">with opposite </w:t>
      </w:r>
      <w:r w:rsidR="006D0A1F" w:rsidRPr="00177CF7">
        <w:t xml:space="preserve">effect </w:t>
      </w:r>
      <w:r w:rsidRPr="00177CF7">
        <w:t>directions</w:t>
      </w:r>
      <w:r w:rsidR="004F7B46" w:rsidRPr="00177CF7">
        <w:t xml:space="preserve"> </w:t>
      </w:r>
      <w:r w:rsidR="007C3E06" w:rsidRPr="00177CF7">
        <w:t xml:space="preserve">for the same </w:t>
      </w:r>
      <w:r w:rsidR="00FA6726" w:rsidRPr="00177CF7">
        <w:t xml:space="preserve">protein </w:t>
      </w:r>
      <w:r w:rsidR="007C3E06" w:rsidRPr="00177CF7">
        <w:t>target or its isoforms</w:t>
      </w:r>
      <w:r w:rsidRPr="00177CF7">
        <w:t xml:space="preserve"> (</w:t>
      </w:r>
      <w:r w:rsidR="003665E1" w:rsidRPr="00177CF7">
        <w:rPr>
          <w:b/>
        </w:rPr>
        <w:t>Fig. 4</w:t>
      </w:r>
      <w:r w:rsidR="0011553C" w:rsidRPr="00177CF7">
        <w:rPr>
          <w:b/>
        </w:rPr>
        <w:t xml:space="preserve"> and </w:t>
      </w:r>
      <w:r w:rsidR="00804998" w:rsidRPr="00177CF7">
        <w:rPr>
          <w:b/>
        </w:rPr>
        <w:t>5</w:t>
      </w:r>
      <w:r w:rsidR="00C0178E" w:rsidRPr="00177CF7">
        <w:rPr>
          <w:b/>
        </w:rPr>
        <w:t>a</w:t>
      </w:r>
      <w:r w:rsidRPr="00177CF7">
        <w:t xml:space="preserve">). For instance, the missense variant rs1859788 (p.G78R, </w:t>
      </w:r>
      <w:proofErr w:type="spellStart"/>
      <w:r w:rsidR="00473580" w:rsidRPr="00177CF7">
        <w:t>s</w:t>
      </w:r>
      <w:r w:rsidRPr="00177CF7">
        <w:t>AF</w:t>
      </w:r>
      <w:proofErr w:type="spellEnd"/>
      <w:r w:rsidRPr="00177CF7">
        <w:t>=</w:t>
      </w:r>
      <w:r w:rsidR="001B19CD" w:rsidRPr="00177CF7">
        <w:t>31.7</w:t>
      </w:r>
      <w:r w:rsidRPr="00177CF7">
        <w:t>%</w:t>
      </w:r>
      <w:r w:rsidR="007C3E06" w:rsidRPr="00177CF7">
        <w:t xml:space="preserve"> for the </w:t>
      </w:r>
      <w:r w:rsidR="001B19CD" w:rsidRPr="00177CF7">
        <w:t>A</w:t>
      </w:r>
      <w:r w:rsidR="007C3E06" w:rsidRPr="00177CF7">
        <w:t>-allele</w:t>
      </w:r>
      <w:r w:rsidRPr="00177CF7">
        <w:t xml:space="preserve">) in </w:t>
      </w:r>
      <w:r w:rsidRPr="00177CF7">
        <w:rPr>
          <w:i/>
        </w:rPr>
        <w:t xml:space="preserve">PILRA </w:t>
      </w:r>
      <w:r w:rsidRPr="00177CF7">
        <w:t xml:space="preserve">was the lead </w:t>
      </w:r>
      <w:r w:rsidRPr="00177CF7">
        <w:rPr>
          <w:i/>
        </w:rPr>
        <w:t>cis</w:t>
      </w:r>
      <w:r w:rsidRPr="00177CF7">
        <w:t>-</w:t>
      </w:r>
      <w:proofErr w:type="spellStart"/>
      <w:r w:rsidRPr="00177CF7">
        <w:t>pQTL</w:t>
      </w:r>
      <w:proofErr w:type="spellEnd"/>
      <w:r w:rsidRPr="00177CF7">
        <w:t xml:space="preserve"> </w:t>
      </w:r>
      <w:r w:rsidR="00BE34DE" w:rsidRPr="00177CF7">
        <w:t xml:space="preserve">inversely associated with </w:t>
      </w:r>
      <w:r w:rsidRPr="00177CF7">
        <w:t xml:space="preserve">Paired immunoglobulin-like type 2 receptor alpha (PILRA) </w:t>
      </w:r>
      <w:r w:rsidR="00BE34DE" w:rsidRPr="00177CF7">
        <w:t>measured by</w:t>
      </w:r>
      <w:r w:rsidRPr="00177CF7">
        <w:t xml:space="preserve"> </w:t>
      </w:r>
      <w:proofErr w:type="spellStart"/>
      <w:r w:rsidRPr="00177CF7">
        <w:t>Olink</w:t>
      </w:r>
      <w:proofErr w:type="spellEnd"/>
      <w:r w:rsidRPr="00177CF7">
        <w:t xml:space="preserve"> </w:t>
      </w:r>
      <w:r w:rsidR="007C3E06" w:rsidRPr="00177CF7">
        <w:t>(beta</w:t>
      </w:r>
      <w:r w:rsidR="003E07B7" w:rsidRPr="00177CF7">
        <w:t>=</w:t>
      </w:r>
      <w:r w:rsidR="003E07B7" w:rsidRPr="00177CF7">
        <w:noBreakHyphen/>
      </w:r>
      <w:r w:rsidR="007C3E06" w:rsidRPr="00177CF7">
        <w:t xml:space="preserve">0.74, </w:t>
      </w:r>
      <w:r w:rsidR="007C3E06" w:rsidRPr="00177CF7">
        <w:lastRenderedPageBreak/>
        <w:t>p&lt;3.48x10</w:t>
      </w:r>
      <w:r w:rsidR="007C3E06" w:rsidRPr="00177CF7">
        <w:rPr>
          <w:vertAlign w:val="superscript"/>
        </w:rPr>
        <w:t>-29</w:t>
      </w:r>
      <w:r w:rsidR="007C3E06" w:rsidRPr="00177CF7">
        <w:t>)</w:t>
      </w:r>
      <w:r w:rsidR="00983B3F" w:rsidRPr="00177CF7">
        <w:t>.</w:t>
      </w:r>
      <w:r w:rsidR="00736A7C" w:rsidRPr="00177CF7">
        <w:t xml:space="preserve"> </w:t>
      </w:r>
      <w:r w:rsidR="00BE34DE" w:rsidRPr="00177CF7">
        <w:t>In contrast, w</w:t>
      </w:r>
      <w:r w:rsidR="005D073E" w:rsidRPr="00177CF7">
        <w:t xml:space="preserve">e </w:t>
      </w:r>
      <w:r w:rsidR="00A120BE" w:rsidRPr="00177CF7">
        <w:t xml:space="preserve">found </w:t>
      </w:r>
      <w:r w:rsidR="005D073E" w:rsidRPr="00177CF7">
        <w:t>pos</w:t>
      </w:r>
      <w:r w:rsidR="004A5E20" w:rsidRPr="00177CF7">
        <w:t xml:space="preserve">itive </w:t>
      </w:r>
      <w:r w:rsidR="005D073E" w:rsidRPr="00177CF7">
        <w:t xml:space="preserve">associations </w:t>
      </w:r>
      <w:r w:rsidR="00373AB2" w:rsidRPr="00177CF7">
        <w:t xml:space="preserve">for </w:t>
      </w:r>
      <w:r w:rsidR="00A00117" w:rsidRPr="00177CF7">
        <w:t xml:space="preserve">the same genetic signal </w:t>
      </w:r>
      <w:r w:rsidR="008131F1" w:rsidRPr="00177CF7">
        <w:t>with</w:t>
      </w:r>
      <w:r w:rsidR="00A00117" w:rsidRPr="00177CF7">
        <w:t xml:space="preserve"> </w:t>
      </w:r>
      <w:r w:rsidRPr="00177CF7">
        <w:t xml:space="preserve">two </w:t>
      </w:r>
      <w:proofErr w:type="spellStart"/>
      <w:r w:rsidRPr="00177CF7">
        <w:t>SOMAmer</w:t>
      </w:r>
      <w:proofErr w:type="spellEnd"/>
      <w:r w:rsidR="003D66A6" w:rsidRPr="00177CF7">
        <w:t xml:space="preserve"> reagents</w:t>
      </w:r>
      <w:r w:rsidRPr="00177CF7">
        <w:t xml:space="preserve"> targeting</w:t>
      </w:r>
      <w:r w:rsidR="002E570D" w:rsidRPr="00177CF7">
        <w:t xml:space="preserve"> soluble</w:t>
      </w:r>
      <w:r w:rsidRPr="00177CF7">
        <w:t xml:space="preserve"> isoforms of the same protein (6402-8 targeting isoform FDF03-deltaTM </w:t>
      </w:r>
      <w:r w:rsidR="007C3E06" w:rsidRPr="00177CF7">
        <w:t>(beta=1.26, p&lt;2.67x10</w:t>
      </w:r>
      <w:r w:rsidR="004C0EF0" w:rsidRPr="00177CF7">
        <w:rPr>
          <w:vertAlign w:val="superscript"/>
        </w:rPr>
        <w:noBreakHyphen/>
      </w:r>
      <w:r w:rsidR="007C3E06" w:rsidRPr="00177CF7">
        <w:rPr>
          <w:vertAlign w:val="superscript"/>
        </w:rPr>
        <w:t>5193</w:t>
      </w:r>
      <w:r w:rsidR="007C3E06" w:rsidRPr="00177CF7">
        <w:t xml:space="preserve">) </w:t>
      </w:r>
      <w:r w:rsidRPr="00177CF7">
        <w:t>and 10816-150 targeting isoform FDF03-M14</w:t>
      </w:r>
      <w:r w:rsidR="007C3E06" w:rsidRPr="00177CF7">
        <w:t xml:space="preserve"> (beta=1.26, p&lt;1.53x10</w:t>
      </w:r>
      <w:r w:rsidR="007C3E06" w:rsidRPr="00177CF7">
        <w:rPr>
          <w:vertAlign w:val="superscript"/>
        </w:rPr>
        <w:t>-5360</w:t>
      </w:r>
      <w:r w:rsidR="007C3E06" w:rsidRPr="00177CF7">
        <w:t>)</w:t>
      </w:r>
      <w:r w:rsidR="007A00BF" w:rsidRPr="00177CF7">
        <w:t>)</w:t>
      </w:r>
      <w:r w:rsidR="004A5E20" w:rsidRPr="00177CF7">
        <w:t xml:space="preserve">, but no </w:t>
      </w:r>
      <w:r w:rsidR="006B7E11" w:rsidRPr="00177CF7">
        <w:t xml:space="preserve">association </w:t>
      </w:r>
      <w:r w:rsidR="008131F1" w:rsidRPr="00177CF7">
        <w:t xml:space="preserve">with </w:t>
      </w:r>
      <w:r w:rsidRPr="00177CF7">
        <w:t xml:space="preserve">the </w:t>
      </w:r>
      <w:proofErr w:type="spellStart"/>
      <w:r w:rsidRPr="00177CF7">
        <w:t>SOMAmer</w:t>
      </w:r>
      <w:proofErr w:type="spellEnd"/>
      <w:r w:rsidRPr="00177CF7">
        <w:t xml:space="preserve"> </w:t>
      </w:r>
      <w:r w:rsidR="003D66A6" w:rsidRPr="00177CF7">
        <w:t xml:space="preserve">reagent </w:t>
      </w:r>
      <w:r w:rsidR="00071867" w:rsidRPr="00177CF7">
        <w:t>designed</w:t>
      </w:r>
      <w:r w:rsidRPr="00177CF7">
        <w:t xml:space="preserve"> to target</w:t>
      </w:r>
      <w:r w:rsidR="00A120BE" w:rsidRPr="00177CF7">
        <w:t xml:space="preserve"> the canonical protein</w:t>
      </w:r>
      <w:r w:rsidRPr="00177CF7">
        <w:t xml:space="preserve"> (8825-4, </w:t>
      </w:r>
      <w:r w:rsidR="004D59B2" w:rsidRPr="00177CF7">
        <w:t>beta=0.0</w:t>
      </w:r>
      <w:r w:rsidR="001C609F" w:rsidRPr="00177CF7">
        <w:t>04</w:t>
      </w:r>
      <w:r w:rsidR="004D59B2" w:rsidRPr="00177CF7">
        <w:t xml:space="preserve">, </w:t>
      </w:r>
      <w:r w:rsidRPr="00177CF7">
        <w:t xml:space="preserve">p=0.75). </w:t>
      </w:r>
      <w:r w:rsidR="008131F1" w:rsidRPr="00177CF7">
        <w:t>S</w:t>
      </w:r>
      <w:r w:rsidR="005D073E" w:rsidRPr="00177CF7">
        <w:t xml:space="preserve">tatistical </w:t>
      </w:r>
      <w:proofErr w:type="spellStart"/>
      <w:r w:rsidR="005D073E" w:rsidRPr="00177CF7">
        <w:t>colocalisation</w:t>
      </w:r>
      <w:proofErr w:type="spellEnd"/>
      <w:r w:rsidR="005D073E" w:rsidRPr="00177CF7">
        <w:t xml:space="preserve"> provide</w:t>
      </w:r>
      <w:r w:rsidR="008131F1" w:rsidRPr="00177CF7">
        <w:t>d</w:t>
      </w:r>
      <w:r w:rsidR="005D073E" w:rsidRPr="00177CF7">
        <w:t xml:space="preserve"> strong evidence of a genetic signal shared between all three different protein measures and Alzheimer's disease (</w:t>
      </w:r>
      <w:r w:rsidR="00E743DF">
        <w:rPr>
          <w:b/>
        </w:rPr>
        <w:t>Supplementary Data 11</w:t>
      </w:r>
      <w:r w:rsidR="005D073E" w:rsidRPr="00177CF7">
        <w:rPr>
          <w:b/>
        </w:rPr>
        <w:t xml:space="preserve"> </w:t>
      </w:r>
      <w:r w:rsidR="005D073E" w:rsidRPr="00177CF7">
        <w:rPr>
          <w:bCs/>
        </w:rPr>
        <w:t>and</w:t>
      </w:r>
      <w:r w:rsidR="005D073E" w:rsidRPr="00177CF7">
        <w:rPr>
          <w:b/>
        </w:rPr>
        <w:t xml:space="preserve"> </w:t>
      </w:r>
      <w:r w:rsidR="00667146" w:rsidRPr="00177CF7">
        <w:rPr>
          <w:b/>
        </w:rPr>
        <w:t>Fig. 5a</w:t>
      </w:r>
      <w:r w:rsidR="005D073E" w:rsidRPr="00177CF7">
        <w:t>)</w:t>
      </w:r>
      <w:r w:rsidR="00563B60" w:rsidRPr="00177CF7">
        <w:t>, in line with</w:t>
      </w:r>
      <w:r w:rsidRPr="00177CF7">
        <w:t xml:space="preserve"> the </w:t>
      </w:r>
      <w:r w:rsidR="00DA436C" w:rsidRPr="00177CF7">
        <w:t>A</w:t>
      </w:r>
      <w:r w:rsidRPr="00177CF7">
        <w:t xml:space="preserve">-allele of rs1859788 </w:t>
      </w:r>
      <w:r w:rsidR="00563B60" w:rsidRPr="00177CF7">
        <w:t xml:space="preserve">having </w:t>
      </w:r>
      <w:r w:rsidRPr="00177CF7">
        <w:t xml:space="preserve">been identified as protective </w:t>
      </w:r>
      <w:r w:rsidR="00563B60" w:rsidRPr="00177CF7">
        <w:t>for</w:t>
      </w:r>
      <w:r w:rsidRPr="00177CF7">
        <w:t xml:space="preserve"> Alzheimer’s disease</w:t>
      </w:r>
      <w:r w:rsidR="00F542BB" w:rsidRPr="00177CF7">
        <w:fldChar w:fldCharType="begin" w:fldLock="1"/>
      </w:r>
      <w:r w:rsidR="007212AD">
        <w:instrText>ADDIN CSL_CITATION {"citationItems":[{"id":"ITEM-1","itemData":{"DOI":"10.1371/journal.pgen.1007427","ISBN":"1111111111","abstract":"Paired Immunoglobulin-like Type 2 Receptor Alpha (PILRA) is a cell surface inhibitory receptor that recognizes specific O-glycosylated proteins and is expressed on various innate immune cell types including microglia. We show here that a common missense variant (G78R, rs1859788) of PILRA is the likely causal allele for the confirmed Alzheimer's disease risk locus at 7q21 (rs1476679). The G78R variant alters the interaction of residues essential for sialic acid engagement, resulting in &gt;50% reduced binding for several PILRA ligands including a novel ligand, complement component 4A, and herpes simplex virus 1 (HSV-1) glycoprotein B. PILRA is an entry receptor for HSV-1 via glycoprotein B, and macrophages derived from R78 homozygous donors showed significantly decreased levels of HSV-1 infection at several multiplicities of infection compared to homozygous G78 macrophages. We propose that PILRA G78R protects individuals from Alzheimer's disease risk via reduced inhibitory signaling in microglia and reduced microglial infection during HSV-1 recurrence.","author":[{"dropping-particle":"","family":"Rathore","given":"Nisha","non-dropping-particle":"","parse-names":false,"suffix":""},{"dropping-particle":"","family":"Ramani","given":"Sree Ranjani","non-dropping-particle":"","parse-names":false,"suffix":""},{"dropping-particle":"","family":"Pantua","given":"Homer","non-dropping-particle":"","parse-names":false,"suffix":""},{"dropping-particle":"","family":"Payandeh","given":"Jian","non-dropping-particle":"","parse-names":false,"suffix":""},{"dropping-particle":"","family":"Bhangaleid","given":"Tushar","non-dropping-particle":"","parse-names":false,"suffix":""},{"dropping-particle":"","family":"Wuster","given":"Arthur","non-dropping-particle":"","parse-names":false,"suffix":""},{"dropping-particle":"","family":"Kapoor","given":"Manav","non-dropping-particle":"","parse-names":false,"suffix":""},{"dropping-particle":"","family":"Sun","given":"Yonglian","non-dropping-particle":"","parse-names":false,"suffix":""},{"dropping-particle":"","family":"Kapadia","given":"Sharookh B","non-dropping-particle":"","parse-names":false,"suffix":""},{"dropping-particle":"","family":"Gonzalez","given":"Lino","non-dropping-particle":"","parse-names":false,"suffix":""},{"dropping-particle":"","family":"Zarrin","given":"Ali A","non-dropping-particle":"","parse-names":false,"suffix":""},{"dropping-particle":"","family":"Goate","given":"Alison","non-dropping-particle":"","parse-names":false,"suffix":""},{"dropping-particle":"V","family":"Hansenid","given":"David","non-dropping-particle":"","parse-names":false,"suffix":""},{"dropping-particle":"","family":"Behrens","given":"Timothy W","non-dropping-particle":"","parse-names":false,"suffix":""},{"dropping-particle":"","family":"Grahamid","given":"Robert R","non-dropping-particle":"","parse-names":false,"suffix":""}],"id":"ITEM-1","issued":{"date-parts":[["2018"]]},"title":"Paired Immunoglobulin-like Type 2 Receptor Alpha G78R variant alters ligand binding and confers protection to Alzheimer's disease","type":"article-journal"},"uris":["http://www.mendeley.com/documents/?uuid=6e8c26a1-56fe-3aa1-ae52-7d226ab78940"]}],"mendeley":{"formattedCitation":"&lt;sup&gt;22&lt;/sup&gt;","plainTextFormattedCitation":"22","previouslyFormattedCitation":"&lt;sup&gt;22&lt;/sup&gt;"},"properties":{"noteIndex":0},"schema":"https://github.com/citation-style-language/schema/raw/master/csl-citation.json"}</w:instrText>
      </w:r>
      <w:r w:rsidR="00F542BB" w:rsidRPr="00177CF7">
        <w:fldChar w:fldCharType="separate"/>
      </w:r>
      <w:r w:rsidR="00AB37AF" w:rsidRPr="00AB37AF">
        <w:rPr>
          <w:noProof/>
          <w:vertAlign w:val="superscript"/>
        </w:rPr>
        <w:t>22</w:t>
      </w:r>
      <w:r w:rsidR="00F542BB" w:rsidRPr="00177CF7">
        <w:fldChar w:fldCharType="end"/>
      </w:r>
      <w:r w:rsidR="003D2A49" w:rsidRPr="00177CF7">
        <w:t xml:space="preserve">. </w:t>
      </w:r>
      <w:r w:rsidR="00BA1888" w:rsidRPr="00177CF7">
        <w:t xml:space="preserve">PILRA is </w:t>
      </w:r>
      <w:r w:rsidR="005E21D1" w:rsidRPr="00177CF7">
        <w:t>an inhibitory recep</w:t>
      </w:r>
      <w:r w:rsidR="00B2536E" w:rsidRPr="00177CF7">
        <w:t xml:space="preserve">tor </w:t>
      </w:r>
      <w:r w:rsidR="00BA1888" w:rsidRPr="00177CF7">
        <w:t xml:space="preserve">expressed in </w:t>
      </w:r>
      <w:r w:rsidR="008923F6" w:rsidRPr="00177CF7">
        <w:t xml:space="preserve">dendritic and </w:t>
      </w:r>
      <w:r w:rsidR="00A51879" w:rsidRPr="00177CF7">
        <w:t>myeloid cells</w:t>
      </w:r>
      <w:r w:rsidR="00A51879" w:rsidRPr="00177CF7">
        <w:fldChar w:fldCharType="begin" w:fldLock="1"/>
      </w:r>
      <w:r w:rsidR="007212AD">
        <w:instrText>ADDIN CSL_CITATION {"citationItems":[{"id":"ITEM-1","itemData":{"DOI":"10.4049/jimmunol.165.3.1197","ISSN":"0022-1767","PMID":"10903717","abstract":"In this study, we describe human FDF03, a novel member of the Ig superfamily expressed as a monomeric 44-kDa transmembrane glycoprotein and containing a single extracellular V-set Ig-like domain. Two potential secreted isoforms were also identified. The gene encoding FDF03 mapped to chromosome 7q22. FDF03 was mostly detected in hemopoietic tissues and was expressed by monocytes, macrophages, and granulocytes, but not by lymphocytes (B, T, and NK cells), indicating an expression restricted to cells of the myelomonocytic lineage. FDF03 was also strongly expressed by monocyte-derived dendritic cells (DC) and preferentially by CD14+/CD1a- DC derived from CD34+ progenitors. Moreover, flow cytometric analysis showed FDF03 expression by CD11c+ blood and tonsil DC, but not by CD11c- DC precursors. The FDF03 cytoplasmic tail contained two immunoreceptor tyrosine-based inhibitory motif (ITIM)-like sequences. When overexpressed in pervanadate- treated U937 cells, FDF03 was tyrosine-phosphorylated and recruited Src homology-2 (SH2) domain-containing protein tyrosine phosphatase (SHP)-2 and to a lesser extent SHP-1. Like engagement of the ITIM-bearing receptor LAIR- 1/p40, cross-linking of FDF03 inhibited calcium mobilization in response to CD32/FcγRII aggregation in transfected U937 cells, thus demonstrating that FDF03 can function as an inhibitory receptor. However, in contrast to LAIR- 1/p40, cross-linking of FDF03 did not inhibit GM-CSF-induced monocyte differentiation into DC. Thus, FDF03 is a novel ITIM-bearing receptor selectively expressed by cells of myeloid origin, including DC, that may regulate functions other than that of the broadly distributed LAIR-1/p40 molecule.","author":[{"dropping-particle":"","family":"Fournier","given":"Nathalie","non-dropping-particle":"","parse-names":false,"suffix":""},{"dropping-particle":"","family":"Chalus","given":"Lionel","non-dropping-particle":"","parse-names":false,"suffix":""},{"dropping-particle":"","family":"Durand","given":"Isabelle","non-dropping-particle":"","parse-names":false,"suffix":""},{"dropping-particle":"","family":"Garcia","given":"Eric","non-dropping-particle":"","parse-names":false,"suffix":""},{"dropping-particle":"","family":"Pin","given":"Jean-Jacques","non-dropping-particle":"","parse-names":false,"suffix":""},{"dropping-particle":"","family":"Churakova","given":"Tatyana","non-dropping-particle":"","parse-names":false,"suffix":""},{"dropping-particle":"","family":"Patel","given":"Segal","non-dropping-particle":"","parse-names":false,"suffix":""},{"dropping-particle":"","family":"Zlot","given":"Constance","non-dropping-particle":"","parse-names":false,"suffix":""},{"dropping-particle":"","family":"Gorman","given":"Dan","non-dropping-particle":"","parse-names":false,"suffix":""},{"dropping-particle":"","family":"Zurawski","given":"Sandra","non-dropping-particle":"","parse-names":false,"suffix":""},{"dropping-particle":"","family":"Abrams","given":"John","non-dropping-particle":"","parse-names":false,"suffix":""},{"dropping-particle":"","family":"Bates","given":"Elizabeth E. M.","non-dropping-particle":"","parse-names":false,"suffix":""},{"dropping-particle":"","family":"Garrone","given":"Pierre","non-dropping-particle":"","parse-names":false,"suffix":""}],"container-title":"The Journal of Immunology","id":"ITEM-1","issue":"3","issued":{"date-parts":[["2000"]]},"page":"1197-1209","title":"FDF03, a Novel Inhibitory Receptor of the Immunoglobulin Superfamily, Is Expressed by Human Dendritic and Myeloid Cells","type":"article-journal","volume":"165"},"uris":["http://www.mendeley.com/documents/?uuid=88fd3151-3095-4c29-85b3-e9dc26edcef9"]}],"mendeley":{"formattedCitation":"&lt;sup&gt;23&lt;/sup&gt;","plainTextFormattedCitation":"23","previouslyFormattedCitation":"&lt;sup&gt;23&lt;/sup&gt;"},"properties":{"noteIndex":0},"schema":"https://github.com/citation-style-language/schema/raw/master/csl-citation.json"}</w:instrText>
      </w:r>
      <w:r w:rsidR="00A51879" w:rsidRPr="00177CF7">
        <w:fldChar w:fldCharType="separate"/>
      </w:r>
      <w:r w:rsidR="00AB37AF" w:rsidRPr="00AB37AF">
        <w:rPr>
          <w:noProof/>
          <w:vertAlign w:val="superscript"/>
        </w:rPr>
        <w:t>23</w:t>
      </w:r>
      <w:r w:rsidR="00A51879" w:rsidRPr="00177CF7">
        <w:fldChar w:fldCharType="end"/>
      </w:r>
      <w:r w:rsidR="007A6F4E" w:rsidRPr="00177CF7">
        <w:t xml:space="preserve"> and </w:t>
      </w:r>
      <w:r w:rsidR="00FA4280" w:rsidRPr="00177CF7">
        <w:t>p.G78R</w:t>
      </w:r>
      <w:r w:rsidR="00EC43C2" w:rsidRPr="00177CF7">
        <w:t xml:space="preserve"> </w:t>
      </w:r>
      <w:r w:rsidR="003C42A6" w:rsidRPr="00177CF7">
        <w:t xml:space="preserve">was shown to </w:t>
      </w:r>
      <w:r w:rsidR="00235D00" w:rsidRPr="00177CF7">
        <w:t xml:space="preserve">reduce signalling </w:t>
      </w:r>
      <w:r w:rsidR="006A71DE" w:rsidRPr="00177CF7">
        <w:rPr>
          <w:i/>
          <w:iCs/>
        </w:rPr>
        <w:t>via</w:t>
      </w:r>
      <w:r w:rsidR="006A71DE" w:rsidRPr="00177CF7">
        <w:t xml:space="preserve"> reduced ligand binding</w:t>
      </w:r>
      <w:r w:rsidR="0098572E" w:rsidRPr="00177CF7">
        <w:t>, likely</w:t>
      </w:r>
      <w:r w:rsidR="006A71DE" w:rsidRPr="00177CF7">
        <w:t xml:space="preserve"> </w:t>
      </w:r>
      <w:r w:rsidR="00327920" w:rsidRPr="00177CF7">
        <w:t xml:space="preserve">modulating microglia </w:t>
      </w:r>
      <w:r w:rsidR="00632180" w:rsidRPr="00177CF7">
        <w:t>migration and activation in the brain</w:t>
      </w:r>
      <w:r w:rsidR="00B10760" w:rsidRPr="00177CF7">
        <w:fldChar w:fldCharType="begin" w:fldLock="1"/>
      </w:r>
      <w:r w:rsidR="007212AD">
        <w:instrText>ADDIN CSL_CITATION {"citationItems":[{"id":"ITEM-1","itemData":{"DOI":"10.1371/journal.pgen.1007427","ISBN":"1111111111","abstract":"Paired Immunoglobulin-like Type 2 Receptor Alpha (PILRA) is a cell surface inhibitory receptor that recognizes specific O-glycosylated proteins and is expressed on various innate immune cell types including microglia. We show here that a common missense variant (G78R, rs1859788) of PILRA is the likely causal allele for the confirmed Alzheimer's disease risk locus at 7q21 (rs1476679). The G78R variant alters the interaction of residues essential for sialic acid engagement, resulting in &gt;50% reduced binding for several PILRA ligands including a novel ligand, complement component 4A, and herpes simplex virus 1 (HSV-1) glycoprotein B. PILRA is an entry receptor for HSV-1 via glycoprotein B, and macrophages derived from R78 homozygous donors showed significantly decreased levels of HSV-1 infection at several multiplicities of infection compared to homozygous G78 macrophages. We propose that PILRA G78R protects individuals from Alzheimer's disease risk via reduced inhibitory signaling in microglia and reduced microglial infection during HSV-1 recurrence.","author":[{"dropping-particle":"","family":"Rathore","given":"Nisha","non-dropping-particle":"","parse-names":false,"suffix":""},{"dropping-particle":"","family":"Ramani","given":"Sree Ranjani","non-dropping-particle":"","parse-names":false,"suffix":""},{"dropping-particle":"","family":"Pantua","given":"Homer","non-dropping-particle":"","parse-names":false,"suffix":""},{"dropping-particle":"","family":"Payandeh","given":"Jian","non-dropping-particle":"","parse-names":false,"suffix":""},{"dropping-particle":"","family":"Bhangaleid","given":"Tushar","non-dropping-particle":"","parse-names":false,"suffix":""},{"dropping-particle":"","family":"Wuster","given":"Arthur","non-dropping-particle":"","parse-names":false,"suffix":""},{"dropping-particle":"","family":"Kapoor","given":"Manav","non-dropping-particle":"","parse-names":false,"suffix":""},{"dropping-particle":"","family":"Sun","given":"Yonglian","non-dropping-particle":"","parse-names":false,"suffix":""},{"dropping-particle":"","family":"Kapadia","given":"Sharookh B","non-dropping-particle":"","parse-names":false,"suffix":""},{"dropping-particle":"","family":"Gonzalez","given":"Lino","non-dropping-particle":"","parse-names":false,"suffix":""},{"dropping-particle":"","family":"Zarrin","given":"Ali A","non-dropping-particle":"","parse-names":false,"suffix":""},{"dropping-particle":"","family":"Goate","given":"Alison","non-dropping-particle":"","parse-names":false,"suffix":""},{"dropping-particle":"V","family":"Hansenid","given":"David","non-dropping-particle":"","parse-names":false,"suffix":""},{"dropping-particle":"","family":"Behrens","given":"Timothy W","non-dropping-particle":"","parse-names":false,"suffix":""},{"dropping-particle":"","family":"Grahamid","given":"Robert R","non-dropping-particle":"","parse-names":false,"suffix":""}],"id":"ITEM-1","issued":{"date-parts":[["2018"]]},"title":"Paired Immunoglobulin-like Type 2 Receptor Alpha G78R variant alters ligand binding and confers protection to Alzheimer's disease","type":"article-journal"},"uris":["http://www.mendeley.com/documents/?uuid=6e8c26a1-56fe-3aa1-ae52-7d226ab78940"]}],"mendeley":{"formattedCitation":"&lt;sup&gt;22&lt;/sup&gt;","plainTextFormattedCitation":"22","previouslyFormattedCitation":"&lt;sup&gt;22&lt;/sup&gt;"},"properties":{"noteIndex":0},"schema":"https://github.com/citation-style-language/schema/raw/master/csl-citation.json"}</w:instrText>
      </w:r>
      <w:r w:rsidR="00B10760" w:rsidRPr="00177CF7">
        <w:fldChar w:fldCharType="separate"/>
      </w:r>
      <w:r w:rsidR="00AB37AF" w:rsidRPr="00AB37AF">
        <w:rPr>
          <w:noProof/>
          <w:vertAlign w:val="superscript"/>
        </w:rPr>
        <w:t>22</w:t>
      </w:r>
      <w:r w:rsidR="00B10760" w:rsidRPr="00177CF7">
        <w:fldChar w:fldCharType="end"/>
      </w:r>
      <w:r w:rsidR="003D66A6" w:rsidRPr="00177CF7">
        <w:t>.</w:t>
      </w:r>
      <w:r w:rsidRPr="00177CF7">
        <w:t xml:space="preserve"> </w:t>
      </w:r>
      <w:r w:rsidR="005D5DE8" w:rsidRPr="00177CF7">
        <w:t xml:space="preserve">G78R </w:t>
      </w:r>
      <w:r w:rsidR="00665D75" w:rsidRPr="00177CF7">
        <w:t xml:space="preserve">is located in </w:t>
      </w:r>
      <w:r w:rsidR="00632180" w:rsidRPr="00177CF7">
        <w:t>the extracellular-</w:t>
      </w:r>
      <w:r w:rsidR="00FA4280" w:rsidRPr="00177CF7">
        <w:t>domain</w:t>
      </w:r>
      <w:r w:rsidR="00665D75" w:rsidRPr="00177CF7">
        <w:t xml:space="preserve"> common to all three forms of PILRA</w:t>
      </w:r>
      <w:r w:rsidR="00615452" w:rsidRPr="00177CF7">
        <w:fldChar w:fldCharType="begin" w:fldLock="1"/>
      </w:r>
      <w:r w:rsidR="007212AD">
        <w:instrText>ADDIN CSL_CITATION {"citationItems":[{"id":"ITEM-1","itemData":{"DOI":"10.4049/jimmunol.165.3.1197","ISSN":"0022-1767","PMID":"10903717","abstract":"In this study, we describe human FDF03, a novel member of the Ig superfamily expressed as a monomeric 44-kDa transmembrane glycoprotein and containing a single extracellular V-set Ig-like domain. Two potential secreted isoforms were also identified. The gene encoding FDF03 mapped to chromosome 7q22. FDF03 was mostly detected in hemopoietic tissues and was expressed by monocytes, macrophages, and granulocytes, but not by lymphocytes (B, T, and NK cells), indicating an expression restricted to cells of the myelomonocytic lineage. FDF03 was also strongly expressed by monocyte-derived dendritic cells (DC) and preferentially by CD14+/CD1a- DC derived from CD34+ progenitors. Moreover, flow cytometric analysis showed FDF03 expression by CD11c+ blood and tonsil DC, but not by CD11c- DC precursors. The FDF03 cytoplasmic tail contained two immunoreceptor tyrosine-based inhibitory motif (ITIM)-like sequences. When overexpressed in pervanadate- treated U937 cells, FDF03 was tyrosine-phosphorylated and recruited Src homology-2 (SH2) domain-containing protein tyrosine phosphatase (SHP)-2 and to a lesser extent SHP-1. Like engagement of the ITIM-bearing receptor LAIR- 1/p40, cross-linking of FDF03 inhibited calcium mobilization in response to CD32/FcγRII aggregation in transfected U937 cells, thus demonstrating that FDF03 can function as an inhibitory receptor. However, in contrast to LAIR- 1/p40, cross-linking of FDF03 did not inhibit GM-CSF-induced monocyte differentiation into DC. Thus, FDF03 is a novel ITIM-bearing receptor selectively expressed by cells of myeloid origin, including DC, that may regulate functions other than that of the broadly distributed LAIR-1/p40 molecule.","author":[{"dropping-particle":"","family":"Fournier","given":"Nathalie","non-dropping-particle":"","parse-names":false,"suffix":""},{"dropping-particle":"","family":"Chalus","given":"Lionel","non-dropping-particle":"","parse-names":false,"suffix":""},{"dropping-particle":"","family":"Durand","given":"Isabelle","non-dropping-particle":"","parse-names":false,"suffix":""},{"dropping-particle":"","family":"Garcia","given":"Eric","non-dropping-particle":"","parse-names":false,"suffix":""},{"dropping-particle":"","family":"Pin","given":"Jean-Jacques","non-dropping-particle":"","parse-names":false,"suffix":""},{"dropping-particle":"","family":"Churakova","given":"Tatyana","non-dropping-particle":"","parse-names":false,"suffix":""},{"dropping-particle":"","family":"Patel","given":"Segal","non-dropping-particle":"","parse-names":false,"suffix":""},{"dropping-particle":"","family":"Zlot","given":"Constance","non-dropping-particle":"","parse-names":false,"suffix":""},{"dropping-particle":"","family":"Gorman","given":"Dan","non-dropping-particle":"","parse-names":false,"suffix":""},{"dropping-particle":"","family":"Zurawski","given":"Sandra","non-dropping-particle":"","parse-names":false,"suffix":""},{"dropping-particle":"","family":"Abrams","given":"John","non-dropping-particle":"","parse-names":false,"suffix":""},{"dropping-particle":"","family":"Bates","given":"Elizabeth E. M.","non-dropping-particle":"","parse-names":false,"suffix":""},{"dropping-particle":"","family":"Garrone","given":"Pierre","non-dropping-particle":"","parse-names":false,"suffix":""}],"container-title":"The Journal of Immunology","id":"ITEM-1","issue":"3","issued":{"date-parts":[["2000"]]},"page":"1197-1209","title":"FDF03, a Novel Inhibitory Receptor of the Immunoglobulin Superfamily, Is Expressed by Human Dendritic and Myeloid Cells","type":"article-journal","volume":"165"},"uris":["http://www.mendeley.com/documents/?uuid=88fd3151-3095-4c29-85b3-e9dc26edcef9"]}],"mendeley":{"formattedCitation":"&lt;sup&gt;23&lt;/sup&gt;","plainTextFormattedCitation":"23","previouslyFormattedCitation":"&lt;sup&gt;23&lt;/sup&gt;"},"properties":{"noteIndex":0},"schema":"https://github.com/citation-style-language/schema/raw/master/csl-citation.json"}</w:instrText>
      </w:r>
      <w:r w:rsidR="00615452" w:rsidRPr="00177CF7">
        <w:fldChar w:fldCharType="separate"/>
      </w:r>
      <w:r w:rsidR="00AB37AF" w:rsidRPr="00AB37AF">
        <w:rPr>
          <w:noProof/>
          <w:vertAlign w:val="superscript"/>
        </w:rPr>
        <w:t>23</w:t>
      </w:r>
      <w:r w:rsidR="00615452" w:rsidRPr="00177CF7">
        <w:fldChar w:fldCharType="end"/>
      </w:r>
      <w:r w:rsidR="0071357B" w:rsidRPr="00177CF7">
        <w:t>. Therefore,</w:t>
      </w:r>
      <w:r w:rsidR="00665D75" w:rsidRPr="00177CF7">
        <w:t xml:space="preserve"> the </w:t>
      </w:r>
      <w:r w:rsidR="00901FE4" w:rsidRPr="00177CF7">
        <w:t>positive effect direction</w:t>
      </w:r>
      <w:r w:rsidR="00706895" w:rsidRPr="00177CF7">
        <w:t>s</w:t>
      </w:r>
      <w:r w:rsidR="00901FE4" w:rsidRPr="00177CF7">
        <w:t xml:space="preserve"> of the</w:t>
      </w:r>
      <w:r w:rsidR="0071357B" w:rsidRPr="00177CF7">
        <w:t xml:space="preserve"> </w:t>
      </w:r>
      <w:proofErr w:type="spellStart"/>
      <w:r w:rsidR="00901FE4" w:rsidRPr="00177CF7">
        <w:t>SOMAmer</w:t>
      </w:r>
      <w:proofErr w:type="spellEnd"/>
      <w:r w:rsidR="00C241B4" w:rsidRPr="00177CF7">
        <w:t xml:space="preserve"> reagents</w:t>
      </w:r>
      <w:r w:rsidR="004E0C77" w:rsidRPr="00177CF7">
        <w:t xml:space="preserve"> </w:t>
      </w:r>
      <w:r w:rsidR="003A1CD0" w:rsidRPr="00177CF7">
        <w:t xml:space="preserve">targeting </w:t>
      </w:r>
      <w:r w:rsidR="00706895" w:rsidRPr="00177CF7">
        <w:t xml:space="preserve">the </w:t>
      </w:r>
      <w:r w:rsidR="00393E9F" w:rsidRPr="00177CF7">
        <w:t xml:space="preserve">two </w:t>
      </w:r>
      <w:r w:rsidR="00377AE3" w:rsidRPr="00177CF7">
        <w:t>iso</w:t>
      </w:r>
      <w:r w:rsidR="003A1CD0" w:rsidRPr="00177CF7">
        <w:t>forms</w:t>
      </w:r>
      <w:r w:rsidR="00C241B4" w:rsidRPr="00177CF7">
        <w:t xml:space="preserve"> </w:t>
      </w:r>
      <w:r w:rsidR="003C54FB" w:rsidRPr="00177CF7">
        <w:t>in the absence of an association with</w:t>
      </w:r>
      <w:r w:rsidR="00B67633" w:rsidRPr="00177CF7">
        <w:t xml:space="preserve"> the canonical protein suggest</w:t>
      </w:r>
      <w:r w:rsidR="00B33C4C" w:rsidRPr="00177CF7">
        <w:t>s</w:t>
      </w:r>
      <w:r w:rsidR="008E7021" w:rsidRPr="00177CF7">
        <w:t xml:space="preserve"> </w:t>
      </w:r>
      <w:r w:rsidR="00393E9F" w:rsidRPr="00177CF7">
        <w:t xml:space="preserve">aptamer </w:t>
      </w:r>
      <w:r w:rsidR="008E7021" w:rsidRPr="00177CF7">
        <w:t xml:space="preserve">binding </w:t>
      </w:r>
      <w:r w:rsidR="00FE4281" w:rsidRPr="00177CF7">
        <w:t>affinity</w:t>
      </w:r>
      <w:r w:rsidR="00677998" w:rsidRPr="00177CF7">
        <w:t xml:space="preserve"> </w:t>
      </w:r>
      <w:r w:rsidR="00883A99" w:rsidRPr="00177CF7">
        <w:t xml:space="preserve">introduced by </w:t>
      </w:r>
      <w:r w:rsidR="007E650B" w:rsidRPr="00177CF7">
        <w:t>p.G78R</w:t>
      </w:r>
      <w:r w:rsidR="00BB0D69" w:rsidRPr="00177CF7">
        <w:t xml:space="preserve"> </w:t>
      </w:r>
      <w:r w:rsidR="00FE4281" w:rsidRPr="00177CF7">
        <w:t xml:space="preserve">being </w:t>
      </w:r>
      <w:r w:rsidR="00041536" w:rsidRPr="00177CF7">
        <w:t>restricted to</w:t>
      </w:r>
      <w:r w:rsidR="00FE4281" w:rsidRPr="00177CF7">
        <w:t xml:space="preserve"> the soluble isoform. </w:t>
      </w:r>
      <w:r w:rsidR="00D941B7" w:rsidRPr="00177CF7">
        <w:t>However, o</w:t>
      </w:r>
      <w:r w:rsidR="008A42E5" w:rsidRPr="00177CF7">
        <w:t xml:space="preserve">ur results cannot distinguish which isoform the </w:t>
      </w:r>
      <w:r w:rsidR="00041536" w:rsidRPr="00177CF7">
        <w:t>polyclonal</w:t>
      </w:r>
      <w:r w:rsidR="00044F39" w:rsidRPr="00177CF7">
        <w:t xml:space="preserve"> </w:t>
      </w:r>
      <w:proofErr w:type="spellStart"/>
      <w:r w:rsidR="00044F39" w:rsidRPr="00177CF7">
        <w:t>Olink</w:t>
      </w:r>
      <w:proofErr w:type="spellEnd"/>
      <w:r w:rsidR="00044F39" w:rsidRPr="00177CF7">
        <w:t xml:space="preserve"> </w:t>
      </w:r>
      <w:r w:rsidR="00041536" w:rsidRPr="00177CF7">
        <w:t xml:space="preserve">antibodies </w:t>
      </w:r>
      <w:r w:rsidR="008A42E5" w:rsidRPr="00177CF7">
        <w:t xml:space="preserve">target and whether the inverse association reflects </w:t>
      </w:r>
      <w:r w:rsidR="004560CC" w:rsidRPr="00177CF7">
        <w:t xml:space="preserve">reduced </w:t>
      </w:r>
      <w:r w:rsidR="008A42E5" w:rsidRPr="00177CF7">
        <w:t xml:space="preserve">binding </w:t>
      </w:r>
      <w:r w:rsidR="00331C94" w:rsidRPr="00177CF7">
        <w:t xml:space="preserve">affinity </w:t>
      </w:r>
      <w:r w:rsidR="00C919E3" w:rsidRPr="00177CF7">
        <w:t xml:space="preserve">to the variant protein </w:t>
      </w:r>
      <w:r w:rsidR="00161453" w:rsidRPr="00177CF7">
        <w:t>of at least some of them</w:t>
      </w:r>
      <w:r w:rsidR="00D66D94" w:rsidRPr="00177CF7">
        <w:t xml:space="preserve">. </w:t>
      </w:r>
      <w:r w:rsidRPr="00177CF7">
        <w:t xml:space="preserve">We identified similar examples with possible downstream consequences for phenotypic interpretation, including </w:t>
      </w:r>
      <w:r w:rsidR="00F81F3D" w:rsidRPr="00177CF7">
        <w:t>h</w:t>
      </w:r>
      <w:r w:rsidRPr="00177CF7">
        <w:t xml:space="preserve">epatoma-derived growth factor and </w:t>
      </w:r>
      <w:r w:rsidR="00C82268" w:rsidRPr="00177CF7">
        <w:t>hi</w:t>
      </w:r>
      <w:r w:rsidR="00984CF2" w:rsidRPr="00177CF7">
        <w:t xml:space="preserve">gh-density lipoprotein </w:t>
      </w:r>
      <w:r w:rsidRPr="00177CF7">
        <w:t xml:space="preserve">cholesterol </w:t>
      </w:r>
      <w:r w:rsidR="00C82268" w:rsidRPr="00177CF7">
        <w:t xml:space="preserve">concentrations </w:t>
      </w:r>
      <w:r w:rsidRPr="00177CF7">
        <w:t xml:space="preserve">or </w:t>
      </w:r>
      <w:r w:rsidR="00F81F3D" w:rsidRPr="00177CF7">
        <w:t>i</w:t>
      </w:r>
      <w:r w:rsidRPr="00177CF7">
        <w:t xml:space="preserve">ntracellular adhesion molecule 1 and </w:t>
      </w:r>
      <w:r w:rsidR="004C797E" w:rsidRPr="00177CF7">
        <w:t>lymphocyte</w:t>
      </w:r>
      <w:r w:rsidRPr="00177CF7">
        <w:t xml:space="preserve"> cell count (</w:t>
      </w:r>
      <w:r w:rsidR="00E743DF">
        <w:rPr>
          <w:b/>
        </w:rPr>
        <w:t>Supplementary Data 11</w:t>
      </w:r>
      <w:r w:rsidRPr="00177CF7">
        <w:t xml:space="preserve">). </w:t>
      </w:r>
    </w:p>
    <w:p w14:paraId="65D48883" w14:textId="3618C98A" w:rsidR="008773DE" w:rsidRPr="00177CF7" w:rsidRDefault="0041660D" w:rsidP="00541458">
      <w:pPr>
        <w:spacing w:line="360" w:lineRule="auto"/>
        <w:jc w:val="both"/>
        <w:rPr>
          <w:b/>
          <w:bCs/>
          <w:i/>
          <w:iCs/>
        </w:rPr>
      </w:pPr>
      <w:r w:rsidRPr="00177CF7">
        <w:rPr>
          <w:b/>
          <w:bCs/>
          <w:i/>
          <w:iCs/>
        </w:rPr>
        <w:t>A p</w:t>
      </w:r>
      <w:r w:rsidR="00EF1E39" w:rsidRPr="00177CF7">
        <w:rPr>
          <w:b/>
          <w:bCs/>
          <w:i/>
          <w:iCs/>
        </w:rPr>
        <w:t>heno</w:t>
      </w:r>
      <w:r w:rsidRPr="00177CF7">
        <w:rPr>
          <w:b/>
          <w:bCs/>
          <w:i/>
          <w:iCs/>
        </w:rPr>
        <w:t>t</w:t>
      </w:r>
      <w:r w:rsidR="00EF1E39" w:rsidRPr="00177CF7">
        <w:rPr>
          <w:b/>
          <w:bCs/>
          <w:i/>
          <w:iCs/>
        </w:rPr>
        <w:t>y</w:t>
      </w:r>
      <w:r w:rsidRPr="00177CF7">
        <w:rPr>
          <w:b/>
          <w:bCs/>
          <w:i/>
          <w:iCs/>
        </w:rPr>
        <w:t>p</w:t>
      </w:r>
      <w:r w:rsidR="00EF1E39" w:rsidRPr="00177CF7">
        <w:rPr>
          <w:b/>
          <w:bCs/>
          <w:i/>
          <w:iCs/>
        </w:rPr>
        <w:t>ic</w:t>
      </w:r>
      <w:r w:rsidR="003D7160" w:rsidRPr="00177CF7">
        <w:rPr>
          <w:b/>
          <w:bCs/>
          <w:i/>
          <w:iCs/>
        </w:rPr>
        <w:t>ally</w:t>
      </w:r>
      <w:r w:rsidR="00EF1E39" w:rsidRPr="00177CF7">
        <w:rPr>
          <w:b/>
          <w:bCs/>
          <w:i/>
          <w:iCs/>
        </w:rPr>
        <w:t xml:space="preserve"> </w:t>
      </w:r>
      <w:r w:rsidR="00850E9E" w:rsidRPr="00177CF7">
        <w:rPr>
          <w:b/>
          <w:bCs/>
          <w:i/>
          <w:iCs/>
        </w:rPr>
        <w:t xml:space="preserve">distinct </w:t>
      </w:r>
      <w:r w:rsidR="00EF1E39" w:rsidRPr="00177CF7">
        <w:rPr>
          <w:b/>
          <w:bCs/>
          <w:i/>
          <w:iCs/>
        </w:rPr>
        <w:t>role</w:t>
      </w:r>
      <w:r w:rsidR="006747AC" w:rsidRPr="00177CF7">
        <w:rPr>
          <w:b/>
          <w:bCs/>
          <w:i/>
          <w:iCs/>
        </w:rPr>
        <w:t xml:space="preserve"> of</w:t>
      </w:r>
      <w:r w:rsidR="00EF1E39" w:rsidRPr="00177CF7">
        <w:rPr>
          <w:b/>
          <w:bCs/>
          <w:i/>
          <w:iCs/>
        </w:rPr>
        <w:t xml:space="preserve"> </w:t>
      </w:r>
      <w:r w:rsidR="00B03AF0" w:rsidRPr="00177CF7">
        <w:rPr>
          <w:b/>
          <w:bCs/>
          <w:i/>
          <w:iCs/>
        </w:rPr>
        <w:t>cis-</w:t>
      </w:r>
      <w:proofErr w:type="spellStart"/>
      <w:r w:rsidR="00B03AF0" w:rsidRPr="00177CF7">
        <w:rPr>
          <w:b/>
          <w:bCs/>
          <w:i/>
          <w:iCs/>
        </w:rPr>
        <w:t>pQTLs</w:t>
      </w:r>
      <w:proofErr w:type="spellEnd"/>
      <w:r w:rsidR="00B03AF0" w:rsidRPr="00177CF7">
        <w:rPr>
          <w:b/>
          <w:bCs/>
          <w:i/>
          <w:iCs/>
        </w:rPr>
        <w:t xml:space="preserve"> </w:t>
      </w:r>
      <w:r w:rsidR="008F3A00" w:rsidRPr="00177CF7">
        <w:rPr>
          <w:b/>
          <w:bCs/>
          <w:i/>
          <w:iCs/>
        </w:rPr>
        <w:t>for</w:t>
      </w:r>
      <w:r w:rsidR="00EF1E39" w:rsidRPr="00177CF7">
        <w:rPr>
          <w:b/>
          <w:bCs/>
          <w:i/>
          <w:iCs/>
        </w:rPr>
        <w:t xml:space="preserve"> </w:t>
      </w:r>
      <w:r w:rsidR="007030BC" w:rsidRPr="00177CF7">
        <w:rPr>
          <w:b/>
          <w:bCs/>
          <w:i/>
          <w:iCs/>
        </w:rPr>
        <w:t>IL-7</w:t>
      </w:r>
      <w:r w:rsidR="00EF1E39" w:rsidRPr="00177CF7">
        <w:rPr>
          <w:b/>
          <w:bCs/>
          <w:i/>
          <w:iCs/>
        </w:rPr>
        <w:t xml:space="preserve"> rec</w:t>
      </w:r>
      <w:r w:rsidRPr="00177CF7">
        <w:rPr>
          <w:b/>
          <w:bCs/>
          <w:i/>
          <w:iCs/>
        </w:rPr>
        <w:t>eptor</w:t>
      </w:r>
      <w:r w:rsidR="00BD1C8E" w:rsidRPr="00177CF7">
        <w:rPr>
          <w:b/>
          <w:bCs/>
          <w:i/>
          <w:iCs/>
        </w:rPr>
        <w:t xml:space="preserve"> subunit alpha</w:t>
      </w:r>
      <w:r w:rsidR="001C1A46" w:rsidRPr="00177CF7">
        <w:rPr>
          <w:b/>
          <w:bCs/>
          <w:i/>
          <w:iCs/>
        </w:rPr>
        <w:t xml:space="preserve"> </w:t>
      </w:r>
    </w:p>
    <w:p w14:paraId="376ACC6F" w14:textId="057AF2F2" w:rsidR="00622CD0" w:rsidRPr="00177CF7" w:rsidRDefault="0041660D" w:rsidP="00982F19">
      <w:pPr>
        <w:spacing w:line="360" w:lineRule="auto"/>
        <w:jc w:val="both"/>
      </w:pPr>
      <w:r w:rsidRPr="00177CF7">
        <w:t xml:space="preserve">We observed a </w:t>
      </w:r>
      <w:r w:rsidR="00B73835" w:rsidRPr="00177CF7">
        <w:t>se</w:t>
      </w:r>
      <w:r w:rsidR="003208DF" w:rsidRPr="00177CF7">
        <w:t>gregation</w:t>
      </w:r>
      <w:r w:rsidR="00B73835" w:rsidRPr="00177CF7">
        <w:t xml:space="preserve"> </w:t>
      </w:r>
      <w:r w:rsidR="007E0B22" w:rsidRPr="00177CF7">
        <w:t xml:space="preserve">of phenotypes colocalising at the </w:t>
      </w:r>
      <w:r w:rsidR="007E0B22" w:rsidRPr="00177CF7">
        <w:rPr>
          <w:i/>
          <w:iCs/>
        </w:rPr>
        <w:t>IL7R</w:t>
      </w:r>
      <w:r w:rsidR="007E0B22" w:rsidRPr="00177CF7">
        <w:t xml:space="preserve"> locus depending on the protein assay used to identify </w:t>
      </w:r>
      <w:r w:rsidR="00B51B95" w:rsidRPr="00177CF7">
        <w:rPr>
          <w:i/>
          <w:iCs/>
        </w:rPr>
        <w:t>cis</w:t>
      </w:r>
      <w:r w:rsidR="00B51B95" w:rsidRPr="00177CF7">
        <w:t>-</w:t>
      </w:r>
      <w:proofErr w:type="spellStart"/>
      <w:r w:rsidR="00B51B95" w:rsidRPr="00177CF7">
        <w:t>pQTLs</w:t>
      </w:r>
      <w:proofErr w:type="spellEnd"/>
      <w:r w:rsidR="00B51B95" w:rsidRPr="00177CF7">
        <w:t xml:space="preserve"> for the IL-7 receptor</w:t>
      </w:r>
      <w:r w:rsidR="00F1734B" w:rsidRPr="00177CF7">
        <w:t xml:space="preserve"> subunit alpha</w:t>
      </w:r>
      <w:r w:rsidR="00620872" w:rsidRPr="00177CF7">
        <w:t xml:space="preserve"> (IL</w:t>
      </w:r>
      <w:r w:rsidR="006E1FC2" w:rsidRPr="00177CF7">
        <w:t>-</w:t>
      </w:r>
      <w:r w:rsidR="00620872" w:rsidRPr="00177CF7">
        <w:t>7Ra)</w:t>
      </w:r>
      <w:r w:rsidR="00B51B95" w:rsidRPr="00177CF7">
        <w:t xml:space="preserve"> (</w:t>
      </w:r>
      <w:r w:rsidR="00B51B95" w:rsidRPr="00177CF7">
        <w:rPr>
          <w:b/>
          <w:bCs/>
        </w:rPr>
        <w:t>Fig. 4</w:t>
      </w:r>
      <w:r w:rsidR="006C4611" w:rsidRPr="00177CF7">
        <w:rPr>
          <w:b/>
          <w:bCs/>
        </w:rPr>
        <w:t xml:space="preserve"> and Supplementary Fig. </w:t>
      </w:r>
      <w:r w:rsidR="00A9375E" w:rsidRPr="00177CF7">
        <w:rPr>
          <w:b/>
          <w:bCs/>
        </w:rPr>
        <w:t>8</w:t>
      </w:r>
      <w:r w:rsidR="00B51B95" w:rsidRPr="00177CF7">
        <w:t xml:space="preserve">). </w:t>
      </w:r>
      <w:r w:rsidR="00E152D0" w:rsidRPr="00177CF7">
        <w:t xml:space="preserve">The lead </w:t>
      </w:r>
      <w:r w:rsidR="00E152D0" w:rsidRPr="00177CF7">
        <w:rPr>
          <w:i/>
          <w:iCs/>
        </w:rPr>
        <w:t>cis</w:t>
      </w:r>
      <w:r w:rsidR="00E152D0" w:rsidRPr="00177CF7">
        <w:t>-</w:t>
      </w:r>
      <w:proofErr w:type="spellStart"/>
      <w:r w:rsidR="00E152D0" w:rsidRPr="00177CF7">
        <w:t>pQTL</w:t>
      </w:r>
      <w:proofErr w:type="spellEnd"/>
      <w:r w:rsidR="007D26C8" w:rsidRPr="00177CF7">
        <w:t xml:space="preserve"> </w:t>
      </w:r>
      <w:r w:rsidR="00520C04" w:rsidRPr="00177CF7">
        <w:t>rs6451229 (MAF=</w:t>
      </w:r>
      <w:r w:rsidR="00A049C2" w:rsidRPr="00177CF7">
        <w:t>40.1%</w:t>
      </w:r>
      <w:r w:rsidR="00520C04" w:rsidRPr="00177CF7">
        <w:t>)</w:t>
      </w:r>
      <w:r w:rsidR="007D26C8" w:rsidRPr="00177CF7">
        <w:t xml:space="preserve"> for the </w:t>
      </w:r>
      <w:proofErr w:type="spellStart"/>
      <w:r w:rsidR="007D26C8" w:rsidRPr="00177CF7">
        <w:t>SomaScan</w:t>
      </w:r>
      <w:proofErr w:type="spellEnd"/>
      <w:r w:rsidR="007D26C8" w:rsidRPr="00177CF7">
        <w:t xml:space="preserve"> assay colocalised</w:t>
      </w:r>
      <w:r w:rsidR="00A049C2" w:rsidRPr="00177CF7">
        <w:t xml:space="preserve"> with type 1 diabetes and </w:t>
      </w:r>
      <w:r w:rsidR="006B1EF9" w:rsidRPr="00177CF7">
        <w:t xml:space="preserve">treatment for hypothyroidism, whereas the lead </w:t>
      </w:r>
      <w:r w:rsidR="006B1EF9" w:rsidRPr="00177CF7">
        <w:rPr>
          <w:i/>
          <w:iCs/>
        </w:rPr>
        <w:t>cis</w:t>
      </w:r>
      <w:r w:rsidR="006B1EF9" w:rsidRPr="00177CF7">
        <w:t>-</w:t>
      </w:r>
      <w:proofErr w:type="spellStart"/>
      <w:r w:rsidR="006B1EF9" w:rsidRPr="00177CF7">
        <w:t>pQTL</w:t>
      </w:r>
      <w:proofErr w:type="spellEnd"/>
      <w:r w:rsidR="006B1EF9" w:rsidRPr="00177CF7">
        <w:t xml:space="preserve">, </w:t>
      </w:r>
      <w:r w:rsidR="00640883" w:rsidRPr="00177CF7">
        <w:t>rs11742270 (MAF=</w:t>
      </w:r>
      <w:r w:rsidR="00D37A32" w:rsidRPr="00177CF7">
        <w:t>26.8%</w:t>
      </w:r>
      <w:r w:rsidR="00640883" w:rsidRPr="00177CF7">
        <w:t>)</w:t>
      </w:r>
      <w:r w:rsidR="006B1EF9" w:rsidRPr="00177CF7">
        <w:t>,</w:t>
      </w:r>
      <w:r w:rsidR="00D37A32" w:rsidRPr="00177CF7">
        <w:t xml:space="preserve"> for the </w:t>
      </w:r>
      <w:proofErr w:type="spellStart"/>
      <w:r w:rsidR="00D37A32" w:rsidRPr="00177CF7">
        <w:t>Olink</w:t>
      </w:r>
      <w:proofErr w:type="spellEnd"/>
      <w:r w:rsidR="00D37A32" w:rsidRPr="00177CF7">
        <w:t xml:space="preserve"> assay coloc</w:t>
      </w:r>
      <w:r w:rsidR="002551A3" w:rsidRPr="00177CF7">
        <w:t xml:space="preserve">alised with </w:t>
      </w:r>
      <w:r w:rsidR="003208DF" w:rsidRPr="00177CF7">
        <w:t xml:space="preserve">multiple sclerosis, </w:t>
      </w:r>
      <w:r w:rsidR="002551A3" w:rsidRPr="00177CF7">
        <w:t xml:space="preserve">allergic disease, </w:t>
      </w:r>
      <w:r w:rsidR="00042F68" w:rsidRPr="00177CF7">
        <w:t xml:space="preserve">primary biliary cirrhosis, </w:t>
      </w:r>
      <w:r w:rsidR="005F6BBF" w:rsidRPr="00177CF7">
        <w:t>and basophil counts</w:t>
      </w:r>
      <w:r w:rsidR="005406D1" w:rsidRPr="00177CF7">
        <w:t xml:space="preserve"> (</w:t>
      </w:r>
      <w:r w:rsidR="00E743DF">
        <w:rPr>
          <w:b/>
          <w:bCs/>
        </w:rPr>
        <w:t>Supplementary Data 11</w:t>
      </w:r>
      <w:r w:rsidR="005406D1" w:rsidRPr="00177CF7">
        <w:t>)</w:t>
      </w:r>
      <w:r w:rsidR="00042F68" w:rsidRPr="00177CF7">
        <w:t>.</w:t>
      </w:r>
      <w:r w:rsidR="00575DD2" w:rsidRPr="00177CF7">
        <w:t xml:space="preserve"> Both variants are </w:t>
      </w:r>
      <w:r w:rsidR="009B49EF" w:rsidRPr="00177CF7">
        <w:t xml:space="preserve">only </w:t>
      </w:r>
      <w:r w:rsidR="00575DD2" w:rsidRPr="00177CF7">
        <w:t>in weak LD (</w:t>
      </w:r>
      <w:r w:rsidR="00D81A66" w:rsidRPr="00177CF7">
        <w:t>r</w:t>
      </w:r>
      <w:r w:rsidR="00575DD2" w:rsidRPr="00177CF7">
        <w:t>²=</w:t>
      </w:r>
      <w:r w:rsidR="00A67EDF" w:rsidRPr="00177CF7">
        <w:t>0.25</w:t>
      </w:r>
      <w:r w:rsidR="00575DD2" w:rsidRPr="00177CF7">
        <w:t>)</w:t>
      </w:r>
      <w:r w:rsidR="00A67EDF" w:rsidRPr="00177CF7">
        <w:t xml:space="preserve"> </w:t>
      </w:r>
      <w:r w:rsidR="009B49EF" w:rsidRPr="00177CF7">
        <w:t>and</w:t>
      </w:r>
      <w:r w:rsidR="009739D0" w:rsidRPr="00177CF7">
        <w:t xml:space="preserve"> the phenotypic divergence </w:t>
      </w:r>
      <w:r w:rsidR="001D7FC9" w:rsidRPr="00177CF7">
        <w:t xml:space="preserve">further </w:t>
      </w:r>
      <w:r w:rsidR="009739D0" w:rsidRPr="00177CF7">
        <w:t xml:space="preserve">supports two distinct signals. </w:t>
      </w:r>
      <w:r w:rsidR="00F87EF7" w:rsidRPr="00177CF7">
        <w:t xml:space="preserve">The lead variant for </w:t>
      </w:r>
      <w:proofErr w:type="spellStart"/>
      <w:r w:rsidR="00F87EF7" w:rsidRPr="00177CF7">
        <w:t>Olink</w:t>
      </w:r>
      <w:proofErr w:type="spellEnd"/>
      <w:r w:rsidR="00F87EF7" w:rsidRPr="00177CF7">
        <w:t xml:space="preserve"> is in perfect LD with a </w:t>
      </w:r>
      <w:r w:rsidR="000752B7" w:rsidRPr="00177CF7">
        <w:t xml:space="preserve">well-known </w:t>
      </w:r>
      <w:r w:rsidR="00F87EF7" w:rsidRPr="00177CF7">
        <w:t xml:space="preserve">splice </w:t>
      </w:r>
      <w:r w:rsidR="004F0CB1" w:rsidRPr="00177CF7">
        <w:t xml:space="preserve">variant (rs6897932, </w:t>
      </w:r>
      <w:r w:rsidR="00D81A66" w:rsidRPr="00177CF7">
        <w:t>r</w:t>
      </w:r>
      <w:r w:rsidR="004F0CB1" w:rsidRPr="00177CF7">
        <w:t xml:space="preserve">²=1) previously shown to </w:t>
      </w:r>
      <w:r w:rsidR="001E2748" w:rsidRPr="00177CF7">
        <w:t>mediate increased risk for</w:t>
      </w:r>
      <w:r w:rsidR="004F0CB1" w:rsidRPr="00177CF7">
        <w:t xml:space="preserve"> multiple sclerosis</w:t>
      </w:r>
      <w:r w:rsidR="001E2748" w:rsidRPr="00177CF7">
        <w:t xml:space="preserve"> by </w:t>
      </w:r>
      <w:r w:rsidR="00A247FD" w:rsidRPr="00177CF7">
        <w:t>skipping of exon 6</w:t>
      </w:r>
      <w:r w:rsidR="00FE483C" w:rsidRPr="00177CF7">
        <w:t xml:space="preserve"> and</w:t>
      </w:r>
      <w:r w:rsidR="00A247FD" w:rsidRPr="00177CF7">
        <w:t xml:space="preserve"> </w:t>
      </w:r>
      <w:r w:rsidR="00620872" w:rsidRPr="00177CF7">
        <w:t xml:space="preserve">creating a </w:t>
      </w:r>
      <w:r w:rsidR="004F3AA1" w:rsidRPr="00177CF7">
        <w:t xml:space="preserve">higher amount of </w:t>
      </w:r>
      <w:r w:rsidR="00620872" w:rsidRPr="00177CF7">
        <w:t>soluble IL</w:t>
      </w:r>
      <w:r w:rsidR="0066401A" w:rsidRPr="00177CF7">
        <w:t>-</w:t>
      </w:r>
      <w:r w:rsidR="00620872" w:rsidRPr="00177CF7">
        <w:t>7Ra</w:t>
      </w:r>
      <w:r w:rsidR="001F328F" w:rsidRPr="00177CF7">
        <w:fldChar w:fldCharType="begin" w:fldLock="1"/>
      </w:r>
      <w:r w:rsidR="007212AD">
        <w:instrText>ADDIN CSL_CITATION {"citationItems":[{"id":"ITEM-1","itemData":{"DOI":"10.1038/ng2103","ISSN":"1061-4036","PMID":"17660817","abstract":"Multiple sclerosis is a demyelinating neurodegenerative disease with a strong genetic component. Previous genetic risk studies have failed to identify consistently linked regions or genes outside of the major histocompatibility complex on chromosome 6p. We describe allelic association of a polymorphism in the gene encoding the interleukin 7 receptor alpha chain (IL7R) as a significant risk factor for multiple sclerosis in four independent family-based or case-control data sets (overall P = 2.9 x 10(-7)). Further, the likely causal SNP, rs6897932, located within the alternatively spliced exon 6 of IL7R, has a functional effect on gene expression. The SNP influences the amount of soluble and membrane-bound isoforms of the protein by putatively disrupting an exonic splicing silencer.","author":[{"dropping-particle":"","family":"Gregory","given":"Simon G","non-dropping-particle":"","parse-names":false,"suffix":""},{"dropping-particle":"","family":"Schmidt","given":"Silke","non-dropping-particle":"","parse-names":false,"suffix":""},{"dropping-particle":"","family":"Seth","given":"Puneet","non-dropping-particle":"","parse-names":false,"suffix":""},{"dropping-particle":"","family":"Oksenberg","given":"Jorge R","non-dropping-particle":"","parse-names":false,"suffix":""},{"dropping-particle":"","family":"Hart","given":"John","non-dropping-particle":"","parse-names":false,"suffix":""},{"dropping-particle":"","family":"Prokop","given":"Angela","non-dropping-particle":"","parse-names":false,"suffix":""},{"dropping-particle":"","family":"Caillier","given":"Stacy J","non-dropping-particle":"","parse-names":false,"suffix":""},{"dropping-particle":"","family":"Ban","given":"Maria","non-dropping-particle":"","parse-names":false,"suffix":""},{"dropping-particle":"","family":"Goris","given":"An","non-dropping-particle":"","parse-names":false,"suffix":""},{"dropping-particle":"","family":"Barcellos","given":"Lisa F","non-dropping-particle":"","parse-names":false,"suffix":""},{"dropping-particle":"","family":"Lincoln","given":"Robin","non-dropping-particle":"","parse-names":false,"suffix":""},{"dropping-particle":"","family":"McCauley","given":"Jacob L","non-dropping-particle":"","parse-names":false,"suffix":""},{"dropping-particle":"","family":"Sawcer","given":"Stephen J","non-dropping-particle":"","parse-names":false,"suffix":""},{"dropping-particle":"","family":"Compston","given":"D A S","non-dropping-particle":"","parse-names":false,"suffix":""},{"dropping-particle":"","family":"Dubois","given":"Benedicte","non-dropping-particle":"","parse-names":false,"suffix":""},{"dropping-particle":"","family":"Hauser","given":"Stephen L","non-dropping-particle":"","parse-names":false,"suffix":""},{"dropping-particle":"","family":"Garcia-Blanco","given":"Mariano A","non-dropping-particle":"","parse-names":false,"suffix":""},{"dropping-particle":"","family":"Pericak-Vance","given":"Margaret A","non-dropping-particle":"","parse-names":false,"suffix":""},{"dropping-particle":"","family":"Haines","given":"Jonathan L","non-dropping-particle":"","parse-names":false,"suffix":""},{"dropping-particle":"","family":"Multiple Sclerosis Genetics Group","given":"","non-dropping-particle":"","parse-names":false,"suffix":""}],"container-title":"Nature genetics","id":"ITEM-1","issue":"9","issued":{"date-parts":[["2007","9"]]},"page":"1083-91","title":"Interleukin 7 receptor alpha chain (IL7R) shows allelic and functional association with multiple sclerosis.","type":"article-journal","volume":"39"},"uris":["http://www.mendeley.com/documents/?uuid=9cb40327-a3ee-306c-89b7-2604bc3aeec3"]}],"mendeley":{"formattedCitation":"&lt;sup&gt;24&lt;/sup&gt;","plainTextFormattedCitation":"24","previouslyFormattedCitation":"&lt;sup&gt;24&lt;/sup&gt;"},"properties":{"noteIndex":0},"schema":"https://github.com/citation-style-language/schema/raw/master/csl-citation.json"}</w:instrText>
      </w:r>
      <w:r w:rsidR="001F328F" w:rsidRPr="00177CF7">
        <w:fldChar w:fldCharType="separate"/>
      </w:r>
      <w:r w:rsidR="00AB37AF" w:rsidRPr="00AB37AF">
        <w:rPr>
          <w:noProof/>
          <w:vertAlign w:val="superscript"/>
        </w:rPr>
        <w:t>24</w:t>
      </w:r>
      <w:r w:rsidR="001F328F" w:rsidRPr="00177CF7">
        <w:fldChar w:fldCharType="end"/>
      </w:r>
      <w:r w:rsidR="009242D0" w:rsidRPr="00177CF7">
        <w:t xml:space="preserve"> and </w:t>
      </w:r>
      <w:r w:rsidR="000F0E96" w:rsidRPr="00177CF7">
        <w:t xml:space="preserve">has </w:t>
      </w:r>
      <w:r w:rsidR="009242D0" w:rsidRPr="00177CF7">
        <w:t xml:space="preserve">since been identified </w:t>
      </w:r>
      <w:r w:rsidR="00872925" w:rsidRPr="00177CF7">
        <w:t>for various immune-related diseases</w:t>
      </w:r>
      <w:r w:rsidR="001D5869" w:rsidRPr="00177CF7">
        <w:fldChar w:fldCharType="begin" w:fldLock="1"/>
      </w:r>
      <w:r w:rsidR="007212AD">
        <w:instrText>ADDIN CSL_CITATION {"citationItems":[{"id":"ITEM-1","itemData":{"DOI":"10.1038/s41435-019-0091-y","ISSN":"1476-5470","PMID":"31929513","abstract":"Interleukin-7 receptor α chain (IL-7Rα) single nucleotide polymorphisms (SNPs) are associated with susceptibility to immunopathologies like autoimmune and inflammatory diseases. The current hypothesis about underlying mechanisms is based on the regulation of IL-7 availability for self-reactive T cells by influencing the generation of a soluble (s)IL-7Rα variant. This assumption was mainly predicated on the well-defined IL7RA SNP rs6897932, which affects alternative splicing and causes aberrant generation of the sIL-7Rα variant with potential effects on the IL-7 serum reservoir. However, more recent studies shed light on novel functions of autoimmunity risk-associated IL7RA SNPs and characterized the largely neglected effect of rs6897932 on membrane (m)IL-7Rα expression. These findings as well as a described role of impaired mIL-7Rα expression and IL7RA SNP influence on chronic infectious diseases necessitates the reevaluation of previous findings on the role of IL7RA SNPs in immunopathology.","author":[{"dropping-particle":"","family":"Lundtoft","given":"Christian","non-dropping-particle":"","parse-names":false,"suffix":""},{"dropping-particle":"","family":"Seyfarth","given":"Julia","non-dropping-particle":"","parse-names":false,"suffix":""},{"dropping-particle":"","family":"Jacobsen","given":"Marc","non-dropping-particle":"","parse-names":false,"suffix":""}],"container-title":"Genes and immunity","id":"ITEM-1","issue":"2","issued":{"date-parts":[["2020"]]},"page":"83-90","title":"IL7RA genetic variants differentially affect IL-7Rα expression and alternative splicing: a role in autoimmune and infectious diseases?","type":"article-journal","volume":"21"},"uris":["http://www.mendeley.com/documents/?uuid=24079b98-96ac-3fac-960e-f849d7686cad"]}],"mendeley":{"formattedCitation":"&lt;sup&gt;25&lt;/sup&gt;","plainTextFormattedCitation":"25","previouslyFormattedCitation":"&lt;sup&gt;25&lt;/sup&gt;"},"properties":{"noteIndex":0},"schema":"https://github.com/citation-style-language/schema/raw/master/csl-citation.json"}</w:instrText>
      </w:r>
      <w:r w:rsidR="001D5869" w:rsidRPr="00177CF7">
        <w:fldChar w:fldCharType="separate"/>
      </w:r>
      <w:r w:rsidR="00AB37AF" w:rsidRPr="00AB37AF">
        <w:rPr>
          <w:noProof/>
          <w:vertAlign w:val="superscript"/>
        </w:rPr>
        <w:t>25</w:t>
      </w:r>
      <w:r w:rsidR="001D5869" w:rsidRPr="00177CF7">
        <w:fldChar w:fldCharType="end"/>
      </w:r>
      <w:r w:rsidR="009D0B39" w:rsidRPr="00177CF7">
        <w:t xml:space="preserve">. </w:t>
      </w:r>
      <w:r w:rsidR="007173CA" w:rsidRPr="00177CF7">
        <w:t>A higher fraction of soluble</w:t>
      </w:r>
      <w:r w:rsidR="004E2D98" w:rsidRPr="00177CF7">
        <w:t xml:space="preserve">, </w:t>
      </w:r>
      <w:r w:rsidR="00CB2828" w:rsidRPr="00177CF7">
        <w:t>that is</w:t>
      </w:r>
      <w:r w:rsidR="004E2D98" w:rsidRPr="00177CF7">
        <w:t>, circulating,</w:t>
      </w:r>
      <w:r w:rsidR="007173CA" w:rsidRPr="00177CF7">
        <w:t xml:space="preserve"> </w:t>
      </w:r>
      <w:r w:rsidR="002B7C8D" w:rsidRPr="00177CF7">
        <w:t>IL-7</w:t>
      </w:r>
      <w:r w:rsidR="00E62546" w:rsidRPr="00177CF7">
        <w:t>R</w:t>
      </w:r>
      <w:r w:rsidR="009366CE" w:rsidRPr="00177CF7">
        <w:t>a</w:t>
      </w:r>
      <w:r w:rsidR="004E2D98" w:rsidRPr="00177CF7">
        <w:t xml:space="preserve"> might explain the positive association</w:t>
      </w:r>
      <w:r w:rsidR="00AA257B" w:rsidRPr="00177CF7">
        <w:t xml:space="preserve"> of the same genetic variant with IL-7Ra as measured by </w:t>
      </w:r>
      <w:proofErr w:type="spellStart"/>
      <w:r w:rsidR="00AA257B" w:rsidRPr="00177CF7">
        <w:t>Olink</w:t>
      </w:r>
      <w:proofErr w:type="spellEnd"/>
      <w:r w:rsidR="007E0D51" w:rsidRPr="00177CF7">
        <w:t xml:space="preserve">. </w:t>
      </w:r>
      <w:r w:rsidR="00D72F46" w:rsidRPr="00177CF7">
        <w:t>Soluble</w:t>
      </w:r>
      <w:r w:rsidR="00285C8F" w:rsidRPr="00177CF7">
        <w:t xml:space="preserve"> IL-7Ra </w:t>
      </w:r>
      <w:r w:rsidR="00D72F46" w:rsidRPr="00177CF7">
        <w:t>has been suggested as active IL-7 reservoir</w:t>
      </w:r>
      <w:r w:rsidR="00186F1C" w:rsidRPr="00177CF7">
        <w:t>,</w:t>
      </w:r>
      <w:r w:rsidR="00D72F46" w:rsidRPr="00177CF7">
        <w:t xml:space="preserve"> </w:t>
      </w:r>
      <w:r w:rsidR="00AD3208" w:rsidRPr="00177CF7">
        <w:t xml:space="preserve">including an increased risk for the generation of IL-7-dependent </w:t>
      </w:r>
      <w:r w:rsidR="0065609E" w:rsidRPr="00177CF7">
        <w:t>self-reactive T cells in autoimmunity</w:t>
      </w:r>
      <w:r w:rsidR="00186F1C" w:rsidRPr="00177CF7">
        <w:fldChar w:fldCharType="begin" w:fldLock="1"/>
      </w:r>
      <w:r w:rsidR="007212AD">
        <w:instrText>ADDIN CSL_CITATION {"citationItems":[{"id":"ITEM-1","itemData":{"DOI":"10.1038/s41435-019-0091-y","ISSN":"1476-5470","PMID":"31929513","abstract":"Interleukin-7 receptor α chain (IL-7Rα) single nucleotide polymorphisms (SNPs) are associated with susceptibility to immunopathologies like autoimmune and inflammatory diseases. The current hypothesis about underlying mechanisms is based on the regulation of IL-7 availability for self-reactive T cells by influencing the generation of a soluble (s)IL-7Rα variant. This assumption was mainly predicated on the well-defined IL7RA SNP rs6897932, which affects alternative splicing and causes aberrant generation of the sIL-7Rα variant with potential effects on the IL-7 serum reservoir. However, more recent studies shed light on novel functions of autoimmunity risk-associated IL7RA SNPs and characterized the largely neglected effect of rs6897932 on membrane (m)IL-7Rα expression. These findings as well as a described role of impaired mIL-7Rα expression and IL7RA SNP influence on chronic infectious diseases necessitates the reevaluation of previous findings on the role of IL7RA SNPs in immunopathology.","author":[{"dropping-particle":"","family":"Lundtoft","given":"Christian","non-dropping-particle":"","parse-names":false,"suffix":""},{"dropping-particle":"","family":"Seyfarth","given":"Julia","non-dropping-particle":"","parse-names":false,"suffix":""},{"dropping-particle":"","family":"Jacobsen","given":"Marc","non-dropping-particle":"","parse-names":false,"suffix":""}],"container-title":"Genes and immunity","id":"ITEM-1","issue":"2","issued":{"date-parts":[["2020"]]},"page":"83-90","title":"IL7RA genetic variants differentially affect IL-7Rα expression and alternative splicing: a role in autoimmune and infectious diseases?","type":"article-journal","volume":"21"},"uris":["http://www.mendeley.com/documents/?uuid=24079b98-96ac-3fac-960e-f849d7686cad"]}],"mendeley":{"formattedCitation":"&lt;sup&gt;25&lt;/sup&gt;","plainTextFormattedCitation":"25","previouslyFormattedCitation":"&lt;sup&gt;25&lt;/sup&gt;"},"properties":{"noteIndex":0},"schema":"https://github.com/citation-style-language/schema/raw/master/csl-citation.json"}</w:instrText>
      </w:r>
      <w:r w:rsidR="00186F1C" w:rsidRPr="00177CF7">
        <w:fldChar w:fldCharType="separate"/>
      </w:r>
      <w:r w:rsidR="00AB37AF" w:rsidRPr="00AB37AF">
        <w:rPr>
          <w:noProof/>
          <w:vertAlign w:val="superscript"/>
        </w:rPr>
        <w:t>25</w:t>
      </w:r>
      <w:r w:rsidR="00186F1C" w:rsidRPr="00177CF7">
        <w:fldChar w:fldCharType="end"/>
      </w:r>
      <w:r w:rsidR="0065609E" w:rsidRPr="00177CF7">
        <w:t>.</w:t>
      </w:r>
      <w:r w:rsidR="005C68E2" w:rsidRPr="00177CF7">
        <w:t xml:space="preserve"> With respect to the lead </w:t>
      </w:r>
      <w:r w:rsidR="005C68E2" w:rsidRPr="00177CF7">
        <w:rPr>
          <w:i/>
          <w:iCs/>
        </w:rPr>
        <w:t>cis</w:t>
      </w:r>
      <w:r w:rsidR="005C68E2" w:rsidRPr="00177CF7">
        <w:t>-</w:t>
      </w:r>
      <w:proofErr w:type="spellStart"/>
      <w:r w:rsidR="005C68E2" w:rsidRPr="00177CF7">
        <w:t>pQTL</w:t>
      </w:r>
      <w:proofErr w:type="spellEnd"/>
      <w:r w:rsidR="005C68E2" w:rsidRPr="00177CF7">
        <w:t xml:space="preserve"> for </w:t>
      </w:r>
      <w:proofErr w:type="spellStart"/>
      <w:r w:rsidR="005C68E2" w:rsidRPr="00177CF7">
        <w:t>SomaScan</w:t>
      </w:r>
      <w:proofErr w:type="spellEnd"/>
      <w:r w:rsidR="007355B8" w:rsidRPr="00177CF7">
        <w:t>,</w:t>
      </w:r>
      <w:r w:rsidR="005C68E2" w:rsidRPr="00177CF7">
        <w:t xml:space="preserve"> our </w:t>
      </w:r>
      <w:r w:rsidR="005B7BCA" w:rsidRPr="00177CF7">
        <w:t xml:space="preserve">finding </w:t>
      </w:r>
      <w:r w:rsidR="00603FA8" w:rsidRPr="00177CF7">
        <w:t xml:space="preserve">supports </w:t>
      </w:r>
      <w:r w:rsidR="00603FA8" w:rsidRPr="00177CF7">
        <w:rPr>
          <w:i/>
          <w:iCs/>
        </w:rPr>
        <w:t>IL7R</w:t>
      </w:r>
      <w:r w:rsidR="00603FA8" w:rsidRPr="00177CF7">
        <w:t xml:space="preserve"> as a likely causal gene at an established type 1 diabetes </w:t>
      </w:r>
      <w:r w:rsidR="00603FA8" w:rsidRPr="00177CF7">
        <w:lastRenderedPageBreak/>
        <w:t>locus</w:t>
      </w:r>
      <w:r w:rsidR="00603FA8" w:rsidRPr="00177CF7">
        <w:fldChar w:fldCharType="begin" w:fldLock="1"/>
      </w:r>
      <w:r w:rsidR="007212AD">
        <w:instrText>ADDIN CSL_CITATION {"citationItems":[{"id":"ITEM-1","itemData":{"DOI":"10.1038/ng.3245","ISSN":"1546-1718","PMID":"25751624","abstract":"Genetic studies of type 1 diabetes (T1D) have identified 50 susceptibility regions, finding major pathways contributing to risk, with some loci shared across immune disorders. To make genetic comparisons across autoimmune disorders as informative as possible, a dense genotyping array, the Immunochip, was developed, from which we identified four new T1D-associated regions (P &lt; 5 × 10(-8)). A comparative analysis with 15 immune diseases showed that T1D is more similar genetically to other autoantibody-positive diseases, significantly most similar to juvenile idiopathic arthritis and significantly least similar to ulcerative colitis, and provided support for three additional new T1D risk loci. Using a Bayesian approach, we defined credible sets for the T1D-associated SNPs. The associated SNPs localized to enhancer sequences active in thymus, T and B cells, and CD34(+) stem cells. Enhancer-promoter interactions can now be analyzed in these cell types to identify which particular genes and regulatory sequences are causal.","author":[{"dropping-particle":"","family":"Onengut-Gumuscu","given":"Suna","non-dropping-particle":"","parse-names":false,"suffix":""},{"dropping-particle":"","family":"Chen","given":"Wei-Min","non-dropping-particle":"","parse-names":false,"suffix":""},{"dropping-particle":"","family":"Burren","given":"Oliver","non-dropping-particle":"","parse-names":false,"suffix":""},{"dropping-particle":"","family":"Cooper","given":"Nick J","non-dropping-particle":"","parse-names":false,"suffix":""},{"dropping-particle":"","family":"Quinlan","given":"Aaron R","non-dropping-particle":"","parse-names":false,"suffix":""},{"dropping-particle":"","family":"Mychaleckyj","given":"Josyf C","non-dropping-particle":"","parse-names":false,"suffix":""},{"dropping-particle":"","family":"Farber","given":"Emily","non-dropping-particle":"","parse-names":false,"suffix":""},{"dropping-particle":"","family":"Bonnie","given":"Jessica K","non-dropping-particle":"","parse-names":false,"suffix":""},{"dropping-particle":"","family":"Szpak","given":"Michal","non-dropping-particle":"","parse-names":false,"suffix":""},{"dropping-particle":"","family":"Schofield","given":"Ellen","non-dropping-particle":"","parse-names":false,"suffix":""},{"dropping-particle":"","family":"Achuthan","given":"Premanand","non-dropping-particle":"","parse-names":false,"suffix":""},{"dropping-particle":"","family":"Guo","given":"Hui","non-dropping-particle":"","parse-names":false,"suffix":""},{"dropping-particle":"","family":"Fortune","given":"Mary D","non-dropping-particle":"","parse-names":false,"suffix":""},{"dropping-particle":"","family":"Stevens","given":"Helen","non-dropping-particle":"","parse-names":false,"suffix":""},{"dropping-particle":"","family":"Walker","given":"Neil M","non-dropping-particle":"","parse-names":false,"suffix":""},{"dropping-particle":"","family":"Ward","given":"Lucas D","non-dropping-particle":"","parse-names":false,"suffix":""},{"dropping-particle":"","family":"Kundaje","given":"Anshul","non-dropping-particle":"","parse-names":false,"suffix":""},{"dropping-particle":"","family":"Kellis","given":"Manolis","non-dropping-particle":"","parse-names":false,"suffix":""},{"dropping-particle":"","family":"Daly","given":"Mark J","non-dropping-particle":"","parse-names":false,"suffix":""},{"dropping-particle":"","family":"Barrett","given":"Jeffrey C","non-dropping-particle":"","parse-names":false,"suffix":""},{"dropping-particle":"","family":"Cooper","given":"Jason D","non-dropping-particle":"","parse-names":false,"suffix":""},{"dropping-particle":"","family":"Deloukas","given":"Panos","non-dropping-particle":"","parse-names":false,"suffix":""},{"dropping-particle":"","family":"Type 1 Diabetes Genetics Consortium","given":"","non-dropping-particle":"","parse-names":false,"suffix":""},{"dropping-particle":"","family":"Todd","given":"John A","non-dropping-particle":"","parse-names":false,"suffix":""},{"dropping-particle":"","family":"Wallace","given":"Chris","non-dropping-particle":"","parse-names":false,"suffix":""},{"dropping-particle":"","family":"Concannon","given":"Patrick","non-dropping-particle":"","parse-names":false,"suffix":""},{"dropping-particle":"","family":"Rich","given":"Stephen S","non-dropping-particle":"","parse-names":false,"suffix":""}],"container-title":"Nature genetics","id":"ITEM-1","issue":"4","issued":{"date-parts":[["2015","4"]]},"page":"381-6","title":"Fine mapping of type 1 diabetes susceptibility loci and evidence for colocalization of causal variants with lymphoid gene enhancers.","type":"article-journal","volume":"47"},"uris":["http://www.mendeley.com/documents/?uuid=1c04ad8a-b400-388f-85d1-b2c11efa21e8"]}],"mendeley":{"formattedCitation":"&lt;sup&gt;26&lt;/sup&gt;","plainTextFormattedCitation":"26","previouslyFormattedCitation":"&lt;sup&gt;26&lt;/sup&gt;"},"properties":{"noteIndex":0},"schema":"https://github.com/citation-style-language/schema/raw/master/csl-citation.json"}</w:instrText>
      </w:r>
      <w:r w:rsidR="00603FA8" w:rsidRPr="00177CF7">
        <w:fldChar w:fldCharType="separate"/>
      </w:r>
      <w:r w:rsidR="00AB37AF" w:rsidRPr="00AB37AF">
        <w:rPr>
          <w:noProof/>
          <w:vertAlign w:val="superscript"/>
        </w:rPr>
        <w:t>26</w:t>
      </w:r>
      <w:r w:rsidR="00603FA8" w:rsidRPr="00177CF7">
        <w:fldChar w:fldCharType="end"/>
      </w:r>
      <w:r w:rsidR="0056304D" w:rsidRPr="00177CF7">
        <w:t xml:space="preserve">. </w:t>
      </w:r>
      <w:r w:rsidR="00451659" w:rsidRPr="00177CF7">
        <w:t>M</w:t>
      </w:r>
      <w:r w:rsidR="00D03AAF" w:rsidRPr="00177CF7">
        <w:t>ore recent work</w:t>
      </w:r>
      <w:r w:rsidR="009F7D2E" w:rsidRPr="00177CF7">
        <w:t>, however,</w:t>
      </w:r>
      <w:r w:rsidR="00D03AAF" w:rsidRPr="00177CF7">
        <w:t xml:space="preserve"> </w:t>
      </w:r>
      <w:r w:rsidR="007B5E01" w:rsidRPr="00177CF7">
        <w:t xml:space="preserve">identified two distinct </w:t>
      </w:r>
      <w:r w:rsidR="00BD7F03" w:rsidRPr="00177CF7">
        <w:t>variants (rs2303137</w:t>
      </w:r>
      <w:r w:rsidR="00BD7F03" w:rsidRPr="00177CF7">
        <w:fldChar w:fldCharType="begin" w:fldLock="1"/>
      </w:r>
      <w:r w:rsidR="007212AD">
        <w:instrText>ADDIN CSL_CITATION {"citationItems":[{"id":"ITEM-1","itemData":{"DOI":"10.1038/s41586-021-03552-w","ISSN":"1476-4687","PMID":"34012112","abstract":"Genetic risk variants that have been identified in genome-wide association studies of complex diseases are primarily non-coding1. Translating these risk variants into mechanistic insights requires detailed maps of gene regulation in disease-relevant cell types2. Here we combined two approaches: a genome-wide association study of type 1 diabetes (T1D) using 520,580 samples, and the identification of candidate cis-regulatory elements (cCREs) in pancreas and peripheral blood mononuclear cells using single-nucleus assay for transposase-accessible chromatin with sequencing (snATAC-seq) of 131,554 nuclei. Risk variants for T1D were enriched in cCREs that were active in T cells and other cell types, including acinar and ductal cells of the exocrine pancreas. Risk variants at multiple T1D signals overlapped with exocrine-specific cCREs that were linked to genes with exocrine-specific expression. At the CFTR locus, the T1D risk variant rs7795896 mapped to a ductal-specific cCRE that regulated CFTR; the risk allele reduced transcription factor binding, enhancer activity and CFTR expression in ductal cells. These findings support a role for the exocrine pancreas in the pathogenesis of T1D and highlight the power of large-scale genome-wide association studies and single-cell epigenomics for understanding the cellular origins of complex disease.","author":[{"dropping-particle":"","family":"Chiou","given":"Joshua","non-dropping-particle":"","parse-names":false,"suffix":""},{"dropping-particle":"","family":"Geusz","given":"Ryan J","non-dropping-particle":"","parse-names":false,"suffix":""},{"dropping-particle":"","family":"Okino","given":"Mei-Lin","non-dropping-particle":"","parse-names":false,"suffix":""},{"dropping-particle":"","family":"Han","given":"Jee Yun","non-dropping-particle":"","parse-names":false,"suffix":""},{"dropping-particle":"","family":"Miller","given":"Michael","non-dropping-particle":"","parse-names":false,"suffix":""},{"dropping-particle":"","family":"Melton","given":"Rebecca","non-dropping-particle":"","parse-names":false,"suffix":""},{"dropping-particle":"","family":"Beebe","given":"Elisha","non-dropping-particle":"","parse-names":false,"suffix":""},{"dropping-particle":"","family":"Benaglio","given":"Paola","non-dropping-particle":"","parse-names":false,"suffix":""},{"dropping-particle":"","family":"Huang","given":"Serina","non-dropping-particle":"","parse-names":false,"suffix":""},{"dropping-particle":"","family":"Korgaonkar","given":"Katha","non-dropping-particle":"","parse-names":false,"suffix":""},{"dropping-particle":"","family":"Heller","given":"Sandra","non-dropping-particle":"","parse-names":false,"suffix":""},{"dropping-particle":"","family":"Kleger","given":"Alexander","non-dropping-particle":"","parse-names":false,"suffix":""},{"dropping-particle":"","family":"Preissl","given":"Sebastian","non-dropping-particle":"","parse-names":false,"suffix":""},{"dropping-particle":"","family":"Gorkin","given":"David U","non-dropping-particle":"","parse-names":false,"suffix":""},{"dropping-particle":"","family":"Sander","given":"Maike","non-dropping-particle":"","parse-names":false,"suffix":""},{"dropping-particle":"","family":"Gaulton","given":"Kyle J","non-dropping-particle":"","parse-names":false,"suffix":""}],"container-title":"Nature","id":"ITEM-1","issued":{"date-parts":[["2021","5","19"]]},"title":"Interpreting type 1 diabetes risk with genetics and single-cell epigenomics.","type":"article-journal"},"uris":["http://www.mendeley.com/documents/?uuid=fc423e22-790d-3be4-b583-090439ca6463"]}],"mendeley":{"formattedCitation":"&lt;sup&gt;27&lt;/sup&gt;","plainTextFormattedCitation":"27","previouslyFormattedCitation":"&lt;sup&gt;27&lt;/sup&gt;"},"properties":{"noteIndex":0},"schema":"https://github.com/citation-style-language/schema/raw/master/csl-citation.json"}</w:instrText>
      </w:r>
      <w:r w:rsidR="00BD7F03" w:rsidRPr="00177CF7">
        <w:fldChar w:fldCharType="separate"/>
      </w:r>
      <w:r w:rsidR="00AB37AF" w:rsidRPr="00AB37AF">
        <w:rPr>
          <w:noProof/>
          <w:vertAlign w:val="superscript"/>
        </w:rPr>
        <w:t>27</w:t>
      </w:r>
      <w:r w:rsidR="00BD7F03" w:rsidRPr="00177CF7">
        <w:fldChar w:fldCharType="end"/>
      </w:r>
      <w:r w:rsidR="00BD7F03" w:rsidRPr="00177CF7">
        <w:t xml:space="preserve"> and </w:t>
      </w:r>
      <w:r w:rsidR="00C95E7C" w:rsidRPr="00177CF7">
        <w:t>rs2287900</w:t>
      </w:r>
      <w:r w:rsidR="00290B08" w:rsidRPr="00177CF7">
        <w:fldChar w:fldCharType="begin" w:fldLock="1"/>
      </w:r>
      <w:r w:rsidR="007212AD">
        <w:instrText>ADDIN CSL_CITATION {"citationItems":[{"id":"ITEM-1","itemData":{"DOI":"10.1038/s41588-021-00880-5","ISSN":"1546-1718","PMID":"34127860","abstract":"We report the largest and most diverse genetic study of type 1 diabetes (T1D) to date (61,427 participants), yielding 78 genome-wide-significant (P &lt; 5 × 10-8) regions, including 36 that are new. We define credible sets of T1D-associated variants and show that they are enriched in immune-cell accessible chromatin, particularly CD4+ effector T cells. Using chromatin-accessibility profiling of CD4+ T cells from 115 individuals, we map chromatin-accessibility quantitative trait loci and identify five regions where T1D risk variants co-localize with chromatin-accessibility quantitative trait loci. We highlight rs72928038 in BACH2 as a candidate causal T1D variant leading to decreased enhancer accessibility and BACH2 expression in T cells. Finally, we prioritize potential drug targets by integrating genetic evidence, functional genomic maps and immune protein-protein interactions, identifying 12 genes implicated in T1D that have been targeted in clinical trials for autoimmune diseases. These findings provide an expanded genomic landscape for T1D.","author":[{"dropping-particle":"","family":"Robertson","given":"Catherine C","non-dropping-particle":"","parse-names":false,"suffix":""},{"dropping-particle":"","family":"Inshaw","given":"Jamie R J","non-dropping-particle":"","parse-names":false,"suffix":""},{"dropping-particle":"","family":"Onengut-Gumuscu","given":"Suna","non-dropping-particle":"","parse-names":false,"suffix":""},{"dropping-particle":"","family":"Chen","given":"Wei-Min","non-dropping-particle":"","parse-names":false,"suffix":""},{"dropping-particle":"","family":"Santa Cruz","given":"David Flores","non-dropping-particle":"","parse-names":false,"suffix":""},{"dropping-particle":"","family":"Yang","given":"Hanzhi","non-dropping-particle":"","parse-names":false,"suffix":""},{"dropping-particle":"","family":"Cutler","given":"Antony J","non-dropping-particle":"","parse-names":false,"suffix":""},{"dropping-particle":"","family":"Crouch","given":"Daniel J M","non-dropping-particle":"","parse-names":false,"suffix":""},{"dropping-particle":"","family":"Farber","given":"Emily","non-dropping-particle":"","parse-names":false,"suffix":""},{"dropping-particle":"","family":"Bridges","given":"S Louis","non-dropping-particle":"","parse-names":false,"suffix":""},{"dropping-particle":"","family":"Edberg","given":"Jeffrey C","non-dropping-particle":"","parse-names":false,"suffix":""},{"dropping-particle":"","family":"Kimberly","given":"Robert P","non-dropping-particle":"","parse-names":false,"suffix":""},{"dropping-particle":"","family":"Buckner","given":"Jane H","non-dropping-particle":"","parse-names":false,"suffix":""},{"dropping-particle":"","family":"Deloukas","given":"Panos","non-dropping-particle":"","parse-names":false,"suffix":""},{"dropping-particle":"","family":"Divers","given":"Jasmin","non-dropping-particle":"","parse-names":false,"suffix":""},{"dropping-particle":"","family":"Dabelea","given":"Dana","non-dropping-particle":"","parse-names":false,"suffix":""},{"dropping-particle":"","family":"Lawrence","given":"Jean M","non-dropping-particle":"","parse-names":false,"suffix":""},{"dropping-particle":"","family":"Marcovina","given":"Santica","non-dropping-particle":"","parse-names":false,"suffix":""},{"dropping-particle":"","family":"Shah","given":"Amy S","non-dropping-particle":"","parse-names":false,"suffix":""},{"dropping-particle":"","family":"Greenbaum","given":"Carla J","non-dropping-particle":"","parse-names":false,"suffix":""},{"dropping-particle":"","family":"Atkinson","given":"Mark A","non-dropping-particle":"","parse-names":false,"suffix":""},{"dropping-particle":"","family":"Gregersen","given":"Peter K","non-dropping-particle":"","parse-names":false,"suffix":""},{"dropping-particle":"","family":"Oksenberg","given":"Jorge R","non-dropping-particle":"","parse-names":false,"suffix":""},{"dropping-particle":"","family":"Pociot","given":"Flemming","non-dropping-particle":"","parse-names":false,"suffix":""},{"dropping-particle":"","family":"Rewers","given":"Marian J","non-dropping-particle":"","parse-names":false,"suffix":""},{"dropping-particle":"","family":"Steck","given":"Andrea K","non-dropping-particle":"","parse-names":false,"suffix":""},{"dropping-particle":"","family":"Dunger","given":"David B","non-dropping-particle":"","parse-names":false,"suffix":""},{"dropping-particle":"","family":"Type 1 Diabetes Genetics Consortium","given":"","non-dropping-particle":"","parse-names":false,"suffix":""},{"dropping-particle":"","family":"Wicker","given":"Linda S","non-dropping-particle":"","parse-names":false,"suffix":""},{"dropping-particle":"","family":"Concannon","given":"Patrick","non-dropping-particle":"","parse-names":false,"suffix":""},{"dropping-particle":"","family":"Todd","given":"John A","non-dropping-particle":"","parse-names":false,"suffix":""},{"dropping-particle":"","family":"Rich","given":"Stephen S","non-dropping-particle":"","parse-names":false,"suffix":""}],"container-title":"Nature genetics","id":"ITEM-1","issued":{"date-parts":[["2021","6","14"]]},"title":"Fine-mapping, trans-ancestral and genomic analyses identify causal variants, cells, genes and drug targets for type 1 diabetes.","type":"article-journal"},"uris":["http://www.mendeley.com/documents/?uuid=29736a0e-fd1d-3b24-8d95-3c9b5198b9ab"]}],"mendeley":{"formattedCitation":"&lt;sup&gt;28&lt;/sup&gt;","plainTextFormattedCitation":"28","previouslyFormattedCitation":"&lt;sup&gt;28&lt;/sup&gt;"},"properties":{"noteIndex":0},"schema":"https://github.com/citation-style-language/schema/raw/master/csl-citation.json"}</w:instrText>
      </w:r>
      <w:r w:rsidR="00290B08" w:rsidRPr="00177CF7">
        <w:fldChar w:fldCharType="separate"/>
      </w:r>
      <w:r w:rsidR="00AB37AF" w:rsidRPr="00AB37AF">
        <w:rPr>
          <w:noProof/>
          <w:vertAlign w:val="superscript"/>
        </w:rPr>
        <w:t>28</w:t>
      </w:r>
      <w:r w:rsidR="00290B08" w:rsidRPr="00177CF7">
        <w:fldChar w:fldCharType="end"/>
      </w:r>
      <w:r w:rsidR="007521C3" w:rsidRPr="00177CF7">
        <w:t xml:space="preserve">, </w:t>
      </w:r>
      <w:r w:rsidR="00750B90" w:rsidRPr="00177CF7">
        <w:t>r</w:t>
      </w:r>
      <w:r w:rsidR="007521C3" w:rsidRPr="00177CF7">
        <w:rPr>
          <w:vertAlign w:val="superscript"/>
        </w:rPr>
        <w:t>2</w:t>
      </w:r>
      <w:r w:rsidR="007521C3" w:rsidRPr="00177CF7">
        <w:t>=0.29</w:t>
      </w:r>
      <w:r w:rsidR="00BD7F03" w:rsidRPr="00177CF7">
        <w:t>)</w:t>
      </w:r>
      <w:r w:rsidR="00290B08" w:rsidRPr="00177CF7">
        <w:t xml:space="preserve"> </w:t>
      </w:r>
      <w:r w:rsidR="007521C3" w:rsidRPr="00177CF7">
        <w:t>in the same locus</w:t>
      </w:r>
      <w:r w:rsidR="00E66B9D" w:rsidRPr="00177CF7">
        <w:t xml:space="preserve">, both </w:t>
      </w:r>
      <w:r w:rsidR="00982F19" w:rsidRPr="00177CF7">
        <w:t>i</w:t>
      </w:r>
      <w:r w:rsidR="00E66B9D" w:rsidRPr="00177CF7">
        <w:t>n moderate LD (</w:t>
      </w:r>
      <w:r w:rsidR="00D81A66" w:rsidRPr="00177CF7">
        <w:t>r</w:t>
      </w:r>
      <w:r w:rsidR="00E66B9D" w:rsidRPr="00177CF7">
        <w:t>²</w:t>
      </w:r>
      <w:r w:rsidR="00BB5497" w:rsidRPr="00177CF7">
        <w:t>=0.45</w:t>
      </w:r>
      <w:r w:rsidR="00E66B9D" w:rsidRPr="00177CF7">
        <w:t>)</w:t>
      </w:r>
      <w:r w:rsidR="00BB5497" w:rsidRPr="00177CF7">
        <w:t xml:space="preserve"> with the </w:t>
      </w:r>
      <w:proofErr w:type="spellStart"/>
      <w:r w:rsidR="00BB5497" w:rsidRPr="00177CF7">
        <w:t>SomaScan</w:t>
      </w:r>
      <w:proofErr w:type="spellEnd"/>
      <w:r w:rsidR="00BB5497" w:rsidRPr="00177CF7">
        <w:t xml:space="preserve"> </w:t>
      </w:r>
      <w:r w:rsidR="00BB5497" w:rsidRPr="00177CF7">
        <w:rPr>
          <w:i/>
          <w:iCs/>
        </w:rPr>
        <w:t>cis</w:t>
      </w:r>
      <w:r w:rsidR="00BB5497" w:rsidRPr="00177CF7">
        <w:t>-</w:t>
      </w:r>
      <w:proofErr w:type="spellStart"/>
      <w:r w:rsidR="00BB5497" w:rsidRPr="00177CF7">
        <w:t>pQTL</w:t>
      </w:r>
      <w:proofErr w:type="spellEnd"/>
      <w:r w:rsidR="00982F19" w:rsidRPr="00177CF7">
        <w:t xml:space="preserve"> but without evidence for </w:t>
      </w:r>
      <w:proofErr w:type="spellStart"/>
      <w:r w:rsidR="00982F19" w:rsidRPr="00177CF7">
        <w:t>colocalisation</w:t>
      </w:r>
      <w:proofErr w:type="spellEnd"/>
      <w:r w:rsidR="00BB5497" w:rsidRPr="00177CF7">
        <w:t>.</w:t>
      </w:r>
      <w:r w:rsidR="00982F19" w:rsidRPr="00177CF7" w:rsidDel="00982F19">
        <w:t xml:space="preserve"> </w:t>
      </w:r>
      <w:r w:rsidR="00402FF8" w:rsidRPr="00177CF7">
        <w:t xml:space="preserve">However, </w:t>
      </w:r>
      <w:r w:rsidR="004A78F8" w:rsidRPr="00177CF7">
        <w:t xml:space="preserve">there is some </w:t>
      </w:r>
      <w:r w:rsidR="000865A4" w:rsidRPr="00177CF7">
        <w:t xml:space="preserve">orthogonal evidence supporting </w:t>
      </w:r>
      <w:r w:rsidR="000865A4" w:rsidRPr="00177CF7">
        <w:rPr>
          <w:i/>
          <w:iCs/>
        </w:rPr>
        <w:t>ILR7</w:t>
      </w:r>
      <w:r w:rsidR="000865A4" w:rsidRPr="00177CF7">
        <w:t xml:space="preserve"> as the candidate causal gene at this locus, including </w:t>
      </w:r>
      <w:r w:rsidR="001E5764" w:rsidRPr="00177CF7">
        <w:t xml:space="preserve">the preliminary success of </w:t>
      </w:r>
      <w:r w:rsidR="00696669" w:rsidRPr="00177CF7">
        <w:t>IL</w:t>
      </w:r>
      <w:r w:rsidR="00AE2A3A" w:rsidRPr="00177CF7">
        <w:t xml:space="preserve">-7Ra antibodies </w:t>
      </w:r>
      <w:r w:rsidR="00944A6A" w:rsidRPr="00177CF7">
        <w:t>in m</w:t>
      </w:r>
      <w:r w:rsidR="00FD659D" w:rsidRPr="00177CF7">
        <w:t>ouse</w:t>
      </w:r>
      <w:r w:rsidR="00944A6A" w:rsidRPr="00177CF7">
        <w:t xml:space="preserve"> models of </w:t>
      </w:r>
      <w:r w:rsidR="00424CEA" w:rsidRPr="00177CF7">
        <w:t>type 1 diabetes</w:t>
      </w:r>
      <w:r w:rsidR="005E0E62" w:rsidRPr="00177CF7">
        <w:fldChar w:fldCharType="begin" w:fldLock="1"/>
      </w:r>
      <w:r w:rsidR="007212AD">
        <w:instrText>ADDIN CSL_CITATION {"citationItems":[{"id":"ITEM-1","itemData":{"DOI":"10.1073/pnas.1203795109","ISSN":"1091-6490","PMID":"22733769","abstract":"Genetic variation in the IL-7 receptor-α (IL-7R) gene is associated with susceptibility to human type 1 diabetes (T1D). Here we investigate the therapeutic efficacy and mechanism of IL-7Rα antibody in a mouse model of T1D. IL-7Rα antibody induces durable, complete remission in newly onset diabetic mice after only two to three injections. IL-7 increases, whereas IL-7Rα antibody therapy reduces, the IFN-γ-producing CD4(+) (T(H)1) and IFN-γ-producing CD8(+) T cells. Conversely, IL-7 decreases and IL-7Rα antibody enhances the inhibitory receptor Programmed Death 1 (PD-1) expression in the effector T cells. Programmed Death 1 blockade reversed the immune tolerance mediated by the IL-7Rα antibody therapy. Furthermore, IL-7Rα antibody therapy increases the frequency of regulatory T cells without affecting their suppressor activity. The durable efficacy and the multipronged tolerogenic mechanisms of IL-7Rα antibody therapy suggest a unique disease-modifying approach to T1D.","author":[{"dropping-particle":"","family":"Lee","given":"Li-Fen","non-dropping-particle":"","parse-names":false,"suffix":""},{"dropping-particle":"","family":"Logronio","given":"Kathryn","non-dropping-particle":"","parse-names":false,"suffix":""},{"dropping-particle":"","family":"Tu","given":"Guang Huan","non-dropping-particle":"","parse-names":false,"suffix":""},{"dropping-particle":"","family":"Zhai","given":"Wenwu","non-dropping-particle":"","parse-names":false,"suffix":""},{"dropping-particle":"","family":"Ni","given":"Irene","non-dropping-particle":"","parse-names":false,"suffix":""},{"dropping-particle":"","family":"Mei","given":"Li","non-dropping-particle":"","parse-names":false,"suffix":""},{"dropping-particle":"","family":"Dilley","given":"Jeanette","non-dropping-particle":"","parse-names":false,"suffix":""},{"dropping-particle":"","family":"Yu","given":"Jessica","non-dropping-particle":"","parse-names":false,"suffix":""},{"dropping-particle":"","family":"Rajpal","given":"Arvind","non-dropping-particle":"","parse-names":false,"suffix":""},{"dropping-particle":"","family":"Brown","given":"Colleen","non-dropping-particle":"","parse-names":false,"suffix":""},{"dropping-particle":"","family":"Appah","given":"Charles","non-dropping-particle":"","parse-names":false,"suffix":""},{"dropping-particle":"","family":"Chin","given":"Sherman Michael","non-dropping-particle":"","parse-names":false,"suffix":""},{"dropping-particle":"","family":"Han","given":"Bora","non-dropping-particle":"","parse-names":false,"suffix":""},{"dropping-particle":"","family":"Affolter","given":"Timothy","non-dropping-particle":"","parse-names":false,"suffix":""},{"dropping-particle":"","family":"Lin","given":"John C","non-dropping-particle":"","parse-names":false,"suffix":""}],"container-title":"Proceedings of the National Academy of Sciences of the United States of America","id":"ITEM-1","issue":"31","issued":{"date-parts":[["2012","7","31"]]},"page":"12674-9","title":"Anti-IL-7 receptor-α reverses established type 1 diabetes in nonobese diabetic mice by modulating effector T-cell function.","type":"article-journal","volume":"109"},"uris":["http://www.mendeley.com/documents/?uuid=2eda8ca0-9996-324f-99d3-49e9018c9550"]}],"mendeley":{"formattedCitation":"&lt;sup&gt;29&lt;/sup&gt;","plainTextFormattedCitation":"29","previouslyFormattedCitation":"&lt;sup&gt;29&lt;/sup&gt;"},"properties":{"noteIndex":0},"schema":"https://github.com/citation-style-language/schema/raw/master/csl-citation.json"}</w:instrText>
      </w:r>
      <w:r w:rsidR="005E0E62" w:rsidRPr="00177CF7">
        <w:fldChar w:fldCharType="separate"/>
      </w:r>
      <w:r w:rsidR="00AB37AF" w:rsidRPr="00AB37AF">
        <w:rPr>
          <w:noProof/>
          <w:vertAlign w:val="superscript"/>
        </w:rPr>
        <w:t>29</w:t>
      </w:r>
      <w:r w:rsidR="005E0E62" w:rsidRPr="00177CF7">
        <w:fldChar w:fldCharType="end"/>
      </w:r>
      <w:r w:rsidR="00944A6A" w:rsidRPr="00177CF7">
        <w:t xml:space="preserve"> and immunomodulation in </w:t>
      </w:r>
      <w:r w:rsidR="0076549E" w:rsidRPr="00177CF7">
        <w:t>patients with type 1 diabetes</w:t>
      </w:r>
      <w:r w:rsidR="00DB44CC" w:rsidRPr="00177CF7">
        <w:fldChar w:fldCharType="begin" w:fldLock="1"/>
      </w:r>
      <w:r w:rsidR="007212AD">
        <w:instrText>ADDIN CSL_CITATION {"citationItems":[{"id":"ITEM-1","itemData":{"DOI":"10.1172/jci.insight.126054","ISSN":"2379-3708","PMID":"31852846","abstract":"BACKGROUND The cytokine IL-7 is critical for T cell development and function. We performed a Phase Ib study in patients with type 1 diabetes (T1D) to evaluate how blockade of IL-7 would affect immune cells and relevant clinical responses. METHODS Thirty-seven subjects with T1D received s.c. RN168, a monoclonal antibody that blocks the IL -7 receptor α (IL7Rα) in a dose-escalating study. RESULTS Between 90% and 100% IL-7R occupancy and near-complete inhibition of pSTAT5 was observed at doses of RN168 1 mg/kg every other week (Q2wk) and greater. There was a significant decline in CD4+ and CD8+ effector and central memory T cells and CD4+ naive cells, but there were fewer effects on CD8+ naive T cells. The ratios of Tregs to CD4+ or CD8+ effector and central memory T cells versus baseline were increased. RNA sequencing analysis showed downmodulation of genes associated with activation, survival, and differentiation of T cells. Expression of the antiapoptotic protein Bcl-2 was reduced. The majority of treatment-emergent adverse events (TEAEs) were mild and not treatment related. Four subjects became anti-EBV IgG+ after RN168, and 2 had symptoms of active infection. The immunologic response to tetanus toxoid was preserved at doses of 1 and 3 mg/kg Q2wk but reduced at higher doses. CONCLUSIONS This trial shows that, at dosages of 1-3 mg/kg, RN168 selectively inhibits the survival and activity of memory T cells while preserving naive T cells and Tregs. These immunologic effects may serve to eliminate pathologic T cells in autoimmune diseases. TRIAL REGISTRATION NCT02038764. FUNDING Pfizer Inc.","author":[{"dropping-particle":"","family":"Herold","given":"Kevan C","non-dropping-particle":"","parse-names":false,"suffix":""},{"dropping-particle":"","family":"Bucktrout","given":"Samantha L","non-dropping-particle":"","parse-names":false,"suffix":""},{"dropping-particle":"","family":"Wang","given":"Xiao","non-dropping-particle":"","parse-names":false,"suffix":""},{"dropping-particle":"","family":"Bode","given":"Bruce W","non-dropping-particle":"","parse-names":false,"suffix":""},{"dropping-particle":"","family":"Gitelman","given":"Stephen E","non-dropping-particle":"","parse-names":false,"suffix":""},{"dropping-particle":"","family":"Gottlieb","given":"Peter A","non-dropping-particle":"","parse-names":false,"suffix":""},{"dropping-particle":"","family":"Hughes","given":"Jing","non-dropping-particle":"","parse-names":false,"suffix":""},{"dropping-particle":"","family":"Joh","given":"Tenshang","non-dropping-particle":"","parse-names":false,"suffix":""},{"dropping-particle":"","family":"McGill","given":"Janet B","non-dropping-particle":"","parse-names":false,"suffix":""},{"dropping-particle":"","family":"Pettus","given":"Jeremy H","non-dropping-particle":"","parse-names":false,"suffix":""},{"dropping-particle":"","family":"Potluri","given":"Shobha","non-dropping-particle":"","parse-names":false,"suffix":""},{"dropping-particle":"","family":"Schatz","given":"Desmond","non-dropping-particle":"","parse-names":false,"suffix":""},{"dropping-particle":"","family":"Shannon","given":"Megan","non-dropping-particle":"","parse-names":false,"suffix":""},{"dropping-particle":"","family":"Udata","given":"Chandrasekhar","non-dropping-particle":"","parse-names":false,"suffix":""},{"dropping-particle":"","family":"Wong","given":"Gilbert","non-dropping-particle":"","parse-names":false,"suffix":""},{"dropping-particle":"","family":"Levisetti","given":"Matteo","non-dropping-particle":"","parse-names":false,"suffix":""},{"dropping-particle":"","family":"Ganguly","given":"Bishu J","non-dropping-particle":"","parse-names":false,"suffix":""},{"dropping-particle":"","family":"Garzone","given":"Pamela D","non-dropping-particle":"","parse-names":false,"suffix":""},{"dropping-particle":"","family":"RN168 Working Group","given":"","non-dropping-particle":"","parse-names":false,"suffix":""}],"container-title":"JCI insight","id":"ITEM-1","issue":"24","issued":{"date-parts":[["2019"]]},"title":"Immunomodulatory activity of humanized anti-IL-7R monoclonal antibody RN168 in subjects with type 1 diabetes.","type":"article-journal","volume":"4"},"uris":["http://www.mendeley.com/documents/?uuid=f85e2000-cdd8-37ae-bd86-103b7c16118b"]}],"mendeley":{"formattedCitation":"&lt;sup&gt;30&lt;/sup&gt;","plainTextFormattedCitation":"30","previouslyFormattedCitation":"&lt;sup&gt;30&lt;/sup&gt;"},"properties":{"noteIndex":0},"schema":"https://github.com/citation-style-language/schema/raw/master/csl-citation.json"}</w:instrText>
      </w:r>
      <w:r w:rsidR="00DB44CC" w:rsidRPr="00177CF7">
        <w:fldChar w:fldCharType="separate"/>
      </w:r>
      <w:r w:rsidR="00AB37AF" w:rsidRPr="00AB37AF">
        <w:rPr>
          <w:noProof/>
          <w:vertAlign w:val="superscript"/>
        </w:rPr>
        <w:t>30</w:t>
      </w:r>
      <w:r w:rsidR="00DB44CC" w:rsidRPr="00177CF7">
        <w:fldChar w:fldCharType="end"/>
      </w:r>
      <w:r w:rsidR="00B14F79" w:rsidRPr="00177CF7">
        <w:t>.</w:t>
      </w:r>
      <w:r w:rsidR="00402FF8" w:rsidRPr="00177CF7">
        <w:t xml:space="preserve"> </w:t>
      </w:r>
    </w:p>
    <w:p w14:paraId="147C48CC" w14:textId="0E985D57" w:rsidR="00536D4F" w:rsidRPr="00177CF7" w:rsidRDefault="00136A9D" w:rsidP="00541458">
      <w:pPr>
        <w:spacing w:line="360" w:lineRule="auto"/>
        <w:jc w:val="both"/>
        <w:rPr>
          <w:b/>
          <w:bCs/>
          <w:i/>
          <w:iCs/>
        </w:rPr>
      </w:pPr>
      <w:r w:rsidRPr="00177CF7">
        <w:rPr>
          <w:b/>
          <w:bCs/>
          <w:i/>
          <w:iCs/>
        </w:rPr>
        <w:t>Allelic</w:t>
      </w:r>
      <w:r w:rsidR="00AD7217" w:rsidRPr="00177CF7">
        <w:rPr>
          <w:b/>
          <w:bCs/>
          <w:i/>
          <w:iCs/>
        </w:rPr>
        <w:t xml:space="preserve"> heterogene</w:t>
      </w:r>
      <w:r w:rsidRPr="00177CF7">
        <w:rPr>
          <w:b/>
          <w:bCs/>
          <w:i/>
          <w:iCs/>
        </w:rPr>
        <w:t>ity at FGCR2A and autoimmune disease</w:t>
      </w:r>
    </w:p>
    <w:p w14:paraId="4EF2E0B3" w14:textId="76436BB9" w:rsidR="00AA57E8" w:rsidRPr="00177CF7" w:rsidRDefault="002261E5" w:rsidP="00541458">
      <w:pPr>
        <w:spacing w:line="360" w:lineRule="auto"/>
        <w:jc w:val="both"/>
      </w:pPr>
      <w:r w:rsidRPr="00177CF7">
        <w:t>We identified three independent</w:t>
      </w:r>
      <w:r w:rsidR="00F12FB5" w:rsidRPr="00177CF7">
        <w:t xml:space="preserve"> genetic variants at the </w:t>
      </w:r>
      <w:r w:rsidR="00F12FB5" w:rsidRPr="00177CF7">
        <w:rPr>
          <w:i/>
          <w:iCs/>
        </w:rPr>
        <w:t>F</w:t>
      </w:r>
      <w:r w:rsidR="00E120EE" w:rsidRPr="00177CF7">
        <w:rPr>
          <w:i/>
          <w:iCs/>
        </w:rPr>
        <w:t>C</w:t>
      </w:r>
      <w:r w:rsidR="00685FC5" w:rsidRPr="00177CF7">
        <w:rPr>
          <w:i/>
          <w:iCs/>
        </w:rPr>
        <w:t>G</w:t>
      </w:r>
      <w:r w:rsidR="00E120EE" w:rsidRPr="00177CF7">
        <w:rPr>
          <w:i/>
          <w:iCs/>
        </w:rPr>
        <w:t>R2A/FC</w:t>
      </w:r>
      <w:r w:rsidR="00685FC5" w:rsidRPr="00177CF7">
        <w:rPr>
          <w:i/>
          <w:iCs/>
        </w:rPr>
        <w:t>G</w:t>
      </w:r>
      <w:r w:rsidR="00E120EE" w:rsidRPr="00177CF7">
        <w:rPr>
          <w:i/>
          <w:iCs/>
        </w:rPr>
        <w:t>R2B</w:t>
      </w:r>
      <w:r w:rsidR="00E120EE" w:rsidRPr="00177CF7">
        <w:t xml:space="preserve"> locus</w:t>
      </w:r>
      <w:r w:rsidRPr="00177CF7">
        <w:t xml:space="preserve"> </w:t>
      </w:r>
      <w:r w:rsidR="00EF0656" w:rsidRPr="00177CF7">
        <w:t xml:space="preserve">which acted in a platform- and phenotype-specific </w:t>
      </w:r>
      <w:r w:rsidR="00971C3C" w:rsidRPr="00177CF7">
        <w:t>manner</w:t>
      </w:r>
      <w:r w:rsidR="00EF0656" w:rsidRPr="00177CF7">
        <w:t xml:space="preserve"> </w:t>
      </w:r>
      <w:r w:rsidR="009E3CF0" w:rsidRPr="00177CF7">
        <w:t xml:space="preserve">on the </w:t>
      </w:r>
      <w:r w:rsidR="00394E82" w:rsidRPr="00177CF7">
        <w:t xml:space="preserve">gene </w:t>
      </w:r>
      <w:r w:rsidR="00715E08" w:rsidRPr="00177CF7">
        <w:t xml:space="preserve">products </w:t>
      </w:r>
      <w:r w:rsidR="00037E9A" w:rsidRPr="00177CF7">
        <w:t>l</w:t>
      </w:r>
      <w:r w:rsidR="00E31835" w:rsidRPr="00177CF7">
        <w:t xml:space="preserve">ow-affinity immunoglobulin </w:t>
      </w:r>
      <w:r w:rsidR="00067C53" w:rsidRPr="00177CF7">
        <w:t xml:space="preserve">gamma Fc region </w:t>
      </w:r>
      <w:r w:rsidR="00E31835" w:rsidRPr="00177CF7">
        <w:t xml:space="preserve">receptor </w:t>
      </w:r>
      <w:r w:rsidR="00741450" w:rsidRPr="00177CF7">
        <w:t>II-a (</w:t>
      </w:r>
      <w:r w:rsidR="00E25AD9" w:rsidRPr="00177CF7">
        <w:t>FCGR2A</w:t>
      </w:r>
      <w:r w:rsidR="00741450" w:rsidRPr="00177CF7">
        <w:t>)</w:t>
      </w:r>
      <w:r w:rsidR="00E25AD9" w:rsidRPr="00177CF7">
        <w:t xml:space="preserve"> and</w:t>
      </w:r>
      <w:r w:rsidR="00741450" w:rsidRPr="00177CF7">
        <w:t xml:space="preserve"> II-b</w:t>
      </w:r>
      <w:r w:rsidR="00E25AD9" w:rsidRPr="00177CF7">
        <w:t xml:space="preserve"> </w:t>
      </w:r>
      <w:r w:rsidR="00741450" w:rsidRPr="00177CF7">
        <w:t>(</w:t>
      </w:r>
      <w:r w:rsidR="00E25AD9" w:rsidRPr="00177CF7">
        <w:t>FCGR2B</w:t>
      </w:r>
      <w:r w:rsidR="00741450" w:rsidRPr="00177CF7">
        <w:t>)</w:t>
      </w:r>
      <w:r w:rsidR="009130BF" w:rsidRPr="00177CF7">
        <w:t xml:space="preserve"> </w:t>
      </w:r>
      <w:r w:rsidR="00715E08" w:rsidRPr="00177CF7">
        <w:t xml:space="preserve">as measured by </w:t>
      </w:r>
      <w:proofErr w:type="spellStart"/>
      <w:r w:rsidR="00715E08" w:rsidRPr="00177CF7">
        <w:t>SomaScan</w:t>
      </w:r>
      <w:proofErr w:type="spellEnd"/>
      <w:r w:rsidR="00715E08" w:rsidRPr="00177CF7">
        <w:t xml:space="preserve"> and </w:t>
      </w:r>
      <w:proofErr w:type="spellStart"/>
      <w:r w:rsidR="00715E08" w:rsidRPr="00177CF7">
        <w:t>Olink</w:t>
      </w:r>
      <w:proofErr w:type="spellEnd"/>
      <w:r w:rsidR="00715E08" w:rsidRPr="00177CF7">
        <w:t xml:space="preserve"> </w:t>
      </w:r>
      <w:r w:rsidR="00B951D8" w:rsidRPr="00177CF7">
        <w:t>(</w:t>
      </w:r>
      <w:r w:rsidR="00B951D8" w:rsidRPr="00177CF7">
        <w:rPr>
          <w:b/>
          <w:bCs/>
        </w:rPr>
        <w:t xml:space="preserve">Fig. 4 and Supplementary Fig. </w:t>
      </w:r>
      <w:r w:rsidR="00E923AC" w:rsidRPr="00177CF7">
        <w:rPr>
          <w:b/>
          <w:bCs/>
        </w:rPr>
        <w:t>9</w:t>
      </w:r>
      <w:r w:rsidR="00B951D8" w:rsidRPr="00177CF7">
        <w:t>)</w:t>
      </w:r>
      <w:r w:rsidR="009130BF" w:rsidRPr="00177CF7">
        <w:t xml:space="preserve">. </w:t>
      </w:r>
      <w:r w:rsidR="001B38C6" w:rsidRPr="00177CF7">
        <w:t>We identified</w:t>
      </w:r>
      <w:r w:rsidR="009130BF" w:rsidRPr="00177CF7">
        <w:t xml:space="preserve"> rs</w:t>
      </w:r>
      <w:r w:rsidR="00860636" w:rsidRPr="00177CF7">
        <w:t>751517</w:t>
      </w:r>
      <w:r w:rsidR="00412878" w:rsidRPr="00177CF7">
        <w:t>4</w:t>
      </w:r>
      <w:r w:rsidR="00604A5C" w:rsidRPr="00177CF7">
        <w:t xml:space="preserve"> </w:t>
      </w:r>
      <w:r w:rsidR="00922CDD" w:rsidRPr="00177CF7">
        <w:t>(</w:t>
      </w:r>
      <w:r w:rsidR="00B77E64" w:rsidRPr="00177CF7">
        <w:t>G-</w:t>
      </w:r>
      <w:r w:rsidR="00922CDD" w:rsidRPr="00177CF7">
        <w:t xml:space="preserve">allele, </w:t>
      </w:r>
      <w:r w:rsidR="00F36612" w:rsidRPr="00177CF7">
        <w:t>allele frequency=11.2%</w:t>
      </w:r>
      <w:r w:rsidR="00922CDD" w:rsidRPr="00177CF7">
        <w:t xml:space="preserve">) </w:t>
      </w:r>
      <w:r w:rsidR="001B38C6" w:rsidRPr="00177CF7">
        <w:t xml:space="preserve">as </w:t>
      </w:r>
      <w:r w:rsidR="00506232" w:rsidRPr="00177CF7">
        <w:t>a</w:t>
      </w:r>
      <w:r w:rsidR="002C6575" w:rsidRPr="00177CF7">
        <w:t>n intronic</w:t>
      </w:r>
      <w:r w:rsidR="00506232" w:rsidRPr="00177CF7">
        <w:t xml:space="preserve"> </w:t>
      </w:r>
      <w:r w:rsidR="00506232" w:rsidRPr="00177CF7">
        <w:rPr>
          <w:i/>
          <w:iCs/>
        </w:rPr>
        <w:t>cis</w:t>
      </w:r>
      <w:r w:rsidR="00506232" w:rsidRPr="00177CF7">
        <w:t>-</w:t>
      </w:r>
      <w:proofErr w:type="spellStart"/>
      <w:r w:rsidR="00506232" w:rsidRPr="00177CF7">
        <w:t>pQTL</w:t>
      </w:r>
      <w:proofErr w:type="spellEnd"/>
      <w:r w:rsidR="00506232" w:rsidRPr="00177CF7">
        <w:t xml:space="preserve"> unique to FCGR2A measured by </w:t>
      </w:r>
      <w:proofErr w:type="spellStart"/>
      <w:r w:rsidR="00506232" w:rsidRPr="00177CF7">
        <w:t>Olink</w:t>
      </w:r>
      <w:proofErr w:type="spellEnd"/>
      <w:r w:rsidR="00506232" w:rsidRPr="00177CF7">
        <w:t xml:space="preserve"> </w:t>
      </w:r>
      <w:r w:rsidR="00D37188" w:rsidRPr="00177CF7">
        <w:t>(beta=-1.25, p</w:t>
      </w:r>
      <w:r w:rsidR="00D37188" w:rsidRPr="00177CF7">
        <w:noBreakHyphen/>
        <w:t>value&lt;7.5x10</w:t>
      </w:r>
      <w:r w:rsidR="00D37188" w:rsidRPr="00177CF7">
        <w:rPr>
          <w:vertAlign w:val="superscript"/>
        </w:rPr>
        <w:t>-41</w:t>
      </w:r>
      <w:r w:rsidR="00D37188" w:rsidRPr="00177CF7">
        <w:t xml:space="preserve">) </w:t>
      </w:r>
      <w:r w:rsidR="000D0A21" w:rsidRPr="00177CF7">
        <w:t xml:space="preserve">and </w:t>
      </w:r>
      <w:r w:rsidR="00DF3130" w:rsidRPr="00177CF7">
        <w:t xml:space="preserve">a shared signal </w:t>
      </w:r>
      <w:r w:rsidR="00ED482A" w:rsidRPr="00177CF7">
        <w:t>with rheumatoid arthritis</w:t>
      </w:r>
      <w:r w:rsidR="003D755B" w:rsidRPr="00177CF7">
        <w:t xml:space="preserve"> (RA)</w:t>
      </w:r>
      <w:r w:rsidR="00E47233" w:rsidRPr="00177CF7">
        <w:t xml:space="preserve"> in Europeans</w:t>
      </w:r>
      <w:r w:rsidR="000127AC" w:rsidRPr="00177CF7">
        <w:fldChar w:fldCharType="begin" w:fldLock="1"/>
      </w:r>
      <w:r w:rsidR="007212AD">
        <w:instrText xml:space="preserve">ADDIN CSL_CITATION {"citationItems":[{"id":"ITEM-1","itemData":{"DOI":"10.1038/nature12873","ISSN":"00280836","PMID":"24390342","abstract":"A major challenge in human genetics is to devise a systematic strategy to integrate disease-associated variants with diverse genomic and biological data sets to provide insight into disease pathogenesis and guide drug discovery for complex traits such as rheumatoid arthritis (RA). Here we performed a genome-wide association study meta-analysis in a total of &gt;100,000 subjects of European and Asian ancestries (29,880 RA cases and 73,758 controls), by evaluating </w:instrText>
      </w:r>
      <w:r w:rsidR="007212AD">
        <w:rPr>
          <w:rFonts w:ascii="Cambria Math" w:hAnsi="Cambria Math" w:cs="Cambria Math"/>
        </w:rPr>
        <w:instrText>∼</w:instrText>
      </w:r>
      <w:r w:rsidR="007212AD">
        <w:instrText>10 million single-nucleotide polymorphisms. We discovered 42 novel RA risk loci at a genome-wide level of significance, bringing the total to 101 (refs 2, 3, 4). We devised an in silico pipeline using established bioinformatics methods based on functional annotation, cis-acting expression quantitative trait loci and pathway analyses-as well as novel methods based on genetic overlap with human primary immunodeficiency, haematological cancer somatic mutations and knockout mouse phenotypes-to identify 98 biological candidate genes at these 101 risk loci. We demonstrate that these genes are the targets of approved therapies for RA, and further suggest that drugs approved for other indications may be repurposed for the treatment of RA. Together, this comprehensive genetic study sheds light on fundamental genes, pathways and cell types that contribute to RA pathogenesis, and provides empirical evidence that the genetics of RA can provide important information for drug discovery. © 2014 Macmillan Publishers Limited. All rights reserved.","author":[{"dropping-particle":"","family":"Okada","given":"Yukinori","non-dropping-particle":"","parse-names":false,"suffix":""},{"dropping-particle":"","family":"Wu","given":"Di","non-dropping-particle":"","parse-names":false,"suffix":""},{"dropping-particle":"","family":"Trynka","given":"Gosia","non-dropping-particle":"","parse-names":false,"suffix":""},{"dropping-particle":"","family":"Raj","given":"Towfique","non-dropping-particle":"","parse-names":false,"suffix":""},{"dropping-particle":"","family":"Terao","given":"Chikashi","non-dropping-particle":"","parse-names":false,"suffix":""},{"dropping-particle":"","family":"Ikari","given":"Katsunori","non-dropping-particle":"","parse-names":false,"suffix":""},{"dropping-particle":"","family":"Kochi","given":"Yuta","non-dropping-particle":"","parse-names":false,"suffix":""},{"dropping-particle":"","family":"Ohmura","given":"Koichiro","non-dropping-particle":"","parse-names":false,"suffix":""},{"dropping-particle":"","family":"Suzuki","given":"Akari","non-dropping-particle":"","parse-names":false,"suffix":""},{"dropping-particle":"","family":"Yoshida","given":"Shinji","non-dropping-particle":"","parse-names":false,"suffix":""},{"dropping-particle":"","family":"Graham","given":"Robert R.","non-dropping-particle":"","parse-names":false,"suffix":""},{"dropping-particle":"","family":"Manoharan","given":"Arun","non-dropping-particle":"","parse-names":false,"suffix":""},{"dropping-particle":"","family":"Ortmann","given":"Ward","non-dropping-particle":"","parse-names":false,"suffix":""},{"dropping-particle":"","family":"Bhangale","given":"Tushar","non-dropping-particle":"","parse-names":false,"suffix":""},{"dropping-particle":"","family":"Denny","given":"Joshua C.","non-dropping-particle":"","parse-names":false,"suffix":""},{"dropping-particle":"","family":"Carroll","given":"Robert J.","non-dropping-particle":"","parse-names":false,"suffix":""},{"dropping-particle":"","family":"Eyler","given":"Anne E.","non-dropping-particle":"","parse-names":false,"suffix":""},{"dropping-particle":"","family":"Greenberg","given":"Jeffrey D.","non-dropping-particle":"","parse-names":false,"suffix":""},{"dropping-particle":"","family":"Kremer","given":"Joel M.","non-dropping-particle":"","parse-names":false,"suffix":""},{"dropping-particle":"","family":"Pappas","given":"Dimitrios A.","non-dropping-particle":"","parse-names":false,"suffix":""},{"dropping-particle":"","family":"Jiang","given":"Lei","non-dropping-particle":"","parse-names":false,"suffix":""},{"dropping-particle":"","family":"Yin","given":"Jian","non-dropping-particle":"","parse-names":false,"suffix":""},{"dropping-particle":"","family":"Ye","given":"Lingying","non-dropping-particle":"","parse-names":false,"suffix":""},{"dropping-particle":"","family":"Su","given":"Ding Feng","non-dropping-particle":"","parse-names":false,"suffix":""},{"dropping-particle":"","family":"Yang","given":"Jian","non-dropping-particle":"","parse-names":false,"suffix":""},{"dropping-particle":"","family":"Xie","given":"Gang","non-dropping-particle":"","parse-names":false,"suffix":""},{"dropping-particle":"","family":"Keystone","given":"Ed","non-dropping-particle":"","parse-names":false,"suffix":""},{"dropping-particle":"","family":"Westra","given":"Harm Jan","non-dropping-particle":"","parse-names":false,"suffix":""},{"dropping-particle":"","family":"Esko","given":"Toñu","non-dropping-particle":"","parse-names":false,"suffix":""},{"dropping-particle":"","family":"Metspalu","given":"Andres","non-dropping-particle":"","parse-names":false,"suffix":""},{"dropping-particle":"","family":"Zhou","given":"Xuezhong","non-dropping-particle":"","parse-names":false,"suffix":""},{"dropping-particle":"","family":"Gupta","given":"Namrata","non-dropping-particle":"","parse-names":false,"suffix":""},{"dropping-particle":"","family":"Mirel","given":"Daniel","non-dropping-particle":"","parse-names":false,"suffix":""},{"dropping-particle":"","family":"Stahl","given":"Eli A.","non-dropping-particle":"","parse-names":false,"suffix":""},{"dropping-particle":"","family":"Diogo","given":"Dorotheé","non-dropping-particle":"","parse-names":false,"suffix":""},{"dropping-particle":"","family":"Cui","given":"Jing","non-dropping-particle":"","parse-names":false,"suffix":""},{"dropping-particle":"","family":"Liao","given":"Katherine","non-dropping-particle":"","parse-names":false,"suffix":""},{"dropping-particle":"","family":"Guo","given":"Michael H.","non-dropping-particle":"","parse-names":false,"suffix":""},{"dropping-particle":"","family":"Myouzen","given":"Keiko","non-dropping-particle":"","parse-names":false,"suffix":""},{"dropping-particle":"","family":"Kawaguchi","given":"Takahisa","non-dropping-particle":"","parse-names":false,"suffix":""},{"dropping-particle":"","family":"Coenen","given":"Marieke J.H.","non-dropping-particle":"","parse-names":false,"suffix":""},{"dropping-particle":"","family":"Riel","given":"Piet L.C.M.","non-dropping-particle":"Van","parse-names":false,"suffix":""},{"dropping-particle":"","family":"Laar","given":"Mart A.F.J.","non-dropping-particle":"Van De","parse-names":false,"suffix":""},{"dropping-particle":"","family":"Guchelaar","given":"Henk Jan","non-dropping-particle":"","parse-names":false,"suffix":""},{"dropping-particle":"","family":"Huizinga","given":"Tom W.J.","non-dropping-particle":"","parse-names":false,"suffix":""},{"dropping-particle":"","family":"Dieudé","given":"Philippe","non-dropping-particle":"","parse-names":false,"suffix":""},{"dropping-particle":"","family":"Mariette","given":"Xavier","non-dropping-particle":"","parse-names":false,"suffix":""},{"dropping-particle":"","family":"Bridges","given":"S. Louis","non-dropping-particle":"","parse-names":false,"suffix":""},{"dropping-particle":"","family":"Zhernakova","given":"Alexandra","non-dropping-particle":"","parse-names":false,"suffix":""},{"dropping-particle":"","family":"Toes","given":"Rene E.M.","non-dropping-particle":"","parse-names":false,"suffix":""},{"dropping-particle":"","family":"Tak","given":"Paul P.","non-dropping-particle":"","parse-names":false,"suffix":""},{"dropping-particle":"","family":"Miceli-Richard","given":"Corinne","non-dropping-particle":"","parse-names":false,"suffix":""},{"dropping-particle":"","family":"Bang","given":"So Young","non-dropping-particle":"","parse-names":false,"suffix":""},{"dropping-particle":"","family":"Lee","given":"Hye Soon","non-dropping-particle":"","parse-names":false,"suffix":""},{"dropping-particle":"","family":"Martin","given":"Javier","non-dropping-particle":"","parse-names":false,"suffix":""},{"dropping-particle":"","family":"Gonzalez-Gay","given":"Miguel A.","non-dropping-particle":"","parse-names":false,"suffix":""},{"dropping-particle":"","family":"Rodriguez-Rodriguez","given":"Luis","non-dropping-particle":"","parse-names":false,"suffix":""},{"dropping-particle":"","family":"Rantapää-Dahlqvist","given":"Solbritt","non-dropping-particle":"","parse-names":false,"suffix":""},{"dropping-particle":"","family":"Ärlestig","given":"Lisbeth","non-dropping-particle":"","parse-names":false,"suffix":""},{"dropping-particle":"","family":"Choi","given":"Hyon K.","non-dropping-particle":"","parse-names":false,"suffix":""},{"dropping-particle":"","family":"Kamatani","given":"Yoichiro","non-dropping-particle":"","parse-names":false,"suffix":""},{"dropping-particle":"","family":"Galan","given":"Pilar","non-dropping-particle":"","parse-names":false,"suffix":""},{"dropping-particle":"","family":"Lathrop","given":"Mark","non-dropping-particle":"","parse-names":false,"suffix":""},{"dropping-particle":"","family":"Eyre","given":"Steve","non-dropping-particle":"","parse-names":false,"suffix":""},{"dropping-particle":"","family":"Bowes","given":"John","non-dropping-particle":"","parse-names":false,"suffix":""},{"dropping-particle":"","family":"Barton","given":"Anne","non-dropping-particle":"","parse-names":false,"suffix":""},{"dropping-particle":"","family":"Vries","given":"Niek","non-dropping-particle":"De","parse-names":false,"suffix":""},{"dropping-particle":"","family":"Moreland","given":"Larry W.","non-dropping-particle":"","parse-names":false,"suffix":""},{"dropping-particle":"","family":"Criswell","given":"Lindsey A.","non-dropping-particle":"","parse-names":false,"suffix":""},{"dropping-particle":"","family":"Karlson","given":"Elizabeth W.","non-dropping-particle":"","parse-names":false,"suffix":""},{"dropping-particle":"","family":"Taniguchi","given":"Atsuo","non-dropping-particle":"","parse-names":false,"suffix":""},{"dropping-particle":"","family":"Yamada","given":"Ryo","non-dropping-particle":"","parse-names":false,"suffix":""},{"dropping-particle":"","family":"Kubo","given":"Michiaki","non-dropping-particle":"","parse-names":false,"suffix":""},{"dropping-particle":"","family":"Liu","given":"Jun S.","non-dropping-particle":"","parse-names":false,"suffix":""},{"dropping-particle":"","family":"Bae","given":"Sang Cheol","non-dropping-particle":"","parse-names":false,"suffix":""},{"dropping-particle":"","family":"Worthington","given":"Jane","non-dropping-particle":"","parse-names":false,"suffix":""},{"dropping-particle":"","family":"Padyukov","given":"Leonid","non-dropping-particle":"","parse-names":false,"suffix":""},{"dropping-particle":"","family":"Klareskog","given":"Lars","non-dropping-particle":"","parse-names":false,"suffix":""},{"dropping-particle":"","family":"Gregersen","given":"Peter K.","non-dropping-particle":"","parse-names":false,"suffix":""},{"dropping-particle":"","family":"Raychaudhuri","given":"Soumya","non-dropping-particle":"","parse-names":false,"suffix":""},{"dropping-particle":"","family":"Stranger","given":"Barbara E.","non-dropping-particle":"","parse-names":false,"suffix":""},{"dropping-particle":"","family":"Jager","given":"Philip L.","non-dropping-particle":"De","parse-names":false,"suffix":""},{"dropping-particle":"","family":"Franke","given":"Lude","non-dropping-particle":"","parse-names":false,"suffix":""},{"dropping-particle":"","family":"Visscher","given":"Peter M.","non-dropping-particle":"","parse-names":false,"suffix":""},{"dropping-particle":"","family":"Brown","given":"Matthew A.","non-dropping-particle":"","parse-names":false,"suffix":""},{"dropping-particle":"","family":"Yamanaka","given":"Hisashi","non-dropping-particle":"","parse-names":false,"suffix":""},{"dropping-particle":"","family":"Mimori","given":"Tsuneyo","non-dropping-particle":"","parse-names":false,"suffix":""},{"dropping-particle":"","family":"Takahashi","given":"Atsushi","non-dropping-particle":"","parse-names":false,"suffix":""},{"dropping-particle":"","family":"Xu","given":"Huji","non-dropping-particle":"","parse-names":false,"suffix":""},{"dropping-particle":"","family":"Behrens","given":"Timothy W.","non-dropping-particle":"","parse-names":false,"suffix":""},{"dropping-particle":"","family":"Siminovitch","given":"Katherine A.","non-dropping-particle":"","parse-names":false,"suffix":""},{"dropping-particle":"","family":"Momohara","given":"Shigeki","non-dropping-particle":"","parse-names":false,"suffix":""},{"dropping-particle":"","family":"Matsuda","given":"Fumihiko","non-dropping-particle":"","parse-names":false,"suffix":""},{"dropping-particle":"","family":"Yamamoto","given":"Kazuhiko","non-dropping-particle":"","parse-names":false,"suffix":""},{"dropping-particle":"","family":"Plenge","given":"Robert M.","non-dropping-particle":"","parse-names":false,"suffix":""}],"container-title":"Nature","id":"ITEM-1","issue":"7488","issued":{"date-parts":[["2014"]]},"page":"376-381","publisher":"Nature Publishing Group","title":"Genetics of rheumatoid arthritis contributes to biology and drug discovery","type":"article-journal","volume":"506"},"uris":["http://www.mendeley.com/documents/?uuid=ac94fd1d-016b-4b08-88ea-f2f8b7ab3fae"]}],"mendeley":{"formattedCitation":"&lt;sup&gt;31&lt;/sup&gt;","plainTextFormattedCitation":"31","previouslyFormattedCitation":"&lt;sup&gt;31&lt;/sup&gt;"},"properties":{"noteIndex":0},"schema":"https://github.com/citation-style-language/schema/raw/master/csl-citation.json"}</w:instrText>
      </w:r>
      <w:r w:rsidR="000127AC" w:rsidRPr="00177CF7">
        <w:fldChar w:fldCharType="separate"/>
      </w:r>
      <w:r w:rsidR="00AB37AF" w:rsidRPr="00AB37AF">
        <w:rPr>
          <w:noProof/>
          <w:vertAlign w:val="superscript"/>
        </w:rPr>
        <w:t>31</w:t>
      </w:r>
      <w:r w:rsidR="000127AC" w:rsidRPr="00177CF7">
        <w:fldChar w:fldCharType="end"/>
      </w:r>
      <w:r w:rsidR="00ED482A" w:rsidRPr="00177CF7">
        <w:t xml:space="preserve"> (</w:t>
      </w:r>
      <w:r w:rsidR="00414949" w:rsidRPr="00177CF7">
        <w:t>beta=</w:t>
      </w:r>
      <w:r w:rsidR="00D40E2E" w:rsidRPr="00177CF7">
        <w:t xml:space="preserve">-0.11, </w:t>
      </w:r>
      <w:r w:rsidR="00634750" w:rsidRPr="00177CF7">
        <w:t>PP&gt;84.9%)</w:t>
      </w:r>
      <w:r w:rsidR="00D21B8C" w:rsidRPr="00177CF7">
        <w:t xml:space="preserve">. </w:t>
      </w:r>
      <w:r w:rsidR="002C6575" w:rsidRPr="00177CF7">
        <w:t>The variant is in strong LD (</w:t>
      </w:r>
      <w:r w:rsidR="00D81A66" w:rsidRPr="00177CF7">
        <w:t>r</w:t>
      </w:r>
      <w:r w:rsidR="002C6575" w:rsidRPr="00177CF7">
        <w:t xml:space="preserve">²=0.99) with </w:t>
      </w:r>
      <w:r w:rsidR="00090B77" w:rsidRPr="00177CF7">
        <w:t>the multi</w:t>
      </w:r>
      <w:r w:rsidR="00300EC0" w:rsidRPr="00177CF7">
        <w:t>-nucleotide variant</w:t>
      </w:r>
      <w:r w:rsidR="002403FC" w:rsidRPr="00177CF7">
        <w:t>s</w:t>
      </w:r>
      <w:r w:rsidR="00300EC0" w:rsidRPr="00177CF7">
        <w:t xml:space="preserve"> </w:t>
      </w:r>
      <w:r w:rsidR="002C6575" w:rsidRPr="00177CF7">
        <w:t>rs9427397</w:t>
      </w:r>
      <w:r w:rsidR="00491C57" w:rsidRPr="00177CF7">
        <w:t xml:space="preserve"> and </w:t>
      </w:r>
      <w:r w:rsidR="00E05946" w:rsidRPr="00177CF7">
        <w:t>rs9427398</w:t>
      </w:r>
      <w:r w:rsidR="000378D2" w:rsidRPr="00177CF7">
        <w:t>,</w:t>
      </w:r>
      <w:r w:rsidR="00E05946" w:rsidRPr="00177CF7">
        <w:t xml:space="preserve"> which </w:t>
      </w:r>
      <w:r w:rsidR="00C1122A" w:rsidRPr="00177CF7">
        <w:t xml:space="preserve">cumulatively </w:t>
      </w:r>
      <w:r w:rsidR="00F16CE1" w:rsidRPr="00177CF7">
        <w:t xml:space="preserve">introduce a </w:t>
      </w:r>
      <w:r w:rsidR="004C5339" w:rsidRPr="00177CF7">
        <w:t xml:space="preserve">substitution of </w:t>
      </w:r>
      <w:r w:rsidR="008F31ED" w:rsidRPr="00177CF7">
        <w:t xml:space="preserve">glutamine </w:t>
      </w:r>
      <w:r w:rsidR="004C5339" w:rsidRPr="00177CF7">
        <w:t>with</w:t>
      </w:r>
      <w:r w:rsidR="008F31ED" w:rsidRPr="00177CF7">
        <w:t xml:space="preserve"> tryptophan (p.Q63W)</w:t>
      </w:r>
      <w:r w:rsidR="00F16CE1" w:rsidRPr="00177CF7">
        <w:t xml:space="preserve"> </w:t>
      </w:r>
      <w:r w:rsidR="00C1747F" w:rsidRPr="00177CF7">
        <w:t xml:space="preserve">at position </w:t>
      </w:r>
      <w:r w:rsidR="009E5F36" w:rsidRPr="00177CF7">
        <w:t>63</w:t>
      </w:r>
      <w:r w:rsidR="00C1747F" w:rsidRPr="00177CF7">
        <w:t xml:space="preserve"> of the protein sequence</w:t>
      </w:r>
      <w:r w:rsidR="008F31ED" w:rsidRPr="00177CF7">
        <w:t xml:space="preserve"> (</w:t>
      </w:r>
      <w:r w:rsidR="008573BF" w:rsidRPr="00177CF7">
        <w:t>based on transcript ENST00000271450.6</w:t>
      </w:r>
      <w:r w:rsidR="008F31ED" w:rsidRPr="00177CF7">
        <w:t>)</w:t>
      </w:r>
      <w:r w:rsidR="00C1747F" w:rsidRPr="00177CF7">
        <w:t xml:space="preserve"> and thereby possibly </w:t>
      </w:r>
      <w:r w:rsidR="00E55371" w:rsidRPr="00177CF7">
        <w:t>reducing the a</w:t>
      </w:r>
      <w:r w:rsidR="004147E4" w:rsidRPr="00177CF7">
        <w:t xml:space="preserve">ffinity of the </w:t>
      </w:r>
      <w:proofErr w:type="spellStart"/>
      <w:r w:rsidR="00DA032C" w:rsidRPr="00177CF7">
        <w:t>Olink</w:t>
      </w:r>
      <w:proofErr w:type="spellEnd"/>
      <w:r w:rsidR="00DA032C" w:rsidRPr="00177CF7">
        <w:t xml:space="preserve"> antibodies</w:t>
      </w:r>
      <w:r w:rsidR="004147E4" w:rsidRPr="00177CF7">
        <w:t xml:space="preserve"> for the modified protein.</w:t>
      </w:r>
      <w:r w:rsidR="004D3C23" w:rsidRPr="00177CF7">
        <w:t xml:space="preserve"> </w:t>
      </w:r>
    </w:p>
    <w:p w14:paraId="15519762" w14:textId="60BBCB42" w:rsidR="00907FA4" w:rsidRPr="00177CF7" w:rsidRDefault="00D20AA9" w:rsidP="00FA2AB0">
      <w:pPr>
        <w:spacing w:line="360" w:lineRule="auto"/>
        <w:jc w:val="both"/>
      </w:pPr>
      <w:r w:rsidRPr="00177CF7">
        <w:t>A different, independent variant</w:t>
      </w:r>
      <w:r w:rsidR="002978DC" w:rsidRPr="00177CF7">
        <w:t xml:space="preserve"> (</w:t>
      </w:r>
      <w:r w:rsidR="00D81A66" w:rsidRPr="00177CF7">
        <w:t>r</w:t>
      </w:r>
      <w:r w:rsidR="002978DC" w:rsidRPr="00177CF7">
        <w:t>²&lt;0.14)</w:t>
      </w:r>
      <w:r w:rsidRPr="00177CF7">
        <w:t xml:space="preserve">, </w:t>
      </w:r>
      <w:r w:rsidR="009B244E" w:rsidRPr="00177CF7">
        <w:t>rs4657041</w:t>
      </w:r>
      <w:r w:rsidRPr="00177CF7">
        <w:t xml:space="preserve"> (MAF=</w:t>
      </w:r>
      <w:r w:rsidR="00BC528E" w:rsidRPr="00177CF7">
        <w:t>48.0%</w:t>
      </w:r>
      <w:r w:rsidRPr="00177CF7">
        <w:t>)</w:t>
      </w:r>
      <w:r w:rsidR="002978DC" w:rsidRPr="00177CF7">
        <w:t>,</w:t>
      </w:r>
      <w:r w:rsidR="009B244E" w:rsidRPr="00177CF7">
        <w:t xml:space="preserve"> was the lead </w:t>
      </w:r>
      <w:r w:rsidR="002600C1" w:rsidRPr="00177CF7">
        <w:t xml:space="preserve">intronic </w:t>
      </w:r>
      <w:r w:rsidR="009B244E" w:rsidRPr="00177CF7">
        <w:rPr>
          <w:i/>
          <w:iCs/>
        </w:rPr>
        <w:t>cis</w:t>
      </w:r>
      <w:r w:rsidR="009B244E" w:rsidRPr="00177CF7">
        <w:t>-</w:t>
      </w:r>
      <w:proofErr w:type="spellStart"/>
      <w:r w:rsidR="009B244E" w:rsidRPr="00177CF7">
        <w:t>pQTL</w:t>
      </w:r>
      <w:proofErr w:type="spellEnd"/>
      <w:r w:rsidR="009B244E" w:rsidRPr="00177CF7">
        <w:t xml:space="preserve"> for FC</w:t>
      </w:r>
      <w:r w:rsidR="009C2BCA" w:rsidRPr="00177CF7">
        <w:t>G</w:t>
      </w:r>
      <w:r w:rsidR="009B244E" w:rsidRPr="00177CF7">
        <w:t>R2A</w:t>
      </w:r>
      <w:r w:rsidR="00196D09" w:rsidRPr="00177CF7">
        <w:t xml:space="preserve"> measured by </w:t>
      </w:r>
      <w:proofErr w:type="spellStart"/>
      <w:r w:rsidR="00196D09" w:rsidRPr="00177CF7">
        <w:t>SomaScan</w:t>
      </w:r>
      <w:proofErr w:type="spellEnd"/>
      <w:r w:rsidR="00196D09" w:rsidRPr="00177CF7">
        <w:t xml:space="preserve"> </w:t>
      </w:r>
      <w:r w:rsidR="009B244E" w:rsidRPr="00177CF7">
        <w:t>a</w:t>
      </w:r>
      <w:r w:rsidR="00D233B7" w:rsidRPr="00177CF7">
        <w:t>s well as</w:t>
      </w:r>
      <w:r w:rsidR="009B244E" w:rsidRPr="00177CF7">
        <w:t xml:space="preserve"> FC</w:t>
      </w:r>
      <w:r w:rsidR="00685FC5" w:rsidRPr="00177CF7">
        <w:t>G</w:t>
      </w:r>
      <w:r w:rsidR="009B244E" w:rsidRPr="00177CF7">
        <w:t xml:space="preserve">R2B measured by </w:t>
      </w:r>
      <w:proofErr w:type="spellStart"/>
      <w:r w:rsidR="009B244E" w:rsidRPr="00177CF7">
        <w:t>Olink</w:t>
      </w:r>
      <w:proofErr w:type="spellEnd"/>
      <w:r w:rsidR="00D233B7" w:rsidRPr="00177CF7">
        <w:t>. This signal was</w:t>
      </w:r>
      <w:r w:rsidR="000A0ED0" w:rsidRPr="00177CF7">
        <w:t xml:space="preserve"> shared with ulcerative colitis</w:t>
      </w:r>
      <w:r w:rsidR="00E32E09" w:rsidRPr="00177CF7">
        <w:t xml:space="preserve"> (</w:t>
      </w:r>
      <w:r w:rsidR="00ED3EBA" w:rsidRPr="00177CF7">
        <w:t xml:space="preserve">UC, </w:t>
      </w:r>
      <w:r w:rsidR="00E32E09" w:rsidRPr="00177CF7">
        <w:t>PP&gt;</w:t>
      </w:r>
      <w:r w:rsidR="00C8417C" w:rsidRPr="00177CF7">
        <w:t>95.3%</w:t>
      </w:r>
      <w:r w:rsidR="00E32E09" w:rsidRPr="00177CF7">
        <w:t>)</w:t>
      </w:r>
      <w:r w:rsidR="00224734" w:rsidRPr="00177CF7">
        <w:t xml:space="preserve">, </w:t>
      </w:r>
      <w:r w:rsidR="000A0ED0" w:rsidRPr="00177CF7">
        <w:t>systemic lupus erythematosus</w:t>
      </w:r>
      <w:r w:rsidR="00E32E09" w:rsidRPr="00177CF7">
        <w:t xml:space="preserve"> (</w:t>
      </w:r>
      <w:r w:rsidR="00ED3EBA" w:rsidRPr="00177CF7">
        <w:t xml:space="preserve">SLE, </w:t>
      </w:r>
      <w:r w:rsidR="00E32E09" w:rsidRPr="00177CF7">
        <w:t>PP&gt;</w:t>
      </w:r>
      <w:r w:rsidR="00E33842" w:rsidRPr="00177CF7">
        <w:t>82.6%</w:t>
      </w:r>
      <w:r w:rsidR="00E32E09" w:rsidRPr="00177CF7">
        <w:t>)</w:t>
      </w:r>
      <w:r w:rsidR="004F643A" w:rsidRPr="00177CF7">
        <w:t>,</w:t>
      </w:r>
      <w:r w:rsidR="00224734" w:rsidRPr="00177CF7">
        <w:t xml:space="preserve"> and various cell surface markers</w:t>
      </w:r>
      <w:r w:rsidR="00C773F7" w:rsidRPr="00177CF7">
        <w:t xml:space="preserve"> </w:t>
      </w:r>
      <w:r w:rsidR="00084437" w:rsidRPr="00177CF7">
        <w:t>of different immune cell populations</w:t>
      </w:r>
      <w:r w:rsidR="00C773F7" w:rsidRPr="00177CF7">
        <w:t>, including FCGR2A (CD32)</w:t>
      </w:r>
      <w:r w:rsidR="00FA2AB0" w:rsidRPr="00177CF7">
        <w:t xml:space="preserve"> (</w:t>
      </w:r>
      <w:r w:rsidR="00FA2AB0" w:rsidRPr="00177CF7">
        <w:rPr>
          <w:b/>
          <w:bCs/>
        </w:rPr>
        <w:t>Fig. 4</w:t>
      </w:r>
      <w:r w:rsidR="00FA2AB0" w:rsidRPr="00177CF7">
        <w:t>)</w:t>
      </w:r>
      <w:r w:rsidR="00E32E09" w:rsidRPr="00177CF7">
        <w:t>.</w:t>
      </w:r>
      <w:r w:rsidR="00212A41" w:rsidRPr="00177CF7">
        <w:t xml:space="preserve"> </w:t>
      </w:r>
      <w:r w:rsidR="00CB15AC" w:rsidRPr="00177CF7">
        <w:t>FCGR</w:t>
      </w:r>
      <w:r w:rsidR="00B543DC" w:rsidRPr="00177CF7">
        <w:t>2</w:t>
      </w:r>
      <w:r w:rsidR="00CB15AC" w:rsidRPr="00177CF7">
        <w:t xml:space="preserve">A is an activating receptor </w:t>
      </w:r>
      <w:r w:rsidR="00743469" w:rsidRPr="00177CF7">
        <w:t xml:space="preserve">upon </w:t>
      </w:r>
      <w:r w:rsidR="00CB15AC" w:rsidRPr="00177CF7">
        <w:t xml:space="preserve">binding </w:t>
      </w:r>
      <w:r w:rsidR="00743469" w:rsidRPr="00177CF7">
        <w:t xml:space="preserve">of </w:t>
      </w:r>
      <w:r w:rsidR="00CB15AC" w:rsidRPr="00177CF7">
        <w:t xml:space="preserve">immunoglobulin (IgG) complexes as part of the humoral immune system and </w:t>
      </w:r>
      <w:r w:rsidR="00D42407" w:rsidRPr="00177CF7">
        <w:t>rs4657041 is in strong LD (</w:t>
      </w:r>
      <w:r w:rsidR="00D81A66" w:rsidRPr="00177CF7">
        <w:t>r</w:t>
      </w:r>
      <w:r w:rsidR="00D42407" w:rsidRPr="00177CF7">
        <w:t xml:space="preserve">²=0.99) with the missense variant rs1801274 </w:t>
      </w:r>
      <w:r w:rsidR="00CB15AC" w:rsidRPr="00177CF7">
        <w:t>encod</w:t>
      </w:r>
      <w:r w:rsidR="00D42407" w:rsidRPr="00177CF7">
        <w:t>ing</w:t>
      </w:r>
      <w:r w:rsidR="00CB15AC" w:rsidRPr="00177CF7">
        <w:t xml:space="preserve"> for the well-known low/high responder phenotype</w:t>
      </w:r>
      <w:r w:rsidR="00CB15AC" w:rsidRPr="00177CF7">
        <w:fldChar w:fldCharType="begin" w:fldLock="1"/>
      </w:r>
      <w:r w:rsidR="007212AD">
        <w:instrText>ADDIN CSL_CITATION {"citationItems":[{"id":"ITEM-1","itemData":{"DOI":"10.4049/jimmunol.1101467","ISSN":"1550-6606","PMID":"21856937","abstract":"The interaction of Abs with their specific FcRs is of primary importance in host immune effector systems involved in infection and inflammation, and are the target for immune evasion by pathogens. FcγRIIa is a unique and the most widespread activating FcR in humans that through avid binding of immune complexes potently triggers inflammation. Polymorphisms of FcγRIIa (high responder/low responder [HR/LR]) are linked to susceptibility to infections, autoimmune diseases, and the efficacy of therapeutic Abs. In this article, we define the three-dimensional structure of the complex between the HR (arginine, R134) allele of FcγRIIa (FcγRIIa-HR) and the Fc region of a humanized IgG1 Ab, hu3S193. The structure suggests how the HR/LR polymorphism may influence FcγRIIa interactions with different IgG subclasses and glycoforms. In addition, mutagenesis defined the basis of the epitopes detected by FcR blocking mAbs specific for FcγRIIa (IV.3), FcγRIIb (X63-21), and a pan FcγRII Ab (8.7). The epitopes detected by these Abs are distinct, but all overlap with residues defined by crystallography to contact IgG. Finally, crystal structures of LR (histidine, H134) allele of FcγRIIa and FcγRIIa-HR reveal two distinct receptor dimers that may represent quaternary states on the cell surface. A model is presented whereby a dimer of FcγRIIa-HR binds Ag-Ab complexes in an arrangement that possibly occurs on the cell membrane as part of a larger signaling assembly.","author":[{"dropping-particle":"","family":"Ramsland","given":"Paul A.","non-dropping-particle":"","parse-names":false,"suffix":""},{"dropping-particle":"","family":"Farrugia","given":"William","non-dropping-particle":"","parse-names":false,"suffix":""},{"dropping-particle":"","family":"Bradford","given":"Tessa M.","non-dropping-particle":"","parse-names":false,"suffix":""},{"dropping-particle":"","family":"Sardjono","given":"Caroline Tan","non-dropping-particle":"","parse-names":false,"suffix":""},{"dropping-particle":"","family":"Esparon","given":"Sandra","non-dropping-particle":"","parse-names":false,"suffix":""},{"dropping-particle":"","family":"Trist","given":"Halina M.","non-dropping-particle":"","parse-names":false,"suffix":""},{"dropping-particle":"","family":"Powell","given":"Maree S.","non-dropping-particle":"","parse-names":false,"suffix":""},{"dropping-particle":"","family":"Tan","given":"Peck Szee","non-dropping-particle":"","parse-names":false,"suffix":""},{"dropping-particle":"","family":"Cendron","given":"Angela C.","non-dropping-particle":"","parse-names":false,"suffix":""},{"dropping-particle":"","family":"Wines","given":"Bruce D.","non-dropping-particle":"","parse-names":false,"suffix":""},{"dropping-particle":"","family":"Scott","given":"Andrew M.","non-dropping-particle":"","parse-names":false,"suffix":""},{"dropping-particle":"","family":"Hogarth","given":"P. Mark","non-dropping-particle":"","parse-names":false,"suffix":""}],"container-title":"Journal of immunology (Baltimore, Md. : 1950)","id":"ITEM-1","issue":"6","issued":{"date-parts":[["2011","9","15"]]},"page":"3208-17","title":"Structural basis for Fc gammaRIIa recognition of human IgG and formation of inflammatory signaling complexes.","type":"article-journal","volume":"187"},"uris":["http://www.mendeley.com/documents/?uuid=adf143c7-5f13-4a52-b290-423188c733c3"]},{"id":"ITEM-2","itemData":{"DOI":"10.1182/blood-2008-09-179754","ISSN":"1528-0020","PMID":"19018092","abstract":"Distinct genes encode 6 human receptors for IgG (hFcgammaRs), 3 of which have 2 or 3 polymorphic variants. The specificity and affinity of individual hFcgammaRs for the 4 human IgG subclasses is unknown. This information is critical for antibody-based immunotherapy which has been increasingly used in the clinics. We investigated the binding of polyclonal and monoclonal IgG1, IgG2, IgG3, and IgG4 to FcgammaRI; FcgammaRIIA, IIB, and IIC; FcgammaRIIIA and IIIB; and all known polymorphic variants. Wild-type and low-fucosylated IgG1 anti-CD20 and anti-RhD mAbs were also examined. We found that (1) IgG1 and IgG3 bind to all hFcgammaRs; (2) IgG2 bind not only to FcgammaRIIA(H131), but also, with a lower affinity, to FcgammaRIIA(R131) and FcgammaRIIIA(V158); (3) IgG4 bind to FcgammaRI, FcgammaRIIA, IIB and IIC and FcgammaRIIIA(V158); and (4) the inhibitory receptor FcgammaRIIB has a lower affinity for IgG1, IgG2, and IgG3 than all other hFcgammaRs. We also identified parameters that determine the specificity and affinity of hFcgammaRs for IgG subclasses. These results document how hFcgammaR specificity and affinity may account for the biological activities of antibodies. They therefore highlight the role of specific hFcgammaRs in the therapeutic and pathogenic effects of antibodies in disease.","author":[{"dropping-particle":"","family":"Bruhns","given":"Pierre","non-dropping-particle":"","parse-names":false,"suffix":""},{"dropping-particle":"","family":"Iannascoli","given":"Bruno","non-dropping-particle":"","parse-names":false,"suffix":""},{"dropping-particle":"","family":"England","given":"Patrick","non-dropping-particle":"","parse-names":false,"suffix":""},{"dropping-particle":"","family":"Mancardi","given":"David A.","non-dropping-particle":"","parse-names":false,"suffix":""},{"dropping-particle":"","family":"Fernandez","given":"Nadine","non-dropping-particle":"","parse-names":false,"suffix":""},{"dropping-particle":"","family":"Jorieux","given":"Sylvie","non-dropping-particle":"","parse-names":false,"suffix":""},{"dropping-particle":"","family":"Daëron","given":"Marc","non-dropping-particle":"","parse-names":false,"suffix":""}],"container-title":"Blood","id":"ITEM-2","issue":"16","issued":{"date-parts":[["2009","4","16"]]},"page":"3716-25","title":"Specificity and affinity of human Fcgamma receptors and their polymorphic variants for human IgG subclasses.","type":"article-journal","volume":"113"},"uris":["http://www.mendeley.com/documents/?uuid=40455221-f9a4-492c-bc73-2a0c6edd6f04"]}],"mendeley":{"formattedCitation":"&lt;sup&gt;32,33&lt;/sup&gt;","plainTextFormattedCitation":"32,33","previouslyFormattedCitation":"&lt;sup&gt;32,33&lt;/sup&gt;"},"properties":{"noteIndex":0},"schema":"https://github.com/citation-style-language/schema/raw/master/csl-citation.json"}</w:instrText>
      </w:r>
      <w:r w:rsidR="00CB15AC" w:rsidRPr="00177CF7">
        <w:fldChar w:fldCharType="separate"/>
      </w:r>
      <w:r w:rsidR="00AB37AF" w:rsidRPr="00AB37AF">
        <w:rPr>
          <w:noProof/>
          <w:vertAlign w:val="superscript"/>
        </w:rPr>
        <w:t>32,33</w:t>
      </w:r>
      <w:r w:rsidR="00CB15AC" w:rsidRPr="00177CF7">
        <w:fldChar w:fldCharType="end"/>
      </w:r>
      <w:r w:rsidR="00CB15AC" w:rsidRPr="00177CF7">
        <w:t xml:space="preserve">. </w:t>
      </w:r>
      <w:r w:rsidR="00600E6F" w:rsidRPr="00177CF7">
        <w:t>T</w:t>
      </w:r>
      <w:r w:rsidR="00CB15AC" w:rsidRPr="00177CF7">
        <w:t xml:space="preserve">he </w:t>
      </w:r>
      <w:r w:rsidR="006565A4" w:rsidRPr="00177CF7">
        <w:t xml:space="preserve">substitution </w:t>
      </w:r>
      <w:r w:rsidR="00CB15AC" w:rsidRPr="00177CF7">
        <w:t>of histidine for arginine conferred by the A-allele at position 134 increases binding of IgG2</w:t>
      </w:r>
      <w:r w:rsidR="00756B3A" w:rsidRPr="00177CF7">
        <w:t>,</w:t>
      </w:r>
      <w:r w:rsidR="00CB15AC" w:rsidRPr="00177CF7">
        <w:t xml:space="preserve"> </w:t>
      </w:r>
      <w:r w:rsidR="00756B3A" w:rsidRPr="00177CF7">
        <w:t>a</w:t>
      </w:r>
      <w:r w:rsidR="00CB15AC" w:rsidRPr="00177CF7">
        <w:t xml:space="preserve"> mechanism suggested to contribute to a higher risk for autoimmune disease, including UC and SLE</w:t>
      </w:r>
      <w:r w:rsidR="00C51183" w:rsidRPr="00177CF7">
        <w:t>.</w:t>
      </w:r>
      <w:r w:rsidR="00CB15AC" w:rsidRPr="00177CF7">
        <w:t xml:space="preserve"> GWAS studies</w:t>
      </w:r>
      <w:r w:rsidR="00C51183" w:rsidRPr="00177CF7">
        <w:t>, however,</w:t>
      </w:r>
      <w:r w:rsidR="00CB15AC" w:rsidRPr="00177CF7">
        <w:t xml:space="preserve"> showed opposing effect directions for UC (beta=0.14, p-value&lt;1.5x10</w:t>
      </w:r>
      <w:r w:rsidR="00CB15AC" w:rsidRPr="00177CF7">
        <w:rPr>
          <w:vertAlign w:val="superscript"/>
        </w:rPr>
        <w:t>-18</w:t>
      </w:r>
      <w:r w:rsidR="00CB15AC" w:rsidRPr="00177CF7">
        <w:t>) and SLE (beta=-0.18, p-value&lt;5.5x10</w:t>
      </w:r>
      <w:r w:rsidR="00CB15AC" w:rsidRPr="00177CF7">
        <w:rPr>
          <w:vertAlign w:val="superscript"/>
        </w:rPr>
        <w:t>-11</w:t>
      </w:r>
      <w:r w:rsidR="00CB15AC" w:rsidRPr="00177CF7">
        <w:t xml:space="preserve">). </w:t>
      </w:r>
      <w:r w:rsidR="001C2B61" w:rsidRPr="00177CF7">
        <w:t xml:space="preserve">The extremely strong effect of rs1801274 on the </w:t>
      </w:r>
      <w:proofErr w:type="spellStart"/>
      <w:r w:rsidR="001C2B61" w:rsidRPr="00177CF7">
        <w:t>SomaScan</w:t>
      </w:r>
      <w:proofErr w:type="spellEnd"/>
      <w:r w:rsidR="001C2B61" w:rsidRPr="00177CF7">
        <w:t xml:space="preserve"> measure of FCGR2A (&gt;1 </w:t>
      </w:r>
      <w:proofErr w:type="spellStart"/>
      <w:r w:rsidR="001C2B61" w:rsidRPr="00177CF7">
        <w:t>s.d.</w:t>
      </w:r>
      <w:proofErr w:type="spellEnd"/>
      <w:r w:rsidR="001C2B61" w:rsidRPr="00177CF7">
        <w:t xml:space="preserve"> per A-allele, beta=-1.21, p-value&lt;1.1x10</w:t>
      </w:r>
      <w:r w:rsidR="001C2B61" w:rsidRPr="00177CF7">
        <w:rPr>
          <w:vertAlign w:val="superscript"/>
        </w:rPr>
        <w:t>-6276</w:t>
      </w:r>
      <w:r w:rsidR="001C2B61" w:rsidRPr="00177CF7">
        <w:t>) likely provides a simple proteomic readout for low versus high-responder status relevant for immunotherapy using antibodies</w:t>
      </w:r>
      <w:r w:rsidR="001C2B61" w:rsidRPr="00177CF7">
        <w:fldChar w:fldCharType="begin" w:fldLock="1"/>
      </w:r>
      <w:r w:rsidR="007212AD">
        <w:instrText>ADDIN CSL_CITATION {"citationItems":[{"id":"ITEM-1","itemData":{"DOI":"10.3389/fimmu.2019.02237","ISSN":"16643224","PMID":"31632391","abstract":"Fc-gamma receptors (FcγR) are the cellular receptors for Immunoglobulin G (IgG). Upon binding of complexed IgG, FcγRs can trigger various cellular immune effector functions, thereby linking the adaptive and innate immune systems. In humans, six classic FcγRs are known: one high-affinity receptor (FcγRI) and five low-to-medium-affinity FcγRs (FcγRIIA, -B and -C, FcγRIIIA and -B). In this review we describe the five genes encoding the low-to-medium -affinity FcγRs (FCGR2A, FCGR2B, FCGR2C, FCGR3A, and FCGR3B), including well-characterized functionally relevant single nucleotide polymorphisms (SNPs), haplotypes as well as copy number variants (CNVs), which occur in distinct copy number regions across the locus. The evolution of the locus is also discussed. Importantly, we recommend a consistent nomenclature of genetic variants in the FCGR2/3 locus. Next, we focus on the relevance of genetic variation in the FCGR2/3 locus in auto-immune and auto-inflammatory diseases, highlighting pathophysiological insights that are informed by genetic association studies. Finally, we illustrate how specific FcγR variants relate to variation in treatment responses and prognosis amongst autoimmune diseases, cancer and transplant immunology, suggesting novel opportunities for personalized medicine.","author":[{"dropping-particle":"","family":"Nagelkerke","given":"Sietse Q.","non-dropping-particle":"","parse-names":false,"suffix":""},{"dropping-particle":"","family":"Schmidt","given":"David E.","non-dropping-particle":"","parse-names":false,"suffix":""},{"dropping-particle":"","family":"Haas","given":"Masja","non-dropping-particle":"de","parse-names":false,"suffix":""},{"dropping-particle":"","family":"Kuijpers","given":"Taco W.","non-dropping-particle":"","parse-names":false,"suffix":""}],"container-title":"Frontiers in Immunology","id":"ITEM-1","issued":{"date-parts":[["2019","10","3"]]},"publisher":"Frontiers Media S.A.","title":"Genetic Variation in Low-To-Medium-Affinity Fcγ Receptors: Functional Consequences, Disease Associations, and Opportunities for Personalized Medicine","type":"article","volume":"10"},"uris":["http://www.mendeley.com/documents/?uuid=72f285af-e873-37ce-9dc6-bee3618a0dd5"]}],"mendeley":{"formattedCitation":"&lt;sup&gt;34&lt;/sup&gt;","plainTextFormattedCitation":"34","previouslyFormattedCitation":"&lt;sup&gt;34&lt;/sup&gt;"},"properties":{"noteIndex":0},"schema":"https://github.com/citation-style-language/schema/raw/master/csl-citation.json"}</w:instrText>
      </w:r>
      <w:r w:rsidR="001C2B61" w:rsidRPr="00177CF7">
        <w:fldChar w:fldCharType="separate"/>
      </w:r>
      <w:r w:rsidR="00AB37AF" w:rsidRPr="00AB37AF">
        <w:rPr>
          <w:noProof/>
          <w:vertAlign w:val="superscript"/>
        </w:rPr>
        <w:t>34</w:t>
      </w:r>
      <w:r w:rsidR="001C2B61" w:rsidRPr="00177CF7">
        <w:fldChar w:fldCharType="end"/>
      </w:r>
      <w:r w:rsidR="001C2B61" w:rsidRPr="00177CF7">
        <w:t xml:space="preserve">. We note, that possibly both </w:t>
      </w:r>
      <w:r w:rsidR="001C2B61" w:rsidRPr="00177CF7">
        <w:rPr>
          <w:i/>
          <w:iCs/>
        </w:rPr>
        <w:t>cis</w:t>
      </w:r>
      <w:r w:rsidR="001C2B61" w:rsidRPr="00177CF7">
        <w:t>-</w:t>
      </w:r>
      <w:proofErr w:type="spellStart"/>
      <w:r w:rsidR="001C2B61" w:rsidRPr="00177CF7">
        <w:t>pQTLs</w:t>
      </w:r>
      <w:proofErr w:type="spellEnd"/>
      <w:r w:rsidR="001C2B61" w:rsidRPr="00177CF7">
        <w:t xml:space="preserve"> for FCGR2A relate to RA, since we obtained evidence that the lead signal for </w:t>
      </w:r>
      <w:proofErr w:type="spellStart"/>
      <w:r w:rsidR="001C2B61" w:rsidRPr="00177CF7">
        <w:t>SomaScan</w:t>
      </w:r>
      <w:proofErr w:type="spellEnd"/>
      <w:r w:rsidR="001C2B61" w:rsidRPr="00177CF7">
        <w:t xml:space="preserve"> colocalised with RA (PP&gt;87.1%) as assessed in Biobank Japan (</w:t>
      </w:r>
      <w:r w:rsidR="00E743DF">
        <w:rPr>
          <w:b/>
          <w:bCs/>
        </w:rPr>
        <w:t>Supplementary Data 11</w:t>
      </w:r>
      <w:r w:rsidR="001C2B61" w:rsidRPr="00177CF7">
        <w:t xml:space="preserve">). </w:t>
      </w:r>
      <w:r w:rsidR="00212A41" w:rsidRPr="00177CF7">
        <w:t>Finally,</w:t>
      </w:r>
      <w:r w:rsidR="00F524DA" w:rsidRPr="00177CF7">
        <w:t xml:space="preserve"> </w:t>
      </w:r>
      <w:r w:rsidR="003F7F23" w:rsidRPr="00177CF7">
        <w:t>rs6665610</w:t>
      </w:r>
      <w:r w:rsidR="00034B33" w:rsidRPr="00177CF7">
        <w:t xml:space="preserve"> (</w:t>
      </w:r>
      <w:r w:rsidR="00FD659D" w:rsidRPr="00177CF7">
        <w:t xml:space="preserve">a </w:t>
      </w:r>
      <w:r w:rsidR="002320F3" w:rsidRPr="00177CF7">
        <w:t>syno</w:t>
      </w:r>
      <w:r w:rsidR="002E6DC0" w:rsidRPr="00177CF7">
        <w:t xml:space="preserve">nymous variant within </w:t>
      </w:r>
      <w:r w:rsidR="002E6DC0" w:rsidRPr="00177CF7">
        <w:rPr>
          <w:i/>
          <w:iCs/>
        </w:rPr>
        <w:t>FCGR2B</w:t>
      </w:r>
      <w:r w:rsidR="00034B33" w:rsidRPr="00177CF7">
        <w:t>)</w:t>
      </w:r>
      <w:r w:rsidR="001F20F1" w:rsidRPr="00177CF7">
        <w:t xml:space="preserve"> was a </w:t>
      </w:r>
      <w:r w:rsidR="001F20F1" w:rsidRPr="00177CF7">
        <w:rPr>
          <w:i/>
          <w:iCs/>
        </w:rPr>
        <w:t>cis</w:t>
      </w:r>
      <w:r w:rsidR="001F20F1" w:rsidRPr="00177CF7">
        <w:t>-</w:t>
      </w:r>
      <w:proofErr w:type="spellStart"/>
      <w:r w:rsidR="001F20F1" w:rsidRPr="00177CF7">
        <w:t>pQTL</w:t>
      </w:r>
      <w:proofErr w:type="spellEnd"/>
      <w:r w:rsidR="001F20F1" w:rsidRPr="00177CF7">
        <w:t xml:space="preserve"> unique to FC</w:t>
      </w:r>
      <w:r w:rsidR="005D7637" w:rsidRPr="00177CF7">
        <w:t>G</w:t>
      </w:r>
      <w:r w:rsidR="001F20F1" w:rsidRPr="00177CF7">
        <w:t xml:space="preserve">R2B as measured by </w:t>
      </w:r>
      <w:proofErr w:type="spellStart"/>
      <w:r w:rsidR="001F20F1" w:rsidRPr="00177CF7">
        <w:t>SomaScan</w:t>
      </w:r>
      <w:proofErr w:type="spellEnd"/>
      <w:r w:rsidR="001F20F1" w:rsidRPr="00177CF7">
        <w:t xml:space="preserve"> </w:t>
      </w:r>
      <w:r w:rsidR="00282710" w:rsidRPr="00177CF7">
        <w:t xml:space="preserve">with no evidence for </w:t>
      </w:r>
      <w:r w:rsidR="00921D2F" w:rsidRPr="00177CF7">
        <w:t xml:space="preserve">a shared </w:t>
      </w:r>
      <w:r w:rsidR="00D12AE6" w:rsidRPr="00177CF7">
        <w:t>phenot</w:t>
      </w:r>
      <w:r w:rsidR="00094D6C" w:rsidRPr="00177CF7">
        <w:t xml:space="preserve">ypic </w:t>
      </w:r>
      <w:r w:rsidR="00DD188A" w:rsidRPr="00177CF7">
        <w:t>association</w:t>
      </w:r>
      <w:r w:rsidR="00282710" w:rsidRPr="00177CF7">
        <w:t>.</w:t>
      </w:r>
      <w:r w:rsidR="00094D6C" w:rsidRPr="00177CF7">
        <w:t xml:space="preserve"> </w:t>
      </w:r>
      <w:r w:rsidR="00384D8A" w:rsidRPr="00177CF7">
        <w:t>Together, t</w:t>
      </w:r>
      <w:r w:rsidR="00AF28C0" w:rsidRPr="00177CF7">
        <w:t xml:space="preserve">hese results suggest that </w:t>
      </w:r>
      <w:proofErr w:type="spellStart"/>
      <w:r w:rsidR="00145611" w:rsidRPr="00177CF7">
        <w:t>SomaScan</w:t>
      </w:r>
      <w:proofErr w:type="spellEnd"/>
      <w:r w:rsidR="00145611" w:rsidRPr="00177CF7">
        <w:t xml:space="preserve"> and </w:t>
      </w:r>
      <w:proofErr w:type="spellStart"/>
      <w:r w:rsidR="00145611" w:rsidRPr="00177CF7">
        <w:lastRenderedPageBreak/>
        <w:t>Olink</w:t>
      </w:r>
      <w:proofErr w:type="spellEnd"/>
      <w:r w:rsidR="00145611" w:rsidRPr="00177CF7">
        <w:t xml:space="preserve"> target different </w:t>
      </w:r>
      <w:r w:rsidR="00E879E7" w:rsidRPr="00177CF7">
        <w:t xml:space="preserve">forms of </w:t>
      </w:r>
      <w:r w:rsidR="00145611" w:rsidRPr="00177CF7">
        <w:t>FC</w:t>
      </w:r>
      <w:r w:rsidR="005D7637" w:rsidRPr="00177CF7">
        <w:t>G</w:t>
      </w:r>
      <w:r w:rsidR="00145611" w:rsidRPr="00177CF7">
        <w:t>R2A</w:t>
      </w:r>
      <w:r w:rsidR="00DD188A" w:rsidRPr="00177CF7">
        <w:t xml:space="preserve">, each </w:t>
      </w:r>
      <w:r w:rsidR="00145611" w:rsidRPr="00177CF7">
        <w:t xml:space="preserve">with distinct downstream consequences </w:t>
      </w:r>
      <w:r w:rsidR="00DD188A" w:rsidRPr="00177CF7">
        <w:t>for human health</w:t>
      </w:r>
      <w:r w:rsidR="006A5F7E" w:rsidRPr="00177CF7">
        <w:t xml:space="preserve"> as evidenced by the colocalising genetic signal</w:t>
      </w:r>
      <w:r w:rsidR="00DD188A" w:rsidRPr="00177CF7">
        <w:t xml:space="preserve">. </w:t>
      </w:r>
    </w:p>
    <w:p w14:paraId="0200CE94" w14:textId="6DADBA86" w:rsidR="006A3B0E" w:rsidRPr="00177CF7" w:rsidRDefault="00A47422" w:rsidP="00541458">
      <w:pPr>
        <w:spacing w:line="360" w:lineRule="auto"/>
        <w:jc w:val="both"/>
        <w:rPr>
          <w:b/>
          <w:bCs/>
          <w:i/>
          <w:iCs/>
        </w:rPr>
      </w:pPr>
      <w:r w:rsidRPr="00177CF7">
        <w:rPr>
          <w:b/>
          <w:bCs/>
          <w:i/>
          <w:iCs/>
        </w:rPr>
        <w:t xml:space="preserve">Phenotypic </w:t>
      </w:r>
      <w:proofErr w:type="spellStart"/>
      <w:r w:rsidRPr="00177CF7">
        <w:rPr>
          <w:b/>
          <w:bCs/>
          <w:i/>
          <w:iCs/>
        </w:rPr>
        <w:t>colocalisation</w:t>
      </w:r>
      <w:proofErr w:type="spellEnd"/>
      <w:r w:rsidRPr="00177CF7">
        <w:rPr>
          <w:b/>
          <w:bCs/>
          <w:i/>
          <w:iCs/>
        </w:rPr>
        <w:t xml:space="preserve"> unique to the </w:t>
      </w:r>
      <w:proofErr w:type="spellStart"/>
      <w:r w:rsidRPr="00177CF7">
        <w:rPr>
          <w:b/>
          <w:bCs/>
          <w:i/>
          <w:iCs/>
        </w:rPr>
        <w:t>SomaScan</w:t>
      </w:r>
      <w:proofErr w:type="spellEnd"/>
      <w:r w:rsidRPr="00177CF7">
        <w:rPr>
          <w:b/>
          <w:bCs/>
          <w:i/>
          <w:iCs/>
        </w:rPr>
        <w:t xml:space="preserve"> assay</w:t>
      </w:r>
    </w:p>
    <w:p w14:paraId="0712E6E0" w14:textId="60F92225" w:rsidR="005A29F1" w:rsidRPr="00177CF7" w:rsidRDefault="00686F4C" w:rsidP="00541458">
      <w:pPr>
        <w:spacing w:line="360" w:lineRule="auto"/>
        <w:jc w:val="both"/>
      </w:pPr>
      <w:r w:rsidRPr="00177CF7">
        <w:t xml:space="preserve">Aptamers </w:t>
      </w:r>
      <w:r w:rsidR="00E57B5C" w:rsidRPr="00177CF7">
        <w:t xml:space="preserve">of the </w:t>
      </w:r>
      <w:proofErr w:type="spellStart"/>
      <w:r w:rsidR="00E57B5C" w:rsidRPr="00177CF7">
        <w:t>SomaScan</w:t>
      </w:r>
      <w:proofErr w:type="spellEnd"/>
      <w:r w:rsidR="00E57B5C" w:rsidRPr="00177CF7">
        <w:t xml:space="preserve"> assay are designed to </w:t>
      </w:r>
      <w:r w:rsidR="00EF2904" w:rsidRPr="00177CF7">
        <w:t>bind through their specific shape to the target protein.</w:t>
      </w:r>
      <w:r w:rsidR="00E57B5C" w:rsidRPr="00177CF7">
        <w:t xml:space="preserve"> </w:t>
      </w:r>
      <w:r w:rsidR="00EF2904" w:rsidRPr="00177CF7">
        <w:t xml:space="preserve">This </w:t>
      </w:r>
      <w:r w:rsidR="003B57A5" w:rsidRPr="00177CF7">
        <w:t>sha</w:t>
      </w:r>
      <w:r w:rsidR="008019F7" w:rsidRPr="00177CF7">
        <w:t xml:space="preserve">pe-based nature </w:t>
      </w:r>
      <w:r w:rsidR="006551AE" w:rsidRPr="00177CF7">
        <w:t>enabled us to discover</w:t>
      </w:r>
      <w:r w:rsidR="002D608F" w:rsidRPr="00177CF7">
        <w:t xml:space="preserve"> multiple </w:t>
      </w:r>
      <w:r w:rsidR="006F21F2" w:rsidRPr="00177CF7">
        <w:t xml:space="preserve">unique </w:t>
      </w:r>
      <w:r w:rsidR="002D608F" w:rsidRPr="00177CF7">
        <w:t>protein</w:t>
      </w:r>
      <w:r w:rsidR="0059533A" w:rsidRPr="00177CF7">
        <w:noBreakHyphen/>
      </w:r>
      <w:r w:rsidR="002D608F" w:rsidRPr="00177CF7">
        <w:t>phenotype links</w:t>
      </w:r>
      <w:r w:rsidR="006F21F2" w:rsidRPr="00177CF7">
        <w:t xml:space="preserve">, including </w:t>
      </w:r>
      <w:r w:rsidR="00D2752A" w:rsidRPr="00177CF7">
        <w:t>c</w:t>
      </w:r>
      <w:r w:rsidR="00941BD6" w:rsidRPr="00177CF7">
        <w:t xml:space="preserve">athepsin H and </w:t>
      </w:r>
      <w:r w:rsidR="0048491E" w:rsidRPr="00177CF7">
        <w:t>type 1 diabetes (</w:t>
      </w:r>
      <w:r w:rsidR="007D29F7" w:rsidRPr="00177CF7">
        <w:t xml:space="preserve">rs2289702 within </w:t>
      </w:r>
      <w:r w:rsidR="007D29F7" w:rsidRPr="00177CF7">
        <w:rPr>
          <w:i/>
          <w:iCs/>
        </w:rPr>
        <w:t>CTSH</w:t>
      </w:r>
      <w:r w:rsidR="0048491E" w:rsidRPr="00177CF7">
        <w:t>)</w:t>
      </w:r>
      <w:r w:rsidR="007D29F7" w:rsidRPr="00177CF7">
        <w:t>,</w:t>
      </w:r>
      <w:r w:rsidR="004F0CEC" w:rsidRPr="00177CF7">
        <w:t xml:space="preserve"> </w:t>
      </w:r>
      <w:r w:rsidR="00A603EB" w:rsidRPr="00177CF7">
        <w:t>TR</w:t>
      </w:r>
      <w:r w:rsidR="00A82711" w:rsidRPr="00177CF7">
        <w:t>EM</w:t>
      </w:r>
      <w:r w:rsidR="004F0CEC" w:rsidRPr="00177CF7">
        <w:t>-like transcript 2 protein</w:t>
      </w:r>
      <w:r w:rsidR="007D29F7" w:rsidRPr="00177CF7">
        <w:t xml:space="preserve"> and </w:t>
      </w:r>
      <w:r w:rsidR="004F0CEC" w:rsidRPr="00177CF7">
        <w:t>monocyte count (</w:t>
      </w:r>
      <w:r w:rsidR="000B54CC" w:rsidRPr="00177CF7">
        <w:t xml:space="preserve">rs62396355 within </w:t>
      </w:r>
      <w:r w:rsidR="000B54CC" w:rsidRPr="00177CF7">
        <w:rPr>
          <w:i/>
          <w:iCs/>
        </w:rPr>
        <w:t>TREML2</w:t>
      </w:r>
      <w:r w:rsidR="004F0CEC" w:rsidRPr="00177CF7">
        <w:t>)</w:t>
      </w:r>
      <w:r w:rsidR="00CA0E4C" w:rsidRPr="00177CF7">
        <w:t xml:space="preserve">, or </w:t>
      </w:r>
      <w:r w:rsidR="0059533A" w:rsidRPr="00177CF7">
        <w:t>p</w:t>
      </w:r>
      <w:r w:rsidR="001F5992" w:rsidRPr="00177CF7">
        <w:t xml:space="preserve">lexin-B2 </w:t>
      </w:r>
      <w:r w:rsidR="008E4187" w:rsidRPr="00177CF7">
        <w:t>and systolic blood pressure</w:t>
      </w:r>
      <w:r w:rsidR="001F5992" w:rsidRPr="00177CF7">
        <w:t xml:space="preserve"> (rs28379706 within </w:t>
      </w:r>
      <w:r w:rsidR="001F5992" w:rsidRPr="00177CF7">
        <w:rPr>
          <w:i/>
          <w:iCs/>
        </w:rPr>
        <w:t>PLXNB2</w:t>
      </w:r>
      <w:r w:rsidR="001F5992" w:rsidRPr="00177CF7">
        <w:t>)</w:t>
      </w:r>
      <w:r w:rsidR="00BA7D30" w:rsidRPr="00177CF7">
        <w:t xml:space="preserve"> (</w:t>
      </w:r>
      <w:r w:rsidR="00E743DF">
        <w:rPr>
          <w:b/>
          <w:bCs/>
        </w:rPr>
        <w:t>Supplementary Data 11</w:t>
      </w:r>
      <w:r w:rsidR="00BA7D30" w:rsidRPr="00177CF7">
        <w:t>)</w:t>
      </w:r>
      <w:r w:rsidR="008E4187" w:rsidRPr="00177CF7">
        <w:t xml:space="preserve">. </w:t>
      </w:r>
    </w:p>
    <w:p w14:paraId="1EE62507" w14:textId="79AED3C7" w:rsidR="00C83CCD" w:rsidRPr="00177CF7" w:rsidRDefault="00505DCD" w:rsidP="00007D77">
      <w:pPr>
        <w:spacing w:line="360" w:lineRule="auto"/>
        <w:jc w:val="both"/>
      </w:pPr>
      <w:r w:rsidRPr="00177CF7">
        <w:t>We</w:t>
      </w:r>
      <w:r w:rsidR="002A2FF1" w:rsidRPr="00177CF7">
        <w:t xml:space="preserve"> </w:t>
      </w:r>
      <w:r w:rsidR="003D6D41" w:rsidRPr="00177CF7">
        <w:t>identif</w:t>
      </w:r>
      <w:r w:rsidRPr="00177CF7">
        <w:t>ied</w:t>
      </w:r>
      <w:r w:rsidR="003D6D41" w:rsidRPr="00177CF7">
        <w:t xml:space="preserve"> a complete segregation of </w:t>
      </w:r>
      <w:r w:rsidR="009F6B73" w:rsidRPr="00177CF7">
        <w:t xml:space="preserve">abundance- </w:t>
      </w:r>
      <w:r w:rsidR="003D6D41" w:rsidRPr="00177CF7">
        <w:t xml:space="preserve">versus shape-based </w:t>
      </w:r>
      <w:r w:rsidR="009F6B73" w:rsidRPr="00177CF7">
        <w:t xml:space="preserve">effects </w:t>
      </w:r>
      <w:r w:rsidR="0011192C" w:rsidRPr="00177CF7">
        <w:t>for Growth differentiation factor 15 (</w:t>
      </w:r>
      <w:r w:rsidR="009F6B73" w:rsidRPr="00177CF7">
        <w:t>GDF-15</w:t>
      </w:r>
      <w:r w:rsidR="0011192C" w:rsidRPr="00177CF7">
        <w:t>)</w:t>
      </w:r>
      <w:r w:rsidR="009F6B73" w:rsidRPr="00177CF7">
        <w:t>.</w:t>
      </w:r>
      <w:r w:rsidR="0011192C" w:rsidRPr="00177CF7">
        <w:t xml:space="preserve"> </w:t>
      </w:r>
      <w:r w:rsidR="000E2E21" w:rsidRPr="00177CF7">
        <w:t xml:space="preserve">GDF-15 is generally considered as a stress signal inducing weight loss and </w:t>
      </w:r>
      <w:r w:rsidR="006967E0" w:rsidRPr="00177CF7">
        <w:t>reducing food intake via an effect on aversion to food</w:t>
      </w:r>
      <w:r w:rsidR="000E2E21" w:rsidRPr="00177CF7">
        <w:t>, a phenomenon thought to explain cachexia/anorexia in cancer patients and episodes of hyperemesis during pregnancy</w:t>
      </w:r>
      <w:r w:rsidR="000E2E21" w:rsidRPr="00177CF7">
        <w:fldChar w:fldCharType="begin" w:fldLock="1"/>
      </w:r>
      <w:r w:rsidR="007212AD">
        <w:instrText>ADDIN CSL_CITATION {"citationItems":[{"id":"ITEM-1","itemData":{"DOI":"10.1210/endrev/bnaa007","ISSN":"1945-7189","PMID":"32310257","abstract":"GDF15 has recently gained scientific and translational prominence with the discovery that its receptor is a GFRAL-RET heterodimer of which GFRAL is expressed solely in the hindbrain. Activation of this receptor results in reduced food intake and loss of body weight and is perceived and recalled by animals as aversive. This information encourages a revised interpretation of the large body of previous research on the protein. GDF15 can be secreted by a wide variety of cell types in response to a broad range of stressors. We propose that central sensing of GDF15 via GFRAL-RET activation results in behaviors that facilitate the reduction of exposure to a noxious stimulus. The human trophoblast appears to have hijacked this signal, producing large amounts of GDF15 from early pregnancy. We speculate that this encourages avoidance of potential teratogens in pregnancy. Circulating GDF15 levels are elevated in a range of human disease states, including various forms of cachexia, and GDF15-GFRAL antagonism is emerging as a therapeutic strategy for anorexia/cachexia syndromes. Metformin elevates circulating GDF15 chronically in humans and the weight loss caused by this drug appears to be dependent on the rise in GDF15. This supports the concept that chronic activation of the GDF15-GFRAL axis has efficacy as an antiobesity agent. In this review, we examine the science of GDF15 since its identification in 1997 with our interpretation of this body of work now being assisted by a clear understanding of its highly selective central site of action.","author":[{"dropping-particle":"","family":"Lockhart","given":"Samuel M","non-dropping-particle":"","parse-names":false,"suffix":""},{"dropping-particle":"","family":"Saudek","given":"Vladimir","non-dropping-particle":"","parse-names":false,"suffix":""},{"dropping-particle":"","family":"O'Rahilly","given":"Stephen","non-dropping-particle":"","parse-names":false,"suffix":""}],"container-title":"Endocrine reviews","id":"ITEM-1","issue":"4","issued":{"date-parts":[["2020"]]},"title":"GDF15: A Hormone Conveying Somatic Distress to the Brain.","type":"article-journal","volume":"41"},"uris":["http://www.mendeley.com/documents/?uuid=d2bea8ef-0b59-369f-ac26-a631e1533b89"]}],"mendeley":{"formattedCitation":"&lt;sup&gt;35&lt;/sup&gt;","plainTextFormattedCitation":"35","previouslyFormattedCitation":"&lt;sup&gt;35&lt;/sup&gt;"},"properties":{"noteIndex":0},"schema":"https://github.com/citation-style-language/schema/raw/master/csl-citation.json"}</w:instrText>
      </w:r>
      <w:r w:rsidR="000E2E21" w:rsidRPr="00177CF7">
        <w:fldChar w:fldCharType="separate"/>
      </w:r>
      <w:r w:rsidR="00AB37AF" w:rsidRPr="00AB37AF">
        <w:rPr>
          <w:noProof/>
          <w:vertAlign w:val="superscript"/>
        </w:rPr>
        <w:t>35</w:t>
      </w:r>
      <w:r w:rsidR="000E2E21" w:rsidRPr="00177CF7">
        <w:fldChar w:fldCharType="end"/>
      </w:r>
      <w:r w:rsidR="00180963" w:rsidRPr="00177CF7">
        <w:t xml:space="preserve">. We </w:t>
      </w:r>
      <w:r w:rsidR="00CC3C72" w:rsidRPr="00177CF7">
        <w:t xml:space="preserve">observed that the </w:t>
      </w:r>
      <w:proofErr w:type="spellStart"/>
      <w:r w:rsidR="00CC3C72" w:rsidRPr="00177CF7">
        <w:t>SomaScan</w:t>
      </w:r>
      <w:proofErr w:type="spellEnd"/>
      <w:r w:rsidR="00CC3C72" w:rsidRPr="00177CF7">
        <w:t xml:space="preserve">-specific </w:t>
      </w:r>
      <w:r w:rsidR="00CC3C72" w:rsidRPr="00177CF7">
        <w:rPr>
          <w:i/>
          <w:iCs/>
        </w:rPr>
        <w:t>cis</w:t>
      </w:r>
      <w:r w:rsidR="00CC3C72" w:rsidRPr="00177CF7">
        <w:t>-</w:t>
      </w:r>
      <w:proofErr w:type="spellStart"/>
      <w:r w:rsidR="00CC3C72" w:rsidRPr="00177CF7">
        <w:t>pQTL</w:t>
      </w:r>
      <w:proofErr w:type="spellEnd"/>
      <w:r w:rsidR="00CC3C72" w:rsidRPr="00177CF7">
        <w:t xml:space="preserve"> (</w:t>
      </w:r>
      <w:r w:rsidR="00EC3BAD" w:rsidRPr="00177CF7">
        <w:t>rs75347775,</w:t>
      </w:r>
      <w:r w:rsidR="006530BC" w:rsidRPr="00177CF7">
        <w:t xml:space="preserve"> </w:t>
      </w:r>
      <w:r w:rsidR="00EC3BAD" w:rsidRPr="00177CF7">
        <w:t>MAF=24.5%</w:t>
      </w:r>
      <w:r w:rsidR="00CC3C72" w:rsidRPr="00177CF7">
        <w:t xml:space="preserve">) showed strong evidence </w:t>
      </w:r>
      <w:r w:rsidR="00EC3BAD" w:rsidRPr="00177CF7">
        <w:t xml:space="preserve">for </w:t>
      </w:r>
      <w:proofErr w:type="spellStart"/>
      <w:r w:rsidR="00EC3BAD" w:rsidRPr="00177CF7">
        <w:t>colocalisation</w:t>
      </w:r>
      <w:proofErr w:type="spellEnd"/>
      <w:r w:rsidR="00EC3BAD" w:rsidRPr="00177CF7">
        <w:t xml:space="preserve"> </w:t>
      </w:r>
      <w:r w:rsidR="00CC3C72" w:rsidRPr="00177CF7">
        <w:t>with related phenotypes</w:t>
      </w:r>
      <w:r w:rsidR="00EC3BAD" w:rsidRPr="00177CF7">
        <w:t xml:space="preserve">, including </w:t>
      </w:r>
      <w:r w:rsidR="006F7FCB" w:rsidRPr="00177CF7">
        <w:t>a self-reported measure of childhood obesity and coffee intake</w:t>
      </w:r>
      <w:r w:rsidR="00D90056" w:rsidRPr="00177CF7">
        <w:t xml:space="preserve">, and was further in </w:t>
      </w:r>
      <w:r w:rsidR="002E1A60" w:rsidRPr="00177CF7">
        <w:t>strong</w:t>
      </w:r>
      <w:r w:rsidR="00D90056" w:rsidRPr="00177CF7">
        <w:t xml:space="preserve"> LD (</w:t>
      </w:r>
      <w:r w:rsidR="00D81A66" w:rsidRPr="00177CF7">
        <w:t>r</w:t>
      </w:r>
      <w:r w:rsidR="00D90056" w:rsidRPr="00177CF7">
        <w:t>²=</w:t>
      </w:r>
      <w:r w:rsidR="005101F4" w:rsidRPr="00177CF7">
        <w:t>0.</w:t>
      </w:r>
      <w:r w:rsidR="003D2F52" w:rsidRPr="00177CF7">
        <w:t>9</w:t>
      </w:r>
      <w:r w:rsidR="009E1D87" w:rsidRPr="00177CF7">
        <w:t>6</w:t>
      </w:r>
      <w:r w:rsidR="00D90056" w:rsidRPr="00177CF7">
        <w:t xml:space="preserve">) </w:t>
      </w:r>
      <w:r w:rsidR="003024D5" w:rsidRPr="00177CF7">
        <w:t>with a known risk variant (</w:t>
      </w:r>
      <w:r w:rsidR="005101F4" w:rsidRPr="00177CF7">
        <w:t>rs45543339</w:t>
      </w:r>
      <w:r w:rsidR="003024D5" w:rsidRPr="00177CF7">
        <w:t xml:space="preserve">) for </w:t>
      </w:r>
      <w:r w:rsidR="00562CD1" w:rsidRPr="00177CF7">
        <w:t>hyperemesis gravidarum</w:t>
      </w:r>
      <w:r w:rsidR="00562CD1" w:rsidRPr="00177CF7">
        <w:fldChar w:fldCharType="begin" w:fldLock="1"/>
      </w:r>
      <w:r w:rsidR="007212AD">
        <w:instrText>ADDIN CSL_CITATION {"citationItems":[{"id":"ITEM-1","itemData":{"DOI":"10.1038/s41467-018-03258-0","ISSN":"20411723","PMID":"29563502","abstract":"Hyperemesis gravidarum (HG), severe nausea and vomiting of pregnancy, occurs in 0.3-2% of pregnancies and is associated with maternal and fetal morbidity. The cause of HG remains unknown, but familial aggregation and results of twin studies suggest that understanding the genetic contribution is essential for comprehending the disease etiology. Here, we conduct a genome-wide association study (GWAS) for binary (HG) and ordinal (severity of nausea and vomiting) phenotypes of pregnancy complications. Two loci, chr19p13.11 and chr4q12, are genome-wide significant (p &lt; 5 × 10-8) in both association scans and are replicated in an independent cohort. The genes implicated at these two loci are GDF15 and IGFBP7 respectively, both known to be involved in placentation, appetite, and cachexia. While proving the casual roles of GDF15 and IGFBP7 in nausea and vomiting of pregnancy requires further study, this GWAS provides insights into the genetic risk factors contributing to the disease.","author":[{"dropping-particle":"","family":"Fejzo","given":"Marlena S.","non-dropping-particle":"","parse-names":false,"suffix":""},{"dropping-particle":"V.","family":"Sazonova","given":"Olga","non-dropping-particle":"","parse-names":false,"suffix":""},{"dropping-particle":"","family":"Sathirapongsasuti","given":"J. Fah","non-dropping-particle":"","parse-names":false,"suffix":""},{"dropping-particle":"","family":"Hallgrímsdóttir","given":"Ingileif B.","non-dropping-particle":"","parse-names":false,"suffix":""},{"dropping-particle":"","family":"Vacic","given":"Vladimir","non-dropping-particle":"","parse-names":false,"suffix":""},{"dropping-particle":"","family":"MacGibbon","given":"Kimber W.","non-dropping-particle":"","parse-names":false,"suffix":""},{"dropping-particle":"","family":"Schoenberg","given":"Frederic P.","non-dropping-particle":"","parse-names":false,"suffix":""},{"dropping-particle":"","family":"Mancuso","given":"Nicholas","non-dropping-particle":"","parse-names":false,"suffix":""},{"dropping-particle":"","family":"Slamon","given":"Dennis J.","non-dropping-particle":"","parse-names":false,"suffix":""},{"dropping-particle":"","family":"Mullin","given":"Patrick M.","non-dropping-particle":"","parse-names":false,"suffix":""},{"dropping-particle":"","family":"Agee","given":"Michelle","non-dropping-particle":"","parse-names":false,"suffix":""},{"dropping-particle":"","family":"Alipanahi","given":"Babak","non-dropping-particle":"","parse-names":false,"suffix":""},{"dropping-particle":"","family":"Auton","given":"Adam","non-dropping-particle":"","parse-names":false,"suffix":""},{"dropping-particle":"","family":"Bell","given":"Robert K.","non-dropping-particle":"","parse-names":false,"suffix":""},{"dropping-particle":"","family":"Bryc","given":"Katarzyna","non-dropping-particle":"","parse-names":false,"suffix":""},{"dropping-particle":"","family":"Elson","given":"Sarah L.","non-dropping-particle":"","parse-names":false,"suffix":""},{"dropping-particle":"","family":"Fontanillas","given":"Pierre","non-dropping-particle":"","parse-names":false,"suffix":""},{"dropping-particle":"","family":"Furlotte","given":"Nicholas A.","non-dropping-particle":"","parse-names":false,"suffix":""},{"dropping-particle":"","family":"Hinds","given":"David A.","non-dropping-particle":"","parse-names":false,"suffix":""},{"dropping-particle":"","family":"Hromatka","given":"Bethann S.","non-dropping-particle":"","parse-names":false,"suffix":""},{"dropping-particle":"","family":"Huber","given":"Karen E.","non-dropping-particle":"","parse-names":false,"suffix":""},{"dropping-particle":"","family":"Kleinman","given":"Aaron","non-dropping-particle":"","parse-names":false,"suffix":""},{"dropping-particle":"","family":"Litterman","given":"Nadia K.","non-dropping-particle":"","parse-names":false,"suffix":""},{"dropping-particle":"","family":"McIntyre","given":"Matthew H.","non-dropping-particle":"","parse-names":false,"suffix":""},{"dropping-particle":"","family":"Mountain","given":"Joanna L.","non-dropping-particle":"","parse-names":false,"suffix":""},{"dropping-particle":"","family":"Noblin","given":"Elizabeth S.","non-dropping-particle":"","parse-names":false,"suffix":""},{"dropping-particle":"","family":"Northover","given":"Carrie A.M.","non-dropping-particle":"","parse-names":false,"suffix":""},{"dropping-particle":"","family":"Pitts","given":"Steven J.","non-dropping-particle":"","parse-names":false,"suffix":""},{"dropping-particle":"","family":"Shelton","given":"Janie F.","non-dropping-particle":"","parse-names":false,"suffix":""},{"dropping-particle":"","family":"Shringarpure","given":"Suyash","non-dropping-particle":"","parse-names":false,"suffix":""},{"dropping-particle":"","family":"Tian","given":"Chao","non-dropping-particle":"","parse-names":false,"suffix":""},{"dropping-particle":"","family":"Tung","given":"Joyce Y.","non-dropping-particle":"","parse-names":false,"suffix":""},{"dropping-particle":"","family":"Wilson","given":"Catherine H.","non-dropping-particle":"","parse-names":false,"suffix":""}],"container-title":"Nature Communications","id":"ITEM-1","issue":"1","issued":{"date-parts":[["2018","12","1"]]},"publisher":"Nature Publishing Group","title":"Placenta and appetite genes GDF15 and IGFBP7 are associated with hyperemesis gravidarum","type":"article-journal","volume":"9"},"uris":["http://www.mendeley.com/documents/?uuid=be3ea594-0157-3e2e-a5fd-b4b827e85842"]}],"mendeley":{"formattedCitation":"&lt;sup&gt;36&lt;/sup&gt;","plainTextFormattedCitation":"36","previouslyFormattedCitation":"&lt;sup&gt;36&lt;/sup&gt;"},"properties":{"noteIndex":0},"schema":"https://github.com/citation-style-language/schema/raw/master/csl-citation.json"}</w:instrText>
      </w:r>
      <w:r w:rsidR="00562CD1" w:rsidRPr="00177CF7">
        <w:fldChar w:fldCharType="separate"/>
      </w:r>
      <w:r w:rsidR="00AB37AF" w:rsidRPr="00AB37AF">
        <w:rPr>
          <w:noProof/>
          <w:vertAlign w:val="superscript"/>
        </w:rPr>
        <w:t>36</w:t>
      </w:r>
      <w:r w:rsidR="00562CD1" w:rsidRPr="00177CF7">
        <w:fldChar w:fldCharType="end"/>
      </w:r>
      <w:r w:rsidR="00FE044E" w:rsidRPr="00177CF7">
        <w:t>.</w:t>
      </w:r>
      <w:r w:rsidR="00D81A66" w:rsidRPr="00177CF7">
        <w:t xml:space="preserve"> </w:t>
      </w:r>
      <w:r w:rsidR="00B70B49" w:rsidRPr="00177CF7">
        <w:t xml:space="preserve">The lead </w:t>
      </w:r>
      <w:r w:rsidR="00B70B49" w:rsidRPr="00177CF7">
        <w:rPr>
          <w:i/>
          <w:iCs/>
        </w:rPr>
        <w:t>cis</w:t>
      </w:r>
      <w:r w:rsidR="00B70B49" w:rsidRPr="00177CF7">
        <w:t>-</w:t>
      </w:r>
      <w:proofErr w:type="spellStart"/>
      <w:r w:rsidR="00B70B49" w:rsidRPr="00177CF7">
        <w:t>pQTL</w:t>
      </w:r>
      <w:proofErr w:type="spellEnd"/>
      <w:r w:rsidR="00B70B49" w:rsidRPr="00177CF7">
        <w:t xml:space="preserve"> for </w:t>
      </w:r>
      <w:r w:rsidR="002225CC" w:rsidRPr="00177CF7">
        <w:t xml:space="preserve">GDF-15 </w:t>
      </w:r>
      <w:r w:rsidR="00816DA8" w:rsidRPr="00177CF7">
        <w:t xml:space="preserve">as </w:t>
      </w:r>
      <w:r w:rsidR="002225CC" w:rsidRPr="00177CF7">
        <w:t xml:space="preserve">measured by </w:t>
      </w:r>
      <w:proofErr w:type="spellStart"/>
      <w:r w:rsidR="002225CC" w:rsidRPr="00177CF7">
        <w:t>Olink</w:t>
      </w:r>
      <w:proofErr w:type="spellEnd"/>
      <w:r w:rsidR="00072F36" w:rsidRPr="00177CF7">
        <w:t xml:space="preserve"> and replicated in a larger study</w:t>
      </w:r>
      <w:r w:rsidR="00072F36" w:rsidRPr="00177CF7">
        <w:fldChar w:fldCharType="begin" w:fldLock="1"/>
      </w:r>
      <w:r w:rsidR="00D64958" w:rsidRPr="00177CF7">
        <w:instrText>ADDIN CSL_CITATION {"citationItems":[{"id":"ITEM-1","itemData":{"DOI":"10.1038/s42255-020-00287-2","ISSN":"25225812","PMID":"33067605","abstract":"Circulating proteins are vital in human health and disease and are frequently used as biomarkers for clinical decision-making or as targets for pharmacological intervention. Here, we map and replicate protein quantitative trait loci (pQTL) for 90 cardiovascular proteins in over 30,000 individuals, resulting in 451 pQTLs for 85 proteins. For each protein, we further perform pathway mapping to obtain trans-pQTL gene and regulatory designations. We substantiate these regulatory findings with orthogonal evidence for trans-pQTLs using mouse knockdown experiments (ABCA1 and TRIB1) and clinical trial results (chemokine receptors CCR2 and CCR5), with consistent regulation. Finally, we evaluate known drug targets, and suggest new target candidates or repositioning opportunities using Mendelian randomization. This identifies 11 proteins with causal evidence of involvement in human disease that have not previously been targeted, including EGF, IL-16, PAPPA, SPON1, F3, ADM, CASP-8, CHI3L1, CXCL16, GDF15 and MMP-12. Taken together, these findings demonstrate the utility of large-scale mapping of the genetics of the proteome and provide a resource for future precision studies of circulating proteins in human health.","author":[{"dropping-particle":"","family":"Folkersen","given":"Lasse","non-dropping-particle":"","parse-names":false,"suffix":""},{"dropping-particle":"","family":"Gustafsson","given":"Stefan","non-dropping-particle":"","parse-names":false,"suffix":""},{"dropping-particle":"","family":"Wang","given":"Qin","non-dropping-particle":"","parse-names":false,"suffix":""},{"dropping-particle":"","family":"Hansen","given":"Daniel Hvidberg","non-dropping-particle":"","parse-names":false,"suffix":""},{"dropping-particle":"","family":"Hedman","given":"Åsa K.","non-dropping-particle":"","parse-names":false,"suffix":""},{"dropping-particle":"","family":"Schork","given":"Andrew","non-dropping-particle":"","parse-names":false,"suffix":""},{"dropping-particle":"","family":"Page","given":"Karen","non-dropping-particle":"","parse-names":false,"suffix":""},{"dropping-particle":"V.","family":"Zhernakova","given":"Daria","non-dropping-particle":"","parse-names":false,"suffix":""},{"dropping-particle":"","family":"Wu","given":"Yang","non-dropping-particle":"","parse-names":false,"suffix":""},{"dropping-particle":"","family":"Peters","given":"James","non-dropping-particle":"","parse-names":false,"suffix":""},{"dropping-particle":"","family":"Eriksson","given":"Niclas","non-dropping-particle":"","parse-names":false,"suffix":""},{"dropping-particle":"","family":"Bergen","given":"Sarah E.","non-dropping-particle":"","parse-names":false,"suffix":""},{"dropping-particle":"","family":"Boutin","given":"Thibaud S.","non-dropping-particle":"","parse-names":false,"suffix":""},{"dropping-particle":"","family":"Bretherick","given":"Andrew D.","non-dropping-particle":"","parse-names":false,"suffix":""},{"dropping-particle":"","family":"Enroth","given":"Stefan","non-dropping-particle":"","parse-names":false,"suffix":""},{"dropping-particle":"","family":"Kalnapenkis","given":"Anette","non-dropping-particle":"","parse-names":false,"suffix":""},{"dropping-particle":"","family":"Gådin","given":"Jesper R.","non-dropping-particle":"","parse-names":false,"suffix":""},{"dropping-particle":"","family":"Suur","given":"Bianca E.","non-dropping-particle":"","parse-names":false,"suffix":""},{"dropping-particle":"","family":"Chen","given":"Yan","non-dropping-particle":"","parse-names":false,"suffix":""},{"dropping-particle":"","family":"Matic","given":"Ljubica","non-dropping-particle":"","parse-names":false,"suffix":""},{"dropping-particle":"","family":"Gale","given":"Jeremy D.","non-dropping-particle":"","parse-names":false,"suffix":""},{"dropping-particle":"","family":"Lee","given":"Julie","non-dropping-particle":"","parse-names":false,"suffix":""},{"dropping-particle":"","family":"Zhang","given":"Weidong","non-dropping-particle":"","parse-names":false,"suffix":""},{"dropping-particle":"","family":"Quazi","given":"Amira","non-dropping-particle":"","parse-names":false,"suffix":""},{"dropping-particle":"","family":"Ala-Korpela","given":"Mika","non-dropping-particle":"","parse-names":false,"suffix":""},{"dropping-particle":"","family":"Choi","given":"Seung Hoan","non-dropping-particle":"","parse-names":false,"suffix":""},{"dropping-particle":"","family":"Claringbould","given":"Annique","non-dropping-particle":"","parse-names":false,"suffix":""},{"dropping-particle":"","family":"Danesh","given":"John","non-dropping-particle":"","parse-names":false,"suffix":""},{"dropping-particle":"","family":"Davey Smith","given":"George","non-dropping-particle":"","parse-names":false,"suffix":""},{"dropping-particle":"","family":"Masi","given":"Federico","non-dropping-particle":"de","parse-names":false,"suffix":""},{"dropping-particle":"","family":"Elmståhl","given":"Sölve","non-dropping-particle":"","parse-names":false,"suffix":""},{"dropping-particle":"","family":"Engström","given":"Gunnar","non-dropping-particle":"","parse-names":false,"suffix":""},{"dropping-particle":"","family":"Fauman","given":"Eric","non-dropping-particle":"","parse-names":false,"suffix":""},{"dropping-particle":"","family":"Fernandez","given":"Celine","non-dropping-particle":"","parse-names":false,"suffix":""},{"dropping-particle":"","family":"Franke","given":"Lude","non-dropping-particle":"","parse-names":false,"suffix":""},{"dropping-particle":"","family":"Franks","given":"Paul W.","non-dropping-particle":"","parse-names":false,"suffix":""},{"dropping-particle":"","family":"Giedraitis","given":"Vilmantas","non-dropping-particle":"","parse-names":false,"suffix":""},{"dropping-particle":"","family":"Haley","given":"Chris","non-dropping-particle":"","parse-names":false,"suffix":""},{"dropping-particle":"","family":"Hamsten","given":"Anders","non-dropping-particle":"","parse-names":false,"suffix":""},{"dropping-particle":"","family":"Ingason","given":"Andres","non-dropping-particle":"","parse-names":false,"suffix":""},{"dropping-particle":"","family":"Johansson","given":"Åsa","non-dropping-particle":"","parse-names":false,"suffix":""},{"dropping-particle":"","family":"Joshi","given":"Peter K.","non-dropping-particle":"","parse-names":false,"suffix":""},{"dropping-particle":"","family":"Lind","given":"Lars","non-dropping-particle":"","parse-names":false,"suffix":""},{"dropping-particle":"","family":"Lindgren","given":"Cecilia M.","non-dropping-particle":"","parse-names":false,"suffix":""},{"dropping-particle":"","family":"Lubitz","given":"Steven","non-dropping-particle":"","parse-names":false,"suffix":""},{"dropping-particle":"","family":"Palmer","given":"Tom","non-dropping-particle":"","parse-names":false,"suffix":""},{"dropping-particle":"","family":"Macdonald-Dunlop","given":"Erin","non-dropping-particle":"","parse-names":false,"suffix":""},{"dropping-particle":"","family":"Magnusson","given":"Martin","non-dropping-particle":"","parse-names":false,"suffix":""},{"dropping-particle":"","family":"Melander","given":"Olle","non-dropping-particle":"","parse-names":false,"suffix":""},{"dropping-particle":"","family":"Michaelsson","given":"Karl","non-dropping-particle":"","parse-names":false,"suffix":""},{"dropping-particle":"","family":"Morris","given":"Andrew P.","non-dropping-particle":"","parse-names":false,"suffix":""},{"dropping-particle":"","family":"Mägi","given":"Reedik","non-dropping-particle":"","parse-names":false,"suffix":""},{"dropping-particle":"","family":"Nagle","given":"Michael W.","non-dropping-particle":"","parse-names":false,"suffix":""},{"dropping-particle":"","family":"Nilsson","given":"Peter M.","non-dropping-particle":"","parse-names":false,"suffix":""},{"dropping-particle":"","family":"Nilsson","given":"Jan","non-dropping-particle":"","parse-names":false,"suffix":""},{"dropping-particle":"","family":"Orho-Melander","given":"Marju","non-dropping-particle":"","parse-names":false,"suffix":""},{"dropping-particle":"","family":"Polasek","given":"Ozren","non-dropping-particle":"","parse-names":false,"suffix":""},{"dropping-particle":"","family":"Prins","given":"Bram","non-dropping-particle":"","parse-names":false,"suffix":""},{"dropping-particle":"","family":"Pålsson","given":"Erik","non-dropping-particle":"","parse-names":false,"suffix":""},{"dropping-particle":"","family":"Qi","given":"Ting","non-dropping-particle":"","parse-names":false,"suffix":""},{"dropping-particle":"","family":"Sjögren","given":"Marketa","non-dropping-particle":"","parse-names":false,"suffix":""},{"dropping-particle":"","family":"Sundström","given":"Johan","non-dropping-particle":"","parse-names":false,"suffix":""},{"dropping-particle":"","family":"Surendran","given":"Praveen","non-dropping-particle":"","parse-names":false,"suffix":""},{"dropping-particle":"","family":"Võsa","given":"Urmo","non-dropping-particle":"","parse-names":false,"suffix":""},{"dropping-particle":"","family":"Werge","given":"Thomas","non-dropping-particle":"","parse-names":false,"suffix":""},{"dropping-particle":"","family":"Wernersson","given":"Rasmus","non-dropping-particle":"","parse-names":false,"suffix":""},{"dropping-particle":"","family":"Westra","given":"Harm Jan","non-dropping-particle":"","parse-names":false,"suffix":""},{"dropping-particle":"","family":"Yang","given":"Jian","non-dropping-particle":"","parse-names":false,"suffix":""},{"dropping-particle":"","family":"Zhernakova","given":"Alexandra","non-dropping-particle":"","parse-names":false,"suffix":""},{"dropping-particle":"","family":"Ärnlöv","given":"Johan","non-dropping-particle":"","parse-names":false,"suffix":""},{"dropping-particle":"","family":"Fu","given":"Jingyuan","non-dropping-particle":"","parse-names":false,"suffix":""},{"dropping-particle":"","family":"Smith","given":"J. Gustav","non-dropping-particle":"","parse-names":false,"suffix":""},{"dropping-particle":"","family":"Esko","given":"Tõnu","non-dropping-particle":"","parse-names":false,"suffix":""},{"dropping-particle":"","family":"Hayward","given":"Caroline","non-dropping-particle":"","parse-names":false,"suffix":""},{"dropping-particle":"","family":"Gyllensten","given":"Ulf","non-dropping-particle":"","parse-names":false,"suffix":""},{"dropping-particle":"","family":"Landen","given":"Mikael","non-dropping-particle":"","parse-names":false,"suffix":""},{"dropping-particle":"","family":"Siegbahn","given":"Agneta","non-dropping-particle":"","parse-names":false,"suffix":""},{"dropping-particle":"","family":"Wilson","given":"James F.","non-dropping-particle":"","parse-names":false,"suffix":""},{"dropping-particle":"","family":"Wallentin","given":"Lars","non-dropping-particle":"","parse-names":false,"suffix":""},{"dropping-particle":"","family":"Butterworth","given":"Adam S.","non-dropping-particle":"","parse-names":false,"suffix":""},{"dropping-particle":"V.","family":"Holmes","given":"Michael","non-dropping-particle":"","parse-names":false,"suffix":""},{"dropping-particle":"","family":"Ingelsson","given":"Erik","non-dropping-particle":"","parse-names":false,"suffix":""},{"dropping-particle":"","family":"Mälarstig","given":"Anders","non-dropping-particle":"","parse-names":false,"suffix":""}],"container-title":"Nature Metabolism","id":"ITEM-1","issue":"10","issued":{"date-parts":[["2020"]]},"page":"1135-1148","publisher":"Springer US","title":"Genomic and drug target evaluation of 90 cardiovascular proteins in 30,931 individuals","type":"article-journal","volume":"2"},"uris":["http://www.mendeley.com/documents/?uuid=e356e314-e447-4315-93b5-17b6100ac034"]}],"mendeley":{"formattedCitation":"&lt;sup&gt;8&lt;/sup&gt;","plainTextFormattedCitation":"8","previouslyFormattedCitation":"&lt;sup&gt;8&lt;/sup&gt;"},"properties":{"noteIndex":0},"schema":"https://github.com/citation-style-language/schema/raw/master/csl-citation.json"}</w:instrText>
      </w:r>
      <w:r w:rsidR="00072F36" w:rsidRPr="00177CF7">
        <w:fldChar w:fldCharType="separate"/>
      </w:r>
      <w:r w:rsidR="00072F36" w:rsidRPr="00177CF7">
        <w:rPr>
          <w:noProof/>
          <w:vertAlign w:val="superscript"/>
        </w:rPr>
        <w:t>8</w:t>
      </w:r>
      <w:r w:rsidR="00072F36" w:rsidRPr="00177CF7">
        <w:fldChar w:fldCharType="end"/>
      </w:r>
      <w:r w:rsidR="00FF2A59" w:rsidRPr="00177CF7">
        <w:t xml:space="preserve"> (</w:t>
      </w:r>
      <w:r w:rsidR="00D46845" w:rsidRPr="00177CF7">
        <w:t>rs1227734, MAF=14.0%</w:t>
      </w:r>
      <w:r w:rsidR="00FF2A59" w:rsidRPr="00177CF7">
        <w:t>)</w:t>
      </w:r>
      <w:r w:rsidR="002225CC" w:rsidRPr="00177CF7">
        <w:t xml:space="preserve">, however, was unrelated to these outcomes, </w:t>
      </w:r>
      <w:r w:rsidR="003E2D1B" w:rsidRPr="00177CF7">
        <w:t xml:space="preserve">albeit being a secondary signal for GDF-15 as measured </w:t>
      </w:r>
      <w:r w:rsidR="00816DA8" w:rsidRPr="00177CF7">
        <w:t>by</w:t>
      </w:r>
      <w:r w:rsidR="003E2D1B" w:rsidRPr="00177CF7">
        <w:t xml:space="preserve"> </w:t>
      </w:r>
      <w:proofErr w:type="spellStart"/>
      <w:r w:rsidR="003E2D1B" w:rsidRPr="00177CF7">
        <w:t>SomaScan</w:t>
      </w:r>
      <w:proofErr w:type="spellEnd"/>
      <w:r w:rsidR="003E2D1B" w:rsidRPr="00177CF7">
        <w:t xml:space="preserve"> (</w:t>
      </w:r>
      <w:r w:rsidR="007141BE" w:rsidRPr="00177CF7">
        <w:rPr>
          <w:b/>
          <w:bCs/>
        </w:rPr>
        <w:t>Fig. 5</w:t>
      </w:r>
      <w:r w:rsidR="00C302AC" w:rsidRPr="00177CF7">
        <w:rPr>
          <w:b/>
          <w:bCs/>
        </w:rPr>
        <w:t>b</w:t>
      </w:r>
      <w:r w:rsidR="003E2D1B" w:rsidRPr="00177CF7">
        <w:t>).</w:t>
      </w:r>
      <w:r w:rsidR="006D48F2" w:rsidRPr="00177CF7">
        <w:t xml:space="preserve"> The </w:t>
      </w:r>
      <w:r w:rsidR="009535A8" w:rsidRPr="00177CF7">
        <w:t>lack of association between</w:t>
      </w:r>
      <w:r w:rsidR="00D402B9" w:rsidRPr="00177CF7">
        <w:t xml:space="preserve"> rs75347775 and the </w:t>
      </w:r>
      <w:proofErr w:type="spellStart"/>
      <w:r w:rsidR="00D402B9" w:rsidRPr="00177CF7">
        <w:t>Olink</w:t>
      </w:r>
      <w:proofErr w:type="spellEnd"/>
      <w:r w:rsidR="00D402B9" w:rsidRPr="00177CF7">
        <w:t xml:space="preserve"> measure likely indicates that the genetic variant </w:t>
      </w:r>
      <w:r w:rsidR="00245D61" w:rsidRPr="00177CF7">
        <w:t>acts via a different</w:t>
      </w:r>
      <w:r w:rsidR="00C83CCD" w:rsidRPr="00177CF7">
        <w:t>ial</w:t>
      </w:r>
      <w:r w:rsidR="00245D61" w:rsidRPr="00177CF7">
        <w:t xml:space="preserve"> recognition </w:t>
      </w:r>
      <w:r w:rsidR="004C1EBD" w:rsidRPr="00177CF7">
        <w:t>by</w:t>
      </w:r>
      <w:r w:rsidR="00245D61" w:rsidRPr="00177CF7">
        <w:t xml:space="preserve"> the </w:t>
      </w:r>
      <w:proofErr w:type="spellStart"/>
      <w:r w:rsidR="00245D61" w:rsidRPr="00177CF7">
        <w:t>SOMAmer</w:t>
      </w:r>
      <w:proofErr w:type="spellEnd"/>
      <w:r w:rsidR="00245D61" w:rsidRPr="00177CF7">
        <w:t xml:space="preserve"> reagent and rs75347775 is indeed in strong LD with </w:t>
      </w:r>
      <w:r w:rsidR="004335DB" w:rsidRPr="00177CF7">
        <w:t>the missense variant p.H202D (</w:t>
      </w:r>
      <w:r w:rsidR="00D177CD" w:rsidRPr="00177CF7">
        <w:t xml:space="preserve">rs1058587, </w:t>
      </w:r>
      <w:r w:rsidR="00D81A66" w:rsidRPr="00177CF7">
        <w:t>r</w:t>
      </w:r>
      <w:r w:rsidR="00D177CD" w:rsidRPr="00177CF7">
        <w:rPr>
          <w:vertAlign w:val="superscript"/>
        </w:rPr>
        <w:t>2</w:t>
      </w:r>
      <w:r w:rsidR="00D177CD" w:rsidRPr="00177CF7">
        <w:t>=0.98</w:t>
      </w:r>
      <w:r w:rsidR="001A3804" w:rsidRPr="00177CF7">
        <w:t xml:space="preserve">, </w:t>
      </w:r>
      <w:r w:rsidR="001A3804" w:rsidRPr="00177CF7">
        <w:rPr>
          <w:b/>
          <w:bCs/>
        </w:rPr>
        <w:t>Supplementary Figure 1</w:t>
      </w:r>
      <w:r w:rsidR="003C627F" w:rsidRPr="00177CF7">
        <w:rPr>
          <w:b/>
          <w:bCs/>
        </w:rPr>
        <w:t>0</w:t>
      </w:r>
      <w:r w:rsidR="004335DB" w:rsidRPr="00177CF7">
        <w:t>)</w:t>
      </w:r>
      <w:r w:rsidR="004C1EBD" w:rsidRPr="00177CF7">
        <w:t>.</w:t>
      </w:r>
      <w:r w:rsidR="00837182" w:rsidRPr="00177CF7">
        <w:t xml:space="preserve"> The </w:t>
      </w:r>
      <w:r w:rsidR="00024EBD" w:rsidRPr="00177CF7">
        <w:t xml:space="preserve">G-allele mediating the amino acid </w:t>
      </w:r>
      <w:r w:rsidR="005A5DA6" w:rsidRPr="00177CF7">
        <w:t xml:space="preserve">substitution </w:t>
      </w:r>
      <w:r w:rsidR="00024EBD" w:rsidRPr="00177CF7">
        <w:t xml:space="preserve">was associated with </w:t>
      </w:r>
      <w:r w:rsidR="00BC5FD9" w:rsidRPr="00177CF7">
        <w:t xml:space="preserve">higher GDF-15 recognition by the </w:t>
      </w:r>
      <w:proofErr w:type="spellStart"/>
      <w:r w:rsidR="00BC5FD9" w:rsidRPr="00177CF7">
        <w:t>SomaScan</w:t>
      </w:r>
      <w:proofErr w:type="spellEnd"/>
      <w:r w:rsidR="00BC5FD9" w:rsidRPr="00177CF7">
        <w:t xml:space="preserve"> assay (beta</w:t>
      </w:r>
      <w:r w:rsidR="00A5775C" w:rsidRPr="00177CF7">
        <w:t>=0.39</w:t>
      </w:r>
      <w:r w:rsidR="00BC5FD9" w:rsidRPr="00177CF7">
        <w:t xml:space="preserve">, </w:t>
      </w:r>
      <w:r w:rsidR="00A5775C" w:rsidRPr="00177CF7">
        <w:t>p&lt;4.7x10</w:t>
      </w:r>
      <w:r w:rsidR="00A5775C" w:rsidRPr="00177CF7">
        <w:rPr>
          <w:vertAlign w:val="superscript"/>
        </w:rPr>
        <w:noBreakHyphen/>
        <w:t>174</w:t>
      </w:r>
      <w:r w:rsidR="00BC5FD9" w:rsidRPr="00177CF7">
        <w:t>),</w:t>
      </w:r>
      <w:r w:rsidR="00D5069E" w:rsidRPr="00177CF7">
        <w:t xml:space="preserve"> but </w:t>
      </w:r>
      <w:r w:rsidR="0044240B" w:rsidRPr="00177CF7">
        <w:t xml:space="preserve">with </w:t>
      </w:r>
      <w:r w:rsidR="00BF0AA6" w:rsidRPr="00177CF7">
        <w:t xml:space="preserve">32% reduced risk </w:t>
      </w:r>
      <w:r w:rsidR="00FF7906" w:rsidRPr="00177CF7">
        <w:t xml:space="preserve">for hyperemesis gravidarum </w:t>
      </w:r>
      <w:r w:rsidR="00BF0AA6" w:rsidRPr="00177CF7">
        <w:t>(</w:t>
      </w:r>
      <w:r w:rsidR="00F01DAA" w:rsidRPr="00177CF7">
        <w:t xml:space="preserve">odds ratio: </w:t>
      </w:r>
      <w:r w:rsidR="00BF0AA6" w:rsidRPr="00177CF7">
        <w:t>0.68</w:t>
      </w:r>
      <w:r w:rsidR="00F01DAA" w:rsidRPr="00177CF7">
        <w:t xml:space="preserve">, 95%-CI: </w:t>
      </w:r>
      <w:r w:rsidR="00BF0AA6" w:rsidRPr="00177CF7">
        <w:t xml:space="preserve"> 0.62</w:t>
      </w:r>
      <w:r w:rsidR="00F01DAA" w:rsidRPr="00177CF7">
        <w:t>-</w:t>
      </w:r>
      <w:r w:rsidR="00BF0AA6" w:rsidRPr="00177CF7">
        <w:t xml:space="preserve"> 0.75, p&lt;3.4x10</w:t>
      </w:r>
      <w:r w:rsidR="00BF0AA6" w:rsidRPr="00177CF7">
        <w:rPr>
          <w:vertAlign w:val="superscript"/>
        </w:rPr>
        <w:t>-14</w:t>
      </w:r>
      <w:r w:rsidR="00BF0AA6" w:rsidRPr="00177CF7">
        <w:t>)</w:t>
      </w:r>
      <w:r w:rsidR="00FF7906" w:rsidRPr="00177CF7">
        <w:t xml:space="preserve"> as well as </w:t>
      </w:r>
      <w:r w:rsidR="00A536C4" w:rsidRPr="00177CF7">
        <w:t xml:space="preserve">a </w:t>
      </w:r>
      <w:r w:rsidR="00FF7906" w:rsidRPr="00177CF7">
        <w:t xml:space="preserve">higher risk for </w:t>
      </w:r>
      <w:r w:rsidR="00BF0AA6" w:rsidRPr="00177CF7">
        <w:t>childhood obesity (beta=0.01, p-value&lt;6.7x10</w:t>
      </w:r>
      <w:r w:rsidR="00BF0AA6" w:rsidRPr="00177CF7">
        <w:rPr>
          <w:vertAlign w:val="superscript"/>
        </w:rPr>
        <w:t>-13</w:t>
      </w:r>
      <w:r w:rsidR="00BF0AA6" w:rsidRPr="00177CF7">
        <w:t xml:space="preserve">) and </w:t>
      </w:r>
      <w:r w:rsidR="00A536C4" w:rsidRPr="00177CF7">
        <w:t xml:space="preserve">reported </w:t>
      </w:r>
      <w:r w:rsidR="00BF0AA6" w:rsidRPr="00177CF7">
        <w:t>coffee intake (beta=0.01, p-value=5.6x10</w:t>
      </w:r>
      <w:r w:rsidR="00FF7906" w:rsidRPr="00177CF7">
        <w:rPr>
          <w:vertAlign w:val="superscript"/>
        </w:rPr>
        <w:noBreakHyphen/>
      </w:r>
      <w:r w:rsidR="00BF0AA6" w:rsidRPr="00177CF7">
        <w:rPr>
          <w:vertAlign w:val="superscript"/>
        </w:rPr>
        <w:t>8</w:t>
      </w:r>
      <w:r w:rsidR="00BF0AA6" w:rsidRPr="00177CF7">
        <w:t>)</w:t>
      </w:r>
      <w:r w:rsidR="00F81A08" w:rsidRPr="00177CF7">
        <w:t xml:space="preserve"> clearly opposing the </w:t>
      </w:r>
      <w:r w:rsidR="00C93CF3" w:rsidRPr="00177CF7">
        <w:t>well-documented effects of high circulating GDF-15</w:t>
      </w:r>
      <w:r w:rsidR="00D64958" w:rsidRPr="00177CF7">
        <w:fldChar w:fldCharType="begin" w:fldLock="1"/>
      </w:r>
      <w:r w:rsidR="007212AD">
        <w:instrText>ADDIN CSL_CITATION {"citationItems":[{"id":"ITEM-1","itemData":{"DOI":"10.1210/endrev/bnaa007","ISSN":"1945-7189","PMID":"32310257","abstract":"GDF15 has recently gained scientific and translational prominence with the discovery that its receptor is a GFRAL-RET heterodimer of which GFRAL is expressed solely in the hindbrain. Activation of this receptor results in reduced food intake and loss of body weight and is perceived and recalled by animals as aversive. This information encourages a revised interpretation of the large body of previous research on the protein. GDF15 can be secreted by a wide variety of cell types in response to a broad range of stressors. We propose that central sensing of GDF15 via GFRAL-RET activation results in behaviors that facilitate the reduction of exposure to a noxious stimulus. The human trophoblast appears to have hijacked this signal, producing large amounts of GDF15 from early pregnancy. We speculate that this encourages avoidance of potential teratogens in pregnancy. Circulating GDF15 levels are elevated in a range of human disease states, including various forms of cachexia, and GDF15-GFRAL antagonism is emerging as a therapeutic strategy for anorexia/cachexia syndromes. Metformin elevates circulating GDF15 chronically in humans and the weight loss caused by this drug appears to be dependent on the rise in GDF15. This supports the concept that chronic activation of the GDF15-GFRAL axis has efficacy as an antiobesity agent. In this review, we examine the science of GDF15 since its identification in 1997 with our interpretation of this body of work now being assisted by a clear understanding of its highly selective central site of action.","author":[{"dropping-particle":"","family":"Lockhart","given":"Samuel M","non-dropping-particle":"","parse-names":false,"suffix":""},{"dropping-particle":"","family":"Saudek","given":"Vladimir","non-dropping-particle":"","parse-names":false,"suffix":""},{"dropping-particle":"","family":"O'Rahilly","given":"Stephen","non-dropping-particle":"","parse-names":false,"suffix":""}],"container-title":"Endocrine reviews","id":"ITEM-1","issue":"4","issued":{"date-parts":[["2020"]]},"title":"GDF15: A Hormone Conveying Somatic Distress to the Brain.","type":"article-journal","volume":"41"},"uris":["http://www.mendeley.com/documents/?uuid=d2bea8ef-0b59-369f-ac26-a631e1533b89"]}],"mendeley":{"formattedCitation":"&lt;sup&gt;35&lt;/sup&gt;","plainTextFormattedCitation":"35","previouslyFormattedCitation":"&lt;sup&gt;35&lt;/sup&gt;"},"properties":{"noteIndex":0},"schema":"https://github.com/citation-style-language/schema/raw/master/csl-citation.json"}</w:instrText>
      </w:r>
      <w:r w:rsidR="00D64958" w:rsidRPr="00177CF7">
        <w:fldChar w:fldCharType="separate"/>
      </w:r>
      <w:r w:rsidR="00AB37AF" w:rsidRPr="00AB37AF">
        <w:rPr>
          <w:noProof/>
          <w:vertAlign w:val="superscript"/>
        </w:rPr>
        <w:t>35</w:t>
      </w:r>
      <w:r w:rsidR="00D64958" w:rsidRPr="00177CF7">
        <w:fldChar w:fldCharType="end"/>
      </w:r>
      <w:r w:rsidR="00C83CCD" w:rsidRPr="00177CF7">
        <w:t>.</w:t>
      </w:r>
      <w:r w:rsidR="00C93CF3" w:rsidRPr="00177CF7">
        <w:t xml:space="preserve"> </w:t>
      </w:r>
    </w:p>
    <w:p w14:paraId="5444DB42" w14:textId="309B02CD" w:rsidR="00E06141" w:rsidRPr="00177CF7" w:rsidRDefault="00E06141" w:rsidP="00007D77">
      <w:pPr>
        <w:spacing w:line="360" w:lineRule="auto"/>
        <w:jc w:val="both"/>
      </w:pPr>
      <w:r w:rsidRPr="00177CF7">
        <w:t xml:space="preserve">GDF-15 </w:t>
      </w:r>
      <w:r w:rsidR="00DA234F" w:rsidRPr="00177CF7">
        <w:t xml:space="preserve">is </w:t>
      </w:r>
      <w:r w:rsidR="00B7500B" w:rsidRPr="00177CF7">
        <w:t xml:space="preserve">being </w:t>
      </w:r>
      <w:r w:rsidR="00F45263" w:rsidRPr="00177CF7">
        <w:t xml:space="preserve">actively </w:t>
      </w:r>
      <w:r w:rsidR="00D81A66" w:rsidRPr="00177CF7">
        <w:t xml:space="preserve">investigated </w:t>
      </w:r>
      <w:r w:rsidR="00D25C50" w:rsidRPr="00177CF7">
        <w:t xml:space="preserve">as </w:t>
      </w:r>
      <w:r w:rsidR="00DA234F" w:rsidRPr="00177CF7">
        <w:t>a</w:t>
      </w:r>
      <w:r w:rsidR="00D25C50" w:rsidRPr="00177CF7">
        <w:t>n</w:t>
      </w:r>
      <w:r w:rsidR="00DA234F" w:rsidRPr="00177CF7">
        <w:t xml:space="preserve"> anti-obesity</w:t>
      </w:r>
      <w:r w:rsidR="00BB31BD" w:rsidRPr="00177CF7">
        <w:t xml:space="preserve"> </w:t>
      </w:r>
      <w:r w:rsidR="00DA234F" w:rsidRPr="00177CF7">
        <w:t>agent</w:t>
      </w:r>
      <w:r w:rsidRPr="00177CF7">
        <w:fldChar w:fldCharType="begin" w:fldLock="1"/>
      </w:r>
      <w:r w:rsidR="007212AD">
        <w:instrText>ADDIN CSL_CITATION {"citationItems":[{"id":"ITEM-1","itemData":{"DOI":"10.1016/j.molmet.2020.101117","ISSN":"2212-8778","PMID":"33220493","abstract":"BACKGROUND Obesity is rapidly becoming one of the world's most critical health care concerns. Comorbidities accompanying excess weight include cardiovascular disease, diabetes, and certain cancers. These comorbidities result in greater hospitalization and other health care-related costs. Economic impacts are likely to be felt more acutely in developing countries, where obesity rates continue to rise and health care resources are already insufficient. Some of the more effective treatments are invasive and expensive surgeries, which some economies in the world cannot afford to offer to a broad population. Pharmacological therapies are needed to supplement treatment options for patients who cannot, or will not, undergo surgical treatment. However, the few drug therapies currently available have either limited efficacy or safety concerns. A possible exception has been glucagon-like peptide-1 analogs, although these have shown a number of adverse events. New drug therapies that are safe and produce robust weight loss are needed. SCOPE OF REVIEW Herein, we review the role of growth differentiation factor 15 (GDF15) in feeding behavior and obesity, summarize some of the new and exciting biological discoveries around signaling pathways and tissue sites of action, and highlight initial efforts to develop GDF15-based therapies suitable for inducing weight loss in humans. MAJOR CONCLUSIONS Within the last several years, great strides have been made in understanding the biology of GDF15. Recent developments include identification of an endogenous receptor, biological localization of the receptor system, impact on energy homeostasis, and identification of molecules suitable for administration to humans as anti-obesity treatments. New and exciting research on GDF15 suggests that it holds promise as a novel obesity treatment as new molecules progress toward clinical development.","author":[{"dropping-particle":"","family":"Hale","given":"Clarence","non-dropping-particle":"","parse-names":false,"suffix":""},{"dropping-particle":"","family":"Véniant","given":"Murielle M.","non-dropping-particle":"","parse-names":false,"suffix":""}],"container-title":"Molecular metabolism","id":"ITEM-1","issue":"November 2020","issued":{"date-parts":[["2021","4"]]},"page":"101117","publisher":"Elsevier GmbH","title":"Growth differentiation factor 15 as a potential therapeutic for treating obesity.","type":"article-journal","volume":"46"},"uris":["http://www.mendeley.com/documents/?uuid=9bf433ba-8eb8-4e69-9208-a5349a1b287e"]}],"mendeley":{"formattedCitation":"&lt;sup&gt;37&lt;/sup&gt;","plainTextFormattedCitation":"37","previouslyFormattedCitation":"&lt;sup&gt;37&lt;/sup&gt;"},"properties":{"noteIndex":0},"schema":"https://github.com/citation-style-language/schema/raw/master/csl-citation.json"}</w:instrText>
      </w:r>
      <w:r w:rsidRPr="00177CF7">
        <w:fldChar w:fldCharType="separate"/>
      </w:r>
      <w:r w:rsidR="00AB37AF" w:rsidRPr="00AB37AF">
        <w:rPr>
          <w:noProof/>
          <w:vertAlign w:val="superscript"/>
        </w:rPr>
        <w:t>37</w:t>
      </w:r>
      <w:r w:rsidRPr="00177CF7">
        <w:fldChar w:fldCharType="end"/>
      </w:r>
      <w:r w:rsidR="00DA234F" w:rsidRPr="00177CF7">
        <w:t xml:space="preserve">. </w:t>
      </w:r>
      <w:r w:rsidR="00D81A66" w:rsidRPr="00177CF7">
        <w:t xml:space="preserve">However, </w:t>
      </w:r>
      <w:r w:rsidR="39C61C02" w:rsidRPr="00177CF7">
        <w:t>i</w:t>
      </w:r>
      <w:r w:rsidR="002E4DF1" w:rsidRPr="00177CF7">
        <w:t>nstrumenting genetic variants</w:t>
      </w:r>
      <w:r w:rsidR="00887D90" w:rsidRPr="00177CF7">
        <w:t>, including the one</w:t>
      </w:r>
      <w:r w:rsidR="00D81A66" w:rsidRPr="00177CF7">
        <w:t>s</w:t>
      </w:r>
      <w:r w:rsidR="00887D90" w:rsidRPr="00177CF7">
        <w:t xml:space="preserve"> found with the </w:t>
      </w:r>
      <w:proofErr w:type="spellStart"/>
      <w:r w:rsidR="00887D90" w:rsidRPr="00177CF7">
        <w:t>Olink</w:t>
      </w:r>
      <w:proofErr w:type="spellEnd"/>
      <w:r w:rsidR="00887D90" w:rsidRPr="00177CF7">
        <w:t xml:space="preserve"> assay,</w:t>
      </w:r>
      <w:r w:rsidR="002E4DF1" w:rsidRPr="00177CF7">
        <w:t xml:space="preserve"> </w:t>
      </w:r>
      <w:r w:rsidR="00B7500B" w:rsidRPr="00177CF7">
        <w:t xml:space="preserve">that are proxies for </w:t>
      </w:r>
      <w:r w:rsidR="002E4DF1" w:rsidRPr="00177CF7">
        <w:t>life-long higher GDF-15 levels</w:t>
      </w:r>
      <w:r w:rsidR="005F1066" w:rsidRPr="00177CF7">
        <w:t xml:space="preserve"> in the physiological range</w:t>
      </w:r>
      <w:r w:rsidR="00887D90" w:rsidRPr="00177CF7">
        <w:t xml:space="preserve"> did not provide evidence for a </w:t>
      </w:r>
      <w:r w:rsidR="00C605F6" w:rsidRPr="00177CF7">
        <w:t xml:space="preserve">causal role of GDF-15 in </w:t>
      </w:r>
      <w:r w:rsidR="00D149E8" w:rsidRPr="00177CF7">
        <w:t>measures of adult obesity and metabolic health</w:t>
      </w:r>
      <w:r w:rsidRPr="00177CF7">
        <w:fldChar w:fldCharType="begin" w:fldLock="1"/>
      </w:r>
      <w:r w:rsidR="007212AD">
        <w:instrText>ADDIN CSL_CITATION {"citationItems":[{"id":"ITEM-1","itemData":{"DOI":"10.1016/j.ebiom.2019.02.021","ISSN":"2352-3964","PMID":"30772304","abstract":"BACKGROUND Growth differentiation factor 15 (GDF15) is a key regulator of body weight in animals by regulating food intake. Its receptor, glial cell-derived neurotrophic factor receptor alpha-like (GFRAL), was identified recently. Pre-clinical studies showed that it is a promising therapeutic target for cardiometabolic diseases and anorexia/cachexia. Although many pharmaceutical companies are developing drugs targeting GFRAL, whether the findings from animal studies can be extrapolated to man is unknown. Mendelian randomization (MR) is useful in investigating the relationship between risk factors and disease outcomes. We aimed to use a two-sample MR approach to evaluate the clinical usefulness of targeting GDF15 for cardiometabolic diseases. METHODS Genetic instruments and summary statistics for MR analyses were obtained from a large genome-wide association study (GWAS) of GDF15 and cardiometabolic outcomes (n = 27,394 to 644,875), including body mass index, waist-hip ratio, waist circumference, whole-body lean mass, fat percentage, Type 2 Diabetes, fasting glucose, glycated haemoglobin, fasting insulin, LDL-cholesterol, HDL-cholesterol, total cholesterol, triglycerides, coronary artery disease, and estimated BMD (eBMD). Conventional inverse variance weighted (IVW) method was adopted to obtain the causal estimates of GDF-15 with different outcomes; weighted median and MR-egger were used for sensitivity analyses. FINDINGS There was null association between GDF15 levels and anthropometric outcomes. One SD increase in genetically-determined GDF15 was significantly associated with reduced HDL-C (beta: -0.048SD; SE: 0.014; P = .001) but the result was not significant in sensitivity analyses. A consistent significant causal association was observed between GDF15 and eBMD in IVW (beta: 0.026 SD; SE: 0.005; P &lt; .001) and subsequent sensitivity analyses. INTERPRETATION This study sheds lights on the potential of drugs targeting the GDF15/GFRAL axis. It suggested that the effect of targeting GDF15/GFRAL axis for weight control in human may be different from the effects observed in animal studies. GDF15 treatment may improve BMD in humans. FUND: No specific funding was received for this study.","author":[{"dropping-particle":"","family":"Cheung","given":"Ching-Lung","non-dropping-particle":"","parse-names":false,"suffix":""},{"dropping-particle":"","family":"Tan","given":"Kathryn C B","non-dropping-particle":"","parse-names":false,"suffix":""},{"dropping-particle":"","family":"Au","given":"Philip C M","non-dropping-particle":"","parse-names":false,"suffix":""},{"dropping-particle":"","family":"Li","given":"Gloria H Y","non-dropping-particle":"","parse-names":false,"suffix":""},{"dropping-particle":"","family":"Cheung","given":"Bernard M Y","non-dropping-particle":"","parse-names":false,"suffix":""}],"container-title":"EBioMedicine","id":"ITEM-1","issued":{"date-parts":[["2019","3","1"]]},"page":"85-90","publisher":"Elsevier B.V.","title":"Evaluation of GDF15 as a therapeutic target of cardiometabolic diseases in human: A Mendelian randomization study.","type":"article-journal","volume":"41"},"uris":["http://www.mendeley.com/documents/?uuid=6e1caa6c-68a9-30fe-a271-a989416b97f9"]},{"id":"ITEM-2","itemData":{"DOI":"10.1038/s42255-020-00287-2","ISSN":"25225812","PMID":"33067605","abstract":"Circulating proteins are vital in human health and disease and are frequently used as biomarkers for clinical decision-making or as targets for pharmacological intervention. Here, we map and replicate protein quantitative trait loci (pQTL) for 90 cardiovascular proteins in over 30,000 individuals, resulting in 451 pQTLs for 85 proteins. For each protein, we further perform pathway mapping to obtain trans-pQTL gene and regulatory designations. We substantiate these regulatory findings with orthogonal evidence for trans-pQTLs using mouse knockdown experiments (ABCA1 and TRIB1) and clinical trial results (chemokine receptors CCR2 and CCR5), with consistent regulation. Finally, we evaluate known drug targets, and suggest new target candidates or repositioning opportunities using Mendelian randomization. This identifies 11 proteins with causal evidence of involvement in human disease that have not previously been targeted, including EGF, IL-16, PAPPA, SPON1, F3, ADM, CASP-8, CHI3L1, CXCL16, GDF15 and MMP-12. Taken together, these findings demonstrate the utility of large-scale mapping of the genetics of the proteome and provide a resource for future precision studies of circulating proteins in human health.","author":[{"dropping-particle":"","family":"Folkersen","given":"Lasse","non-dropping-particle":"","parse-names":false,"suffix":""},{"dropping-particle":"","family":"Gustafsson","given":"Stefan","non-dropping-particle":"","parse-names":false,"suffix":""},{"dropping-particle":"","family":"Wang","given":"Qin","non-dropping-particle":"","parse-names":false,"suffix":""},{"dropping-particle":"","family":"Hansen","given":"Daniel Hvidberg","non-dropping-particle":"","parse-names":false,"suffix":""},{"dropping-particle":"","family":"Hedman","given":"Åsa K.","non-dropping-particle":"","parse-names":false,"suffix":""},{"dropping-particle":"","family":"Schork","given":"Andrew","non-dropping-particle":"","parse-names":false,"suffix":""},{"dropping-particle":"","family":"Page","given":"Karen","non-dropping-particle":"","parse-names":false,"suffix":""},{"dropping-particle":"V.","family":"Zhernakova","given":"Daria","non-dropping-particle":"","parse-names":false,"suffix":""},{"dropping-particle":"","family":"Wu","given":"Yang","non-dropping-particle":"","parse-names":false,"suffix":""},{"dropping-particle":"","family":"Peters","given":"James","non-dropping-particle":"","parse-names":false,"suffix":""},{"dropping-particle":"","family":"Eriksson","given":"Niclas","non-dropping-particle":"","parse-names":false,"suffix":""},{"dropping-particle":"","family":"Bergen","given":"Sarah E.","non-dropping-particle":"","parse-names":false,"suffix":""},{"dropping-particle":"","family":"Boutin","given":"Thibaud S.","non-dropping-particle":"","parse-names":false,"suffix":""},{"dropping-particle":"","family":"Bretherick","given":"Andrew D.","non-dropping-particle":"","parse-names":false,"suffix":""},{"dropping-particle":"","family":"Enroth","given":"Stefan","non-dropping-particle":"","parse-names":false,"suffix":""},{"dropping-particle":"","family":"Kalnapenkis","given":"Anette","non-dropping-particle":"","parse-names":false,"suffix":""},{"dropping-particle":"","family":"Gådin","given":"Jesper R.","non-dropping-particle":"","parse-names":false,"suffix":""},{"dropping-particle":"","family":"Suur","given":"Bianca E.","non-dropping-particle":"","parse-names":false,"suffix":""},{"dropping-particle":"","family":"Chen","given":"Yan","non-dropping-particle":"","parse-names":false,"suffix":""},{"dropping-particle":"","family":"Matic","given":"Ljubica","non-dropping-particle":"","parse-names":false,"suffix":""},{"dropping-particle":"","family":"Gale","given":"Jeremy D.","non-dropping-particle":"","parse-names":false,"suffix":""},{"dropping-particle":"","family":"Lee","given":"Julie","non-dropping-particle":"","parse-names":false,"suffix":""},{"dropping-particle":"","family":"Zhang","given":"Weidong","non-dropping-particle":"","parse-names":false,"suffix":""},{"dropping-particle":"","family":"Quazi","given":"Amira","non-dropping-particle":"","parse-names":false,"suffix":""},{"dropping-particle":"","family":"Ala-Korpela","given":"Mika","non-dropping-particle":"","parse-names":false,"suffix":""},{"dropping-particle":"","family":"Choi","given":"Seung Hoan","non-dropping-particle":"","parse-names":false,"suffix":""},{"dropping-particle":"","family":"Claringbould","given":"Annique","non-dropping-particle":"","parse-names":false,"suffix":""},{"dropping-particle":"","family":"Danesh","given":"John","non-dropping-particle":"","parse-names":false,"suffix":""},{"dropping-particle":"","family":"Davey Smith","given":"George","non-dropping-particle":"","parse-names":false,"suffix":""},{"dropping-particle":"","family":"Masi","given":"Federico","non-dropping-particle":"de","parse-names":false,"suffix":""},{"dropping-particle":"","family":"Elmståhl","given":"Sölve","non-dropping-particle":"","parse-names":false,"suffix":""},{"dropping-particle":"","family":"Engström","given":"Gunnar","non-dropping-particle":"","parse-names":false,"suffix":""},{"dropping-particle":"","family":"Fauman","given":"Eric","non-dropping-particle":"","parse-names":false,"suffix":""},{"dropping-particle":"","family":"Fernandez","given":"Celine","non-dropping-particle":"","parse-names":false,"suffix":""},{"dropping-particle":"","family":"Franke","given":"Lude","non-dropping-particle":"","parse-names":false,"suffix":""},{"dropping-particle":"","family":"Franks","given":"Paul W.","non-dropping-particle":"","parse-names":false,"suffix":""},{"dropping-particle":"","family":"Giedraitis","given":"Vilmantas","non-dropping-particle":"","parse-names":false,"suffix":""},{"dropping-particle":"","family":"Haley","given":"Chris","non-dropping-particle":"","parse-names":false,"suffix":""},{"dropping-particle":"","family":"Hamsten","given":"Anders","non-dropping-particle":"","parse-names":false,"suffix":""},{"dropping-particle":"","family":"Ingason","given":"Andres","non-dropping-particle":"","parse-names":false,"suffix":""},{"dropping-particle":"","family":"Johansson","given":"Åsa","non-dropping-particle":"","parse-names":false,"suffix":""},{"dropping-particle":"","family":"Joshi","given":"Peter K.","non-dropping-particle":"","parse-names":false,"suffix":""},{"dropping-particle":"","family":"Lind","given":"Lars","non-dropping-particle":"","parse-names":false,"suffix":""},{"dropping-particle":"","family":"Lindgren","given":"Cecilia M.","non-dropping-particle":"","parse-names":false,"suffix":""},{"dropping-particle":"","family":"Lubitz","given":"Steven","non-dropping-particle":"","parse-names":false,"suffix":""},{"dropping-particle":"","family":"Palmer","given":"Tom","non-dropping-particle":"","parse-names":false,"suffix":""},{"dropping-particle":"","family":"Macdonald-Dunlop","given":"Erin","non-dropping-particle":"","parse-names":false,"suffix":""},{"dropping-particle":"","family":"Magnusson","given":"Martin","non-dropping-particle":"","parse-names":false,"suffix":""},{"dropping-particle":"","family":"Melander","given":"Olle","non-dropping-particle":"","parse-names":false,"suffix":""},{"dropping-particle":"","family":"Michaelsson","given":"Karl","non-dropping-particle":"","parse-names":false,"suffix":""},{"dropping-particle":"","family":"Morris","given":"Andrew P.","non-dropping-particle":"","parse-names":false,"suffix":""},{"dropping-particle":"","family":"Mägi","given":"Reedik","non-dropping-particle":"","parse-names":false,"suffix":""},{"dropping-particle":"","family":"Nagle","given":"Michael W.","non-dropping-particle":"","parse-names":false,"suffix":""},{"dropping-particle":"","family":"Nilsson","given":"Peter M.","non-dropping-particle":"","parse-names":false,"suffix":""},{"dropping-particle":"","family":"Nilsson","given":"Jan","non-dropping-particle":"","parse-names":false,"suffix":""},{"dropping-particle":"","family":"Orho-Melander","given":"Marju","non-dropping-particle":"","parse-names":false,"suffix":""},{"dropping-particle":"","family":"Polasek","given":"Ozren","non-dropping-particle":"","parse-names":false,"suffix":""},{"dropping-particle":"","family":"Prins","given":"Bram","non-dropping-particle":"","parse-names":false,"suffix":""},{"dropping-particle":"","family":"Pålsson","given":"Erik","non-dropping-particle":"","parse-names":false,"suffix":""},{"dropping-particle":"","family":"Qi","given":"Ting","non-dropping-particle":"","parse-names":false,"suffix":""},{"dropping-particle":"","family":"Sjögren","given":"Marketa","non-dropping-particle":"","parse-names":false,"suffix":""},{"dropping-particle":"","family":"Sundström","given":"Johan","non-dropping-particle":"","parse-names":false,"suffix":""},{"dropping-particle":"","family":"Surendran","given":"Praveen","non-dropping-particle":"","parse-names":false,"suffix":""},{"dropping-particle":"","family":"Võsa","given":"Urmo","non-dropping-particle":"","parse-names":false,"suffix":""},{"dropping-particle":"","family":"Werge","given":"Thomas","non-dropping-particle":"","parse-names":false,"suffix":""},{"dropping-particle":"","family":"Wernersson","given":"Rasmus","non-dropping-particle":"","parse-names":false,"suffix":""},{"dropping-particle":"","family":"Westra","given":"Harm Jan","non-dropping-particle":"","parse-names":false,"suffix":""},{"dropping-particle":"","family":"Yang","given":"Jian","non-dropping-particle":"","parse-names":false,"suffix":""},{"dropping-particle":"","family":"Zhernakova","given":"Alexandra","non-dropping-particle":"","parse-names":false,"suffix":""},{"dropping-particle":"","family":"Ärnlöv","given":"Johan","non-dropping-particle":"","parse-names":false,"suffix":""},{"dropping-particle":"","family":"Fu","given":"Jingyuan","non-dropping-particle":"","parse-names":false,"suffix":""},{"dropping-particle":"","family":"Smith","given":"J. Gustav","non-dropping-particle":"","parse-names":false,"suffix":""},{"dropping-particle":"","family":"Esko","given":"Tõnu","non-dropping-particle":"","parse-names":false,"suffix":""},{"dropping-particle":"","family":"Hayward","given":"Caroline","non-dropping-particle":"","parse-names":false,"suffix":""},{"dropping-particle":"","family":"Gyllensten","given":"Ulf","non-dropping-particle":"","parse-names":false,"suffix":""},{"dropping-particle":"","family":"Landen","given":"Mikael","non-dropping-particle":"","parse-names":false,"suffix":""},{"dropping-particle":"","family":"Siegbahn","given":"Agneta","non-dropping-particle":"","parse-names":false,"suffix":""},{"dropping-particle":"","family":"Wilson","given":"James F.","non-dropping-particle":"","parse-names":false,"suffix":""},{"dropping-particle":"","family":"Wallentin","given":"Lars","non-dropping-particle":"","parse-names":false,"suffix":""},{"dropping-particle":"","family":"Butterworth","given":"Adam S.","non-dropping-particle":"","parse-names":false,"suffix":""},{"dropping-particle":"V.","family":"Holmes","given":"Michael","non-dropping-particle":"","parse-names":false,"suffix":""},{"dropping-particle":"","family":"Ingelsson","given":"Erik","non-dropping-particle":"","parse-names":false,"suffix":""},{"dropping-particle":"","family":"Mälarstig","given":"Anders","non-dropping-particle":"","parse-names":false,"suffix":""}],"container-title":"Nature Metabolism","id":"ITEM-2","issue":"10","issued":{"date-parts":[["2020"]]},"page":"1135-1148","publisher":"Springer US","title":"Genomic and drug target evaluation of 90 cardiovascular proteins in 30,931 individuals","type":"article-journal","volume":"2"},"uris":["http://www.mendeley.com/documents/?uuid=e356e314-e447-4315-93b5-17b6100ac034"]}],"mendeley":{"formattedCitation":"&lt;sup&gt;8,38&lt;/sup&gt;","plainTextFormattedCitation":"8,38","previouslyFormattedCitation":"&lt;sup&gt;8,38&lt;/sup&gt;"},"properties":{"noteIndex":0},"schema":"https://github.com/citation-style-language/schema/raw/master/csl-citation.json"}</w:instrText>
      </w:r>
      <w:r w:rsidRPr="00177CF7">
        <w:fldChar w:fldCharType="separate"/>
      </w:r>
      <w:r w:rsidR="00AB37AF" w:rsidRPr="00AB37AF">
        <w:rPr>
          <w:noProof/>
          <w:vertAlign w:val="superscript"/>
        </w:rPr>
        <w:t>8,38</w:t>
      </w:r>
      <w:r w:rsidRPr="00177CF7">
        <w:fldChar w:fldCharType="end"/>
      </w:r>
      <w:r w:rsidR="0064267E" w:rsidRPr="00177CF7">
        <w:t xml:space="preserve">. We, however, obtained evidence that the same </w:t>
      </w:r>
      <w:r w:rsidR="000D55F9" w:rsidRPr="00177CF7">
        <w:t xml:space="preserve">missense variant underlying childhood obesity colocalises </w:t>
      </w:r>
      <w:r w:rsidR="00043690" w:rsidRPr="00177CF7">
        <w:t xml:space="preserve">with </w:t>
      </w:r>
      <w:r w:rsidR="000D55F9" w:rsidRPr="00177CF7">
        <w:t xml:space="preserve">adult body mass index </w:t>
      </w:r>
      <w:r w:rsidR="00606AA1" w:rsidRPr="00177CF7">
        <w:t>(PP=95.1%</w:t>
      </w:r>
      <w:r w:rsidR="003073E9" w:rsidRPr="00177CF7">
        <w:t>, beta=</w:t>
      </w:r>
      <w:r w:rsidR="005069E3" w:rsidRPr="00177CF7">
        <w:t>0.01, p-value&lt;8.2x10</w:t>
      </w:r>
      <w:r w:rsidR="005069E3" w:rsidRPr="00177CF7">
        <w:rPr>
          <w:vertAlign w:val="superscript"/>
        </w:rPr>
        <w:t>-8</w:t>
      </w:r>
      <w:r w:rsidR="00606AA1" w:rsidRPr="00177CF7">
        <w:t xml:space="preserve">) </w:t>
      </w:r>
      <w:r w:rsidR="000D55F9" w:rsidRPr="00177CF7">
        <w:t xml:space="preserve">once </w:t>
      </w:r>
      <w:r w:rsidR="00606AA1" w:rsidRPr="00177CF7">
        <w:t xml:space="preserve">stronger independent signals in the region have been </w:t>
      </w:r>
      <w:proofErr w:type="gramStart"/>
      <w:r w:rsidR="00606AA1" w:rsidRPr="00177CF7">
        <w:t>taken into account</w:t>
      </w:r>
      <w:proofErr w:type="gramEnd"/>
      <w:r w:rsidR="00D6166B" w:rsidRPr="00177CF7">
        <w:t xml:space="preserve"> (</w:t>
      </w:r>
      <w:r w:rsidR="004D2CCD" w:rsidRPr="00177CF7">
        <w:rPr>
          <w:b/>
          <w:bCs/>
        </w:rPr>
        <w:t xml:space="preserve">Fig. </w:t>
      </w:r>
      <w:r w:rsidR="005E45F2" w:rsidRPr="00177CF7">
        <w:rPr>
          <w:b/>
          <w:bCs/>
        </w:rPr>
        <w:lastRenderedPageBreak/>
        <w:t>5b</w:t>
      </w:r>
      <w:r w:rsidR="00D6166B" w:rsidRPr="00177CF7">
        <w:t>)</w:t>
      </w:r>
      <w:r w:rsidR="00BB31BD" w:rsidRPr="00177CF7">
        <w:t>.</w:t>
      </w:r>
      <w:r w:rsidR="00142969" w:rsidRPr="00177CF7">
        <w:t xml:space="preserve"> </w:t>
      </w:r>
      <w:r w:rsidR="00FD1EB3" w:rsidRPr="00177CF7">
        <w:t xml:space="preserve">Our findings </w:t>
      </w:r>
      <w:r w:rsidR="00D6166B" w:rsidRPr="00177CF7">
        <w:t xml:space="preserve">therefore </w:t>
      </w:r>
      <w:r w:rsidR="00FD1EB3" w:rsidRPr="00177CF7">
        <w:t xml:space="preserve">provide </w:t>
      </w:r>
      <w:r w:rsidR="00805A1C" w:rsidRPr="00177CF7">
        <w:t xml:space="preserve">human genetic </w:t>
      </w:r>
      <w:r w:rsidR="00FD1EB3" w:rsidRPr="00177CF7">
        <w:t>evidence that</w:t>
      </w:r>
      <w:r w:rsidR="0046167F" w:rsidRPr="00177CF7">
        <w:t xml:space="preserve"> it is not the abundance of</w:t>
      </w:r>
      <w:r w:rsidR="00805A1C" w:rsidRPr="00177CF7">
        <w:t xml:space="preserve"> </w:t>
      </w:r>
      <w:r w:rsidR="005F1066" w:rsidRPr="00177CF7">
        <w:t>GDF-15</w:t>
      </w:r>
      <w:r w:rsidR="008A3CED" w:rsidRPr="00177CF7">
        <w:t xml:space="preserve"> </w:t>
      </w:r>
      <w:r w:rsidR="0086494B" w:rsidRPr="00177CF7">
        <w:t xml:space="preserve">within the physiological range </w:t>
      </w:r>
      <w:r w:rsidR="008A3CED" w:rsidRPr="00177CF7">
        <w:t xml:space="preserve">but rather the </w:t>
      </w:r>
      <w:proofErr w:type="spellStart"/>
      <w:r w:rsidR="008A3CED" w:rsidRPr="00177CF7">
        <w:t>proteoform</w:t>
      </w:r>
      <w:proofErr w:type="spellEnd"/>
      <w:r w:rsidR="005F1066" w:rsidRPr="00177CF7">
        <w:t xml:space="preserve"> </w:t>
      </w:r>
      <w:r w:rsidR="00343AE4" w:rsidRPr="00177CF7">
        <w:t xml:space="preserve">(p.H202D or p.H6D in the mature protein) that </w:t>
      </w:r>
      <w:r w:rsidR="008F76B9" w:rsidRPr="00177CF7">
        <w:t xml:space="preserve">possibly </w:t>
      </w:r>
      <w:proofErr w:type="gramStart"/>
      <w:r w:rsidR="00E92705" w:rsidRPr="00177CF7">
        <w:t xml:space="preserve">has an effect </w:t>
      </w:r>
      <w:r w:rsidR="007C05FB" w:rsidRPr="00177CF7">
        <w:t>on</w:t>
      </w:r>
      <w:proofErr w:type="gramEnd"/>
      <w:r w:rsidR="007C05FB" w:rsidRPr="00177CF7">
        <w:t xml:space="preserve"> </w:t>
      </w:r>
      <w:r w:rsidR="00343AE4" w:rsidRPr="00177CF7">
        <w:t xml:space="preserve">food </w:t>
      </w:r>
      <w:r w:rsidR="004F46C0" w:rsidRPr="00177CF7">
        <w:t>aversion</w:t>
      </w:r>
      <w:r w:rsidR="00343AE4" w:rsidRPr="00177CF7">
        <w:t>,</w:t>
      </w:r>
      <w:r w:rsidR="008F76B9" w:rsidRPr="00177CF7">
        <w:t xml:space="preserve"> </w:t>
      </w:r>
      <w:r w:rsidR="00D76DA5" w:rsidRPr="00177CF7">
        <w:t>an effect</w:t>
      </w:r>
      <w:r w:rsidR="004F46C0" w:rsidRPr="00177CF7">
        <w:t xml:space="preserve"> </w:t>
      </w:r>
      <w:r w:rsidR="00BD33FB" w:rsidRPr="00177CF7">
        <w:t xml:space="preserve">of particular relevance during childhood, in which food choices are </w:t>
      </w:r>
      <w:r w:rsidR="008D0F53" w:rsidRPr="00177CF7">
        <w:t>more restricted compared to later life</w:t>
      </w:r>
      <w:r w:rsidR="005910B5" w:rsidRPr="00177CF7">
        <w:t>.</w:t>
      </w:r>
      <w:r w:rsidR="005B2DEA" w:rsidRPr="00177CF7">
        <w:t xml:space="preserve"> </w:t>
      </w:r>
      <w:r w:rsidR="00343AE4" w:rsidRPr="00177CF7">
        <w:t xml:space="preserve"> </w:t>
      </w:r>
      <w:r w:rsidR="00805A1C" w:rsidRPr="00177CF7">
        <w:t xml:space="preserve"> </w:t>
      </w:r>
      <w:r w:rsidR="00FD1EB3" w:rsidRPr="00177CF7">
        <w:t xml:space="preserve"> </w:t>
      </w:r>
      <w:r w:rsidR="002C1CEC" w:rsidRPr="00177CF7">
        <w:t xml:space="preserve"> </w:t>
      </w:r>
      <w:r w:rsidR="006C1F94" w:rsidRPr="00177CF7">
        <w:t xml:space="preserve"> </w:t>
      </w:r>
      <w:r w:rsidR="00B04558" w:rsidRPr="00177CF7">
        <w:t xml:space="preserve"> </w:t>
      </w:r>
    </w:p>
    <w:p w14:paraId="7DDAECEF" w14:textId="770D8AD8" w:rsidR="008F3A00" w:rsidRPr="00177CF7" w:rsidRDefault="00292816" w:rsidP="00541458">
      <w:pPr>
        <w:spacing w:line="360" w:lineRule="auto"/>
        <w:jc w:val="both"/>
        <w:rPr>
          <w:b/>
          <w:bCs/>
          <w:i/>
          <w:iCs/>
        </w:rPr>
      </w:pPr>
      <w:r w:rsidRPr="00177CF7">
        <w:rPr>
          <w:b/>
          <w:bCs/>
          <w:i/>
          <w:iCs/>
        </w:rPr>
        <w:t xml:space="preserve">Phenotypic </w:t>
      </w:r>
      <w:proofErr w:type="spellStart"/>
      <w:r w:rsidRPr="00177CF7">
        <w:rPr>
          <w:b/>
          <w:bCs/>
          <w:i/>
          <w:iCs/>
        </w:rPr>
        <w:t>colocalisation</w:t>
      </w:r>
      <w:proofErr w:type="spellEnd"/>
      <w:r w:rsidRPr="00177CF7">
        <w:rPr>
          <w:b/>
          <w:bCs/>
          <w:i/>
          <w:iCs/>
        </w:rPr>
        <w:t xml:space="preserve"> unique to the </w:t>
      </w:r>
      <w:proofErr w:type="spellStart"/>
      <w:r w:rsidRPr="00177CF7">
        <w:rPr>
          <w:b/>
          <w:bCs/>
          <w:i/>
          <w:iCs/>
        </w:rPr>
        <w:t>Olink</w:t>
      </w:r>
      <w:proofErr w:type="spellEnd"/>
      <w:r w:rsidRPr="00177CF7">
        <w:rPr>
          <w:b/>
          <w:bCs/>
          <w:i/>
          <w:iCs/>
        </w:rPr>
        <w:t xml:space="preserve"> assay</w:t>
      </w:r>
    </w:p>
    <w:p w14:paraId="00000028" w14:textId="1ED8AC0C" w:rsidR="00766C45" w:rsidRDefault="00C128E9" w:rsidP="399D00E8">
      <w:pPr>
        <w:spacing w:line="360" w:lineRule="auto"/>
        <w:jc w:val="both"/>
      </w:pPr>
      <w:r w:rsidRPr="00177CF7">
        <w:t xml:space="preserve">We </w:t>
      </w:r>
      <w:r w:rsidR="19188E9B" w:rsidRPr="00177CF7">
        <w:t xml:space="preserve">report </w:t>
      </w:r>
      <w:r w:rsidR="00486007" w:rsidRPr="00177CF7">
        <w:t>34</w:t>
      </w:r>
      <w:r w:rsidRPr="00177CF7">
        <w:t xml:space="preserve"> </w:t>
      </w:r>
      <w:r w:rsidRPr="00177CF7">
        <w:rPr>
          <w:i/>
          <w:iCs/>
        </w:rPr>
        <w:t>cis</w:t>
      </w:r>
      <w:r w:rsidRPr="00177CF7">
        <w:t>-</w:t>
      </w:r>
      <w:proofErr w:type="spellStart"/>
      <w:r w:rsidRPr="00177CF7">
        <w:t>pQTLs</w:t>
      </w:r>
      <w:proofErr w:type="spellEnd"/>
      <w:r w:rsidR="001F07B5" w:rsidRPr="00177CF7">
        <w:t xml:space="preserve"> </w:t>
      </w:r>
      <w:r w:rsidR="002F7DFD" w:rsidRPr="00177CF7">
        <w:t xml:space="preserve">unique to the </w:t>
      </w:r>
      <w:proofErr w:type="spellStart"/>
      <w:r w:rsidR="002F7DFD" w:rsidRPr="00177CF7">
        <w:t>Olink</w:t>
      </w:r>
      <w:proofErr w:type="spellEnd"/>
      <w:r w:rsidR="002F7DFD" w:rsidRPr="00177CF7">
        <w:t xml:space="preserve"> </w:t>
      </w:r>
      <w:r w:rsidR="00D804A4" w:rsidRPr="00177CF7">
        <w:t xml:space="preserve">assay </w:t>
      </w:r>
      <w:r w:rsidR="10A1AF43" w:rsidRPr="00177CF7">
        <w:t xml:space="preserve">and </w:t>
      </w:r>
      <w:r w:rsidR="00C87C5D" w:rsidRPr="00177CF7">
        <w:t xml:space="preserve">identified in only 485 samples that showed </w:t>
      </w:r>
      <w:r w:rsidR="001F07B5" w:rsidRPr="00177CF7">
        <w:t xml:space="preserve">strong evidence for </w:t>
      </w:r>
      <w:proofErr w:type="spellStart"/>
      <w:r w:rsidR="001F07B5" w:rsidRPr="00177CF7">
        <w:t>colocalisation</w:t>
      </w:r>
      <w:proofErr w:type="spellEnd"/>
      <w:r w:rsidR="00D804A4" w:rsidRPr="00177CF7">
        <w:t xml:space="preserve"> with phenotypic traits</w:t>
      </w:r>
      <w:r w:rsidR="001F07B5" w:rsidRPr="00177CF7">
        <w:t xml:space="preserve"> </w:t>
      </w:r>
      <w:r w:rsidR="00D23726" w:rsidRPr="00177CF7">
        <w:t>(PP&gt;80%)</w:t>
      </w:r>
      <w:r w:rsidR="00C87C5D" w:rsidRPr="00177CF7">
        <w:t xml:space="preserve"> </w:t>
      </w:r>
      <w:bookmarkStart w:id="2" w:name="_heading=h.2yy847h0i6ir"/>
      <w:bookmarkStart w:id="3" w:name="_heading=h.z70hgdjdv2nv"/>
      <w:bookmarkStart w:id="4" w:name="_heading=h.oo10lxc54ai1"/>
      <w:bookmarkStart w:id="5" w:name="_heading=h.jia28xph9ihk"/>
      <w:bookmarkEnd w:id="2"/>
      <w:bookmarkEnd w:id="3"/>
      <w:bookmarkEnd w:id="4"/>
      <w:bookmarkEnd w:id="5"/>
      <w:r w:rsidR="00351E23" w:rsidRPr="00177CF7">
        <w:t>(</w:t>
      </w:r>
      <w:r w:rsidR="00351E23" w:rsidRPr="00177CF7">
        <w:rPr>
          <w:b/>
          <w:bCs/>
        </w:rPr>
        <w:t xml:space="preserve">Supplementary </w:t>
      </w:r>
      <w:r w:rsidR="00FA2264">
        <w:rPr>
          <w:b/>
          <w:bCs/>
        </w:rPr>
        <w:t>Data</w:t>
      </w:r>
      <w:r w:rsidR="000A65E3" w:rsidRPr="00177CF7">
        <w:rPr>
          <w:b/>
          <w:bCs/>
        </w:rPr>
        <w:t xml:space="preserve"> </w:t>
      </w:r>
      <w:r w:rsidR="00550C5E" w:rsidRPr="00177CF7">
        <w:rPr>
          <w:b/>
          <w:bCs/>
        </w:rPr>
        <w:t>1</w:t>
      </w:r>
      <w:r w:rsidR="00D531B6">
        <w:rPr>
          <w:b/>
          <w:bCs/>
        </w:rPr>
        <w:t>1</w:t>
      </w:r>
      <w:r w:rsidR="00351E23" w:rsidRPr="00177CF7">
        <w:t>)</w:t>
      </w:r>
      <w:r w:rsidR="00555D20" w:rsidRPr="00177CF7">
        <w:t xml:space="preserve">. </w:t>
      </w:r>
      <w:r w:rsidR="000A65E3" w:rsidRPr="00177CF7">
        <w:t>Th</w:t>
      </w:r>
      <w:r w:rsidR="00440AE5" w:rsidRPr="00177CF7">
        <w:t>e</w:t>
      </w:r>
      <w:r w:rsidR="000A65E3" w:rsidRPr="00177CF7">
        <w:t>s</w:t>
      </w:r>
      <w:r w:rsidR="00440AE5" w:rsidRPr="00177CF7">
        <w:t>e</w:t>
      </w:r>
      <w:r w:rsidR="000A65E3" w:rsidRPr="00177CF7">
        <w:t xml:space="preserve"> included </w:t>
      </w:r>
      <w:r w:rsidR="00C87C5D" w:rsidRPr="00177CF7">
        <w:t xml:space="preserve">established </w:t>
      </w:r>
      <w:r w:rsidR="000A65E3" w:rsidRPr="00177CF7">
        <w:t xml:space="preserve">cardiovascular risk loci such as </w:t>
      </w:r>
      <w:r w:rsidR="000A65E3" w:rsidRPr="00177CF7">
        <w:rPr>
          <w:i/>
          <w:iCs/>
        </w:rPr>
        <w:t>FGF5</w:t>
      </w:r>
      <w:r w:rsidR="000A65E3" w:rsidRPr="00177CF7">
        <w:t xml:space="preserve"> </w:t>
      </w:r>
      <w:r w:rsidR="008D0E91" w:rsidRPr="00177CF7">
        <w:t>(</w:t>
      </w:r>
      <w:r w:rsidR="00E4384D" w:rsidRPr="00177CF7">
        <w:t>e.g.,</w:t>
      </w:r>
      <w:r w:rsidR="00EE791C" w:rsidRPr="00177CF7">
        <w:t xml:space="preserve"> </w:t>
      </w:r>
      <w:r w:rsidR="0079391B" w:rsidRPr="00177CF7">
        <w:t>hypertension</w:t>
      </w:r>
      <w:r w:rsidRPr="00177CF7">
        <w:fldChar w:fldCharType="begin" w:fldLock="1"/>
      </w:r>
      <w:r w:rsidR="007212AD">
        <w:instrText>ADDIN CSL_CITATION {"citationItems":[{"id":"ITEM-1","itemData":{"DOI":"10.1038/ng.361","ISSN":"1546-1718","PMID":"19430483","abstract":"Elevated blood pressure is a common, heritable cause of cardiovascular disease worldwide. To date, identification of common genetic variants influencing blood pressure has proven challenging. We tested 2.5 million genotyped and imputed SNPs for association with systolic and diastolic blood pressure in 34,433 subjects of European ancestry from the Global BPgen consortium and followed up findings with direct genotyping (N ≤ 71,225 European ancestry, N ≤ 12,889 Indian Asian ancestry) and in silico comparison (CHARGE consortium, N = 29,136). We identified association between systolic or diastolic blood pressure and common variants in eight regions near the CYP17A1 (P = 7 × 10(-24)), CYP1A2 (P = 1 × 10(-23)), FGF5 (P = 1 × 10(-21)), SH2B3 (P = 3 × 10(-18)), MTHFR (P = 2 × 10(-13)), c10orf107 (P = 1 × 10(-9)), ZNF652 (P = 5 × 10(-9)) and PLCD3 (P = 1 × 10(-8)) genes. All variants associated with continuous blood pressure were associated with dichotomous hypertension. These associations between common variants and blood pressure and hypertension offer mechanistic insights into the regulation of blood pressure and may point to novel targets for interventions to prevent cardiovascular disease.","author":[{"dropping-particle":"","family":"Newton-Cheh","given":"Christopher","non-dropping-particle":"","parse-names":false,"suffix":""},{"dropping-particle":"","family":"Johnson","given":"Toby","non-dropping-particle":"","parse-names":false,"suffix":""},{"dropping-particle":"","family":"Gateva","given":"Vesela","non-dropping-particle":"","parse-names":false,"suffix":""},{"dropping-particle":"","family":"Tobin","given":"Martin D","non-dropping-particle":"","parse-names":false,"suffix":""},{"dropping-particle":"","family":"Bochud","given":"Murielle","non-dropping-particle":"","parse-names":false,"suffix":""},{"dropping-particle":"","family":"Coin","given":"Lachlan","non-dropping-particle":"","parse-names":false,"suffix":""},{"dropping-particle":"","family":"Najjar","given":"Samer S.","non-dropping-particle":"","parse-names":false,"suffix":""},{"dropping-particle":"","family":"Zhao","given":"Jing Hua","non-dropping-particle":"","parse-names":false,"suffix":""},{"dropping-particle":"","family":"Heath","given":"Simon C.","non-dropping-particle":"","parse-names":false,"suffix":""},{"dropping-particle":"","family":"Eyheramendy","given":"Susana","non-dropping-particle":"","parse-names":false,"suffix":""},{"dropping-particle":"","family":"Papadakis","given":"Konstantinos","non-dropping-particle":"","parse-names":false,"suffix":""},{"dropping-particle":"","family":"Voight","given":"Benjamin F.","non-dropping-particle":"","parse-names":false,"suffix":""},{"dropping-particle":"","family":"Scott","given":"Laura J.","non-dropping-particle":"","parse-names":false,"suffix":""},{"dropping-particle":"","family":"Zhang","given":"Feng","non-dropping-particle":"","parse-names":false,"suffix":""},{"dropping-particle":"","family":"Farrall","given":"Martin","non-dropping-particle":"","parse-names":false,"suffix":""},{"dropping-particle":"","family":"Tanaka","given":"Toshiko","non-dropping-particle":"","parse-names":false,"suffix":""},{"dropping-particle":"","family":"Wallace","given":"Chris","non-dropping-particle":"","parse-names":false,"suffix":""},{"dropping-particle":"","family":"Chambers","given":"John C.","non-dropping-particle":"","parse-names":false,"suffix":""},{"dropping-particle":"","family":"Khaw","given":"Kay-Tee","non-dropping-particle":"","parse-names":false,"suffix":""},{"dropping-particle":"","family":"Nilsson","given":"Peter","non-dropping-particle":"","parse-names":false,"suffix":""},{"dropping-particle":"","family":"Harst","given":"Pim","non-dropping-particle":"van der","parse-names":false,"suffix":""},{"dropping-particle":"","family":"Polidoro","given":"Silvia","non-dropping-particle":"","parse-names":false,"suffix":""},{"dropping-particle":"","family":"Grobbee","given":"Diederick E.","non-dropping-particle":"","parse-names":false,"suffix":""},{"dropping-particle":"","family":"Onland-Moret","given":"N. Charlotte","non-dropping-particle":"","parse-names":false,"suffix":""},{"dropping-particle":"","family":"Bots","given":"Michiel L.","non-dropping-particle":"","parse-names":false,"suffix":""},{"dropping-particle":"V.","family":"Wain","given":"Louise","non-dropping-particle":"","parse-names":false,"suffix":""},{"dropping-particle":"","family":"Elliott","given":"Katherine S","non-dropping-particle":"","parse-names":false,"suffix":""},{"dropping-particle":"","family":"Teumer","given":"Alexander","non-dropping-particle":"","parse-names":false,"suffix":""},{"dropping-particle":"","family":"Luan","given":"Jian'An","non-dropping-particle":"","parse-names":false,"suffix":""},{"dropping-particle":"","family":"Lucas","given":"Gavin","non-dropping-particle":"","parse-names":false,"suffix":""},{"dropping-particle":"","family":"Kuusisto","given":"Johanna","non-dropping-particle":"","parse-names":false,"suffix":""},{"dropping-particle":"","family":"Burton","given":"Paul R.","non-dropping-particle":"","parse-names":false,"suffix":""},{"dropping-particle":"","family":"Hadley","given":"David","non-dropping-particle":"","parse-names":false,"suffix":""},{"dropping-particle":"","family":"McArdle","given":"Wendy L.","non-dropping-particle":"","parse-names":false,"suffix":""},{"dropping-particle":"","family":"Wellcome Trust Case Control Consortium","given":"","non-dropping-particle":"","parse-names":false,"suffix":""},{"dropping-particle":"","family":"Brown","given":"Morris","non-dropping-particle":"","parse-names":false,"suffix":""},{"dropping-particle":"","family":"Dominiczak","given":"Anna","non-dropping-particle":"","parse-names":false,"suffix":""},{"dropping-particle":"","family":"Newhouse","given":"Stephen J.","non-dropping-particle":"","parse-names":false,"suffix":""},{"dropping-particle":"","family":"Samani","given":"Nilesh J.","non-dropping-particle":"","parse-names":false,"suffix":""},{"dropping-particle":"","family":"Webster","given":"John","non-dropping-particle":"","parse-names":false,"suffix":""},{"dropping-particle":"","family":"Zeggini","given":"Eleftheria","non-dropping-particle":"","parse-names":false,"suffix":""},{"dropping-particle":"","family":"Beckmann","given":"Jacques S.","non-dropping-particle":"","parse-names":false,"suffix":""},{"dropping-particle":"","family":"Bergmann","given":"Sven","non-dropping-particle":"","parse-names":false,"suffix":""},{"dropping-particle":"","family":"Lim","given":"Noha","non-dropping-particle":"","parse-names":false,"suffix":""},{"dropping-particle":"","family":"Song","given":"Kijoung","non-dropping-particle":"","parse-names":false,"suffix":""},{"dropping-particle":"","family":"Vollenweider","given":"Peter","non-dropping-particle":"","parse-names":false,"suffix":""},{"dropping-particle":"","family":"Waeber","given":"Gerard","non-dropping-particle":"","parse-names":false,"suffix":""},{"dropping-particle":"","family":"Waterworth","given":"Dawn M.","non-dropping-particle":"","parse-names":false,"suffix":""},{"dropping-particle":"","family":"Yuan","given":"Xin","non-dropping-particle":"","parse-names":false,"suffix":""},{"dropping-particle":"","family":"Groop","given":"Leif","non-dropping-particle":"","parse-names":false,"suffix":""},{"dropping-particle":"","family":"Orho-Melander","given":"Marju","non-dropping-particle":"","parse-names":false,"suffix":""},{"dropping-particle":"","family":"Allione","given":"Alessandra","non-dropping-particle":"","parse-names":false,"suffix":""},{"dropping-particle":"","family":"Gregorio","given":"Alessandra","non-dropping-particle":"Di","parse-names":false,"suffix":""},{"dropping-particle":"","family":"Guarrera","given":"Simonetta","non-dropping-particle":"","parse-names":false,"suffix":""},{"dropping-particle":"","family":"Panico","given":"Salvatore","non-dropping-particle":"","parse-names":false,"suffix":""},{"dropping-particle":"","family":"Ricceri","given":"Fulvio","non-dropping-particle":"","parse-names":false,"suffix":""},{"dropping-particle":"","family":"Romanazzi","given":"Valeria","non-dropping-particle":"","parse-names":false,"suffix":""},{"dropping-particle":"","family":"Sacerdote","given":"Carlotta","non-dropping-particle":"","parse-names":false,"suffix":""},{"dropping-particle":"","family":"Vineis","given":"Paolo","non-dropping-particle":"","parse-names":false,"suffix":""},{"dropping-particle":"","family":"Barroso","given":"Inês","non-dropping-particle":"","parse-names":false,"suffix":""},{"dropping-particle":"","family":"Sandhu","given":"Manjinder S.","non-dropping-particle":"","parse-names":false,"suffix":""},{"dropping-particle":"","family":"Luben","given":"Robert N.","non-dropping-particle":"","parse-names":false,"suffix":""},{"dropping-particle":"","family":"Crawford","given":"Gabriel J.","non-dropping-particle":"","parse-names":false,"suffix":""},{"dropping-particle":"","family":"Jousilahti","given":"Pekka","non-dropping-particle":"","parse-names":false,"suffix":""},{"dropping-particle":"","family":"Perola","given":"Markus","non-dropping-particle":"","parse-names":false,"suffix":""},{"dropping-particle":"","family":"Boehnke","given":"Michael","non-dropping-particle":"","parse-names":false,"suffix":""},{"dropping-particle":"","family":"Bonnycastle","given":"Lori L.","non-dropping-particle":"","parse-names":false,"suffix":""},{"dropping-particle":"","family":"Collins","given":"Francis S.","non-dropping-particle":"","parse-names":false,"suffix":""},{"dropping-particle":"","family":"Jackson","given":"Anne U.","non-dropping-particle":"","parse-names":false,"suffix":""},{"dropping-particle":"","family":"Mohlke","given":"Karen L.","non-dropping-particle":"","parse-names":false,"suffix":""},{"dropping-particle":"","family":"Stringham","given":"Heather M.","non-dropping-particle":"","parse-names":false,"suffix":""},{"dropping-particle":"","family":"Valle","given":"Timo T.","non-dropping-particle":"","parse-names":false,"suffix":""},{"dropping-particle":"","family":"Willer","given":"Cristen J.","non-dropping-particle":"","parse-names":false,"suffix":""},{"dropping-particle":"","family":"Bergman","given":"Richard N.","non-dropping-particle":"","parse-names":false,"suffix":""},{"dropping-particle":"","family":"Morken","given":"Mario A.","non-dropping-particle":"","parse-names":false,"suffix":""},{"dropping-particle":"","family":"Döring","given":"Angela","non-dropping-particle":"","parse-names":false,"suffix":""},{"dropping-particle":"","family":"Gieger","given":"Christian","non-dropping-particle":"","parse-names":false,"suffix":""},{"dropping-particle":"","family":"Illig","given":"Thomas","non-dropping-particle":"","parse-names":false,"suffix":""},{"dropping-particle":"","family":"Meitinger","given":"Thomas","non-dropping-particle":"","parse-names":false,"suffix":""},{"dropping-particle":"","family":"Org","given":"Elin","non-dropping-particle":"","parse-names":false,"suffix":""},{"dropping-particle":"","family":"Pfeufer","given":"Arne","non-dropping-particle":"","parse-names":false,"suffix":""},{"dropping-particle":"","family":"Wichmann","given":"H. Erich","non-dropping-particle":"","parse-names":false,"suffix":""},{"dropping-particle":"","family":"Kathiresan","given":"Sekar","non-dropping-particle":"","parse-names":false,"suffix":""},{"dropping-particle":"","family":"Marrugat","given":"Jaume","non-dropping-particle":"","parse-names":false,"suffix":""},{"dropping-particle":"","family":"O'Donnell","given":"Christopher J.","non-dropping-particle":"","parse-names":false,"suffix":""},{"dropping-particle":"","family":"Schwartz","given":"Stephen M.","non-dropping-particle":"","parse-names":false,"suffix":""},{"dropping-particle":"","family":"Siscovick","given":"David S.","non-dropping-particle":"","parse-names":false,"suffix":""},{"dropping-particle":"","family":"Subirana","given":"Isaac","non-dropping-particle":"","parse-names":false,"suffix":""},{"dropping-particle":"","family":"Freimer","given":"Nelson B.","non-dropping-particle":"","parse-names":false,"suffix":""},{"dropping-particle":"","family":"Hartikainen","given":"Anna-Liisa","non-dropping-particle":"","parse-names":false,"suffix":""},{"dropping-particle":"","family":"McCarthy","given":"Mark I.","non-dropping-particle":"","parse-names":false,"suffix":""},{"dropping-particle":"","family":"O'Reilly","given":"Paul F.","non-dropping-particle":"","parse-names":false,"suffix":""},{"dropping-particle":"","family":"Peltonen","given":"Leena","non-dropping-particle":"","parse-names":false,"suffix":""},{"dropping-particle":"","family":"Pouta","given":"Anneli","non-dropping-particle":"","parse-names":false,"suffix":""},{"dropping-particle":"","family":"Jong","given":"Paul E","non-dropping-particle":"de","parse-names":false,"suffix":""},{"dropping-particle":"","family":"Snieder","given":"Harold","non-dropping-particle":"","parse-names":false,"suffix":""},{"dropping-particle":"","family":"Gilst","given":"Wiek H","non-dropping-particle":"van","parse-names":false,"suffix":""},{"dropping-particle":"","family":"Clarke","given":"Robert","non-dropping-particle":"","parse-names":false,"suffix":""},{"dropping-particle":"","family":"Goel","given":"Anuj","non-dropping-particle":"","parse-names":false,"suffix":""},{"dropping-particle":"","family":"Hamsten","given":"Anders","non-dropping-particle":"","parse-names":false,"suffix":""},{"dropping-particle":"","family":"Peden","given":"John F","non-dropping-particle":"","parse-names":false,"suffix":""},{"dropping-particle":"","family":"Seedorf","given":"Udo","non-dropping-particle":"","parse-names":false,"suffix":""},{"dropping-particle":"","family":"Syvänen","given":"Ann-Christine","non-dropping-particle":"","parse-names":false,"suffix":""},{"dropping-particle":"","family":"Tognoni","given":"Giovanni","non-dropping-particle":"","parse-names":false,"suffix":""},{"dropping-particle":"","family":"Lakatta","given":"Edward G","non-dropping-particle":"","parse-names":false,"suffix":""},{"dropping-particle":"","family":"Sanna","given":"Serena","non-dropping-particle":"","parse-names":false,"suffix":""},{"dropping-particle":"","family":"Scheet","given":"Paul","non-dropping-particle":"","parse-names":false,"suffix":""},{"dropping-particle":"","family":"Schlessinger","given":"David","non-dropping-particle":"","parse-names":false,"suffix":""},{"dropping-particle":"","family":"Scuteri","given":"Angelo","non-dropping-particle":"","parse-names":false,"suffix":""},{"dropping-particle":"","family":"Dörr","given":"Marcus","non-dropping-particle":"","parse-names":false,"suffix":""},{"dropping-particle":"","family":"Ernst","given":"Florian","non-dropping-particle":"","parse-names":false,"suffix":""},{"dropping-particle":"","family":"Felix","given":"Stephan B","non-dropping-particle":"","parse-names":false,"suffix":""},{"dropping-particle":"","family":"Homuth","given":"Georg","non-dropping-particle":"","parse-names":false,"suffix":""},{"dropping-particle":"","family":"Lorbeer","given":"Roberto","non-dropping-particle":"","parse-names":false,"suffix":""},{"dropping-particle":"","family":"Reffelmann","given":"Thorsten","non-dropping-particle":"","parse-names":false,"suffix":""},{"dropping-particle":"","family":"Rettig","given":"Rainer","non-dropping-particle":"","parse-names":false,"suffix":""},{"dropping-particle":"","family":"Völker","given":"Uwe","non-dropping-particle":"","parse-names":false,"suffix":""},{"dropping-particle":"","family":"Galan","given":"Pilar","non-dropping-particle":"","parse-names":false,"suffix":""},{"dropping-particle":"","family":"Gut","given":"Ivo G","non-dropping-particle":"","parse-names":false,"suffix":""},{"dropping-particle":"","family":"Hercberg","given":"Serge","non-dropping-particle":"","parse-names":false,"suffix":""},{"dropping-particle":"","family":"Lathrop","given":"G. Mark","non-dropping-particle":"","parse-names":false,"suffix":""},{"dropping-particle":"","family":"Zelenika","given":"Diana","non-dropping-particle":"","parse-names":false,"suffix":""},{"dropping-particle":"","family":"Deloukas","given":"Panos","non-dropping-particle":"","parse-names":false,"suffix":""},{"dropping-particle":"","family":"Soranzo","given":"Nicole","non-dropping-particle":"","parse-names":false,"suffix":""},{"dropping-particle":"","family":"Williams","given":"Frances M.","non-dropping-particle":"","parse-names":false,"suffix":""},{"dropping-particle":"","family":"Zhai","given":"Guangju","non-dropping-particle":"","parse-names":false,"suffix":""},{"dropping-particle":"","family":"Salomaa","given":"Veikko","non-dropping-particle":"","parse-names":false,"suffix":""},{"dropping-particle":"","family":"Laakso","given":"Markku","non-dropping-particle":"","parse-names":false,"suffix":""},{"dropping-particle":"","family":"Elosua","given":"Roberto","non-dropping-particle":"","parse-names":false,"suffix":""},{"dropping-particle":"","family":"Forouhi","given":"Nita G","non-dropping-particle":"","parse-names":false,"suffix":""},{"dropping-particle":"","family":"Völzke","given":"Henry","non-dropping-particle":"","parse-names":false,"suffix":""},{"dropping-particle":"","family":"Uiterwaal","given":"Cuno S.","non-dropping-particle":"","parse-names":false,"suffix":""},{"dropping-particle":"","family":"Schouw","given":"Yvonne T.","non-dropping-particle":"van der","parse-names":false,"suffix":""},{"dropping-particle":"","family":"Numans","given":"Mattijs E.","non-dropping-particle":"","parse-names":false,"suffix":""},{"dropping-particle":"","family":"Matullo","given":"Giuseppe","non-dropping-particle":"","parse-names":false,"suffix":""},{"dropping-particle":"","family":"Navis","given":"Gerjan","non-dropping-particle":"","parse-names":false,"suffix":""},{"dropping-particle":"","family":"Berglund","given":"Göran","non-dropping-particle":"","parse-names":false,"suffix":""},{"dropping-particle":"","family":"Bingham","given":"Sheila A.","non-dropping-particle":"","parse-names":false,"suffix":""},{"dropping-particle":"","family":"Kooner","given":"Jaspal S.","non-dropping-particle":"","parse-names":false,"suffix":""},{"dropping-particle":"","family":"Connell","given":"John M.","non-dropping-particle":"","parse-names":false,"suffix":""},{"dropping-particle":"","family":"Bandinelli","given":"Stefania","non-dropping-particle":"","parse-names":false,"suffix":""},{"dropping-particle":"","family":"Ferrucci","given":"Luigi","non-dropping-particle":"","parse-names":false,"suffix":""},{"dropping-particle":"","family":"Watkins","given":"Hugh","non-dropping-particle":"","parse-names":false,"suffix":""},{"dropping-particle":"","family":"Spector","given":"Tim D.","non-dropping-particle":"","parse-names":false,"suffix":""},{"dropping-particle":"","family":"Tuomilehto","given":"Jaakko","non-dropping-particle":"","parse-names":false,"suffix":""},{"dropping-particle":"","family":"Altshuler","given":"David","non-dropping-particle":"","parse-names":false,"suffix":""},{"dropping-particle":"","family":"Strachan","given":"David P.","non-dropping-particle":"","parse-names":false,"suffix":""},{"dropping-particle":"","family":"Laan","given":"Maris","non-dropping-particle":"","parse-names":false,"suffix":""},{"dropping-particle":"","family":"Meneton","given":"Pierre","non-dropping-particle":"","parse-names":false,"suffix":""},{"dropping-particle":"","family":"Wareham","given":"Nicholas J.","non-dropping-particle":"","parse-names":false,"suffix":""},{"dropping-particle":"","family":"Uda","given":"Manuela","non-dropping-particle":"","parse-names":false,"suffix":""},{"dropping-particle":"","family":"Jarvelin","given":"Marjo-Riitta","non-dropping-particle":"","parse-names":false,"suffix":""},{"dropping-particle":"","family":"Mooser","given":"Vincent","non-dropping-particle":"","parse-names":false,"suffix":""},{"dropping-particle":"","family":"Melander","given":"Olle","non-dropping-particle":"","parse-names":false,"suffix":""},{"dropping-particle":"","family":"Loos","given":"Ruth J F","non-dropping-particle":"","parse-names":false,"suffix":""},{"dropping-particle":"","family":"Elliott","given":"Paul","non-dropping-particle":"","parse-names":false,"suffix":""},{"dropping-particle":"","family":"Abecasis","given":"Gonçalo R","non-dropping-particle":"","parse-names":false,"suffix":""},{"dropping-particle":"","family":"Caulfield","given":"Mark","non-dropping-particle":"","parse-names":false,"suffix":""},{"dropping-particle":"","family":"Munroe","given":"Patricia B.","non-dropping-particle":"","parse-names":false,"suffix":""}],"container-title":"Nature genetics","id":"ITEM-1","issue":"6","issued":{"date-parts":[["2009","6"]]},"page":"666-76","title":"Genome-wide association study identifies eight loci associated with blood pressure.","type":"article-journal","volume":"41"},"uris":["http://www.mendeley.com/documents/?uuid=262c3db7-c272-3737-8a14-06b26cc82c04"]}],"mendeley":{"formattedCitation":"&lt;sup&gt;39&lt;/sup&gt;","plainTextFormattedCitation":"39","previouslyFormattedCitation":"&lt;sup&gt;39&lt;/sup&gt;"},"properties":{"noteIndex":0},"schema":"https://github.com/citation-style-language/schema/raw/master/csl-citation.json"}</w:instrText>
      </w:r>
      <w:r w:rsidRPr="00177CF7">
        <w:fldChar w:fldCharType="separate"/>
      </w:r>
      <w:r w:rsidR="00AB37AF" w:rsidRPr="00AB37AF">
        <w:rPr>
          <w:noProof/>
          <w:vertAlign w:val="superscript"/>
        </w:rPr>
        <w:t>39</w:t>
      </w:r>
      <w:r w:rsidRPr="00177CF7">
        <w:fldChar w:fldCharType="end"/>
      </w:r>
      <w:r w:rsidR="0079391B" w:rsidRPr="00177CF7">
        <w:t xml:space="preserve">, </w:t>
      </w:r>
      <w:r w:rsidR="00EE791C" w:rsidRPr="00177CF7">
        <w:t>coronary heart disease</w:t>
      </w:r>
      <w:r w:rsidRPr="00177CF7">
        <w:fldChar w:fldCharType="begin" w:fldLock="1"/>
      </w:r>
      <w:r w:rsidR="007212AD">
        <w:instrText>ADDIN CSL_CITATION {"citationItems":[{"id":"ITEM-1","itemData":{"DOI":"10.1161/CIRCRESAHA.117.312086","ISSN":"1524-4571","PMID":"29212778","abstract":"RATIONALE Coronary artery disease (CAD) is a complex phenotype driven by genetic and environmental factors. Ninety-seven genetic risk loci have been identified to date, but the identification of additional susceptibility loci might be important to enhance our understanding of the genetic architecture of CAD. OBJECTIVE To expand the number of genome-wide significant loci, catalog functional insights, and enhance our understanding of the genetic architecture of CAD. METHODS AND RESULTS We performed a genome-wide association study in 34 541 CAD cases and 261 984 controls of UK Biobank resource followed by replication in 88 192 cases and 162 544 controls from CARDIoGRAMplusC4D. We identified 75 loci that replicated and were genome-wide significant (P&lt;5×10-8) in meta-analysis, 13 of which had not been reported previously. Next, to further identify novel loci, we identified all promising (P&lt;0.0001) loci in the CARDIoGRAMplusC4D data and performed reciprocal replication and meta-analyses with UK Biobank. This led to the identification of 21 additional novel loci reaching genome-wide significance (P&lt;5×10-8) in meta-analysis. Finally, we performed a genome-wide meta-analysis of all available data revealing 30 additional novel loci (P&lt;5×10-8) without further replication. The increase in sample size by UK Biobank raised the number of reconstituted gene sets from 4.2% to 13.9% of all gene sets to be involved in CAD. For the 64 novel loci, 155 candidate causal genes were prioritized, many without an obvious connection to CAD. Fine mapping of the 161 CAD loci generated lists of credible sets of single causal variants and genes for functional follow-up. Genetic risk variants of CAD were linked to development of atrial fibrillation, heart failure, and death. CONCLUSIONS We identified 64 novel genetic risk loci for CAD and performed fine mapping of all 161 risk loci to obtain a credible set of causal variants. The large expansion of reconstituted gene sets argues in favor of an expanded omnigenic model view on the genetic architecture of CAD.","author":[{"dropping-particle":"","family":"Harst","given":"Pim","non-dropping-particle":"van der","parse-names":false,"suffix":""},{"dropping-particle":"","family":"Verweij","given":"Niek","non-dropping-particle":"","parse-names":false,"suffix":""}],"container-title":"Circulation research","id":"ITEM-1","issue":"3","issued":{"date-parts":[["2018"]]},"page":"433-443","title":"Identification of 64 Novel Genetic Loci Provides an Expanded View on the Genetic Architecture of Coronary Artery Disease.","type":"article-journal","volume":"122"},"uris":["http://www.mendeley.com/documents/?uuid=50825de7-aa24-3346-8852-c68d3a911cc3"]}],"mendeley":{"formattedCitation":"&lt;sup&gt;40&lt;/sup&gt;","plainTextFormattedCitation":"40","previouslyFormattedCitation":"&lt;sup&gt;40&lt;/sup&gt;"},"properties":{"noteIndex":0},"schema":"https://github.com/citation-style-language/schema/raw/master/csl-citation.json"}</w:instrText>
      </w:r>
      <w:r w:rsidRPr="00177CF7">
        <w:fldChar w:fldCharType="separate"/>
      </w:r>
      <w:r w:rsidR="00AB37AF" w:rsidRPr="00AB37AF">
        <w:rPr>
          <w:noProof/>
          <w:vertAlign w:val="superscript"/>
        </w:rPr>
        <w:t>40</w:t>
      </w:r>
      <w:r w:rsidRPr="00177CF7">
        <w:fldChar w:fldCharType="end"/>
      </w:r>
      <w:r w:rsidR="0079391B" w:rsidRPr="00177CF7">
        <w:t xml:space="preserve">, or </w:t>
      </w:r>
      <w:r w:rsidR="005928BB" w:rsidRPr="00177CF7">
        <w:t>atrial fibrillation</w:t>
      </w:r>
      <w:r w:rsidRPr="00177CF7">
        <w:fldChar w:fldCharType="begin" w:fldLock="1"/>
      </w:r>
      <w:r w:rsidR="007212AD">
        <w:instrText>ADDIN CSL_CITATION {"citationItems":[{"id":"ITEM-1","itemData":{"DOI":"10.1038/s41588-018-0171-3","ISSN":"1546-1718","PMID":"30061737","abstract":"To identify genetic variation underlying atrial fibrillation, the most common cardiac arrhythmia, we performed a genome-wide association study of &gt;1,000,000 people, including 60,620 atrial fibrillation cases and 970,216 controls. We identified 142 independent risk variants at 111 loci and prioritized 151 functional candidate genes likely to be involved in atrial fibrillation. Many of the identified risk variants fall near genes where more deleterious mutations have been reported to cause serious heart defects in humans (GATA4, MYH6, NKX2-5, PITX2, TBX5)1, or near genes important for striated muscle function and integrity (for example, CFL2, MYH7, PKP2, RBM20, SGCG, SSPN). Pathway and functional enrichment analyses also suggested that many of the putative atrial fibrillation genes act via cardiac structural remodeling, potentially in the form of an 'atrial cardiomyopathy'2, either during fetal heart development or as a response to stress in the adult heart.","author":[{"dropping-particle":"","family":"Nielsen","given":"Jonas B","non-dropping-particle":"","parse-names":false,"suffix":""},{"dropping-particle":"","family":"Thorolfsdottir","given":"Rosa B","non-dropping-particle":"","parse-names":false,"suffix":""},{"dropping-particle":"","family":"Fritsche","given":"Lars G","non-dropping-particle":"","parse-names":false,"suffix":""},{"dropping-particle":"","family":"Zhou","given":"Wei","non-dropping-particle":"","parse-names":false,"suffix":""},{"dropping-particle":"","family":"Skov","given":"Morten W","non-dropping-particle":"","parse-names":false,"suffix":""},{"dropping-particle":"","family":"Graham","given":"Sarah E","non-dropping-particle":"","parse-names":false,"suffix":""},{"dropping-particle":"","family":"Herron","given":"Todd J","non-dropping-particle":"","parse-names":false,"suffix":""},{"dropping-particle":"","family":"McCarthy","given":"Shane","non-dropping-particle":"","parse-names":false,"suffix":""},{"dropping-particle":"","family":"Schmidt","given":"Ellen M","non-dropping-particle":"","parse-names":false,"suffix":""},{"dropping-particle":"","family":"Sveinbjornsson","given":"Gardar","non-dropping-particle":"","parse-names":false,"suffix":""},{"dropping-particle":"","family":"Surakka","given":"Ida","non-dropping-particle":"","parse-names":false,"suffix":""},{"dropping-particle":"","family":"Mathis","given":"Michael R","non-dropping-particle":"","parse-names":false,"suffix":""},{"dropping-particle":"","family":"Yamazaki","given":"Masatoshi","non-dropping-particle":"","parse-names":false,"suffix":""},{"dropping-particle":"","family":"Crawford","given":"Ryan D","non-dropping-particle":"","parse-names":false,"suffix":""},{"dropping-particle":"","family":"Gabrielsen","given":"Maiken E","non-dropping-particle":"","parse-names":false,"suffix":""},{"dropping-particle":"","family":"Skogholt","given":"Anne Heidi","non-dropping-particle":"","parse-names":false,"suffix":""},{"dropping-particle":"","family":"Holmen","given":"Oddgeir L","non-dropping-particle":"","parse-names":false,"suffix":""},{"dropping-particle":"","family":"Lin","given":"Maoxuan","non-dropping-particle":"","parse-names":false,"suffix":""},{"dropping-particle":"","family":"Wolford","given":"Brooke N","non-dropping-particle":"","parse-names":false,"suffix":""},{"dropping-particle":"","family":"Dey","given":"Rounak","non-dropping-particle":"","parse-names":false,"suffix":""},{"dropping-particle":"","family":"Dalen","given":"Håvard","non-dropping-particle":"","parse-names":false,"suffix":""},{"dropping-particle":"","family":"Sulem","given":"Patrick","non-dropping-particle":"","parse-names":false,"suffix":""},{"dropping-particle":"","family":"Chung","given":"Jonathan H","non-dropping-particle":"","parse-names":false,"suffix":""},{"dropping-particle":"","family":"Backman","given":"Joshua D","non-dropping-particle":"","parse-names":false,"suffix":""},{"dropping-particle":"","family":"Arnar","given":"David O","non-dropping-particle":"","parse-names":false,"suffix":""},{"dropping-particle":"","family":"Thorsteinsdottir","given":"Unnur","non-dropping-particle":"","parse-names":false,"suffix":""},{"dropping-particle":"","family":"Baras","given":"Aris","non-dropping-particle":"","parse-names":false,"suffix":""},{"dropping-particle":"","family":"O'Dushlaine","given":"Colm","non-dropping-particle":"","parse-names":false,"suffix":""},{"dropping-particle":"","family":"Holst","given":"Anders G","non-dropping-particle":"","parse-names":false,"suffix":""},{"dropping-particle":"","family":"Wen","given":"Xiaoquan","non-dropping-particle":"","parse-names":false,"suffix":""},{"dropping-particle":"","family":"Hornsby","given":"Whitney","non-dropping-particle":"","parse-names":false,"suffix":""},{"dropping-particle":"","family":"Dewey","given":"Frederick E","non-dropping-particle":"","parse-names":false,"suffix":""},{"dropping-particle":"","family":"Boehnke","given":"Michael","non-dropping-particle":"","parse-names":false,"suffix":""},{"dropping-particle":"","family":"Kheterpal","given":"Sachin","non-dropping-particle":"","parse-names":false,"suffix":""},{"dropping-particle":"","family":"Mukherjee","given":"Bhramar","non-dropping-particle":"","parse-names":false,"suffix":""},{"dropping-particle":"","family":"Lee","given":"Seunggeun","non-dropping-particle":"","parse-names":false,"suffix":""},{"dropping-particle":"","family":"Kang","given":"Hyun M","non-dropping-particle":"","parse-names":false,"suffix":""},{"dropping-particle":"","family":"Holm","given":"Hilma","non-dropping-particle":"","parse-names":false,"suffix":""},{"dropping-particle":"","family":"Kitzman","given":"Jacob","non-dropping-particle":"","parse-names":false,"suffix":""},{"dropping-particle":"","family":"Shavit","given":"Jordan A","non-dropping-particle":"","parse-names":false,"suffix":""},{"dropping-particle":"","family":"Jalife","given":"José","non-dropping-particle":"","parse-names":false,"suffix":""},{"dropping-particle":"","family":"Brummett","given":"Chad M","non-dropping-particle":"","parse-names":false,"suffix":""},{"dropping-particle":"","family":"Teslovich","given":"Tanya M","non-dropping-particle":"","parse-names":false,"suffix":""},{"dropping-particle":"","family":"Carey","given":"David J","non-dropping-particle":"","parse-names":false,"suffix":""},{"dropping-particle":"","family":"Gudbjartsson","given":"Daniel F","non-dropping-particle":"","parse-names":false,"suffix":""},{"dropping-particle":"","family":"Stefansson","given":"Kari","non-dropping-particle":"","parse-names":false,"suffix":""},{"dropping-particle":"","family":"Abecasis","given":"Gonçalo R","non-dropping-particle":"","parse-names":false,"suffix":""},{"dropping-particle":"","family":"Hveem","given":"Kristian","non-dropping-particle":"","parse-names":false,"suffix":""},{"dropping-particle":"","family":"Willer","given":"Cristen J","non-dropping-particle":"","parse-names":false,"suffix":""}],"container-title":"Nature genetics","id":"ITEM-1","issue":"9","issued":{"date-parts":[["2018"]]},"page":"1234-1239","publisher":"Springer US","title":"Biobank-driven genomic discovery yields new insight into atrial fibrillation biology.","type":"article-journal","volume":"50"},"uris":["http://www.mendeley.com/documents/?uuid=a6f1291a-e26d-49c4-96a1-9d3d883f7739"]}],"mendeley":{"formattedCitation":"&lt;sup&gt;41&lt;/sup&gt;","plainTextFormattedCitation":"41","previouslyFormattedCitation":"&lt;sup&gt;41&lt;/sup&gt;"},"properties":{"noteIndex":0},"schema":"https://github.com/citation-style-language/schema/raw/master/csl-citation.json"}</w:instrText>
      </w:r>
      <w:r w:rsidRPr="00177CF7">
        <w:fldChar w:fldCharType="separate"/>
      </w:r>
      <w:r w:rsidR="00AB37AF" w:rsidRPr="00AB37AF">
        <w:rPr>
          <w:noProof/>
          <w:vertAlign w:val="superscript"/>
        </w:rPr>
        <w:t>41</w:t>
      </w:r>
      <w:r w:rsidRPr="00177CF7">
        <w:fldChar w:fldCharType="end"/>
      </w:r>
      <w:r w:rsidR="008D0E91" w:rsidRPr="00177CF7">
        <w:t>)</w:t>
      </w:r>
      <w:r w:rsidR="00331F8F" w:rsidRPr="00177CF7">
        <w:t xml:space="preserve"> and</w:t>
      </w:r>
      <w:r w:rsidR="00BD6898" w:rsidRPr="00177CF7">
        <w:t xml:space="preserve"> </w:t>
      </w:r>
      <w:r w:rsidR="000A65E3" w:rsidRPr="00177CF7">
        <w:rPr>
          <w:i/>
          <w:iCs/>
        </w:rPr>
        <w:t>UMOD</w:t>
      </w:r>
      <w:r w:rsidR="000A65E3" w:rsidRPr="00177CF7">
        <w:t xml:space="preserve"> </w:t>
      </w:r>
      <w:r w:rsidR="008D0E91" w:rsidRPr="00177CF7">
        <w:t>(</w:t>
      </w:r>
      <w:r w:rsidR="00E4384D" w:rsidRPr="00177CF7">
        <w:t>e.g.,</w:t>
      </w:r>
      <w:r w:rsidR="00350B7E" w:rsidRPr="00177CF7">
        <w:t xml:space="preserve"> </w:t>
      </w:r>
      <w:r w:rsidR="00F1465B" w:rsidRPr="00177CF7">
        <w:t>hypertension and estimated glomeru</w:t>
      </w:r>
      <w:r w:rsidR="00512E73" w:rsidRPr="00177CF7">
        <w:t>lar filtration rate</w:t>
      </w:r>
      <w:r w:rsidRPr="00177CF7">
        <w:fldChar w:fldCharType="begin" w:fldLock="1"/>
      </w:r>
      <w:r w:rsidR="007212AD">
        <w:instrText>ADDIN CSL_CITATION {"citationItems":[{"id":"ITEM-1","itemData":{"DOI":"10.1038/nm.3384","ISSN":"1546-170X","PMID":"24185693","abstract":"Hypertension and chronic kidney disease (CKD) are complex traits representing major global health problems. Multiple genome-wide association studies have identified common variants in the promoter of the UMOD gene, which encodes uromodulin, the major protein secreted in normal urine, that cause independent susceptibility to CKD and hypertension. Despite compelling genetic evidence for the association between UMOD risk variants and disease susceptibility in the general population, the underlying biological mechanism is not understood. Here, we demonstrate that UMOD risk variants increased UMOD expression in vitro and in vivo. Uromodulin overexpression in transgenic mice led to salt-sensitive hypertension and to the presence of age-dependent renal lesions similar to those observed in elderly individuals homozygous for UMOD promoter risk variants. The link between uromodulin and hypertension is due to activation of the renal sodium cotransporter NKCC2. We demonstrated the relevance of this mechanism in humans by showing that pharmacological inhibition of NKCC2 was more effective in lowering blood pressure in hypertensive patients who are homozygous for UMOD promoter risk variants than in other hypertensive patients. Our findings link genetic susceptibility to hypertension and CKD to the level of uromodulin expression and uromodulin's effect on salt reabsorption in the kidney. These findings point to uromodulin as a therapeutic target for lowering blood pressure and preserving renal function.","author":[{"dropping-particle":"","family":"Trudu","given":"Matteo","non-dropping-particle":"","parse-names":false,"suffix":""},{"dropping-particle":"","family":"Janas","given":"Sylvie","non-dropping-particle":"","parse-names":false,"suffix":""},{"dropping-particle":"","family":"Lanzani","given":"Chiara","non-dropping-particle":"","parse-names":false,"suffix":""},{"dropping-particle":"","family":"Debaix","given":"Huguette","non-dropping-particle":"","parse-names":false,"suffix":""},{"dropping-particle":"","family":"Schaeffer","given":"Céline","non-dropping-particle":"","parse-names":false,"suffix":""},{"dropping-particle":"","family":"Ikehata","given":"Masami","non-dropping-particle":"","parse-names":false,"suffix":""},{"dropping-particle":"","family":"Citterio","given":"Lorena","non-dropping-particle":"","parse-names":false,"suffix":""},{"dropping-particle":"","family":"Demaretz","given":"Sylvie","non-dropping-particle":"","parse-names":false,"suffix":""},{"dropping-particle":"","family":"Trevisani","given":"Francesco","non-dropping-particle":"","parse-names":false,"suffix":""},{"dropping-particle":"","family":"Ristagno","given":"Giuseppe","non-dropping-particle":"","parse-names":false,"suffix":""},{"dropping-particle":"","family":"Glaudemans","given":"Bob","non-dropping-particle":"","parse-names":false,"suffix":""},{"dropping-particle":"","family":"Laghmani","given":"Kamel","non-dropping-particle":"","parse-names":false,"suffix":""},{"dropping-particle":"","family":"Dell'Antonio","given":"Giacomo","non-dropping-particle":"","parse-names":false,"suffix":""},{"dropping-particle":"","family":"SKIPOGH team","given":"","non-dropping-particle":"","parse-names":false,"suffix":""},{"dropping-particle":"","family":"Loffing","given":"Johannes","non-dropping-particle":"","parse-names":false,"suffix":""},{"dropping-particle":"","family":"Rastaldi","given":"Maria P.","non-dropping-particle":"","parse-names":false,"suffix":""},{"dropping-particle":"","family":"Manunta","given":"Paolo","non-dropping-particle":"","parse-names":false,"suffix":""},{"dropping-particle":"","family":"Devuyst","given":"Olivier","non-dropping-particle":"","parse-names":false,"suffix":""},{"dropping-particle":"","family":"Rampoldi","given":"Luca","non-dropping-particle":"","parse-names":false,"suffix":""}],"container-title":"Nature medicine","id":"ITEM-1","issue":"12","issued":{"date-parts":[["2013","12"]]},"page":"1655-60","title":"Common noncoding UMOD gene variants induce salt-sensitive hypertension and kidney damage by increasing uromodulin expression.","type":"article-journal","volume":"19"},"uris":["http://www.mendeley.com/documents/?uuid=ecd3ff99-112d-45bb-abe6-e951b3c968d7"]}],"mendeley":{"formattedCitation":"&lt;sup&gt;42&lt;/sup&gt;","plainTextFormattedCitation":"42","previouslyFormattedCitation":"&lt;sup&gt;42&lt;/sup&gt;"},"properties":{"noteIndex":0},"schema":"https://github.com/citation-style-language/schema/raw/master/csl-citation.json"}</w:instrText>
      </w:r>
      <w:r w:rsidRPr="00177CF7">
        <w:fldChar w:fldCharType="separate"/>
      </w:r>
      <w:r w:rsidR="00AB37AF" w:rsidRPr="00AB37AF">
        <w:rPr>
          <w:noProof/>
          <w:vertAlign w:val="superscript"/>
        </w:rPr>
        <w:t>42</w:t>
      </w:r>
      <w:r w:rsidRPr="00177CF7">
        <w:fldChar w:fldCharType="end"/>
      </w:r>
      <w:r w:rsidR="008D0E91" w:rsidRPr="00177CF7">
        <w:t>)</w:t>
      </w:r>
      <w:r w:rsidR="00331F8F" w:rsidRPr="00177CF7">
        <w:t xml:space="preserve"> for which we </w:t>
      </w:r>
      <w:r w:rsidR="00215F17" w:rsidRPr="00177CF7">
        <w:t xml:space="preserve">estimate that genetically higher protein levels are </w:t>
      </w:r>
      <w:r w:rsidR="00911C0C" w:rsidRPr="00177CF7">
        <w:t>cau</w:t>
      </w:r>
      <w:r w:rsidR="00515033" w:rsidRPr="00177CF7">
        <w:t>s</w:t>
      </w:r>
      <w:r w:rsidR="00911C0C" w:rsidRPr="00177CF7">
        <w:t xml:space="preserve">ally </w:t>
      </w:r>
      <w:r w:rsidR="00215F17" w:rsidRPr="00177CF7">
        <w:t>associated with higher</w:t>
      </w:r>
      <w:r w:rsidR="00911C0C" w:rsidRPr="00177CF7">
        <w:t xml:space="preserve"> disease risk, for instance</w:t>
      </w:r>
      <w:r w:rsidR="001F1452" w:rsidRPr="00177CF7">
        <w:t>,</w:t>
      </w:r>
      <w:r w:rsidR="00911C0C" w:rsidRPr="00177CF7">
        <w:t xml:space="preserve"> a 1 </w:t>
      </w:r>
      <w:proofErr w:type="spellStart"/>
      <w:r w:rsidR="00911C0C" w:rsidRPr="00177CF7">
        <w:t>s.d.</w:t>
      </w:r>
      <w:proofErr w:type="spellEnd"/>
      <w:r w:rsidR="00911C0C" w:rsidRPr="00177CF7">
        <w:t xml:space="preserve"> increase in FGF-5 levels </w:t>
      </w:r>
      <w:r w:rsidR="00C932DC" w:rsidRPr="00177CF7">
        <w:t>was associated with a</w:t>
      </w:r>
      <w:r w:rsidR="00215F17" w:rsidRPr="00177CF7">
        <w:t xml:space="preserve"> </w:t>
      </w:r>
      <w:r w:rsidR="00696E5B" w:rsidRPr="00177CF7">
        <w:t>1</w:t>
      </w:r>
      <w:r w:rsidR="00897450" w:rsidRPr="00177CF7">
        <w:t>2</w:t>
      </w:r>
      <w:r w:rsidR="00696E5B" w:rsidRPr="00177CF7">
        <w:t xml:space="preserve">% </w:t>
      </w:r>
      <w:r w:rsidR="00D17B05" w:rsidRPr="00177CF7">
        <w:t>higher</w:t>
      </w:r>
      <w:r w:rsidR="00696E5B" w:rsidRPr="00177CF7">
        <w:t xml:space="preserve"> risk of coronary </w:t>
      </w:r>
      <w:r w:rsidR="00D17B05" w:rsidRPr="00177CF7">
        <w:t>a</w:t>
      </w:r>
      <w:r w:rsidR="001F1452" w:rsidRPr="00177CF7">
        <w:t>r</w:t>
      </w:r>
      <w:r w:rsidR="00D17B05" w:rsidRPr="00177CF7">
        <w:t>tery</w:t>
      </w:r>
      <w:r w:rsidR="00696E5B" w:rsidRPr="00177CF7">
        <w:t xml:space="preserve"> disease (odds ratio: </w:t>
      </w:r>
      <w:r w:rsidR="00D17B05" w:rsidRPr="00177CF7">
        <w:t>1.12; 95%-CI: 1.08-1.16; p-value&lt;</w:t>
      </w:r>
      <w:r w:rsidR="00A14CE6" w:rsidRPr="00177CF7">
        <w:t>9.0x10</w:t>
      </w:r>
      <w:r w:rsidR="00A14CE6" w:rsidRPr="00177CF7">
        <w:rPr>
          <w:vertAlign w:val="superscript"/>
        </w:rPr>
        <w:t>-12</w:t>
      </w:r>
      <w:r w:rsidR="00696E5B" w:rsidRPr="00177CF7">
        <w:t>)</w:t>
      </w:r>
      <w:r w:rsidR="006F5981" w:rsidRPr="00177CF7">
        <w:t xml:space="preserve"> possibly via its effect on </w:t>
      </w:r>
      <w:r w:rsidR="00407FFB" w:rsidRPr="00177CF7">
        <w:t>hypertension (</w:t>
      </w:r>
      <w:r w:rsidR="00C16873" w:rsidRPr="00177CF7">
        <w:t>1.32</w:t>
      </w:r>
      <w:r w:rsidR="00FF5E06" w:rsidRPr="00177CF7">
        <w:t>;</w:t>
      </w:r>
      <w:r w:rsidR="003143C8" w:rsidRPr="00177CF7">
        <w:t xml:space="preserve"> 1.29-1.35</w:t>
      </w:r>
      <w:r w:rsidR="00FF5E06" w:rsidRPr="00177CF7">
        <w:t>; p-value&lt;</w:t>
      </w:r>
      <w:r w:rsidR="006411A2" w:rsidRPr="00177CF7">
        <w:t>1.7x10</w:t>
      </w:r>
      <w:r w:rsidR="006411A2" w:rsidRPr="00177CF7">
        <w:rPr>
          <w:vertAlign w:val="superscript"/>
        </w:rPr>
        <w:t>-99</w:t>
      </w:r>
      <w:r w:rsidR="00407FFB" w:rsidRPr="00177CF7">
        <w:t>)</w:t>
      </w:r>
      <w:r w:rsidR="00A14CE6" w:rsidRPr="00177CF7">
        <w:t xml:space="preserve">. </w:t>
      </w:r>
      <w:r w:rsidR="0089696D" w:rsidRPr="00177CF7">
        <w:t>Other known or recently described</w:t>
      </w:r>
      <w:r w:rsidR="004B2D30" w:rsidRPr="00177CF7">
        <w:t xml:space="preserve"> disease loci for which we </w:t>
      </w:r>
      <w:r w:rsidR="00A368AE" w:rsidRPr="00177CF7">
        <w:t>identif</w:t>
      </w:r>
      <w:r w:rsidR="008531E6" w:rsidRPr="00177CF7">
        <w:t>ied</w:t>
      </w:r>
      <w:r w:rsidR="00A368AE" w:rsidRPr="00177CF7">
        <w:t xml:space="preserve"> evidence for a shared gene</w:t>
      </w:r>
      <w:r w:rsidR="008531E6" w:rsidRPr="00177CF7">
        <w:t>-protein-</w:t>
      </w:r>
      <w:r w:rsidR="00D80ED6" w:rsidRPr="00177CF7">
        <w:t xml:space="preserve">phenotype </w:t>
      </w:r>
      <w:r w:rsidR="008531E6" w:rsidRPr="00177CF7">
        <w:t>signal</w:t>
      </w:r>
      <w:r w:rsidR="004B3701" w:rsidRPr="00177CF7">
        <w:t xml:space="preserve"> </w:t>
      </w:r>
      <w:r w:rsidR="00FE62E6" w:rsidRPr="00177CF7">
        <w:t xml:space="preserve">included </w:t>
      </w:r>
      <w:r w:rsidR="007B2176" w:rsidRPr="00177CF7">
        <w:t>c</w:t>
      </w:r>
      <w:r w:rsidR="00FE62E6" w:rsidRPr="00177CF7">
        <w:t>arboxypeptidase E (</w:t>
      </w:r>
      <w:r w:rsidR="00FE62E6" w:rsidRPr="00177CF7">
        <w:rPr>
          <w:i/>
          <w:iCs/>
        </w:rPr>
        <w:t>CPE</w:t>
      </w:r>
      <w:r w:rsidR="00FE62E6" w:rsidRPr="00177CF7">
        <w:t>) and bone mineral density</w:t>
      </w:r>
      <w:r w:rsidRPr="00177CF7">
        <w:fldChar w:fldCharType="begin" w:fldLock="1"/>
      </w:r>
      <w:r w:rsidR="007212AD">
        <w:instrText>ADDIN CSL_CITATION {"citationItems":[{"id":"ITEM-1","itemData":{"DOI":"10.1186/s13059-020-01997-2","ISBN":"17:75564053","ISSN":"1474-760X","PMID":"32216834","abstract":"BACKGROUND Osteoporosis is a complex disease with a strong genetic contribution. A recently published genome-wide association study (GWAS) for estimated bone mineral density (eBMD) identified 1103 independent genome-wide significant association signals. Most of these variants are non-coding, suggesting that regulatory effects may drive many of the associations. To identify genes with a role in osteoporosis, we integrate the eBMD GWAS association results with those from our previous osteoclast expression quantitative trait locus (eQTL) dataset. RESULTS We identify sixty-nine significant cis-eQTL effects for eBMD GWAS variants after correction for multiple testing. We detect co-localisation of eBMD GWAS and osteoclast eQTL association signals for 21 of the 69 loci, implicating a number of genes including CCR5, ZBTB38, CPE, GNA12, RIPK3, IQGAP1 and FLCN. Summary-data-based Mendelian Randomisation analysis of the eBMD GWAS and osteoclast eQTL datasets identifies significant associations for 53 genes, with TULP4 presenting as a strong candidate for pleiotropic effects on eBMD and gene expression in osteoclasts. By performing analysis using the GARFIELD software, we demonstrate significant enrichment of osteoporosis risk variants among high-confidence osteoclast eQTL across multiple GWAS P value thresholds. Mice lacking one of the genes of interest, the apoptosis/necroptosis gene RIPK3, show disturbed bone micro-architecture and increased osteoclast number, highlighting a new biological pathway relevant to osteoporosis. CONCLUSION We utilise a unique osteoclast eQTL dataset to identify a number of potential effector genes for osteoporosis risk variants, which will help focus functional studies in this area.","author":[{"dropping-particle":"","family":"Mullin","given":"Benjamin H","non-dropping-particle":"","parse-names":false,"suffix":""},{"dropping-particle":"","family":"Tickner","given":"Jennifer","non-dropping-particle":"","parse-names":false,"suffix":""},{"dropping-particle":"","family":"Zhu","given":"Kun","non-dropping-particle":"","parse-names":false,"suffix":""},{"dropping-particle":"","family":"Kenny","given":"Jacob","non-dropping-particle":"","parse-names":false,"suffix":""},{"dropping-particle":"","family":"Mullin","given":"Shelby","non-dropping-particle":"","parse-names":false,"suffix":""},{"dropping-particle":"","family":"Brown","given":"Suzanne J","non-dropping-particle":"","parse-names":false,"suffix":""},{"dropping-particle":"","family":"Dudbridge","given":"Frank","non-dropping-particle":"","parse-names":false,"suffix":""},{"dropping-particle":"","family":"Pavlos","given":"Nathan J","non-dropping-particle":"","parse-names":false,"suffix":""},{"dropping-particle":"","family":"Mocarski","given":"Edward S","non-dropping-particle":"","parse-names":false,"suffix":""},{"dropping-particle":"","family":"Walsh","given":"John P","non-dropping-particle":"","parse-names":false,"suffix":""},{"dropping-particle":"","family":"Xu","given":"Jiake","non-dropping-particle":"","parse-names":false,"suffix":""},{"dropping-particle":"","family":"Wilson","given":"Scott G","non-dropping-particle":"","parse-names":false,"suffix":""}],"container-title":"Genome biology","id":"ITEM-1","issue":"1","issued":{"date-parts":[["2020"]]},"page":"80","title":"Characterisation of genetic regulatory effects for osteoporosis risk variants in human osteoclasts.","type":"article-journal","volume":"21"},"uris":["http://www.mendeley.com/documents/?uuid=7da59b47-9bf4-30d8-b8a6-5779980d6050"]}],"mendeley":{"formattedCitation":"&lt;sup&gt;43&lt;/sup&gt;","plainTextFormattedCitation":"43","previouslyFormattedCitation":"&lt;sup&gt;43&lt;/sup&gt;"},"properties":{"noteIndex":0},"schema":"https://github.com/citation-style-language/schema/raw/master/csl-citation.json"}</w:instrText>
      </w:r>
      <w:r w:rsidRPr="00177CF7">
        <w:fldChar w:fldCharType="separate"/>
      </w:r>
      <w:r w:rsidR="00AB37AF" w:rsidRPr="00AB37AF">
        <w:rPr>
          <w:noProof/>
          <w:vertAlign w:val="superscript"/>
        </w:rPr>
        <w:t>43</w:t>
      </w:r>
      <w:r w:rsidRPr="00177CF7">
        <w:fldChar w:fldCharType="end"/>
      </w:r>
      <w:r w:rsidR="00FE62E6" w:rsidRPr="00177CF7">
        <w:t xml:space="preserve">, </w:t>
      </w:r>
      <w:r w:rsidR="000305CB" w:rsidRPr="00177CF7">
        <w:t>ICOS ligand (</w:t>
      </w:r>
      <w:r w:rsidR="00637EB6" w:rsidRPr="00177CF7">
        <w:rPr>
          <w:i/>
          <w:iCs/>
        </w:rPr>
        <w:t>ICOSLG</w:t>
      </w:r>
      <w:r w:rsidR="000305CB" w:rsidRPr="00177CF7">
        <w:t>) and rheumatoid arthritis</w:t>
      </w:r>
      <w:r w:rsidRPr="00177CF7">
        <w:fldChar w:fldCharType="begin" w:fldLock="1"/>
      </w:r>
      <w:r w:rsidR="007212AD">
        <w:instrText xml:space="preserve">ADDIN CSL_CITATION {"citationItems":[{"id":"ITEM-1","itemData":{"DOI":"10.1038/nature12873","ISSN":"00280836","PMID":"24390342","abstract":"A major challenge in human genetics is to devise a systematic strategy to integrate disease-associated variants with diverse genomic and biological data sets to provide insight into disease pathogenesis and guide drug discovery for complex traits such as rheumatoid arthritis (RA). Here we performed a genome-wide association study meta-analysis in a total of &gt;100,000 subjects of European and Asian ancestries (29,880 RA cases and 73,758 controls), by evaluating </w:instrText>
      </w:r>
      <w:r w:rsidR="007212AD">
        <w:rPr>
          <w:rFonts w:ascii="Cambria Math" w:hAnsi="Cambria Math" w:cs="Cambria Math"/>
        </w:rPr>
        <w:instrText>∼</w:instrText>
      </w:r>
      <w:r w:rsidR="007212AD">
        <w:instrText>10 million single-nucleotide polymorphisms. We discovered 42 novel RA risk loci at a genome-wide level of significance, bringing the total to 101 (refs 2, 3, 4). We devised an in silico pipeline using established bioinformatics methods based on functional annotation, cis-acting expression quantitative trait loci and pathway analyses-as well as novel methods based on genetic overlap with human primary immunodeficiency, haematological cancer somatic mutations and knockout mouse phenotypes-to identify 98 biological candidate genes at these 101 risk loci. We demonstrate that these genes are the targets of approved therapies for RA, and further suggest that drugs approved for other indications may be repurposed for the treatment of RA. Together, this comprehensive genetic study sheds light on fundamental genes, pathways and cell types that contribute to RA pathogenesis, and provides empirical evidence that the genetics of RA can provide important information for drug discovery. © 2014 Macmillan Publishers Limited. All rights reserved.","author":[{"dropping-particle":"","family":"Okada","given":"Yukinori","non-dropping-particle":"","parse-names":false,"suffix":""},{"dropping-particle":"","family":"Wu","given":"Di","non-dropping-particle":"","parse-names":false,"suffix":""},{"dropping-particle":"","family":"Trynka","given":"Gosia","non-dropping-particle":"","parse-names":false,"suffix":""},{"dropping-particle":"","family":"Raj","given":"Towfique","non-dropping-particle":"","parse-names":false,"suffix":""},{"dropping-particle":"","family":"Terao","given":"Chikashi","non-dropping-particle":"","parse-names":false,"suffix":""},{"dropping-particle":"","family":"Ikari","given":"Katsunori","non-dropping-particle":"","parse-names":false,"suffix":""},{"dropping-particle":"","family":"Kochi","given":"Yuta","non-dropping-particle":"","parse-names":false,"suffix":""},{"dropping-particle":"","family":"Ohmura","given":"Koichiro","non-dropping-particle":"","parse-names":false,"suffix":""},{"dropping-particle":"","family":"Suzuki","given":"Akari","non-dropping-particle":"","parse-names":false,"suffix":""},{"dropping-particle":"","family":"Yoshida","given":"Shinji","non-dropping-particle":"","parse-names":false,"suffix":""},{"dropping-particle":"","family":"Graham","given":"Robert R.","non-dropping-particle":"","parse-names":false,"suffix":""},{"dropping-particle":"","family":"Manoharan","given":"Arun","non-dropping-particle":"","parse-names":false,"suffix":""},{"dropping-particle":"","family":"Ortmann","given":"Ward","non-dropping-particle":"","parse-names":false,"suffix":""},{"dropping-particle":"","family":"Bhangale","given":"Tushar","non-dropping-particle":"","parse-names":false,"suffix":""},{"dropping-particle":"","family":"Denny","given":"Joshua C.","non-dropping-particle":"","parse-names":false,"suffix":""},{"dropping-particle":"","family":"Carroll","given":"Robert J.","non-dropping-particle":"","parse-names":false,"suffix":""},{"dropping-particle":"","family":"Eyler","given":"Anne E.","non-dropping-particle":"","parse-names":false,"suffix":""},{"dropping-particle":"","family":"Greenberg","given":"Jeffrey D.","non-dropping-particle":"","parse-names":false,"suffix":""},{"dropping-particle":"","family":"Kremer","given":"Joel M.","non-dropping-particle":"","parse-names":false,"suffix":""},{"dropping-particle":"","family":"Pappas","given":"Dimitrios A.","non-dropping-particle":"","parse-names":false,"suffix":""},{"dropping-particle":"","family":"Jiang","given":"Lei","non-dropping-particle":"","parse-names":false,"suffix":""},{"dropping-particle":"","family":"Yin","given":"Jian","non-dropping-particle":"","parse-names":false,"suffix":""},{"dropping-particle":"","family":"Ye","given":"Lingying","non-dropping-particle":"","parse-names":false,"suffix":""},{"dropping-particle":"","family":"Su","given":"Ding Feng","non-dropping-particle":"","parse-names":false,"suffix":""},{"dropping-particle":"","family":"Yang","given":"Jian","non-dropping-particle":"","parse-names":false,"suffix":""},{"dropping-particle":"","family":"Xie","given":"Gang","non-dropping-particle":"","parse-names":false,"suffix":""},{"dropping-particle":"","family":"Keystone","given":"Ed","non-dropping-particle":"","parse-names":false,"suffix":""},{"dropping-particle":"","family":"Westra","given":"Harm Jan","non-dropping-particle":"","parse-names":false,"suffix":""},{"dropping-particle":"","family":"Esko","given":"Toñu","non-dropping-particle":"","parse-names":false,"suffix":""},{"dropping-particle":"","family":"Metspalu","given":"Andres","non-dropping-particle":"","parse-names":false,"suffix":""},{"dropping-particle":"","family":"Zhou","given":"Xuezhong","non-dropping-particle":"","parse-names":false,"suffix":""},{"dropping-particle":"","family":"Gupta","given":"Namrata","non-dropping-particle":"","parse-names":false,"suffix":""},{"dropping-particle":"","family":"Mirel","given":"Daniel","non-dropping-particle":"","parse-names":false,"suffix":""},{"dropping-particle":"","family":"Stahl","given":"Eli A.","non-dropping-particle":"","parse-names":false,"suffix":""},{"dropping-particle":"","family":"Diogo","given":"Dorotheé","non-dropping-particle":"","parse-names":false,"suffix":""},{"dropping-particle":"","family":"Cui","given":"Jing","non-dropping-particle":"","parse-names":false,"suffix":""},{"dropping-particle":"","family":"Liao","given":"Katherine","non-dropping-particle":"","parse-names":false,"suffix":""},{"dropping-particle":"","family":"Guo","given":"Michael H.","non-dropping-particle":"","parse-names":false,"suffix":""},{"dropping-particle":"","family":"Myouzen","given":"Keiko","non-dropping-particle":"","parse-names":false,"suffix":""},{"dropping-particle":"","family":"Kawaguchi","given":"Takahisa","non-dropping-particle":"","parse-names":false,"suffix":""},{"dropping-particle":"","family":"Coenen","given":"Marieke J.H.","non-dropping-particle":"","parse-names":false,"suffix":""},{"dropping-particle":"","family":"Riel","given":"Piet L.C.M.","non-dropping-particle":"Van","parse-names":false,"suffix":""},{"dropping-particle":"","family":"Laar","given":"Mart A.F.J.","non-dropping-particle":"Van De","parse-names":false,"suffix":""},{"dropping-particle":"","family":"Guchelaar","given":"Henk Jan","non-dropping-particle":"","parse-names":false,"suffix":""},{"dropping-particle":"","family":"Huizinga","given":"Tom W.J.","non-dropping-particle":"","parse-names":false,"suffix":""},{"dropping-particle":"","family":"Dieudé","given":"Philippe","non-dropping-particle":"","parse-names":false,"suffix":""},{"dropping-particle":"","family":"Mariette","given":"Xavier","non-dropping-particle":"","parse-names":false,"suffix":""},{"dropping-particle":"","family":"Bridges","given":"S. Louis","non-dropping-particle":"","parse-names":false,"suffix":""},{"dropping-particle":"","family":"Zhernakova","given":"Alexandra","non-dropping-particle":"","parse-names":false,"suffix":""},{"dropping-particle":"","family":"Toes","given":"Rene E.M.","non-dropping-particle":"","parse-names":false,"suffix":""},{"dropping-particle":"","family":"Tak","given":"Paul P.","non-dropping-particle":"","parse-names":false,"suffix":""},{"dropping-particle":"","family":"Miceli-Richard","given":"Corinne","non-dropping-particle":"","parse-names":false,"suffix":""},{"dropping-particle":"","family":"Bang","given":"So Young","non-dropping-particle":"","parse-names":false,"suffix":""},{"dropping-particle":"","family":"Lee","given":"Hye Soon","non-dropping-particle":"","parse-names":false,"suffix":""},{"dropping-particle":"","family":"Martin","given":"Javier","non-dropping-particle":"","parse-names":false,"suffix":""},{"dropping-particle":"","family":"Gonzalez-Gay","given":"Miguel A.","non-dropping-particle":"","parse-names":false,"suffix":""},{"dropping-particle":"","family":"Rodriguez-Rodriguez","given":"Luis","non-dropping-particle":"","parse-names":false,"suffix":""},{"dropping-particle":"","family":"Rantapää-Dahlqvist","given":"Solbritt","non-dropping-particle":"","parse-names":false,"suffix":""},{"dropping-particle":"","family":"Ärlestig","given":"Lisbeth","non-dropping-particle":"","parse-names":false,"suffix":""},{"dropping-particle":"","family":"Choi","given":"Hyon K.","non-dropping-particle":"","parse-names":false,"suffix":""},{"dropping-particle":"","family":"Kamatani","given":"Yoichiro","non-dropping-particle":"","parse-names":false,"suffix":""},{"dropping-particle":"","family":"Galan","given":"Pilar","non-dropping-particle":"","parse-names":false,"suffix":""},{"dropping-particle":"","family":"Lathrop","given":"Mark","non-dropping-particle":"","parse-names":false,"suffix":""},{"dropping-particle":"","family":"Eyre","given":"Steve","non-dropping-particle":"","parse-names":false,"suffix":""},{"dropping-particle":"","family":"Bowes","given":"John","non-dropping-particle":"","parse-names":false,"suffix":""},{"dropping-particle":"","family":"Barton","given":"Anne","non-dropping-particle":"","parse-names":false,"suffix":""},{"dropping-particle":"","family":"Vries","given":"Niek","non-dropping-particle":"De","parse-names":false,"suffix":""},{"dropping-particle":"","family":"Moreland","given":"Larry W.","non-dropping-particle":"","parse-names":false,"suffix":""},{"dropping-particle":"","family":"Criswell","given":"Lindsey A.","non-dropping-particle":"","parse-names":false,"suffix":""},{"dropping-particle":"","family":"Karlson","given":"Elizabeth W.","non-dropping-particle":"","parse-names":false,"suffix":""},{"dropping-particle":"","family":"Taniguchi","given":"Atsuo","non-dropping-particle":"","parse-names":false,"suffix":""},{"dropping-particle":"","family":"Yamada","given":"Ryo","non-dropping-particle":"","parse-names":false,"suffix":""},{"dropping-particle":"","family":"Kubo","given":"Michiaki","non-dropping-particle":"","parse-names":false,"suffix":""},{"dropping-particle":"","family":"Liu","given":"Jun S.","non-dropping-particle":"","parse-names":false,"suffix":""},{"dropping-particle":"","family":"Bae","given":"Sang Cheol","non-dropping-particle":"","parse-names":false,"suffix":""},{"dropping-particle":"","family":"Worthington","given":"Jane","non-dropping-particle":"","parse-names":false,"suffix":""},{"dropping-particle":"","family":"Padyukov","given":"Leonid","non-dropping-particle":"","parse-names":false,"suffix":""},{"dropping-particle":"","family":"Klareskog","given":"Lars","non-dropping-particle":"","parse-names":false,"suffix":""},{"dropping-particle":"","family":"Gregersen","given":"Peter K.","non-dropping-particle":"","parse-names":false,"suffix":""},{"dropping-particle":"","family":"Raychaudhuri","given":"Soumya","non-dropping-particle":"","parse-names":false,"suffix":""},{"dropping-particle":"","family":"Stranger","given":"Barbara E.","non-dropping-particle":"","parse-names":false,"suffix":""},{"dropping-particle":"","family":"Jager","given":"Philip L.","non-dropping-particle":"De","parse-names":false,"suffix":""},{"dropping-particle":"","family":"Franke","given":"Lude","non-dropping-particle":"","parse-names":false,"suffix":""},{"dropping-particle":"","family":"Visscher","given":"Peter M.","non-dropping-particle":"","parse-names":false,"suffix":""},{"dropping-particle":"","family":"Brown","given":"Matthew A.","non-dropping-particle":"","parse-names":false,"suffix":""},{"dropping-particle":"","family":"Yamanaka","given":"Hisashi","non-dropping-particle":"","parse-names":false,"suffix":""},{"dropping-particle":"","family":"Mimori","given":"Tsuneyo","non-dropping-particle":"","parse-names":false,"suffix":""},{"dropping-particle":"","family":"Takahashi","given":"Atsushi","non-dropping-particle":"","parse-names":false,"suffix":""},{"dropping-particle":"","family":"Xu","given":"Huji","non-dropping-particle":"","parse-names":false,"suffix":""},{"dropping-particle":"","family":"Behrens","given":"Timothy W.","non-dropping-particle":"","parse-names":false,"suffix":""},{"dropping-particle":"","family":"Siminovitch","given":"Katherine A.","non-dropping-particle":"","parse-names":false,"suffix":""},{"dropping-particle":"","family":"Momohara","given":"Shigeki","non-dropping-particle":"","parse-names":false,"suffix":""},{"dropping-particle":"","family":"Matsuda","given":"Fumihiko","non-dropping-particle":"","parse-names":false,"suffix":""},{"dropping-particle":"","family":"Yamamoto","given":"Kazuhiko","non-dropping-particle":"","parse-names":false,"suffix":""},{"dropping-particle":"","family":"Plenge","given":"Robert M.","non-dropping-particle":"","parse-names":false,"suffix":""}],"container-title":"Nature","id":"ITEM-1","issue":"7488","issued":{"date-parts":[["2014"]]},"page":"376-381","publisher":"Nature Publishing Group","title":"Genetics of rheumatoid arthritis contributes to biology and drug discovery","type":"article-journal","volume":"506"},"uris":["http://www.mendeley.com/documents/?uuid=ac94fd1d-016b-4b08-88ea-f2f8b7ab3fae"]}],"mendeley":{"formattedCitation":"&lt;sup&gt;31&lt;/sup&gt;","plainTextFormattedCitation":"31","previouslyFormattedCitation":"&lt;sup&gt;31&lt;/sup&gt;"},"properties":{"noteIndex":0},"schema":"https://github.com/citation-style-language/schema/raw/master/csl-citation.json"}</w:instrText>
      </w:r>
      <w:r w:rsidRPr="00177CF7">
        <w:fldChar w:fldCharType="separate"/>
      </w:r>
      <w:r w:rsidR="00AB37AF" w:rsidRPr="00AB37AF">
        <w:rPr>
          <w:noProof/>
          <w:vertAlign w:val="superscript"/>
        </w:rPr>
        <w:t>31</w:t>
      </w:r>
      <w:r w:rsidRPr="00177CF7">
        <w:fldChar w:fldCharType="end"/>
      </w:r>
      <w:r w:rsidR="00036409" w:rsidRPr="00177CF7">
        <w:t>,</w:t>
      </w:r>
      <w:r w:rsidR="00704A4E" w:rsidRPr="00177CF7">
        <w:t xml:space="preserve"> or</w:t>
      </w:r>
      <w:r w:rsidR="000305CB" w:rsidRPr="00177CF7">
        <w:t xml:space="preserve"> </w:t>
      </w:r>
      <w:r w:rsidR="00C34BF4" w:rsidRPr="00177CF7">
        <w:t>SLAM</w:t>
      </w:r>
      <w:r w:rsidR="00A95677" w:rsidRPr="00177CF7">
        <w:t xml:space="preserve"> Family Member 8</w:t>
      </w:r>
      <w:r w:rsidR="00C34BF4" w:rsidRPr="00177CF7">
        <w:t xml:space="preserve"> </w:t>
      </w:r>
      <w:r w:rsidR="009F02E6" w:rsidRPr="00177CF7">
        <w:t>(</w:t>
      </w:r>
      <w:r w:rsidR="009F02E6" w:rsidRPr="00177CF7">
        <w:rPr>
          <w:i/>
          <w:iCs/>
        </w:rPr>
        <w:t>SLAMF8</w:t>
      </w:r>
      <w:r w:rsidR="009F02E6" w:rsidRPr="00177CF7">
        <w:t xml:space="preserve">) </w:t>
      </w:r>
      <w:r w:rsidR="00C34BF4" w:rsidRPr="00177CF7">
        <w:t>and Cro</w:t>
      </w:r>
      <w:r w:rsidR="00D459A2" w:rsidRPr="00177CF7">
        <w:t>h</w:t>
      </w:r>
      <w:r w:rsidR="00C34BF4" w:rsidRPr="00177CF7">
        <w:t xml:space="preserve">n’s </w:t>
      </w:r>
      <w:r w:rsidR="00D459A2" w:rsidRPr="00177CF7">
        <w:t>disease</w:t>
      </w:r>
      <w:r w:rsidRPr="00177CF7">
        <w:fldChar w:fldCharType="begin" w:fldLock="1"/>
      </w:r>
      <w:r w:rsidR="007212AD">
        <w:instrText>ADDIN CSL_CITATION {"citationItems":[{"id":"ITEM-1","itemData":{"DOI":"10.1038/ng.3760","ISSN":"15461718","PMID":"28067908","abstract":"Genetic association studies have identified 215 risk loci for inflammatory bowel disease, thereby uncovering fundamental aspects of its molecular biology. We performed a genome-wide association study of 25,305 individuals and conducted a meta-analysis with published summary statistics, yielding a total sample size of 59,957 subjects. We identified 25 new susceptibility loci, 3 of which contain integrin genes that encode proteins in pathways that have been identified as important therapeutic targets in inflammatory bowel disease. The associated variants are correlated with expression changes in response to immune stimulus at two of these genes (ITGA4 and ITGB8) and at previously implicated loci (ITGAL and ICAM1). In all four cases, the expression-increasing allele also increases disease risk. We also identified likely causal missense variants in a gene implicated in primary immune deficiency, PLCG2, and a negative regulator of inflammation, SLAMF8. Our results demonstrate that new associations at common variants continue to identify genes relevant to therapeutic target identification and prioritization.","author":[{"dropping-particle":"","family":"Lange","given":"Katrina M.","non-dropping-particle":"De","parse-names":false,"suffix":""},{"dropping-particle":"","family":"Moutsianas","given":"Loukas","non-dropping-particle":"","parse-names":false,"suffix":""},{"dropping-particle":"","family":"Lee","given":"James C.","non-dropping-particle":"","parse-names":false,"suffix":""},{"dropping-particle":"","family":"Lamb","given":"Christopher A.","non-dropping-particle":"","parse-names":false,"suffix":""},{"dropping-particle":"","family":"Luo","given":"Yang","non-dropping-particle":"","parse-names":false,"suffix":""},{"dropping-particle":"","family":"Kennedy","given":"Nicholas A.","non-dropping-particle":"","parse-names":false,"suffix":""},{"dropping-particle":"","family":"Jostins","given":"Luke","non-dropping-particle":"","parse-names":false,"suffix":""},{"dropping-particle":"","family":"Rice","given":"Daniel L.","non-dropping-particle":"","parse-names":false,"suffix":""},{"dropping-particle":"","family":"Gutierrez-Achury","given":"Javier","non-dropping-particle":"","parse-names":false,"suffix":""},{"dropping-particle":"","family":"Ji","given":"Sun Gou","non-dropping-particle":"","parse-names":false,"suffix":""},{"dropping-particle":"","family":"Heap","given":"Graham","non-dropping-particle":"","parse-names":false,"suffix":""},{"dropping-particle":"","family":"Nimmo","given":"Elaine R.","non-dropping-particle":"","parse-names":false,"suffix":""},{"dropping-particle":"","family":"Edwards","given":"Cathryn","non-dropping-particle":"","parse-names":false,"suffix":""},{"dropping-particle":"","family":"Henderson","given":"Paul","non-dropping-particle":"","parse-names":false,"suffix":""},{"dropping-particle":"","family":"Mowat","given":"Craig","non-dropping-particle":"","parse-names":false,"suffix":""},{"dropping-particle":"","family":"Sanderson","given":"Jeremy","non-dropping-particle":"","parse-names":false,"suffix":""},{"dropping-particle":"","family":"Satsangi","given":"Jack","non-dropping-particle":"","parse-names":false,"suffix":""},{"dropping-particle":"","family":"Simmons","given":"Alison","non-dropping-particle":"","parse-names":false,"suffix":""},{"dropping-particle":"","family":"Wilson","given":"David C.","non-dropping-particle":"","parse-names":false,"suffix":""},{"dropping-particle":"","family":"Tremelling","given":"Mark","non-dropping-particle":"","parse-names":false,"suffix":""},{"dropping-particle":"","family":"Hart","given":"Ailsa","non-dropping-particle":"","parse-names":false,"suffix":""},{"dropping-particle":"","family":"Mathew","given":"Christopher G.","non-dropping-particle":"","parse-names":false,"suffix":""},{"dropping-particle":"","family":"Newman","given":"William G.","non-dropping-particle":"","parse-names":false,"suffix":""},{"dropping-particle":"","family":"Parkes","given":"Miles","non-dropping-particle":"","parse-names":false,"suffix":""},{"dropping-particle":"","family":"Lees","given":"Charlie W.","non-dropping-particle":"","parse-names":false,"suffix":""},{"dropping-particle":"","family":"Uhlig","given":"Holm","non-dropping-particle":"","parse-names":false,"suffix":""},{"dropping-particle":"","family":"Hawkey","given":"Chris","non-dropping-particle":"","parse-names":false,"suffix":""},{"dropping-particle":"","family":"Prescott","given":"Natalie J.","non-dropping-particle":"","parse-names":false,"suffix":""},{"dropping-particle":"","family":"Ahmad","given":"Tariq","non-dropping-particle":"","parse-names":false,"suffix":""},{"dropping-particle":"","family":"Mansfield","given":"John C.","non-dropping-particle":"","parse-names":false,"suffix":""},{"dropping-particle":"","family":"Anderson","given":"Carl A.","non-dropping-particle":"","parse-names":false,"suffix":""},{"dropping-particle":"","family":"Barrett","given":"Jeffrey C.","non-dropping-particle":"","parse-names":false,"suffix":""}],"container-title":"Nature Genetics","id":"ITEM-1","issue":"2","issued":{"date-parts":[["2017"]]},"page":"256-261","publisher":"Nature Publishing Group","title":"Genome-wide association study implicates immune activation of multiple integrin genes in inflammatory bowel disease","type":"article-journal","volume":"49"},"uris":["http://www.mendeley.com/documents/?uuid=b1336c31-e4a7-453f-aaac-b3df9f693b99"]}],"mendeley":{"formattedCitation":"&lt;sup&gt;44&lt;/sup&gt;","plainTextFormattedCitation":"44","previouslyFormattedCitation":"&lt;sup&gt;44&lt;/sup&gt;"},"properties":{"noteIndex":0},"schema":"https://github.com/citation-style-language/schema/raw/master/csl-citation.json"}</w:instrText>
      </w:r>
      <w:r w:rsidRPr="00177CF7">
        <w:fldChar w:fldCharType="separate"/>
      </w:r>
      <w:r w:rsidR="00AB37AF" w:rsidRPr="00AB37AF">
        <w:rPr>
          <w:noProof/>
          <w:vertAlign w:val="superscript"/>
        </w:rPr>
        <w:t>44</w:t>
      </w:r>
      <w:r w:rsidRPr="00177CF7">
        <w:fldChar w:fldCharType="end"/>
      </w:r>
      <w:r w:rsidR="00C00ADB" w:rsidRPr="00177CF7">
        <w:t xml:space="preserve"> pointing to</w:t>
      </w:r>
      <w:r w:rsidR="008A7A07" w:rsidRPr="00177CF7">
        <w:t>wa</w:t>
      </w:r>
      <w:r w:rsidR="00C00ADB" w:rsidRPr="00177CF7">
        <w:t xml:space="preserve">rds </w:t>
      </w:r>
      <w:r w:rsidR="008A7A07" w:rsidRPr="00177CF7">
        <w:t>biomarkers of disease progression</w:t>
      </w:r>
      <w:r w:rsidR="00163726" w:rsidRPr="00177CF7">
        <w:t xml:space="preserve"> or probably druggable targets such as </w:t>
      </w:r>
      <w:r w:rsidR="00D33C9D" w:rsidRPr="00177CF7">
        <w:t xml:space="preserve">for </w:t>
      </w:r>
      <w:r w:rsidR="00163726" w:rsidRPr="00177CF7">
        <w:t>Aminopeptidase N</w:t>
      </w:r>
      <w:r w:rsidR="00163726" w:rsidRPr="00177CF7">
        <w:rPr>
          <w:i/>
          <w:iCs/>
        </w:rPr>
        <w:t xml:space="preserve"> (ANPEP)</w:t>
      </w:r>
      <w:r w:rsidR="00163726" w:rsidRPr="00177CF7">
        <w:t xml:space="preserve"> and eye morphology</w:t>
      </w:r>
      <w:r w:rsidRPr="00177CF7">
        <w:fldChar w:fldCharType="begin" w:fldLock="1"/>
      </w:r>
      <w:r w:rsidR="007212AD">
        <w:instrText>ADDIN CSL_CITATION {"citationItems":[{"id":"ITEM-1","itemData":{"DOI":"10.1093/hmg/ddy111","ISSN":"1460-2083","PMID":"29617998","abstract":"Elevated intraocular pressure (IOP) is a significant risk factor for glaucoma, the leading cause of irreversible blindness worldwide. While previous studies have identified numerous genetic variants associated with IOP, these loci only explain a fraction of IOP heritability. Recently established of biobank repositories have resulted in large amounts of data, enabling the identification of the remaining heritability for complex traits. Here, we describe the largest genome-wide association study of IOP to date using participants of European ancestry from the UK Biobank. We identified 671 directly genotyped variants that are significantly associated with IOP (P &lt; 5 × 10-8). In addition to 103 novel loci, the top ranked novel IOP genes are LMX1B, NR1H3, MADD and SEPT9. We replicated these findings in an external population and examined the pleiotropic nature of these loci. These discoveries not only further our understanding of the genetic architecture of IOP, but also shed new light on the biological processes underlying glaucoma.","author":[{"dropping-particle":"","family":"Gao","given":"X Raymond","non-dropping-particle":"","parse-names":false,"suffix":""},{"dropping-particle":"","family":"Huang","given":"Hua","non-dropping-particle":"","parse-names":false,"suffix":""},{"dropping-particle":"","family":"Nannini","given":"Drew R","non-dropping-particle":"","parse-names":false,"suffix":""},{"dropping-particle":"","family":"Fan","given":"Fangda","non-dropping-particle":"","parse-names":false,"suffix":""},{"dropping-particle":"","family":"Kim","given":"Heejin","non-dropping-particle":"","parse-names":false,"suffix":""}],"container-title":"Human molecular genetics","id":"ITEM-1","issue":"12","issued":{"date-parts":[["2018"]]},"page":"2205-2213","title":"Genome-wide association analyses identify new loci influencing intraocular pressure.","type":"article-journal","volume":"27"},"uris":["http://www.mendeley.com/documents/?uuid=7f6b152d-b861-3e3b-bb9f-0129b697f5f1"]}],"mendeley":{"formattedCitation":"&lt;sup&gt;45&lt;/sup&gt;","plainTextFormattedCitation":"45","previouslyFormattedCitation":"&lt;sup&gt;45&lt;/sup&gt;"},"properties":{"noteIndex":0},"schema":"https://github.com/citation-style-language/schema/raw/master/csl-citation.json"}</w:instrText>
      </w:r>
      <w:r w:rsidRPr="00177CF7">
        <w:fldChar w:fldCharType="separate"/>
      </w:r>
      <w:r w:rsidR="00AB37AF" w:rsidRPr="00AB37AF">
        <w:rPr>
          <w:noProof/>
          <w:vertAlign w:val="superscript"/>
        </w:rPr>
        <w:t>45</w:t>
      </w:r>
      <w:r w:rsidRPr="00177CF7">
        <w:fldChar w:fldCharType="end"/>
      </w:r>
      <w:r w:rsidR="00163726" w:rsidRPr="00177CF7">
        <w:t xml:space="preserve">. </w:t>
      </w:r>
      <w:bookmarkStart w:id="6" w:name="_heading=h.u2zelzy5ffwu"/>
      <w:bookmarkEnd w:id="6"/>
    </w:p>
    <w:p w14:paraId="691ACFE6" w14:textId="59C6DEE6" w:rsidR="004670F8" w:rsidRDefault="00320CC4" w:rsidP="399D00E8">
      <w:pPr>
        <w:spacing w:line="360" w:lineRule="auto"/>
        <w:jc w:val="both"/>
        <w:rPr>
          <w:b/>
          <w:bCs/>
        </w:rPr>
      </w:pPr>
      <w:r>
        <w:rPr>
          <w:noProof/>
        </w:rPr>
        <w:lastRenderedPageBreak/>
        <w:drawing>
          <wp:inline distT="0" distB="0" distL="0" distR="0" wp14:anchorId="6C8CE22C" wp14:editId="56C88BDA">
            <wp:extent cx="5731510" cy="6191885"/>
            <wp:effectExtent l="0" t="0" r="2540" b="0"/>
            <wp:docPr id="5" name="Picture 5"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Diagram&#10;&#10;Description automatically generated"/>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31510" cy="6191885"/>
                    </a:xfrm>
                    <a:prstGeom prst="rect">
                      <a:avLst/>
                    </a:prstGeom>
                    <a:noFill/>
                    <a:ln>
                      <a:noFill/>
                    </a:ln>
                  </pic:spPr>
                </pic:pic>
              </a:graphicData>
            </a:graphic>
          </wp:inline>
        </w:drawing>
      </w:r>
    </w:p>
    <w:p w14:paraId="6602ECD9" w14:textId="2826DD4C" w:rsidR="00320CC4" w:rsidRPr="00894C71" w:rsidRDefault="00894C71" w:rsidP="00894C71">
      <w:pPr>
        <w:spacing w:line="240" w:lineRule="auto"/>
        <w:jc w:val="both"/>
        <w:rPr>
          <w:b/>
          <w:bCs/>
          <w:sz w:val="20"/>
          <w:szCs w:val="20"/>
        </w:rPr>
      </w:pPr>
      <w:r w:rsidRPr="00894C71">
        <w:rPr>
          <w:b/>
          <w:bCs/>
          <w:sz w:val="20"/>
          <w:szCs w:val="20"/>
        </w:rPr>
        <w:t xml:space="preserve">Figure 5 Regional association plots for the </w:t>
      </w:r>
      <w:r w:rsidRPr="00894C71">
        <w:rPr>
          <w:b/>
          <w:bCs/>
          <w:i/>
          <w:iCs/>
          <w:sz w:val="20"/>
          <w:szCs w:val="20"/>
        </w:rPr>
        <w:t>PILRA</w:t>
      </w:r>
      <w:r w:rsidRPr="00894C71">
        <w:rPr>
          <w:b/>
          <w:bCs/>
          <w:sz w:val="20"/>
          <w:szCs w:val="20"/>
        </w:rPr>
        <w:t xml:space="preserve"> and </w:t>
      </w:r>
      <w:r w:rsidRPr="00894C71">
        <w:rPr>
          <w:b/>
          <w:bCs/>
          <w:i/>
          <w:iCs/>
          <w:sz w:val="20"/>
          <w:szCs w:val="20"/>
        </w:rPr>
        <w:t>GDF15</w:t>
      </w:r>
      <w:r w:rsidRPr="00894C71">
        <w:rPr>
          <w:b/>
          <w:bCs/>
          <w:sz w:val="20"/>
          <w:szCs w:val="20"/>
        </w:rPr>
        <w:t xml:space="preserve"> locus.  a </w:t>
      </w:r>
      <w:proofErr w:type="gramStart"/>
      <w:r w:rsidRPr="00894C71">
        <w:rPr>
          <w:sz w:val="20"/>
          <w:szCs w:val="20"/>
        </w:rPr>
        <w:t>Regional</w:t>
      </w:r>
      <w:proofErr w:type="gramEnd"/>
      <w:r w:rsidRPr="00894C71">
        <w:rPr>
          <w:sz w:val="20"/>
          <w:szCs w:val="20"/>
        </w:rPr>
        <w:t xml:space="preserve"> association plots for paired immunoglobulin-like type 2 receptor alpha (PILRα) measured by </w:t>
      </w:r>
      <w:proofErr w:type="spellStart"/>
      <w:r w:rsidRPr="00894C71">
        <w:rPr>
          <w:sz w:val="20"/>
          <w:szCs w:val="20"/>
        </w:rPr>
        <w:t>SomaScan</w:t>
      </w:r>
      <w:proofErr w:type="spellEnd"/>
      <w:r w:rsidRPr="00894C71">
        <w:rPr>
          <w:sz w:val="20"/>
          <w:szCs w:val="20"/>
        </w:rPr>
        <w:t xml:space="preserve"> (top rows) and </w:t>
      </w:r>
      <w:proofErr w:type="spellStart"/>
      <w:r w:rsidRPr="00894C71">
        <w:rPr>
          <w:sz w:val="20"/>
          <w:szCs w:val="20"/>
        </w:rPr>
        <w:t>Olink</w:t>
      </w:r>
      <w:proofErr w:type="spellEnd"/>
      <w:r w:rsidRPr="00894C71">
        <w:rPr>
          <w:sz w:val="20"/>
          <w:szCs w:val="20"/>
        </w:rPr>
        <w:t xml:space="preserve">, as well as for Alzheimer’s disease centred around a colocalising signal for the missense variant rs1859788 within </w:t>
      </w:r>
      <w:r w:rsidRPr="00894C71">
        <w:rPr>
          <w:i/>
          <w:iCs/>
          <w:sz w:val="20"/>
          <w:szCs w:val="20"/>
        </w:rPr>
        <w:t>PILRA</w:t>
      </w:r>
      <w:r w:rsidRPr="00894C71">
        <w:rPr>
          <w:sz w:val="20"/>
          <w:szCs w:val="20"/>
        </w:rPr>
        <w:t xml:space="preserve"> (p.G78R). Colours indicate direction of effect for the A-allele of rs1859788 on the respective trait (blue – inverse, red - positive) and shading indicates linkage disequilibrium (r</w:t>
      </w:r>
      <w:r w:rsidRPr="00894C71">
        <w:rPr>
          <w:sz w:val="20"/>
          <w:szCs w:val="20"/>
          <w:vertAlign w:val="superscript"/>
        </w:rPr>
        <w:t>2</w:t>
      </w:r>
      <w:r w:rsidRPr="00894C71">
        <w:rPr>
          <w:sz w:val="20"/>
          <w:szCs w:val="20"/>
        </w:rPr>
        <w:t>) with the lead variant at the locus. The red line in the gene panel indicates the position of the variant. P-values for protein measures were derived from genome-wide association analysis (linear regression models) from the Fenland cohort as described in the main text, whereas summary statistics for Alzheimer’s disease were obtained from Jansen et al. 2019</w:t>
      </w:r>
      <w:r w:rsidRPr="00894C71">
        <w:rPr>
          <w:sz w:val="20"/>
          <w:szCs w:val="20"/>
        </w:rPr>
        <w:fldChar w:fldCharType="begin" w:fldLock="1"/>
      </w:r>
      <w:r w:rsidRPr="00894C71">
        <w:rPr>
          <w:sz w:val="20"/>
          <w:szCs w:val="20"/>
        </w:rPr>
        <w:instrText>ADDIN CSL_CITATION {"citationItems":[{"id":"ITEM-1","itemData":{"DOI":"10.1038/s41588-018-0311-9","ISSN":"15461718","PMID":"30617256","abstract":"Alzheimer’s disease (AD) is highly heritable and recent studies have identified over 20 disease-associated genomic loci. Yet these only explain a small proportion of the genetic variance, indicating that undiscovered loci remain. Here, we performed a large genome-wide association study of clinically diagnosed AD and AD-by-proxy (71,880 cases, 383,378 controls). AD-by-proxy, based on parental diagnoses, showed strong genetic correlation with AD (rg = 0.81). Meta-analysis identified 29 risk loci, implicating 215 potential causative genes. Associated genes are strongly expressed in immune-related tissues and cell types (spleen, liver, and microglia). Gene-set analyses indicate biological mechanisms involved in lipid-related processes and degradation of amyloid precursor proteins. We show strong genetic correlations with multiple health-related outcomes, and Mendelian randomization results suggest a protective effect of cognitive ability on AD risk. These results are a step forward in identifying the genetic factors that contribute to AD risk and add novel insights into the neurobiology of AD.","author":[{"dropping-particle":"","family":"Jansen","given":"Iris E","non-dropping-particle":"","parse-names":false,"suffix":""},{"dropping-particle":"","family":"Savage","given":"Jeanne E","non-dropping-particle":"","parse-names":false,"suffix":""},{"dropping-particle":"","family":"Watanabe","given":"Kyoko","non-dropping-particle":"","parse-names":false,"suffix":""},{"dropping-particle":"","family":"Bryois","given":"Julien","non-dropping-particle":"","parse-names":false,"suffix":""},{"dropping-particle":"","family":"Williams","given":"Dylan M","non-dropping-particle":"","parse-names":false,"suffix":""},{"dropping-particle":"","family":"Steinberg","given":"Stacy","non-dropping-particle":"","parse-names":false,"suffix":""},{"dropping-particle":"","family":"Sealock","given":"Julia","non-dropping-particle":"","parse-names":false,"suffix":""},{"dropping-particle":"","family":"Karlsson","given":"Ida K","non-dropping-particle":"","parse-names":false,"suffix":""},{"dropping-particle":"","family":"Hägg","given":"Sara","non-dropping-particle":"","parse-names":false,"suffix":""},{"dropping-particle":"","family":"Athanasiu","given":"Lavinia","non-dropping-particle":"","parse-names":false,"suffix":""},{"dropping-particle":"","family":"Voyle","given":"Nicola","non-dropping-particle":"","parse-names":false,"suffix":""},{"dropping-particle":"","family":"Proitsi","given":"Petroula","non-dropping-particle":"","parse-names":false,"suffix":""},{"dropping-particle":"","family":"Witoelar","given":"Aree","non-dropping-particle":"","parse-names":false,"suffix":""},{"dropping-particle":"","family":"Stringer","given":"Sven","non-dropping-particle":"","parse-names":false,"suffix":""},{"dropping-particle":"","family":"Aarsland","given":"Dag","non-dropping-particle":"","parse-names":false,"suffix":""},{"dropping-particle":"","family":"Almdahl","given":"Ina S.","non-dropping-particle":"","parse-names":false,"suffix":""},{"dropping-particle":"","family":"Andersen","given":"Fred","non-dropping-particle":"","parse-names":false,"suffix":""},{"dropping-particle":"","family":"Bergh","given":"Sverre","non-dropping-particle":"","parse-names":false,"suffix":""},{"dropping-particle":"","family":"Bettella","given":"Francesco","non-dropping-particle":"","parse-names":false,"suffix":""},{"dropping-particle":"","family":"Bjornsson","given":"Sigurbjorn","non-dropping-particle":"","parse-names":false,"suffix":""},{"dropping-particle":"","family":"Brækhus","given":"Anne","non-dropping-particle":"","parse-names":false,"suffix":""},{"dropping-particle":"","family":"Bråthen","given":"Geir","non-dropping-particle":"","parse-names":false,"suffix":""},{"dropping-particle":"","family":"Leeuw","given":"Christiaan","non-dropping-particle":"de","parse-names":false,"suffix":""},{"dropping-particle":"","family":"Desikan","given":"Rahul S.","non-dropping-particle":"","parse-names":false,"suffix":""},{"dropping-particle":"","family":"Djurovic","given":"Srdjan","non-dropping-particle":"","parse-names":false,"suffix":""},{"dropping-particle":"","family":"Dumitrescu","given":"Logan","non-dropping-particle":"","parse-names":false,"suffix":""},{"dropping-particle":"","family":"Fladby","given":"Tormod","non-dropping-particle":"","parse-names":false,"suffix":""},{"dropping-particle":"","family":"Hohman","given":"Timothy J.","non-dropping-particle":"","parse-names":false,"suffix":""},{"dropping-particle":"V.","family":"Jonsson","given":"Palmi","non-dropping-particle":"","parse-names":false,"suffix":""},{"dropping-particle":"","family":"Kiddle","given":"Steven J.","non-dropping-particle":"","parse-names":false,"suffix":""},{"dropping-particle":"","family":"Rongve","given":"Arvid","non-dropping-particle":"","parse-names":false,"suffix":""},{"dropping-particle":"","family":"Saltvedt","given":"Ingvild","non-dropping-particle":"","parse-names":false,"suffix":""},{"dropping-particle":"","family":"Sando","given":"Sigrid B.","non-dropping-particle":"","parse-names":false,"suffix":""},{"dropping-particle":"","family":"Selbæk","given":"Geir","non-dropping-particle":"","parse-names":false,"suffix":""},{"dropping-particle":"","family":"Shoai","given":"Maryam","non-dropping-particle":"","parse-names":false,"suffix":""},{"dropping-particle":"","family":"Skene","given":"Nathan G.","non-dropping-particle":"","parse-names":false,"suffix":""},{"dropping-particle":"","family":"Snaedal","given":"Jon","non-dropping-particle":"","parse-names":false,"suffix":""},{"dropping-particle":"","family":"Stordal","given":"Eystein","non-dropping-particle":"","parse-names":false,"suffix":""},{"dropping-particle":"","family":"Ulstein","given":"Ingun D.","non-dropping-particle":"","parse-names":false,"suffix":""},{"dropping-particle":"","family":"Wang","given":"Yunpeng","non-dropping-particle":"","parse-names":false,"suffix":""},{"dropping-particle":"","family":"White","given":"Linda R.","non-dropping-particle":"","parse-names":false,"suffix":""},{"dropping-particle":"","family":"Hardy","given":"John","non-dropping-particle":"","parse-names":false,"suffix":""},{"dropping-particle":"","family":"Hjerling-Leffler","given":"Jens","non-dropping-particle":"","parse-names":false,"suffix":""},{"dropping-particle":"","family":"Sullivan","given":"Patrick F.","non-dropping-particle":"","parse-names":false,"suffix":""},{"dropping-particle":"","family":"Flier","given":"Wiesje M.","non-dropping-particle":"van der","parse-names":false,"suffix":""},{"dropping-particle":"","family":"Dobson","given":"Richard","non-dropping-particle":"","parse-names":false,"suffix":""},{"dropping-particle":"","family":"Davis","given":"Lea K.","non-dropping-particle":"","parse-names":false,"suffix":""},{"dropping-particle":"","family":"Stefansson","given":"Hreinn","non-dropping-particle":"","parse-names":false,"suffix":""},{"dropping-particle":"","family":"Stefansson","given":"Kari","non-dropping-particle":"","parse-names":false,"suffix":""},{"dropping-particle":"","family":"Pedersen","given":"Nancy L","non-dropping-particle":"","parse-names":false,"suffix":""},{"dropping-particle":"","family":"Ripke","given":"Stephan","non-dropping-particle":"","parse-names":false,"suffix":""},{"dropping-particle":"","family":"Andreassen","given":"Ole A","non-dropping-particle":"","parse-names":false,"suffix":""},{"dropping-particle":"","family":"Posthuma","given":"Danielle","non-dropping-particle":"","parse-names":false,"suffix":""}],"container-title":"Nature Genetics","id":"ITEM-1","issue":"3","issued":{"date-parts":[["2019"]]},"page":"404-413","title":"Genome-wide meta-analysis identifies new loci and functional pathways influencing Alzheimer’s disease risk","type":"article-journal","volume":"51"},"uris":["http://www.mendeley.com/documents/?uuid=99ceadf5-131f-36bd-a163-d449343f4028"]}],"mendeley":{"formattedCitation":"&lt;sup&gt;58&lt;/sup&gt;","plainTextFormattedCitation":"58","previouslyFormattedCitation":"&lt;sup&gt;58&lt;/sup&gt;"},"properties":{"noteIndex":0},"schema":"https://github.com/citation-style-language/schema/raw/master/csl-citation.json"}</w:instrText>
      </w:r>
      <w:r w:rsidRPr="00894C71">
        <w:rPr>
          <w:sz w:val="20"/>
          <w:szCs w:val="20"/>
        </w:rPr>
        <w:fldChar w:fldCharType="separate"/>
      </w:r>
      <w:r w:rsidRPr="00894C71">
        <w:rPr>
          <w:sz w:val="20"/>
          <w:szCs w:val="20"/>
          <w:vertAlign w:val="superscript"/>
        </w:rPr>
        <w:t>58</w:t>
      </w:r>
      <w:r w:rsidRPr="00894C71">
        <w:rPr>
          <w:sz w:val="20"/>
          <w:szCs w:val="20"/>
        </w:rPr>
        <w:fldChar w:fldCharType="end"/>
      </w:r>
      <w:r w:rsidRPr="00894C71">
        <w:rPr>
          <w:sz w:val="20"/>
          <w:szCs w:val="20"/>
        </w:rPr>
        <w:t xml:space="preserve">. The scheme on the right displays a possible mechanism by which the p.G78R could lead to discordant results between </w:t>
      </w:r>
      <w:proofErr w:type="spellStart"/>
      <w:r w:rsidRPr="00894C71">
        <w:rPr>
          <w:sz w:val="20"/>
          <w:szCs w:val="20"/>
        </w:rPr>
        <w:t>SomaLogic</w:t>
      </w:r>
      <w:proofErr w:type="spellEnd"/>
      <w:r w:rsidRPr="00894C71">
        <w:rPr>
          <w:sz w:val="20"/>
          <w:szCs w:val="20"/>
        </w:rPr>
        <w:t xml:space="preserve"> and </w:t>
      </w:r>
      <w:proofErr w:type="spellStart"/>
      <w:r w:rsidRPr="00894C71">
        <w:rPr>
          <w:sz w:val="20"/>
          <w:szCs w:val="20"/>
        </w:rPr>
        <w:t>Olink</w:t>
      </w:r>
      <w:proofErr w:type="spellEnd"/>
      <w:r w:rsidRPr="00894C71">
        <w:rPr>
          <w:sz w:val="20"/>
          <w:szCs w:val="20"/>
        </w:rPr>
        <w:t xml:space="preserve">. </w:t>
      </w:r>
      <w:r w:rsidRPr="00894C71">
        <w:rPr>
          <w:b/>
          <w:bCs/>
          <w:sz w:val="20"/>
          <w:szCs w:val="20"/>
        </w:rPr>
        <w:t>b</w:t>
      </w:r>
      <w:r w:rsidRPr="00894C71">
        <w:rPr>
          <w:sz w:val="20"/>
          <w:szCs w:val="20"/>
        </w:rPr>
        <w:t xml:space="preserve"> Each panel shows summary statistics (p-values) from genetic association studies for coffee intake, comparative body size at age 10, and growth-differentiation factor 15 (GDF-15) measured by </w:t>
      </w:r>
      <w:proofErr w:type="spellStart"/>
      <w:r w:rsidRPr="00894C71">
        <w:rPr>
          <w:sz w:val="20"/>
          <w:szCs w:val="20"/>
        </w:rPr>
        <w:t>Olink</w:t>
      </w:r>
      <w:proofErr w:type="spellEnd"/>
      <w:r w:rsidRPr="00894C71">
        <w:rPr>
          <w:sz w:val="20"/>
          <w:szCs w:val="20"/>
        </w:rPr>
        <w:t xml:space="preserve"> and </w:t>
      </w:r>
      <w:proofErr w:type="spellStart"/>
      <w:r w:rsidRPr="00894C71">
        <w:rPr>
          <w:sz w:val="20"/>
          <w:szCs w:val="20"/>
        </w:rPr>
        <w:t>SomaScan</w:t>
      </w:r>
      <w:proofErr w:type="spellEnd"/>
      <w:r w:rsidRPr="00894C71">
        <w:rPr>
          <w:sz w:val="20"/>
          <w:szCs w:val="20"/>
        </w:rPr>
        <w:t xml:space="preserve">. The lead genetic variant for each assay as well as variants in high linkage disequilibrium are highlighted by colours (blue – </w:t>
      </w:r>
      <w:proofErr w:type="spellStart"/>
      <w:r w:rsidRPr="00894C71">
        <w:rPr>
          <w:sz w:val="20"/>
          <w:szCs w:val="20"/>
        </w:rPr>
        <w:t>SomaScan</w:t>
      </w:r>
      <w:proofErr w:type="spellEnd"/>
      <w:r w:rsidRPr="00894C71">
        <w:rPr>
          <w:sz w:val="20"/>
          <w:szCs w:val="20"/>
        </w:rPr>
        <w:t xml:space="preserve">, orange – </w:t>
      </w:r>
      <w:proofErr w:type="spellStart"/>
      <w:r w:rsidRPr="00894C71">
        <w:rPr>
          <w:sz w:val="20"/>
          <w:szCs w:val="20"/>
        </w:rPr>
        <w:t>Olink</w:t>
      </w:r>
      <w:proofErr w:type="spellEnd"/>
      <w:r w:rsidRPr="00894C71">
        <w:rPr>
          <w:sz w:val="20"/>
          <w:szCs w:val="20"/>
        </w:rPr>
        <w:t>). Summary statistics for phenotypes were obtained from the Open GWAS database (UK Biobank)</w:t>
      </w:r>
      <w:r w:rsidRPr="00894C71">
        <w:rPr>
          <w:sz w:val="20"/>
          <w:szCs w:val="20"/>
        </w:rPr>
        <w:fldChar w:fldCharType="begin" w:fldLock="1"/>
      </w:r>
      <w:r w:rsidRPr="00894C71">
        <w:rPr>
          <w:sz w:val="20"/>
          <w:szCs w:val="20"/>
        </w:rPr>
        <w:instrText>ADDIN CSL_CITATION {"citationItems":[{"id":"ITEM-1","itemData":{"DOI":"10.1101/2020.08.10.244293","abstract":"Data generated by genome-wide association studies (GWAS) are growing fast with the linkage of biobank samples to health records, and expanding capture of high-dimensional molecular phenotypes. However the utility of these efforts can only be fully realised if their complete results are collected from their heterogeneous sources and formats, harmonised and made programmatically accessible. Here we present the OpenGWAS database, an open source, open access, scalable and high-performance cloud-based data infrastructure that imports and publishes complete GWAS summary datasets and metadata for the scientific community. Our import pipeline harmonises these datasets against dbSNP and the human genome reference sequence, generates summary reports and standardises the format of results and metadata. Users can access the data via a website, an application programming interface, R and Python packages, and also as downloadable files that can be rapidly queried in high performance computing environments. OpenGWAS currently contains 126 billion genetic associations from 14,582 complete GWAS datasets representing a range of different human phenotypes and disease outcomes across different populations. We developed R and Python packages to serve as conduits between these GWAS data sources and a range of available analytical tools, enabling Mendelian randomization, genetic colocalisation analysis, fine mapping, genetic correlation and locus visualisation. OpenGWAS is freely accessible at ​ https://gwas.mrcieu.ac.uk​ , and has been designed to facilitate integration with third party analytical tools.","author":[{"dropping-particle":"","family":"Elsworth","given":"Ben","non-dropping-particle":"","parse-names":false,"suffix":""},{"dropping-particle":"","family":"Lyon","given":"Matthew","non-dropping-particle":"","parse-names":false,"suffix":""},{"dropping-particle":"","family":"Alexander","given":"Tessa","non-dropping-particle":"","parse-names":false,"suffix":""},{"dropping-particle":"","family":"Liu","given":"Yi","non-dropping-particle":"","parse-names":false,"suffix":""},{"dropping-particle":"","family":"Matthews","given":"Peter","non-dropping-particle":"","parse-names":false,"suffix":""},{"dropping-particle":"","family":"Hallett","given":"Jon","non-dropping-particle":"","parse-names":false,"suffix":""},{"dropping-particle":"","family":"Bates","given":"Phil","non-dropping-particle":"","parse-names":false,"suffix":""},{"dropping-particle":"","family":"Palmer","given":"Tom","non-dropping-particle":"","parse-names":false,"suffix":""},{"dropping-particle":"","family":"Haberland","given":"Valeriia","non-dropping-particle":"","parse-names":false,"suffix":""},{"dropping-particle":"","family":"Smith","given":"George Davey","non-dropping-particle":"","parse-names":false,"suffix":""},{"dropping-particle":"","family":"Zheng","given":"Jie","non-dropping-particle":"","parse-names":false,"suffix":""},{"dropping-particle":"","family":"Haycock","given":"Philip","non-dropping-particle":"","parse-names":false,"suffix":""},{"dropping-particle":"","family":"Gaunt","given":"Tom R","non-dropping-particle":"","parse-names":false,"suffix":""},{"dropping-particle":"","family":"Hemani","given":"Gibran","non-dropping-particle":"","parse-names":false,"suffix":""}],"container-title":"bioRxiv","id":"ITEM-1","issued":{"date-parts":[["2020"]]},"page":"2020.08.10.244293","title":"The MRC IEU OpenGWAS data infrastructure","type":"article-journal"},"uris":["http://www.mendeley.com/documents/?uuid=5a7de174-0d15-4bbd-b838-6e7b2827ef03"]}],"mendeley":{"formattedCitation":"&lt;sup&gt;55&lt;/sup&gt;","plainTextFormattedCitation":"55","previouslyFormattedCitation":"&lt;sup&gt;55&lt;/sup&gt;"},"properties":{"noteIndex":0},"schema":"https://github.com/citation-style-language/schema/raw/master/csl-citation.json"}</w:instrText>
      </w:r>
      <w:r w:rsidRPr="00894C71">
        <w:rPr>
          <w:sz w:val="20"/>
          <w:szCs w:val="20"/>
        </w:rPr>
        <w:fldChar w:fldCharType="separate"/>
      </w:r>
      <w:r w:rsidRPr="00894C71">
        <w:rPr>
          <w:sz w:val="20"/>
          <w:szCs w:val="20"/>
          <w:vertAlign w:val="superscript"/>
        </w:rPr>
        <w:t>55</w:t>
      </w:r>
      <w:r w:rsidRPr="00894C71">
        <w:rPr>
          <w:sz w:val="20"/>
          <w:szCs w:val="20"/>
        </w:rPr>
        <w:fldChar w:fldCharType="end"/>
      </w:r>
      <w:r w:rsidRPr="00894C71">
        <w:rPr>
          <w:sz w:val="20"/>
          <w:szCs w:val="20"/>
        </w:rPr>
        <w:t xml:space="preserve"> and protein summary statistics for GDF-15 from</w:t>
      </w:r>
      <w:r w:rsidRPr="00894C71">
        <w:rPr>
          <w:sz w:val="20"/>
          <w:szCs w:val="20"/>
        </w:rPr>
        <w:fldChar w:fldCharType="begin" w:fldLock="1"/>
      </w:r>
      <w:r w:rsidRPr="00894C71">
        <w:rPr>
          <w:sz w:val="20"/>
          <w:szCs w:val="20"/>
        </w:rPr>
        <w:instrText>ADDIN CSL_CITATION {"citationItems":[{"id":"ITEM-1","itemData":{"DOI":"10.1038/s42255-020-00287-2","ISSN":"25225812","PMID":"33067605","abstract":"Circulating proteins are vital in human health and disease and are frequently used as biomarkers for clinical decision-making or as targets for pharmacological intervention. Here, we map and replicate protein quantitative trait loci (pQTL) for 90 cardiovascular proteins in over 30,000 individuals, resulting in 451 pQTLs for 85 proteins. For each protein, we further perform pathway mapping to obtain trans-pQTL gene and regulatory designations. We substantiate these regulatory findings with orthogonal evidence for trans-pQTLs using mouse knockdown experiments (ABCA1 and TRIB1) and clinical trial results (chemokine receptors CCR2 and CCR5), with consistent regulation. Finally, we evaluate known drug targets, and suggest new target candidates or repositioning opportunities using Mendelian randomization. This identifies 11 proteins with causal evidence of involvement in human disease that have not previously been targeted, including EGF, IL-16, PAPPA, SPON1, F3, ADM, CASP-8, CHI3L1, CXCL16, GDF15 and MMP-12. Taken together, these findings demonstrate the utility of large-scale mapping of the genetics of the proteome and provide a resource for future precision studies of circulating proteins in human health.","author":[{"dropping-particle":"","family":"Folkersen","given":"Lasse","non-dropping-particle":"","parse-names":false,"suffix":""},{"dropping-particle":"","family":"Gustafsson","given":"Stefan","non-dropping-particle":"","parse-names":false,"suffix":""},{"dropping-particle":"","family":"Wang","given":"Qin","non-dropping-particle":"","parse-names":false,"suffix":""},{"dropping-particle":"","family":"Hansen","given":"Daniel Hvidberg","non-dropping-particle":"","parse-names":false,"suffix":""},{"dropping-particle":"","family":"Hedman","given":"Åsa K.","non-dropping-particle":"","parse-names":false,"suffix":""},{"dropping-particle":"","family":"Schork","given":"Andrew","non-dropping-particle":"","parse-names":false,"suffix":""},{"dropping-particle":"","family":"Page","given":"Karen","non-dropping-particle":"","parse-names":false,"suffix":""},{"dropping-particle":"V.","family":"Zhernakova","given":"Daria","non-dropping-particle":"","parse-names":false,"suffix":""},{"dropping-particle":"","family":"Wu","given":"Yang","non-dropping-particle":"","parse-names":false,"suffix":""},{"dropping-particle":"","family":"Peters","given":"James","non-dropping-particle":"","parse-names":false,"suffix":""},{"dropping-particle":"","family":"Eriksson","given":"Niclas","non-dropping-particle":"","parse-names":false,"suffix":""},{"dropping-particle":"","family":"Bergen","given":"Sarah E.","non-dropping-particle":"","parse-names":false,"suffix":""},{"dropping-particle":"","family":"Boutin","given":"Thibaud S.","non-dropping-particle":"","parse-names":false,"suffix":""},{"dropping-particle":"","family":"Bretherick","given":"Andrew D.","non-dropping-particle":"","parse-names":false,"suffix":""},{"dropping-particle":"","family":"Enroth","given":"Stefan","non-dropping-particle":"","parse-names":false,"suffix":""},{"dropping-particle":"","family":"Kalnapenkis","given":"Anette","non-dropping-particle":"","parse-names":false,"suffix":""},{"dropping-particle":"","family":"Gådin","given":"Jesper R.","non-dropping-particle":"","parse-names":false,"suffix":""},{"dropping-particle":"","family":"Suur","given":"Bianca E.","non-dropping-particle":"","parse-names":false,"suffix":""},{"dropping-particle":"","family":"Chen","given":"Yan","non-dropping-particle":"","parse-names":false,"suffix":""},{"dropping-particle":"","family":"Matic","given":"Ljubica","non-dropping-particle":"","parse-names":false,"suffix":""},{"dropping-particle":"","family":"Gale","given":"Jeremy D.","non-dropping-particle":"","parse-names":false,"suffix":""},{"dropping-particle":"","family":"Lee","given":"Julie","non-dropping-particle":"","parse-names":false,"suffix":""},{"dropping-particle":"","family":"Zhang","given":"Weidong","non-dropping-particle":"","parse-names":false,"suffix":""},{"dropping-particle":"","family":"Quazi","given":"Amira","non-dropping-particle":"","parse-names":false,"suffix":""},{"dropping-particle":"","family":"Ala-Korpela","given":"Mika","non-dropping-particle":"","parse-names":false,"suffix":""},{"dropping-particle":"","family":"Choi","given":"Seung Hoan","non-dropping-particle":"","parse-names":false,"suffix":""},{"dropping-particle":"","family":"Claringbould","given":"Annique","non-dropping-particle":"","parse-names":false,"suffix":""},{"dropping-particle":"","family":"Danesh","given":"John","non-dropping-particle":"","parse-names":false,"suffix":""},{"dropping-particle":"","family":"Davey Smith","given":"George","non-dropping-particle":"","parse-names":false,"suffix":""},{"dropping-particle":"","family":"Masi","given":"Federico","non-dropping-particle":"de","parse-names":false,"suffix":""},{"dropping-particle":"","family":"Elmståhl","given":"Sölve","non-dropping-particle":"","parse-names":false,"suffix":""},{"dropping-particle":"","family":"Engström","given":"Gunnar","non-dropping-particle":"","parse-names":false,"suffix":""},{"dropping-particle":"","family":"Fauman","given":"Eric","non-dropping-particle":"","parse-names":false,"suffix":""},{"dropping-particle":"","family":"Fernandez","given":"Celine","non-dropping-particle":"","parse-names":false,"suffix":""},{"dropping-particle":"","family":"Franke","given":"Lude","non-dropping-particle":"","parse-names":false,"suffix":""},{"dropping-particle":"","family":"Franks","given":"Paul W.","non-dropping-particle":"","parse-names":false,"suffix":""},{"dropping-particle":"","family":"Giedraitis","given":"Vilmantas","non-dropping-particle":"","parse-names":false,"suffix":""},{"dropping-particle":"","family":"Haley","given":"Chris","non-dropping-particle":"","parse-names":false,"suffix":""},{"dropping-particle":"","family":"Hamsten","given":"Anders","non-dropping-particle":"","parse-names":false,"suffix":""},{"dropping-particle":"","family":"Ingason","given":"Andres","non-dropping-particle":"","parse-names":false,"suffix":""},{"dropping-particle":"","family":"Johansson","given":"Åsa","non-dropping-particle":"","parse-names":false,"suffix":""},{"dropping-particle":"","family":"Joshi","given":"Peter K.","non-dropping-particle":"","parse-names":false,"suffix":""},{"dropping-particle":"","family":"Lind","given":"Lars","non-dropping-particle":"","parse-names":false,"suffix":""},{"dropping-particle":"","family":"Lindgren","given":"Cecilia M.","non-dropping-particle":"","parse-names":false,"suffix":""},{"dropping-particle":"","family":"Lubitz","given":"Steven","non-dropping-particle":"","parse-names":false,"suffix":""},{"dropping-particle":"","family":"Palmer","given":"Tom","non-dropping-particle":"","parse-names":false,"suffix":""},{"dropping-particle":"","family":"Macdonald-Dunlop","given":"Erin","non-dropping-particle":"","parse-names":false,"suffix":""},{"dropping-particle":"","family":"Magnusson","given":"Martin","non-dropping-particle":"","parse-names":false,"suffix":""},{"dropping-particle":"","family":"Melander","given":"Olle","non-dropping-particle":"","parse-names":false,"suffix":""},{"dropping-particle":"","family":"Michaelsson","given":"Karl","non-dropping-particle":"","parse-names":false,"suffix":""},{"dropping-particle":"","family":"Morris","given":"Andrew P.","non-dropping-particle":"","parse-names":false,"suffix":""},{"dropping-particle":"","family":"Mägi","given":"Reedik","non-dropping-particle":"","parse-names":false,"suffix":""},{"dropping-particle":"","family":"Nagle","given":"Michael W.","non-dropping-particle":"","parse-names":false,"suffix":""},{"dropping-particle":"","family":"Nilsson","given":"Peter M.","non-dropping-particle":"","parse-names":false,"suffix":""},{"dropping-particle":"","family":"Nilsson","given":"Jan","non-dropping-particle":"","parse-names":false,"suffix":""},{"dropping-particle":"","family":"Orho-Melander","given":"Marju","non-dropping-particle":"","parse-names":false,"suffix":""},{"dropping-particle":"","family":"Polasek","given":"Ozren","non-dropping-particle":"","parse-names":false,"suffix":""},{"dropping-particle":"","family":"Prins","given":"Bram","non-dropping-particle":"","parse-names":false,"suffix":""},{"dropping-particle":"","family":"Pålsson","given":"Erik","non-dropping-particle":"","parse-names":false,"suffix":""},{"dropping-particle":"","family":"Qi","given":"Ting","non-dropping-particle":"","parse-names":false,"suffix":""},{"dropping-particle":"","family":"Sjögren","given":"Marketa","non-dropping-particle":"","parse-names":false,"suffix":""},{"dropping-particle":"","family":"Sundström","given":"Johan","non-dropping-particle":"","parse-names":false,"suffix":""},{"dropping-particle":"","family":"Surendran","given":"Praveen","non-dropping-particle":"","parse-names":false,"suffix":""},{"dropping-particle":"","family":"Võsa","given":"Urmo","non-dropping-particle":"","parse-names":false,"suffix":""},{"dropping-particle":"","family":"Werge","given":"Thomas","non-dropping-particle":"","parse-names":false,"suffix":""},{"dropping-particle":"","family":"Wernersson","given":"Rasmus","non-dropping-particle":"","parse-names":false,"suffix":""},{"dropping-particle":"","family":"Westra","given":"Harm Jan","non-dropping-particle":"","parse-names":false,"suffix":""},{"dropping-particle":"","family":"Yang","given":"Jian","non-dropping-particle":"","parse-names":false,"suffix":""},{"dropping-particle":"","family":"Zhernakova","given":"Alexandra","non-dropping-particle":"","parse-names":false,"suffix":""},{"dropping-particle":"","family":"Ärnlöv","given":"Johan","non-dropping-particle":"","parse-names":false,"suffix":""},{"dropping-particle":"","family":"Fu","given":"Jingyuan","non-dropping-particle":"","parse-names":false,"suffix":""},{"dropping-particle":"","family":"Smith","given":"J. Gustav","non-dropping-particle":"","parse-names":false,"suffix":""},{"dropping-particle":"","family":"Esko","given":"Tõnu","non-dropping-particle":"","parse-names":false,"suffix":""},{"dropping-particle":"","family":"Hayward","given":"Caroline","non-dropping-particle":"","parse-names":false,"suffix":""},{"dropping-particle":"","family":"Gyllensten","given":"Ulf","non-dropping-particle":"","parse-names":false,"suffix":""},{"dropping-particle":"","family":"Landen","given":"Mikael","non-dropping-particle":"","parse-names":false,"suffix":""},{"dropping-particle":"","family":"Siegbahn","given":"Agneta","non-dropping-particle":"","parse-names":false,"suffix":""},{"dropping-particle":"","family":"Wilson","given":"James F.","non-dropping-particle":"","parse-names":false,"suffix":""},{"dropping-particle":"","family":"Wallentin","given":"Lars","non-dropping-particle":"","parse-names":false,"suffix":""},{"dropping-particle":"","family":"Butterworth","given":"Adam S.","non-dropping-particle":"","parse-names":false,"suffix":""},{"dropping-particle":"V.","family":"Holmes","given":"Michael","non-dropping-particle":"","parse-names":false,"suffix":""},{"dropping-particle":"","family":"Ingelsson","given":"Erik","non-dropping-particle":"","parse-names":false,"suffix":""},{"dropping-particle":"","family":"Mälarstig","given":"Anders","non-dropping-particle":"","parse-names":false,"suffix":""}],"container-title":"Nature Metabolism","id":"ITEM-1","issue":"10","issued":{"date-parts":[["2020"]]},"page":"1135-1148","publisher":"Springer US","title":"Genomic and drug target evaluation of 90 cardiovascular proteins in 30,931 individuals","type":"article-journal","volume":"2"},"uris":["http://www.mendeley.com/documents/?uuid=e356e314-e447-4315-93b5-17b6100ac034"]}],"mendeley":{"formattedCitation":"&lt;sup&gt;8&lt;/sup&gt;","plainTextFormattedCitation":"8","previouslyFormattedCitation":"&lt;sup&gt;8&lt;/sup&gt;"},"properties":{"noteIndex":0},"schema":"https://github.com/citation-style-language/schema/raw/master/csl-citation.json"}</w:instrText>
      </w:r>
      <w:r w:rsidRPr="00894C71">
        <w:rPr>
          <w:sz w:val="20"/>
          <w:szCs w:val="20"/>
        </w:rPr>
        <w:fldChar w:fldCharType="separate"/>
      </w:r>
      <w:r w:rsidRPr="00894C71">
        <w:rPr>
          <w:sz w:val="20"/>
          <w:szCs w:val="20"/>
          <w:vertAlign w:val="superscript"/>
        </w:rPr>
        <w:t>8</w:t>
      </w:r>
      <w:r w:rsidRPr="00894C71">
        <w:rPr>
          <w:sz w:val="20"/>
          <w:szCs w:val="20"/>
        </w:rPr>
        <w:fldChar w:fldCharType="end"/>
      </w:r>
      <w:r w:rsidRPr="00894C71">
        <w:rPr>
          <w:sz w:val="20"/>
          <w:szCs w:val="20"/>
        </w:rPr>
        <w:t xml:space="preserve"> for </w:t>
      </w:r>
      <w:proofErr w:type="spellStart"/>
      <w:r w:rsidRPr="00894C71">
        <w:rPr>
          <w:sz w:val="20"/>
          <w:szCs w:val="20"/>
        </w:rPr>
        <w:t>Olink</w:t>
      </w:r>
      <w:proofErr w:type="spellEnd"/>
      <w:r w:rsidRPr="00894C71">
        <w:rPr>
          <w:sz w:val="20"/>
          <w:szCs w:val="20"/>
        </w:rPr>
        <w:t xml:space="preserve"> and </w:t>
      </w:r>
      <w:proofErr w:type="spellStart"/>
      <w:r w:rsidRPr="00894C71">
        <w:rPr>
          <w:sz w:val="20"/>
          <w:szCs w:val="20"/>
        </w:rPr>
        <w:t>SomaScan</w:t>
      </w:r>
      <w:proofErr w:type="spellEnd"/>
      <w:r w:rsidRPr="00894C71">
        <w:rPr>
          <w:sz w:val="20"/>
          <w:szCs w:val="20"/>
        </w:rPr>
        <w:t xml:space="preserve"> from the present study. The scheme on the right shows’ possible consequences of a differently </w:t>
      </w:r>
      <w:r w:rsidRPr="00894C71">
        <w:rPr>
          <w:sz w:val="20"/>
          <w:szCs w:val="20"/>
        </w:rPr>
        <w:lastRenderedPageBreak/>
        <w:t>shaped GDF-15 protein. A 3D-model of the alternative protein is presented in Supplementary Figure 10. Parts of this figure have been created with BioRender.com. Source data are provided as a Source Data file.</w:t>
      </w:r>
    </w:p>
    <w:p w14:paraId="00000029" w14:textId="77777777" w:rsidR="00766C45" w:rsidRPr="00177CF7" w:rsidRDefault="00555D20" w:rsidP="00D24562">
      <w:pPr>
        <w:spacing w:line="360" w:lineRule="auto"/>
        <w:jc w:val="both"/>
        <w:rPr>
          <w:b/>
        </w:rPr>
      </w:pPr>
      <w:r w:rsidRPr="00177CF7">
        <w:rPr>
          <w:b/>
        </w:rPr>
        <w:t>DISCUSSION</w:t>
      </w:r>
    </w:p>
    <w:p w14:paraId="076DEEEB" w14:textId="1176C653" w:rsidR="00EF06FD" w:rsidRPr="00177CF7" w:rsidRDefault="00555D20" w:rsidP="00B1249B">
      <w:pPr>
        <w:spacing w:line="360" w:lineRule="auto"/>
        <w:jc w:val="both"/>
      </w:pPr>
      <w:bookmarkStart w:id="7" w:name="_heading=h.49eesa65p3yu" w:colFirst="0" w:colLast="0"/>
      <w:bookmarkEnd w:id="7"/>
      <w:r w:rsidRPr="00177CF7">
        <w:t xml:space="preserve">Identification of </w:t>
      </w:r>
      <w:r w:rsidR="00BE5E60" w:rsidRPr="00177CF7">
        <w:t xml:space="preserve">DNA sequence </w:t>
      </w:r>
      <w:r w:rsidRPr="00177CF7">
        <w:t xml:space="preserve">variants modulating protein levels or activities </w:t>
      </w:r>
      <w:r w:rsidR="00D403F1" w:rsidRPr="00177CF7">
        <w:t xml:space="preserve">and shared with disease loci </w:t>
      </w:r>
      <w:r w:rsidRPr="00177CF7">
        <w:t xml:space="preserve">can </w:t>
      </w:r>
      <w:r w:rsidR="00D403F1" w:rsidRPr="00177CF7">
        <w:t>identify</w:t>
      </w:r>
      <w:r w:rsidRPr="00177CF7">
        <w:t xml:space="preserve"> disease-causing mechanisms and </w:t>
      </w:r>
      <w:r w:rsidR="00F726D5" w:rsidRPr="00177CF7">
        <w:t>help to prioritize new and repurpose existing drug targets</w:t>
      </w:r>
      <w:r w:rsidR="0090338E" w:rsidRPr="00177CF7">
        <w:fldChar w:fldCharType="begin" w:fldLock="1"/>
      </w:r>
      <w:r w:rsidR="007212AD">
        <w:instrText>ADDIN CSL_CITATION {"citationItems":[{"id":"ITEM-1","itemData":{"DOI":"10.1038/s41588-020-0682-6","ISSN":"15461718","PMID":"32895551","abstract":"The human proteome is a major source of therapeutic targets. Recent genetic association analyses of the plasma proteome enable systematic evaluation of the causal consequences of variation in plasma protein levels. Here we estimated the effects of 1,002 proteins on 225 phenotypes using two-sample Mendelian randomization (MR) and colocalization. Of 413 associations supported by evidence from MR, 130 (31.5%) were not supported by results of colocalization analyses, suggesting that genetic confounding due to linkage disequilibrium is widespread in naïve phenome-wide association studies of proteins. Combining MR and colocalization evidence in cis-only analyses, we identified 111 putatively causal effects between 65 proteins and 52 disease-related phenotypes (https://www.epigraphdb.org/pqtl/). Evaluation of data from historic drug development programs showed that target-indication pairs with MR and colocalization support were more likely to be approved, evidencing the value of this approach in identifying and prioritizing potential therapeutic targets.","author":[{"dropping-particle":"","family":"Zheng","given":"Jie","non-dropping-particle":"","parse-names":false,"suffix":""},{"dropping-particle":"","family":"Haberland","given":"Valeriia","non-dropping-particle":"","parse-names":false,"suffix":""},{"dropping-particle":"","family":"Baird","given":"Denis","non-dropping-particle":"","parse-names":false,"suffix":""},{"dropping-particle":"","family":"Walker","given":"Venexia","non-dropping-particle":"","parse-names":false,"suffix":""},{"dropping-particle":"","family":"Haycock","given":"Philip C.","non-dropping-particle":"","parse-names":false,"suffix":""},{"dropping-particle":"","family":"Hurle","given":"Mark R.","non-dropping-particle":"","parse-names":false,"suffix":""},{"dropping-particle":"","family":"Gutteridge","given":"Alex","non-dropping-particle":"","parse-names":false,"suffix":""},{"dropping-particle":"","family":"Erola","given":"Pau","non-dropping-particle":"","parse-names":false,"suffix":""},{"dropping-particle":"","family":"Liu","given":"Yi","non-dropping-particle":"","parse-names":false,"suffix":""},{"dropping-particle":"","family":"Luo","given":"Shan","non-dropping-particle":"","parse-names":false,"suffix":""},{"dropping-particle":"","family":"Robinson","given":"Jamie","non-dropping-particle":"","parse-names":false,"suffix":""},{"dropping-particle":"","family":"Richardson","given":"Tom G.","non-dropping-particle":"","parse-names":false,"suffix":""},{"dropping-particle":"","family":"Staley","given":"James R.","non-dropping-particle":"","parse-names":false,"suffix":""},{"dropping-particle":"","family":"Elsworth","given":"Benjamin","non-dropping-particle":"","parse-names":false,"suffix":""},{"dropping-particle":"","family":"Burgess","given":"Stephen","non-dropping-particle":"","parse-names":false,"suffix":""},{"dropping-particle":"","family":"Sun","given":"Benjamin B.","non-dropping-particle":"","parse-names":false,"suffix":""},{"dropping-particle":"","family":"Danesh","given":"John","non-dropping-particle":"","parse-names":false,"suffix":""},{"dropping-particle":"","family":"Runz","given":"Heiko","non-dropping-particle":"","parse-names":false,"suffix":""},{"dropping-particle":"","family":"Maranville","given":"Joseph C.","non-dropping-particle":"","parse-names":false,"suffix":""},{"dropping-particle":"","family":"Martin","given":"Hannah M.","non-dropping-particle":"","parse-names":false,"suffix":""},{"dropping-particle":"","family":"Yarmolinsky","given":"James","non-dropping-particle":"","parse-names":false,"suffix":""},{"dropping-particle":"","family":"Laurin","given":"Charles","non-dropping-particle":"","parse-names":false,"suffix":""},{"dropping-particle":"V.","family":"Holmes","given":"Michael","non-dropping-particle":"","parse-names":false,"suffix":""},{"dropping-particle":"","family":"Liu","given":"Jimmy Z.","non-dropping-particle":"","parse-names":false,"suffix":""},{"dropping-particle":"","family":"Estrada","given":"Karol","non-dropping-particle":"","parse-names":false,"suffix":""},{"dropping-particle":"","family":"Santos","given":"Rita","non-dropping-particle":"","parse-names":false,"suffix":""},{"dropping-particle":"","family":"McCarthy","given":"Linda","non-dropping-particle":"","parse-names":false,"suffix":""},{"dropping-particle":"","family":"Waterworth","given":"Dawn","non-dropping-particle":"","parse-names":false,"suffix":""},{"dropping-particle":"","family":"Nelson","given":"Matthew R.","non-dropping-particle":"","parse-names":false,"suffix":""},{"dropping-particle":"","family":"Smith","given":"George Davey","non-dropping-particle":"","parse-names":false,"suffix":""},{"dropping-particle":"","family":"Butterworth","given":"Adam S.","non-dropping-particle":"","parse-names":false,"suffix":""},{"dropping-particle":"","family":"Hemani","given":"Gibran","non-dropping-particle":"","parse-names":false,"suffix":""},{"dropping-particle":"","family":"Scott","given":"Robert A.","non-dropping-particle":"","parse-names":false,"suffix":""},{"dropping-particle":"","family":"Gaunt","given":"Tom R.","non-dropping-particle":"","parse-names":false,"suffix":""}],"container-title":"Nature Genetics","id":"ITEM-1","issue":"10","issued":{"date-parts":[["2020","9","7"]]},"page":"1122-1131","publisher":"Springer US","title":"Phenome-wide Mendelian randomization mapping the influence of the plasma proteome on complex diseases","type":"article-journal","volume":"52"},"uris":["http://www.mendeley.com/documents/?uuid=7a83745b-38f7-4cc6-8b3e-6642d02b27fb"]}],"mendeley":{"formattedCitation":"&lt;sup&gt;11&lt;/sup&gt;","plainTextFormattedCitation":"11","previouslyFormattedCitation":"&lt;sup&gt;11&lt;/sup&gt;"},"properties":{"noteIndex":0},"schema":"https://github.com/citation-style-language/schema/raw/master/csl-citation.json"}</w:instrText>
      </w:r>
      <w:r w:rsidR="0090338E" w:rsidRPr="00177CF7">
        <w:fldChar w:fldCharType="separate"/>
      </w:r>
      <w:r w:rsidR="00AB37AF" w:rsidRPr="00AB37AF">
        <w:rPr>
          <w:noProof/>
          <w:vertAlign w:val="superscript"/>
        </w:rPr>
        <w:t>11</w:t>
      </w:r>
      <w:r w:rsidR="0090338E" w:rsidRPr="00177CF7">
        <w:fldChar w:fldCharType="end"/>
      </w:r>
      <w:r w:rsidR="00F726D5" w:rsidRPr="00177CF7">
        <w:t>. To inform and advance such strategies, comparison across different measurement techniques can not only validate identified signals</w:t>
      </w:r>
      <w:r w:rsidR="005E324A" w:rsidRPr="00177CF7">
        <w:t xml:space="preserve">, </w:t>
      </w:r>
      <w:r w:rsidR="00F726D5" w:rsidRPr="00177CF7">
        <w:t xml:space="preserve">but </w:t>
      </w:r>
      <w:r w:rsidR="005E324A" w:rsidRPr="00177CF7">
        <w:t xml:space="preserve">also </w:t>
      </w:r>
      <w:r w:rsidR="00F726D5" w:rsidRPr="00177CF7">
        <w:t>help to better understand the potential biological relevance of platform-specific signals</w:t>
      </w:r>
      <w:r w:rsidR="003C6668" w:rsidRPr="00177CF7">
        <w:t xml:space="preserve"> for human health</w:t>
      </w:r>
      <w:r w:rsidR="00F726D5" w:rsidRPr="00177CF7">
        <w:t xml:space="preserve">. </w:t>
      </w:r>
      <w:r w:rsidR="00A71F45" w:rsidRPr="00177CF7">
        <w:t xml:space="preserve">We provide genetically anchored evidence that </w:t>
      </w:r>
      <w:r w:rsidR="00CF45AC" w:rsidRPr="00177CF7">
        <w:t>the integration of diverse proteomic techniques enables the identification of disease mechanisms bey</w:t>
      </w:r>
      <w:r w:rsidR="00647453" w:rsidRPr="00177CF7">
        <w:t xml:space="preserve">ond changes in the abundance of circulating </w:t>
      </w:r>
      <w:r w:rsidR="00B34552" w:rsidRPr="00177CF7">
        <w:t>proteins</w:t>
      </w:r>
      <w:r w:rsidR="00B04B61" w:rsidRPr="00177CF7">
        <w:t xml:space="preserve">, emphasizing the </w:t>
      </w:r>
      <w:r w:rsidR="001C7819" w:rsidRPr="00177CF7">
        <w:t xml:space="preserve">need for complimentary techniques and most importantly better understanding of the relevance of platform specific </w:t>
      </w:r>
      <w:proofErr w:type="spellStart"/>
      <w:r w:rsidR="001C7819" w:rsidRPr="00177CF7">
        <w:t>pQTLs</w:t>
      </w:r>
      <w:proofErr w:type="spellEnd"/>
      <w:r w:rsidR="001C7819" w:rsidRPr="00177CF7">
        <w:t xml:space="preserve"> for protein function</w:t>
      </w:r>
      <w:r w:rsidR="00630697" w:rsidRPr="00177CF7">
        <w:t>.</w:t>
      </w:r>
    </w:p>
    <w:p w14:paraId="5161F92D" w14:textId="794D0DD1" w:rsidR="00357977" w:rsidRPr="00177CF7" w:rsidRDefault="00261522" w:rsidP="399D00E8">
      <w:pPr>
        <w:spacing w:line="360" w:lineRule="auto"/>
        <w:jc w:val="both"/>
      </w:pPr>
      <w:r w:rsidRPr="00177CF7">
        <w:t>A</w:t>
      </w:r>
      <w:r w:rsidR="00BB2E5A" w:rsidRPr="00177CF7">
        <w:t xml:space="preserve"> common pattern </w:t>
      </w:r>
      <w:r w:rsidR="00B22648" w:rsidRPr="00177CF7">
        <w:t>among</w:t>
      </w:r>
      <w:r w:rsidR="00BB2E5A" w:rsidRPr="00177CF7">
        <w:t xml:space="preserve"> results </w:t>
      </w:r>
      <w:r w:rsidR="32194C91" w:rsidRPr="00177CF7">
        <w:t xml:space="preserve">not shared between </w:t>
      </w:r>
      <w:r w:rsidR="00BB2E5A" w:rsidRPr="00177CF7">
        <w:t xml:space="preserve">both assays </w:t>
      </w:r>
      <w:r w:rsidR="0B1A923E" w:rsidRPr="00177CF7">
        <w:t xml:space="preserve">related to </w:t>
      </w:r>
      <w:r w:rsidR="00570E20" w:rsidRPr="00177CF7">
        <w:t xml:space="preserve">the </w:t>
      </w:r>
      <w:r w:rsidR="00D276E2" w:rsidRPr="00177CF7">
        <w:t>reliance</w:t>
      </w:r>
      <w:r w:rsidR="00F92E64" w:rsidRPr="00177CF7">
        <w:t xml:space="preserve"> </w:t>
      </w:r>
      <w:r w:rsidR="003C30B6" w:rsidRPr="00177CF7">
        <w:t>of the</w:t>
      </w:r>
      <w:r w:rsidR="00BB2E5A" w:rsidRPr="00177CF7">
        <w:t xml:space="preserve"> </w:t>
      </w:r>
      <w:proofErr w:type="spellStart"/>
      <w:r w:rsidR="00BB2E5A" w:rsidRPr="00177CF7">
        <w:t>SomaScan</w:t>
      </w:r>
      <w:proofErr w:type="spellEnd"/>
      <w:r w:rsidR="00BB2E5A" w:rsidRPr="00177CF7">
        <w:t xml:space="preserve"> assay </w:t>
      </w:r>
      <w:r w:rsidR="56773ABF" w:rsidRPr="00177CF7">
        <w:t xml:space="preserve">to </w:t>
      </w:r>
      <w:r w:rsidR="004E31ED" w:rsidRPr="00177CF7">
        <w:t xml:space="preserve">a </w:t>
      </w:r>
      <w:r w:rsidR="00D276E2" w:rsidRPr="00177CF7">
        <w:t>conserved protein structure</w:t>
      </w:r>
      <w:r w:rsidR="00374132" w:rsidRPr="00177CF7">
        <w:t xml:space="preserve"> </w:t>
      </w:r>
      <w:r w:rsidR="006D2907" w:rsidRPr="00177CF7">
        <w:t xml:space="preserve">to enable aptamer binding </w:t>
      </w:r>
      <w:r w:rsidR="00374132" w:rsidRPr="00177CF7">
        <w:t>(</w:t>
      </w:r>
      <w:r w:rsidR="00374132" w:rsidRPr="00177CF7">
        <w:rPr>
          <w:b/>
          <w:bCs/>
        </w:rPr>
        <w:t xml:space="preserve">Supplementary </w:t>
      </w:r>
      <w:r w:rsidR="00FA2264">
        <w:rPr>
          <w:b/>
          <w:bCs/>
        </w:rPr>
        <w:t>Data</w:t>
      </w:r>
      <w:r w:rsidR="00374132" w:rsidRPr="00177CF7">
        <w:rPr>
          <w:b/>
          <w:bCs/>
        </w:rPr>
        <w:t xml:space="preserve"> </w:t>
      </w:r>
      <w:r w:rsidR="00257E8A" w:rsidRPr="00177CF7">
        <w:rPr>
          <w:b/>
          <w:bCs/>
        </w:rPr>
        <w:t>10</w:t>
      </w:r>
      <w:r w:rsidR="00374132" w:rsidRPr="00177CF7">
        <w:t>)</w:t>
      </w:r>
      <w:r w:rsidR="58BBC6E2" w:rsidRPr="00177CF7">
        <w:t xml:space="preserve">. </w:t>
      </w:r>
      <w:r w:rsidR="00357977" w:rsidRPr="00177CF7">
        <w:t xml:space="preserve">This has important implications for protein </w:t>
      </w:r>
      <w:r w:rsidR="00357977" w:rsidRPr="00177CF7">
        <w:rPr>
          <w:i/>
          <w:iCs/>
        </w:rPr>
        <w:t>level</w:t>
      </w:r>
      <w:r w:rsidR="00357977" w:rsidRPr="00177CF7">
        <w:t xml:space="preserve"> based cau</w:t>
      </w:r>
      <w:r w:rsidR="004B5FF3" w:rsidRPr="00177CF7">
        <w:t>s</w:t>
      </w:r>
      <w:r w:rsidR="00357977" w:rsidRPr="00177CF7">
        <w:t>al inference techniques</w:t>
      </w:r>
      <w:r w:rsidR="7ADC4608" w:rsidRPr="00177CF7">
        <w:t>,</w:t>
      </w:r>
      <w:r w:rsidR="00357977" w:rsidRPr="00177CF7">
        <w:t xml:space="preserve"> such as Mendelian randomization, where genetic instruments acting in </w:t>
      </w:r>
      <w:r w:rsidR="00357977" w:rsidRPr="00177CF7">
        <w:rPr>
          <w:i/>
          <w:iCs/>
        </w:rPr>
        <w:t>cis</w:t>
      </w:r>
      <w:r w:rsidR="00357977" w:rsidRPr="00177CF7">
        <w:t xml:space="preserve"> are </w:t>
      </w:r>
      <w:r w:rsidR="00DC4FCB" w:rsidRPr="00177CF7">
        <w:t xml:space="preserve">commonly </w:t>
      </w:r>
      <w:r w:rsidR="00357977" w:rsidRPr="00177CF7">
        <w:t xml:space="preserve">used </w:t>
      </w:r>
      <w:r w:rsidR="4BC891D3" w:rsidRPr="00177CF7">
        <w:t>to infer plasma</w:t>
      </w:r>
      <w:r w:rsidR="0087432C" w:rsidRPr="00177CF7">
        <w:t xml:space="preserve"> ‘</w:t>
      </w:r>
      <w:r w:rsidR="00357977" w:rsidRPr="00177CF7">
        <w:t>abundance</w:t>
      </w:r>
      <w:r w:rsidR="0087432C" w:rsidRPr="00177CF7">
        <w:t>’</w:t>
      </w:r>
      <w:r w:rsidR="00357977" w:rsidRPr="00177CF7">
        <w:t xml:space="preserve"> rather than function of the encoded protein.</w:t>
      </w:r>
      <w:r w:rsidR="01B39B97" w:rsidRPr="00177CF7">
        <w:t xml:space="preserve"> </w:t>
      </w:r>
      <w:r w:rsidR="00046EE4" w:rsidRPr="00177CF7">
        <w:t xml:space="preserve">Biased </w:t>
      </w:r>
      <w:r w:rsidR="01B39B97" w:rsidRPr="00177CF7">
        <w:t xml:space="preserve">conclusions from such techniques </w:t>
      </w:r>
      <w:r w:rsidR="00AB7DC2" w:rsidRPr="00177CF7">
        <w:t>could</w:t>
      </w:r>
      <w:r w:rsidR="01B39B97" w:rsidRPr="00177CF7">
        <w:t xml:space="preserve"> arise where the</w:t>
      </w:r>
      <w:r w:rsidR="5DD9DF8A" w:rsidRPr="00177CF7">
        <w:t xml:space="preserve"> direction of </w:t>
      </w:r>
      <w:r w:rsidR="2F2E55C6" w:rsidRPr="00177CF7">
        <w:t xml:space="preserve">the </w:t>
      </w:r>
      <w:r w:rsidR="72206F64" w:rsidRPr="00177CF7">
        <w:t xml:space="preserve">protein </w:t>
      </w:r>
      <w:r w:rsidR="2F2E55C6" w:rsidRPr="00177CF7">
        <w:t xml:space="preserve">binding affinity </w:t>
      </w:r>
      <w:r w:rsidR="0D7F9479" w:rsidRPr="00177CF7">
        <w:t xml:space="preserve">(‘abundance’) </w:t>
      </w:r>
      <w:r w:rsidR="5DD9DF8A" w:rsidRPr="00177CF7">
        <w:t xml:space="preserve">and </w:t>
      </w:r>
      <w:r w:rsidR="2C782029" w:rsidRPr="00177CF7">
        <w:t xml:space="preserve">the </w:t>
      </w:r>
      <w:r w:rsidR="5DD9DF8A" w:rsidRPr="00177CF7">
        <w:t xml:space="preserve">function </w:t>
      </w:r>
      <w:r w:rsidR="22220E50" w:rsidRPr="00177CF7">
        <w:t xml:space="preserve">of the mutant protein the variant is instrumenting </w:t>
      </w:r>
      <w:r w:rsidR="097820EF" w:rsidRPr="00177CF7">
        <w:t>are disconnected</w:t>
      </w:r>
      <w:r w:rsidR="5DD9DF8A" w:rsidRPr="00177CF7">
        <w:t xml:space="preserve">. </w:t>
      </w:r>
      <w:r w:rsidR="00B56C1D" w:rsidRPr="00177CF7">
        <w:t>Employing intermediate traits, that is, those that lie on a causal pathway from the protein to the disease</w:t>
      </w:r>
      <w:r w:rsidR="000E5598" w:rsidRPr="00177CF7">
        <w:t xml:space="preserve">, </w:t>
      </w:r>
      <w:r w:rsidR="005D3235" w:rsidRPr="00177CF7">
        <w:t xml:space="preserve">instead to obtain </w:t>
      </w:r>
      <w:r w:rsidR="00310D7C" w:rsidRPr="00177CF7">
        <w:t xml:space="preserve">genetic </w:t>
      </w:r>
      <w:r w:rsidR="005D3235" w:rsidRPr="00177CF7">
        <w:t>weights</w:t>
      </w:r>
      <w:r w:rsidR="00310D7C" w:rsidRPr="00177CF7">
        <w:t xml:space="preserve"> for such analysis may help to address this problem.</w:t>
      </w:r>
      <w:r w:rsidR="00932759" w:rsidRPr="00177CF7">
        <w:t xml:space="preserve"> </w:t>
      </w:r>
      <w:r w:rsidR="009B228D" w:rsidRPr="00177CF7">
        <w:t xml:space="preserve">We </w:t>
      </w:r>
      <w:r w:rsidR="00310D7C" w:rsidRPr="00177CF7">
        <w:t xml:space="preserve">further </w:t>
      </w:r>
      <w:r w:rsidR="009B228D" w:rsidRPr="00177CF7">
        <w:t>show that</w:t>
      </w:r>
      <w:r w:rsidR="00357977" w:rsidRPr="00177CF7">
        <w:t xml:space="preserve"> strong </w:t>
      </w:r>
      <w:r w:rsidR="009B228D" w:rsidRPr="00177CF7">
        <w:t xml:space="preserve">and </w:t>
      </w:r>
      <w:r w:rsidR="00357977" w:rsidRPr="00177CF7">
        <w:t xml:space="preserve">platform-specific signals </w:t>
      </w:r>
      <w:r w:rsidR="009B228D" w:rsidRPr="00177CF7">
        <w:t xml:space="preserve">with extreme binding affinity </w:t>
      </w:r>
      <w:r w:rsidR="00357977" w:rsidRPr="00177CF7">
        <w:t xml:space="preserve">can </w:t>
      </w:r>
      <w:r w:rsidR="54B6D88A" w:rsidRPr="00177CF7">
        <w:t xml:space="preserve">mask </w:t>
      </w:r>
      <w:r w:rsidR="00357977" w:rsidRPr="00177CF7">
        <w:t>signals that</w:t>
      </w:r>
      <w:r w:rsidR="00294044" w:rsidRPr="00177CF7">
        <w:t xml:space="preserve"> </w:t>
      </w:r>
      <w:r w:rsidR="00B261DB" w:rsidRPr="00177CF7">
        <w:t>are</w:t>
      </w:r>
      <w:r w:rsidR="00357977" w:rsidRPr="00177CF7">
        <w:t xml:space="preserve"> shared across platforms</w:t>
      </w:r>
      <w:r w:rsidR="0097677F" w:rsidRPr="00177CF7">
        <w:t xml:space="preserve"> and </w:t>
      </w:r>
      <w:r w:rsidR="00357977" w:rsidRPr="00177CF7">
        <w:t>demonstrate that association statistics</w:t>
      </w:r>
      <w:r w:rsidR="001B25A2" w:rsidRPr="00177CF7">
        <w:t xml:space="preserve"> conditioning on such strong </w:t>
      </w:r>
      <w:r w:rsidR="00357977" w:rsidRPr="00177CF7">
        <w:t xml:space="preserve">lead </w:t>
      </w:r>
      <w:proofErr w:type="spellStart"/>
      <w:r w:rsidR="00357977" w:rsidRPr="00177CF7">
        <w:t>pQTL</w:t>
      </w:r>
      <w:r w:rsidR="001B25A2" w:rsidRPr="00177CF7">
        <w:t>s</w:t>
      </w:r>
      <w:proofErr w:type="spellEnd"/>
      <w:r w:rsidR="001B25A2" w:rsidRPr="00177CF7">
        <w:t xml:space="preserve"> </w:t>
      </w:r>
      <w:r w:rsidR="006A6C58" w:rsidRPr="00177CF7">
        <w:t>can un</w:t>
      </w:r>
      <w:r w:rsidR="00357977" w:rsidRPr="00177CF7">
        <w:t>cover biological</w:t>
      </w:r>
      <w:r w:rsidR="006A6C58" w:rsidRPr="00177CF7">
        <w:t>ly</w:t>
      </w:r>
      <w:r w:rsidR="00357977" w:rsidRPr="00177CF7">
        <w:t xml:space="preserve"> </w:t>
      </w:r>
      <w:r w:rsidR="006A6C58" w:rsidRPr="00177CF7">
        <w:t>relevant signal</w:t>
      </w:r>
      <w:r w:rsidR="003A150A" w:rsidRPr="00177CF7">
        <w:t>s</w:t>
      </w:r>
      <w:r w:rsidR="7D0E5CC6" w:rsidRPr="00177CF7">
        <w:t xml:space="preserve"> shared between platforms</w:t>
      </w:r>
      <w:r w:rsidR="00357977" w:rsidRPr="00177CF7">
        <w:t xml:space="preserve">.  </w:t>
      </w:r>
    </w:p>
    <w:p w14:paraId="0EAAF562" w14:textId="1C17F361" w:rsidR="00041390" w:rsidRPr="00177CF7" w:rsidRDefault="00B129E1" w:rsidP="399D00E8">
      <w:pPr>
        <w:spacing w:line="360" w:lineRule="auto"/>
        <w:jc w:val="both"/>
      </w:pPr>
      <w:r w:rsidRPr="00177CF7">
        <w:t xml:space="preserve">A common theme </w:t>
      </w:r>
      <w:r w:rsidR="00BC032D" w:rsidRPr="00177CF7">
        <w:t xml:space="preserve">of platform-specific </w:t>
      </w:r>
      <w:r w:rsidR="00BC032D" w:rsidRPr="00177CF7">
        <w:rPr>
          <w:i/>
          <w:iCs/>
        </w:rPr>
        <w:t>cis</w:t>
      </w:r>
      <w:r w:rsidR="00BC032D" w:rsidRPr="00177CF7">
        <w:t>-</w:t>
      </w:r>
      <w:proofErr w:type="spellStart"/>
      <w:r w:rsidR="00BC032D" w:rsidRPr="00177CF7">
        <w:t>pQTLs</w:t>
      </w:r>
      <w:proofErr w:type="spellEnd"/>
      <w:r w:rsidR="00BC032D" w:rsidRPr="00177CF7">
        <w:t xml:space="preserve"> that aligned with the genetic signal for phenotypic consequences was </w:t>
      </w:r>
      <w:r w:rsidR="00102AA7" w:rsidRPr="00177CF7">
        <w:t>a</w:t>
      </w:r>
      <w:r w:rsidR="00BC032D" w:rsidRPr="00177CF7">
        <w:t xml:space="preserve"> genetically induced</w:t>
      </w:r>
      <w:r w:rsidR="00102AA7" w:rsidRPr="00177CF7">
        <w:t xml:space="preserve"> alternative form of the target protein, which we referred to as ‘</w:t>
      </w:r>
      <w:proofErr w:type="spellStart"/>
      <w:r w:rsidR="00102AA7" w:rsidRPr="00177CF7">
        <w:t>proteoform</w:t>
      </w:r>
      <w:proofErr w:type="spellEnd"/>
      <w:r w:rsidR="00102AA7" w:rsidRPr="00177CF7">
        <w:t>’</w:t>
      </w:r>
      <w:r w:rsidR="003864E6" w:rsidRPr="00177CF7">
        <w:t>, such</w:t>
      </w:r>
      <w:r w:rsidR="000C5CB7" w:rsidRPr="00177CF7">
        <w:t xml:space="preserve"> as</w:t>
      </w:r>
      <w:r w:rsidR="003864E6" w:rsidRPr="00177CF7">
        <w:t xml:space="preserve"> for GDF-15 </w:t>
      </w:r>
      <w:r w:rsidR="000C5CB7" w:rsidRPr="00177CF7">
        <w:t>for</w:t>
      </w:r>
      <w:r w:rsidR="003864E6" w:rsidRPr="00177CF7">
        <w:t xml:space="preserve"> which</w:t>
      </w:r>
      <w:r w:rsidR="000C5CB7" w:rsidRPr="00177CF7">
        <w:t xml:space="preserve"> we obtained evidence that</w:t>
      </w:r>
      <w:r w:rsidR="003864E6" w:rsidRPr="00177CF7">
        <w:t xml:space="preserve"> an alternative form of the protein rather than altered </w:t>
      </w:r>
      <w:r w:rsidR="0003536E" w:rsidRPr="00177CF7">
        <w:t>abundances may</w:t>
      </w:r>
      <w:r w:rsidR="003864E6" w:rsidRPr="00177CF7">
        <w:t xml:space="preserve"> </w:t>
      </w:r>
      <w:r w:rsidR="000C5CB7" w:rsidRPr="00177CF7">
        <w:t xml:space="preserve">mediate </w:t>
      </w:r>
      <w:r w:rsidR="003B282E" w:rsidRPr="00177CF7">
        <w:t xml:space="preserve">downstream effects. While this </w:t>
      </w:r>
      <w:r w:rsidR="007263C9" w:rsidRPr="00177CF7">
        <w:t xml:space="preserve">generally pointed </w:t>
      </w:r>
      <w:r w:rsidR="00827BF5" w:rsidRPr="00177CF7">
        <w:t xml:space="preserve">towards specificity of the affinity reagent to </w:t>
      </w:r>
      <w:r w:rsidR="001E1D64" w:rsidRPr="00177CF7">
        <w:t>the</w:t>
      </w:r>
      <w:r w:rsidR="00827BF5" w:rsidRPr="00177CF7">
        <w:t xml:space="preserve"> ‘canonical’ protein</w:t>
      </w:r>
      <w:r w:rsidR="00006B8C" w:rsidRPr="00177CF7">
        <w:t xml:space="preserve"> (</w:t>
      </w:r>
      <w:r w:rsidR="001E1D64" w:rsidRPr="00177CF7">
        <w:t xml:space="preserve">or at least the </w:t>
      </w:r>
      <w:r w:rsidR="009274EA" w:rsidRPr="00177CF7">
        <w:t>protein sequence</w:t>
      </w:r>
      <w:r w:rsidR="001E1D64" w:rsidRPr="00177CF7">
        <w:t xml:space="preserve"> that has been used to select the affinity reagent against with</w:t>
      </w:r>
      <w:r w:rsidR="00006B8C" w:rsidRPr="00177CF7">
        <w:t>)</w:t>
      </w:r>
      <w:r w:rsidR="001F710C" w:rsidRPr="00177CF7">
        <w:t xml:space="preserve"> and </w:t>
      </w:r>
      <w:r w:rsidR="006B17A7" w:rsidRPr="00177CF7">
        <w:t>cannot be distinguished from</w:t>
      </w:r>
      <w:r w:rsidR="009365C3" w:rsidRPr="00177CF7">
        <w:t xml:space="preserve"> </w:t>
      </w:r>
      <w:r w:rsidR="001F710C" w:rsidRPr="00177CF7">
        <w:t>as a technical artefact,</w:t>
      </w:r>
      <w:r w:rsidR="007778E8" w:rsidRPr="00177CF7">
        <w:t xml:space="preserve"> </w:t>
      </w:r>
      <w:r w:rsidR="009274EA" w:rsidRPr="00177CF7">
        <w:t xml:space="preserve">triangulating genetic variation with protein ‘abundance’ </w:t>
      </w:r>
      <w:r w:rsidR="007778E8" w:rsidRPr="00177CF7">
        <w:t>(</w:t>
      </w:r>
      <w:r w:rsidR="009274EA" w:rsidRPr="00177CF7">
        <w:t>or presence</w:t>
      </w:r>
      <w:r w:rsidR="007778E8" w:rsidRPr="00177CF7">
        <w:t>)</w:t>
      </w:r>
      <w:r w:rsidR="009274EA" w:rsidRPr="00177CF7">
        <w:t xml:space="preserve"> and </w:t>
      </w:r>
      <w:r w:rsidR="00D9610A" w:rsidRPr="00177CF7">
        <w:t xml:space="preserve">phenotypic consequences provided evidence for the candidate causal gene and </w:t>
      </w:r>
      <w:r w:rsidR="007778E8" w:rsidRPr="00177CF7">
        <w:t xml:space="preserve">the expression of the alternative </w:t>
      </w:r>
      <w:proofErr w:type="spellStart"/>
      <w:r w:rsidR="007778E8" w:rsidRPr="00177CF7">
        <w:t>proteoform</w:t>
      </w:r>
      <w:proofErr w:type="spellEnd"/>
      <w:r w:rsidR="007778E8" w:rsidRPr="00177CF7">
        <w:t xml:space="preserve"> </w:t>
      </w:r>
      <w:r w:rsidR="00DC01C6" w:rsidRPr="00177CF7">
        <w:t xml:space="preserve">at substantial levels to be detected in plasma. </w:t>
      </w:r>
      <w:r w:rsidR="001645D2" w:rsidRPr="00177CF7">
        <w:t xml:space="preserve">More importantly, </w:t>
      </w:r>
      <w:r w:rsidR="00E47616" w:rsidRPr="00177CF7">
        <w:t xml:space="preserve">such </w:t>
      </w:r>
      <w:r w:rsidR="00E47616" w:rsidRPr="00177CF7">
        <w:lastRenderedPageBreak/>
        <w:t>effects enabled us to derive functional hypothesis that go beyond reduced or enhanced expression of certain protein targets</w:t>
      </w:r>
      <w:r w:rsidR="002524D8" w:rsidRPr="00177CF7">
        <w:t xml:space="preserve"> </w:t>
      </w:r>
      <w:r w:rsidR="00CE2D36" w:rsidRPr="00177CF7">
        <w:t xml:space="preserve">starting to explore functional proteomics </w:t>
      </w:r>
      <w:r w:rsidR="00CA6DEE" w:rsidRPr="00177CF7">
        <w:t>in humans</w:t>
      </w:r>
      <w:r w:rsidR="00CE2D36" w:rsidRPr="00177CF7">
        <w:t>.</w:t>
      </w:r>
    </w:p>
    <w:p w14:paraId="25FE9443" w14:textId="4E2068E4" w:rsidR="006D049A" w:rsidRPr="00177CF7" w:rsidRDefault="00F726D5" w:rsidP="399D00E8">
      <w:pPr>
        <w:spacing w:line="360" w:lineRule="auto"/>
        <w:jc w:val="both"/>
      </w:pPr>
      <w:r w:rsidRPr="00177CF7">
        <w:t xml:space="preserve">Previous smaller scale </w:t>
      </w:r>
      <w:r w:rsidR="008916D0" w:rsidRPr="00177CF7">
        <w:t>studies</w:t>
      </w:r>
      <w:r w:rsidR="006D049A" w:rsidRPr="00177CF7">
        <w:fldChar w:fldCharType="begin" w:fldLock="1"/>
      </w:r>
      <w:r w:rsidR="007212AD">
        <w:instrText>ADDIN CSL_CITATION {"citationItems":[{"id":"ITEM-1","itemData":{"DOI":"10.1038/s41586-018-0175-2","ISSN":"1476-4687","PMID":"29875488","abstract":"Although plasma proteins have important roles in biological processes and are the direct targets of many drugs, the genetic factors that control inter-individual variation in plasma protein levels are not well understood. Here we characterize the genetic architecture of the human plasma proteome in healthy blood donors from the INTERVAL study. We identify 1,927 genetic associations with 1,478 proteins, a fourfold increase on existing knowledge, including trans associations for 1,104 proteins. To understand the consequences of perturbations in plasma protein levels, we apply an integrated approach that links genetic variation with biological pathway, disease, and drug databases. We show that protein quantitative trait loci overlap with gene expression quantitative trait loci, as well as with disease-associated loci, and find evidence that protein biomarkers have causal roles in disease using Mendelian randomization analysis. By linking genetic factors to diseases via specific proteins, our analyses highlight potential therapeutic targets, opportunities for matching existing drugs with new disease indications, and potential safety concerns for drugs under development.","author":[{"dropping-particle":"","family":"Sun","given":"Benjamin B.","non-dropping-particle":"","parse-names":false,"suffix":""},{"dropping-particle":"","family":"Maranville","given":"Joseph C.","non-dropping-particle":"","parse-names":false,"suffix":""},{"dropping-particle":"","family":"Peters","given":"James E.","non-dropping-particle":"","parse-names":false,"suffix":""},{"dropping-particle":"","family":"Stacey","given":"David","non-dropping-particle":"","parse-names":false,"suffix":""},{"dropping-particle":"","family":"Staley","given":"James R.","non-dropping-particle":"","parse-names":false,"suffix":""},{"dropping-particle":"","family":"Blackshaw","given":"James","non-dropping-particle":"","parse-names":false,"suffix":""},{"dropping-particle":"","family":"Burgess","given":"Stephen","non-dropping-particle":"","parse-names":false,"suffix":""},{"dropping-particle":"","family":"Jiang","given":"Tao","non-dropping-particle":"","parse-names":false,"suffix":""},{"dropping-particle":"","family":"Paige","given":"Ellie","non-dropping-particle":"","parse-names":false,"suffix":""},{"dropping-particle":"","family":"Surendran","given":"Praveen","non-dropping-particle":"","parse-names":false,"suffix":""},{"dropping-particle":"","family":"Oliver-Williams","given":"Clare","non-dropping-particle":"","parse-names":false,"suffix":""},{"dropping-particle":"","family":"Kamat","given":"Mihir A.","non-dropping-particle":"","parse-names":false,"suffix":""},{"dropping-particle":"","family":"Prins","given":"Bram P.","non-dropping-particle":"","parse-names":false,"suffix":""},{"dropping-particle":"","family":"Wilcox","given":"Sheri K.","non-dropping-particle":"","parse-names":false,"suffix":""},{"dropping-particle":"","family":"Zimmerman","given":"Erik S.","non-dropping-particle":"","parse-names":false,"suffix":""},{"dropping-particle":"","family":"Chi","given":"An","non-dropping-particle":"","parse-names":false,"suffix":""},{"dropping-particle":"","family":"Bansal","given":"Narinder","non-dropping-particle":"","parse-names":false,"suffix":""},{"dropping-particle":"","family":"Spain","given":"Sarah L.","non-dropping-particle":"","parse-names":false,"suffix":""},{"dropping-particle":"","family":"Wood","given":"Angela M.","non-dropping-particle":"","parse-names":false,"suffix":""},{"dropping-particle":"","family":"Morrell","given":"Nicholas W.","non-dropping-particle":"","parse-names":false,"suffix":""},{"dropping-particle":"","family":"Bradley","given":"John R.","non-dropping-particle":"","parse-names":false,"suffix":""},{"dropping-particle":"","family":"Janjic","given":"Nebojsa","non-dropping-particle":"","parse-names":false,"suffix":""},{"dropping-particle":"","family":"Roberts","given":"David J.","non-dropping-particle":"","parse-names":false,"suffix":""},{"dropping-particle":"","family":"Ouwehand","given":"Willem H.","non-dropping-particle":"","parse-names":false,"suffix":""},{"dropping-particle":"","family":"Todd","given":"John A.","non-dropping-particle":"","parse-names":false,"suffix":""},{"dropping-particle":"","family":"Soranzo","given":"Nicole","non-dropping-particle":"","parse-names":false,"suffix":""},{"dropping-particle":"","family":"Suhre","given":"Karsten","non-dropping-particle":"","parse-names":false,"suffix":""},{"dropping-particle":"","family":"Paul","given":"Dirk S.","non-dropping-particle":"","parse-names":false,"suffix":""},{"dropping-particle":"","family":"Fox","given":"Caroline S.","non-dropping-particle":"","parse-names":false,"suffix":""},{"dropping-particle":"","family":"Plenge","given":"Robert M.","non-dropping-particle":"","parse-names":false,"suffix":""},{"dropping-particle":"","family":"Danesh","given":"John","non-dropping-particle":"","parse-names":false,"suffix":""},{"dropping-particle":"","family":"Runz","given":"Heiko","non-dropping-particle":"","parse-names":false,"suffix":""},{"dropping-particle":"","family":"Butterworth","given":"Adam S.","non-dropping-particle":"","parse-names":false,"suffix":""}],"container-title":"Nature","id":"ITEM-1","issue":"7708","issued":{"date-parts":[["2018","6","6"]]},"page":"73-79","publisher":"Springer US","title":"Genomic atlas of the human plasma proteome.","type":"article-journal","volume":"558"},"uris":["http://www.mendeley.com/documents/?uuid=474a4c65-8f2c-433c-a346-f6aeff94a9ae"]},{"id":"ITEM-2","itemData":{"DOI":"10.1002/pmic.201900278","ISSN":"1615-9861","PMID":"32386347","abstract":"Novel proteomics platforms, such as the aptamer-based SOMAscan platform, can quantify large numbers of proteins efficiently and cost-effectively and are rapidly growing in popularity. However, comparisons to conventional immunoassays remain underexplored, leaving investigators unsure when cross-assay comparisons are appropriate. The correlation of results from immunoassays with relative protein quantification is explored by SOMAscan. For 63 proteins assessed in two chronic obstructive pulmonary disease (COPD) cohorts, subpopulations and intermediate outcome measures in COPD Study (SPIROMICS), and COPDGene, using myriad rules based medicine multiplex immunoassays and SOMAscan, Spearman correlation coefficients range from -0.13 to 0.97, with a median correlation coefficient of ≈0.5 and consistent results across cohorts. A similar range is observed for immunoassays in the population-based Multi-Ethnic Study of Atherosclerosis and for other assays in COPDGene and SPIROMICS. Comparisons of relative quantification from the antibody-based Olink platform and SOMAscan in a small cohort of myocardial infarction patients also show a wide correlation range. Finally, cis pQTL data, mass spectrometry aptamer confirmation, and other publicly available data are integrated to assess relationships with observed correlations. Correlation between proteomics assays shows a wide range and should be carefully considered when comparing and meta-analyzing proteomics data across assays and studies.","author":[{"dropping-particle":"","family":"Raffield","given":"Laura M.","non-dropping-particle":"","parse-names":false,"suffix":""},{"dropping-particle":"","family":"Dang","given":"Hong","non-dropping-particle":"","parse-names":false,"suffix":""},{"dropping-particle":"","family":"Pratte","given":"Katherine A.","non-dropping-particle":"","parse-names":false,"suffix":""},{"dropping-particle":"","family":"Jacobson","given":"Sean","non-dropping-particle":"","parse-names":false,"suffix":""},{"dropping-particle":"","family":"Gillenwater","given":"Lucas A.","non-dropping-particle":"","parse-names":false,"suffix":""},{"dropping-particle":"","family":"Ampleford","given":"Elizabeth","non-dropping-particle":"","parse-names":false,"suffix":""},{"dropping-particle":"","family":"Barjaktarevic","given":"Igor","non-dropping-particle":"","parse-names":false,"suffix":""},{"dropping-particle":"","family":"Basta","given":"Patricia","non-dropping-particle":"","parse-names":false,"suffix":""},{"dropping-particle":"","family":"Clish","given":"Clary B.","non-dropping-particle":"","parse-names":false,"suffix":""},{"dropping-particle":"","family":"Comellas","given":"Alejandro P.","non-dropping-particle":"","parse-names":false,"suffix":""},{"dropping-particle":"","family":"Cornell","given":"Elaine","non-dropping-particle":"","parse-names":false,"suffix":""},{"dropping-particle":"","family":"Curtis","given":"Jeffrey L.","non-dropping-particle":"","parse-names":false,"suffix":""},{"dropping-particle":"","family":"Doerschuk","given":"Claire","non-dropping-particle":"","parse-names":false,"suffix":""},{"dropping-particle":"","family":"Durda","given":"Peter","non-dropping-particle":"","parse-names":false,"suffix":""},{"dropping-particle":"","family":"Emson","given":"Claire","non-dropping-particle":"","parse-names":false,"suffix":""},{"dropping-particle":"","family":"Freeman","given":"Christine M.","non-dropping-particle":"","parse-names":false,"suffix":""},{"dropping-particle":"","family":"Guo","given":"Xiuqing","non-dropping-particle":"","parse-names":false,"suffix":""},{"dropping-particle":"","family":"Hastie","given":"Annette T.","non-dropping-particle":"","parse-names":false,"suffix":""},{"dropping-particle":"","family":"Hawkins","given":"Gregory A.","non-dropping-particle":"","parse-names":false,"suffix":""},{"dropping-particle":"","family":"Herrera","given":"Julio","non-dropping-particle":"","parse-names":false,"suffix":""},{"dropping-particle":"","family":"Johnson","given":"W. Craig","non-dropping-particle":"","parse-names":false,"suffix":""},{"dropping-particle":"","family":"Labaki","given":"Wassim W.","non-dropping-particle":"","parse-names":false,"suffix":""},{"dropping-particle":"","family":"Liu","given":"Yongmei","non-dropping-particle":"","parse-names":false,"suffix":""},{"dropping-particle":"","family":"Masters","given":"Brett","non-dropping-particle":"","parse-names":false,"suffix":""},{"dropping-particle":"","family":"Miller","given":"Michael","non-dropping-particle":"","parse-names":false,"suffix":""},{"dropping-particle":"","family":"Ortega","given":"Victor E.","non-dropping-particle":"","parse-names":false,"suffix":""},{"dropping-particle":"","family":"Papanicolaou","given":"George","non-dropping-particle":"","parse-names":false,"suffix":""},{"dropping-particle":"","family":"Peters","given":"Stephen","non-dropping-particle":"","parse-names":false,"suffix":""},{"dropping-particle":"","family":"Taylor","given":"Kent D.","non-dropping-particle":"","parse-names":false,"suffix":""},{"dropping-particle":"","family":"Rich","given":"Stephen S.","non-dropping-particle":"","parse-names":false,"suffix":""},{"dropping-particle":"","family":"Rotter","given":"Jerome I.","non-dropping-particle":"","parse-names":false,"suffix":""},{"dropping-particle":"","family":"Auer","given":"Paul","non-dropping-particle":"","parse-names":false,"suffix":""},{"dropping-particle":"","family":"Reiner","given":"Alex P.","non-dropping-particle":"","parse-names":false,"suffix":""},{"dropping-particle":"","family":"Tracy","given":"Russell P.","non-dropping-particle":"","parse-names":false,"suffix":""},{"dropping-particle":"","family":"Ngo","given":"Debby","non-dropping-particle":"","parse-names":false,"suffix":""},{"dropping-particle":"","family":"Gerszten","given":"Robert E.","non-dropping-particle":"","parse-names":false,"suffix":""},{"dropping-particle":"","family":"O'Neal","given":"Wanda K.","non-dropping-particle":"","parse-names":false,"suffix":""},{"dropping-particle":"","family":"Bowler","given":"Russell P.","non-dropping-particle":"","parse-names":false,"suffix":""},{"dropping-particle":"","family":"NHLBI Trans-Omics for Precision Medicine (TOPMed) Consortium","given":"","non-dropping-particle":"","parse-names":false,"suffix":""}],"container-title":"Proteomics","id":"ITEM-2","issue":"12","issued":{"date-parts":[["2020"]]},"page":"e1900278","title":"Comparison of Proteomic Assessment Methods in Multiple Cohort Studies.","type":"article-journal","volume":"20"},"uris":["http://www.mendeley.com/documents/?uuid=71bff136-3ade-4bb1-aea1-cc99efc3af4e"]},{"id":"ITEM-3","itemData":{"DOI":"10.1038/ncomms14357","ISBN":"2041-1723","ISSN":"20411723","PMID":"28240269","abstract":"Genome-wide association studies (GWAS) with intermediate phenotypes, like changes in metabolite and protein levels, provide functional evidence to map disease associations and translate them into clinical applications. However, although hundreds of genetic variants have been associated with complex disorders, the underlying molecular pathways often remain elusive. Associations with intermediate traits are key in establishing functional links between GWAS-identified risk-variants and disease end points. Here we describe a GWAS using a highly multiplexed aptamer-based affinity proteomics platform. We quantify 539 associa-tions between protein levels and gene variants (pQTLs) in a German cohort and replicate over half of them in an Arab and Asian cohort. Fifty-five of the replicated pQTLs are located in trans. Our associations overlap with 57 genetic risk loci for 42 unique disease end points. We integrate this information into a genome-proteome network and provide an interactive web-tool for interrogations. Our results provide a basis for novel approaches to pharma-ceutical and diagnostic applications.","author":[{"dropping-particle":"","family":"Suhre","given":"Karsten","non-dropping-particle":"","parse-names":false,"suffix":""},{"dropping-particle":"","family":"Arnold","given":"Matthias","non-dropping-particle":"","parse-names":false,"suffix":""},{"dropping-particle":"","family":"Bhagwat","given":"Aditya Mukund","non-dropping-particle":"","parse-names":false,"suffix":""},{"dropping-particle":"","family":"Cotton","given":"Richard J.","non-dropping-particle":"","parse-names":false,"suffix":""},{"dropping-particle":"","family":"Engelke","given":"Rudolf","non-dropping-particle":"","parse-names":false,"suffix":""},{"dropping-particle":"","family":"Raffler","given":"Johannes","non-dropping-particle":"","parse-names":false,"suffix":""},{"dropping-particle":"","family":"Sarwath","given":"Hina","non-dropping-particle":"","parse-names":false,"suffix":""},{"dropping-particle":"","family":"Thareja","given":"Gaurav","non-dropping-particle":"","parse-names":false,"suffix":""},{"dropping-particle":"","family":"Wahl","given":"Annika","non-dropping-particle":"","parse-names":false,"suffix":""},{"dropping-particle":"","family":"Delisle","given":"Robert Kirk","non-dropping-particle":"","parse-names":false,"suffix":""},{"dropping-particle":"","family":"Gold","given":"Larry","non-dropping-particle":"","parse-names":false,"suffix":""},{"dropping-particle":"","family":"Pezer","given":"Marija","non-dropping-particle":"","parse-names":false,"suffix":""},{"dropping-particle":"","family":"Lauc","given":"Gordan","non-dropping-particle":"","parse-names":false,"suffix":""},{"dropping-particle":"","family":"Selim","given":"Mohammed A.El Din","non-dropping-particle":"","parse-names":false,"suffix":""},{"dropping-particle":"","family":"Mook-Kanamori","given":"Dennis O.","non-dropping-particle":"","parse-names":false,"suffix":""},{"dropping-particle":"","family":"Al-Dous","given":"Eman K.","non-dropping-particle":"","parse-names":false,"suffix":""},{"dropping-particle":"","family":"Mohamoud","given":"Yasmin A.","non-dropping-particle":"","parse-names":false,"suffix":""},{"dropping-particle":"","family":"Malek","given":"Joel","non-dropping-particle":"","parse-names":false,"suffix":""},{"dropping-particle":"","family":"Strauch","given":"Konstantin","non-dropping-particle":"","parse-names":false,"suffix":""},{"dropping-particle":"","family":"Grallert","given":"Harald","non-dropping-particle":"","parse-names":false,"suffix":""},{"dropping-particle":"","family":"Peters","given":"Annette","non-dropping-particle":"","parse-names":false,"suffix":""},{"dropping-particle":"","family":"Kastenmüller","given":"Gabi","non-dropping-particle":"","parse-names":false,"suffix":""},{"dropping-particle":"","family":"Gieger","given":"Christian","non-dropping-particle":"","parse-names":false,"suffix":""},{"dropping-particle":"","family":"Graumann","given":"Johannes","non-dropping-particle":"","parse-names":false,"suffix":""}],"container-title":"Nature Communications","id":"ITEM-3","issued":{"date-parts":[["2017","2","27"]]},"publisher":"Nature Publishing Group","title":"Connecting genetic risk to disease end points through the human blood plasma proteome","type":"article-journal","volume":"8"},"uris":["http://www.mendeley.com/documents/?uuid=2ea1b189-6046-465d-bc67-815112c70eb1"]}],"mendeley":{"formattedCitation":"&lt;sup&gt;3,5,21&lt;/sup&gt;","plainTextFormattedCitation":"3,5,21","previouslyFormattedCitation":"&lt;sup&gt;3,5,21&lt;/sup&gt;"},"properties":{"noteIndex":0},"schema":"https://github.com/citation-style-language/schema/raw/master/csl-citation.json"}</w:instrText>
      </w:r>
      <w:r w:rsidR="006D049A" w:rsidRPr="00177CF7">
        <w:fldChar w:fldCharType="separate"/>
      </w:r>
      <w:r w:rsidR="00AB37AF" w:rsidRPr="00AB37AF">
        <w:rPr>
          <w:noProof/>
          <w:vertAlign w:val="superscript"/>
        </w:rPr>
        <w:t>3,5,21</w:t>
      </w:r>
      <w:r w:rsidR="006D049A" w:rsidRPr="00177CF7">
        <w:fldChar w:fldCharType="end"/>
      </w:r>
      <w:r w:rsidRPr="00177CF7">
        <w:t xml:space="preserve"> have performed unidirectional validation of </w:t>
      </w:r>
      <w:proofErr w:type="spellStart"/>
      <w:r w:rsidRPr="00177CF7">
        <w:t>pQTLs</w:t>
      </w:r>
      <w:proofErr w:type="spellEnd"/>
      <w:r w:rsidRPr="00177CF7">
        <w:t xml:space="preserve"> for a selected set of protein targets and </w:t>
      </w:r>
      <w:r w:rsidR="00872761" w:rsidRPr="00177CF7">
        <w:t xml:space="preserve">reported </w:t>
      </w:r>
      <w:r w:rsidRPr="00177CF7">
        <w:t>inflated correlation estimates due to missing alignment of effect directions to the protein increasing</w:t>
      </w:r>
      <w:r w:rsidR="00CD4801" w:rsidRPr="00177CF7">
        <w:t xml:space="preserve"> or decreasing</w:t>
      </w:r>
      <w:r w:rsidRPr="00177CF7">
        <w:t xml:space="preserve"> allele</w:t>
      </w:r>
      <w:r w:rsidR="006A21A7" w:rsidRPr="00177CF7">
        <w:t>, th</w:t>
      </w:r>
      <w:r w:rsidR="00B75F31" w:rsidRPr="00177CF7">
        <w:t>ereby</w:t>
      </w:r>
      <w:r w:rsidR="006A21A7" w:rsidRPr="00177CF7">
        <w:t xml:space="preserve"> introducing </w:t>
      </w:r>
      <w:r w:rsidR="00CA193E" w:rsidRPr="00177CF7">
        <w:t>an artificially large reference range</w:t>
      </w:r>
      <w:r w:rsidRPr="00177CF7">
        <w:t xml:space="preserve">. We provide </w:t>
      </w:r>
      <w:r w:rsidR="004E31ED" w:rsidRPr="00177CF7">
        <w:t>a</w:t>
      </w:r>
      <w:r w:rsidRPr="00177CF7">
        <w:t xml:space="preserve"> systematic </w:t>
      </w:r>
      <w:r w:rsidR="004E31ED" w:rsidRPr="00177CF7">
        <w:t xml:space="preserve">and bidirectional </w:t>
      </w:r>
      <w:r w:rsidRPr="00177CF7">
        <w:t xml:space="preserve">characterisation of </w:t>
      </w:r>
      <w:proofErr w:type="spellStart"/>
      <w:r w:rsidR="00173AD2" w:rsidRPr="00177CF7">
        <w:t>pQTLs</w:t>
      </w:r>
      <w:proofErr w:type="spellEnd"/>
      <w:r w:rsidR="00173AD2" w:rsidRPr="00177CF7">
        <w:t xml:space="preserve"> </w:t>
      </w:r>
      <w:r w:rsidRPr="00177CF7">
        <w:t>covering 871 overlapping protein targets</w:t>
      </w:r>
      <w:r w:rsidR="004E31ED" w:rsidRPr="00177CF7">
        <w:t xml:space="preserve"> and </w:t>
      </w:r>
      <w:r w:rsidRPr="00177CF7">
        <w:t xml:space="preserve">show that the majority of </w:t>
      </w:r>
      <w:proofErr w:type="spellStart"/>
      <w:r w:rsidRPr="00177CF7">
        <w:t>pQTLs</w:t>
      </w:r>
      <w:proofErr w:type="spellEnd"/>
      <w:r w:rsidRPr="00177CF7">
        <w:t xml:space="preserve"> are </w:t>
      </w:r>
      <w:r w:rsidR="00215ED7" w:rsidRPr="00177CF7">
        <w:t>shared across platforms</w:t>
      </w:r>
      <w:r w:rsidRPr="00177CF7">
        <w:t xml:space="preserve"> (64%) but with substantially lower correlations than previously reported in </w:t>
      </w:r>
      <w:r w:rsidRPr="00177CF7">
        <w:rPr>
          <w:i/>
          <w:iCs/>
        </w:rPr>
        <w:t>cis</w:t>
      </w:r>
      <w:r w:rsidRPr="00177CF7">
        <w:t xml:space="preserve"> and </w:t>
      </w:r>
      <w:r w:rsidRPr="00177CF7">
        <w:rPr>
          <w:i/>
          <w:iCs/>
        </w:rPr>
        <w:t>trans</w:t>
      </w:r>
      <w:r w:rsidRPr="00177CF7">
        <w:t xml:space="preserve">. We </w:t>
      </w:r>
      <w:r w:rsidR="00CE58D9" w:rsidRPr="00177CF7">
        <w:t>identify</w:t>
      </w:r>
      <w:r w:rsidRPr="00177CF7">
        <w:t xml:space="preserve"> factors associated with platform</w:t>
      </w:r>
      <w:r w:rsidR="00CE58D9" w:rsidRPr="00177CF7">
        <w:t>-</w:t>
      </w:r>
      <w:r w:rsidRPr="00177CF7">
        <w:t xml:space="preserve">specific </w:t>
      </w:r>
      <w:proofErr w:type="spellStart"/>
      <w:r w:rsidRPr="00177CF7">
        <w:t>pQTLs</w:t>
      </w:r>
      <w:proofErr w:type="spellEnd"/>
      <w:r w:rsidRPr="00177CF7">
        <w:t xml:space="preserve"> for both platforms, which can directly help to inform strategies for prioritising </w:t>
      </w:r>
      <w:proofErr w:type="spellStart"/>
      <w:r w:rsidRPr="00177CF7">
        <w:t>pQTLs</w:t>
      </w:r>
      <w:proofErr w:type="spellEnd"/>
      <w:r w:rsidRPr="00177CF7">
        <w:t xml:space="preserve"> in </w:t>
      </w:r>
      <w:r w:rsidR="001F7249" w:rsidRPr="00177CF7">
        <w:t>academic</w:t>
      </w:r>
      <w:r w:rsidRPr="00177CF7">
        <w:t xml:space="preserve"> and pharma</w:t>
      </w:r>
      <w:r w:rsidR="001F7249" w:rsidRPr="00177CF7">
        <w:t>ceutical</w:t>
      </w:r>
      <w:r w:rsidRPr="00177CF7">
        <w:t xml:space="preserve"> efforts that have used either platform at scale</w:t>
      </w:r>
      <w:r w:rsidR="00E11EA7" w:rsidRPr="00177CF7">
        <w:t xml:space="preserve">, </w:t>
      </w:r>
      <w:proofErr w:type="gramStart"/>
      <w:r w:rsidR="00E11EA7" w:rsidRPr="00177CF7">
        <w:t xml:space="preserve">in particular </w:t>
      </w:r>
      <w:r w:rsidR="00201679" w:rsidRPr="00177CF7">
        <w:t>for</w:t>
      </w:r>
      <w:proofErr w:type="gramEnd"/>
      <w:r w:rsidR="00201679" w:rsidRPr="00177CF7">
        <w:t xml:space="preserve"> the thousands of protein targets </w:t>
      </w:r>
      <w:r w:rsidR="00C65797" w:rsidRPr="00177CF7">
        <w:t xml:space="preserve">only assayed by the </w:t>
      </w:r>
      <w:proofErr w:type="spellStart"/>
      <w:r w:rsidR="00C65797" w:rsidRPr="00177CF7">
        <w:t>Somalogic</w:t>
      </w:r>
      <w:proofErr w:type="spellEnd"/>
      <w:r w:rsidR="00C65797" w:rsidRPr="00177CF7">
        <w:t xml:space="preserve"> platform</w:t>
      </w:r>
      <w:r w:rsidR="000A00A6" w:rsidRPr="00177CF7">
        <w:t>.</w:t>
      </w:r>
      <w:r w:rsidR="005D3CF8" w:rsidRPr="00177CF7">
        <w:t xml:space="preserve"> </w:t>
      </w:r>
      <w:r w:rsidR="006D049A" w:rsidRPr="00177CF7">
        <w:t xml:space="preserve">Unlike our previous effort </w:t>
      </w:r>
      <w:r w:rsidR="71499442" w:rsidRPr="00177CF7">
        <w:t>demonstrating t</w:t>
      </w:r>
      <w:r w:rsidR="2FEE7974" w:rsidRPr="00177CF7">
        <w:t xml:space="preserve">he feasibility of meta-analysing </w:t>
      </w:r>
      <w:r w:rsidR="006D049A" w:rsidRPr="00177CF7">
        <w:t xml:space="preserve">genetic </w:t>
      </w:r>
      <w:r w:rsidR="04EB4747" w:rsidRPr="00177CF7">
        <w:t>signals for</w:t>
      </w:r>
      <w:r w:rsidR="006D049A" w:rsidRPr="00177CF7">
        <w:t xml:space="preserve"> metabolites measured by diverse platforms</w:t>
      </w:r>
      <w:r w:rsidR="006D049A" w:rsidRPr="00177CF7">
        <w:fldChar w:fldCharType="begin" w:fldLock="1"/>
      </w:r>
      <w:r w:rsidR="007212AD">
        <w:instrText>ADDIN CSL_CITATION {"citationItems":[{"id":"ITEM-1","itemData":{"DOI":"10.1038/s41588-020-00751-5","ISSN":"1546-1718","PMID":"33414548","abstract":"In cross-platform analyses of 174 metabolites, we identify 499 associations (P &lt; 4.9 × 10-10) characterized by pleiotropy, allelic heterogeneity, large and nonlinear effects and enrichment for nonsynonymous variation. We identify a signal at GLP2R (p.Asp470Asn) shared among higher citrulline levels, body mass index, fasting glucose-dependent insulinotropic peptide and type 2 diabetes, with β-arrestin signaling as the underlying mechanism. Genetically higher serine levels are shown to reduce the likelihood (by 95%) and predict development of macular telangiectasia type 2, a rare degenerative retinal disease. Integration of genomic and small molecule data across platforms enables the discovery of regulators of human metabolism and translation into clinical insights.","author":[{"dropping-particle":"","family":"Lotta","given":"Luca A","non-dropping-particle":"","parse-names":false,"suffix":""},{"dropping-particle":"","family":"Pietzner","given":"Maik","non-dropping-particle":"","parse-names":false,"suffix":""},{"dropping-particle":"","family":"Stewart","given":"Isobel D","non-dropping-particle":"","parse-names":false,"suffix":""},{"dropping-particle":"","family":"Wittemans","given":"Laura B L","non-dropping-particle":"","parse-names":false,"suffix":""},{"dropping-particle":"","family":"Li","given":"Chen","non-dropping-particle":"","parse-names":false,"suffix":""},{"dropping-particle":"","family":"Bonelli","given":"Roberto","non-dropping-particle":"","parse-names":false,"suffix":""},{"dropping-particle":"","family":"Raffler","given":"Johannes","non-dropping-particle":"","parse-names":false,"suffix":""},{"dropping-particle":"","family":"Biggs","given":"Emma K","non-dropping-particle":"","parse-names":false,"suffix":""},{"dropping-particle":"","family":"Oliver-Williams","given":"Clare","non-dropping-particle":"","parse-names":false,"suffix":""},{"dropping-particle":"","family":"Auyeung","given":"Victoria P W","non-dropping-particle":"","parse-names":false,"suffix":""},{"dropping-particle":"","family":"Luan","given":"Jian’an","non-dropping-particle":"","parse-names":false,"suffix":""},{"dropping-particle":"","family":"Wheeler","given":"Eleanor","non-dropping-particle":"","parse-names":false,"suffix":""},{"dropping-particle":"","family":"Paige","given":"Ellie","non-dropping-particle":"","parse-names":false,"suffix":""},{"dropping-particle":"","family":"Surendran","given":"Praveen","non-dropping-particle":"","parse-names":false,"suffix":""},{"dropping-particle":"","family":"Michelotti","given":"Gregory A","non-dropping-particle":"","parse-names":false,"suffix":""},{"dropping-particle":"","family":"Scott","given":"Robert A","non-dropping-particle":"","parse-names":false,"suffix":""},{"dropping-particle":"","family":"Burgess","given":"Stephen","non-dropping-particle":"","parse-names":false,"suffix":""},{"dropping-particle":"","family":"Zuber","given":"Verena","non-dropping-particle":"","parse-names":false,"suffix":""},{"dropping-particle":"","family":"Sanderson","given":"Eleanor","non-dropping-particle":"","parse-names":false,"suffix":""},{"dropping-particle":"","family":"Koulman","given":"Albert","non-dropping-particle":"","parse-names":false,"suffix":""},{"dropping-particle":"","family":"Imamura","given":"Fumiaki","non-dropping-particle":"","parse-names":false,"suffix":""},{"dropping-particle":"","family":"Forouhi","given":"Nita G","non-dropping-particle":"","parse-names":false,"suffix":""},{"dropping-particle":"","family":"Khaw","given":"Kay-Tee","non-dropping-particle":"","parse-names":false,"suffix":""},{"dropping-particle":"","family":"MacTel Consortium","given":"","non-dropping-particle":"","parse-names":false,"suffix":""},{"dropping-particle":"","family":"Griffin","given":"Julian L","non-dropping-particle":"","parse-names":false,"suffix":""},{"dropping-particle":"","family":"Wood","given":"Angela M","non-dropping-particle":"","parse-names":false,"suffix":""},{"dropping-particle":"","family":"Kastenmüller","given":"Gabi","non-dropping-particle":"","parse-names":false,"suffix":""},{"dropping-particle":"","family":"Danesh","given":"John","non-dropping-particle":"","parse-names":false,"suffix":""},{"dropping-particle":"","family":"Butterworth","given":"Adam S.","non-dropping-particle":"","parse-names":false,"suffix":""},{"dropping-particle":"","family":"Gribble","given":"Fiona M.","non-dropping-particle":"","parse-names":false,"suffix":""},{"dropping-particle":"","family":"Reimann","given":"Frank","non-dropping-particle":"","parse-names":false,"suffix":""},{"dropping-particle":"","family":"Bahlo","given":"Melanie","non-dropping-particle":"","parse-names":false,"suffix":""},{"dropping-particle":"","family":"Fauman","given":"Eric","non-dropping-particle":"","parse-names":false,"suffix":""},{"dropping-particle":"","family":"Wareham","given":"Nicholas J.","non-dropping-particle":"","parse-names":false,"suffix":""},{"dropping-particle":"","family":"Langenberg","given":"Claudia","non-dropping-particle":"","parse-names":false,"suffix":""}],"container-title":"Nature genetics","id":"ITEM-1","issue":"1","issued":{"date-parts":[["2021"]]},"page":"54-64","publisher":"Springer US","title":"A cross-platform approach identifies genetic regulators of human metabolism and health.","type":"article-journal","volume":"53"},"uris":["http://www.mendeley.com/documents/?uuid=2f73d5d9-737e-48c8-9ddb-86dd94779b25"]}],"mendeley":{"formattedCitation":"&lt;sup&gt;46&lt;/sup&gt;","plainTextFormattedCitation":"46","previouslyFormattedCitation":"&lt;sup&gt;46&lt;/sup&gt;"},"properties":{"noteIndex":0},"schema":"https://github.com/citation-style-language/schema/raw/master/csl-citation.json"}</w:instrText>
      </w:r>
      <w:r w:rsidR="006D049A" w:rsidRPr="00177CF7">
        <w:fldChar w:fldCharType="separate"/>
      </w:r>
      <w:r w:rsidR="00AB37AF" w:rsidRPr="00AB37AF">
        <w:rPr>
          <w:noProof/>
          <w:vertAlign w:val="superscript"/>
        </w:rPr>
        <w:t>46</w:t>
      </w:r>
      <w:r w:rsidR="006D049A" w:rsidRPr="00177CF7">
        <w:fldChar w:fldCharType="end"/>
      </w:r>
      <w:r w:rsidR="7FE58557" w:rsidRPr="00177CF7">
        <w:t>,</w:t>
      </w:r>
      <w:r w:rsidR="00B14B60" w:rsidRPr="00177CF7">
        <w:t xml:space="preserve"> the proteome </w:t>
      </w:r>
      <w:r w:rsidR="006C5171" w:rsidRPr="00177CF7">
        <w:t>possesses</w:t>
      </w:r>
      <w:r w:rsidR="00B14B60" w:rsidRPr="00177CF7">
        <w:t xml:space="preserve"> distinct challenges and requires tailored st</w:t>
      </w:r>
      <w:r w:rsidR="00DF53F1" w:rsidRPr="00177CF7">
        <w:t xml:space="preserve">rategies </w:t>
      </w:r>
      <w:r w:rsidR="001E39D7" w:rsidRPr="00177CF7">
        <w:t xml:space="preserve">to increase samples size by integrating diverse platforms. Our results provide a benchmark </w:t>
      </w:r>
      <w:r w:rsidR="206B170F" w:rsidRPr="00177CF7">
        <w:t xml:space="preserve">and guidance </w:t>
      </w:r>
      <w:r w:rsidR="00E94BDA" w:rsidRPr="00177CF7">
        <w:t xml:space="preserve">for </w:t>
      </w:r>
      <w:r w:rsidR="1A88B2CD" w:rsidRPr="00177CF7">
        <w:t xml:space="preserve">any </w:t>
      </w:r>
      <w:r w:rsidR="38FF112C" w:rsidRPr="00177CF7">
        <w:t xml:space="preserve">future genetic </w:t>
      </w:r>
      <w:r w:rsidR="00AC68F1" w:rsidRPr="00177CF7">
        <w:t xml:space="preserve">studies </w:t>
      </w:r>
      <w:r w:rsidR="0E655672" w:rsidRPr="00177CF7">
        <w:t xml:space="preserve">aiming to </w:t>
      </w:r>
      <w:r w:rsidR="4497655E" w:rsidRPr="00177CF7">
        <w:t xml:space="preserve">increase samples size </w:t>
      </w:r>
      <w:r w:rsidR="2570A24F" w:rsidRPr="00177CF7">
        <w:t>by integrating proteomic data across</w:t>
      </w:r>
      <w:r w:rsidR="00E94BDA" w:rsidRPr="00177CF7">
        <w:t xml:space="preserve"> different platforms</w:t>
      </w:r>
      <w:r w:rsidR="009B1F0D" w:rsidRPr="00177CF7">
        <w:t>.</w:t>
      </w:r>
    </w:p>
    <w:p w14:paraId="3755ADB1" w14:textId="118F739E" w:rsidR="00B171B9" w:rsidRPr="00177CF7" w:rsidRDefault="007F2CB7" w:rsidP="00D24562">
      <w:pPr>
        <w:spacing w:line="360" w:lineRule="auto"/>
        <w:jc w:val="both"/>
      </w:pPr>
      <w:r w:rsidRPr="00177CF7">
        <w:t>W</w:t>
      </w:r>
      <w:r w:rsidR="00D85098" w:rsidRPr="00177CF7">
        <w:t xml:space="preserve">e identify </w:t>
      </w:r>
      <w:r w:rsidR="000E3318" w:rsidRPr="00177CF7">
        <w:t>several</w:t>
      </w:r>
      <w:r w:rsidR="00077AC2" w:rsidRPr="00177CF7">
        <w:t xml:space="preserve"> characteristics</w:t>
      </w:r>
      <w:r w:rsidR="005D3CF8" w:rsidRPr="00177CF7">
        <w:t xml:space="preserve"> </w:t>
      </w:r>
      <w:r w:rsidR="00077AC2" w:rsidRPr="00177CF7">
        <w:t xml:space="preserve">affecting </w:t>
      </w:r>
      <w:r w:rsidR="006E763F" w:rsidRPr="00177CF7">
        <w:t xml:space="preserve">the correlation between both </w:t>
      </w:r>
      <w:r w:rsidR="005430F2" w:rsidRPr="00177CF7">
        <w:t>assays, including</w:t>
      </w:r>
      <w:r w:rsidR="00555D20" w:rsidRPr="00177CF7">
        <w:t xml:space="preserve"> technical variation, certain protein characteristics, and a strong effect of genetic variants </w:t>
      </w:r>
      <w:r w:rsidR="00FA0511" w:rsidRPr="00177CF7">
        <w:t>(</w:t>
      </w:r>
      <w:r w:rsidR="00FA0511" w:rsidRPr="00177CF7">
        <w:rPr>
          <w:b/>
          <w:bCs/>
        </w:rPr>
        <w:t xml:space="preserve">Fig. </w:t>
      </w:r>
      <w:r w:rsidR="007141BE" w:rsidRPr="00177CF7">
        <w:rPr>
          <w:b/>
          <w:bCs/>
        </w:rPr>
        <w:t>6</w:t>
      </w:r>
      <w:r w:rsidR="00FA0511" w:rsidRPr="00177CF7">
        <w:t>)</w:t>
      </w:r>
      <w:r w:rsidR="00555D20" w:rsidRPr="00177CF7">
        <w:t>.</w:t>
      </w:r>
      <w:r w:rsidR="00310B70" w:rsidRPr="00177CF7">
        <w:t xml:space="preserve"> However, </w:t>
      </w:r>
      <w:r w:rsidR="00C65797" w:rsidRPr="00177CF7">
        <w:t>the lack</w:t>
      </w:r>
      <w:r w:rsidR="00390F50" w:rsidRPr="00177CF7">
        <w:t xml:space="preserve"> of full technical details of the assays that are not in the public domain as they are commercially sensitive</w:t>
      </w:r>
      <w:r w:rsidR="000E3318" w:rsidRPr="00177CF7">
        <w:t xml:space="preserve"> and general methodological differences between the assays did not permit a more rigorous assessment of non-biological factors. This includes the similarity of synthetic peptides used to select bindings reagents or a measure of binding affinity for antibodies, which might likely yield additional insights into possible </w:t>
      </w:r>
      <w:r w:rsidR="001608A3" w:rsidRPr="00177CF7">
        <w:t>differences</w:t>
      </w:r>
      <w:r w:rsidR="000E3318" w:rsidRPr="00177CF7">
        <w:t>. Incorporation of complementary techniques such as mass spectrometry may help to resolve some of these issues</w:t>
      </w:r>
      <w:r w:rsidR="000E3318" w:rsidRPr="00177CF7">
        <w:fldChar w:fldCharType="begin" w:fldLock="1"/>
      </w:r>
      <w:r w:rsidR="007212AD">
        <w:instrText>ADDIN CSL_CITATION {"citationItems":[{"id":"ITEM-1","itemData":{"DOI":"10.1021/acs.jproteome.0c00641","ISSN":"15353907","PMID":"33253581","abstract":"The plasma proteome is the ultimate target for biomarker discovery. It stores an endless amount of information on the pathophysiological status of a living organism, which is, however, still difficult to comprehensively access. The high complexity of the plasma proteome can be addressed by either a system-wide and unbiased tool such as mass spectrometry (LC-MS/MS) or a highly sensitive targeted immunoassay such as the proximity extension assay (PEA). To address relevant differences and important shared characteristics, we tested the performance of LC-MS/MS in the data-dependent and data-independent acquisition modes and Olink PEA to measure circulating plasma proteins in 173 human plasma samples from a Southern German population-based cohort. We demonstrated the measurement of more than 300 proteins with both LC-MS/MS approaches applied, mainly including high-abundance plasma proteins. By the use of the PEA technology, we measured 728 plasma proteins, covering a broad dynamic range with high sensitivity down to pg/mL concentrations. Then, we quantified 35 overlapping proteins with all three analytical platforms, verifying the reproducibility of data distributions, measurement correlation, and gender-based differential expression. Our work highlights the limitations and the advantages of both targeted and untargeted approaches and proves their complementary strengths. We demonstrated a significant gain in proteome coverage depth and subsequent biological insight by a combination of platforms - a promising approach for future biomarker and mechanistic studies.","author":[{"dropping-particle":"","family":"Petrera","given":"Agnese","non-dropping-particle":"","parse-names":false,"suffix":""},{"dropping-particle":"","family":"Toerne","given":"Christine","non-dropping-particle":"Von","parse-names":false,"suffix":""},{"dropping-particle":"","family":"Behler","given":"Jennifer","non-dropping-particle":"","parse-names":false,"suffix":""},{"dropping-particle":"","family":"Huth","given":"Cornelia","non-dropping-particle":"","parse-names":false,"suffix":""},{"dropping-particle":"","family":"Thorand","given":"Barbara","non-dropping-particle":"","parse-names":false,"suffix":""},{"dropping-particle":"","family":"Hilgendorff","given":"Anne","non-dropping-particle":"","parse-names":false,"suffix":""},{"dropping-particle":"","family":"Hauck","given":"Stefanie M.","non-dropping-particle":"","parse-names":false,"suffix":""}],"container-title":"Journal of Proteome Research","id":"ITEM-1","issued":{"date-parts":[["2020"]]},"title":"Multiplatform Approach for Plasma Proteomics: Complementarity of Olink Proximity Extension Assay Technology to Mass Spectrometry-Based Protein Profiling","type":"article-journal"},"uris":["http://www.mendeley.com/documents/?uuid=39135298-c0a8-4ab5-b51b-7ad2467aaf61"]}],"mendeley":{"formattedCitation":"&lt;sup&gt;47&lt;/sup&gt;","plainTextFormattedCitation":"47","previouslyFormattedCitation":"&lt;sup&gt;47&lt;/sup&gt;"},"properties":{"noteIndex":0},"schema":"https://github.com/citation-style-language/schema/raw/master/csl-citation.json"}</w:instrText>
      </w:r>
      <w:r w:rsidR="000E3318" w:rsidRPr="00177CF7">
        <w:fldChar w:fldCharType="separate"/>
      </w:r>
      <w:r w:rsidR="00AB37AF" w:rsidRPr="00AB37AF">
        <w:rPr>
          <w:noProof/>
          <w:vertAlign w:val="superscript"/>
        </w:rPr>
        <w:t>47</w:t>
      </w:r>
      <w:r w:rsidR="000E3318" w:rsidRPr="00177CF7">
        <w:fldChar w:fldCharType="end"/>
      </w:r>
      <w:r w:rsidR="000E3318" w:rsidRPr="00177CF7">
        <w:t xml:space="preserve">, for example by linking a </w:t>
      </w:r>
      <w:proofErr w:type="spellStart"/>
      <w:r w:rsidR="000E3318" w:rsidRPr="00177CF7">
        <w:t>pQTL</w:t>
      </w:r>
      <w:proofErr w:type="spellEnd"/>
      <w:r w:rsidR="000E3318" w:rsidRPr="00177CF7">
        <w:t xml:space="preserve"> to an actually measured peptide sequence, which w</w:t>
      </w:r>
      <w:r w:rsidR="0085275D" w:rsidRPr="00177CF7">
        <w:t>ould</w:t>
      </w:r>
      <w:r w:rsidR="000E3318" w:rsidRPr="00177CF7">
        <w:t xml:space="preserve"> provide important </w:t>
      </w:r>
      <w:r w:rsidR="0085275D" w:rsidRPr="00177CF7">
        <w:t xml:space="preserve">scientific </w:t>
      </w:r>
      <w:r w:rsidR="000E3318" w:rsidRPr="00177CF7">
        <w:t xml:space="preserve">opportunities </w:t>
      </w:r>
      <w:r w:rsidR="00463097" w:rsidRPr="00177CF7">
        <w:t>if the approach can be applied at scale</w:t>
      </w:r>
      <w:r w:rsidR="000E3318" w:rsidRPr="00177CF7">
        <w:t>. In addition, structural characterization of proteins bound to affinity reagents using mass spectrometry has the potential to identify the concrete prote</w:t>
      </w:r>
      <w:r w:rsidR="004A4DEF" w:rsidRPr="00177CF7">
        <w:t>in species</w:t>
      </w:r>
      <w:r w:rsidR="000E3318" w:rsidRPr="00177CF7">
        <w:t xml:space="preserve"> bound to the affinity </w:t>
      </w:r>
      <w:r w:rsidR="004A4DEF" w:rsidRPr="00177CF7">
        <w:t>re</w:t>
      </w:r>
      <w:r w:rsidR="000E3318" w:rsidRPr="00177CF7">
        <w:t>agent</w:t>
      </w:r>
      <w:r w:rsidR="000E3318" w:rsidRPr="00177CF7">
        <w:fldChar w:fldCharType="begin" w:fldLock="1"/>
      </w:r>
      <w:r w:rsidR="007212AD">
        <w:instrText>ADDIN CSL_CITATION {"citationItems":[{"id":"ITEM-1","itemData":{"DOI":"10.1126/science.aaq1327","ISBN":"4159801714","ISSN":"1095-9203","PMID":"30072576","abstract":"Proteins circulating in the blood are critical for age-related disease processes; however, the serum proteome has remained largely unexplored. To this end, 4137 proteins covering most predicted extracellular proteins were measured in the serum of 5457 Icelanders over 65 years of age. Pairwise correlation between proteins as they varied across individuals revealed 27 different network modules of serum proteins, many of which were associated with cardiovascular and metabolic disease states, as well as overall survival. The protein modules were controlled by cis- and trans-acting genetic variants, which in many cases were also associated with complex disease. This revealed co-regulated groups of circulating proteins that incorporated regulatory control between tissues and demonstrated close relationships to past, current, and future disease states.","author":[{"dropping-particle":"","family":"Emilsson","given":"Valur","non-dropping-particle":"","parse-names":false,"suffix":""},{"dropping-particle":"","family":"Ilkov","given":"Marjan","non-dropping-particle":"","parse-names":false,"suffix":""},{"dropping-particle":"","family":"Lamb","given":"John R.","non-dropping-particle":"","parse-names":false,"suffix":""},{"dropping-particle":"","family":"Finkel","given":"Nancy","non-dropping-particle":"","parse-names":false,"suffix":""},{"dropping-particle":"","family":"Gudmundsson","given":"Elias F.","non-dropping-particle":"","parse-names":false,"suffix":""},{"dropping-particle":"","family":"Pitts","given":"Rebecca","non-dropping-particle":"","parse-names":false,"suffix":""},{"dropping-particle":"","family":"Hoover","given":"Heather","non-dropping-particle":"","parse-names":false,"suffix":""},{"dropping-particle":"","family":"Gudmundsdottir","given":"Valborg","non-dropping-particle":"","parse-names":false,"suffix":""},{"dropping-particle":"","family":"Horman","given":"Shane R.","non-dropping-particle":"","parse-names":false,"suffix":""},{"dropping-particle":"","family":"Aspelund","given":"Thor","non-dropping-particle":"","parse-names":false,"suffix":""},{"dropping-particle":"","family":"Shu","given":"Le","non-dropping-particle":"","parse-names":false,"suffix":""},{"dropping-particle":"","family":"Trifonov","given":"Vladimir","non-dropping-particle":"","parse-names":false,"suffix":""},{"dropping-particle":"","family":"Sigurdsson","given":"Sigurdur","non-dropping-particle":"","parse-names":false,"suffix":""},{"dropping-particle":"","family":"Manolescu","given":"Andrei","non-dropping-particle":"","parse-names":false,"suffix":""},{"dropping-particle":"","family":"Zhu","given":"Jun","non-dropping-particle":"","parse-names":false,"suffix":""},{"dropping-particle":"","family":"Olafsson","given":"Örn","non-dropping-particle":"","parse-names":false,"suffix":""},{"dropping-particle":"","family":"Jakobsdottir","given":"Johanna","non-dropping-particle":"","parse-names":false,"suffix":""},{"dropping-particle":"","family":"Lesley","given":"Scott A.","non-dropping-particle":"","parse-names":false,"suffix":""},{"dropping-particle":"","family":"To","given":"Jeremy","non-dropping-particle":"","parse-names":false,"suffix":""},{"dropping-particle":"","family":"Zhang","given":"Jia","non-dropping-particle":"","parse-names":false,"suffix":""},{"dropping-particle":"","family":"Harris","given":"Tamara B.","non-dropping-particle":"","parse-names":false,"suffix":""},{"dropping-particle":"","family":"Launer","given":"Lenore J.","non-dropping-particle":"","parse-names":false,"suffix":""},{"dropping-particle":"","family":"Zhang","given":"Bin","non-dropping-particle":"","parse-names":false,"suffix":""},{"dropping-particle":"","family":"Eiriksdottir","given":"Gudny","non-dropping-particle":"","parse-names":false,"suffix":""},{"dropping-particle":"","family":"Yang","given":"Xia","non-dropping-particle":"","parse-names":false,"suffix":""},{"dropping-particle":"","family":"Orth","given":"Anthony P.","non-dropping-particle":"","parse-names":false,"suffix":""},{"dropping-particle":"","family":"Jennings","given":"Lori L.","non-dropping-particle":"","parse-names":false,"suffix":""},{"dropping-particle":"","family":"Gudnason","given":"Vilmundur","non-dropping-particle":"","parse-names":false,"suffix":""}],"container-title":"Science (New York, N.Y.)","id":"ITEM-1","issue":"6404","issued":{"date-parts":[["2018"]]},"page":"769-773","title":"Co-regulatory networks of human serum proteins link genetics to disease.","type":"article-journal","volume":"361"},"uris":["http://www.mendeley.com/documents/?uuid=0086a112-c106-45e4-805f-233603120da3"]},{"id":"ITEM-2","itemData":{"DOI":"10.1002/pmic.201900278","ISSN":"1615-9861","PMID":"32386347","abstract":"Novel proteomics platforms, such as the aptamer-based SOMAscan platform, can quantify large numbers of proteins efficiently and cost-effectively and are rapidly growing in popularity. However, comparisons to conventional immunoassays remain underexplored, leaving investigators unsure when cross-assay comparisons are appropriate. The correlation of results from immunoassays with relative protein quantification is explored by SOMAscan. For 63 proteins assessed in two chronic obstructive pulmonary disease (COPD) cohorts, subpopulations and intermediate outcome measures in COPD Study (SPIROMICS), and COPDGene, using myriad rules based medicine multiplex immunoassays and SOMAscan, Spearman correlation coefficients range from -0.13 to 0.97, with a median correlation coefficient of ≈0.5 and consistent results across cohorts. A similar range is observed for immunoassays in the population-based Multi-Ethnic Study of Atherosclerosis and for other assays in COPDGene and SPIROMICS. Comparisons of relative quantification from the antibody-based Olink platform and SOMAscan in a small cohort of myocardial infarction patients also show a wide correlation range. Finally, cis pQTL data, mass spectrometry aptamer confirmation, and other publicly available data are integrated to assess relationships with observed correlations. Correlation between proteomics assays shows a wide range and should be carefully considered when comparing and meta-analyzing proteomics data across assays and studies.","author":[{"dropping-particle":"","family":"Raffield","given":"Laura M.","non-dropping-particle":"","parse-names":false,"suffix":""},{"dropping-particle":"","family":"Dang","given":"Hong","non-dropping-particle":"","parse-names":false,"suffix":""},{"dropping-particle":"","family":"Pratte","given":"Katherine A.","non-dropping-particle":"","parse-names":false,"suffix":""},{"dropping-particle":"","family":"Jacobson","given":"Sean","non-dropping-particle":"","parse-names":false,"suffix":""},{"dropping-particle":"","family":"Gillenwater","given":"Lucas A.","non-dropping-particle":"","parse-names":false,"suffix":""},{"dropping-particle":"","family":"Ampleford","given":"Elizabeth","non-dropping-particle":"","parse-names":false,"suffix":""},{"dropping-particle":"","family":"Barjaktarevic","given":"Igor","non-dropping-particle":"","parse-names":false,"suffix":""},{"dropping-particle":"","family":"Basta","given":"Patricia","non-dropping-particle":"","parse-names":false,"suffix":""},{"dropping-particle":"","family":"Clish","given":"Clary B.","non-dropping-particle":"","parse-names":false,"suffix":""},{"dropping-particle":"","family":"Comellas","given":"Alejandro P.","non-dropping-particle":"","parse-names":false,"suffix":""},{"dropping-particle":"","family":"Cornell","given":"Elaine","non-dropping-particle":"","parse-names":false,"suffix":""},{"dropping-particle":"","family":"Curtis","given":"Jeffrey L.","non-dropping-particle":"","parse-names":false,"suffix":""},{"dropping-particle":"","family":"Doerschuk","given":"Claire","non-dropping-particle":"","parse-names":false,"suffix":""},{"dropping-particle":"","family":"Durda","given":"Peter","non-dropping-particle":"","parse-names":false,"suffix":""},{"dropping-particle":"","family":"Emson","given":"Claire","non-dropping-particle":"","parse-names":false,"suffix":""},{"dropping-particle":"","family":"Freeman","given":"Christine M.","non-dropping-particle":"","parse-names":false,"suffix":""},{"dropping-particle":"","family":"Guo","given":"Xiuqing","non-dropping-particle":"","parse-names":false,"suffix":""},{"dropping-particle":"","family":"Hastie","given":"Annette T.","non-dropping-particle":"","parse-names":false,"suffix":""},{"dropping-particle":"","family":"Hawkins","given":"Gregory A.","non-dropping-particle":"","parse-names":false,"suffix":""},{"dropping-particle":"","family":"Herrera","given":"Julio","non-dropping-particle":"","parse-names":false,"suffix":""},{"dropping-particle":"","family":"Johnson","given":"W. Craig","non-dropping-particle":"","parse-names":false,"suffix":""},{"dropping-particle":"","family":"Labaki","given":"Wassim W.","non-dropping-particle":"","parse-names":false,"suffix":""},{"dropping-particle":"","family":"Liu","given":"Yongmei","non-dropping-particle":"","parse-names":false,"suffix":""},{"dropping-particle":"","family":"Masters","given":"Brett","non-dropping-particle":"","parse-names":false,"suffix":""},{"dropping-particle":"","family":"Miller","given":"Michael","non-dropping-particle":"","parse-names":false,"suffix":""},{"dropping-particle":"","family":"Ortega","given":"Victor E.","non-dropping-particle":"","parse-names":false,"suffix":""},{"dropping-particle":"","family":"Papanicolaou","given":"George","non-dropping-particle":"","parse-names":false,"suffix":""},{"dropping-particle":"","family":"Peters","given":"Stephen","non-dropping-particle":"","parse-names":false,"suffix":""},{"dropping-particle":"","family":"Taylor","given":"Kent D.","non-dropping-particle":"","parse-names":false,"suffix":""},{"dropping-particle":"","family":"Rich","given":"Stephen S.","non-dropping-particle":"","parse-names":false,"suffix":""},{"dropping-particle":"","family":"Rotter","given":"Jerome I.","non-dropping-particle":"","parse-names":false,"suffix":""},{"dropping-particle":"","family":"Auer","given":"Paul","non-dropping-particle":"","parse-names":false,"suffix":""},{"dropping-particle":"","family":"Reiner","given":"Alex P.","non-dropping-particle":"","parse-names":false,"suffix":""},{"dropping-particle":"","family":"Tracy","given":"Russell P.","non-dropping-particle":"","parse-names":false,"suffix":""},{"dropping-particle":"","family":"Ngo","given":"Debby","non-dropping-particle":"","parse-names":false,"suffix":""},{"dropping-particle":"","family":"Gerszten","given":"Robert E.","non-dropping-particle":"","parse-names":false,"suffix":""},{"dropping-particle":"","family":"O'Neal","given":"Wanda K.","non-dropping-particle":"","parse-names":false,"suffix":""},{"dropping-particle":"","family":"Bowler","given":"Russell P.","non-dropping-particle":"","parse-names":false,"suffix":""},{"dropping-particle":"","family":"NHLBI Trans-Omics for Precision Medicine (TOPMed) Consortium","given":"","non-dropping-particle":"","parse-names":false,"suffix":""}],"container-title":"Proteomics","id":"ITEM-2","issue":"12","issued":{"date-parts":[["2020"]]},"page":"e1900278","title":"Comparison of Proteomic Assessment Methods in Multiple Cohort Studies.","type":"article-journal","volume":"20"},"uris":["http://www.mendeley.com/documents/?uuid=71bff136-3ade-4bb1-aea1-cc99efc3af4e"]}],"mendeley":{"formattedCitation":"&lt;sup&gt;4,21&lt;/sup&gt;","plainTextFormattedCitation":"4,21","previouslyFormattedCitation":"&lt;sup&gt;4,21&lt;/sup&gt;"},"properties":{"noteIndex":0},"schema":"https://github.com/citation-style-language/schema/raw/master/csl-citation.json"}</w:instrText>
      </w:r>
      <w:r w:rsidR="000E3318" w:rsidRPr="00177CF7">
        <w:fldChar w:fldCharType="separate"/>
      </w:r>
      <w:r w:rsidR="00AB37AF" w:rsidRPr="00AB37AF">
        <w:rPr>
          <w:noProof/>
          <w:vertAlign w:val="superscript"/>
        </w:rPr>
        <w:t>4,21</w:t>
      </w:r>
      <w:r w:rsidR="000E3318" w:rsidRPr="00177CF7">
        <w:fldChar w:fldCharType="end"/>
      </w:r>
      <w:r w:rsidR="000E3318" w:rsidRPr="00177CF7">
        <w:t xml:space="preserve">. </w:t>
      </w:r>
      <w:r w:rsidR="007108BA" w:rsidRPr="00177CF7">
        <w:t xml:space="preserve">While we identify factors </w:t>
      </w:r>
      <w:r w:rsidR="00AC5158" w:rsidRPr="00177CF7">
        <w:t xml:space="preserve">that increase the likelihood of cross-platform </w:t>
      </w:r>
      <w:proofErr w:type="spellStart"/>
      <w:r w:rsidR="00AC5158" w:rsidRPr="00177CF7">
        <w:t>pQTLs</w:t>
      </w:r>
      <w:proofErr w:type="spellEnd"/>
      <w:r w:rsidR="00AC5158" w:rsidRPr="00177CF7">
        <w:t xml:space="preserve">, larger studies are needed to test for </w:t>
      </w:r>
      <w:r w:rsidR="00245950" w:rsidRPr="00177CF7">
        <w:t>factors differentially associated with replication of</w:t>
      </w:r>
      <w:r w:rsidR="00AC5158" w:rsidRPr="00177CF7">
        <w:t xml:space="preserve"> </w:t>
      </w:r>
      <w:r w:rsidR="00245950" w:rsidRPr="00177CF7">
        <w:rPr>
          <w:i/>
          <w:iCs/>
        </w:rPr>
        <w:t>cis</w:t>
      </w:r>
      <w:r w:rsidR="00245950" w:rsidRPr="00177CF7">
        <w:t xml:space="preserve">- and </w:t>
      </w:r>
      <w:r w:rsidR="00245950" w:rsidRPr="00177CF7">
        <w:rPr>
          <w:i/>
          <w:iCs/>
        </w:rPr>
        <w:t>trans</w:t>
      </w:r>
      <w:r w:rsidR="00245950" w:rsidRPr="00177CF7">
        <w:t>-</w:t>
      </w:r>
      <w:proofErr w:type="spellStart"/>
      <w:r w:rsidR="00245950" w:rsidRPr="00177CF7">
        <w:t>pQTLs</w:t>
      </w:r>
      <w:proofErr w:type="spellEnd"/>
      <w:r w:rsidR="00245950" w:rsidRPr="00177CF7">
        <w:t>.</w:t>
      </w:r>
    </w:p>
    <w:p w14:paraId="614F05DA" w14:textId="3AD07E34" w:rsidR="004E31ED" w:rsidRDefault="004E31ED" w:rsidP="00D24562">
      <w:pPr>
        <w:spacing w:line="360" w:lineRule="auto"/>
        <w:jc w:val="both"/>
        <w:rPr>
          <w:bCs/>
        </w:rPr>
      </w:pPr>
      <w:r w:rsidRPr="00177CF7">
        <w:rPr>
          <w:bCs/>
        </w:rPr>
        <w:t xml:space="preserve">By integrating strong evidence for gene-protein-outcome pairs across two complementary proteomic techniques we were able to identify hundreds of examples (&gt;30% of all), which would have otherwise been missed using only one technique. While both techniques have their merits, mutual application </w:t>
      </w:r>
      <w:r w:rsidRPr="00177CF7">
        <w:rPr>
          <w:bCs/>
        </w:rPr>
        <w:lastRenderedPageBreak/>
        <w:t xml:space="preserve">in clinical and population-based studies, possibly </w:t>
      </w:r>
      <w:r w:rsidR="005C3E1D" w:rsidRPr="00177CF7">
        <w:rPr>
          <w:bCs/>
        </w:rPr>
        <w:t xml:space="preserve">further </w:t>
      </w:r>
      <w:r w:rsidRPr="00177CF7">
        <w:rPr>
          <w:bCs/>
        </w:rPr>
        <w:t xml:space="preserve">complemented with mass spectrometry, is unfeasible but using genetics as a common anchor across studies along with well-powered GWAS for phenotypes enables novel discoveries for individual diseases and among diseases as exemplified in the protein-phenotype network.     </w:t>
      </w:r>
    </w:p>
    <w:p w14:paraId="528E722D" w14:textId="0AAFD54A" w:rsidR="00894C71" w:rsidRDefault="00476BE7" w:rsidP="00D24562">
      <w:pPr>
        <w:spacing w:line="360" w:lineRule="auto"/>
        <w:jc w:val="both"/>
        <w:rPr>
          <w:bCs/>
        </w:rPr>
      </w:pPr>
      <w:r>
        <w:rPr>
          <w:noProof/>
        </w:rPr>
        <w:drawing>
          <wp:inline distT="0" distB="0" distL="0" distR="0" wp14:anchorId="3D1E8567" wp14:editId="6933C601">
            <wp:extent cx="5731510" cy="2867025"/>
            <wp:effectExtent l="0" t="0" r="2540" b="9525"/>
            <wp:docPr id="6" name="Picture 6"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Diagram&#10;&#10;Description automatically generated"/>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31510" cy="2867025"/>
                    </a:xfrm>
                    <a:prstGeom prst="rect">
                      <a:avLst/>
                    </a:prstGeom>
                    <a:noFill/>
                    <a:ln>
                      <a:noFill/>
                    </a:ln>
                  </pic:spPr>
                </pic:pic>
              </a:graphicData>
            </a:graphic>
          </wp:inline>
        </w:drawing>
      </w:r>
    </w:p>
    <w:p w14:paraId="2AE99469" w14:textId="52E4B88A" w:rsidR="00476BE7" w:rsidRPr="00141356" w:rsidRDefault="00141356" w:rsidP="00141356">
      <w:pPr>
        <w:spacing w:line="240" w:lineRule="auto"/>
        <w:jc w:val="both"/>
        <w:rPr>
          <w:bCs/>
          <w:sz w:val="20"/>
          <w:szCs w:val="20"/>
        </w:rPr>
      </w:pPr>
      <w:r w:rsidRPr="00141356">
        <w:rPr>
          <w:b/>
          <w:bCs/>
          <w:sz w:val="20"/>
          <w:szCs w:val="20"/>
        </w:rPr>
        <w:t>Figure 6 Sources of variation.</w:t>
      </w:r>
      <w:r w:rsidRPr="00141356">
        <w:rPr>
          <w:bCs/>
          <w:sz w:val="20"/>
          <w:szCs w:val="20"/>
        </w:rPr>
        <w:t xml:space="preserve"> Graphical summary of factors contributing to variation in the affinity-based discovery of the plasma proteome. PAV = protein altering variant; SNV = single nucleotide variant. This figure has been created with BioRender.com.</w:t>
      </w:r>
    </w:p>
    <w:p w14:paraId="00000031" w14:textId="1E6A3776" w:rsidR="00766C45" w:rsidRPr="00177CF7" w:rsidRDefault="00555D20">
      <w:pPr>
        <w:spacing w:line="360" w:lineRule="auto"/>
        <w:jc w:val="both"/>
        <w:rPr>
          <w:b/>
        </w:rPr>
      </w:pPr>
      <w:r w:rsidRPr="00177CF7">
        <w:rPr>
          <w:b/>
        </w:rPr>
        <w:t>METHODS</w:t>
      </w:r>
    </w:p>
    <w:p w14:paraId="00000032" w14:textId="77777777" w:rsidR="00766C45" w:rsidRPr="00177CF7" w:rsidRDefault="00555D20">
      <w:pPr>
        <w:spacing w:line="360" w:lineRule="auto"/>
        <w:jc w:val="both"/>
        <w:rPr>
          <w:i/>
        </w:rPr>
      </w:pPr>
      <w:r w:rsidRPr="00177CF7">
        <w:rPr>
          <w:i/>
        </w:rPr>
        <w:t>MRC Fenland cohort</w:t>
      </w:r>
    </w:p>
    <w:p w14:paraId="00000033" w14:textId="5DE08BCE" w:rsidR="00766C45" w:rsidRPr="00177CF7" w:rsidRDefault="00555D20">
      <w:pPr>
        <w:spacing w:line="360" w:lineRule="auto"/>
        <w:jc w:val="both"/>
      </w:pPr>
      <w:r w:rsidRPr="00177CF7">
        <w:t>The Fenland study is a population-based cohort</w:t>
      </w:r>
      <w:r w:rsidR="006C6108" w:rsidRPr="00177CF7">
        <w:t xml:space="preserve"> study</w:t>
      </w:r>
      <w:r w:rsidRPr="00177CF7">
        <w:t xml:space="preserve"> of 12,435 participants</w:t>
      </w:r>
      <w:r w:rsidR="00186D87" w:rsidRPr="00177CF7">
        <w:t>,</w:t>
      </w:r>
      <w:r w:rsidR="006C6108" w:rsidRPr="00177CF7">
        <w:t xml:space="preserve"> </w:t>
      </w:r>
      <w:r w:rsidR="004B4F97" w:rsidRPr="00177CF7">
        <w:t xml:space="preserve">predominantly of White British ancestry </w:t>
      </w:r>
      <w:r w:rsidR="006C6108" w:rsidRPr="00177CF7">
        <w:t>born between 1950 and 1975</w:t>
      </w:r>
      <w:r w:rsidR="004B4F97" w:rsidRPr="00177CF7">
        <w:t>. Participants were recruited from general practice surgeries in the Cambridgeshire region of the UK and</w:t>
      </w:r>
      <w:r w:rsidR="006C6108" w:rsidRPr="00177CF7">
        <w:t xml:space="preserve"> </w:t>
      </w:r>
      <w:r w:rsidRPr="00177CF7">
        <w:t xml:space="preserve">underwent detailed phenotyping at </w:t>
      </w:r>
      <w:r w:rsidR="00BA3E31" w:rsidRPr="00177CF7">
        <w:t xml:space="preserve">a </w:t>
      </w:r>
      <w:r w:rsidRPr="00177CF7">
        <w:t xml:space="preserve">baseline visit </w:t>
      </w:r>
      <w:r w:rsidR="00AC2ED3" w:rsidRPr="00177CF7">
        <w:t xml:space="preserve">between </w:t>
      </w:r>
      <w:r w:rsidRPr="00177CF7">
        <w:t>2005</w:t>
      </w:r>
      <w:r w:rsidR="00AC2ED3" w:rsidRPr="00177CF7">
        <w:t xml:space="preserve"> and </w:t>
      </w:r>
      <w:r w:rsidRPr="00177CF7">
        <w:t>2015</w:t>
      </w:r>
      <w:r w:rsidR="002D381D" w:rsidRPr="00177CF7">
        <w:t xml:space="preserve"> (</w:t>
      </w:r>
      <w:r w:rsidR="002D381D" w:rsidRPr="00177CF7">
        <w:rPr>
          <w:b/>
          <w:bCs/>
        </w:rPr>
        <w:t xml:space="preserve">Supplementary </w:t>
      </w:r>
      <w:r w:rsidR="00FA2264">
        <w:rPr>
          <w:b/>
          <w:bCs/>
        </w:rPr>
        <w:t>Data</w:t>
      </w:r>
      <w:r w:rsidR="002D381D" w:rsidRPr="00177CF7">
        <w:rPr>
          <w:b/>
          <w:bCs/>
        </w:rPr>
        <w:t xml:space="preserve"> 1</w:t>
      </w:r>
      <w:r w:rsidR="002D381D" w:rsidRPr="00177CF7">
        <w:t>)</w:t>
      </w:r>
      <w:r w:rsidRPr="00177CF7">
        <w:t>. Exclusion criteria were clinically diagnosed diabetes mellitus, inability to walk unaided, terminal illness</w:t>
      </w:r>
      <w:r w:rsidR="004B4F97" w:rsidRPr="00177CF7">
        <w:t xml:space="preserve"> (life expectancy of </w:t>
      </w:r>
      <w:r w:rsidR="004B4F97" w:rsidRPr="00177CF7">
        <w:rPr>
          <w:rFonts w:ascii="Cambria Math" w:hAnsi="Cambria Math" w:cs="Cambria Math"/>
        </w:rPr>
        <w:t>⩽</w:t>
      </w:r>
      <w:r w:rsidR="004B4F97" w:rsidRPr="00177CF7">
        <w:t>1 year at the time of recruitment)</w:t>
      </w:r>
      <w:r w:rsidRPr="00177CF7">
        <w:t>, clinically diagnosed psychotic disorder, pregnancy</w:t>
      </w:r>
      <w:r w:rsidR="00AB1AD0" w:rsidRPr="00177CF7">
        <w:t>,</w:t>
      </w:r>
      <w:r w:rsidRPr="00177CF7">
        <w:t xml:space="preserve"> or lactation. The study was approved by the Cambridge Local Research Ethics Committee (NRES Committee – East of England Cambridge Central, ref. 04/Q0108/19) and all participants provided written informed consent. </w:t>
      </w:r>
      <w:r w:rsidR="00450697" w:rsidRPr="00450697">
        <w:t xml:space="preserve">The consent covered measurements made from blood samples as well as extends beyond the baseline examination. </w:t>
      </w:r>
      <w:r w:rsidR="00A907AE" w:rsidRPr="00177CF7">
        <w:t>As previously described</w:t>
      </w:r>
      <w:r w:rsidR="00A907AE" w:rsidRPr="00177CF7">
        <w:fldChar w:fldCharType="begin" w:fldLock="1"/>
      </w:r>
      <w:r w:rsidR="007212AD">
        <w:instrText>ADDIN CSL_CITATION {"citationItems":[{"id":"ITEM-1","itemData":{"DOI":"10.1186/s12966-019-0882-6","ISSN":"1479-5868","author":[{"dropping-particle":"","family":"Lindsay","given":"Tim","non-dropping-particle":"","parse-names":false,"suffix":""},{"dropping-particle":"","family":"Westgate","given":"Kate","non-dropping-particle":"","parse-names":false,"suffix":""},{"dropping-particle":"","family":"Wijndaele","given":"Katrien","non-dropping-particle":"","parse-names":false,"suffix":""},{"dropping-particle":"","family":"Hollidge","given":"Stefanie","non-dropping-particle":"","parse-names":false,"suffix":""},{"dropping-particle":"","family":"Kerrison","given":"Nicola","non-dropping-particle":"","parse-names":false,"suffix":""},{"dropping-particle":"","family":"Forouhi","given":"Nita","non-dropping-particle":"","parse-names":false,"suffix":""},{"dropping-particle":"","family":"Griffin","given":"Simon","non-dropping-particle":"","parse-names":false,"suffix":""},{"dropping-particle":"","family":"Wareham","given":"Nick","non-dropping-particle":"","parse-names":false,"suffix":""},{"dropping-particle":"","family":"Brage","given":"Søren","non-dropping-particle":"","parse-names":false,"suffix":""}],"container-title":"International Journal of Behavioral Nutrition and Physical Activity","id":"ITEM-1","issue":"1","issued":{"date-parts":[["2019","12","9"]]},"page":"126","title":"Descriptive epidemiology of physical activity energy expenditure in UK adults (The Fenland study)","type":"article-journal","volume":"16"},"uris":["http://www.mendeley.com/documents/?uuid=aa70c522-2fde-3523-97de-84a95fd43284"]}],"mendeley":{"formattedCitation":"&lt;sup&gt;18&lt;/sup&gt;","plainTextFormattedCitation":"18","previouslyFormattedCitation":"&lt;sup&gt;18&lt;/sup&gt;"},"properties":{"noteIndex":0},"schema":"https://github.com/citation-style-language/schema/raw/master/csl-citation.json"}</w:instrText>
      </w:r>
      <w:r w:rsidR="00A907AE" w:rsidRPr="00177CF7">
        <w:fldChar w:fldCharType="separate"/>
      </w:r>
      <w:r w:rsidR="00AB37AF" w:rsidRPr="00AB37AF">
        <w:rPr>
          <w:noProof/>
          <w:vertAlign w:val="superscript"/>
        </w:rPr>
        <w:t>18</w:t>
      </w:r>
      <w:r w:rsidR="00A907AE" w:rsidRPr="00177CF7">
        <w:fldChar w:fldCharType="end"/>
      </w:r>
      <w:r w:rsidR="00A907AE" w:rsidRPr="00177CF7">
        <w:t>, p</w:t>
      </w:r>
      <w:r w:rsidRPr="00177CF7">
        <w:t>articipants</w:t>
      </w:r>
      <w:r w:rsidR="00583315" w:rsidRPr="00177CF7">
        <w:t xml:space="preserve"> in the study</w:t>
      </w:r>
      <w:r w:rsidRPr="00177CF7">
        <w:t xml:space="preserve"> were on average 48.6 years old (standard deviation: 7.5 years) and 53.4%</w:t>
      </w:r>
      <w:r w:rsidR="00583315" w:rsidRPr="00177CF7">
        <w:t xml:space="preserve"> </w:t>
      </w:r>
      <w:r w:rsidRPr="00177CF7">
        <w:t xml:space="preserve">were female. </w:t>
      </w:r>
    </w:p>
    <w:p w14:paraId="00000034" w14:textId="77777777" w:rsidR="00766C45" w:rsidRPr="00177CF7" w:rsidRDefault="00555D20">
      <w:pPr>
        <w:spacing w:line="360" w:lineRule="auto"/>
        <w:jc w:val="both"/>
        <w:rPr>
          <w:i/>
        </w:rPr>
      </w:pPr>
      <w:r w:rsidRPr="00177CF7">
        <w:rPr>
          <w:i/>
        </w:rPr>
        <w:t>Proteomic measurements</w:t>
      </w:r>
    </w:p>
    <w:p w14:paraId="00000035" w14:textId="56AE4F88" w:rsidR="00766C45" w:rsidRPr="00177CF7" w:rsidRDefault="00A907AE">
      <w:pPr>
        <w:spacing w:line="360" w:lineRule="auto"/>
        <w:jc w:val="both"/>
      </w:pPr>
      <w:r w:rsidRPr="00177CF7">
        <w:lastRenderedPageBreak/>
        <w:t xml:space="preserve">Relative protein abundances were measured in fasting EDTA plasma samples from 12,084 Fenland Study participants collected at the baseline visit by </w:t>
      </w:r>
      <w:proofErr w:type="spellStart"/>
      <w:r w:rsidRPr="00177CF7">
        <w:t>SomaLogic</w:t>
      </w:r>
      <w:proofErr w:type="spellEnd"/>
      <w:r w:rsidRPr="00177CF7">
        <w:t xml:space="preserve"> Inc. (Boulder, US) using an aptamer-based technology (</w:t>
      </w:r>
      <w:proofErr w:type="spellStart"/>
      <w:r w:rsidRPr="00177CF7">
        <w:t>SomaScan</w:t>
      </w:r>
      <w:proofErr w:type="spellEnd"/>
      <w:r w:rsidRPr="00177CF7">
        <w:t xml:space="preserve"> V4 assay). Details of the assay have been described previously</w:t>
      </w:r>
      <w:r w:rsidRPr="00177CF7">
        <w:fldChar w:fldCharType="begin" w:fldLock="1"/>
      </w:r>
      <w:r w:rsidR="007212AD">
        <w:instrText>ADDIN CSL_CITATION {"citationItems":[{"id":"ITEM-1","itemData":{"DOI":"10.1038/s41591-019-0665-2","ISSN":"1546170X","PMID":"31792462","abstract":"Proteins are effector molecules that mediate the functions of genes1,2 and modulate comorbidities3–10, behaviors and drug treatments11. They represent an enormous potential resource for personalized, systemic and data-driven diagnosis, prevention, monitoring and treatment. However, the concept of using plasma proteins for individualized health assessment across many health conditions simultaneously has not been tested. Here, we show that plasma protein expression patterns strongly encode for multiple different health states, future disease risks and lifestyle behaviors. We developed and validated protein-phenotype models for 11 different health indicators: liver fat, kidney filtration, percentage body fat, visceral fat mass, lean body mass, cardiopulmonary fitness, physical activity, alcohol consumption, cigarette smoking, diabetes risk and primary cardiovascular event risk. The analyses were prospectively planned, documented and executed at scale on archived samples and clinical data, with a total of ~85 million protein measurements in 16,894 participants. Our proof-of-concept study demonstrates that protein expression patterns reliably encode for many different health issues, and that large-scale protein scanning12–16 coupled with machine learning is viable for the development and future simultaneous delivery of multiple measures of health. We anticipate that, with further validation and the addition of more protein-phenotype models, this approach could enable a single-source, individualized so-called liquid health check.","author":[{"dropping-particle":"","family":"Williams","given":"Stephen A.","non-dropping-particle":"","parse-names":false,"suffix":""},{"dropping-particle":"","family":"Kivimaki","given":"Mika","non-dropping-particle":"","parse-names":false,"suffix":""},{"dropping-particle":"","family":"Langenberg","given":"Claudia","non-dropping-particle":"","parse-names":false,"suffix":""},{"dropping-particle":"","family":"Hingorani","given":"Aroon D.","non-dropping-particle":"","parse-names":false,"suffix":""},{"dropping-particle":"","family":"Casas","given":"J. P.","non-dropping-particle":"","parse-names":false,"suffix":""},{"dropping-particle":"","family":"Bouchard","given":"Claude","non-dropping-particle":"","parse-names":false,"suffix":""},{"dropping-particle":"","family":"Jonasson","given":"Christian","non-dropping-particle":"","parse-names":false,"suffix":""},{"dropping-particle":"","family":"Sarzynski","given":"Mark A.","non-dropping-particle":"","parse-names":false,"suffix":""},{"dropping-particle":"","family":"Shipley","given":"Martin J.","non-dropping-particle":"","parse-names":false,"suffix":""},{"dropping-particle":"","family":"Alexander","given":"Leigh","non-dropping-particle":"","parse-names":false,"suffix":""},{"dropping-particle":"","family":"Ash","given":"Jessica","non-dropping-particle":"","parse-names":false,"suffix":""},{"dropping-particle":"","family":"Bauer","given":"Tim","non-dropping-particle":"","parse-names":false,"suffix":""},{"dropping-particle":"","family":"Chadwick","given":"Jessica","non-dropping-particle":"","parse-names":false,"suffix":""},{"dropping-particle":"","family":"Datta","given":"Gargi","non-dropping-particle":"","parse-names":false,"suffix":""},{"dropping-particle":"","family":"DeLisle","given":"Robert Kirk","non-dropping-particle":"","parse-names":false,"suffix":""},{"dropping-particle":"","family":"Hagar","given":"Yolanda","non-dropping-particle":"","parse-names":false,"suffix":""},{"dropping-particle":"","family":"Hinterberg","given":"Michael","non-dropping-particle":"","parse-names":false,"suffix":""},{"dropping-particle":"","family":"Ostroff","given":"Rachel","non-dropping-particle":"","parse-names":false,"suffix":""},{"dropping-particle":"","family":"Weiss","given":"Sophie","non-dropping-particle":"","parse-names":false,"suffix":""},{"dropping-particle":"","family":"Ganz","given":"Peter","non-dropping-particle":"","parse-names":false,"suffix":""},{"dropping-particle":"","family":"Wareham","given":"Nicholas J.","non-dropping-particle":"","parse-names":false,"suffix":""}],"container-title":"Nature Medicine","id":"ITEM-1","issue":"12","issued":{"date-parts":[["2019","12","1"]]},"page":"1851-1857","publisher":"Springer US","title":"Plasma protein patterns as comprehensive indicators of health","type":"article-journal","volume":"25"},"uris":["http://www.mendeley.com/documents/?uuid=f785d3ef-fd63-4453-b8de-b3070fd1a66c"]}],"mendeley":{"formattedCitation":"&lt;sup&gt;20&lt;/sup&gt;","plainTextFormattedCitation":"20","previouslyFormattedCitation":"&lt;sup&gt;20&lt;/sup&gt;"},"properties":{"noteIndex":0},"schema":"https://github.com/citation-style-language/schema/raw/master/csl-citation.json"}</w:instrText>
      </w:r>
      <w:r w:rsidRPr="00177CF7">
        <w:fldChar w:fldCharType="separate"/>
      </w:r>
      <w:r w:rsidR="00AB37AF" w:rsidRPr="00AB37AF">
        <w:rPr>
          <w:noProof/>
          <w:vertAlign w:val="superscript"/>
        </w:rPr>
        <w:t>20</w:t>
      </w:r>
      <w:r w:rsidRPr="00177CF7">
        <w:fldChar w:fldCharType="end"/>
      </w:r>
      <w:r w:rsidRPr="00177CF7">
        <w:t xml:space="preserve">, but briefly, 4,775 human protein targets </w:t>
      </w:r>
      <w:r w:rsidR="00555D20" w:rsidRPr="00177CF7">
        <w:t>w</w:t>
      </w:r>
      <w:r w:rsidRPr="00177CF7">
        <w:t>ere</w:t>
      </w:r>
      <w:r w:rsidR="00555D20" w:rsidRPr="00177CF7">
        <w:t xml:space="preserve"> evaluated by 4,979 aptamers</w:t>
      </w:r>
      <w:r w:rsidR="0087780D" w:rsidRPr="00177CF7">
        <w:t>;</w:t>
      </w:r>
      <w:r w:rsidR="00555D20" w:rsidRPr="00177CF7">
        <w:t xml:space="preserve"> short single-stranded DNA molecules, which are chemically modified to specifically bind to protein targets and </w:t>
      </w:r>
      <w:r w:rsidR="0087780D" w:rsidRPr="00177CF7">
        <w:t>quantified</w:t>
      </w:r>
      <w:r w:rsidR="00555D20" w:rsidRPr="00177CF7">
        <w:t xml:space="preserve"> using DNA microarrays. To account for variation in hybridization within runs, hybridization control probes are used to generate a hybridization scale factor for each sample. To control for total signal differences between samples due to variation in overall protein concentration or technical factors such as reagent concentration, pipetting or assay timing</w:t>
      </w:r>
      <w:r w:rsidR="008C3A75" w:rsidRPr="00177CF7">
        <w:t xml:space="preserve"> we applied adaptive median normalisation (AMN)</w:t>
      </w:r>
      <w:r w:rsidR="006751F7" w:rsidRPr="00177CF7">
        <w:t xml:space="preserve">. Briefly, </w:t>
      </w:r>
      <w:r w:rsidR="00555D20" w:rsidRPr="00177CF7">
        <w:t>a ratio between each aptamer's measured value and a reference value</w:t>
      </w:r>
      <w:r w:rsidR="006751F7" w:rsidRPr="00177CF7">
        <w:t xml:space="preserve">, derived from healthy external controls (Covance data set, described in </w:t>
      </w:r>
      <w:r w:rsidR="006D5E7C" w:rsidRPr="00177CF7">
        <w:t>Williams et al.</w:t>
      </w:r>
      <w:r w:rsidR="006D5E7C" w:rsidRPr="00177CF7">
        <w:fldChar w:fldCharType="begin" w:fldLock="1"/>
      </w:r>
      <w:r w:rsidR="007212AD">
        <w:instrText>ADDIN CSL_CITATION {"citationItems":[{"id":"ITEM-1","itemData":{"DOI":"10.1038/s41591-019-0665-2","ISSN":"1546170X","PMID":"31792462","abstract":"Proteins are effector molecules that mediate the functions of genes1,2 and modulate comorbidities3–10, behaviors and drug treatments11. They represent an enormous potential resource for personalized, systemic and data-driven diagnosis, prevention, monitoring and treatment. However, the concept of using plasma proteins for individualized health assessment across many health conditions simultaneously has not been tested. Here, we show that plasma protein expression patterns strongly encode for multiple different health states, future disease risks and lifestyle behaviors. We developed and validated protein-phenotype models for 11 different health indicators: liver fat, kidney filtration, percentage body fat, visceral fat mass, lean body mass, cardiopulmonary fitness, physical activity, alcohol consumption, cigarette smoking, diabetes risk and primary cardiovascular event risk. The analyses were prospectively planned, documented and executed at scale on archived samples and clinical data, with a total of ~85 million protein measurements in 16,894 participants. Our proof-of-concept study demonstrates that protein expression patterns reliably encode for many different health issues, and that large-scale protein scanning12–16 coupled with machine learning is viable for the development and future simultaneous delivery of multiple measures of health. We anticipate that, with further validation and the addition of more protein-phenotype models, this approach could enable a single-source, individualized so-called liquid health check.","author":[{"dropping-particle":"","family":"Williams","given":"Stephen A.","non-dropping-particle":"","parse-names":false,"suffix":""},{"dropping-particle":"","family":"Kivimaki","given":"Mika","non-dropping-particle":"","parse-names":false,"suffix":""},{"dropping-particle":"","family":"Langenberg","given":"Claudia","non-dropping-particle":"","parse-names":false,"suffix":""},{"dropping-particle":"","family":"Hingorani","given":"Aroon D.","non-dropping-particle":"","parse-names":false,"suffix":""},{"dropping-particle":"","family":"Casas","given":"J. P.","non-dropping-particle":"","parse-names":false,"suffix":""},{"dropping-particle":"","family":"Bouchard","given":"Claude","non-dropping-particle":"","parse-names":false,"suffix":""},{"dropping-particle":"","family":"Jonasson","given":"Christian","non-dropping-particle":"","parse-names":false,"suffix":""},{"dropping-particle":"","family":"Sarzynski","given":"Mark A.","non-dropping-particle":"","parse-names":false,"suffix":""},{"dropping-particle":"","family":"Shipley","given":"Martin J.","non-dropping-particle":"","parse-names":false,"suffix":""},{"dropping-particle":"","family":"Alexander","given":"Leigh","non-dropping-particle":"","parse-names":false,"suffix":""},{"dropping-particle":"","family":"Ash","given":"Jessica","non-dropping-particle":"","parse-names":false,"suffix":""},{"dropping-particle":"","family":"Bauer","given":"Tim","non-dropping-particle":"","parse-names":false,"suffix":""},{"dropping-particle":"","family":"Chadwick","given":"Jessica","non-dropping-particle":"","parse-names":false,"suffix":""},{"dropping-particle":"","family":"Datta","given":"Gargi","non-dropping-particle":"","parse-names":false,"suffix":""},{"dropping-particle":"","family":"DeLisle","given":"Robert Kirk","non-dropping-particle":"","parse-names":false,"suffix":""},{"dropping-particle":"","family":"Hagar","given":"Yolanda","non-dropping-particle":"","parse-names":false,"suffix":""},{"dropping-particle":"","family":"Hinterberg","given":"Michael","non-dropping-particle":"","parse-names":false,"suffix":""},{"dropping-particle":"","family":"Ostroff","given":"Rachel","non-dropping-particle":"","parse-names":false,"suffix":""},{"dropping-particle":"","family":"Weiss","given":"Sophie","non-dropping-particle":"","parse-names":false,"suffix":""},{"dropping-particle":"","family":"Ganz","given":"Peter","non-dropping-particle":"","parse-names":false,"suffix":""},{"dropping-particle":"","family":"Wareham","given":"Nicholas J.","non-dropping-particle":"","parse-names":false,"suffix":""}],"container-title":"Nature Medicine","id":"ITEM-1","issue":"12","issued":{"date-parts":[["2019","12","1"]]},"page":"1851-1857","publisher":"Springer US","title":"Plasma protein patterns as comprehensive indicators of health","type":"article-journal","volume":"25"},"uris":["http://www.mendeley.com/documents/?uuid=f785d3ef-fd63-4453-b8de-b3070fd1a66c"]}],"mendeley":{"formattedCitation":"&lt;sup&gt;20&lt;/sup&gt;","plainTextFormattedCitation":"20","previouslyFormattedCitation":"&lt;sup&gt;20&lt;/sup&gt;"},"properties":{"noteIndex":0},"schema":"https://github.com/citation-style-language/schema/raw/master/csl-citation.json"}</w:instrText>
      </w:r>
      <w:r w:rsidR="006D5E7C" w:rsidRPr="00177CF7">
        <w:fldChar w:fldCharType="separate"/>
      </w:r>
      <w:r w:rsidR="00AB37AF" w:rsidRPr="00AB37AF">
        <w:rPr>
          <w:noProof/>
          <w:vertAlign w:val="superscript"/>
        </w:rPr>
        <w:t>20</w:t>
      </w:r>
      <w:r w:rsidR="006D5E7C" w:rsidRPr="00177CF7">
        <w:fldChar w:fldCharType="end"/>
      </w:r>
      <w:r w:rsidR="006751F7" w:rsidRPr="00177CF7">
        <w:t xml:space="preserve">) </w:t>
      </w:r>
      <w:r w:rsidR="00555D20" w:rsidRPr="00177CF7">
        <w:t xml:space="preserve"> is computed, and the median of these ratios is computed for each of the three dilution sets (</w:t>
      </w:r>
      <w:r w:rsidR="00122FEA" w:rsidRPr="00177CF7">
        <w:t>2</w:t>
      </w:r>
      <w:r w:rsidR="00555D20" w:rsidRPr="00177CF7">
        <w:t xml:space="preserve">0%, </w:t>
      </w:r>
      <w:r w:rsidR="00122FEA" w:rsidRPr="00177CF7">
        <w:t>0.5</w:t>
      </w:r>
      <w:r w:rsidR="00555D20" w:rsidRPr="00177CF7">
        <w:t>% and 0.005%) and applied to each dilution set</w:t>
      </w:r>
      <w:r w:rsidR="00EE36B9" w:rsidRPr="00177CF7">
        <w:t xml:space="preserve"> to centr</w:t>
      </w:r>
      <w:r w:rsidR="009B0D05" w:rsidRPr="00177CF7">
        <w:t>e</w:t>
      </w:r>
      <w:r w:rsidR="00EE36B9" w:rsidRPr="00177CF7">
        <w:t xml:space="preserve"> the study medians to the reference medians. The study set is then normalized by scaling each protein signal by the respective scale factors.</w:t>
      </w:r>
      <w:r w:rsidR="00F05781" w:rsidRPr="00177CF7">
        <w:t xml:space="preserve"> </w:t>
      </w:r>
      <w:r w:rsidR="00555D20" w:rsidRPr="00177CF7">
        <w:t xml:space="preserve">Samples were removed if they were deemed by </w:t>
      </w:r>
      <w:proofErr w:type="spellStart"/>
      <w:r w:rsidR="00555D20" w:rsidRPr="00177CF7">
        <w:t>SomaLogic</w:t>
      </w:r>
      <w:proofErr w:type="spellEnd"/>
      <w:r w:rsidR="00555D20" w:rsidRPr="00177CF7">
        <w:t xml:space="preserve"> to have failed or did not meet our acceptance criteria of 0.25-4 for all scaling factors. In addition to passing </w:t>
      </w:r>
      <w:proofErr w:type="spellStart"/>
      <w:r w:rsidR="00555D20" w:rsidRPr="00177CF7">
        <w:t>SomaLogic</w:t>
      </w:r>
      <w:proofErr w:type="spellEnd"/>
      <w:r w:rsidR="00555D20" w:rsidRPr="00177CF7">
        <w:t xml:space="preserve"> QC, only human protein targets were taken forward for subsequent analysis (4,979 out of the 5284 aptamers). Aptamers’ target annotation and mapping to </w:t>
      </w:r>
      <w:proofErr w:type="spellStart"/>
      <w:r w:rsidR="00555D20" w:rsidRPr="00177CF7">
        <w:t>UniProt</w:t>
      </w:r>
      <w:proofErr w:type="spellEnd"/>
      <w:r w:rsidR="00555D20" w:rsidRPr="00177CF7">
        <w:t xml:space="preserve"> accession numbers as well as Entrez gene identifiers were provided by </w:t>
      </w:r>
      <w:proofErr w:type="spellStart"/>
      <w:r w:rsidR="00555D20" w:rsidRPr="00177CF7">
        <w:t>SomaLogic</w:t>
      </w:r>
      <w:proofErr w:type="spellEnd"/>
      <w:r w:rsidR="00555D20" w:rsidRPr="00177CF7">
        <w:t xml:space="preserve">. </w:t>
      </w:r>
    </w:p>
    <w:p w14:paraId="00000036" w14:textId="3760F2A6" w:rsidR="00766C45" w:rsidRPr="00177CF7" w:rsidRDefault="001B4300">
      <w:pPr>
        <w:spacing w:line="360" w:lineRule="auto"/>
        <w:jc w:val="both"/>
        <w:rPr>
          <w:shd w:val="clear" w:color="auto" w:fill="FF9900"/>
        </w:rPr>
      </w:pPr>
      <w:r w:rsidRPr="00177CF7">
        <w:t xml:space="preserve">We estimated a limit of detection (LOD) for each </w:t>
      </w:r>
      <w:proofErr w:type="spellStart"/>
      <w:r w:rsidRPr="00177CF7">
        <w:t>SOMAmer</w:t>
      </w:r>
      <w:proofErr w:type="spellEnd"/>
      <w:r w:rsidRPr="00177CF7">
        <w:t xml:space="preserve"> reagent using a “robust estimate” method suggested by </w:t>
      </w:r>
      <w:proofErr w:type="spellStart"/>
      <w:r w:rsidRPr="00177CF7">
        <w:t>SomaLogic</w:t>
      </w:r>
      <w:proofErr w:type="spellEnd"/>
      <w:r w:rsidRPr="00177CF7">
        <w:t xml:space="preserve">, based on the median plus 4.9 * median absolute deviation (MAD) signal of the blank (buffer) samples. We further defined outliers for </w:t>
      </w:r>
      <w:proofErr w:type="spellStart"/>
      <w:r w:rsidRPr="00177CF7">
        <w:t>SOMAmer</w:t>
      </w:r>
      <w:proofErr w:type="spellEnd"/>
      <w:r w:rsidR="002B1850" w:rsidRPr="00177CF7">
        <w:t xml:space="preserve"> and </w:t>
      </w:r>
      <w:proofErr w:type="spellStart"/>
      <w:r w:rsidR="002B1850" w:rsidRPr="00177CF7">
        <w:t>Olink</w:t>
      </w:r>
      <w:proofErr w:type="spellEnd"/>
      <w:r w:rsidR="002B1850" w:rsidRPr="00177CF7">
        <w:t xml:space="preserve"> measurements</w:t>
      </w:r>
      <w:r w:rsidRPr="00177CF7">
        <w:t xml:space="preserve"> as being outside the median ± 5*MAD based on test sample signals and used the fraction of outliers </w:t>
      </w:r>
      <w:r w:rsidR="005F06AD" w:rsidRPr="00177CF7">
        <w:t xml:space="preserve">as </w:t>
      </w:r>
      <w:r w:rsidRPr="00177CF7">
        <w:t>a variable to explain variation.</w:t>
      </w:r>
    </w:p>
    <w:p w14:paraId="00000037" w14:textId="0A604730" w:rsidR="00766C45" w:rsidRPr="00177CF7" w:rsidRDefault="00555D20">
      <w:pPr>
        <w:spacing w:line="360" w:lineRule="auto"/>
        <w:jc w:val="both"/>
        <w:rPr>
          <w:b/>
        </w:rPr>
      </w:pPr>
      <w:r w:rsidRPr="00177CF7">
        <w:t xml:space="preserve">Plasma samples for a subset of 500 Fenland participants were additionally measured using 12 </w:t>
      </w:r>
      <w:proofErr w:type="spellStart"/>
      <w:r w:rsidRPr="00177CF7">
        <w:t>Olink</w:t>
      </w:r>
      <w:proofErr w:type="spellEnd"/>
      <w:r w:rsidRPr="00177CF7">
        <w:t xml:space="preserve"> 92-protein panels using proximity extension assays</w:t>
      </w:r>
      <w:r w:rsidR="00C3108F" w:rsidRPr="00177CF7">
        <w:fldChar w:fldCharType="begin" w:fldLock="1"/>
      </w:r>
      <w:r w:rsidR="007212AD">
        <w:instrText>ADDIN CSL_CITATION {"citationItems":[{"id":"ITEM-1","itemData":{"DOI":"10.1371/journal.pone.0095192","ISSN":"19326203","PMID":"24755770","abstract":"Medical research is developing an ever greater need for comprehensive high-quality data generation to realize the promises of personalized health care based on molecular biomarkers. The nucleic acid proximity-based methods proximity ligation and proximity extension assays have, with their dual reporters, shown potential to relieve the shortcomings of antibodies and their inherent cross-reactivity in multiplex protein quantification applications. The aim of the present study was to develop a robust 96-plex immunoassay based on the proximity extension assay (PEA) for improved high throughput detection of protein biomarkers. This was enabled by: (1) a modified design leading to a reduced number of pipetting steps compared to the existing PEA protocol, as well as improved intra-assay precision; (2) a new enzymatic system that uses a hyper-thermostabile enzyme, Pwo, for uniting the two probes allowing for room temperature addition of all reagents and improved the sensitivity; (3) introduction of an inter-plate control and a new normalization procedure leading to improved inter-assay precision (reproducibility). The multiplex proximity extension assay was found to perform well in complex samples, such as serum and plasma, and also in xenografted mice and resuspended dried blood spots, consuming only 1 μL sample per test. All-in-all, the development of the current multiplex technique is a step toward robust high throughput protein marker discovery and research. © 2014 Assarsson et al.","author":[{"dropping-particle":"","family":"Assarsson","given":"Erika","non-dropping-particle":"","parse-names":false,"suffix":""},{"dropping-particle":"","family":"Lundberg","given":"Martin","non-dropping-particle":"","parse-names":false,"suffix":""},{"dropping-particle":"","family":"Holmquist","given":"Göran","non-dropping-particle":"","parse-names":false,"suffix":""},{"dropping-particle":"","family":"Björkesten","given":"Johan","non-dropping-particle":"","parse-names":false,"suffix":""},{"dropping-particle":"","family":"Thorsen","given":"Stine Bucht","non-dropping-particle":"","parse-names":false,"suffix":""},{"dropping-particle":"","family":"Ekman","given":"Daniel","non-dropping-particle":"","parse-names":false,"suffix":""},{"dropping-particle":"","family":"Eriksson","given":"Anna","non-dropping-particle":"","parse-names":false,"suffix":""},{"dropping-particle":"","family":"Dickens","given":"Emma Rennel","non-dropping-particle":"","parse-names":false,"suffix":""},{"dropping-particle":"","family":"Ohlsson","given":"Sandra","non-dropping-particle":"","parse-names":false,"suffix":""},{"dropping-particle":"","family":"Edfeldt","given":"Gabriella","non-dropping-particle":"","parse-names":false,"suffix":""},{"dropping-particle":"","family":"Andersson","given":"Ann Catrin","non-dropping-particle":"","parse-names":false,"suffix":""},{"dropping-particle":"","family":"Lindstedt","given":"Patrik","non-dropping-particle":"","parse-names":false,"suffix":""},{"dropping-particle":"","family":"Stenvang","given":"Jan","non-dropping-particle":"","parse-names":false,"suffix":""},{"dropping-particle":"","family":"Gullberg","given":"Mats","non-dropping-particle":"","parse-names":false,"suffix":""},{"dropping-particle":"","family":"Fredriksson","given":"Simon","non-dropping-particle":"","parse-names":false,"suffix":""}],"container-title":"PLoS ONE","id":"ITEM-1","issue":"4","issued":{"date-parts":[["2014"]]},"title":"Homogenous 96-plex PEA immunoassay exhibiting high sensitivity, specificity, and excellent scalability","type":"article-journal","volume":"9"},"uris":["http://www.mendeley.com/documents/?uuid=65de5f3e-d319-4a29-a593-64bc4b5f10c4"]}],"mendeley":{"formattedCitation":"&lt;sup&gt;17&lt;/sup&gt;","plainTextFormattedCitation":"17","previouslyFormattedCitation":"&lt;sup&gt;17&lt;/sup&gt;"},"properties":{"noteIndex":0},"schema":"https://github.com/citation-style-language/schema/raw/master/csl-citation.json"}</w:instrText>
      </w:r>
      <w:r w:rsidR="00C3108F" w:rsidRPr="00177CF7">
        <w:fldChar w:fldCharType="separate"/>
      </w:r>
      <w:r w:rsidR="00AB37AF" w:rsidRPr="00AB37AF">
        <w:rPr>
          <w:noProof/>
          <w:vertAlign w:val="superscript"/>
        </w:rPr>
        <w:t>17</w:t>
      </w:r>
      <w:r w:rsidR="00C3108F" w:rsidRPr="00177CF7">
        <w:fldChar w:fldCharType="end"/>
      </w:r>
      <w:r w:rsidRPr="00177CF7">
        <w:t xml:space="preserve">. Of the 1104 </w:t>
      </w:r>
      <w:proofErr w:type="spellStart"/>
      <w:r w:rsidRPr="00177CF7">
        <w:t>Olink</w:t>
      </w:r>
      <w:proofErr w:type="spellEnd"/>
      <w:r w:rsidRPr="00177CF7">
        <w:t xml:space="preserve"> proteins, 1069 were unique (n=35 on &gt;1 panel, average correlation coefficient 0.90). We imputed values below the detection limit of the assay using raw fluorescence values. Protein levels were normalized (‘NPX’) and subsequently log2-transformed for statistical analysis. A total of 15 samples were excluded based on quality thresholds recommended by </w:t>
      </w:r>
      <w:proofErr w:type="spellStart"/>
      <w:r w:rsidRPr="00177CF7">
        <w:t>Olink</w:t>
      </w:r>
      <w:proofErr w:type="spellEnd"/>
      <w:r w:rsidRPr="00177CF7">
        <w:t xml:space="preserve">, leaving 485 samples for analysis. </w:t>
      </w:r>
      <w:r w:rsidR="00E103D1" w:rsidRPr="00177CF7">
        <w:t xml:space="preserve">Participants were selected at random from </w:t>
      </w:r>
      <w:r w:rsidR="00CC2BCB" w:rsidRPr="00177CF7">
        <w:t xml:space="preserve">the largest set of Fenland participants that had been examined at the same test site and were genotyped on the same array to minimize technical artefacts for the platform comparison. </w:t>
      </w:r>
      <w:r w:rsidR="007B6083" w:rsidRPr="00177CF7">
        <w:t xml:space="preserve">Demographics of the </w:t>
      </w:r>
      <w:proofErr w:type="spellStart"/>
      <w:r w:rsidR="007B6083" w:rsidRPr="00177CF7">
        <w:t>subcohort</w:t>
      </w:r>
      <w:proofErr w:type="spellEnd"/>
      <w:r w:rsidR="007B6083" w:rsidRPr="00177CF7">
        <w:t xml:space="preserve"> were identical to the overall cohort (</w:t>
      </w:r>
      <w:r w:rsidR="007B6083" w:rsidRPr="00177CF7">
        <w:rPr>
          <w:b/>
          <w:bCs/>
        </w:rPr>
        <w:t xml:space="preserve">Supplementary </w:t>
      </w:r>
      <w:r w:rsidR="00FA2264">
        <w:rPr>
          <w:b/>
          <w:bCs/>
        </w:rPr>
        <w:t>Data</w:t>
      </w:r>
      <w:r w:rsidR="007B6083" w:rsidRPr="00177CF7">
        <w:rPr>
          <w:b/>
          <w:bCs/>
        </w:rPr>
        <w:t xml:space="preserve"> 1</w:t>
      </w:r>
      <w:r w:rsidR="007B6083" w:rsidRPr="00177CF7">
        <w:t>).</w:t>
      </w:r>
      <w:r w:rsidRPr="00177CF7">
        <w:t xml:space="preserve">   </w:t>
      </w:r>
      <w:r w:rsidRPr="00177CF7">
        <w:rPr>
          <w:b/>
        </w:rPr>
        <w:t xml:space="preserve"> </w:t>
      </w:r>
    </w:p>
    <w:p w14:paraId="00000038" w14:textId="77777777" w:rsidR="00766C45" w:rsidRPr="00177CF7" w:rsidRDefault="00555D20">
      <w:pPr>
        <w:spacing w:line="360" w:lineRule="auto"/>
        <w:jc w:val="both"/>
        <w:rPr>
          <w:i/>
        </w:rPr>
      </w:pPr>
      <w:r w:rsidRPr="00177CF7">
        <w:rPr>
          <w:i/>
        </w:rPr>
        <w:t>Protein target mapping</w:t>
      </w:r>
    </w:p>
    <w:p w14:paraId="6C919B46" w14:textId="7098A5CC" w:rsidR="00701CC7" w:rsidRPr="00177CF7" w:rsidRDefault="00701CC7" w:rsidP="00701CC7">
      <w:pPr>
        <w:spacing w:line="360" w:lineRule="auto"/>
        <w:jc w:val="both"/>
      </w:pPr>
      <w:r w:rsidRPr="00177CF7">
        <w:lastRenderedPageBreak/>
        <w:t xml:space="preserve">We identified overlapping protein targets between both techniques using either </w:t>
      </w:r>
      <w:proofErr w:type="spellStart"/>
      <w:r w:rsidRPr="00177CF7">
        <w:t>UniProt</w:t>
      </w:r>
      <w:proofErr w:type="spellEnd"/>
      <w:r w:rsidRPr="00177CF7">
        <w:t xml:space="preserve"> identifiers (www.uniprot.org) or based on the same encoding gene as provided by the manufacturers. Where multiple measurements were available for a protein assayed on multiple </w:t>
      </w:r>
      <w:proofErr w:type="spellStart"/>
      <w:r w:rsidRPr="00177CF7">
        <w:t>Olink</w:t>
      </w:r>
      <w:proofErr w:type="spellEnd"/>
      <w:r w:rsidRPr="00177CF7">
        <w:t xml:space="preserve"> panels, we selected one of the protein measures from one of the panels at random for two reasons. Firstly, </w:t>
      </w:r>
      <w:proofErr w:type="spellStart"/>
      <w:r w:rsidRPr="00177CF7">
        <w:t>Olink</w:t>
      </w:r>
      <w:proofErr w:type="spellEnd"/>
      <w:r w:rsidRPr="00177CF7">
        <w:t xml:space="preserve"> uses the same type of antibodies irrespective of the panel and secondly, the average correlation was 0.90 (range 0.68-0.99) for the same protein target across different panels. We kept each </w:t>
      </w:r>
      <w:proofErr w:type="spellStart"/>
      <w:r w:rsidRPr="00177CF7">
        <w:t>SOMAmer</w:t>
      </w:r>
      <w:proofErr w:type="spellEnd"/>
      <w:r w:rsidRPr="00177CF7">
        <w:t xml:space="preserve"> reagent matching to one </w:t>
      </w:r>
      <w:proofErr w:type="spellStart"/>
      <w:r w:rsidRPr="00177CF7">
        <w:t>Olink</w:t>
      </w:r>
      <w:proofErr w:type="spellEnd"/>
      <w:r w:rsidRPr="00177CF7">
        <w:t xml:space="preserve"> reagent for downstream analysis, since they bind to distinct structural characteristics of the protein target</w:t>
      </w:r>
      <w:r w:rsidRPr="00177CF7">
        <w:fldChar w:fldCharType="begin" w:fldLock="1"/>
      </w:r>
      <w:r w:rsidR="007212AD">
        <w:instrText>ADDIN CSL_CITATION {"citationItems":[{"id":"ITEM-1","itemData":{"DOI":"10.1371/journal.pone.0015004","ISSN":"19326203","PMID":"21165148","abstract":"Background: The interrogation of proteomes (\"proteomics\") in a highly multiplexed and efficient manner remains a coveted and challenging goal in biology and medicine. Methodology/Principal Findings: We present a new aptamer-based proteomic technology for biomarker discovery capable of simultaneously measuring thousands of proteins from small sample volumes (15 μL of serum or plasma). Our current assay measures 813 proteins with low limits of detection (1 pM median), 7 logs of overall dynamic range (~100 fM-1 μM), and 5% median coefficient of variation. This technology is enabled by a new generation of aptamers that contain chemically modified nucleotides, which greatly expand the physicochemical diversity of the large randomized nucleic acid libraries from which the aptamers are selected. Proteins in complex matrices such as plasma are measured with a process that transforms a signature of protein concentrations into a corresponding signature of DNA aptamer concentrations, which is quantified on a DNA microarray. Our assay takes advantage of the dual nature of aptamers as both folded protein-binding entities with defined shapes and unique nucleotide sequences recognizable by specific hybridization probes. To demonstrate the utility of our proteomics biomarker discovery technology, we applied it to a clinical study of chronic kidney disease (CKD). We identified two well known CKD biomarkers as well as an additional 58 potential CKD biomarkers. These results demonstrate the potential utility of our technology to rapidly discover unique protein signatures characteristic of various disease states. Conclusions/Significance: We describe a versatile and powerful tool that allows large-scale comparison of proteome profiles among discrete populations. This unbiased and highly multiplexed search engine will enable the discovery of novel biomarkers in a manner that is unencumbered by our incomplete knowledge of biology, thereby helping to advance the next generation of evidence-based medicine. © 2010 Gold et al.","author":[{"dropping-particle":"","family":"Gold","given":"Larry","non-dropping-particle":"","parse-names":false,"suffix":""},{"dropping-particle":"","family":"Ayers","given":"Deborah","non-dropping-particle":"","parse-names":false,"suffix":""},{"dropping-particle":"","family":"Bertino","given":"Jennifer","non-dropping-particle":"","parse-names":false,"suffix":""},{"dropping-particle":"","family":"Bock","given":"Christopher","non-dropping-particle":"","parse-names":false,"suffix":""},{"dropping-particle":"","family":"Bock","given":"Ashley","non-dropping-particle":"","parse-names":false,"suffix":""},{"dropping-particle":"","family":"Brody","given":"Edward N.","non-dropping-particle":"","parse-names":false,"suffix":""},{"dropping-particle":"","family":"Carter","given":"Jeff","non-dropping-particle":"","parse-names":false,"suffix":""},{"dropping-particle":"","family":"Dalby","given":"Andrew B.","non-dropping-particle":"","parse-names":false,"suffix":""},{"dropping-particle":"","family":"Eaton","given":"Bruce E.","non-dropping-particle":"","parse-names":false,"suffix":""},{"dropping-particle":"","family":"Fitzwater","given":"Tim","non-dropping-particle":"","parse-names":false,"suffix":""},{"dropping-particle":"","family":"Flather","given":"Dylan","non-dropping-particle":"","parse-names":false,"suffix":""},{"dropping-particle":"","family":"Forbes","given":"Ashley","non-dropping-particle":"","parse-names":false,"suffix":""},{"dropping-particle":"","family":"Foreman","given":"Trudi","non-dropping-particle":"","parse-names":false,"suffix":""},{"dropping-particle":"","family":"Fowler","given":"Cate","non-dropping-particle":"","parse-names":false,"suffix":""},{"dropping-particle":"","family":"Gawande","given":"Bharat","non-dropping-particle":"","parse-names":false,"suffix":""},{"dropping-particle":"","family":"Goss","given":"Meredith","non-dropping-particle":"","parse-names":false,"suffix":""},{"dropping-particle":"","family":"Gunn","given":"Magda","non-dropping-particle":"","parse-names":false,"suffix":""},{"dropping-particle":"","family":"Gupta","given":"Shashi","non-dropping-particle":"","parse-names":false,"suffix":""},{"dropping-particle":"","family":"Halladay","given":"Dennis","non-dropping-particle":"","parse-names":false,"suffix":""},{"dropping-particle":"","family":"Heil","given":"Jim","non-dropping-particle":"","parse-names":false,"suffix":""},{"dropping-particle":"","family":"Heilig","given":"Joe","non-dropping-particle":"","parse-names":false,"suffix":""},{"dropping-particle":"","family":"Hicke","given":"Brian","non-dropping-particle":"","parse-names":false,"suffix":""},{"dropping-particle":"","family":"Husar","given":"Gregory","non-dropping-particle":"","parse-names":false,"suffix":""},{"dropping-particle":"","family":"Janjic","given":"Nebojsa","non-dropping-particle":"","parse-names":false,"suffix":""},{"dropping-particle":"","family":"Jarvis","given":"Thale","non-dropping-particle":"","parse-names":false,"suffix":""},{"dropping-particle":"","family":"Jennings","given":"Susan","non-dropping-particle":"","parse-names":false,"suffix":""},{"dropping-particle":"","family":"Katilius","given":"Evaldas","non-dropping-particle":"","parse-names":false,"suffix":""},{"dropping-particle":"","family":"Keeney","given":"Tracy R.","non-dropping-particle":"","parse-names":false,"suffix":""},{"dropping-particle":"","family":"Kim","given":"Nancy","non-dropping-particle":"","parse-names":false,"suffix":""},{"dropping-particle":"","family":"Koch","given":"Tad H.","non-dropping-particle":"","parse-names":false,"suffix":""},{"dropping-particle":"","family":"Kraemer","given":"Stephan","non-dropping-particle":"","parse-names":false,"suffix":""},{"dropping-particle":"","family":"Kroiss","given":"Luke","non-dropping-particle":"","parse-names":false,"suffix":""},{"dropping-particle":"","family":"Le","given":"Ngan","non-dropping-particle":"","parse-names":false,"suffix":""},{"dropping-particle":"","family":"Levine","given":"Daniel","non-dropping-particle":"","parse-names":false,"suffix":""},{"dropping-particle":"","family":"Lindsey","given":"Wes","non-dropping-particle":"","parse-names":false,"suffix":""},{"dropping-particle":"","family":"Lollo","given":"Bridget","non-dropping-particle":"","parse-names":false,"suffix":""},{"dropping-particle":"","family":"Mayfield","given":"Wes","non-dropping-particle":"","parse-names":false,"suffix":""},{"dropping-particle":"","family":"Mehan","given":"Mike","non-dropping-particle":"","parse-names":false,"suffix":""},{"dropping-particle":"","family":"Mehler","given":"Robert","non-dropping-particle":"","parse-names":false,"suffix":""},{"dropping-particle":"","family":"Nelson","given":"Sally K.","non-dropping-particle":"","parse-names":false,"suffix":""},{"dropping-particle":"","family":"Nelson","given":"Michele","non-dropping-particle":"","parse-names":false,"suffix":""},{"dropping-particle":"","family":"Nieuwlandt","given":"Dan","non-dropping-particle":"","parse-names":false,"suffix":""},{"dropping-particle":"","family":"Nikrad","given":"Malti","non-dropping-particle":"","parse-names":false,"suffix":""},{"dropping-particle":"","family":"Ochsner","given":"Urs","non-dropping-particle":"","parse-names":false,"suffix":""},{"dropping-particle":"","family":"Ostroff","given":"Rachel M.","non-dropping-particle":"","parse-names":false,"suffix":""},{"dropping-particle":"","family":"Otis","given":"Matt","non-dropping-particle":"","parse-names":false,"suffix":""},{"dropping-particle":"","family":"Parker","given":"Thomas","non-dropping-particle":"","parse-names":false,"suffix":""},{"dropping-particle":"","family":"Pietrasiewicz","given":"Steve","non-dropping-particle":"","parse-names":false,"suffix":""},{"dropping-particle":"","family":"Resnicow","given":"Daniel I.","non-dropping-particle":"","parse-names":false,"suffix":""},{"dropping-particle":"","family":"Rohloff","given":"John","non-dropping-particle":"","parse-names":false,"suffix":""},{"dropping-particle":"","family":"Sanders","given":"Glenn","non-dropping-particle":"","parse-names":false,"suffix":""},{"dropping-particle":"","family":"Sattin","given":"Sarah","non-dropping-particle":"","parse-names":false,"suffix":""},{"dropping-particle":"","family":"Schneider","given":"Daniel","non-dropping-particle":"","parse-names":false,"suffix":""},{"dropping-particle":"","family":"Singer","given":"Britta","non-dropping-particle":"","parse-names":false,"suffix":""},{"dropping-particle":"","family":"Stanton","given":"Martin","non-dropping-particle":"","parse-names":false,"suffix":""},{"dropping-particle":"","family":"Sterkel","given":"Alana","non-dropping-particle":"","parse-names":false,"suffix":""},{"dropping-particle":"","family":"Stewart","given":"Alex","non-dropping-particle":"","parse-names":false,"suffix":""},{"dropping-particle":"","family":"Stratford","given":"Suzanne","non-dropping-particle":"","parse-names":false,"suffix":""},{"dropping-particle":"","family":"Vaught","given":"Jonathan D.","non-dropping-particle":"","parse-names":false,"suffix":""},{"dropping-particle":"","family":"Vrkljan","given":"Mike","non-dropping-particle":"","parse-names":false,"suffix":""},{"dropping-particle":"","family":"Walker","given":"Jeffrey J.","non-dropping-particle":"","parse-names":false,"suffix":""},{"dropping-particle":"","family":"Watrobka","given":"Mike","non-dropping-particle":"","parse-names":false,"suffix":""},{"dropping-particle":"","family":"Waugh","given":"Sheela","non-dropping-particle":"","parse-names":false,"suffix":""},{"dropping-particle":"","family":"Weiss","given":"Allison","non-dropping-particle":"","parse-names":false,"suffix":""},{"dropping-particle":"","family":"Wilcox","given":"Sheri K.","non-dropping-particle":"","parse-names":false,"suffix":""},{"dropping-particle":"","family":"Wolfson","given":"Alexey","non-dropping-particle":"","parse-names":false,"suffix":""},{"dropping-particle":"","family":"Wolk","given":"Steven K.","non-dropping-particle":"","parse-names":false,"suffix":""},{"dropping-particle":"","family":"Zhang","given":"Chi","non-dropping-particle":"","parse-names":false,"suffix":""},{"dropping-particle":"","family":"Zichi","given":"Dom","non-dropping-particle":"","parse-names":false,"suffix":""}],"container-title":"PLoS ONE","id":"ITEM-1","issue":"12","issued":{"date-parts":[["2010"]]},"title":"Aptamer-based multiplexed proteomic technology for biomarker discovery","type":"article-journal","volume":"5"},"uris":["http://www.mendeley.com/documents/?uuid=e955bb72-f102-487d-bb89-3e31c5c2574e"]}],"mendeley":{"formattedCitation":"&lt;sup&gt;16&lt;/sup&gt;","plainTextFormattedCitation":"16","previouslyFormattedCitation":"&lt;sup&gt;16&lt;/sup&gt;"},"properties":{"noteIndex":0},"schema":"https://github.com/citation-style-language/schema/raw/master/csl-citation.json"}</w:instrText>
      </w:r>
      <w:r w:rsidRPr="00177CF7">
        <w:fldChar w:fldCharType="separate"/>
      </w:r>
      <w:r w:rsidR="00AB37AF" w:rsidRPr="00AB37AF">
        <w:rPr>
          <w:noProof/>
          <w:vertAlign w:val="superscript"/>
        </w:rPr>
        <w:t>16</w:t>
      </w:r>
      <w:r w:rsidRPr="00177CF7">
        <w:fldChar w:fldCharType="end"/>
      </w:r>
      <w:r w:rsidRPr="00177CF7">
        <w:t xml:space="preserve">. This procedure yielded 937 unique </w:t>
      </w:r>
      <w:proofErr w:type="spellStart"/>
      <w:r w:rsidRPr="00177CF7">
        <w:t>SOMAmer</w:t>
      </w:r>
      <w:proofErr w:type="spellEnd"/>
      <w:r w:rsidRPr="00177CF7">
        <w:t xml:space="preserve"> – </w:t>
      </w:r>
      <w:proofErr w:type="spellStart"/>
      <w:r w:rsidRPr="00177CF7">
        <w:t>Olink</w:t>
      </w:r>
      <w:proofErr w:type="spellEnd"/>
      <w:r w:rsidRPr="00177CF7">
        <w:t xml:space="preserve"> measurement pairs, comprising 871 unique protein targets (</w:t>
      </w:r>
      <w:sdt>
        <w:sdtPr>
          <w:tag w:val="goog_rdk_1"/>
          <w:id w:val="-272477186"/>
        </w:sdtPr>
        <w:sdtEndPr/>
        <w:sdtContent/>
      </w:sdt>
      <w:r w:rsidRPr="00177CF7">
        <w:rPr>
          <w:b/>
        </w:rPr>
        <w:t xml:space="preserve">Fig. 1 and Supplementary </w:t>
      </w:r>
      <w:r w:rsidR="00FA2264">
        <w:rPr>
          <w:b/>
        </w:rPr>
        <w:t xml:space="preserve">Data </w:t>
      </w:r>
      <w:r w:rsidRPr="00177CF7">
        <w:rPr>
          <w:b/>
        </w:rPr>
        <w:t>1</w:t>
      </w:r>
      <w:r w:rsidRPr="00177CF7">
        <w:t xml:space="preserve">). We further queried the </w:t>
      </w:r>
      <w:proofErr w:type="spellStart"/>
      <w:r w:rsidRPr="00177CF7">
        <w:t>UniProt</w:t>
      </w:r>
      <w:proofErr w:type="spellEnd"/>
      <w:r w:rsidRPr="00177CF7">
        <w:t xml:space="preserve"> database to obtain protein domain information and other characteristics of overlapping protein targets.</w:t>
      </w:r>
      <w:r w:rsidR="00931461" w:rsidRPr="00177CF7">
        <w:t xml:space="preserve"> We noted that protein</w:t>
      </w:r>
      <w:r w:rsidR="00C6732A" w:rsidRPr="00177CF7">
        <w:t xml:space="preserve"> targets</w:t>
      </w:r>
      <w:r w:rsidR="00931461" w:rsidRPr="00177CF7">
        <w:t xml:space="preserve"> overlapping between platforms were enriched </w:t>
      </w:r>
      <w:r w:rsidR="00B42A12" w:rsidRPr="00177CF7">
        <w:t>for secreted proteins (odds ratio: 3.66, p-value&lt;4.7e-44) and high-affinity targets (odds ratio</w:t>
      </w:r>
      <w:r w:rsidR="00135ADA" w:rsidRPr="00177CF7">
        <w:t xml:space="preserve">: 1.18, p-value&lt;4.3e-6), </w:t>
      </w:r>
      <w:r w:rsidR="00DD2EB6" w:rsidRPr="00177CF7">
        <w:t>and</w:t>
      </w:r>
      <w:r w:rsidR="00C6732A" w:rsidRPr="00177CF7">
        <w:t xml:space="preserve"> slightly depleted</w:t>
      </w:r>
      <w:r w:rsidR="00DD2EB6" w:rsidRPr="00177CF7">
        <w:t xml:space="preserve"> for protein targets with a higher amount of outlying samples (</w:t>
      </w:r>
      <w:r w:rsidR="004C18E2" w:rsidRPr="00177CF7">
        <w:t>odds ratio: 0.87, p-value&lt;1.3e-4</w:t>
      </w:r>
      <w:r w:rsidR="00DD2EB6" w:rsidRPr="00177CF7">
        <w:t>)</w:t>
      </w:r>
      <w:r w:rsidR="004C18E2" w:rsidRPr="00177CF7">
        <w:t xml:space="preserve"> when comparing to the entire set of proteins captured by the </w:t>
      </w:r>
      <w:proofErr w:type="spellStart"/>
      <w:r w:rsidR="004C18E2" w:rsidRPr="00177CF7">
        <w:t>SomaScan</w:t>
      </w:r>
      <w:proofErr w:type="spellEnd"/>
      <w:r w:rsidR="004C18E2" w:rsidRPr="00177CF7">
        <w:t xml:space="preserve"> v4 assay.</w:t>
      </w:r>
    </w:p>
    <w:p w14:paraId="0000003A" w14:textId="1AAC080C" w:rsidR="00766C45" w:rsidRPr="00177CF7" w:rsidRDefault="00555D20">
      <w:pPr>
        <w:spacing w:line="360" w:lineRule="auto"/>
        <w:jc w:val="both"/>
        <w:rPr>
          <w:i/>
        </w:rPr>
      </w:pPr>
      <w:r w:rsidRPr="00177CF7">
        <w:rPr>
          <w:i/>
        </w:rPr>
        <w:t>Statistical analysis</w:t>
      </w:r>
      <w:r w:rsidR="00DA4BEA" w:rsidRPr="00177CF7">
        <w:rPr>
          <w:i/>
        </w:rPr>
        <w:t xml:space="preserve"> </w:t>
      </w:r>
    </w:p>
    <w:p w14:paraId="0000003B" w14:textId="54BD8641" w:rsidR="00766C45" w:rsidRPr="00177CF7" w:rsidRDefault="00555D20">
      <w:pPr>
        <w:spacing w:line="360" w:lineRule="auto"/>
        <w:jc w:val="both"/>
      </w:pPr>
      <w:r w:rsidRPr="00177CF7">
        <w:t>We used rank-based inverse normal transformations to make protein measurements between both technologies comparable and report</w:t>
      </w:r>
      <w:r w:rsidR="00494DEF" w:rsidRPr="00177CF7">
        <w:t>ed</w:t>
      </w:r>
      <w:r w:rsidRPr="00177CF7">
        <w:t xml:space="preserve"> Spearman rank-based </w:t>
      </w:r>
      <w:r w:rsidR="005516BB" w:rsidRPr="00177CF7">
        <w:t xml:space="preserve">and Pearson </w:t>
      </w:r>
      <w:r w:rsidRPr="00177CF7">
        <w:t>correlation coefficients as a measure of concordance between platforms.</w:t>
      </w:r>
    </w:p>
    <w:p w14:paraId="0000003C" w14:textId="5568161A" w:rsidR="00766C45" w:rsidRPr="00177CF7" w:rsidRDefault="00555D20">
      <w:pPr>
        <w:spacing w:line="360" w:lineRule="auto"/>
        <w:jc w:val="both"/>
      </w:pPr>
      <w:r w:rsidRPr="00177CF7">
        <w:t>To derive factors explaining the</w:t>
      </w:r>
      <w:r w:rsidR="003365E3" w:rsidRPr="00177CF7">
        <w:t xml:space="preserve"> Spearman</w:t>
      </w:r>
      <w:r w:rsidRPr="00177CF7">
        <w:t xml:space="preserve"> correlation gradient across protein targets, we created a matrix with meta-information for each protein target, including information about technical characteristics of each platform as well as characteristics of the protein target (</w:t>
      </w:r>
      <w:r w:rsidRPr="00177CF7">
        <w:rPr>
          <w:b/>
        </w:rPr>
        <w:t>Fig. 2</w:t>
      </w:r>
      <w:r w:rsidRPr="00177CF7">
        <w:t>)</w:t>
      </w:r>
      <w:r w:rsidR="00E1524B" w:rsidRPr="00177CF7">
        <w:t xml:space="preserve"> </w:t>
      </w:r>
      <w:r w:rsidRPr="00177CF7">
        <w:t>and used those as input for a Random-forest based feature selection approach, called Boruta-feature selection</w:t>
      </w:r>
      <w:r w:rsidR="00DA2427" w:rsidRPr="00177CF7">
        <w:fldChar w:fldCharType="begin" w:fldLock="1"/>
      </w:r>
      <w:r w:rsidR="007212AD">
        <w:instrText>ADDIN CSL_CITATION {"citationItems":[{"id":"ITEM-1","itemData":{"DOI":"10.18637/jss.v036.i11","ISSN":"15487660","abstract":"This article describes a R package Boruta, implementing a novel feature selection algorithm for finding all relevant variables. The algorithm is designed as a wrapper around a Random Forest classification algorithm. It iteratively removes the features which are proved by a statistical test to be less relevant than random probes. The Boruta package provides a convenient interface to the algorithm. The short description of the algorithm and examples of its application are presented.","author":[{"dropping-particle":"","family":"Kursa","given":"Miron B.","non-dropping-particle":"","parse-names":false,"suffix":""},{"dropping-particle":"","family":"Rudnicki","given":"Witold R.","non-dropping-particle":"","parse-names":false,"suffix":""}],"container-title":"Journal of Statistical Software","id":"ITEM-1","issue":"11","issued":{"date-parts":[["2010"]]},"page":"1-13","title":"Feature selection with the boruta package","type":"article-journal","volume":"36"},"uris":["http://www.mendeley.com/documents/?uuid=a6ed922e-6844-449a-93a8-52ff7e0e0542"]}],"mendeley":{"formattedCitation":"&lt;sup&gt;48&lt;/sup&gt;","plainTextFormattedCitation":"48","previouslyFormattedCitation":"&lt;sup&gt;48&lt;/sup&gt;"},"properties":{"noteIndex":0},"schema":"https://github.com/citation-style-language/schema/raw/master/csl-citation.json"}</w:instrText>
      </w:r>
      <w:r w:rsidR="00DA2427" w:rsidRPr="00177CF7">
        <w:fldChar w:fldCharType="separate"/>
      </w:r>
      <w:r w:rsidR="00AB37AF" w:rsidRPr="00AB37AF">
        <w:rPr>
          <w:noProof/>
          <w:vertAlign w:val="superscript"/>
        </w:rPr>
        <w:t>48</w:t>
      </w:r>
      <w:r w:rsidR="00DA2427" w:rsidRPr="00177CF7">
        <w:fldChar w:fldCharType="end"/>
      </w:r>
      <w:r w:rsidRPr="00177CF7">
        <w:t xml:space="preserve">. Briefly, this method employs multiple rounds of Random-forest generation and includes so-called shadow variables, which are permuted versions of the original input variables, to derive test statistics for the variable importance measure. </w:t>
      </w:r>
    </w:p>
    <w:p w14:paraId="0000003D" w14:textId="329FE4F7" w:rsidR="00766C45" w:rsidRPr="00177CF7" w:rsidRDefault="00555D20">
      <w:pPr>
        <w:spacing w:line="360" w:lineRule="auto"/>
        <w:jc w:val="both"/>
        <w:rPr>
          <w:i/>
        </w:rPr>
      </w:pPr>
      <w:r w:rsidRPr="00177CF7">
        <w:rPr>
          <w:i/>
        </w:rPr>
        <w:t>Genotyping</w:t>
      </w:r>
      <w:r w:rsidR="00BF4E8B" w:rsidRPr="00177CF7">
        <w:rPr>
          <w:i/>
        </w:rPr>
        <w:t xml:space="preserve"> and imputation</w:t>
      </w:r>
    </w:p>
    <w:p w14:paraId="6CACCB09" w14:textId="33B53B6E" w:rsidR="00F83DD9" w:rsidRPr="00177CF7" w:rsidRDefault="00F83DD9">
      <w:pPr>
        <w:pBdr>
          <w:top w:val="nil"/>
          <w:left w:val="nil"/>
          <w:bottom w:val="nil"/>
          <w:right w:val="nil"/>
          <w:between w:val="nil"/>
        </w:pBdr>
        <w:spacing w:before="120" w:line="360" w:lineRule="auto"/>
        <w:jc w:val="both"/>
      </w:pPr>
      <w:r w:rsidRPr="00177CF7">
        <w:t>Fenland participants were genotyped using</w:t>
      </w:r>
      <w:r w:rsidR="00B05FC6" w:rsidRPr="00177CF7">
        <w:t xml:space="preserve"> one of</w:t>
      </w:r>
      <w:r w:rsidRPr="00177CF7">
        <w:t xml:space="preserve"> three genotyping arrays: the Affymetrix UK Biobank Axiom array (OMICs, N=8994), </w:t>
      </w:r>
      <w:r w:rsidR="00BD198E" w:rsidRPr="00177CF7">
        <w:t>Affymetrix SNP5.0 (GWAS, N=1402)</w:t>
      </w:r>
      <w:r w:rsidR="001571C7" w:rsidRPr="00177CF7">
        <w:t>,</w:t>
      </w:r>
      <w:r w:rsidR="00BD198E" w:rsidRPr="00177CF7">
        <w:t xml:space="preserve"> and </w:t>
      </w:r>
      <w:r w:rsidRPr="00177CF7">
        <w:t>Illumina Infinium Core Exome 24v1 (Core-Exome, N=1060). Samples were excluded for the following reasons: 1) failed channel contrast (</w:t>
      </w:r>
      <w:proofErr w:type="spellStart"/>
      <w:r w:rsidRPr="00177CF7">
        <w:t>DishQC</w:t>
      </w:r>
      <w:proofErr w:type="spellEnd"/>
      <w:r w:rsidRPr="00177CF7">
        <w:t xml:space="preserve"> &lt;0.82); 2) low call rate (&lt;95%); 3) gender mismatch between reported and genetic sex; 4) heterozygosity outlier; 5) unusually high number of singleton genotypes or 6) impossible </w:t>
      </w:r>
      <w:r w:rsidRPr="00177CF7">
        <w:lastRenderedPageBreak/>
        <w:t xml:space="preserve">identity-by-descent values. Single nucleotide polymorphisms (SNPs) were removed if: 1) call rate &lt; 95%; 2) clusters failed Affymetrix </w:t>
      </w:r>
      <w:proofErr w:type="spellStart"/>
      <w:r w:rsidRPr="00177CF7">
        <w:t>SNPolisher</w:t>
      </w:r>
      <w:proofErr w:type="spellEnd"/>
      <w:r w:rsidRPr="00177CF7">
        <w:t xml:space="preserve"> standard tests and thresholds; 3) MAF was significantly affected by plate; 4) SNP was a duplicate based on chromosome, </w:t>
      </w:r>
      <w:proofErr w:type="gramStart"/>
      <w:r w:rsidRPr="00177CF7">
        <w:t>position</w:t>
      </w:r>
      <w:proofErr w:type="gramEnd"/>
      <w:r w:rsidRPr="00177CF7">
        <w:t xml:space="preserve"> and alleles (selecting the best </w:t>
      </w:r>
      <w:proofErr w:type="spellStart"/>
      <w:r w:rsidRPr="00177CF7">
        <w:t>probeset</w:t>
      </w:r>
      <w:proofErr w:type="spellEnd"/>
      <w:r w:rsidRPr="00177CF7">
        <w:t xml:space="preserve"> according to Affymetrix </w:t>
      </w:r>
      <w:proofErr w:type="spellStart"/>
      <w:r w:rsidRPr="00177CF7">
        <w:t>SNPolisher</w:t>
      </w:r>
      <w:proofErr w:type="spellEnd"/>
      <w:r w:rsidRPr="00177CF7">
        <w:t>); 5) Hardy-Weinberg equilibrium p&lt;10</w:t>
      </w:r>
      <w:r w:rsidRPr="00177CF7">
        <w:rPr>
          <w:vertAlign w:val="superscript"/>
        </w:rPr>
        <w:t>-6</w:t>
      </w:r>
      <w:r w:rsidRPr="00177CF7">
        <w:t>; 6) did not match the reference or 7) MAF=0.</w:t>
      </w:r>
    </w:p>
    <w:p w14:paraId="0000003E" w14:textId="27745BB1" w:rsidR="00766C45" w:rsidRPr="00177CF7" w:rsidRDefault="00BD198E">
      <w:pPr>
        <w:spacing w:line="360" w:lineRule="auto"/>
        <w:jc w:val="both"/>
      </w:pPr>
      <w:r w:rsidRPr="00177CF7">
        <w:t>Imputation to the HRC (r1) panel</w:t>
      </w:r>
      <w:r w:rsidR="00EF7147" w:rsidRPr="00177CF7">
        <w:t xml:space="preserve"> for the autosomes of the OMICS and GWAS subsets</w:t>
      </w:r>
      <w:r w:rsidRPr="00177CF7">
        <w:t xml:space="preserve"> was performed using IMPUTE4</w:t>
      </w:r>
      <w:r w:rsidRPr="00177CF7">
        <w:fldChar w:fldCharType="begin" w:fldLock="1"/>
      </w:r>
      <w:r w:rsidR="007212AD">
        <w:instrText>ADDIN CSL_CITATION {"citationItems":[{"id":"ITEM-1","itemData":{"DOI":"10.1038/s41586-018-0579-z","ISSN":"14764687","PMID":"30305743","abstract":"The UK Biobank project is a prospective cohort study with deep genetic and phenotypic data collected on approximately 500,000 individuals from across the United Kingdom, aged between 40 and 69 at recruitment. The open resource is unique in its size and scope. A rich variety of phenotypic and health-related information is available on each participant, including biological measurements, lifestyle indicators, biomarkers in blood and urine, and imaging of the body and brain. Follow-up information is provided by linking health and medical records. Genome-wide genotype data have been collected on all participants, providing many opportunities for the discovery of new genetic associations and the genetic bases of complex traits. Here we describe the centralized analysis of the genetic data, including genotype quality, properties of population structure and relatedness of the genetic data, and efficient phasing and genotype imputation that increases the number of testable variants to around 96 million. Classical allelic variation at 11 human leukocyte antigen genes was imputed, resulting in the recovery of signals with known associations between human leukocyte antigen alleles and many diseases.","author":[{"dropping-particle":"","family":"Bycroft","given":"Clare","non-dropping-particle":"","parse-names":false,"suffix":""},{"dropping-particle":"","family":"Freeman","given":"Colin","non-dropping-particle":"","parse-names":false,"suffix":""},{"dropping-particle":"","family":"Petkova","given":"Desislava","non-dropping-particle":"","parse-names":false,"suffix":""},{"dropping-particle":"","family":"Band","given":"Gavin","non-dropping-particle":"","parse-names":false,"suffix":""},{"dropping-particle":"","family":"Elliott","given":"Lloyd T.","non-dropping-particle":"","parse-names":false,"suffix":""},{"dropping-particle":"","family":"Sharp","given":"Kevin","non-dropping-particle":"","parse-names":false,"suffix":""},{"dropping-particle":"","family":"Motyer","given":"Allan","non-dropping-particle":"","parse-names":false,"suffix":""},{"dropping-particle":"","family":"Vukcevic","given":"Damjan","non-dropping-particle":"","parse-names":false,"suffix":""},{"dropping-particle":"","family":"Delaneau","given":"Olivier","non-dropping-particle":"","parse-names":false,"suffix":""},{"dropping-particle":"","family":"O’Connell","given":"Jared","non-dropping-particle":"","parse-names":false,"suffix":""},{"dropping-particle":"","family":"Cortes","given":"Adrian","non-dropping-particle":"","parse-names":false,"suffix":""},{"dropping-particle":"","family":"Welsh","given":"Samantha","non-dropping-particle":"","parse-names":false,"suffix":""},{"dropping-particle":"","family":"Young","given":"Alan","non-dropping-particle":"","parse-names":false,"suffix":""},{"dropping-particle":"","family":"Effingham","given":"Mark","non-dropping-particle":"","parse-names":false,"suffix":""},{"dropping-particle":"","family":"McVean","given":"Gil","non-dropping-particle":"","parse-names":false,"suffix":""},{"dropping-particle":"","family":"Leslie","given":"Stephen","non-dropping-particle":"","parse-names":false,"suffix":""},{"dropping-particle":"","family":"Allen","given":"Naomi","non-dropping-particle":"","parse-names":false,"suffix":""},{"dropping-particle":"","family":"Donnelly","given":"Peter","non-dropping-particle":"","parse-names":false,"suffix":""},{"dropping-particle":"","family":"Marchini","given":"Jonathan","non-dropping-particle":"","parse-names":false,"suffix":""}],"container-title":"Nature","id":"ITEM-1","issue":"7726","issued":{"date-parts":[["2018"]]},"page":"203-209","title":"The UK Biobank resource with deep phenotyping and genomic data","type":"article-journal","volume":"562"},"uris":["http://www.mendeley.com/documents/?uuid=e9e6013d-2786-4feb-bf22-3810b8bf42cb"]}],"mendeley":{"formattedCitation":"&lt;sup&gt;49&lt;/sup&gt;","plainTextFormattedCitation":"49","previouslyFormattedCitation":"&lt;sup&gt;49&lt;/sup&gt;"},"properties":{"noteIndex":0},"schema":"https://github.com/citation-style-language/schema/raw/master/csl-citation.json"}</w:instrText>
      </w:r>
      <w:r w:rsidRPr="00177CF7">
        <w:fldChar w:fldCharType="separate"/>
      </w:r>
      <w:r w:rsidR="00AB37AF" w:rsidRPr="00AB37AF">
        <w:rPr>
          <w:noProof/>
          <w:vertAlign w:val="superscript"/>
        </w:rPr>
        <w:t>49</w:t>
      </w:r>
      <w:r w:rsidRPr="00177CF7">
        <w:fldChar w:fldCharType="end"/>
      </w:r>
      <w:r w:rsidRPr="00177CF7">
        <w:t xml:space="preserve"> </w:t>
      </w:r>
      <w:r w:rsidR="00F83DD9" w:rsidRPr="00177CF7">
        <w:t xml:space="preserve">and </w:t>
      </w:r>
      <w:r w:rsidRPr="00177CF7">
        <w:t xml:space="preserve">to HRC.r1.1 </w:t>
      </w:r>
      <w:r w:rsidR="00EF7147" w:rsidRPr="00177CF7">
        <w:t xml:space="preserve">for the Core-Exome subset and the X-chromosome (all subsets) </w:t>
      </w:r>
      <w:r w:rsidRPr="00177CF7">
        <w:t>using the Sanger imputation server</w:t>
      </w:r>
      <w:r w:rsidRPr="00177CF7">
        <w:fldChar w:fldCharType="begin" w:fldLock="1"/>
      </w:r>
      <w:r w:rsidR="007212AD">
        <w:instrText>ADDIN CSL_CITATION {"citationItems":[{"id":"ITEM-1","itemData":{"DOI":"10.1038/ng.3643","ISSN":"15461718","PMID":"27548312","abstract":"We describe a reference panel of 64,976 human haplotypes at 39,235,157 SNPs constructed using whole-genome sequence data from 20 studies of predominantly European ancestry. Using this resource leads to accurate genotype imputation at minor allele frequencies as low as 0.1% and a large increase in the number of SNPs tested in association studies, and it can help to discover and refine causal loci. We describe remote server resources that allow researchers to carry out imputation and phasing consistently and efficiently.","author":[{"dropping-particle":"","family":"McCarthy","given":"Shane","non-dropping-particle":"","parse-names":false,"suffix":""},{"dropping-particle":"","family":"Das","given":"Sayantan","non-dropping-particle":"","parse-names":false,"suffix":""},{"dropping-particle":"","family":"Kretzschmar","given":"Warren","non-dropping-particle":"","parse-names":false,"suffix":""},{"dropping-particle":"","family":"Delaneau","given":"Olivier","non-dropping-particle":"","parse-names":false,"suffix":""},{"dropping-particle":"","family":"Wood","given":"Andrew R.","non-dropping-particle":"","parse-names":false,"suffix":""},{"dropping-particle":"","family":"Teumer","given":"Alexander","non-dropping-particle":"","parse-names":false,"suffix":""},{"dropping-particle":"","family":"Kang","given":"Hyun Min","non-dropping-particle":"","parse-names":false,"suffix":""},{"dropping-particle":"","family":"Fuchsberger","given":"Christian","non-dropping-particle":"","parse-names":false,"suffix":""},{"dropping-particle":"","family":"Danecek","given":"Petr","non-dropping-particle":"","parse-names":false,"suffix":""},{"dropping-particle":"","family":"Sharp","given":"Kevin","non-dropping-particle":"","parse-names":false,"suffix":""},{"dropping-particle":"","family":"Luo","given":"Yang","non-dropping-particle":"","parse-names":false,"suffix":""},{"dropping-particle":"","family":"Sidore","given":"Carlo","non-dropping-particle":"","parse-names":false,"suffix":""},{"dropping-particle":"","family":"Kwong","given":"Alan","non-dropping-particle":"","parse-names":false,"suffix":""},{"dropping-particle":"","family":"Timpson","given":"Nicholas","non-dropping-particle":"","parse-names":false,"suffix":""},{"dropping-particle":"","family":"Koskinen","given":"Seppo","non-dropping-particle":"","parse-names":false,"suffix":""},{"dropping-particle":"","family":"Vrieze","given":"Scott","non-dropping-particle":"","parse-names":false,"suffix":""},{"dropping-particle":"","family":"Scott","given":"Laura J.","non-dropping-particle":"","parse-names":false,"suffix":""},{"dropping-particle":"","family":"Zhang","given":"He","non-dropping-particle":"","parse-names":false,"suffix":""},{"dropping-particle":"","family":"Mahajan","given":"Anubha","non-dropping-particle":"","parse-names":false,"suffix":""},{"dropping-particle":"","family":"Veldink","given":"Jan","non-dropping-particle":"","parse-names":false,"suffix":""},{"dropping-particle":"","family":"Peters","given":"Ulrike","non-dropping-particle":"","parse-names":false,"suffix":""},{"dropping-particle":"","family":"Pato","given":"Carlos","non-dropping-particle":"","parse-names":false,"suffix":""},{"dropping-particle":"","family":"Duijn","given":"Cornelia M.","non-dropping-particle":"Van","parse-names":false,"suffix":""},{"dropping-particle":"","family":"Gillies","given":"Christopher E.","non-dropping-particle":"","parse-names":false,"suffix":""},{"dropping-particle":"","family":"Gandin","given":"Ilaria","non-dropping-particle":"","parse-names":false,"suffix":""},{"dropping-particle":"","family":"Mezzavilla","given":"Massimo","non-dropping-particle":"","parse-names":false,"suffix":""},{"dropping-particle":"","family":"Gilly","given":"Arthur","non-dropping-particle":"","parse-names":false,"suffix":""},{"dropping-particle":"","family":"Cocca","given":"Massimiliano","non-dropping-particle":"","parse-names":false,"suffix":""},{"dropping-particle":"","family":"Traglia","given":"Michela","non-dropping-particle":"","parse-names":false,"suffix":""},{"dropping-particle":"","family":"Angius","given":"Andrea","non-dropping-particle":"","parse-names":false,"suffix":""},{"dropping-particle":"","family":"Barrett","given":"Jeffrey C.","non-dropping-particle":"","parse-names":false,"suffix":""},{"dropping-particle":"","family":"Boomsma","given":"Dorrett","non-dropping-particle":"","parse-names":false,"suffix":""},{"dropping-particle":"","family":"Branham","given":"Kari","non-dropping-particle":"","parse-names":false,"suffix":""},{"dropping-particle":"","family":"Breen","given":"Gerome","non-dropping-particle":"","parse-names":false,"suffix":""},{"dropping-particle":"","family":"Brummett","given":"Chad M.","non-dropping-particle":"","parse-names":false,"suffix":""},{"dropping-particle":"","family":"Busonero","given":"Fabio","non-dropping-particle":"","parse-names":false,"suffix":""},{"dropping-particle":"","family":"Campbell","given":"Harry","non-dropping-particle":"","parse-names":false,"suffix":""},{"dropping-particle":"","family":"Chan","given":"Andrew","non-dropping-particle":"","parse-names":false,"suffix":""},{"dropping-particle":"","family":"Chen","given":"Sai","non-dropping-particle":"","parse-names":false,"suffix":""},{"dropping-particle":"","family":"Chew","given":"Emily","non-dropping-particle":"","parse-names":false,"suffix":""},{"dropping-particle":"","family":"Collins","given":"Francis S.","non-dropping-particle":"","parse-names":false,"suffix":""},{"dropping-particle":"","family":"Corbin","given":"Laura J.","non-dropping-particle":"","parse-names":false,"suffix":""},{"dropping-particle":"","family":"Smith","given":"George Davey","non-dropping-particle":"","parse-names":false,"suffix":""},{"dropping-particle":"","family":"Dedoussis","given":"George","non-dropping-particle":"","parse-names":false,"suffix":""},{"dropping-particle":"","family":"Dorr","given":"Marcus","non-dropping-particle":"","parse-names":false,"suffix":""},{"dropping-particle":"","family":"Farmaki","given":"Aliki Eleni","non-dropping-particle":"","parse-names":false,"suffix":""},{"dropping-particle":"","family":"Ferrucci","given":"Luigi","non-dropping-particle":"","parse-names":false,"suffix":""},{"dropping-particle":"","family":"Forer","given":"Lukas","non-dropping-particle":"","parse-names":false,"suffix":""},{"dropping-particle":"","family":"Fraser","given":"Ross M.","non-dropping-particle":"","parse-names":false,"suffix":""},{"dropping-particle":"","family":"Gabriel","given":"Stacey","non-dropping-particle":"","parse-names":false,"suffix":""},{"dropping-particle":"","family":"Levy","given":"Shawn","non-dropping-particle":"","parse-names":false,"suffix":""},{"dropping-particle":"","family":"Groop","given":"Leif","non-dropping-particle":"","parse-names":false,"suffix":""},{"dropping-particle":"","family":"Harrison","given":"Tabitha","non-dropping-particle":"","parse-names":false,"suffix":""},{"dropping-particle":"","family":"Hattersley","given":"Andrew","non-dropping-particle":"","parse-names":false,"suffix":""},{"dropping-particle":"","family":"Holmen","given":"Oddgeir L.","non-dropping-particle":"","parse-names":false,"suffix":""},{"dropping-particle":"","family":"Hveem","given":"Kristian","non-dropping-particle":"","parse-names":false,"suffix":""},{"dropping-particle":"","family":"Kretzler","given":"Matthias","non-dropping-particle":"","parse-names":false,"suffix":""},{"dropping-particle":"","family":"Lee","given":"James C.","non-dropping-particle":"","parse-names":false,"suffix":""},{"dropping-particle":"","family":"McGue","given":"Matt","non-dropping-particle":"","parse-names":false,"suffix":""},{"dropping-particle":"","family":"Meitinger","given":"Thomas","non-dropping-particle":"","parse-names":false,"suffix":""},{"dropping-particle":"","family":"Melzer","given":"David","non-dropping-particle":"","parse-names":false,"suffix":""},{"dropping-particle":"","family":"Min","given":"Josine L.","non-dropping-particle":"","parse-names":false,"suffix":""},{"dropping-particle":"","family":"Mohlke","given":"Karen L.","non-dropping-particle":"","parse-names":false,"suffix":""},{"dropping-particle":"","family":"Vincent","given":"John B.","non-dropping-particle":"","parse-names":false,"suffix":""},{"dropping-particle":"","family":"Nauck","given":"Matthias","non-dropping-particle":"","parse-names":false,"suffix":""},{"dropping-particle":"","family":"Nickerson","given":"Deborah","non-dropping-particle":"","parse-names":false,"suffix":""},{"dropping-particle":"","family":"Palotie","given":"Aarno","non-dropping-particle":"","parse-names":false,"suffix":""},{"dropping-particle":"","family":"Pato","given":"Michele","non-dropping-particle":"","parse-names":false,"suffix":""},{"dropping-particle":"","family":"Pirastu","given":"Nicola","non-dropping-particle":"","parse-names":false,"suffix":""},{"dropping-particle":"","family":"McInnis","given":"Melvin","non-dropping-particle":"","parse-names":false,"suffix":""},{"dropping-particle":"","family":"Richards","given":"J. Brent","non-dropping-particle":"","parse-names":false,"suffix":""},{"dropping-particle":"","family":"Sala","given":"Cinzia","non-dropping-particle":"","parse-names":false,"suffix":""},{"dropping-particle":"","family":"Salomaa","given":"Veikko","non-dropping-particle":"","parse-names":false,"suffix":""},{"dropping-particle":"","family":"Schlessinger","given":"David","non-dropping-particle":"","parse-names":false,"suffix":""},{"dropping-particle":"","family":"Schoenherr","given":"Sebastian","non-dropping-particle":"","parse-names":false,"suffix":""},{"dropping-particle":"","family":"Slagboom","given":"P. Eline","non-dropping-particle":"","parse-names":false,"suffix":""},{"dropping-particle":"","family":"Small","given":"Kerrin","non-dropping-particle":"","parse-names":false,"suffix":""},{"dropping-particle":"","family":"Spector","given":"Timothy","non-dropping-particle":"","parse-names":false,"suffix":""},{"dropping-particle":"","family":"Stambolian","given":"Dwight","non-dropping-particle":"","parse-names":false,"suffix":""},{"dropping-particle":"","family":"Tuke","given":"Marcus","non-dropping-particle":"","parse-names":false,"suffix":""},{"dropping-particle":"","family":"Tuomilehto","given":"Jaakko","non-dropping-particle":"","parse-names":false,"suffix":""},{"dropping-particle":"","family":"Berg","given":"Leonard H.","non-dropping-particle":"Van Den","parse-names":false,"suffix":""},{"dropping-particle":"","family":"Rheenen","given":"Wouter","non-dropping-particle":"Van","parse-names":false,"suffix":""},{"dropping-particle":"","family":"Volker","given":"Uwe","non-dropping-particle":"","parse-names":false,"suffix":""},{"dropping-particle":"","family":"Wijmenga","given":"Cisca","non-dropping-particle":"","parse-names":false,"suffix":""},{"dropping-particle":"","family":"Toniolo","given":"Daniela","non-dropping-particle":"","parse-names":false,"suffix":""},{"dropping-particle":"","family":"Zeggini","given":"Eleftheria","non-dropping-particle":"","parse-names":false,"suffix":""},{"dropping-particle":"","family":"Gasparini","given":"Paolo","non-dropping-particle":"","parse-names":false,"suffix":""},{"dropping-particle":"","family":"Sampson","given":"Matthew G.","non-dropping-particle":"","parse-names":false,"suffix":""},{"dropping-particle":"","family":"Wilson","given":"James F.","non-dropping-particle":"","parse-names":false,"suffix":""},{"dropping-particle":"","family":"Frayling","given":"Timothy","non-dropping-particle":"","parse-names":false,"suffix":""},{"dropping-particle":"","family":"Bakker","given":"Paul I.W.","non-dropping-particle":"De","parse-names":false,"suffix":""},{"dropping-particle":"","family":"Swertz","given":"Morris A.","non-dropping-particle":"","parse-names":false,"suffix":""},{"dropping-particle":"","family":"McCarroll","given":"Steven","non-dropping-particle":"","parse-names":false,"suffix":""},{"dropping-particle":"","family":"Kooperberg","given":"Charles","non-dropping-particle":"","parse-names":false,"suffix":""},{"dropping-particle":"","family":"Dekker","given":"Annelot","non-dropping-particle":"","parse-names":false,"suffix":""},{"dropping-particle":"","family":"Altshuler","given":"David","non-dropping-particle":"","parse-names":false,"suffix":""},{"dropping-particle":"","family":"Willer","given":"Cristen","non-dropping-particle":"","parse-names":false,"suffix":""},{"dropping-particle":"","family":"Iacono","given":"William","non-dropping-particle":"","parse-names":false,"suffix":""},{"dropping-particle":"","family":"Ripatti","given":"Samuli","non-dropping-particle":"","parse-names":false,"suffix":""},{"dropping-particle":"","family":"Soranzo","given":"Nicole","non-dropping-particle":"","parse-names":false,"suffix":""},{"dropping-particle":"","family":"Walter","given":"Klaudia","non-dropping-particle":"","parse-names":false,"suffix":""},{"dropping-particle":"","family":"Swaroop","given":"Anand","non-dropping-particle":"","parse-names":false,"suffix":""},{"dropping-particle":"","family":"Cucca","given":"Francesco","non-dropping-particle":"","parse-names":false,"suffix":""},{"dropping-particle":"","family":"Anderson","given":"Carl A.","non-dropping-particle":"","parse-names":false,"suffix":""},{"dropping-particle":"","family":"Myers","given":"Richard M.","non-dropping-particle":"","parse-names":false,"suffix":""},{"dropping-particle":"","family":"Boehnke","given":"Michael","non-dropping-particle":"","parse-names":false,"suffix":""},{"dropping-particle":"","family":"McCarthy","given":"Mark I.","non-dropping-particle":"","parse-names":false,"suffix":""},{"dropping-particle":"","family":"Durbin","given":"Richard","non-dropping-particle":"","parse-names":false,"suffix":""},{"dropping-particle":"","family":"Abecasis","given":"Gonçalo","non-dropping-particle":"","parse-names":false,"suffix":""},{"dropping-particle":"","family":"Marchini","given":"Jonathan","non-dropping-particle":"","parse-names":false,"suffix":""}],"container-title":"Nature Genetics","id":"ITEM-1","issue":"10","issued":{"date-parts":[["2016"]]},"page":"1279-1283","title":"A reference panel of 64,976 haplotypes for genotype imputation","type":"article-journal","volume":"48"},"uris":["http://www.mendeley.com/documents/?uuid=01ab23e3-28ef-4560-a1f8-1e29ec1f80b2"]}],"mendeley":{"formattedCitation":"&lt;sup&gt;50&lt;/sup&gt;","plainTextFormattedCitation":"50","previouslyFormattedCitation":"&lt;sup&gt;50&lt;/sup&gt;"},"properties":{"noteIndex":0},"schema":"https://github.com/citation-style-language/schema/raw/master/csl-citation.json"}</w:instrText>
      </w:r>
      <w:r w:rsidRPr="00177CF7">
        <w:fldChar w:fldCharType="separate"/>
      </w:r>
      <w:r w:rsidR="00AB37AF" w:rsidRPr="00AB37AF">
        <w:rPr>
          <w:noProof/>
          <w:vertAlign w:val="superscript"/>
        </w:rPr>
        <w:t>50</w:t>
      </w:r>
      <w:r w:rsidRPr="00177CF7">
        <w:fldChar w:fldCharType="end"/>
      </w:r>
      <w:r w:rsidR="00EF7147" w:rsidRPr="00177CF7">
        <w:t xml:space="preserve">. Imputation to the </w:t>
      </w:r>
      <w:r w:rsidR="00F83DD9" w:rsidRPr="00177CF7">
        <w:t>UK10K+1000Gphase3</w:t>
      </w:r>
      <w:r w:rsidR="00F83DD9" w:rsidRPr="00177CF7">
        <w:fldChar w:fldCharType="begin" w:fldLock="1"/>
      </w:r>
      <w:r w:rsidR="007212AD">
        <w:instrText>ADDIN CSL_CITATION {"citationItems":[{"id":"ITEM-1","itemData":{"DOI":"10.1038/ncomms9111","ISSN":"20411723","PMID":"26368830","abstract":"Imputing genotypes from reference panels created by whole-genome sequencing (WGS) provides a cost-effective strategy for augmenting the single-nucleotide polymorphism (SNP) content of genome-wide arrays. The UK10K Cohorts project has generated a data set of 3,781 whole genomes sequenced at low depth (average 7x), aiming to exhaustively characterize genetic variation down to 0.1% minor allele frequency in the British population. Here we demonstrate the value of this resource for improving imputation accuracy at rare and low-frequency variants in both a UK and an Italian population. We show that large increases in imputation accuracy can be achieved by re-phasing WGS reference panels after initial genotype calling. We also present a method for combining WGS panels to improve variant coverage and downstream imputation accuracy, which we illustrate by integrating 7,562 WGS haplotypes from the UK10K project with 2,184 haplotypes from the 1000 Genomes Project. Finally, we introduce a novel approximation that maintains speed without sacrificing imputation accuracy for rare variants.","author":[{"dropping-particle":"","family":"Huang","given":"Jie","non-dropping-particle":"","parse-names":false,"suffix":""},{"dropping-particle":"","family":"Howie","given":"Bryan","non-dropping-particle":"","parse-names":false,"suffix":""},{"dropping-particle":"","family":"McCarthy","given":"Shane","non-dropping-particle":"","parse-names":false,"suffix":""},{"dropping-particle":"","family":"Memari","given":"Yasin","non-dropping-particle":"","parse-names":false,"suffix":""},{"dropping-particle":"","family":"Walter","given":"Klaudia","non-dropping-particle":"","parse-names":false,"suffix":""},{"dropping-particle":"","family":"Min","given":"Josine L.","non-dropping-particle":"","parse-names":false,"suffix":""},{"dropping-particle":"","family":"Danecek","given":"Petr","non-dropping-particle":"","parse-names":false,"suffix":""},{"dropping-particle":"","family":"Malerba","given":"Giovanni","non-dropping-particle":"","parse-names":false,"suffix":""},{"dropping-particle":"","family":"Trabetti","given":"Elisabetta","non-dropping-particle":"","parse-names":false,"suffix":""},{"dropping-particle":"","family":"Zheng","given":"Hou Feng","non-dropping-particle":"","parse-names":false,"suffix":""},{"dropping-particle":"","family":"Gambaro","given":"Giovanni","non-dropping-particle":"","parse-names":false,"suffix":""},{"dropping-particle":"","family":"Richards","given":"J. Brent","non-dropping-particle":"","parse-names":false,"suffix":""},{"dropping-particle":"","family":"Durbin","given":"Richard","non-dropping-particle":"","parse-names":false,"suffix":""},{"dropping-particle":"","family":"Timpson","given":"Nicholas J.","non-dropping-particle":"","parse-names":false,"suffix":""},{"dropping-particle":"","family":"Marchini","given":"Jonathan","non-dropping-particle":"","parse-names":false,"suffix":""},{"dropping-particle":"","family":"Soranzo","given":"Nicole","non-dropping-particle":"","parse-names":false,"suffix":""},{"dropping-particle":"","family":"Turki","given":"Saeed","non-dropping-particle":"Al","parse-names":false,"suffix":""},{"dropping-particle":"","family":"Amuzu","given":"Antoinette","non-dropping-particle":"","parse-names":false,"suffix":""},{"dropping-particle":"","family":"Anderson","given":"Carl A.","non-dropping-particle":"","parse-names":false,"suffix":""},{"dropping-particle":"","family":"Anney","given":"Richard","non-dropping-particle":"","parse-names":false,"suffix":""},{"dropping-particle":"","family":"Antony","given":"Dinu","non-dropping-particle":"","parse-names":false,"suffix":""},{"dropping-particle":"","family":"Artigas","given":"María Soler","non-dropping-particle":"","parse-names":false,"suffix":""},{"dropping-particle":"","family":"Ayub","given":"Muhammad","non-dropping-particle":"","parse-names":false,"suffix":""},{"dropping-particle":"","family":"Bala","given":"Senduran","non-dropping-particle":"","parse-names":false,"suffix":""},{"dropping-particle":"","family":"Barrett","given":"Jeffrey C.","non-dropping-particle":"","parse-names":false,"suffix":""},{"dropping-particle":"","family":"Barroso","given":"Inês","non-dropping-particle":"","parse-names":false,"suffix":""},{"dropping-particle":"","family":"Beales","given":"Phil","non-dropping-particle":"","parse-names":false,"suffix":""},{"dropping-particle":"","family":"Benn","given":"Marianne","non-dropping-particle":"","parse-names":false,"suffix":""},{"dropping-particle":"","family":"Bentham","given":"Jamie","non-dropping-particle":"","parse-names":false,"suffix":""},{"dropping-particle":"","family":"Bhattacharya","given":"Shoumo","non-dropping-particle":"","parse-names":false,"suffix":""},{"dropping-particle":"","family":"Birney","given":"Ewan","non-dropping-particle":"","parse-names":false,"suffix":""},{"dropping-particle":"","family":"Blackwood","given":"Douglas","non-dropping-particle":"","parse-names":false,"suffix":""},{"dropping-particle":"","family":"Bobrow","given":"Martin","non-dropping-particle":"","parse-names":false,"suffix":""},{"dropping-particle":"","family":"Bochukova","given":"Elena","non-dropping-particle":"","parse-names":false,"suffix":""},{"dropping-particle":"","family":"Bolton","given":"Patrick F.","non-dropping-particle":"","parse-names":false,"suffix":""},{"dropping-particle":"","family":"Bounds","given":"Rebecca","non-dropping-particle":"","parse-names":false,"suffix":""},{"dropping-particle":"","family":"Boustred","given":"Chris","non-dropping-particle":"","parse-names":false,"suffix":""},{"dropping-particle":"","family":"Breen","given":"Gerome","non-dropping-particle":"","parse-names":false,"suffix":""},{"dropping-particle":"","family":"Calissano","given":"Mattia","non-dropping-particle":"","parse-names":false,"suffix":""},{"dropping-particle":"","family":"Carss","given":"Keren","non-dropping-particle":"","parse-names":false,"suffix":""},{"dropping-particle":"","family":"Casas","given":"Juan Pablo","non-dropping-particle":"","parse-names":false,"suffix":""},{"dropping-particle":"","family":"Chambers","given":"John C.","non-dropping-particle":"","parse-names":false,"suffix":""},{"dropping-particle":"","family":"Charlton","given":"Ruth","non-dropping-particle":"","parse-names":false,"suffix":""},{"dropping-particle":"","family":"Chatterjee","given":"Krishna","non-dropping-particle":"","parse-names":false,"suffix":""},{"dropping-particle":"","family":"Chen","given":"Lu","non-dropping-particle":"","parse-names":false,"suffix":""},{"dropping-particle":"","family":"Ciampi","given":"Antonio","non-dropping-particle":"","parse-names":false,"suffix":""},{"dropping-particle":"","family":"Cirak","given":"Sebahattin","non-dropping-particle":"","parse-names":false,"suffix":""},{"dropping-particle":"","family":"Clapham","given":"Peter","non-dropping-particle":"","parse-names":false,"suffix":""},{"dropping-particle":"","family":"Clement","given":"Gail","non-dropping-particle":"","parse-names":false,"suffix":""},{"dropping-particle":"","family":"Coates","given":"Guy","non-dropping-particle":"","parse-names":false,"suffix":""},{"dropping-particle":"","family":"Cocca","given":"Massimiliano","non-dropping-particle":"","parse-names":false,"suffix":""},{"dropping-particle":"","family":"Collier","given":"David A.","non-dropping-particle":"","parse-names":false,"suffix":""},{"dropping-particle":"","family":"Cosgrove","given":"Catherine","non-dropping-particle":"","parse-names":false,"suffix":""},{"dropping-particle":"","family":"Cox","given":"Tony","non-dropping-particle":"","parse-names":false,"suffix":""},{"dropping-particle":"","family":"Craddock","given":"Nick","non-dropping-particle":"","parse-names":false,"suffix":""},{"dropping-particle":"","family":"Crooks","given":"Lucy","non-dropping-particle":"","parse-names":false,"suffix":""},{"dropping-particle":"","family":"Curran","given":"Sarah","non-dropping-particle":"","parse-names":false,"suffix":""},{"dropping-particle":"","family":"Curtis","given":"David","non-dropping-particle":"","parse-names":false,"suffix":""},{"dropping-particle":"","family":"Daly","given":"Allan","non-dropping-particle":"","parse-names":false,"suffix":""},{"dropping-particle":"","family":"Day","given":"Ian N.M.","non-dropping-particle":"","parse-names":false,"suffix":""},{"dropping-particle":"","family":"Day-Williams","given":"Aaron","non-dropping-particle":"","parse-names":false,"suffix":""},{"dropping-particle":"","family":"Dedoussis","given":"George","non-dropping-particle":"","parse-names":false,"suffix":""},{"dropping-particle":"","family":"Down","given":"Thomas","non-dropping-particle":"","parse-names":false,"suffix":""},{"dropping-particle":"","family":"Du","given":"Yuanping","non-dropping-particle":"","parse-names":false,"suffix":""},{"dropping-particle":"","family":"Duijn","given":"Cornelia M.","non-dropping-particle":"Van","parse-names":false,"suffix":""},{"dropping-particle":"","family":"Dunham","given":"Ian","non-dropping-particle":"","parse-names":false,"suffix":""},{"dropping-particle":"","family":"Edkins","given":"Sarah","non-dropping-particle":"","parse-names":false,"suffix":""},{"dropping-particle":"","family":"Ekong","given":"Rosemary","non-dropping-particle":"","parse-names":false,"suffix":""},{"dropping-particle":"","family":"Ellis","given":"Peter","non-dropping-particle":"","parse-names":false,"suffix":""},{"dropping-particle":"","family":"Evans","given":"David M.","non-dropping-particle":"","parse-names":false,"suffix":""},{"dropping-particle":"","family":"Farooqi","given":"I. Sadaf","non-dropping-particle":"","parse-names":false,"suffix":""},{"dropping-particle":"","family":"Fitzpatrick","given":"David R.","non-dropping-particle":"","parse-names":false,"suffix":""},{"dropping-particle":"","family":"Flicek","given":"Paul","non-dropping-particle":"","parse-names":false,"suffix":""},{"dropping-particle":"","family":"Floyd","given":"James","non-dropping-particle":"","parse-names":false,"suffix":""},{"dropping-particle":"","family":"Foley","given":"A. Reghan","non-dropping-particle":"","parse-names":false,"suffix":""},{"dropping-particle":"","family":"Franklin","given":"Christopher S.","non-dropping-particle":"","parse-names":false,"suffix":""},{"dropping-particle":"","family":"Futema","given":"Marta","non-dropping-particle":"","parse-names":false,"suffix":""},{"dropping-particle":"","family":"Gallagher","given":"Louise","non-dropping-particle":"","parse-names":false,"suffix":""},{"dropping-particle":"","family":"Gasparini","given":"Paolo","non-dropping-particle":"","parse-names":false,"suffix":""},{"dropping-particle":"","family":"Gaunt","given":"Tom R.","non-dropping-particle":"","parse-names":false,"suffix":""},{"dropping-particle":"","family":"Geihs","given":"Matthias","non-dropping-particle":"","parse-names":false,"suffix":""},{"dropping-particle":"","family":"Geschwind","given":"Daniel","non-dropping-particle":"","parse-names":false,"suffix":""},{"dropping-particle":"","family":"Greenwood","given":"Celia","non-dropping-particle":"","parse-names":false,"suffix":""},{"dropping-particle":"","family":"Griffin","given":"Heather","non-dropping-particle":"","parse-names":false,"suffix":""},{"dropping-particle":"","family":"Grozeva","given":"Detelina","non-dropping-particle":"","parse-names":false,"suffix":""},{"dropping-particle":"","family":"Guo","given":"Xiaosen","non-dropping-particle":"","parse-names":false,"suffix":""},{"dropping-particle":"","family":"Guo","given":"Xueqin","non-dropping-particle":"","parse-names":false,"suffix":""},{"dropping-particle":"","family":"Gurling","given":"Hugh","non-dropping-particle":"","parse-names":false,"suffix":""},{"dropping-particle":"","family":"Hart","given":"Deborah","non-dropping-particle":"","parse-names":false,"suffix":""},{"dropping-particle":"","family":"Hendricks","given":"Audrey E.","non-dropping-particle":"","parse-names":false,"suffix":""},{"dropping-particle":"","family":"Holmans","given":"Peter","non-dropping-particle":"","parse-names":false,"suffix":""},{"dropping-particle":"","family":"Huang","given":"Liren","non-dropping-particle":"","parse-names":false,"suffix":""},{"dropping-particle":"","family":"Hubbard","given":"Tim","non-dropping-particle":"","parse-names":false,"suffix":""},{"dropping-particle":"","family":"Humphries","given":"Steve E.","non-dropping-particle":"","parse-names":false,"suffix":""},{"dropping-particle":"","family":"Hurles","given":"Matthew E.","non-dropping-particle":"","parse-names":false,"suffix":""},{"dropping-particle":"","family":"Hysi","given":"Pirro","non-dropping-particle":"","parse-names":false,"suffix":""},{"dropping-particle":"","family":"Iotchkova","given":"Valentina","non-dropping-particle":"","parse-names":false,"suffix":""},{"dropping-particle":"","family":"Isaacs","given":"Aaron","non-dropping-particle":"","parse-names":false,"suffix":""},{"dropping-particle":"","family":"Jackson","given":"David K.","non-dropping-particle":"","parse-names":false,"suffix":""},{"dropping-particle":"","family":"Jamshidi","given":"Yalda","non-dropping-particle":"","parse-names":false,"suffix":""},{"dropping-particle":"","family":"Johnson","given":"Jon","non-dropping-particle":"","parse-names":false,"suffix":""},{"dropping-particle":"","family":"Joyce","given":"Chris","non-dropping-particle":"","parse-names":false,"suffix":""},{"dropping-particle":"","family":"Karczewski","given":"Konrad J.","non-dropping-particle":"","parse-names":false,"suffix":""},{"dropping-particle":"","family":"Kaye","given":"Jane","non-dropping-particle":"","parse-names":false,"suffix":""},{"dropping-particle":"","family":"Keane","given":"Thomas","non-dropping-particle":"","parse-names":false,"suffix":""},{"dropping-particle":"","family":"Kemp","given":"John P.","non-dropping-particle":"","parse-names":false,"suffix":""},{"dropping-particle":"","family":"Kennedy","given":"Karen","non-dropping-particle":"","parse-names":false,"suffix":""},{"dropping-particle":"","family":"Kent","given":"Alastair","non-dropping-particle":"","parse-names":false,"suffix":""},{"dropping-particle":"","family":"Keogh","given":"Julia","non-dropping-particle":"","parse-names":false,"suffix":""},{"dropping-particle":"","family":"Khawaja","given":"Farrah","non-dropping-particle":"","parse-names":false,"suffix":""},{"dropping-particle":"","family":"Kleber","given":"Marcus E.","non-dropping-particle":"","parse-names":false,"suffix":""},{"dropping-particle":"","family":"Kogelenberg","given":"Margriet","non-dropping-particle":"Van","parse-names":false,"suffix":""},{"dropping-particle":"","family":"Kolb-Kokocinski","given":"Anja","non-dropping-particle":"","parse-names":false,"suffix":""},{"dropping-particle":"","family":"Kooner","given":"Jaspal S.","non-dropping-particle":"","parse-names":false,"suffix":""},{"dropping-particle":"","family":"Lachance","given":"Genevieve","non-dropping-particle":"","parse-names":false,"suffix":""},{"dropping-particle":"","family":"Langenberg","given":"Claudia","non-dropping-particle":"","parse-names":false,"suffix":""},{"dropping-particle":"","family":"Langford","given":"Cordelia","non-dropping-particle":"","parse-names":false,"suffix":""},{"dropping-particle":"","family":"Lawson","given":"Daniel","non-dropping-particle":"","parse-names":false,"suffix":""},{"dropping-particle":"","family":"Lee","given":"Irene","non-dropping-particle":"","parse-names":false,"suffix":""},{"dropping-particle":"","family":"Leeuwen","given":"Elisabeth M.","non-dropping-particle":"Van","parse-names":false,"suffix":""},{"dropping-particle":"","family":"Lek","given":"Monkol","non-dropping-particle":"","parse-names":false,"suffix":""},{"dropping-particle":"","family":"Li","given":"Rui","non-dropping-particle":"","parse-names":false,"suffix":""},{"dropping-particle":"","family":"Li","given":"Yingrui","non-dropping-particle":"","parse-names":false,"suffix":""},{"dropping-particle":"","family":"Liang","given":"Jieqin","non-dropping-particle":"","parse-names":false,"suffix":""},{"dropping-particle":"","family":"Lin","given":"Hong","non-dropping-particle":"","parse-names":false,"suffix":""},{"dropping-particle":"","family":"Liu","given":"Ryan","non-dropping-particle":"","parse-names":false,"suffix":""},{"dropping-particle":"","family":"Lönnqvist","given":"Jouko","non-dropping-particle":"","parse-names":false,"suffix":""},{"dropping-particle":"","family":"Lopes","given":"Luis R.","non-dropping-particle":"","parse-names":false,"suffix":""},{"dropping-particle":"","family":"Lopes","given":"Margarida","non-dropping-particle":"","parse-names":false,"suffix":""},{"dropping-particle":"","family":"Luan","given":"Jian'an","non-dropping-particle":"","parse-names":false,"suffix":""},{"dropping-particle":"","family":"MacArthur","given":"Daniel G.","non-dropping-particle":"","parse-names":false,"suffix":""},{"dropping-particle":"","family":"Mangino","given":"Massimo","non-dropping-particle":"","parse-names":false,"suffix":""},{"dropping-particle":"","family":"Marenne","given":"Gaëlle","non-dropping-particle":"","parse-names":false,"suffix":""},{"dropping-particle":"","family":"März","given":"Winfried","non-dropping-particle":"","parse-names":false,"suffix":""},{"dropping-particle":"","family":"Maslen","given":"John","non-dropping-particle":"","parse-names":false,"suffix":""},{"dropping-particle":"","family":"Matchan","given":"Angela","non-dropping-particle":"","parse-names":false,"suffix":""},{"dropping-particle":"","family":"Mathieson","given":"Iain","non-dropping-particle":"","parse-names":false,"suffix":""},{"dropping-particle":"","family":"McGuffin","given":"Peter","non-dropping-particle":"","parse-names":false,"suffix":""},{"dropping-particle":"","family":"McIntosh","given":"Andrew M.","non-dropping-particle":"","parse-names":false,"suffix":""},{"dropping-particle":"","family":"McKechanie","given":"Andrew G.","non-dropping-particle":"","parse-names":false,"suffix":""},{"dropping-particle":"","family":"McQuillin","given":"Andrew","non-dropping-particle":"","parse-names":false,"suffix":""},{"dropping-particle":"","family":"Metrustry","given":"Sarah","non-dropping-particle":"","parse-names":false,"suffix":""},{"dropping-particle":"","family":"Migone","given":"Nicola","non-dropping-particle":"","parse-names":false,"suffix":""},{"dropping-particle":"","family":"Mitchison","given":"Hannah M.","non-dropping-particle":"","parse-names":false,"suffix":""},{"dropping-particle":"","family":"Moayyeri","given":"Alireza","non-dropping-particle":"","parse-names":false,"suffix":""},{"dropping-particle":"","family":"Morris","given":"James","non-dropping-particle":"","parse-names":false,"suffix":""},{"dropping-particle":"","family":"Morris","given":"Richard","non-dropping-particle":"","parse-names":false,"suffix":""},{"dropping-particle":"","family":"Muddyman","given":"Dawn","non-dropping-particle":"","parse-names":false,"suffix":""},{"dropping-particle":"","family":"Muntoni","given":"Francesco","non-dropping-particle":"","parse-names":false,"suffix":""},{"dropping-particle":"","family":"Nordestgaard","given":"Børge G.","non-dropping-particle":"","parse-names":false,"suffix":""},{"dropping-particle":"","family":"Northstone","given":"Kate","non-dropping-particle":"","parse-names":false,"suffix":""},{"dropping-particle":"","family":"O'Donovan","given":"Michael C.","non-dropping-particle":"","parse-names":false,"suffix":""},{"dropping-particle":"","family":"O'Rahilly","given":"Stephen","non-dropping-particle":"","parse-names":false,"suffix":""},{"dropping-particle":"","family":"Onoufriadis","given":"Alexandros","non-dropping-particle":"","parse-names":false,"suffix":""},{"dropping-particle":"","family":"Oualkacha","given":"Karim","non-dropping-particle":"","parse-names":false,"suffix":""},{"dropping-particle":"","family":"Owen","given":"Michael J.","non-dropping-particle":"","parse-names":false,"suffix":""},{"dropping-particle":"","family":"Palotie","given":"Aarno","non-dropping-particle":"","parse-names":false,"suffix":""},{"dropping-particle":"","family":"Panoutsopoulou","given":"Kalliope","non-dropping-particle":"","parse-names":false,"suffix":""},{"dropping-particle":"","family":"Parker","given":"Victoria","non-dropping-particle":"","parse-names":false,"suffix":""},{"dropping-particle":"","family":"Parr","given":"Jeremy R.","non-dropping-particle":"","parse-names":false,"suffix":""},{"dropping-particle":"","family":"Paternoster","given":"Lavinia","non-dropping-particle":"","parse-names":false,"suffix":""},{"dropping-particle":"","family":"Paunio","given":"Tiina","non-dropping-particle":"","parse-names":false,"suffix":""},{"dropping-particle":"","family":"Payne","given":"Felicity","non-dropping-particle":"","parse-names":false,"suffix":""},{"dropping-particle":"","family":"Payne","given":"Stewart J.","non-dropping-particle":"","parse-names":false,"suffix":""},{"dropping-particle":"","family":"Perry","given":"John R.B.","non-dropping-particle":"","parse-names":false,"suffix":""},{"dropping-particle":"","family":"Pietilainen","given":"Olli","non-dropping-particle":"","parse-names":false,"suffix":""},{"dropping-particle":"","family":"Plagnol","given":"Vincent","non-dropping-particle":"","parse-names":false,"suffix":""},{"dropping-particle":"","family":"Pollitt","given":"Rebecca C.","non-dropping-particle":"","parse-names":false,"suffix":""},{"dropping-particle":"","family":"Povey","given":"Sue","non-dropping-particle":"","parse-names":false,"suffix":""},{"dropping-particle":"","family":"Quail","given":"Michael A.","non-dropping-particle":"","parse-names":false,"suffix":""},{"dropping-particle":"","family":"Quaye","given":"Lydia","non-dropping-particle":"","parse-names":false,"suffix":""},{"dropping-particle":"","family":"Raymond","given":"Lucy","non-dropping-particle":"","parse-names":false,"suffix":""},{"dropping-particle":"","family":"Rehnström","given":"Karola","non-dropping-particle":"","parse-names":false,"suffix":""},{"dropping-particle":"","family":"Ridout","given":"Cheryl K.","non-dropping-particle":"","parse-names":false,"suffix":""},{"dropping-particle":"","family":"Ring","given":"Susan","non-dropping-particle":"","parse-names":false,"suffix":""},{"dropping-particle":"","family":"Ritchie","given":"Graham R.S.","non-dropping-particle":"","parse-names":false,"suffix":""},{"dropping-particle":"","family":"Roberts","given":"Nicola","non-dropping-particle":"","parse-names":false,"suffix":""},{"dropping-particle":"","family":"Robinson","given":"Rachel L.","non-dropping-particle":"","parse-names":false,"suffix":""},{"dropping-particle":"","family":"Savage","given":"David B.","non-dropping-particle":"","parse-names":false,"suffix":""},{"dropping-particle":"","family":"Scambler","given":"Peter","non-dropping-particle":"","parse-names":false,"suffix":""},{"dropping-particle":"","family":"Schiffels","given":"Stephan","non-dropping-particle":"","parse-names":false,"suffix":""},{"dropping-particle":"","family":"Schmidts","given":"Miriam","non-dropping-particle":"","parse-names":false,"suffix":""},{"dropping-particle":"","family":"Schoenmakers","given":"Nadia","non-dropping-particle":"","parse-names":false,"suffix":""},{"dropping-particle":"","family":"Scott","given":"Richard H.","non-dropping-particle":"","parse-names":false,"suffix":""},{"dropping-particle":"","family":"Scott","given":"Robert A.","non-dropping-particle":"","parse-names":false,"suffix":""},{"dropping-particle":"","family":"Semple","given":"Robert K.","non-dropping-particle":"","parse-names":false,"suffix":""},{"dropping-particle":"","family":"Serra","given":"Eva","non-dropping-particle":"","parse-names":false,"suffix":""},{"dropping-particle":"","family":"Sharp","given":"Sally I.","non-dropping-particle":"","parse-names":false,"suffix":""},{"dropping-particle":"","family":"Shaw","given":"Adam","non-dropping-particle":"","parse-names":false,"suffix":""},{"dropping-particle":"","family":"Shihab","given":"Hashem A.","non-dropping-particle":"","parse-names":false,"suffix":""},{"dropping-particle":"","family":"Shin","given":"So Youn","non-dropping-particle":"","parse-names":false,"suffix":""},{"dropping-particle":"","family":"Skuse","given":"David","non-dropping-particle":"","parse-names":false,"suffix":""},{"dropping-particle":"","family":"Small","given":"Kerrin S.","non-dropping-particle":"","parse-names":false,"suffix":""},{"dropping-particle":"","family":"Smee","given":"Carol","non-dropping-particle":"","parse-names":false,"suffix":""},{"dropping-particle":"","family":"Smith","given":"George Davey","non-dropping-particle":"","parse-names":false,"suffix":""},{"dropping-particle":"","family":"Southam","given":"Lorraine","non-dropping-particle":"","parse-names":false,"suffix":""},{"dropping-particle":"","family":"Spasic-Boskovic","given":"Olivera","non-dropping-particle":"","parse-names":false,"suffix":""},{"dropping-particle":"","family":"Spector","given":"Timothy D.","non-dropping-particle":"","parse-names":false,"suffix":""},{"dropping-particle":"","family":"Clair","given":"David","non-dropping-particle":"St.","parse-names":false,"suffix":""},{"dropping-particle":"","family":"Pourcain","given":"Beate","non-dropping-particle":"St.","parse-names":false,"suffix":""},{"dropping-particle":"","family":"Stalker","given":"Jim","non-dropping-particle":"","parse-names":false,"suffix":""},{"dropping-particle":"","family":"Stevens","given":"Elizabeth","non-dropping-particle":"","parse-names":false,"suffix":""},{"dropping-particle":"","family":"Sun","given":"Jianping","non-dropping-particle":"","parse-names":false,"suffix":""},{"dropping-particle":"","family":"Surdulescu","given":"Gabriela","non-dropping-particle":"","parse-names":false,"suffix":""},{"dropping-particle":"","family":"Suvisaari","given":"Jaana","non-dropping-particle":"","parse-names":false,"suffix":""},{"dropping-particle":"","family":"Syrris","given":"Petros","non-dropping-particle":"","parse-names":false,"suffix":""},{"dropping-particle":"","family":"Tachmazidou","given":"Ioanna","non-dropping-particle":"","parse-names":false,"suffix":""},{"dropping-particle":"","family":"Taylor","given":"Rohan","non-dropping-particle":"","parse-names":false,"suffix":""},{"dropping-particle":"","family":"Tian","given":"Jing","non-dropping-particle":"","parse-names":false,"suffix":""},{"dropping-particle":"","family":"Tobin","given":"Martin D.","non-dropping-particle":"","parse-names":false,"suffix":""},{"dropping-particle":"","family":"Toniolo","given":"Daniela","non-dropping-particle":"","parse-names":false,"suffix":""},{"dropping-particle":"","family":"Traglia","given":"Michela","non-dropping-particle":"","parse-names":false,"suffix":""},{"dropping-particle":"","family":"Tybjaerg-Hansen","given":"Anne","non-dropping-particle":"","parse-names":false,"suffix":""},{"dropping-particle":"","family":"Valdes","given":"Ana M.","non-dropping-particle":"","parse-names":false,"suffix":""},{"dropping-particle":"","family":"Vandersteen","given":"Anthony M.","non-dropping-particle":"","parse-names":false,"suffix":""},{"dropping-particle":"","family":"Varbo","given":"Anette","non-dropping-particle":"","parse-names":false,"suffix":""},{"dropping-particle":"","family":"Vijayarangakannan","given":"Parthiban","non-dropping-particle":"","parse-names":false,"suffix":""},{"dropping-particle":"","family":"Visscher","given":"Peter M.","non-dropping-particle":"","parse-names":false,"suffix":""},{"dropping-particle":"V.","family":"Wain","given":"Louise","non-dropping-particle":"","parse-names":false,"suffix":""},{"dropping-particle":"","family":"Walters","given":"James T.R.","non-dropping-particle":"","parse-names":false,"suffix":""},{"dropping-particle":"","family":"Wang","given":"Guangbiao","non-dropping-particle":"","parse-names":false,"suffix":""},{"dropping-particle":"","family":"Wang","given":"Jun","non-dropping-particle":"","parse-names":false,"suffix":""},{"dropping-particle":"","family":"Wang","given":"Yu","non-dropping-particle":"","parse-names":false,"suffix":""},{"dropping-particle":"","family":"Ward","given":"Kirsten","non-dropping-particle":"","parse-names":false,"suffix":""},{"dropping-particle":"","family":"Wheeler","given":"Eleanor","non-dropping-particle":"","parse-names":false,"suffix":""},{"dropping-particle":"","family":"Whincup","given":"Peter","non-dropping-particle":"","parse-names":false,"suffix":""},{"dropping-particle":"","family":"Whyte","given":"Tamieka","non-dropping-particle":"","parse-names":false,"suffix":""},{"dropping-particle":"","family":"Williams","given":"Hywel J.","non-dropping-particle":"","parse-names":false,"suffix":""},{"dropping-particle":"","family":"Williamson","given":"Kathleen A.","non-dropping-particle":"","parse-names":false,"suffix":""},{"dropping-particle":"","family":"Wilson","given":"Crispian","non-dropping-particle":"","parse-names":false,"suffix":""},{"dropping-particle":"","family":"Wilson","given":"Scott G.","non-dropping-particle":"","parse-names":false,"suffix":""},{"dropping-particle":"","family":"Wong","given":"Kim","non-dropping-particle":"","parse-names":false,"suffix":""},{"dropping-particle":"","family":"Xu","given":"Chang Jiang","non-dropping-particle":"","parse-names":false,"suffix":""},{"dropping-particle":"","family":"Yang","given":"Jian","non-dropping-particle":"","parse-names":false,"suffix":""},{"dropping-particle":"","family":"Zaza","given":"Gianluigi","non-dropping-particle":"","parse-names":false,"suffix":""},{"dropping-particle":"","family":"Zeggini","given":"Eleftheria","non-dropping-particle":"","parse-names":false,"suffix":""},{"dropping-particle":"","family":"Zhang","given":"Feng","non-dropping-particle":"","parse-names":false,"suffix":""},{"dropping-particle":"","family":"Zhang","given":"Pingbo","non-dropping-particle":"","parse-names":false,"suffix":""},{"dropping-particle":"","family":"Zhang","given":"Weihua","non-dropping-particle":"","parse-names":false,"suffix":""}],"container-title":"Nature Communications","id":"ITEM-1","issued":{"date-parts":[["2015"]]},"page":"1-9","publisher":"Nature Publishing Group","title":"Improved imputation of low-frequency and rare variants using the UK10K haplotype reference panel","type":"article-journal","volume":"6"},"uris":["http://www.mendeley.com/documents/?uuid=1db58db6-f9d8-4f94-927f-740d985e54e1"]}],"mendeley":{"formattedCitation":"&lt;sup&gt;51&lt;/sup&gt;","plainTextFormattedCitation":"51","previouslyFormattedCitation":"&lt;sup&gt;51&lt;/sup&gt;"},"properties":{"noteIndex":0},"schema":"https://github.com/citation-style-language/schema/raw/master/csl-citation.json"}</w:instrText>
      </w:r>
      <w:r w:rsidR="00F83DD9" w:rsidRPr="00177CF7">
        <w:fldChar w:fldCharType="separate"/>
      </w:r>
      <w:r w:rsidR="00AB37AF" w:rsidRPr="00AB37AF">
        <w:rPr>
          <w:noProof/>
          <w:vertAlign w:val="superscript"/>
        </w:rPr>
        <w:t>51</w:t>
      </w:r>
      <w:r w:rsidR="00F83DD9" w:rsidRPr="00177CF7">
        <w:fldChar w:fldCharType="end"/>
      </w:r>
      <w:r w:rsidR="00F83DD9" w:rsidRPr="00177CF7">
        <w:t xml:space="preserve"> panel using the Sanger imputation server</w:t>
      </w:r>
      <w:r w:rsidR="00EF7147" w:rsidRPr="00177CF7">
        <w:t xml:space="preserve"> was used to supplement the HRC imputation with additional </w:t>
      </w:r>
      <w:r w:rsidR="00F83DD9" w:rsidRPr="00177CF7">
        <w:t xml:space="preserve">variants </w:t>
      </w:r>
      <w:r w:rsidR="00EF7147" w:rsidRPr="00177CF7">
        <w:t>not present in that</w:t>
      </w:r>
      <w:r w:rsidR="00F83DD9" w:rsidRPr="00177CF7">
        <w:t xml:space="preserve"> panel. </w:t>
      </w:r>
      <w:r w:rsidR="00EF7147" w:rsidRPr="00177CF7">
        <w:t>We excluded v</w:t>
      </w:r>
      <w:r w:rsidR="00F83DD9" w:rsidRPr="00177CF7">
        <w:t>ariants with MAF &lt; 0.001, imputation quality (info) &lt; 0.4 or Hardy Weinberg Equilibrium p &lt; 10</w:t>
      </w:r>
      <w:r w:rsidR="00F83DD9" w:rsidRPr="00177CF7">
        <w:rPr>
          <w:vertAlign w:val="superscript"/>
        </w:rPr>
        <w:t>-7</w:t>
      </w:r>
      <w:r w:rsidR="00F83DD9" w:rsidRPr="00177CF7">
        <w:t xml:space="preserve"> in any of the genotyping subsets from further analyses.</w:t>
      </w:r>
    </w:p>
    <w:p w14:paraId="0000003F" w14:textId="4FA4A520" w:rsidR="00766C45" w:rsidRPr="00177CF7" w:rsidRDefault="00555D20">
      <w:pPr>
        <w:spacing w:line="360" w:lineRule="auto"/>
        <w:jc w:val="both"/>
        <w:rPr>
          <w:i/>
        </w:rPr>
      </w:pPr>
      <w:r w:rsidRPr="00177CF7">
        <w:rPr>
          <w:i/>
        </w:rPr>
        <w:t xml:space="preserve">GWAS </w:t>
      </w:r>
      <w:r w:rsidR="00BF4E8B" w:rsidRPr="00177CF7">
        <w:rPr>
          <w:i/>
        </w:rPr>
        <w:t>and meta-analysis</w:t>
      </w:r>
    </w:p>
    <w:p w14:paraId="730FE96C" w14:textId="40BA91D8" w:rsidR="00F83DD9" w:rsidRPr="00177CF7" w:rsidRDefault="00F83DD9">
      <w:pPr>
        <w:spacing w:before="240" w:after="240" w:line="360" w:lineRule="auto"/>
        <w:jc w:val="both"/>
      </w:pPr>
      <w:r w:rsidRPr="00177CF7">
        <w:rPr>
          <w:iCs/>
        </w:rPr>
        <w:t xml:space="preserve">After excluding ancestry outliers and related individuals, </w:t>
      </w:r>
      <w:r w:rsidR="00B92AF1">
        <w:rPr>
          <w:iCs/>
        </w:rPr>
        <w:t xml:space="preserve">up to </w:t>
      </w:r>
      <w:r w:rsidRPr="00177CF7">
        <w:rPr>
          <w:iCs/>
        </w:rPr>
        <w:t>10,708 Fenland participants</w:t>
      </w:r>
      <w:r w:rsidR="003363E5">
        <w:rPr>
          <w:iCs/>
        </w:rPr>
        <w:t xml:space="preserve"> (n=485 for </w:t>
      </w:r>
      <w:proofErr w:type="spellStart"/>
      <w:r w:rsidR="003363E5">
        <w:rPr>
          <w:iCs/>
        </w:rPr>
        <w:t>Olink</w:t>
      </w:r>
      <w:proofErr w:type="spellEnd"/>
      <w:r w:rsidR="003363E5">
        <w:rPr>
          <w:iCs/>
        </w:rPr>
        <w:t xml:space="preserve"> proteins)</w:t>
      </w:r>
      <w:r w:rsidRPr="00177CF7">
        <w:rPr>
          <w:iCs/>
        </w:rPr>
        <w:t xml:space="preserve"> had both phenotypes and genetic data for the GWAS (OMICS=8,350, Core-Exome=1,026, GWAS=1,332). W</w:t>
      </w:r>
      <w:r w:rsidR="00EF7147" w:rsidRPr="00177CF7">
        <w:rPr>
          <w:iCs/>
        </w:rPr>
        <w:t xml:space="preserve">e transformed </w:t>
      </w:r>
      <w:r w:rsidRPr="00177CF7">
        <w:rPr>
          <w:iCs/>
        </w:rPr>
        <w:t>aptamer abundances to follow a normal distribution using the rank-based inverse normal transformation</w:t>
      </w:r>
      <w:r w:rsidR="00EF7147" w:rsidRPr="00177CF7">
        <w:rPr>
          <w:iCs/>
        </w:rPr>
        <w:t xml:space="preserve"> and then </w:t>
      </w:r>
      <w:r w:rsidRPr="00177CF7">
        <w:rPr>
          <w:iCs/>
        </w:rPr>
        <w:t>adjusted for age, sex, sample collection site and 10 principal components in STATA v14</w:t>
      </w:r>
      <w:r w:rsidR="00EF7147" w:rsidRPr="00177CF7">
        <w:rPr>
          <w:iCs/>
        </w:rPr>
        <w:t xml:space="preserve">. </w:t>
      </w:r>
      <w:r w:rsidR="001571C7" w:rsidRPr="00177CF7">
        <w:rPr>
          <w:iCs/>
        </w:rPr>
        <w:t>Residuals</w:t>
      </w:r>
      <w:r w:rsidR="00EF7147" w:rsidRPr="00177CF7">
        <w:rPr>
          <w:iCs/>
        </w:rPr>
        <w:t xml:space="preserve"> from the regression were</w:t>
      </w:r>
      <w:r w:rsidRPr="00177CF7">
        <w:rPr>
          <w:iCs/>
        </w:rPr>
        <w:t xml:space="preserve"> used as input for the genetic association analyses. Test site was omitted for protein abundances measured by </w:t>
      </w:r>
      <w:proofErr w:type="spellStart"/>
      <w:r w:rsidRPr="00177CF7">
        <w:rPr>
          <w:iCs/>
        </w:rPr>
        <w:t>Olink</w:t>
      </w:r>
      <w:proofErr w:type="spellEnd"/>
      <w:r w:rsidRPr="00177CF7">
        <w:rPr>
          <w:iCs/>
        </w:rPr>
        <w:t xml:space="preserve"> as those were all selected from the same test site. Genome-wide association was performed under an additive model using BGENIE (v1.3)</w:t>
      </w:r>
      <w:r w:rsidRPr="00177CF7">
        <w:rPr>
          <w:iCs/>
        </w:rPr>
        <w:fldChar w:fldCharType="begin" w:fldLock="1"/>
      </w:r>
      <w:r w:rsidR="007212AD">
        <w:rPr>
          <w:iCs/>
        </w:rPr>
        <w:instrText>ADDIN CSL_CITATION {"citationItems":[{"id":"ITEM-1","itemData":{"DOI":"10.1038/s41586-018-0579-z","ISSN":"14764687","PMID":"30305743","abstract":"The UK Biobank project is a prospective cohort study with deep genetic and phenotypic data collected on approximately 500,000 individuals from across the United Kingdom, aged between 40 and 69 at recruitment. The open resource is unique in its size and scope. A rich variety of phenotypic and health-related information is available on each participant, including biological measurements, lifestyle indicators, biomarkers in blood and urine, and imaging of the body and brain. Follow-up information is provided by linking health and medical records. Genome-wide genotype data have been collected on all participants, providing many opportunities for the discovery of new genetic associations and the genetic bases of complex traits. Here we describe the centralized analysis of the genetic data, including genotype quality, properties of population structure and relatedness of the genetic data, and efficient phasing and genotype imputation that increases the number of testable variants to around 96 million. Classical allelic variation at 11 human leukocyte antigen genes was imputed, resulting in the recovery of signals with known associations between human leukocyte antigen alleles and many diseases.","author":[{"dropping-particle":"","family":"Bycroft","given":"Clare","non-dropping-particle":"","parse-names":false,"suffix":""},{"dropping-particle":"","family":"Freeman","given":"Colin","non-dropping-particle":"","parse-names":false,"suffix":""},{"dropping-particle":"","family":"Petkova","given":"Desislava","non-dropping-particle":"","parse-names":false,"suffix":""},{"dropping-particle":"","family":"Band","given":"Gavin","non-dropping-particle":"","parse-names":false,"suffix":""},{"dropping-particle":"","family":"Elliott","given":"Lloyd T.","non-dropping-particle":"","parse-names":false,"suffix":""},{"dropping-particle":"","family":"Sharp","given":"Kevin","non-dropping-particle":"","parse-names":false,"suffix":""},{"dropping-particle":"","family":"Motyer","given":"Allan","non-dropping-particle":"","parse-names":false,"suffix":""},{"dropping-particle":"","family":"Vukcevic","given":"Damjan","non-dropping-particle":"","parse-names":false,"suffix":""},{"dropping-particle":"","family":"Delaneau","given":"Olivier","non-dropping-particle":"","parse-names":false,"suffix":""},{"dropping-particle":"","family":"O’Connell","given":"Jared","non-dropping-particle":"","parse-names":false,"suffix":""},{"dropping-particle":"","family":"Cortes","given":"Adrian","non-dropping-particle":"","parse-names":false,"suffix":""},{"dropping-particle":"","family":"Welsh","given":"Samantha","non-dropping-particle":"","parse-names":false,"suffix":""},{"dropping-particle":"","family":"Young","given":"Alan","non-dropping-particle":"","parse-names":false,"suffix":""},{"dropping-particle":"","family":"Effingham","given":"Mark","non-dropping-particle":"","parse-names":false,"suffix":""},{"dropping-particle":"","family":"McVean","given":"Gil","non-dropping-particle":"","parse-names":false,"suffix":""},{"dropping-particle":"","family":"Leslie","given":"Stephen","non-dropping-particle":"","parse-names":false,"suffix":""},{"dropping-particle":"","family":"Allen","given":"Naomi","non-dropping-particle":"","parse-names":false,"suffix":""},{"dropping-particle":"","family":"Donnelly","given":"Peter","non-dropping-particle":"","parse-names":false,"suffix":""},{"dropping-particle":"","family":"Marchini","given":"Jonathan","non-dropping-particle":"","parse-names":false,"suffix":""}],"container-title":"Nature","id":"ITEM-1","issue":"7726","issued":{"date-parts":[["2018"]]},"page":"203-209","title":"The UK Biobank resource with deep phenotyping and genomic data","type":"article-journal","volume":"562"},"uris":["http://www.mendeley.com/documents/?uuid=e9e6013d-2786-4feb-bf22-3810b8bf42cb"]}],"mendeley":{"formattedCitation":"&lt;sup&gt;49&lt;/sup&gt;","plainTextFormattedCitation":"49","previouslyFormattedCitation":"&lt;sup&gt;49&lt;/sup&gt;"},"properties":{"noteIndex":0},"schema":"https://github.com/citation-style-language/schema/raw/master/csl-citation.json"}</w:instrText>
      </w:r>
      <w:r w:rsidRPr="00177CF7">
        <w:rPr>
          <w:iCs/>
        </w:rPr>
        <w:fldChar w:fldCharType="separate"/>
      </w:r>
      <w:r w:rsidR="00AB37AF" w:rsidRPr="00AB37AF">
        <w:rPr>
          <w:iCs/>
          <w:noProof/>
          <w:vertAlign w:val="superscript"/>
        </w:rPr>
        <w:t>49</w:t>
      </w:r>
      <w:r w:rsidRPr="00177CF7">
        <w:rPr>
          <w:iCs/>
        </w:rPr>
        <w:fldChar w:fldCharType="end"/>
      </w:r>
      <w:r w:rsidR="00EF7147" w:rsidRPr="00177CF7">
        <w:rPr>
          <w:iCs/>
        </w:rPr>
        <w:t xml:space="preserve"> and we combined the results</w:t>
      </w:r>
      <w:r w:rsidRPr="00177CF7">
        <w:rPr>
          <w:iCs/>
        </w:rPr>
        <w:t xml:space="preserve"> for the three genotyping arrays </w:t>
      </w:r>
      <w:r w:rsidR="00EF7147" w:rsidRPr="00177CF7">
        <w:rPr>
          <w:iCs/>
        </w:rPr>
        <w:t xml:space="preserve">using </w:t>
      </w:r>
      <w:r w:rsidRPr="00177CF7">
        <w:rPr>
          <w:iCs/>
        </w:rPr>
        <w:t>a fixed-effects meta-analysis in METAL</w:t>
      </w:r>
      <w:r w:rsidRPr="00177CF7">
        <w:rPr>
          <w:iCs/>
        </w:rPr>
        <w:fldChar w:fldCharType="begin" w:fldLock="1"/>
      </w:r>
      <w:r w:rsidR="007212AD">
        <w:rPr>
          <w:iCs/>
        </w:rPr>
        <w:instrText>ADDIN CSL_CITATION {"citationItems":[{"id":"ITEM-1","itemData":{"DOI":"10.1093/bioinformatics/btq340","ISSN":"13674803","PMID":"20616382","abstract":"Summary: METAL provides a computationally efficient tool for metaanalysis of genome-wide association scans, which is a commonly used approach for improving power complex traits gene mapping studies. METAL provides a rich scripting interface and implements efficient memory management to allow analyses of very large data sets and to support a variety of input file formats. © The Author(s) 2010. Published by Oxford University Press.","author":[{"dropping-particle":"","family":"Willer","given":"Cristen J.","non-dropping-particle":"","parse-names":false,"suffix":""},{"dropping-particle":"","family":"Li","given":"Yun","non-dropping-particle":"","parse-names":false,"suffix":""},{"dropping-particle":"","family":"Abecasis","given":"Gonçalo R.","non-dropping-particle":"","parse-names":false,"suffix":""}],"container-title":"Bioinformatics","id":"ITEM-1","issue":"17","issued":{"date-parts":[["2010"]]},"page":"2190-2191","title":"METAL: Fast and efficient meta-analysis of genomewide association scans","type":"article-journal","volume":"26"},"uris":["http://www.mendeley.com/documents/?uuid=c1680241-5476-4b51-9bee-0d94e6329d75"]}],"mendeley":{"formattedCitation":"&lt;sup&gt;52&lt;/sup&gt;","plainTextFormattedCitation":"52","previouslyFormattedCitation":"&lt;sup&gt;52&lt;/sup&gt;"},"properties":{"noteIndex":0},"schema":"https://github.com/citation-style-language/schema/raw/master/csl-citation.json"}</w:instrText>
      </w:r>
      <w:r w:rsidRPr="00177CF7">
        <w:rPr>
          <w:iCs/>
        </w:rPr>
        <w:fldChar w:fldCharType="separate"/>
      </w:r>
      <w:r w:rsidR="00AB37AF" w:rsidRPr="00AB37AF">
        <w:rPr>
          <w:iCs/>
          <w:noProof/>
          <w:vertAlign w:val="superscript"/>
        </w:rPr>
        <w:t>52</w:t>
      </w:r>
      <w:r w:rsidRPr="00177CF7">
        <w:rPr>
          <w:iCs/>
        </w:rPr>
        <w:fldChar w:fldCharType="end"/>
      </w:r>
      <w:r w:rsidRPr="00177CF7">
        <w:rPr>
          <w:iCs/>
        </w:rPr>
        <w:t>. Following the meta-analysis, 17,652,797 genetic variants also present in the largest subset of the Fenland data (Fenland-OMICS) were taken forward for further analysis</w:t>
      </w:r>
      <w:r w:rsidRPr="00177CF7">
        <w:t>.</w:t>
      </w:r>
    </w:p>
    <w:p w14:paraId="65D6786A" w14:textId="6414A28F" w:rsidR="00F83DD9" w:rsidRPr="00177CF7" w:rsidRDefault="00F83DD9">
      <w:pPr>
        <w:pBdr>
          <w:top w:val="nil"/>
          <w:left w:val="nil"/>
          <w:bottom w:val="nil"/>
          <w:right w:val="nil"/>
          <w:between w:val="nil"/>
        </w:pBdr>
        <w:spacing w:before="120" w:line="360" w:lineRule="auto"/>
        <w:jc w:val="both"/>
      </w:pPr>
      <w:r w:rsidRPr="00177CF7">
        <w:t>For each protein target, we used a genome-wide significance threshold of 1.</w:t>
      </w:r>
      <w:r w:rsidR="00A8392B" w:rsidRPr="00177CF7">
        <w:t>004</w:t>
      </w:r>
      <w:r w:rsidRPr="00177CF7">
        <w:t>x10</w:t>
      </w:r>
      <w:r w:rsidRPr="00177CF7">
        <w:rPr>
          <w:vertAlign w:val="superscript"/>
        </w:rPr>
        <w:t xml:space="preserve">-11 </w:t>
      </w:r>
      <w:r w:rsidRPr="00177CF7">
        <w:t>(</w:t>
      </w:r>
      <w:proofErr w:type="spellStart"/>
      <w:r w:rsidRPr="00177CF7">
        <w:t>SomaScan</w:t>
      </w:r>
      <w:proofErr w:type="spellEnd"/>
      <w:r w:rsidRPr="00177CF7">
        <w:t>) or 4.5x10</w:t>
      </w:r>
      <w:r w:rsidRPr="00177CF7">
        <w:rPr>
          <w:vertAlign w:val="superscript"/>
        </w:rPr>
        <w:t xml:space="preserve">-11 </w:t>
      </w:r>
      <w:r w:rsidRPr="00177CF7">
        <w:t>(</w:t>
      </w:r>
      <w:proofErr w:type="spellStart"/>
      <w:r w:rsidRPr="00177CF7">
        <w:t>Olink</w:t>
      </w:r>
      <w:proofErr w:type="spellEnd"/>
      <w:r w:rsidRPr="00177CF7">
        <w:t xml:space="preserve">) and defined non-overlapping regions by merging overlapping or adjoining 1Mb intervals around all genome-wide significant variants (500kb either side), treating the extended MHC region (chr6:25.5–34.0Mb) as one region. We classified </w:t>
      </w:r>
      <w:proofErr w:type="spellStart"/>
      <w:r w:rsidRPr="00177CF7">
        <w:t>pQTLs</w:t>
      </w:r>
      <w:proofErr w:type="spellEnd"/>
      <w:r w:rsidRPr="00177CF7">
        <w:t xml:space="preserve"> as </w:t>
      </w:r>
      <w:r w:rsidRPr="00177CF7">
        <w:rPr>
          <w:i/>
        </w:rPr>
        <w:t>cis</w:t>
      </w:r>
      <w:r w:rsidRPr="00177CF7">
        <w:t xml:space="preserve">-acting instruments if the variant was less than 500kb away from the gene body of the protein encoding gene.  </w:t>
      </w:r>
    </w:p>
    <w:p w14:paraId="0DA9AEBB" w14:textId="0E856950" w:rsidR="00F83DD9" w:rsidRPr="00177CF7" w:rsidRDefault="00F83DD9">
      <w:pPr>
        <w:pBdr>
          <w:top w:val="nil"/>
          <w:left w:val="nil"/>
          <w:bottom w:val="nil"/>
          <w:right w:val="nil"/>
          <w:between w:val="nil"/>
        </w:pBdr>
        <w:spacing w:before="120" w:line="360" w:lineRule="auto"/>
        <w:jc w:val="both"/>
      </w:pPr>
      <w:r w:rsidRPr="00177CF7">
        <w:t xml:space="preserve">We performed conditional analysis as implemented in the GCTA software using the </w:t>
      </w:r>
      <w:proofErr w:type="spellStart"/>
      <w:r w:rsidRPr="00177CF7">
        <w:rPr>
          <w:i/>
        </w:rPr>
        <w:t>slct</w:t>
      </w:r>
      <w:proofErr w:type="spellEnd"/>
      <w:r w:rsidRPr="00177CF7">
        <w:t xml:space="preserve"> option for each genomic region - aptamer pair identified. We used a collinear cut-off of 0.1 and a p-value below 5x10</w:t>
      </w:r>
      <w:r w:rsidRPr="00177CF7">
        <w:rPr>
          <w:vertAlign w:val="superscript"/>
        </w:rPr>
        <w:t>-8</w:t>
      </w:r>
      <w:r w:rsidRPr="00177CF7">
        <w:t xml:space="preserve"> to identify secondary signals </w:t>
      </w:r>
      <w:r w:rsidR="00F95BA2" w:rsidRPr="00177CF7">
        <w:t>in each</w:t>
      </w:r>
      <w:r w:rsidRPr="00177CF7">
        <w:t xml:space="preserve"> region. As a quality control step, we fitted a final model including all identified variants for a given genomic region using individual level data in the largest </w:t>
      </w:r>
      <w:r w:rsidRPr="00177CF7">
        <w:lastRenderedPageBreak/>
        <w:t>available data set (‘Fenland-</w:t>
      </w:r>
      <w:proofErr w:type="spellStart"/>
      <w:r w:rsidRPr="00177CF7">
        <w:t>OMICs’</w:t>
      </w:r>
      <w:proofErr w:type="spellEnd"/>
      <w:r w:rsidRPr="00177CF7">
        <w:t>) and discarded all variants no longer meeting genome-wide significance.</w:t>
      </w:r>
    </w:p>
    <w:p w14:paraId="2F25C8CD" w14:textId="312677B5" w:rsidR="00EE27BD" w:rsidRPr="00177CF7" w:rsidRDefault="00EE27BD">
      <w:pPr>
        <w:pBdr>
          <w:top w:val="nil"/>
          <w:left w:val="nil"/>
          <w:bottom w:val="nil"/>
          <w:right w:val="nil"/>
          <w:between w:val="nil"/>
        </w:pBdr>
        <w:spacing w:before="120" w:line="360" w:lineRule="auto"/>
        <w:jc w:val="both"/>
        <w:rPr>
          <w:i/>
          <w:iCs/>
        </w:rPr>
      </w:pPr>
      <w:r w:rsidRPr="00177CF7">
        <w:rPr>
          <w:i/>
          <w:iCs/>
        </w:rPr>
        <w:t xml:space="preserve">Comparison of effect estimates and genomic regions between </w:t>
      </w:r>
      <w:proofErr w:type="spellStart"/>
      <w:r w:rsidRPr="00177CF7">
        <w:rPr>
          <w:i/>
          <w:iCs/>
        </w:rPr>
        <w:t>SomaScan</w:t>
      </w:r>
      <w:proofErr w:type="spellEnd"/>
      <w:r w:rsidRPr="00177CF7">
        <w:rPr>
          <w:i/>
          <w:iCs/>
        </w:rPr>
        <w:t xml:space="preserve"> and </w:t>
      </w:r>
      <w:proofErr w:type="spellStart"/>
      <w:r w:rsidRPr="00177CF7">
        <w:rPr>
          <w:i/>
          <w:iCs/>
        </w:rPr>
        <w:t>Olink</w:t>
      </w:r>
      <w:proofErr w:type="spellEnd"/>
    </w:p>
    <w:p w14:paraId="339D87B6" w14:textId="0AC4D1BF" w:rsidR="00F679B3" w:rsidRPr="00177CF7" w:rsidRDefault="00F679B3" w:rsidP="00F679B3">
      <w:pPr>
        <w:spacing w:line="360" w:lineRule="auto"/>
        <w:jc w:val="both"/>
      </w:pPr>
      <w:r w:rsidRPr="00177CF7">
        <w:t>To systematically test for cross-platform consistency of protein-quantitative trait loci (</w:t>
      </w:r>
      <w:proofErr w:type="spellStart"/>
      <w:r w:rsidRPr="00177CF7">
        <w:t>pQTLs</w:t>
      </w:r>
      <w:proofErr w:type="spellEnd"/>
      <w:r w:rsidRPr="00177CF7">
        <w:t xml:space="preserve">) we performed a reciprocal comparison of effect estimates of genome-wide association analysis of 871 common protein targets using the </w:t>
      </w:r>
      <w:proofErr w:type="spellStart"/>
      <w:r w:rsidRPr="00177CF7">
        <w:t>SomaScan</w:t>
      </w:r>
      <w:proofErr w:type="spellEnd"/>
      <w:r w:rsidRPr="00177CF7">
        <w:t xml:space="preserve"> v4 assay (N=10,708, p&lt;1.004x10</w:t>
      </w:r>
      <w:r w:rsidRPr="00177CF7">
        <w:rPr>
          <w:vertAlign w:val="superscript"/>
        </w:rPr>
        <w:t>-11</w:t>
      </w:r>
      <w:r w:rsidRPr="00177CF7">
        <w:t xml:space="preserve">) with </w:t>
      </w:r>
      <w:sdt>
        <w:sdtPr>
          <w:tag w:val="goog_rdk_2"/>
          <w:id w:val="1279533266"/>
        </w:sdtPr>
        <w:sdtEndPr/>
        <w:sdtContent/>
      </w:sdt>
      <w:r w:rsidRPr="00177CF7">
        <w:t xml:space="preserve">12 </w:t>
      </w:r>
      <w:proofErr w:type="spellStart"/>
      <w:r w:rsidRPr="00177CF7">
        <w:t>Olink</w:t>
      </w:r>
      <w:proofErr w:type="spellEnd"/>
      <w:r w:rsidRPr="00177CF7">
        <w:t xml:space="preserve"> panels (N=485, p&lt;4.5x10</w:t>
      </w:r>
      <w:r w:rsidRPr="00177CF7">
        <w:rPr>
          <w:vertAlign w:val="superscript"/>
        </w:rPr>
        <w:t>-11</w:t>
      </w:r>
      <w:r w:rsidRPr="00177CF7">
        <w:t xml:space="preserve">, </w:t>
      </w:r>
      <w:r w:rsidRPr="00177CF7">
        <w:rPr>
          <w:b/>
          <w:bCs/>
        </w:rPr>
        <w:t xml:space="preserve">Supplementary </w:t>
      </w:r>
      <w:r w:rsidRPr="00177CF7">
        <w:rPr>
          <w:b/>
        </w:rPr>
        <w:t xml:space="preserve">Fig. </w:t>
      </w:r>
      <w:r w:rsidR="00277AB8" w:rsidRPr="00177CF7">
        <w:rPr>
          <w:b/>
        </w:rPr>
        <w:t>5</w:t>
      </w:r>
      <w:r w:rsidRPr="00177CF7">
        <w:t>) in the Fenland study. This analysis overcomes the biased assessment of previous one-way or within platform replication efforts</w:t>
      </w:r>
      <w:r w:rsidRPr="00177CF7">
        <w:fldChar w:fldCharType="begin" w:fldLock="1"/>
      </w:r>
      <w:r w:rsidR="007212AD">
        <w:instrText>ADDIN CSL_CITATION {"citationItems":[{"id":"ITEM-1","itemData":{"DOI":"10.1038/s41586-018-0175-2","ISSN":"1476-4687","PMID":"29875488","abstract":"Although plasma proteins have important roles in biological processes and are the direct targets of many drugs, the genetic factors that control inter-individual variation in plasma protein levels are not well understood. Here we characterize the genetic architecture of the human plasma proteome in healthy blood donors from the INTERVAL study. We identify 1,927 genetic associations with 1,478 proteins, a fourfold increase on existing knowledge, including trans associations for 1,104 proteins. To understand the consequences of perturbations in plasma protein levels, we apply an integrated approach that links genetic variation with biological pathway, disease, and drug databases. We show that protein quantitative trait loci overlap with gene expression quantitative trait loci, as well as with disease-associated loci, and find evidence that protein biomarkers have causal roles in disease using Mendelian randomization analysis. By linking genetic factors to diseases via specific proteins, our analyses highlight potential therapeutic targets, opportunities for matching existing drugs with new disease indications, and potential safety concerns for drugs under development.","author":[{"dropping-particle":"","family":"Sun","given":"Benjamin B.","non-dropping-particle":"","parse-names":false,"suffix":""},{"dropping-particle":"","family":"Maranville","given":"Joseph C.","non-dropping-particle":"","parse-names":false,"suffix":""},{"dropping-particle":"","family":"Peters","given":"James E.","non-dropping-particle":"","parse-names":false,"suffix":""},{"dropping-particle":"","family":"Stacey","given":"David","non-dropping-particle":"","parse-names":false,"suffix":""},{"dropping-particle":"","family":"Staley","given":"James R.","non-dropping-particle":"","parse-names":false,"suffix":""},{"dropping-particle":"","family":"Blackshaw","given":"James","non-dropping-particle":"","parse-names":false,"suffix":""},{"dropping-particle":"","family":"Burgess","given":"Stephen","non-dropping-particle":"","parse-names":false,"suffix":""},{"dropping-particle":"","family":"Jiang","given":"Tao","non-dropping-particle":"","parse-names":false,"suffix":""},{"dropping-particle":"","family":"Paige","given":"Ellie","non-dropping-particle":"","parse-names":false,"suffix":""},{"dropping-particle":"","family":"Surendran","given":"Praveen","non-dropping-particle":"","parse-names":false,"suffix":""},{"dropping-particle":"","family":"Oliver-Williams","given":"Clare","non-dropping-particle":"","parse-names":false,"suffix":""},{"dropping-particle":"","family":"Kamat","given":"Mihir A.","non-dropping-particle":"","parse-names":false,"suffix":""},{"dropping-particle":"","family":"Prins","given":"Bram P.","non-dropping-particle":"","parse-names":false,"suffix":""},{"dropping-particle":"","family":"Wilcox","given":"Sheri K.","non-dropping-particle":"","parse-names":false,"suffix":""},{"dropping-particle":"","family":"Zimmerman","given":"Erik S.","non-dropping-particle":"","parse-names":false,"suffix":""},{"dropping-particle":"","family":"Chi","given":"An","non-dropping-particle":"","parse-names":false,"suffix":""},{"dropping-particle":"","family":"Bansal","given":"Narinder","non-dropping-particle":"","parse-names":false,"suffix":""},{"dropping-particle":"","family":"Spain","given":"Sarah L.","non-dropping-particle":"","parse-names":false,"suffix":""},{"dropping-particle":"","family":"Wood","given":"Angela M.","non-dropping-particle":"","parse-names":false,"suffix":""},{"dropping-particle":"","family":"Morrell","given":"Nicholas W.","non-dropping-particle":"","parse-names":false,"suffix":""},{"dropping-particle":"","family":"Bradley","given":"John R.","non-dropping-particle":"","parse-names":false,"suffix":""},{"dropping-particle":"","family":"Janjic","given":"Nebojsa","non-dropping-particle":"","parse-names":false,"suffix":""},{"dropping-particle":"","family":"Roberts","given":"David J.","non-dropping-particle":"","parse-names":false,"suffix":""},{"dropping-particle":"","family":"Ouwehand","given":"Willem H.","non-dropping-particle":"","parse-names":false,"suffix":""},{"dropping-particle":"","family":"Todd","given":"John A.","non-dropping-particle":"","parse-names":false,"suffix":""},{"dropping-particle":"","family":"Soranzo","given":"Nicole","non-dropping-particle":"","parse-names":false,"suffix":""},{"dropping-particle":"","family":"Suhre","given":"Karsten","non-dropping-particle":"","parse-names":false,"suffix":""},{"dropping-particle":"","family":"Paul","given":"Dirk S.","non-dropping-particle":"","parse-names":false,"suffix":""},{"dropping-particle":"","family":"Fox","given":"Caroline S.","non-dropping-particle":"","parse-names":false,"suffix":""},{"dropping-particle":"","family":"Plenge","given":"Robert M.","non-dropping-particle":"","parse-names":false,"suffix":""},{"dropping-particle":"","family":"Danesh","given":"John","non-dropping-particle":"","parse-names":false,"suffix":""},{"dropping-particle":"","family":"Runz","given":"Heiko","non-dropping-particle":"","parse-names":false,"suffix":""},{"dropping-particle":"","family":"Butterworth","given":"Adam S.","non-dropping-particle":"","parse-names":false,"suffix":""}],"container-title":"Nature","id":"ITEM-1","issue":"7708","issued":{"date-parts":[["2018","6","6"]]},"page":"73-79","publisher":"Springer US","title":"Genomic atlas of the human plasma proteome.","type":"article-journal","volume":"558"},"uris":["http://www.mendeley.com/documents/?uuid=474a4c65-8f2c-433c-a346-f6aeff94a9ae"]},{"id":"ITEM-2","itemData":{"DOI":"10.1002/pmic.201900278","ISSN":"1615-9861","PMID":"32386347","abstract":"Novel proteomics platforms, such as the aptamer-based SOMAscan platform, can quantify large numbers of proteins efficiently and cost-effectively and are rapidly growing in popularity. However, comparisons to conventional immunoassays remain underexplored, leaving investigators unsure when cross-assay comparisons are appropriate. The correlation of results from immunoassays with relative protein quantification is explored by SOMAscan. For 63 proteins assessed in two chronic obstructive pulmonary disease (COPD) cohorts, subpopulations and intermediate outcome measures in COPD Study (SPIROMICS), and COPDGene, using myriad rules based medicine multiplex immunoassays and SOMAscan, Spearman correlation coefficients range from -0.13 to 0.97, with a median correlation coefficient of ≈0.5 and consistent results across cohorts. A similar range is observed for immunoassays in the population-based Multi-Ethnic Study of Atherosclerosis and for other assays in COPDGene and SPIROMICS. Comparisons of relative quantification from the antibody-based Olink platform and SOMAscan in a small cohort of myocardial infarction patients also show a wide correlation range. Finally, cis pQTL data, mass spectrometry aptamer confirmation, and other publicly available data are integrated to assess relationships with observed correlations. Correlation between proteomics assays shows a wide range and should be carefully considered when comparing and meta-analyzing proteomics data across assays and studies.","author":[{"dropping-particle":"","family":"Raffield","given":"Laura M.","non-dropping-particle":"","parse-names":false,"suffix":""},{"dropping-particle":"","family":"Dang","given":"Hong","non-dropping-particle":"","parse-names":false,"suffix":""},{"dropping-particle":"","family":"Pratte","given":"Katherine A.","non-dropping-particle":"","parse-names":false,"suffix":""},{"dropping-particle":"","family":"Jacobson","given":"Sean","non-dropping-particle":"","parse-names":false,"suffix":""},{"dropping-particle":"","family":"Gillenwater","given":"Lucas A.","non-dropping-particle":"","parse-names":false,"suffix":""},{"dropping-particle":"","family":"Ampleford","given":"Elizabeth","non-dropping-particle":"","parse-names":false,"suffix":""},{"dropping-particle":"","family":"Barjaktarevic","given":"Igor","non-dropping-particle":"","parse-names":false,"suffix":""},{"dropping-particle":"","family":"Basta","given":"Patricia","non-dropping-particle":"","parse-names":false,"suffix":""},{"dropping-particle":"","family":"Clish","given":"Clary B.","non-dropping-particle":"","parse-names":false,"suffix":""},{"dropping-particle":"","family":"Comellas","given":"Alejandro P.","non-dropping-particle":"","parse-names":false,"suffix":""},{"dropping-particle":"","family":"Cornell","given":"Elaine","non-dropping-particle":"","parse-names":false,"suffix":""},{"dropping-particle":"","family":"Curtis","given":"Jeffrey L.","non-dropping-particle":"","parse-names":false,"suffix":""},{"dropping-particle":"","family":"Doerschuk","given":"Claire","non-dropping-particle":"","parse-names":false,"suffix":""},{"dropping-particle":"","family":"Durda","given":"Peter","non-dropping-particle":"","parse-names":false,"suffix":""},{"dropping-particle":"","family":"Emson","given":"Claire","non-dropping-particle":"","parse-names":false,"suffix":""},{"dropping-particle":"","family":"Freeman","given":"Christine M.","non-dropping-particle":"","parse-names":false,"suffix":""},{"dropping-particle":"","family":"Guo","given":"Xiuqing","non-dropping-particle":"","parse-names":false,"suffix":""},{"dropping-particle":"","family":"Hastie","given":"Annette T.","non-dropping-particle":"","parse-names":false,"suffix":""},{"dropping-particle":"","family":"Hawkins","given":"Gregory A.","non-dropping-particle":"","parse-names":false,"suffix":""},{"dropping-particle":"","family":"Herrera","given":"Julio","non-dropping-particle":"","parse-names":false,"suffix":""},{"dropping-particle":"","family":"Johnson","given":"W. Craig","non-dropping-particle":"","parse-names":false,"suffix":""},{"dropping-particle":"","family":"Labaki","given":"Wassim W.","non-dropping-particle":"","parse-names":false,"suffix":""},{"dropping-particle":"","family":"Liu","given":"Yongmei","non-dropping-particle":"","parse-names":false,"suffix":""},{"dropping-particle":"","family":"Masters","given":"Brett","non-dropping-particle":"","parse-names":false,"suffix":""},{"dropping-particle":"","family":"Miller","given":"Michael","non-dropping-particle":"","parse-names":false,"suffix":""},{"dropping-particle":"","family":"Ortega","given":"Victor E.","non-dropping-particle":"","parse-names":false,"suffix":""},{"dropping-particle":"","family":"Papanicolaou","given":"George","non-dropping-particle":"","parse-names":false,"suffix":""},{"dropping-particle":"","family":"Peters","given":"Stephen","non-dropping-particle":"","parse-names":false,"suffix":""},{"dropping-particle":"","family":"Taylor","given":"Kent D.","non-dropping-particle":"","parse-names":false,"suffix":""},{"dropping-particle":"","family":"Rich","given":"Stephen S.","non-dropping-particle":"","parse-names":false,"suffix":""},{"dropping-particle":"","family":"Rotter","given":"Jerome I.","non-dropping-particle":"","parse-names":false,"suffix":""},{"dropping-particle":"","family":"Auer","given":"Paul","non-dropping-particle":"","parse-names":false,"suffix":""},{"dropping-particle":"","family":"Reiner","given":"Alex P.","non-dropping-particle":"","parse-names":false,"suffix":""},{"dropping-particle":"","family":"Tracy","given":"Russell P.","non-dropping-particle":"","parse-names":false,"suffix":""},{"dropping-particle":"","family":"Ngo","given":"Debby","non-dropping-particle":"","parse-names":false,"suffix":""},{"dropping-particle":"","family":"Gerszten","given":"Robert E.","non-dropping-particle":"","parse-names":false,"suffix":""},{"dropping-particle":"","family":"O'Neal","given":"Wanda K.","non-dropping-particle":"","parse-names":false,"suffix":""},{"dropping-particle":"","family":"Bowler","given":"Russell P.","non-dropping-particle":"","parse-names":false,"suffix":""},{"dropping-particle":"","family":"NHLBI Trans-Omics for Precision Medicine (TOPMed) Consortium","given":"","non-dropping-particle":"","parse-names":false,"suffix":""}],"container-title":"Proteomics","id":"ITEM-2","issue":"12","issued":{"date-parts":[["2020"]]},"page":"e1900278","title":"Comparison of Proteomic Assessment Methods in Multiple Cohort Studies.","type":"article-journal","volume":"20"},"uris":["http://www.mendeley.com/documents/?uuid=71bff136-3ade-4bb1-aea1-cc99efc3af4e"]},{"id":"ITEM-3","itemData":{"DOI":"10.1126/science.aaq1327","ISBN":"4159801714","ISSN":"1095-9203","PMID":"30072576","abstract":"Proteins circulating in the blood are critical for age-related disease processes; however, the serum proteome has remained largely unexplored. To this end, 4137 proteins covering most predicted extracellular proteins were measured in the serum of 5457 Icelanders over 65 years of age. Pairwise correlation between proteins as they varied across individuals revealed 27 different network modules of serum proteins, many of which were associated with cardiovascular and metabolic disease states, as well as overall survival. The protein modules were controlled by cis- and trans-acting genetic variants, which in many cases were also associated with complex disease. This revealed co-regulated groups of circulating proteins that incorporated regulatory control between tissues and demonstrated close relationships to past, current, and future disease states.","author":[{"dropping-particle":"","family":"Emilsson","given":"Valur","non-dropping-particle":"","parse-names":false,"suffix":""},{"dropping-particle":"","family":"Ilkov","given":"Marjan","non-dropping-particle":"","parse-names":false,"suffix":""},{"dropping-particle":"","family":"Lamb","given":"John R.","non-dropping-particle":"","parse-names":false,"suffix":""},{"dropping-particle":"","family":"Finkel","given":"Nancy","non-dropping-particle":"","parse-names":false,"suffix":""},{"dropping-particle":"","family":"Gudmundsson","given":"Elias F.","non-dropping-particle":"","parse-names":false,"suffix":""},{"dropping-particle":"","family":"Pitts","given":"Rebecca","non-dropping-particle":"","parse-names":false,"suffix":""},{"dropping-particle":"","family":"Hoover","given":"Heather","non-dropping-particle":"","parse-names":false,"suffix":""},{"dropping-particle":"","family":"Gudmundsdottir","given":"Valborg","non-dropping-particle":"","parse-names":false,"suffix":""},{"dropping-particle":"","family":"Horman","given":"Shane R.","non-dropping-particle":"","parse-names":false,"suffix":""},{"dropping-particle":"","family":"Aspelund","given":"Thor","non-dropping-particle":"","parse-names":false,"suffix":""},{"dropping-particle":"","family":"Shu","given":"Le","non-dropping-particle":"","parse-names":false,"suffix":""},{"dropping-particle":"","family":"Trifonov","given":"Vladimir","non-dropping-particle":"","parse-names":false,"suffix":""},{"dropping-particle":"","family":"Sigurdsson","given":"Sigurdur","non-dropping-particle":"","parse-names":false,"suffix":""},{"dropping-particle":"","family":"Manolescu","given":"Andrei","non-dropping-particle":"","parse-names":false,"suffix":""},{"dropping-particle":"","family":"Zhu","given":"Jun","non-dropping-particle":"","parse-names":false,"suffix":""},{"dropping-particle":"","family":"Olafsson","given":"Örn","non-dropping-particle":"","parse-names":false,"suffix":""},{"dropping-particle":"","family":"Jakobsdottir","given":"Johanna","non-dropping-particle":"","parse-names":false,"suffix":""},{"dropping-particle":"","family":"Lesley","given":"Scott A.","non-dropping-particle":"","parse-names":false,"suffix":""},{"dropping-particle":"","family":"To","given":"Jeremy","non-dropping-particle":"","parse-names":false,"suffix":""},{"dropping-particle":"","family":"Zhang","given":"Jia","non-dropping-particle":"","parse-names":false,"suffix":""},{"dropping-particle":"","family":"Harris","given":"Tamara B.","non-dropping-particle":"","parse-names":false,"suffix":""},{"dropping-particle":"","family":"Launer","given":"Lenore J.","non-dropping-particle":"","parse-names":false,"suffix":""},{"dropping-particle":"","family":"Zhang","given":"Bin","non-dropping-particle":"","parse-names":false,"suffix":""},{"dropping-particle":"","family":"Eiriksdottir","given":"Gudny","non-dropping-particle":"","parse-names":false,"suffix":""},{"dropping-particle":"","family":"Yang","given":"Xia","non-dropping-particle":"","parse-names":false,"suffix":""},{"dropping-particle":"","family":"Orth","given":"Anthony P.","non-dropping-particle":"","parse-names":false,"suffix":""},{"dropping-particle":"","family":"Jennings","given":"Lori L.","non-dropping-particle":"","parse-names":false,"suffix":""},{"dropping-particle":"","family":"Gudnason","given":"Vilmundur","non-dropping-particle":"","parse-names":false,"suffix":""}],"container-title":"Science (New York, N.Y.)","id":"ITEM-3","issue":"6404","issued":{"date-parts":[["2018"]]},"page":"769-773","title":"Co-regulatory networks of human serum proteins link genetics to disease.","type":"article-journal","volume":"361"},"uris":["http://www.mendeley.com/documents/?uuid=0086a112-c106-45e4-805f-233603120da3"]}],"mendeley":{"formattedCitation":"&lt;sup&gt;4,5,21&lt;/sup&gt;","plainTextFormattedCitation":"4,5,21","previouslyFormattedCitation":"&lt;sup&gt;4,5,21&lt;/sup&gt;"},"properties":{"noteIndex":0},"schema":"https://github.com/citation-style-language/schema/raw/master/csl-citation.json"}</w:instrText>
      </w:r>
      <w:r w:rsidRPr="00177CF7">
        <w:fldChar w:fldCharType="separate"/>
      </w:r>
      <w:r w:rsidR="00AB37AF" w:rsidRPr="00AB37AF">
        <w:rPr>
          <w:noProof/>
          <w:vertAlign w:val="superscript"/>
        </w:rPr>
        <w:t>4,5,21</w:t>
      </w:r>
      <w:r w:rsidRPr="00177CF7">
        <w:fldChar w:fldCharType="end"/>
      </w:r>
      <w:r w:rsidRPr="00177CF7">
        <w:t xml:space="preserve">. To test the potential influence of sample size on this comparison, we additionally compared the </w:t>
      </w:r>
      <w:proofErr w:type="spellStart"/>
      <w:r w:rsidRPr="00177CF7">
        <w:t>SomaScan</w:t>
      </w:r>
      <w:proofErr w:type="spellEnd"/>
      <w:r w:rsidRPr="00177CF7">
        <w:t xml:space="preserve">-derived </w:t>
      </w:r>
      <w:proofErr w:type="spellStart"/>
      <w:r w:rsidRPr="00177CF7">
        <w:t>pQTLs</w:t>
      </w:r>
      <w:proofErr w:type="spellEnd"/>
      <w:r w:rsidRPr="00177CF7">
        <w:t xml:space="preserve"> to published genetic effect estimates for 90 protein targets from the </w:t>
      </w:r>
      <w:proofErr w:type="spellStart"/>
      <w:r w:rsidRPr="00177CF7">
        <w:t>Olink</w:t>
      </w:r>
      <w:proofErr w:type="spellEnd"/>
      <w:r w:rsidRPr="00177CF7">
        <w:t xml:space="preserve"> CVD-I panel including up to 22,000 participants from the SCALLOP consortium</w:t>
      </w:r>
      <w:r w:rsidRPr="00177CF7">
        <w:fldChar w:fldCharType="begin" w:fldLock="1"/>
      </w:r>
      <w:r w:rsidRPr="00177CF7">
        <w:instrText>ADDIN CSL_CITATION {"citationItems":[{"id":"ITEM-1","itemData":{"DOI":"10.1038/s42255-020-00287-2","ISSN":"25225812","PMID":"33067605","abstract":"Circulating proteins are vital in human health and disease and are frequently used as biomarkers for clinical decision-making or as targets for pharmacological intervention. Here, we map and replicate protein quantitative trait loci (pQTL) for 90 cardiovascular proteins in over 30,000 individuals, resulting in 451 pQTLs for 85 proteins. For each protein, we further perform pathway mapping to obtain trans-pQTL gene and regulatory designations. We substantiate these regulatory findings with orthogonal evidence for trans-pQTLs using mouse knockdown experiments (ABCA1 and TRIB1) and clinical trial results (chemokine receptors CCR2 and CCR5), with consistent regulation. Finally, we evaluate known drug targets, and suggest new target candidates or repositioning opportunities using Mendelian randomization. This identifies 11 proteins with causal evidence of involvement in human disease that have not previously been targeted, including EGF, IL-16, PAPPA, SPON1, F3, ADM, CASP-8, CHI3L1, CXCL16, GDF15 and MMP-12. Taken together, these findings demonstrate the utility of large-scale mapping of the genetics of the proteome and provide a resource for future precision studies of circulating proteins in human health.","author":[{"dropping-particle":"","family":"Folkersen","given":"Lasse","non-dropping-particle":"","parse-names":false,"suffix":""},{"dropping-particle":"","family":"Gustafsson","given":"Stefan","non-dropping-particle":"","parse-names":false,"suffix":""},{"dropping-particle":"","family":"Wang","given":"Qin","non-dropping-particle":"","parse-names":false,"suffix":""},{"dropping-particle":"","family":"Hansen","given":"Daniel Hvidberg","non-dropping-particle":"","parse-names":false,"suffix":""},{"dropping-particle":"","family":"Hedman","given":"Åsa K.","non-dropping-particle":"","parse-names":false,"suffix":""},{"dropping-particle":"","family":"Schork","given":"Andrew","non-dropping-particle":"","parse-names":false,"suffix":""},{"dropping-particle":"","family":"Page","given":"Karen","non-dropping-particle":"","parse-names":false,"suffix":""},{"dropping-particle":"V.","family":"Zhernakova","given":"Daria","non-dropping-particle":"","parse-names":false,"suffix":""},{"dropping-particle":"","family":"Wu","given":"Yang","non-dropping-particle":"","parse-names":false,"suffix":""},{"dropping-particle":"","family":"Peters","given":"James","non-dropping-particle":"","parse-names":false,"suffix":""},{"dropping-particle":"","family":"Eriksson","given":"Niclas","non-dropping-particle":"","parse-names":false,"suffix":""},{"dropping-particle":"","family":"Bergen","given":"Sarah E.","non-dropping-particle":"","parse-names":false,"suffix":""},{"dropping-particle":"","family":"Boutin","given":"Thibaud S.","non-dropping-particle":"","parse-names":false,"suffix":""},{"dropping-particle":"","family":"Bretherick","given":"Andrew D.","non-dropping-particle":"","parse-names":false,"suffix":""},{"dropping-particle":"","family":"Enroth","given":"Stefan","non-dropping-particle":"","parse-names":false,"suffix":""},{"dropping-particle":"","family":"Kalnapenkis","given":"Anette","non-dropping-particle":"","parse-names":false,"suffix":""},{"dropping-particle":"","family":"Gådin","given":"Jesper R.","non-dropping-particle":"","parse-names":false,"suffix":""},{"dropping-particle":"","family":"Suur","given":"Bianca E.","non-dropping-particle":"","parse-names":false,"suffix":""},{"dropping-particle":"","family":"Chen","given":"Yan","non-dropping-particle":"","parse-names":false,"suffix":""},{"dropping-particle":"","family":"Matic","given":"Ljubica","non-dropping-particle":"","parse-names":false,"suffix":""},{"dropping-particle":"","family":"Gale","given":"Jeremy D.","non-dropping-particle":"","parse-names":false,"suffix":""},{"dropping-particle":"","family":"Lee","given":"Julie","non-dropping-particle":"","parse-names":false,"suffix":""},{"dropping-particle":"","family":"Zhang","given":"Weidong","non-dropping-particle":"","parse-names":false,"suffix":""},{"dropping-particle":"","family":"Quazi","given":"Amira","non-dropping-particle":"","parse-names":false,"suffix":""},{"dropping-particle":"","family":"Ala-Korpela","given":"Mika","non-dropping-particle":"","parse-names":false,"suffix":""},{"dropping-particle":"","family":"Choi","given":"Seung Hoan","non-dropping-particle":"","parse-names":false,"suffix":""},{"dropping-particle":"","family":"Claringbould","given":"Annique","non-dropping-particle":"","parse-names":false,"suffix":""},{"dropping-particle":"","family":"Danesh","given":"John","non-dropping-particle":"","parse-names":false,"suffix":""},{"dropping-particle":"","family":"Davey Smith","given":"George","non-dropping-particle":"","parse-names":false,"suffix":""},{"dropping-particle":"","family":"Masi","given":"Federico","non-dropping-particle":"de","parse-names":false,"suffix":""},{"dropping-particle":"","family":"Elmståhl","given":"Sölve","non-dropping-particle":"","parse-names":false,"suffix":""},{"dropping-particle":"","family":"Engström","given":"Gunnar","non-dropping-particle":"","parse-names":false,"suffix":""},{"dropping-particle":"","family":"Fauman","given":"Eric","non-dropping-particle":"","parse-names":false,"suffix":""},{"dropping-particle":"","family":"Fernandez","given":"Celine","non-dropping-particle":"","parse-names":false,"suffix":""},{"dropping-particle":"","family":"Franke","given":"Lude","non-dropping-particle":"","parse-names":false,"suffix":""},{"dropping-particle":"","family":"Franks","given":"Paul W.","non-dropping-particle":"","parse-names":false,"suffix":""},{"dropping-particle":"","family":"Giedraitis","given":"Vilmantas","non-dropping-particle":"","parse-names":false,"suffix":""},{"dropping-particle":"","family":"Haley","given":"Chris","non-dropping-particle":"","parse-names":false,"suffix":""},{"dropping-particle":"","family":"Hamsten","given":"Anders","non-dropping-particle":"","parse-names":false,"suffix":""},{"dropping-particle":"","family":"Ingason","given":"Andres","non-dropping-particle":"","parse-names":false,"suffix":""},{"dropping-particle":"","family":"Johansson","given":"Åsa","non-dropping-particle":"","parse-names":false,"suffix":""},{"dropping-particle":"","family":"Joshi","given":"Peter K.","non-dropping-particle":"","parse-names":false,"suffix":""},{"dropping-particle":"","family":"Lind","given":"Lars","non-dropping-particle":"","parse-names":false,"suffix":""},{"dropping-particle":"","family":"Lindgren","given":"Cecilia M.","non-dropping-particle":"","parse-names":false,"suffix":""},{"dropping-particle":"","family":"Lubitz","given":"Steven","non-dropping-particle":"","parse-names":false,"suffix":""},{"dropping-particle":"","family":"Palmer","given":"Tom","non-dropping-particle":"","parse-names":false,"suffix":""},{"dropping-particle":"","family":"Macdonald-Dunlop","given":"Erin","non-dropping-particle":"","parse-names":false,"suffix":""},{"dropping-particle":"","family":"Magnusson","given":"Martin","non-dropping-particle":"","parse-names":false,"suffix":""},{"dropping-particle":"","family":"Melander","given":"Olle","non-dropping-particle":"","parse-names":false,"suffix":""},{"dropping-particle":"","family":"Michaelsson","given":"Karl","non-dropping-particle":"","parse-names":false,"suffix":""},{"dropping-particle":"","family":"Morris","given":"Andrew P.","non-dropping-particle":"","parse-names":false,"suffix":""},{"dropping-particle":"","family":"Mägi","given":"Reedik","non-dropping-particle":"","parse-names":false,"suffix":""},{"dropping-particle":"","family":"Nagle","given":"Michael W.","non-dropping-particle":"","parse-names":false,"suffix":""},{"dropping-particle":"","family":"Nilsson","given":"Peter M.","non-dropping-particle":"","parse-names":false,"suffix":""},{"dropping-particle":"","family":"Nilsson","given":"Jan","non-dropping-particle":"","parse-names":false,"suffix":""},{"dropping-particle":"","family":"Orho-Melander","given":"Marju","non-dropping-particle":"","parse-names":false,"suffix":""},{"dropping-particle":"","family":"Polasek","given":"Ozren","non-dropping-particle":"","parse-names":false,"suffix":""},{"dropping-particle":"","family":"Prins","given":"Bram","non-dropping-particle":"","parse-names":false,"suffix":""},{"dropping-particle":"","family":"Pålsson","given":"Erik","non-dropping-particle":"","parse-names":false,"suffix":""},{"dropping-particle":"","family":"Qi","given":"Ting","non-dropping-particle":"","parse-names":false,"suffix":""},{"dropping-particle":"","family":"Sjögren","given":"Marketa","non-dropping-particle":"","parse-names":false,"suffix":""},{"dropping-particle":"","family":"Sundström","given":"Johan","non-dropping-particle":"","parse-names":false,"suffix":""},{"dropping-particle":"","family":"Surendran","given":"Praveen","non-dropping-particle":"","parse-names":false,"suffix":""},{"dropping-particle":"","family":"Võsa","given":"Urmo","non-dropping-particle":"","parse-names":false,"suffix":""},{"dropping-particle":"","family":"Werge","given":"Thomas","non-dropping-particle":"","parse-names":false,"suffix":""},{"dropping-particle":"","family":"Wernersson","given":"Rasmus","non-dropping-particle":"","parse-names":false,"suffix":""},{"dropping-particle":"","family":"Westra","given":"Harm Jan","non-dropping-particle":"","parse-names":false,"suffix":""},{"dropping-particle":"","family":"Yang","given":"Jian","non-dropping-particle":"","parse-names":false,"suffix":""},{"dropping-particle":"","family":"Zhernakova","given":"Alexandra","non-dropping-particle":"","parse-names":false,"suffix":""},{"dropping-particle":"","family":"Ärnlöv","given":"Johan","non-dropping-particle":"","parse-names":false,"suffix":""},{"dropping-particle":"","family":"Fu","given":"Jingyuan","non-dropping-particle":"","parse-names":false,"suffix":""},{"dropping-particle":"","family":"Smith","given":"J. Gustav","non-dropping-particle":"","parse-names":false,"suffix":""},{"dropping-particle":"","family":"Esko","given":"Tõnu","non-dropping-particle":"","parse-names":false,"suffix":""},{"dropping-particle":"","family":"Hayward","given":"Caroline","non-dropping-particle":"","parse-names":false,"suffix":""},{"dropping-particle":"","family":"Gyllensten","given":"Ulf","non-dropping-particle":"","parse-names":false,"suffix":""},{"dropping-particle":"","family":"Landen","given":"Mikael","non-dropping-particle":"","parse-names":false,"suffix":""},{"dropping-particle":"","family":"Siegbahn","given":"Agneta","non-dropping-particle":"","parse-names":false,"suffix":""},{"dropping-particle":"","family":"Wilson","given":"James F.","non-dropping-particle":"","parse-names":false,"suffix":""},{"dropping-particle":"","family":"Wallentin","given":"Lars","non-dropping-particle":"","parse-names":false,"suffix":""},{"dropping-particle":"","family":"Butterworth","given":"Adam S.","non-dropping-particle":"","parse-names":false,"suffix":""},{"dropping-particle":"V.","family":"Holmes","given":"Michael","non-dropping-particle":"","parse-names":false,"suffix":""},{"dropping-particle":"","family":"Ingelsson","given":"Erik","non-dropping-particle":"","parse-names":false,"suffix":""},{"dropping-particle":"","family":"Mälarstig","given":"Anders","non-dropping-particle":"","parse-names":false,"suffix":""}],"container-title":"Nature Metabolism","id":"ITEM-1","issue":"10","issued":{"date-parts":[["2020"]]},"page":"1135-1148","publisher":"Springer US","title":"Genomic and drug target evaluation of 90 cardiovascular proteins in 30,931 individuals","type":"article-journal","volume":"2"},"uris":["http://www.mendeley.com/documents/?uuid=e356e314-e447-4315-93b5-17b6100ac034"]}],"mendeley":{"formattedCitation":"&lt;sup&gt;8&lt;/sup&gt;","plainTextFormattedCitation":"8","previouslyFormattedCitation":"&lt;sup&gt;8&lt;/sup&gt;"},"properties":{"noteIndex":0},"schema":"https://github.com/citation-style-language/schema/raw/master/csl-citation.json"}</w:instrText>
      </w:r>
      <w:r w:rsidRPr="00177CF7">
        <w:fldChar w:fldCharType="separate"/>
      </w:r>
      <w:r w:rsidRPr="00177CF7">
        <w:rPr>
          <w:noProof/>
          <w:vertAlign w:val="superscript"/>
        </w:rPr>
        <w:t>8</w:t>
      </w:r>
      <w:r w:rsidRPr="00177CF7">
        <w:fldChar w:fldCharType="end"/>
      </w:r>
      <w:r w:rsidRPr="00177CF7">
        <w:t xml:space="preserve">. </w:t>
      </w:r>
      <w:r w:rsidR="000C392F" w:rsidRPr="00177CF7">
        <w:t xml:space="preserve">We collapsed </w:t>
      </w:r>
      <w:r w:rsidR="00EE3D9A" w:rsidRPr="00177CF7">
        <w:t xml:space="preserve">genetic </w:t>
      </w:r>
      <w:r w:rsidR="000C392F" w:rsidRPr="00177CF7">
        <w:t xml:space="preserve">variants </w:t>
      </w:r>
      <w:r w:rsidR="00EE3D9A" w:rsidRPr="00177CF7">
        <w:t>from overlapping protein targets into one signal if they were in strong LD (</w:t>
      </w:r>
      <w:r w:rsidR="00C72F35" w:rsidRPr="00177CF7">
        <w:t>r</w:t>
      </w:r>
      <w:r w:rsidR="00EE3D9A" w:rsidRPr="00177CF7">
        <w:t>²&gt;0.8).</w:t>
      </w:r>
    </w:p>
    <w:p w14:paraId="3F30CFCC" w14:textId="5F305010" w:rsidR="00EE27BD" w:rsidRPr="00177CF7" w:rsidRDefault="00EE27BD" w:rsidP="00EE27BD">
      <w:pPr>
        <w:spacing w:line="360" w:lineRule="auto"/>
        <w:jc w:val="both"/>
      </w:pPr>
      <w:r w:rsidRPr="00177CF7">
        <w:t xml:space="preserve">We collapsed </w:t>
      </w:r>
      <w:proofErr w:type="spellStart"/>
      <w:r w:rsidRPr="00177CF7">
        <w:t>pQTLs</w:t>
      </w:r>
      <w:proofErr w:type="spellEnd"/>
      <w:r w:rsidRPr="00177CF7">
        <w:t xml:space="preserve"> discovered by either platform using a distance-based threshold (±500kB) to define shared (‘cross-platform’) versus ‘platform-specific’ </w:t>
      </w:r>
      <w:proofErr w:type="spellStart"/>
      <w:r w:rsidRPr="00177CF7">
        <w:t>pQTLs</w:t>
      </w:r>
      <w:proofErr w:type="spellEnd"/>
      <w:r w:rsidRPr="00177CF7">
        <w:t xml:space="preserve">. This procedure resulted in 479 (N=333 in </w:t>
      </w:r>
      <w:r w:rsidRPr="00177CF7">
        <w:rPr>
          <w:i/>
        </w:rPr>
        <w:t>cis</w:t>
      </w:r>
      <w:r w:rsidRPr="00177CF7">
        <w:t xml:space="preserve">, N=146 </w:t>
      </w:r>
      <w:r w:rsidRPr="00177CF7">
        <w:rPr>
          <w:i/>
        </w:rPr>
        <w:t>trans</w:t>
      </w:r>
      <w:r w:rsidRPr="00177CF7">
        <w:t xml:space="preserve">, 390 protein targets, </w:t>
      </w:r>
      <w:r w:rsidRPr="00177CF7">
        <w:rPr>
          <w:b/>
        </w:rPr>
        <w:t xml:space="preserve">Supplementary </w:t>
      </w:r>
      <w:r w:rsidR="00FA2264">
        <w:rPr>
          <w:b/>
        </w:rPr>
        <w:t>Data</w:t>
      </w:r>
      <w:r w:rsidRPr="00177CF7">
        <w:rPr>
          <w:b/>
        </w:rPr>
        <w:t xml:space="preserve"> </w:t>
      </w:r>
      <w:r w:rsidR="000F3922" w:rsidRPr="00177CF7">
        <w:rPr>
          <w:b/>
        </w:rPr>
        <w:t>5</w:t>
      </w:r>
      <w:r w:rsidRPr="00177CF7">
        <w:t xml:space="preserve">) genomic region - protein target combinations for which we had sufficient statistical power to replicate effects, that is, </w:t>
      </w:r>
      <w:proofErr w:type="spellStart"/>
      <w:r w:rsidRPr="00177CF7">
        <w:t>pQTLs</w:t>
      </w:r>
      <w:proofErr w:type="spellEnd"/>
      <w:r w:rsidRPr="00177CF7">
        <w:t xml:space="preserve"> observed in the larger </w:t>
      </w:r>
      <w:proofErr w:type="spellStart"/>
      <w:r w:rsidRPr="00177CF7">
        <w:t>SomaScan</w:t>
      </w:r>
      <w:proofErr w:type="spellEnd"/>
      <w:r w:rsidRPr="00177CF7">
        <w:t xml:space="preserve"> study that had at least a p-value&lt;10</w:t>
      </w:r>
      <w:r w:rsidRPr="00177CF7">
        <w:rPr>
          <w:vertAlign w:val="superscript"/>
        </w:rPr>
        <w:t>-5</w:t>
      </w:r>
      <w:r w:rsidRPr="00177CF7">
        <w:t xml:space="preserve"> when restricting the analysis to the sample of 485 participants with overlapping measurements (see </w:t>
      </w:r>
      <w:r w:rsidRPr="00177CF7">
        <w:rPr>
          <w:b/>
          <w:bCs/>
        </w:rPr>
        <w:t>Methods</w:t>
      </w:r>
      <w:r w:rsidRPr="00177CF7">
        <w:t>).</w:t>
      </w:r>
    </w:p>
    <w:p w14:paraId="64D4FA43" w14:textId="26B33E59" w:rsidR="00F679B3" w:rsidRPr="00177CF7" w:rsidRDefault="00EE27BD" w:rsidP="00EE27BD">
      <w:pPr>
        <w:pBdr>
          <w:top w:val="nil"/>
          <w:left w:val="nil"/>
          <w:bottom w:val="nil"/>
          <w:right w:val="nil"/>
          <w:between w:val="nil"/>
        </w:pBdr>
        <w:spacing w:before="120" w:line="360" w:lineRule="auto"/>
        <w:jc w:val="both"/>
      </w:pPr>
      <w:r w:rsidRPr="00177CF7">
        <w:t xml:space="preserve">We applied the following criteria to consider a </w:t>
      </w:r>
      <w:proofErr w:type="spellStart"/>
      <w:r w:rsidRPr="00177CF7">
        <w:t>pQTL</w:t>
      </w:r>
      <w:proofErr w:type="spellEnd"/>
      <w:r w:rsidRPr="00177CF7">
        <w:t>/genomic region to be shared across both platforms: 1) genome-wide significance in either discovery approach of the same SNV or a proxy in high LD (R</w:t>
      </w:r>
      <w:r w:rsidRPr="00177CF7">
        <w:rPr>
          <w:vertAlign w:val="superscript"/>
        </w:rPr>
        <w:t>2</w:t>
      </w:r>
      <w:r w:rsidRPr="00177CF7">
        <w:t xml:space="preserve">&gt;0.6) and/or sufficient effect strength to be detected in the smaller </w:t>
      </w:r>
      <w:proofErr w:type="spellStart"/>
      <w:r w:rsidRPr="00177CF7">
        <w:t>Olink</w:t>
      </w:r>
      <w:proofErr w:type="spellEnd"/>
      <w:r w:rsidRPr="00177CF7">
        <w:t xml:space="preserve"> sample, and 2) to be directionally concordant (</w:t>
      </w:r>
      <w:r w:rsidR="00DE06FB" w:rsidRPr="00177CF7">
        <w:rPr>
          <w:b/>
        </w:rPr>
        <w:t>Supplementary Fig. 5</w:t>
      </w:r>
      <w:r w:rsidRPr="00177CF7">
        <w:t xml:space="preserve">). We further performed a regional look-up (±500kB) if the regional sentinels for the </w:t>
      </w:r>
      <w:proofErr w:type="spellStart"/>
      <w:r w:rsidRPr="00177CF7">
        <w:t>SomaScan</w:t>
      </w:r>
      <w:proofErr w:type="spellEnd"/>
      <w:r w:rsidRPr="00177CF7">
        <w:t xml:space="preserve"> assay and </w:t>
      </w:r>
      <w:proofErr w:type="spellStart"/>
      <w:r w:rsidRPr="00177CF7">
        <w:t>Olink</w:t>
      </w:r>
      <w:proofErr w:type="spellEnd"/>
      <w:r w:rsidRPr="00177CF7">
        <w:t xml:space="preserve"> were not in LD with the respective lead variant and tested if a conditionally independent </w:t>
      </w:r>
      <w:proofErr w:type="spellStart"/>
      <w:r w:rsidRPr="00177CF7">
        <w:t>pQTL</w:t>
      </w:r>
      <w:proofErr w:type="spellEnd"/>
      <w:r w:rsidRPr="00177CF7">
        <w:t xml:space="preserve"> in the same region may align (</w:t>
      </w:r>
      <w:r w:rsidR="00DE06FB" w:rsidRPr="00177CF7">
        <w:rPr>
          <w:b/>
        </w:rPr>
        <w:t>Supplementary Fig. 5</w:t>
      </w:r>
      <w:r w:rsidRPr="00177CF7">
        <w:t>).</w:t>
      </w:r>
    </w:p>
    <w:p w14:paraId="585EE25F" w14:textId="7D26B030" w:rsidR="006E455A" w:rsidRPr="00177CF7" w:rsidRDefault="005630E0">
      <w:pPr>
        <w:pBdr>
          <w:top w:val="nil"/>
          <w:left w:val="nil"/>
          <w:bottom w:val="nil"/>
          <w:right w:val="nil"/>
          <w:between w:val="nil"/>
        </w:pBdr>
        <w:spacing w:before="120" w:line="360" w:lineRule="auto"/>
        <w:jc w:val="both"/>
      </w:pPr>
      <w:r w:rsidRPr="00177CF7">
        <w:t xml:space="preserve">To facilitate comparison between </w:t>
      </w:r>
      <w:proofErr w:type="spellStart"/>
      <w:r w:rsidR="00CE22F4" w:rsidRPr="00177CF7">
        <w:t>SomaScan</w:t>
      </w:r>
      <w:proofErr w:type="spellEnd"/>
      <w:r w:rsidR="00CE22F4" w:rsidRPr="00177CF7">
        <w:t xml:space="preserve"> and </w:t>
      </w:r>
      <w:proofErr w:type="spellStart"/>
      <w:r w:rsidR="00CE22F4" w:rsidRPr="00177CF7">
        <w:t>Olink</w:t>
      </w:r>
      <w:proofErr w:type="spellEnd"/>
      <w:r w:rsidR="00CE22F4" w:rsidRPr="00177CF7">
        <w:t xml:space="preserve">, we repeated </w:t>
      </w:r>
      <w:r w:rsidR="001F282B" w:rsidRPr="00177CF7">
        <w:t>genetic variant</w:t>
      </w:r>
      <w:r w:rsidR="00CE22F4" w:rsidRPr="00177CF7">
        <w:t xml:space="preserve"> – protein target associations within the same sample for which </w:t>
      </w:r>
      <w:proofErr w:type="spellStart"/>
      <w:r w:rsidR="00CE22F4" w:rsidRPr="00177CF7">
        <w:t>Olink</w:t>
      </w:r>
      <w:proofErr w:type="spellEnd"/>
      <w:r w:rsidR="00CE22F4" w:rsidRPr="00177CF7">
        <w:t xml:space="preserve"> was available. To account for differing sample sizes between the </w:t>
      </w:r>
      <w:proofErr w:type="spellStart"/>
      <w:r w:rsidR="00CE22F4" w:rsidRPr="00177CF7">
        <w:t>SomaScan</w:t>
      </w:r>
      <w:proofErr w:type="spellEnd"/>
      <w:r w:rsidR="00B05278" w:rsidRPr="00177CF7">
        <w:t xml:space="preserve"> data</w:t>
      </w:r>
      <w:r w:rsidR="00CE22F4" w:rsidRPr="00177CF7">
        <w:t xml:space="preserve"> in Fenland and the varying sample sizes within SCALLOP</w:t>
      </w:r>
      <w:r w:rsidR="00B05278" w:rsidRPr="00177CF7">
        <w:t>,</w:t>
      </w:r>
      <w:r w:rsidR="00CE22F4" w:rsidRPr="00177CF7">
        <w:t xml:space="preserve"> we recomputed p-values </w:t>
      </w:r>
      <w:r w:rsidR="00C3224F" w:rsidRPr="00177CF7">
        <w:t xml:space="preserve">by </w:t>
      </w:r>
      <w:r w:rsidR="00CE22F4" w:rsidRPr="00177CF7">
        <w:t>holding the beta estimates constant and re-estimated standard errors using the respective sample size. We considered a predicted p-value threshold of 10</w:t>
      </w:r>
      <w:r w:rsidR="00CE22F4" w:rsidRPr="00177CF7">
        <w:rPr>
          <w:vertAlign w:val="superscript"/>
        </w:rPr>
        <w:t>-5</w:t>
      </w:r>
      <w:r w:rsidR="00CE22F4" w:rsidRPr="00177CF7">
        <w:t xml:space="preserve"> to include </w:t>
      </w:r>
      <w:proofErr w:type="spellStart"/>
      <w:r w:rsidR="00CE22F4" w:rsidRPr="00177CF7">
        <w:t>pQTLs</w:t>
      </w:r>
      <w:proofErr w:type="spellEnd"/>
      <w:r w:rsidR="00CE22F4" w:rsidRPr="00177CF7">
        <w:t xml:space="preserve"> for consistency assessment in case there was evidence for a genome-wide signal from either approach.</w:t>
      </w:r>
    </w:p>
    <w:p w14:paraId="706AD59F" w14:textId="77777777" w:rsidR="00F83DD9" w:rsidRPr="00177CF7" w:rsidRDefault="00F83DD9">
      <w:pPr>
        <w:pBdr>
          <w:top w:val="nil"/>
          <w:left w:val="nil"/>
          <w:bottom w:val="nil"/>
          <w:right w:val="nil"/>
          <w:between w:val="nil"/>
        </w:pBdr>
        <w:spacing w:before="120" w:line="360" w:lineRule="auto"/>
        <w:jc w:val="both"/>
        <w:rPr>
          <w:i/>
        </w:rPr>
      </w:pPr>
      <w:r w:rsidRPr="00177CF7">
        <w:rPr>
          <w:i/>
        </w:rPr>
        <w:t xml:space="preserve">Annotation of </w:t>
      </w:r>
      <w:proofErr w:type="spellStart"/>
      <w:r w:rsidRPr="00177CF7">
        <w:rPr>
          <w:i/>
        </w:rPr>
        <w:t>pQTLs</w:t>
      </w:r>
      <w:proofErr w:type="spellEnd"/>
    </w:p>
    <w:p w14:paraId="4D92369D" w14:textId="58423301" w:rsidR="00F83DD9" w:rsidRPr="00177CF7" w:rsidRDefault="00F83DD9">
      <w:pPr>
        <w:pBdr>
          <w:top w:val="nil"/>
          <w:left w:val="nil"/>
          <w:bottom w:val="nil"/>
          <w:right w:val="nil"/>
          <w:between w:val="nil"/>
        </w:pBdr>
        <w:spacing w:before="120" w:line="360" w:lineRule="auto"/>
        <w:jc w:val="both"/>
      </w:pPr>
      <w:r w:rsidRPr="00177CF7">
        <w:lastRenderedPageBreak/>
        <w:t xml:space="preserve">For each identified </w:t>
      </w:r>
      <w:proofErr w:type="spellStart"/>
      <w:r w:rsidRPr="00177CF7">
        <w:t>pQTL</w:t>
      </w:r>
      <w:proofErr w:type="spellEnd"/>
      <w:r w:rsidRPr="00177CF7">
        <w:t xml:space="preserve"> we first obtained all SNPs in at least moderate LD (r²&gt;0.1) using PLINK (version 2.0) and queried comprehensive annotations using the variant effect predictor software</w:t>
      </w:r>
      <w:r w:rsidRPr="00177CF7">
        <w:fldChar w:fldCharType="begin" w:fldLock="1"/>
      </w:r>
      <w:r w:rsidR="007212AD">
        <w:instrText>ADDIN CSL_CITATION {"citationItems":[{"id":"ITEM-1","itemData":{"DOI":"10.1186/s13059-016-0974-4","ISSN":"1474760X","PMID":"27268795","abstract":"The Ensembl Variant Effect Predictor is a powerful toolset for the analysis, annotation, and prioritization of genomic variants in coding and non-coding regions. It provides access to an extensive collection of genomic annotation, with a variety of interfaces to suit different requirements, and simple options for configuring and extending analysis. It is open source, free to use, and supports full reproducibility of results. The Ensembl Variant Effect Predictor can simplify and accelerate variant interpretation in a wide range of study designs.","author":[{"dropping-particle":"","family":"McLaren","given":"William","non-dropping-particle":"","parse-names":false,"suffix":""},{"dropping-particle":"","family":"Gil","given":"Laurent","non-dropping-particle":"","parse-names":false,"suffix":""},{"dropping-particle":"","family":"Hunt","given":"Sarah E","non-dropping-particle":"","parse-names":false,"suffix":""},{"dropping-particle":"","family":"Riat","given":"Harpreet Singh","non-dropping-particle":"","parse-names":false,"suffix":""},{"dropping-particle":"","family":"Ritchie","given":"Graham R.S.","non-dropping-particle":"","parse-names":false,"suffix":""},{"dropping-particle":"","family":"Thormann","given":"Anja","non-dropping-particle":"","parse-names":false,"suffix":""},{"dropping-particle":"","family":"Flicek","given":"Paul","non-dropping-particle":"","parse-names":false,"suffix":""},{"dropping-particle":"","family":"Cunningham","given":"Fiona","non-dropping-particle":"","parse-names":false,"suffix":""}],"container-title":"Genome Biology","id":"ITEM-1","issue":"1","issued":{"date-parts":[["2016"]]},"page":"1-14","publisher":"Genome Biology","title":"The Ensembl Variant Effect Predictor","type":"article-journal","volume":"17"},"uris":["http://www.mendeley.com/documents/?uuid=3753ec88-dabc-47aa-9f6d-dc4e52c1712d"]}],"mendeley":{"formattedCitation":"&lt;sup&gt;53&lt;/sup&gt;","plainTextFormattedCitation":"53","previouslyFormattedCitation":"&lt;sup&gt;53&lt;/sup&gt;"},"properties":{"noteIndex":0},"schema":"https://github.com/citation-style-language/schema/raw/master/csl-citation.json"}</w:instrText>
      </w:r>
      <w:r w:rsidRPr="00177CF7">
        <w:fldChar w:fldCharType="separate"/>
      </w:r>
      <w:r w:rsidR="00AB37AF" w:rsidRPr="00AB37AF">
        <w:rPr>
          <w:noProof/>
          <w:vertAlign w:val="superscript"/>
        </w:rPr>
        <w:t>53</w:t>
      </w:r>
      <w:r w:rsidRPr="00177CF7">
        <w:fldChar w:fldCharType="end"/>
      </w:r>
      <w:r w:rsidRPr="00177CF7">
        <w:t xml:space="preserve"> (version 98.3) using the </w:t>
      </w:r>
      <w:r w:rsidRPr="00177CF7">
        <w:rPr>
          <w:i/>
        </w:rPr>
        <w:t>pick</w:t>
      </w:r>
      <w:r w:rsidRPr="00177CF7">
        <w:t xml:space="preserve"> option. For each </w:t>
      </w:r>
      <w:r w:rsidRPr="00177CF7">
        <w:rPr>
          <w:i/>
        </w:rPr>
        <w:t>cis</w:t>
      </w:r>
      <w:r w:rsidRPr="00177CF7">
        <w:t>-</w:t>
      </w:r>
      <w:proofErr w:type="spellStart"/>
      <w:r w:rsidRPr="00177CF7">
        <w:t>pQTL</w:t>
      </w:r>
      <w:proofErr w:type="spellEnd"/>
      <w:r w:rsidRPr="00177CF7">
        <w:t xml:space="preserve"> we checked whether either the variant itself or a proxy in the encoding gene (r²&gt;0.1) is predicted to induce a change in the amino acid sequence of the associated protein, so-called protein altering variants (PAVs).</w:t>
      </w:r>
    </w:p>
    <w:p w14:paraId="00000041" w14:textId="49FE123C" w:rsidR="00766C45" w:rsidRPr="00177CF7" w:rsidRDefault="00555D20">
      <w:pPr>
        <w:spacing w:line="360" w:lineRule="auto"/>
        <w:jc w:val="both"/>
        <w:rPr>
          <w:i/>
        </w:rPr>
      </w:pPr>
      <w:r w:rsidRPr="00177CF7">
        <w:rPr>
          <w:i/>
        </w:rPr>
        <w:t xml:space="preserve">Phenome-wide </w:t>
      </w:r>
      <w:r w:rsidR="00D05CAE" w:rsidRPr="00177CF7">
        <w:rPr>
          <w:i/>
        </w:rPr>
        <w:t>association analyses</w:t>
      </w:r>
    </w:p>
    <w:p w14:paraId="59CFA2F7" w14:textId="178F8EF0" w:rsidR="00F83DD9" w:rsidRPr="00177CF7" w:rsidRDefault="00F83DD9">
      <w:pPr>
        <w:pBdr>
          <w:top w:val="nil"/>
          <w:left w:val="nil"/>
          <w:bottom w:val="nil"/>
          <w:right w:val="nil"/>
          <w:between w:val="nil"/>
        </w:pBdr>
        <w:spacing w:before="120" w:line="360" w:lineRule="auto"/>
        <w:jc w:val="both"/>
      </w:pPr>
      <w:r w:rsidRPr="00177CF7">
        <w:t>To enable linkage to reported GWAS-variants we downloaded all SNPs reported in the GWAS catalog</w:t>
      </w:r>
      <w:r w:rsidRPr="00177CF7">
        <w:fldChar w:fldCharType="begin" w:fldLock="1"/>
      </w:r>
      <w:r w:rsidR="007212AD">
        <w:instrText xml:space="preserve">ADDIN CSL_CITATION {"citationItems":[{"id":"ITEM-1","itemData":{"DOI":"10.1093/nar/gky1120","abstract":"The GWAS Catalog delivers a high-quality curated collection of all published genome-wide association studies enabling investigations to identify causal variants, understand disease mechanisms, and establish targets for novel therapies. The scope of the Catalog has also expanded to targeted and exome arrays with 1000 new associations added for these technologies. As of September 2018, the Catalog contains 5687 GWAS comprising 71673 variant-trait associations from 3567 publications. New content includes 284 full P-value summary statistics datasets for genome-wide and new targeted array studies, representing 6 × 10 9 individual variant-trait statistics. In the last 12 months, the Catalog's user interface was accessed by </w:instrText>
      </w:r>
      <w:r w:rsidR="007212AD">
        <w:rPr>
          <w:rFonts w:ascii="Cambria Math" w:hAnsi="Cambria Math" w:cs="Cambria Math"/>
        </w:rPr>
        <w:instrText>∼</w:instrText>
      </w:r>
      <w:r w:rsidR="007212AD">
        <w:instrText>90000 unique users who viewed &gt;1 million pages. We have improved data access with the release of a new RESTful API to support high-throughput programmatic access, an improved web interface and a new summary statistics database. Summary statistics provision is supported by a new format proposed as a community standard for summary statistics data representation. This format was derived from our experience in standardizing heterogeneous submissions, mapping formats and in harmonizing content. Availability: https://www.ebi.ac.uk/gwas/.","author":[{"dropping-particle":"","family":"Buniello","given":"Annalisa","non-dropping-particle":"","parse-names":false,"suffix":""},{"dropping-particle":"","family":"Macarthur","given":"Jacqueline A L","non-dropping-particle":"","parse-names":false,"suffix":""},{"dropping-particle":"","family":"Cerezo","given":"Maria","non-dropping-particle":"","parse-names":false,"suffix":""},{"dropping-particle":"","family":"Harris","given":"Laura W","non-dropping-particle":"","parse-names":false,"suffix":""},{"dropping-particle":"","family":"Hayhurst","given":"James","non-dropping-particle":"","parse-names":false,"suffix":""},{"dropping-particle":"","family":"Malangone","given":"Cinzia","non-dropping-particle":"","parse-names":false,"suffix":""},{"dropping-particle":"","family":"Mcmahon","given":"Aoife","non-dropping-particle":"","parse-names":false,"suffix":""},{"dropping-particle":"","family":"Morales","given":"Joannella","non-dropping-particle":"","parse-names":false,"suffix":""},{"dropping-particle":"","family":"Mountjoy","given":"Edward","non-dropping-particle":"","parse-names":false,"suffix":""},{"dropping-particle":"","family":"Sollis","given":"Elliot","non-dropping-particle":"","parse-names":false,"suffix":""},{"dropping-particle":"","family":"Suveges","given":"Daniel","non-dropping-particle":"","parse-names":false,"suffix":""},{"dropping-particle":"","family":"Vrousgou","given":"Olga","non-dropping-particle":"","parse-names":false,"suffix":""},{"dropping-particle":"","family":"Whetzel","given":"Patricia L","non-dropping-particle":"","parse-names":false,"suffix":""},{"dropping-particle":"","family":"Amode","given":"Ridwan","non-dropping-particle":"","parse-names":false,"suffix":""},{"dropping-particle":"","family":"Guillen","given":"Jose A","non-dropping-particle":"","parse-names":false,"suffix":""},{"dropping-particle":"","family":"Riat","given":"Harpreet S","non-dropping-particle":"","parse-names":false,"suffix":""},{"dropping-particle":"","family":"Trevanion","given":"Stephen J","non-dropping-particle":"","parse-names":false,"suffix":""},{"dropping-particle":"","family":"Hall","given":"Peggy","non-dropping-particle":"","parse-names":false,"suffix":""},{"dropping-particle":"","family":"Junkins","given":"Heather","non-dropping-particle":"","parse-names":false,"suffix":""},{"dropping-particle":"","family":"Flicek","given":"Paul","non-dropping-particle":"","parse-names":false,"suffix":""},{"dropping-particle":"","family":"Burdett","given":"Tony","non-dropping-particle":"","parse-names":false,"suffix":""},{"dropping-particle":"","family":"Hindorff","given":"Lucia A","non-dropping-particle":"","parse-names":false,"suffix":""},{"dropping-particle":"","family":"Cunningham","given":"Fiona","non-dropping-particle":"","parse-names":false,"suffix":""},{"dropping-particle":"","family":"Parkinson","given":"Helen","non-dropping-particle":"","parse-names":false,"suffix":""}],"container-title":"Nucleic Acids Research","id":"ITEM-1","issued":{"date-parts":[["2018"]]},"page":"1005-1012","title":"The NHGRI-EBI GWAS Catalog of published genome-wide association studies, targeted arrays and summary statistics 2019","type":"article-journal","volume":"47"},"uris":["http://www.mendeley.com/documents/?uuid=9479221f-bf45-38e1-a916-72c7fc878211"]}],"mendeley":{"formattedCitation":"&lt;sup&gt;54&lt;/sup&gt;","plainTextFormattedCitation":"54","previouslyFormattedCitation":"&lt;sup&gt;54&lt;/sup&gt;"},"properties":{"noteIndex":0},"schema":"https://github.com/citation-style-language/schema/raw/master/csl-citation.json"}</w:instrText>
      </w:r>
      <w:r w:rsidRPr="00177CF7">
        <w:fldChar w:fldCharType="separate"/>
      </w:r>
      <w:r w:rsidR="00AB37AF" w:rsidRPr="00AB37AF">
        <w:rPr>
          <w:noProof/>
          <w:vertAlign w:val="superscript"/>
        </w:rPr>
        <w:t>54</w:t>
      </w:r>
      <w:r w:rsidRPr="00177CF7">
        <w:fldChar w:fldCharType="end"/>
      </w:r>
      <w:r w:rsidRPr="00177CF7">
        <w:t xml:space="preserve"> (19/12/2019) and pruned the list of variant-outcome associations manually to omit previous protein-wide GWAS</w:t>
      </w:r>
      <w:r w:rsidR="00062FA3" w:rsidRPr="00177CF7">
        <w:t>s</w:t>
      </w:r>
      <w:r w:rsidRPr="00177CF7">
        <w:t>. For each SNP identified in the present study we tested whether the variant or a proxy in LD (r²&gt;0.8) has been reported to be associated with other outcomes previously.</w:t>
      </w:r>
    </w:p>
    <w:p w14:paraId="00000042" w14:textId="5B7C6707" w:rsidR="00766C45" w:rsidRPr="00177CF7" w:rsidRDefault="00F83DD9">
      <w:pPr>
        <w:spacing w:line="360" w:lineRule="auto"/>
        <w:jc w:val="both"/>
      </w:pPr>
      <w:r w:rsidRPr="00177CF7">
        <w:t>We used the Open GWAS database</w:t>
      </w:r>
      <w:r w:rsidR="00F95BA2" w:rsidRPr="00177CF7">
        <w:fldChar w:fldCharType="begin" w:fldLock="1"/>
      </w:r>
      <w:r w:rsidR="007212AD">
        <w:instrText>ADDIN CSL_CITATION {"citationItems":[{"id":"ITEM-1","itemData":{"DOI":"10.1101/2020.08.10.244293","abstract":"Data generated by genome-wide association studies (GWAS) are growing fast with the linkage of biobank samples to health records, and expanding capture of high-dimensional molecular phenotypes. However the utility of these efforts can only be fully realised if their complete results are collected from their heterogeneous sources and formats, harmonised and made programmatically accessible. Here we present the OpenGWAS database, an open source, open access, scalable and high-performance cloud-based data infrastructure that imports and publishes complete GWAS summary datasets and metadata for the scientific community. Our import pipeline harmonises these datasets against dbSNP and the human genome reference sequence, generates summary reports and standardises the format of results and metadata. Users can access the data via a website, an application programming interface, R and Python packages, and also as downloadable files that can be rapidly queried in high performance computing environments. OpenGWAS currently contains 126 billion genetic associations from 14,582 complete GWAS datasets representing a range of different human phenotypes and disease outcomes across different populations. We developed R and Python packages to serve as conduits between these GWAS data sources and a range of available analytical tools, enabling Mendelian randomization, genetic colocalisation analysis, fine mapping, genetic correlation and locus visualisation. OpenGWAS is freely accessible at ​ https://gwas.mrcieu.ac.uk​ , and has been designed to facilitate integration with third party analytical tools.","author":[{"dropping-particle":"","family":"Elsworth","given":"Ben","non-dropping-particle":"","parse-names":false,"suffix":""},{"dropping-particle":"","family":"Lyon","given":"Matthew","non-dropping-particle":"","parse-names":false,"suffix":""},{"dropping-particle":"","family":"Alexander","given":"Tessa","non-dropping-particle":"","parse-names":false,"suffix":""},{"dropping-particle":"","family":"Liu","given":"Yi","non-dropping-particle":"","parse-names":false,"suffix":""},{"dropping-particle":"","family":"Matthews","given":"Peter","non-dropping-particle":"","parse-names":false,"suffix":""},{"dropping-particle":"","family":"Hallett","given":"Jon","non-dropping-particle":"","parse-names":false,"suffix":""},{"dropping-particle":"","family":"Bates","given":"Phil","non-dropping-particle":"","parse-names":false,"suffix":""},{"dropping-particle":"","family":"Palmer","given":"Tom","non-dropping-particle":"","parse-names":false,"suffix":""},{"dropping-particle":"","family":"Haberland","given":"Valeriia","non-dropping-particle":"","parse-names":false,"suffix":""},{"dropping-particle":"","family":"Smith","given":"George Davey","non-dropping-particle":"","parse-names":false,"suffix":""},{"dropping-particle":"","family":"Zheng","given":"Jie","non-dropping-particle":"","parse-names":false,"suffix":""},{"dropping-particle":"","family":"Haycock","given":"Philip","non-dropping-particle":"","parse-names":false,"suffix":""},{"dropping-particle":"","family":"Gaunt","given":"Tom R","non-dropping-particle":"","parse-names":false,"suffix":""},{"dropping-particle":"","family":"Hemani","given":"Gibran","non-dropping-particle":"","parse-names":false,"suffix":""}],"container-title":"bioRxiv","id":"ITEM-1","issued":{"date-parts":[["2020"]]},"page":"2020.08.10.244293","title":"The MRC IEU OpenGWAS data infrastructure","type":"article-journal"},"uris":["http://www.mendeley.com/documents/?uuid=5a7de174-0d15-4bbd-b838-6e7b2827ef03"]}],"mendeley":{"formattedCitation":"&lt;sup&gt;55&lt;/sup&gt;","plainTextFormattedCitation":"55","previouslyFormattedCitation":"&lt;sup&gt;55&lt;/sup&gt;"},"properties":{"noteIndex":0},"schema":"https://github.com/citation-style-language/schema/raw/master/csl-citation.json"}</w:instrText>
      </w:r>
      <w:r w:rsidR="00F95BA2" w:rsidRPr="00177CF7">
        <w:fldChar w:fldCharType="separate"/>
      </w:r>
      <w:r w:rsidR="00AB37AF" w:rsidRPr="00AB37AF">
        <w:rPr>
          <w:noProof/>
          <w:vertAlign w:val="superscript"/>
        </w:rPr>
        <w:t>55</w:t>
      </w:r>
      <w:r w:rsidR="00F95BA2" w:rsidRPr="00177CF7">
        <w:fldChar w:fldCharType="end"/>
      </w:r>
      <w:r w:rsidRPr="00177CF7">
        <w:t xml:space="preserve"> to query for each genomic region association</w:t>
      </w:r>
      <w:r w:rsidR="00567CB0">
        <w:t>s</w:t>
      </w:r>
      <w:r w:rsidRPr="00177CF7">
        <w:t xml:space="preserve"> with non-proteomic phenotypes</w:t>
      </w:r>
      <w:r w:rsidR="00567CB0">
        <w:t xml:space="preserve"> using the R package ‘</w:t>
      </w:r>
      <w:proofErr w:type="spellStart"/>
      <w:r w:rsidR="000B5BB4">
        <w:t>ieugwasr</w:t>
      </w:r>
      <w:proofErr w:type="spellEnd"/>
      <w:r w:rsidR="00567CB0">
        <w:t>’</w:t>
      </w:r>
      <w:r w:rsidR="000B5BB4">
        <w:t xml:space="preserve"> v</w:t>
      </w:r>
      <w:r w:rsidR="00535041">
        <w:t>0.1.5</w:t>
      </w:r>
      <w:r w:rsidR="000B5BB4">
        <w:t>.</w:t>
      </w:r>
      <w:r w:rsidRPr="00177CF7">
        <w:t xml:space="preserve"> </w:t>
      </w:r>
      <w:r w:rsidR="000B5BB4">
        <w:t>We</w:t>
      </w:r>
      <w:r w:rsidR="000B5BB4" w:rsidRPr="00177CF7">
        <w:t xml:space="preserve"> </w:t>
      </w:r>
      <w:r w:rsidRPr="00177CF7">
        <w:t>tested for a shared genetic signal between a protein target and a phenotype with at least suggestive evidence (p&lt;10</w:t>
      </w:r>
      <w:r w:rsidRPr="00177CF7">
        <w:rPr>
          <w:vertAlign w:val="superscript"/>
        </w:rPr>
        <w:t>-6</w:t>
      </w:r>
      <w:r w:rsidRPr="00177CF7">
        <w:t>) using statistical colocalisation</w:t>
      </w:r>
      <w:r w:rsidR="00F95BA2" w:rsidRPr="00177CF7">
        <w:fldChar w:fldCharType="begin" w:fldLock="1"/>
      </w:r>
      <w:r w:rsidR="007212AD">
        <w:instrText>ADDIN CSL_CITATION {"citationItems":[{"id":"ITEM-1","itemData":{"DOI":"10.1371/journal.pgen.1004383","ISSN":"1553-7404","PMID":"24830394","abstract":"Genetic association studies, in particular the genome-wide association study (GWAS) design, have provided a wealth of novel insights into the aetiology of a wide range of human diseases and traits, in particular cardiovascular diseases and lipid biomarkers. The next challenge consists of understanding the molecular basis of these associations. The integration of multiple association datasets, including gene expression datasets, can contribute to this goal. We have developed a novel statistical methodology to assess whether two association signals are consistent with a shared causal variant. An application is the integration of disease scans with expression quantitative trait locus (eQTL) studies, but any pair of GWAS datasets can be integrated in this framework. We demonstrate the value of the approach by re-analysing a gene expression dataset in 966 liver samples with a published meta-analysis of lipid traits including &gt;100,000 individuals of European ancestry. Combining all lipid biomarkers, our re-analysis supported 26 out of 38 reported colocalisation results with eQTLs and identified 14 new colocalisation results, hence highlighting the value of a formal statistical test. In three cases of reported eQTL-lipid pairs (SYPL2, IFT172, TBKBP1) for which our analysis suggests that the eQTL pattern is not consistent with the lipid association, we identify alternative colocalisation results with SORT1, GCKR, and KPNB1, indicating that these genes are more likely to be causal in these genomic intervals. A key feature of the method is the ability to derive the output statistics from single SNP summary statistics, hence making it possible to perform systematic meta-analysis type comparisons across multiple GWAS datasets (implemented online at http://coloc.cs.ucl.ac.uk/coloc/). Our methodology provides information about candidate causal genes in associated intervals and has direct implications for the understanding of complex diseases as well as the design of drugs to target disease pathways.","author":[{"dropping-particle":"","family":"Giambartolomei","given":"Claudia","non-dropping-particle":"","parse-names":false,"suffix":""},{"dropping-particle":"","family":"Vukcevic","given":"Damjan","non-dropping-particle":"","parse-names":false,"suffix":""},{"dropping-particle":"","family":"Schadt","given":"Eric E","non-dropping-particle":"","parse-names":false,"suffix":""},{"dropping-particle":"","family":"Franke","given":"Lude","non-dropping-particle":"","parse-names":false,"suffix":""},{"dropping-particle":"","family":"Hingorani","given":"Aroon D","non-dropping-particle":"","parse-names":false,"suffix":""},{"dropping-particle":"","family":"Wallace","given":"Chris","non-dropping-particle":"","parse-names":false,"suffix":""},{"dropping-particle":"","family":"Plagnol","given":"Vincent","non-dropping-particle":"","parse-names":false,"suffix":""}],"container-title":"PLoS genetics","id":"ITEM-1","issue":"5","issued":{"date-parts":[["2014","5"]]},"page":"e1004383","title":"Bayesian test for colocalisation between pairs of genetic association studies using summary statistics.","type":"article-journal","volume":"10"},"uris":["http://www.mendeley.com/documents/?uuid=4a0b12da-f0f7-4eed-bbf3-70e6fd8e5da0"]}],"mendeley":{"formattedCitation":"&lt;sup&gt;56&lt;/sup&gt;","plainTextFormattedCitation":"56","previouslyFormattedCitation":"&lt;sup&gt;56&lt;/sup&gt;"},"properties":{"noteIndex":0},"schema":"https://github.com/citation-style-language/schema/raw/master/csl-citation.json"}</w:instrText>
      </w:r>
      <w:r w:rsidR="00F95BA2" w:rsidRPr="00177CF7">
        <w:fldChar w:fldCharType="separate"/>
      </w:r>
      <w:r w:rsidR="00AB37AF" w:rsidRPr="00AB37AF">
        <w:rPr>
          <w:noProof/>
          <w:vertAlign w:val="superscript"/>
        </w:rPr>
        <w:t>56</w:t>
      </w:r>
      <w:r w:rsidR="00F95BA2" w:rsidRPr="00177CF7">
        <w:fldChar w:fldCharType="end"/>
      </w:r>
      <w:r w:rsidR="00B374A1">
        <w:t xml:space="preserve"> as implemented in the R package ‘</w:t>
      </w:r>
      <w:proofErr w:type="spellStart"/>
      <w:r w:rsidR="00B374A1">
        <w:t>coloc</w:t>
      </w:r>
      <w:proofErr w:type="spellEnd"/>
      <w:r w:rsidR="00B374A1">
        <w:t>’ v</w:t>
      </w:r>
      <w:r w:rsidR="009C7567">
        <w:t>4.0.4</w:t>
      </w:r>
      <w:r w:rsidR="00B374A1">
        <w:t xml:space="preserve"> </w:t>
      </w:r>
      <w:r w:rsidRPr="00177CF7">
        <w:t xml:space="preserve">. </w:t>
      </w:r>
      <w:r w:rsidR="003E3D7A" w:rsidRPr="00177CF7">
        <w:t xml:space="preserve">We used a conservative prior </w:t>
      </w:r>
      <w:r w:rsidR="007A7E18" w:rsidRPr="00177CF7">
        <w:t>(p=1x10</w:t>
      </w:r>
      <w:r w:rsidR="007A7E18" w:rsidRPr="00177CF7">
        <w:rPr>
          <w:vertAlign w:val="superscript"/>
        </w:rPr>
        <w:t>-6</w:t>
      </w:r>
      <w:r w:rsidR="007A7E18" w:rsidRPr="00177CF7">
        <w:t xml:space="preserve">) for the probability of a shared signal between a protein and a trait and further </w:t>
      </w:r>
      <w:r w:rsidR="00DE6937" w:rsidRPr="00177CF7">
        <w:t xml:space="preserve">filtered results for protein – phenotype examples for which the respective lead </w:t>
      </w:r>
      <w:proofErr w:type="spellStart"/>
      <w:r w:rsidR="00DE6937" w:rsidRPr="00177CF7">
        <w:t>pQTLs</w:t>
      </w:r>
      <w:proofErr w:type="spellEnd"/>
      <w:r w:rsidR="00DE6937" w:rsidRPr="00177CF7">
        <w:t xml:space="preserve"> were in strong LD (</w:t>
      </w:r>
      <w:r w:rsidR="00EC1423" w:rsidRPr="00177CF7">
        <w:t>r</w:t>
      </w:r>
      <w:r w:rsidR="00DE6937" w:rsidRPr="00177CF7">
        <w:t xml:space="preserve">²&gt;0.8). </w:t>
      </w:r>
      <w:r w:rsidR="00B639E6" w:rsidRPr="00177CF7">
        <w:t xml:space="preserve">We extended this </w:t>
      </w:r>
      <w:proofErr w:type="spellStart"/>
      <w:r w:rsidR="00B639E6" w:rsidRPr="00177CF7">
        <w:t>colocalisation</w:t>
      </w:r>
      <w:proofErr w:type="spellEnd"/>
      <w:r w:rsidR="00B639E6" w:rsidRPr="00177CF7">
        <w:t xml:space="preserve"> approach </w:t>
      </w:r>
      <w:r w:rsidR="00C057F2" w:rsidRPr="00177CF7">
        <w:t xml:space="preserve">to all overlapping protein targets with at least suggestive evidence for a </w:t>
      </w:r>
      <w:r w:rsidR="00C057F2" w:rsidRPr="00177CF7">
        <w:rPr>
          <w:i/>
          <w:iCs/>
        </w:rPr>
        <w:t>cis</w:t>
      </w:r>
      <w:r w:rsidR="00C057F2" w:rsidRPr="00177CF7">
        <w:t>-</w:t>
      </w:r>
      <w:proofErr w:type="spellStart"/>
      <w:r w:rsidR="00C057F2" w:rsidRPr="00177CF7">
        <w:t>pQTL</w:t>
      </w:r>
      <w:proofErr w:type="spellEnd"/>
      <w:r w:rsidR="00C057F2" w:rsidRPr="00177CF7">
        <w:t xml:space="preserve"> for either assay (p&lt;10</w:t>
      </w:r>
      <w:r w:rsidR="00C057F2" w:rsidRPr="00177CF7">
        <w:rPr>
          <w:vertAlign w:val="superscript"/>
        </w:rPr>
        <w:t>-6</w:t>
      </w:r>
      <w:r w:rsidR="00C057F2" w:rsidRPr="00177CF7">
        <w:t>)</w:t>
      </w:r>
      <w:r w:rsidR="003009FE" w:rsidRPr="00177CF7">
        <w:t xml:space="preserve">. </w:t>
      </w:r>
      <w:r w:rsidRPr="00177CF7">
        <w:t xml:space="preserve">We considered a posterior probability of 80% as highly likely. We repeated this analysis for all </w:t>
      </w:r>
      <w:r w:rsidRPr="00177CF7">
        <w:rPr>
          <w:i/>
          <w:iCs/>
        </w:rPr>
        <w:t>cis</w:t>
      </w:r>
      <w:r w:rsidRPr="00177CF7">
        <w:t xml:space="preserve">-regions from the </w:t>
      </w:r>
      <w:proofErr w:type="spellStart"/>
      <w:r w:rsidRPr="00177CF7">
        <w:t>SomaScan</w:t>
      </w:r>
      <w:proofErr w:type="spellEnd"/>
      <w:r w:rsidRPr="00177CF7">
        <w:t>-based discovery with evidence for a secondary signal (p&lt;5</w:t>
      </w:r>
      <w:r w:rsidR="00D66154" w:rsidRPr="00177CF7">
        <w:t>x10</w:t>
      </w:r>
      <w:r w:rsidRPr="00177CF7">
        <w:rPr>
          <w:vertAlign w:val="superscript"/>
        </w:rPr>
        <w:t>-8</w:t>
      </w:r>
      <w:r w:rsidRPr="00177CF7">
        <w:t xml:space="preserve">) </w:t>
      </w:r>
      <w:r w:rsidR="00DA4BEA" w:rsidRPr="00177CF7">
        <w:t xml:space="preserve">by creating conditional summary statistics using the lead signal in the locus as additional covariate. We computed conditional association statistics using the </w:t>
      </w:r>
      <w:proofErr w:type="spellStart"/>
      <w:r w:rsidR="00DA4BEA" w:rsidRPr="00177CF7">
        <w:rPr>
          <w:i/>
        </w:rPr>
        <w:t>cond</w:t>
      </w:r>
      <w:proofErr w:type="spellEnd"/>
      <w:r w:rsidR="00DA4BEA" w:rsidRPr="00177CF7">
        <w:t xml:space="preserve"> option from GCTA-</w:t>
      </w:r>
      <w:proofErr w:type="spellStart"/>
      <w:r w:rsidR="00DA4BEA" w:rsidRPr="00177CF7">
        <w:t>cojo</w:t>
      </w:r>
      <w:proofErr w:type="spellEnd"/>
      <w:r w:rsidR="00DA4BEA" w:rsidRPr="00177CF7">
        <w:t xml:space="preserve"> to align with the identification of secondary signals.</w:t>
      </w:r>
    </w:p>
    <w:p w14:paraId="00000045" w14:textId="77777777" w:rsidR="00766C45" w:rsidRPr="00177CF7" w:rsidRDefault="00555D20">
      <w:pPr>
        <w:spacing w:line="360" w:lineRule="auto"/>
        <w:jc w:val="both"/>
        <w:rPr>
          <w:i/>
        </w:rPr>
      </w:pPr>
      <w:r w:rsidRPr="00177CF7">
        <w:rPr>
          <w:i/>
        </w:rPr>
        <w:t>Expression quantitative trait loci</w:t>
      </w:r>
    </w:p>
    <w:p w14:paraId="00000046" w14:textId="68187F36" w:rsidR="00766C45" w:rsidRPr="00177CF7" w:rsidRDefault="00DA4BEA">
      <w:pPr>
        <w:spacing w:line="360" w:lineRule="auto"/>
        <w:jc w:val="both"/>
      </w:pPr>
      <w:r w:rsidRPr="00177CF7">
        <w:t xml:space="preserve">We obtained lead </w:t>
      </w:r>
      <w:proofErr w:type="spellStart"/>
      <w:r w:rsidRPr="00177CF7">
        <w:t>eQTLs</w:t>
      </w:r>
      <w:proofErr w:type="spellEnd"/>
      <w:r w:rsidRPr="00177CF7">
        <w:t xml:space="preserve"> from the most recent release of the </w:t>
      </w:r>
      <w:proofErr w:type="spellStart"/>
      <w:r w:rsidRPr="00177CF7">
        <w:t>GTEx</w:t>
      </w:r>
      <w:proofErr w:type="spellEnd"/>
      <w:r w:rsidRPr="00177CF7">
        <w:t xml:space="preserve"> project v8</w:t>
      </w:r>
      <w:r w:rsidR="00F95BA2" w:rsidRPr="00177CF7">
        <w:fldChar w:fldCharType="begin" w:fldLock="1"/>
      </w:r>
      <w:r w:rsidR="007212AD">
        <w:instrText>ADDIN CSL_CITATION {"citationItems":[{"id":"ITEM-1","itemData":{"DOI":"10.1126/science.aaz1776","ISSN":"1095-9203","PMID":"32913098","abstract":"The Genotype-Tissue Expression (GTEx) project was established to characterize genetic effects on the transcriptome across human tissues and to link these regulatory mechanisms to trait and disease associations. Here, we present analyses of the version 8 data, examining 15,201 RNA-sequencing samples from 49 tissues of 838 postmortem donors. We comprehensively characterize genetic associations for gene expression and splicing in cis and trans, showing that regulatory associations are found for almost all genes, and describe the underlying molecular mechanisms and their contribution to allelic heterogeneity and pleiotropy of complex traits. Leveraging the large diversity of tissues, we provide insights into the tissue specificity of genetic effects and show that cell type composition is a key factor in understanding gene regulatory mechanisms in human tissues.","author":[{"dropping-particle":"","family":"GTEx Consortium","given":"","non-dropping-particle":"","parse-names":false,"suffix":""}],"container-title":"Science (New York, N.Y.)","id":"ITEM-1","issue":"6509","issued":{"date-parts":[["2020","9","11"]]},"page":"1318-1330","publisher":"American Association for the Advancement of Science","title":"The GTEx Consortium atlas of genetic regulatory effects across human tissues.","type":"article-journal","volume":"369"},"uris":["http://www.mendeley.com/documents/?uuid=63b3c075-a405-37f3-bf3e-dc49cb28e4a7"]}],"mendeley":{"formattedCitation":"&lt;sup&gt;57&lt;/sup&gt;","plainTextFormattedCitation":"57","previouslyFormattedCitation":"&lt;sup&gt;57&lt;/sup&gt;"},"properties":{"noteIndex":0},"schema":"https://github.com/citation-style-language/schema/raw/master/csl-citation.json"}</w:instrText>
      </w:r>
      <w:r w:rsidR="00F95BA2" w:rsidRPr="00177CF7">
        <w:fldChar w:fldCharType="separate"/>
      </w:r>
      <w:r w:rsidR="00AB37AF" w:rsidRPr="00AB37AF">
        <w:rPr>
          <w:noProof/>
          <w:vertAlign w:val="superscript"/>
        </w:rPr>
        <w:t>57</w:t>
      </w:r>
      <w:r w:rsidR="00F95BA2" w:rsidRPr="00177CF7">
        <w:fldChar w:fldCharType="end"/>
      </w:r>
      <w:r w:rsidRPr="00177CF7">
        <w:t xml:space="preserve"> across all 49 tissues and mapped </w:t>
      </w:r>
      <w:r w:rsidRPr="00177CF7">
        <w:rPr>
          <w:i/>
          <w:iCs/>
        </w:rPr>
        <w:t>cis</w:t>
      </w:r>
      <w:r w:rsidRPr="00177CF7">
        <w:t>-</w:t>
      </w:r>
      <w:proofErr w:type="spellStart"/>
      <w:r w:rsidRPr="00177CF7">
        <w:t>pQTLs</w:t>
      </w:r>
      <w:proofErr w:type="spellEnd"/>
      <w:r w:rsidRPr="00177CF7">
        <w:t xml:space="preserve"> to </w:t>
      </w:r>
      <w:r w:rsidRPr="00177CF7">
        <w:rPr>
          <w:i/>
          <w:iCs/>
        </w:rPr>
        <w:t>cis</w:t>
      </w:r>
      <w:r w:rsidRPr="00177CF7">
        <w:t>-</w:t>
      </w:r>
      <w:proofErr w:type="spellStart"/>
      <w:r w:rsidRPr="00177CF7">
        <w:t>eQTLs</w:t>
      </w:r>
      <w:proofErr w:type="spellEnd"/>
      <w:r w:rsidRPr="00177CF7">
        <w:t xml:space="preserve"> by LD (</w:t>
      </w:r>
      <w:r w:rsidR="007A796B" w:rsidRPr="00177CF7">
        <w:t>r</w:t>
      </w:r>
      <w:r w:rsidRPr="00177CF7">
        <w:t xml:space="preserve">²&gt;0.8) restricting to the respective protein-encoding gene. </w:t>
      </w:r>
      <w:r w:rsidR="00BF4E8B" w:rsidRPr="00177CF7">
        <w:t xml:space="preserve">We further generated a simple </w:t>
      </w:r>
      <w:r w:rsidR="000112E8" w:rsidRPr="00177CF7">
        <w:t xml:space="preserve">LD-based </w:t>
      </w:r>
      <w:r w:rsidR="00BF4E8B" w:rsidRPr="00177CF7">
        <w:t xml:space="preserve">mapping </w:t>
      </w:r>
      <w:r w:rsidR="00AF0AE6" w:rsidRPr="00177CF7">
        <w:t>(</w:t>
      </w:r>
      <w:r w:rsidR="007A796B" w:rsidRPr="00177CF7">
        <w:t>r</w:t>
      </w:r>
      <w:r w:rsidR="00AF0AE6" w:rsidRPr="00177CF7">
        <w:rPr>
          <w:vertAlign w:val="superscript"/>
        </w:rPr>
        <w:t>2</w:t>
      </w:r>
      <w:r w:rsidR="00AF0AE6" w:rsidRPr="00177CF7">
        <w:t xml:space="preserve">&gt;0.8) </w:t>
      </w:r>
      <w:r w:rsidR="00BF4E8B" w:rsidRPr="00177CF7">
        <w:t xml:space="preserve">considering any overlap between lead </w:t>
      </w:r>
      <w:proofErr w:type="spellStart"/>
      <w:r w:rsidR="00BF4E8B" w:rsidRPr="00177CF7">
        <w:t>pQTLs</w:t>
      </w:r>
      <w:proofErr w:type="spellEnd"/>
      <w:r w:rsidR="00BF4E8B" w:rsidRPr="00177CF7">
        <w:t xml:space="preserve"> and </w:t>
      </w:r>
      <w:proofErr w:type="spellStart"/>
      <w:r w:rsidR="00BF4E8B" w:rsidRPr="00177CF7">
        <w:t>eQTLs</w:t>
      </w:r>
      <w:proofErr w:type="spellEnd"/>
      <w:r w:rsidR="00973F25" w:rsidRPr="00177CF7">
        <w:t xml:space="preserve"> to allow for incorporation of </w:t>
      </w:r>
      <w:r w:rsidR="00973F25" w:rsidRPr="00177CF7">
        <w:rPr>
          <w:i/>
          <w:iCs/>
        </w:rPr>
        <w:t>trans</w:t>
      </w:r>
      <w:r w:rsidR="00973F25" w:rsidRPr="00177CF7">
        <w:t>-</w:t>
      </w:r>
      <w:proofErr w:type="spellStart"/>
      <w:r w:rsidR="00973F25" w:rsidRPr="00177CF7">
        <w:t>pQTLs</w:t>
      </w:r>
      <w:proofErr w:type="spellEnd"/>
      <w:r w:rsidR="00BF4E8B" w:rsidRPr="00177CF7">
        <w:t>.</w:t>
      </w:r>
    </w:p>
    <w:p w14:paraId="47786C98" w14:textId="674D4797" w:rsidR="00DA4BEA" w:rsidRPr="00177CF7" w:rsidRDefault="00CA61BD">
      <w:pPr>
        <w:spacing w:line="360" w:lineRule="auto"/>
        <w:jc w:val="both"/>
        <w:rPr>
          <w:i/>
        </w:rPr>
      </w:pPr>
      <w:r w:rsidRPr="00177CF7">
        <w:rPr>
          <w:i/>
        </w:rPr>
        <w:t>Analysis of genetic associations</w:t>
      </w:r>
    </w:p>
    <w:p w14:paraId="749EDAA9" w14:textId="4E8962FD" w:rsidR="008A1680" w:rsidRPr="00177CF7" w:rsidRDefault="009F12F2" w:rsidP="008A1680">
      <w:pPr>
        <w:spacing w:line="360" w:lineRule="auto"/>
        <w:jc w:val="both"/>
      </w:pPr>
      <w:r w:rsidRPr="00177CF7">
        <w:t xml:space="preserve">To identify factors that are associated with </w:t>
      </w:r>
      <w:proofErr w:type="spellStart"/>
      <w:r w:rsidRPr="00177CF7">
        <w:t>pQTLs</w:t>
      </w:r>
      <w:proofErr w:type="spellEnd"/>
      <w:r w:rsidRPr="00177CF7">
        <w:t xml:space="preserve"> that are shared across platforms as opposed to those that are platform-specific, we used logistic regression models to systematically test the odds of platform-specificity for 22 factors, including functional annotation of variants, associations with </w:t>
      </w:r>
      <w:r w:rsidRPr="00177CF7">
        <w:lastRenderedPageBreak/>
        <w:t>diverse phenotypic traits, gene expression QTL (</w:t>
      </w:r>
      <w:proofErr w:type="spellStart"/>
      <w:r w:rsidRPr="00177CF7">
        <w:t>eQTL</w:t>
      </w:r>
      <w:proofErr w:type="spellEnd"/>
      <w:r w:rsidRPr="00177CF7">
        <w:t xml:space="preserve">), and protein characteristics. We considered three control groups: 1) protein targets with distinct </w:t>
      </w:r>
      <w:proofErr w:type="spellStart"/>
      <w:r w:rsidRPr="00177CF7">
        <w:t>pQTLs</w:t>
      </w:r>
      <w:proofErr w:type="spellEnd"/>
      <w:r w:rsidRPr="00177CF7">
        <w:t xml:space="preserve"> in the same genomic region, 2) </w:t>
      </w:r>
      <w:proofErr w:type="spellStart"/>
      <w:r w:rsidRPr="00177CF7">
        <w:t>pQTLs</w:t>
      </w:r>
      <w:proofErr w:type="spellEnd"/>
      <w:r w:rsidRPr="00177CF7">
        <w:t xml:space="preserve"> unique to the </w:t>
      </w:r>
      <w:proofErr w:type="spellStart"/>
      <w:r w:rsidRPr="00177CF7">
        <w:t>SomaScan</w:t>
      </w:r>
      <w:proofErr w:type="spellEnd"/>
      <w:r w:rsidRPr="00177CF7">
        <w:t xml:space="preserve"> assay, and 3) </w:t>
      </w:r>
      <w:proofErr w:type="spellStart"/>
      <w:r w:rsidRPr="00177CF7">
        <w:t>pQTLs</w:t>
      </w:r>
      <w:proofErr w:type="spellEnd"/>
      <w:r w:rsidRPr="00177CF7">
        <w:t xml:space="preserve"> unique to the </w:t>
      </w:r>
      <w:proofErr w:type="spellStart"/>
      <w:r w:rsidRPr="00177CF7">
        <w:t>Olink</w:t>
      </w:r>
      <w:proofErr w:type="spellEnd"/>
      <w:r w:rsidRPr="00177CF7">
        <w:t xml:space="preserve"> assay (</w:t>
      </w:r>
      <w:r w:rsidRPr="00177CF7">
        <w:rPr>
          <w:b/>
        </w:rPr>
        <w:t xml:space="preserve">Supplementary </w:t>
      </w:r>
      <w:r w:rsidR="00FA2264">
        <w:rPr>
          <w:b/>
        </w:rPr>
        <w:t>Data</w:t>
      </w:r>
      <w:r w:rsidRPr="00177CF7">
        <w:rPr>
          <w:b/>
        </w:rPr>
        <w:t xml:space="preserve"> </w:t>
      </w:r>
      <w:r w:rsidR="00DE06FB" w:rsidRPr="00177CF7">
        <w:rPr>
          <w:b/>
        </w:rPr>
        <w:t>7</w:t>
      </w:r>
      <w:r w:rsidRPr="00177CF7">
        <w:rPr>
          <w:b/>
        </w:rPr>
        <w:t>-</w:t>
      </w:r>
      <w:r w:rsidR="00DE06FB" w:rsidRPr="00177CF7">
        <w:rPr>
          <w:b/>
        </w:rPr>
        <w:t>9</w:t>
      </w:r>
      <w:r w:rsidRPr="00177CF7">
        <w:t xml:space="preserve">). </w:t>
      </w:r>
      <w:r w:rsidR="008A1680" w:rsidRPr="00177CF7">
        <w:t xml:space="preserve">We derived robust standard errors using the sandwich method. We applied log-transformation (‘apparent </w:t>
      </w:r>
      <w:proofErr w:type="spellStart"/>
      <w:r w:rsidR="008A1680" w:rsidRPr="00177CF7">
        <w:t>Kd</w:t>
      </w:r>
      <w:proofErr w:type="spellEnd"/>
      <w:r w:rsidR="008A1680" w:rsidRPr="00177CF7">
        <w:t xml:space="preserve">’) or square root-transformation (number of colocalising traits, absolute effect estimate, and predicted explained variance) to reduce the impact of highly skewed factors. </w:t>
      </w:r>
    </w:p>
    <w:p w14:paraId="60AF1208" w14:textId="76884017" w:rsidR="00C96391" w:rsidRPr="00177CF7" w:rsidRDefault="00C96391">
      <w:pPr>
        <w:spacing w:line="360" w:lineRule="auto"/>
        <w:jc w:val="both"/>
      </w:pPr>
      <w:r w:rsidRPr="00177CF7">
        <w:t>To decompose the variance of measurement differences</w:t>
      </w:r>
      <w:r w:rsidR="008866F4" w:rsidRPr="00177CF7">
        <w:t xml:space="preserve"> we</w:t>
      </w:r>
      <w:r w:rsidRPr="00177CF7">
        <w:t xml:space="preserve"> comput</w:t>
      </w:r>
      <w:r w:rsidR="008866F4" w:rsidRPr="00177CF7">
        <w:t>ed</w:t>
      </w:r>
      <w:r w:rsidRPr="00177CF7">
        <w:t xml:space="preserve"> the differences in rank-transformed measurements between </w:t>
      </w:r>
      <w:proofErr w:type="spellStart"/>
      <w:r w:rsidRPr="00177CF7">
        <w:t>SomaScan</w:t>
      </w:r>
      <w:proofErr w:type="spellEnd"/>
      <w:r w:rsidRPr="00177CF7">
        <w:t xml:space="preserve"> and </w:t>
      </w:r>
      <w:proofErr w:type="spellStart"/>
      <w:r w:rsidRPr="00177CF7">
        <w:t>Olink</w:t>
      </w:r>
      <w:proofErr w:type="spellEnd"/>
      <w:r w:rsidRPr="00177CF7">
        <w:t xml:space="preserve"> for each overlapping protein target</w:t>
      </w:r>
      <w:r w:rsidR="008866F4" w:rsidRPr="00177CF7">
        <w:t>.</w:t>
      </w:r>
      <w:r w:rsidRPr="00177CF7">
        <w:t xml:space="preserve"> </w:t>
      </w:r>
      <w:r w:rsidR="008866F4" w:rsidRPr="00177CF7">
        <w:t>W</w:t>
      </w:r>
      <w:r w:rsidRPr="00177CF7">
        <w:t xml:space="preserve">e used this variable as outcome for a variance decomposition model as implemented in </w:t>
      </w:r>
      <w:r w:rsidR="00746A71">
        <w:t xml:space="preserve">the </w:t>
      </w:r>
      <w:r w:rsidRPr="00177CF7">
        <w:t xml:space="preserve">R package </w:t>
      </w:r>
      <w:r w:rsidR="00746A71">
        <w:t>‘</w:t>
      </w:r>
      <w:proofErr w:type="spellStart"/>
      <w:r w:rsidRPr="00FA13E3">
        <w:rPr>
          <w:iCs/>
        </w:rPr>
        <w:t>variancePartition</w:t>
      </w:r>
      <w:proofErr w:type="spellEnd"/>
      <w:r w:rsidR="00746A71">
        <w:t>’ v1.</w:t>
      </w:r>
      <w:r w:rsidR="003D2BF4">
        <w:t>14.1</w:t>
      </w:r>
      <w:r w:rsidRPr="00177CF7">
        <w:t xml:space="preserve"> using a corresponding </w:t>
      </w:r>
      <w:proofErr w:type="spellStart"/>
      <w:r w:rsidRPr="00177CF7">
        <w:t>pQTL</w:t>
      </w:r>
      <w:proofErr w:type="spellEnd"/>
      <w:r w:rsidRPr="00177CF7">
        <w:t xml:space="preserve">, age, sex, body mass index, plasma alanine aminotransferase, and estimated glomerular filtration rate as </w:t>
      </w:r>
      <w:r w:rsidR="008866F4" w:rsidRPr="00177CF7">
        <w:t xml:space="preserve">explanatory </w:t>
      </w:r>
      <w:r w:rsidRPr="00177CF7">
        <w:t xml:space="preserve">variables. We selected only one </w:t>
      </w:r>
      <w:proofErr w:type="spellStart"/>
      <w:r w:rsidRPr="00177CF7">
        <w:t>pQTL</w:t>
      </w:r>
      <w:proofErr w:type="spellEnd"/>
      <w:r w:rsidRPr="00177CF7">
        <w:t xml:space="preserve"> for each overlapping pair based on a simple linear regression model explaining the differences in measurements.</w:t>
      </w:r>
    </w:p>
    <w:p w14:paraId="68E00C37" w14:textId="77D62A38" w:rsidR="00C96391" w:rsidRPr="00177CF7" w:rsidRDefault="00BD73E4">
      <w:pPr>
        <w:spacing w:line="360" w:lineRule="auto"/>
        <w:jc w:val="both"/>
      </w:pPr>
      <w:r w:rsidRPr="00177CF7">
        <w:t>Finally, we</w:t>
      </w:r>
      <w:r w:rsidR="00C96391" w:rsidRPr="00177CF7">
        <w:t xml:space="preserve"> used a linear regression model to test whether the association between the </w:t>
      </w:r>
      <w:proofErr w:type="spellStart"/>
      <w:r w:rsidR="00C96391" w:rsidRPr="00177CF7">
        <w:t>Olink</w:t>
      </w:r>
      <w:proofErr w:type="spellEnd"/>
      <w:r w:rsidR="00C96391" w:rsidRPr="00177CF7">
        <w:t xml:space="preserve"> measure (outcome) and </w:t>
      </w:r>
      <w:r w:rsidR="00BF4E8B" w:rsidRPr="00177CF7">
        <w:t xml:space="preserve">the </w:t>
      </w:r>
      <w:proofErr w:type="spellStart"/>
      <w:r w:rsidR="00BF4E8B" w:rsidRPr="00177CF7">
        <w:t>SomaScan</w:t>
      </w:r>
      <w:proofErr w:type="spellEnd"/>
      <w:r w:rsidR="00BF4E8B" w:rsidRPr="00177CF7">
        <w:t xml:space="preserve"> measure (exposure) differed by genotype of associated </w:t>
      </w:r>
      <w:proofErr w:type="spellStart"/>
      <w:r w:rsidR="00BF4E8B" w:rsidRPr="00177CF7">
        <w:t>pQTLs</w:t>
      </w:r>
      <w:proofErr w:type="spellEnd"/>
      <w:r w:rsidR="00BF4E8B" w:rsidRPr="00177CF7">
        <w:t xml:space="preserve">. The resulting p-value for the interaction term between the </w:t>
      </w:r>
      <w:proofErr w:type="spellStart"/>
      <w:r w:rsidR="00BF4E8B" w:rsidRPr="00177CF7">
        <w:t>SomaScan</w:t>
      </w:r>
      <w:proofErr w:type="spellEnd"/>
      <w:r w:rsidR="00BF4E8B" w:rsidRPr="00177CF7">
        <w:t xml:space="preserve"> variable and the </w:t>
      </w:r>
      <w:proofErr w:type="spellStart"/>
      <w:r w:rsidR="00BF4E8B" w:rsidRPr="00177CF7">
        <w:t>pQTL</w:t>
      </w:r>
      <w:proofErr w:type="spellEnd"/>
      <w:r w:rsidR="00BF4E8B" w:rsidRPr="00177CF7">
        <w:t xml:space="preserve"> can be interpreted as a test of differential correlation coefficients based on </w:t>
      </w:r>
      <w:r w:rsidR="0000212A" w:rsidRPr="00177CF7">
        <w:t xml:space="preserve">the </w:t>
      </w:r>
      <w:r w:rsidR="00BF4E8B" w:rsidRPr="00177CF7">
        <w:t>genotype. We accounted for multiple testing by ad</w:t>
      </w:r>
      <w:r w:rsidR="008866F4" w:rsidRPr="00177CF7">
        <w:t>o</w:t>
      </w:r>
      <w:r w:rsidR="00BF4E8B" w:rsidRPr="00177CF7">
        <w:t xml:space="preserve">pting a false discovery rate of 20%. We </w:t>
      </w:r>
      <w:r w:rsidR="002F3F67" w:rsidRPr="00177CF7">
        <w:t>took</w:t>
      </w:r>
      <w:r w:rsidR="00BF4E8B" w:rsidRPr="00177CF7">
        <w:t xml:space="preserve"> a permissive approach given the small sample size (N=485) and the general</w:t>
      </w:r>
      <w:r w:rsidR="002F3F67" w:rsidRPr="00177CF7">
        <w:t>ly</w:t>
      </w:r>
      <w:r w:rsidR="00BF4E8B" w:rsidRPr="00177CF7">
        <w:t xml:space="preserve"> low statistical power to detect interaction terms.</w:t>
      </w:r>
      <w:r w:rsidR="00C96391" w:rsidRPr="00177CF7">
        <w:t xml:space="preserve"> </w:t>
      </w:r>
    </w:p>
    <w:p w14:paraId="1A490C7F" w14:textId="46E0B4BB" w:rsidR="00653FA8" w:rsidRPr="00177CF7" w:rsidRDefault="00653FA8">
      <w:pPr>
        <w:spacing w:line="360" w:lineRule="auto"/>
        <w:jc w:val="both"/>
      </w:pPr>
      <w:r w:rsidRPr="00177CF7">
        <w:t>We used R version 3.6.0 (R Foundation for statistical computing, Vienna, Austria)</w:t>
      </w:r>
      <w:r w:rsidR="00E67B38">
        <w:t>, including the package ‘</w:t>
      </w:r>
      <w:proofErr w:type="spellStart"/>
      <w:r w:rsidR="00EF46C7">
        <w:t>igraph</w:t>
      </w:r>
      <w:proofErr w:type="spellEnd"/>
      <w:r w:rsidR="00E67B38">
        <w:t>’</w:t>
      </w:r>
      <w:r w:rsidR="00746A71">
        <w:t xml:space="preserve"> v</w:t>
      </w:r>
      <w:r w:rsidR="00A23E65">
        <w:t>1.2.6</w:t>
      </w:r>
      <w:r w:rsidR="00E67B38">
        <w:t>,</w:t>
      </w:r>
      <w:r w:rsidRPr="00177CF7">
        <w:t xml:space="preserve"> and BioRender.com for visualization of results.</w:t>
      </w:r>
    </w:p>
    <w:p w14:paraId="12C1B30D" w14:textId="77777777" w:rsidR="009A6618" w:rsidRPr="00177CF7" w:rsidRDefault="009A6618" w:rsidP="009A6618">
      <w:pPr>
        <w:pBdr>
          <w:top w:val="nil"/>
          <w:left w:val="nil"/>
          <w:bottom w:val="nil"/>
          <w:right w:val="nil"/>
          <w:between w:val="nil"/>
        </w:pBdr>
        <w:spacing w:before="120" w:line="360" w:lineRule="auto"/>
        <w:jc w:val="both"/>
        <w:rPr>
          <w:b/>
          <w:color w:val="000000"/>
        </w:rPr>
      </w:pPr>
      <w:r w:rsidRPr="00177CF7">
        <w:rPr>
          <w:b/>
          <w:color w:val="000000"/>
        </w:rPr>
        <w:t>DATA AVAILABILITY</w:t>
      </w:r>
    </w:p>
    <w:p w14:paraId="2BFEBBF6" w14:textId="07A76FE3" w:rsidR="009A6618" w:rsidRPr="00177CF7" w:rsidRDefault="009A6618" w:rsidP="009A6618">
      <w:pPr>
        <w:spacing w:line="360" w:lineRule="auto"/>
        <w:jc w:val="both"/>
        <w:rPr>
          <w:color w:val="000000"/>
        </w:rPr>
      </w:pPr>
      <w:r w:rsidRPr="00177CF7">
        <w:rPr>
          <w:color w:val="000000"/>
        </w:rPr>
        <w:t>Information about the Fenland cohort is available at the study website (</w:t>
      </w:r>
      <w:hyperlink r:id="rId16" w:history="1">
        <w:r w:rsidRPr="00177CF7">
          <w:rPr>
            <w:rStyle w:val="Hyperlink"/>
          </w:rPr>
          <w:t>https://www.mrc-epid.cam.ac.uk/research/studies/fenland/information-for-researchers/</w:t>
        </w:r>
      </w:hyperlink>
      <w:r w:rsidRPr="00177CF7">
        <w:rPr>
          <w:color w:val="000000"/>
        </w:rPr>
        <w:t>), which includes a link to the MRC Epidemiology Unit metadata access portal (</w:t>
      </w:r>
      <w:hyperlink r:id="rId17" w:history="1">
        <w:r w:rsidRPr="00177CF7">
          <w:rPr>
            <w:rStyle w:val="Hyperlink"/>
          </w:rPr>
          <w:t>https://epi-meta.mrc-epid.cam.ac.uk/</w:t>
        </w:r>
      </w:hyperlink>
      <w:r w:rsidRPr="00177CF7">
        <w:rPr>
          <w:color w:val="000000"/>
        </w:rPr>
        <w:t>)</w:t>
      </w:r>
      <w:r w:rsidR="001A1D5E">
        <w:rPr>
          <w:color w:val="000000"/>
        </w:rPr>
        <w:t xml:space="preserve">. </w:t>
      </w:r>
      <w:r w:rsidR="001A1D5E" w:rsidRPr="001A1D5E">
        <w:rPr>
          <w:color w:val="000000"/>
        </w:rPr>
        <w:t>To comply with the consent given by Fenland participants, data access is granted to bona fide researchers through an application process that typically takes no more than 4-6 weeks.</w:t>
      </w:r>
      <w:r w:rsidRPr="00177CF7">
        <w:rPr>
          <w:color w:val="000000"/>
        </w:rPr>
        <w:t xml:space="preserve"> Data will either be shared through an institutional data sharing agreement or arrangements will be made for analyses to be conducted remotely without the necessity for data transfer. Publicly available summary statistics for look-up and </w:t>
      </w:r>
      <w:proofErr w:type="spellStart"/>
      <w:r w:rsidRPr="00177CF7">
        <w:rPr>
          <w:color w:val="000000"/>
        </w:rPr>
        <w:t>colocalisation</w:t>
      </w:r>
      <w:proofErr w:type="spellEnd"/>
      <w:r w:rsidRPr="00177CF7">
        <w:rPr>
          <w:color w:val="000000"/>
        </w:rPr>
        <w:t xml:space="preserve"> of </w:t>
      </w:r>
      <w:proofErr w:type="spellStart"/>
      <w:r w:rsidRPr="00177CF7">
        <w:rPr>
          <w:color w:val="000000"/>
        </w:rPr>
        <w:t>pQTLs</w:t>
      </w:r>
      <w:proofErr w:type="spellEnd"/>
      <w:r w:rsidRPr="00177CF7">
        <w:rPr>
          <w:color w:val="000000"/>
        </w:rPr>
        <w:t xml:space="preserve"> were obtained from </w:t>
      </w:r>
      <w:hyperlink r:id="rId18" w:history="1">
        <w:r w:rsidRPr="00177CF7">
          <w:rPr>
            <w:rStyle w:val="Hyperlink"/>
          </w:rPr>
          <w:t>https://gwas.mrcieu.ac.uk/</w:t>
        </w:r>
      </w:hyperlink>
      <w:r w:rsidRPr="00177CF7">
        <w:rPr>
          <w:color w:val="000000"/>
        </w:rPr>
        <w:t xml:space="preserve"> and </w:t>
      </w:r>
      <w:hyperlink r:id="rId19" w:history="1">
        <w:r w:rsidRPr="00177CF7">
          <w:rPr>
            <w:rStyle w:val="Hyperlink"/>
          </w:rPr>
          <w:t>https://www.ebi.ac.uk/gwas/</w:t>
        </w:r>
      </w:hyperlink>
      <w:r w:rsidRPr="00177CF7">
        <w:rPr>
          <w:color w:val="000000"/>
        </w:rPr>
        <w:t xml:space="preserve">. We obtained genome-wide summary statistics for 90 protein targets from </w:t>
      </w:r>
      <w:proofErr w:type="spellStart"/>
      <w:r w:rsidRPr="00177CF7">
        <w:rPr>
          <w:color w:val="000000"/>
        </w:rPr>
        <w:t>Folkersen</w:t>
      </w:r>
      <w:proofErr w:type="spellEnd"/>
      <w:r w:rsidRPr="00177CF7">
        <w:rPr>
          <w:color w:val="000000"/>
        </w:rPr>
        <w:t xml:space="preserve"> et al.</w:t>
      </w:r>
      <w:r w:rsidRPr="00177CF7">
        <w:rPr>
          <w:color w:val="000000"/>
        </w:rPr>
        <w:fldChar w:fldCharType="begin" w:fldLock="1"/>
      </w:r>
      <w:r w:rsidRPr="00177CF7">
        <w:rPr>
          <w:color w:val="000000"/>
        </w:rPr>
        <w:instrText>ADDIN CSL_CITATION {"citationItems":[{"id":"ITEM-1","itemData":{"DOI":"10.1038/s42255-020-00287-2","ISSN":"25225812","PMID":"33067605","abstract":"Circulating proteins are vital in human health and disease and are frequently used as biomarkers for clinical decision-making or as targets for pharmacological intervention. Here, we map and replicate protein quantitative trait loci (pQTL) for 90 cardiovascular proteins in over 30,000 individuals, resulting in 451 pQTLs for 85 proteins. For each protein, we further perform pathway mapping to obtain trans-pQTL gene and regulatory designations. We substantiate these regulatory findings with orthogonal evidence for trans-pQTLs using mouse knockdown experiments (ABCA1 and TRIB1) and clinical trial results (chemokine receptors CCR2 and CCR5), with consistent regulation. Finally, we evaluate known drug targets, and suggest new target candidates or repositioning opportunities using Mendelian randomization. This identifies 11 proteins with causal evidence of involvement in human disease that have not previously been targeted, including EGF, IL-16, PAPPA, SPON1, F3, ADM, CASP-8, CHI3L1, CXCL16, GDF15 and MMP-12. Taken together, these findings demonstrate the utility of large-scale mapping of the genetics of the proteome and provide a resource for future precision studies of circulating proteins in human health.","author":[{"dropping-particle":"","family":"Folkersen","given":"Lasse","non-dropping-particle":"","parse-names":false,"suffix":""},{"dropping-particle":"","family":"Gustafsson","given":"Stefan","non-dropping-particle":"","parse-names":false,"suffix":""},{"dropping-particle":"","family":"Wang","given":"Qin","non-dropping-particle":"","parse-names":false,"suffix":""},{"dropping-particle":"","family":"Hansen","given":"Daniel Hvidberg","non-dropping-particle":"","parse-names":false,"suffix":""},{"dropping-particle":"","family":"Hedman","given":"Åsa K.","non-dropping-particle":"","parse-names":false,"suffix":""},{"dropping-particle":"","family":"Schork","given":"Andrew","non-dropping-particle":"","parse-names":false,"suffix":""},{"dropping-particle":"","family":"Page","given":"Karen","non-dropping-particle":"","parse-names":false,"suffix":""},{"dropping-particle":"V.","family":"Zhernakova","given":"Daria","non-dropping-particle":"","parse-names":false,"suffix":""},{"dropping-particle":"","family":"Wu","given":"Yang","non-dropping-particle":"","parse-names":false,"suffix":""},{"dropping-particle":"","family":"Peters","given":"James","non-dropping-particle":"","parse-names":false,"suffix":""},{"dropping-particle":"","family":"Eriksson","given":"Niclas","non-dropping-particle":"","parse-names":false,"suffix":""},{"dropping-particle":"","family":"Bergen","given":"Sarah E.","non-dropping-particle":"","parse-names":false,"suffix":""},{"dropping-particle":"","family":"Boutin","given":"Thibaud S.","non-dropping-particle":"","parse-names":false,"suffix":""},{"dropping-particle":"","family":"Bretherick","given":"Andrew D.","non-dropping-particle":"","parse-names":false,"suffix":""},{"dropping-particle":"","family":"Enroth","given":"Stefan","non-dropping-particle":"","parse-names":false,"suffix":""},{"dropping-particle":"","family":"Kalnapenkis","given":"Anette","non-dropping-particle":"","parse-names":false,"suffix":""},{"dropping-particle":"","family":"Gådin","given":"Jesper R.","non-dropping-particle":"","parse-names":false,"suffix":""},{"dropping-particle":"","family":"Suur","given":"Bianca E.","non-dropping-particle":"","parse-names":false,"suffix":""},{"dropping-particle":"","family":"Chen","given":"Yan","non-dropping-particle":"","parse-names":false,"suffix":""},{"dropping-particle":"","family":"Matic","given":"Ljubica","non-dropping-particle":"","parse-names":false,"suffix":""},{"dropping-particle":"","family":"Gale","given":"Jeremy D.","non-dropping-particle":"","parse-names":false,"suffix":""},{"dropping-particle":"","family":"Lee","given":"Julie","non-dropping-particle":"","parse-names":false,"suffix":""},{"dropping-particle":"","family":"Zhang","given":"Weidong","non-dropping-particle":"","parse-names":false,"suffix":""},{"dropping-particle":"","family":"Quazi","given":"Amira","non-dropping-particle":"","parse-names":false,"suffix":""},{"dropping-particle":"","family":"Ala-Korpela","given":"Mika","non-dropping-particle":"","parse-names":false,"suffix":""},{"dropping-particle":"","family":"Choi","given":"Seung Hoan","non-dropping-particle":"","parse-names":false,"suffix":""},{"dropping-particle":"","family":"Claringbould","given":"Annique","non-dropping-particle":"","parse-names":false,"suffix":""},{"dropping-particle":"","family":"Danesh","given":"John","non-dropping-particle":"","parse-names":false,"suffix":""},{"dropping-particle":"","family":"Davey Smith","given":"George","non-dropping-particle":"","parse-names":false,"suffix":""},{"dropping-particle":"","family":"Masi","given":"Federico","non-dropping-particle":"de","parse-names":false,"suffix":""},{"dropping-particle":"","family":"Elmståhl","given":"Sölve","non-dropping-particle":"","parse-names":false,"suffix":""},{"dropping-particle":"","family":"Engström","given":"Gunnar","non-dropping-particle":"","parse-names":false,"suffix":""},{"dropping-particle":"","family":"Fauman","given":"Eric","non-dropping-particle":"","parse-names":false,"suffix":""},{"dropping-particle":"","family":"Fernandez","given":"Celine","non-dropping-particle":"","parse-names":false,"suffix":""},{"dropping-particle":"","family":"Franke","given":"Lude","non-dropping-particle":"","parse-names":false,"suffix":""},{"dropping-particle":"","family":"Franks","given":"Paul W.","non-dropping-particle":"","parse-names":false,"suffix":""},{"dropping-particle":"","family":"Giedraitis","given":"Vilmantas","non-dropping-particle":"","parse-names":false,"suffix":""},{"dropping-particle":"","family":"Haley","given":"Chris","non-dropping-particle":"","parse-names":false,"suffix":""},{"dropping-particle":"","family":"Hamsten","given":"Anders","non-dropping-particle":"","parse-names":false,"suffix":""},{"dropping-particle":"","family":"Ingason","given":"Andres","non-dropping-particle":"","parse-names":false,"suffix":""},{"dropping-particle":"","family":"Johansson","given":"Åsa","non-dropping-particle":"","parse-names":false,"suffix":""},{"dropping-particle":"","family":"Joshi","given":"Peter K.","non-dropping-particle":"","parse-names":false,"suffix":""},{"dropping-particle":"","family":"Lind","given":"Lars","non-dropping-particle":"","parse-names":false,"suffix":""},{"dropping-particle":"","family":"Lindgren","given":"Cecilia M.","non-dropping-particle":"","parse-names":false,"suffix":""},{"dropping-particle":"","family":"Lubitz","given":"Steven","non-dropping-particle":"","parse-names":false,"suffix":""},{"dropping-particle":"","family":"Palmer","given":"Tom","non-dropping-particle":"","parse-names":false,"suffix":""},{"dropping-particle":"","family":"Macdonald-Dunlop","given":"Erin","non-dropping-particle":"","parse-names":false,"suffix":""},{"dropping-particle":"","family":"Magnusson","given":"Martin","non-dropping-particle":"","parse-names":false,"suffix":""},{"dropping-particle":"","family":"Melander","given":"Olle","non-dropping-particle":"","parse-names":false,"suffix":""},{"dropping-particle":"","family":"Michaelsson","given":"Karl","non-dropping-particle":"","parse-names":false,"suffix":""},{"dropping-particle":"","family":"Morris","given":"Andrew P.","non-dropping-particle":"","parse-names":false,"suffix":""},{"dropping-particle":"","family":"Mägi","given":"Reedik","non-dropping-particle":"","parse-names":false,"suffix":""},{"dropping-particle":"","family":"Nagle","given":"Michael W.","non-dropping-particle":"","parse-names":false,"suffix":""},{"dropping-particle":"","family":"Nilsson","given":"Peter M.","non-dropping-particle":"","parse-names":false,"suffix":""},{"dropping-particle":"","family":"Nilsson","given":"Jan","non-dropping-particle":"","parse-names":false,"suffix":""},{"dropping-particle":"","family":"Orho-Melander","given":"Marju","non-dropping-particle":"","parse-names":false,"suffix":""},{"dropping-particle":"","family":"Polasek","given":"Ozren","non-dropping-particle":"","parse-names":false,"suffix":""},{"dropping-particle":"","family":"Prins","given":"Bram","non-dropping-particle":"","parse-names":false,"suffix":""},{"dropping-particle":"","family":"Pålsson","given":"Erik","non-dropping-particle":"","parse-names":false,"suffix":""},{"dropping-particle":"","family":"Qi","given":"Ting","non-dropping-particle":"","parse-names":false,"suffix":""},{"dropping-particle":"","family":"Sjögren","given":"Marketa","non-dropping-particle":"","parse-names":false,"suffix":""},{"dropping-particle":"","family":"Sundström","given":"Johan","non-dropping-particle":"","parse-names":false,"suffix":""},{"dropping-particle":"","family":"Surendran","given":"Praveen","non-dropping-particle":"","parse-names":false,"suffix":""},{"dropping-particle":"","family":"Võsa","given":"Urmo","non-dropping-particle":"","parse-names":false,"suffix":""},{"dropping-particle":"","family":"Werge","given":"Thomas","non-dropping-particle":"","parse-names":false,"suffix":""},{"dropping-particle":"","family":"Wernersson","given":"Rasmus","non-dropping-particle":"","parse-names":false,"suffix":""},{"dropping-particle":"","family":"Westra","given":"Harm Jan","non-dropping-particle":"","parse-names":false,"suffix":""},{"dropping-particle":"","family":"Yang","given":"Jian","non-dropping-particle":"","parse-names":false,"suffix":""},{"dropping-particle":"","family":"Zhernakova","given":"Alexandra","non-dropping-particle":"","parse-names":false,"suffix":""},{"dropping-particle":"","family":"Ärnlöv","given":"Johan","non-dropping-particle":"","parse-names":false,"suffix":""},{"dropping-particle":"","family":"Fu","given":"Jingyuan","non-dropping-particle":"","parse-names":false,"suffix":""},{"dropping-particle":"","family":"Smith","given":"J. Gustav","non-dropping-particle":"","parse-names":false,"suffix":""},{"dropping-particle":"","family":"Esko","given":"Tõnu","non-dropping-particle":"","parse-names":false,"suffix":""},{"dropping-particle":"","family":"Hayward","given":"Caroline","non-dropping-particle":"","parse-names":false,"suffix":""},{"dropping-particle":"","family":"Gyllensten","given":"Ulf","non-dropping-particle":"","parse-names":false,"suffix":""},{"dropping-particle":"","family":"Landen","given":"Mikael","non-dropping-particle":"","parse-names":false,"suffix":""},{"dropping-particle":"","family":"Siegbahn","given":"Agneta","non-dropping-particle":"","parse-names":false,"suffix":""},{"dropping-particle":"","family":"Wilson","given":"James F.","non-dropping-particle":"","parse-names":false,"suffix":""},{"dropping-particle":"","family":"Wallentin","given":"Lars","non-dropping-particle":"","parse-names":false,"suffix":""},{"dropping-particle":"","family":"Butterworth","given":"Adam S.","non-dropping-particle":"","parse-names":false,"suffix":""},{"dropping-particle":"V.","family":"Holmes","given":"Michael","non-dropping-particle":"","parse-names":false,"suffix":""},{"dropping-particle":"","family":"Ingelsson","given":"Erik","non-dropping-particle":"","parse-names":false,"suffix":""},{"dropping-particle":"","family":"Mälarstig","given":"Anders","non-dropping-particle":"","parse-names":false,"suffix":""}],"container-title":"Nature Metabolism","id":"ITEM-1","issue":"10","issued":{"date-parts":[["2020"]]},"page":"1135-1148","publisher":"Springer US","title":"Genomic and drug target evaluation of 90 cardiovascular proteins in 30,931 individuals","type":"article-journal","volume":"2"},"uris":["http://www.mendeley.com/documents/?uuid=e356e314-e447-4315-93b5-17b6100ac034"]}],"mendeley":{"formattedCitation":"&lt;sup&gt;8&lt;/sup&gt;","plainTextFormattedCitation":"8","previouslyFormattedCitation":"&lt;sup&gt;8&lt;/sup&gt;"},"properties":{"noteIndex":0},"schema":"https://github.com/citation-style-language/schema/raw/master/csl-citation.json"}</w:instrText>
      </w:r>
      <w:r w:rsidRPr="00177CF7">
        <w:rPr>
          <w:color w:val="000000"/>
        </w:rPr>
        <w:fldChar w:fldCharType="separate"/>
      </w:r>
      <w:r w:rsidRPr="00177CF7">
        <w:rPr>
          <w:noProof/>
          <w:color w:val="000000"/>
          <w:vertAlign w:val="superscript"/>
        </w:rPr>
        <w:t>8</w:t>
      </w:r>
      <w:r w:rsidRPr="00177CF7">
        <w:rPr>
          <w:color w:val="000000"/>
        </w:rPr>
        <w:fldChar w:fldCharType="end"/>
      </w:r>
      <w:r w:rsidRPr="00177CF7">
        <w:rPr>
          <w:color w:val="000000"/>
        </w:rPr>
        <w:t xml:space="preserve">, which are also available from the GWAS </w:t>
      </w:r>
      <w:proofErr w:type="spellStart"/>
      <w:r w:rsidRPr="00177CF7">
        <w:rPr>
          <w:color w:val="000000"/>
        </w:rPr>
        <w:t>catalog</w:t>
      </w:r>
      <w:proofErr w:type="spellEnd"/>
      <w:r w:rsidRPr="00177CF7">
        <w:rPr>
          <w:color w:val="000000"/>
        </w:rPr>
        <w:t xml:space="preserve"> </w:t>
      </w:r>
      <w:r w:rsidRPr="00177CF7">
        <w:rPr>
          <w:color w:val="000000"/>
        </w:rPr>
        <w:lastRenderedPageBreak/>
        <w:t>(</w:t>
      </w:r>
      <w:hyperlink r:id="rId20" w:history="1">
        <w:r w:rsidR="008846D1" w:rsidRPr="00562F6C">
          <w:rPr>
            <w:rStyle w:val="Hyperlink"/>
          </w:rPr>
          <w:t>https://www.ebi.ac.uk/gwas/publications/33067605</w:t>
        </w:r>
      </w:hyperlink>
      <w:r w:rsidR="008846D1">
        <w:rPr>
          <w:color w:val="000000"/>
        </w:rPr>
        <w:t xml:space="preserve">, </w:t>
      </w:r>
      <w:r w:rsidRPr="00177CF7">
        <w:rPr>
          <w:color w:val="000000"/>
        </w:rPr>
        <w:t xml:space="preserve">GCST90011994-GCST90012083). </w:t>
      </w:r>
      <w:r w:rsidR="00744CCC">
        <w:rPr>
          <w:color w:val="000000"/>
        </w:rPr>
        <w:t xml:space="preserve">The </w:t>
      </w:r>
      <w:r w:rsidR="00E9544E">
        <w:rPr>
          <w:color w:val="000000"/>
        </w:rPr>
        <w:t xml:space="preserve">Cryo-EM structure for GDF-15 </w:t>
      </w:r>
      <w:r w:rsidR="000C3918">
        <w:rPr>
          <w:color w:val="000000"/>
        </w:rPr>
        <w:t>and associated receptors ha</w:t>
      </w:r>
      <w:r w:rsidR="001A07AB">
        <w:rPr>
          <w:color w:val="000000"/>
        </w:rPr>
        <w:t>s</w:t>
      </w:r>
      <w:r w:rsidR="000C3918">
        <w:rPr>
          <w:color w:val="000000"/>
        </w:rPr>
        <w:t xml:space="preserve"> been obtained</w:t>
      </w:r>
      <w:r w:rsidR="001A07AB">
        <w:rPr>
          <w:color w:val="000000"/>
        </w:rPr>
        <w:t xml:space="preserve"> from the </w:t>
      </w:r>
      <w:r w:rsidR="00F07E80">
        <w:rPr>
          <w:color w:val="000000"/>
        </w:rPr>
        <w:t>P</w:t>
      </w:r>
      <w:r w:rsidR="001A07AB">
        <w:rPr>
          <w:color w:val="000000"/>
        </w:rPr>
        <w:t xml:space="preserve">rotein </w:t>
      </w:r>
      <w:r w:rsidR="00F07E80">
        <w:rPr>
          <w:color w:val="000000"/>
        </w:rPr>
        <w:t>D</w:t>
      </w:r>
      <w:r w:rsidR="001A07AB">
        <w:rPr>
          <w:color w:val="000000"/>
        </w:rPr>
        <w:t xml:space="preserve">ata </w:t>
      </w:r>
      <w:r w:rsidR="00F07E80">
        <w:rPr>
          <w:color w:val="000000"/>
        </w:rPr>
        <w:t>B</w:t>
      </w:r>
      <w:r w:rsidR="001A07AB">
        <w:rPr>
          <w:color w:val="000000"/>
        </w:rPr>
        <w:t>ank</w:t>
      </w:r>
      <w:r w:rsidR="00F07E80">
        <w:rPr>
          <w:color w:val="000000"/>
        </w:rPr>
        <w:t xml:space="preserve"> 6Q2J </w:t>
      </w:r>
      <w:r w:rsidR="003B4C4A">
        <w:rPr>
          <w:color w:val="000000"/>
        </w:rPr>
        <w:t>[</w:t>
      </w:r>
      <w:r w:rsidR="00F07E80" w:rsidRPr="00F07E80">
        <w:rPr>
          <w:color w:val="000000"/>
        </w:rPr>
        <w:t>https://www.ebi.ac.uk/pdbe/entry/pdb/6Q2J</w:t>
      </w:r>
      <w:r w:rsidR="003B4C4A">
        <w:rPr>
          <w:color w:val="000000"/>
        </w:rPr>
        <w:t>]</w:t>
      </w:r>
      <w:r w:rsidR="00F07E80">
        <w:rPr>
          <w:color w:val="000000"/>
        </w:rPr>
        <w:t>.</w:t>
      </w:r>
      <w:r w:rsidR="001A07AB">
        <w:rPr>
          <w:color w:val="000000"/>
        </w:rPr>
        <w:t xml:space="preserve"> </w:t>
      </w:r>
      <w:r w:rsidR="000C3918">
        <w:rPr>
          <w:color w:val="000000"/>
        </w:rPr>
        <w:t xml:space="preserve"> </w:t>
      </w:r>
      <w:r w:rsidR="00F07E34" w:rsidRPr="00F07E34">
        <w:rPr>
          <w:color w:val="000000"/>
        </w:rPr>
        <w:t>Source data are provided with this paper</w:t>
      </w:r>
      <w:r w:rsidR="00E36DD7">
        <w:rPr>
          <w:color w:val="000000"/>
        </w:rPr>
        <w:t>.</w:t>
      </w:r>
    </w:p>
    <w:p w14:paraId="667D95B8" w14:textId="77777777" w:rsidR="009A6618" w:rsidRPr="00177CF7" w:rsidRDefault="009A6618" w:rsidP="009A6618">
      <w:pPr>
        <w:spacing w:line="360" w:lineRule="auto"/>
        <w:jc w:val="both"/>
        <w:rPr>
          <w:color w:val="000000"/>
        </w:rPr>
      </w:pPr>
      <w:r w:rsidRPr="00177CF7">
        <w:rPr>
          <w:b/>
          <w:color w:val="000000"/>
        </w:rPr>
        <w:t>CODE AVAILABILITY</w:t>
      </w:r>
      <w:r w:rsidRPr="00177CF7">
        <w:rPr>
          <w:color w:val="000000"/>
        </w:rPr>
        <w:t xml:space="preserve"> </w:t>
      </w:r>
    </w:p>
    <w:p w14:paraId="7AE5AD60" w14:textId="3D7C0120" w:rsidR="009A6618" w:rsidRPr="00177CF7" w:rsidRDefault="009A6618" w:rsidP="009A6618">
      <w:pPr>
        <w:spacing w:line="360" w:lineRule="auto"/>
        <w:jc w:val="both"/>
        <w:rPr>
          <w:color w:val="000000"/>
        </w:rPr>
      </w:pPr>
      <w:r w:rsidRPr="00177CF7">
        <w:rPr>
          <w:color w:val="000000"/>
        </w:rPr>
        <w:t xml:space="preserve">Code used in the present study </w:t>
      </w:r>
      <w:r w:rsidR="008A5185">
        <w:rPr>
          <w:color w:val="000000"/>
        </w:rPr>
        <w:t>has been deposited on GitHub</w:t>
      </w:r>
      <w:r w:rsidR="0061118F">
        <w:rPr>
          <w:color w:val="000000"/>
        </w:rPr>
        <w:t xml:space="preserve"> [</w:t>
      </w:r>
      <w:r w:rsidR="001A1FFE" w:rsidRPr="001A1FFE">
        <w:rPr>
          <w:color w:val="000000"/>
        </w:rPr>
        <w:t>https://github.com/MRC-Epid/cross_platform_pGWAS</w:t>
      </w:r>
      <w:r w:rsidR="0061118F">
        <w:rPr>
          <w:color w:val="000000"/>
        </w:rPr>
        <w:t>].</w:t>
      </w:r>
      <w:r w:rsidRPr="00177CF7">
        <w:rPr>
          <w:color w:val="000000"/>
        </w:rPr>
        <w:t xml:space="preserve"> </w:t>
      </w:r>
    </w:p>
    <w:p w14:paraId="64F0CC74" w14:textId="77777777" w:rsidR="00C65797" w:rsidRPr="00177CF7" w:rsidRDefault="00C65797">
      <w:pPr>
        <w:rPr>
          <w:b/>
        </w:rPr>
      </w:pPr>
      <w:r w:rsidRPr="00177CF7">
        <w:rPr>
          <w:b/>
        </w:rPr>
        <w:br w:type="page"/>
      </w:r>
    </w:p>
    <w:p w14:paraId="2F3779EC" w14:textId="2AB7B6E9" w:rsidR="00766C45" w:rsidRPr="00177CF7" w:rsidRDefault="001D0EDF" w:rsidP="00A674D5">
      <w:pPr>
        <w:spacing w:line="240" w:lineRule="auto"/>
        <w:jc w:val="both"/>
        <w:rPr>
          <w:b/>
        </w:rPr>
      </w:pPr>
      <w:r w:rsidRPr="00177CF7">
        <w:rPr>
          <w:b/>
        </w:rPr>
        <w:lastRenderedPageBreak/>
        <w:t>REFERENCES</w:t>
      </w:r>
    </w:p>
    <w:p w14:paraId="0DC5CD55" w14:textId="3635820D" w:rsidR="007212AD" w:rsidRPr="007212AD" w:rsidRDefault="001D0EDF" w:rsidP="007212AD">
      <w:pPr>
        <w:widowControl w:val="0"/>
        <w:autoSpaceDE w:val="0"/>
        <w:autoSpaceDN w:val="0"/>
        <w:adjustRightInd w:val="0"/>
        <w:spacing w:line="240" w:lineRule="auto"/>
        <w:ind w:left="640" w:hanging="640"/>
        <w:rPr>
          <w:noProof/>
          <w:szCs w:val="24"/>
        </w:rPr>
      </w:pPr>
      <w:r w:rsidRPr="00177CF7">
        <w:rPr>
          <w:b/>
        </w:rPr>
        <w:fldChar w:fldCharType="begin" w:fldLock="1"/>
      </w:r>
      <w:r w:rsidRPr="00177CF7">
        <w:rPr>
          <w:b/>
        </w:rPr>
        <w:instrText xml:space="preserve">ADDIN Mendeley Bibliography CSL_BIBLIOGRAPHY </w:instrText>
      </w:r>
      <w:r w:rsidRPr="00177CF7">
        <w:rPr>
          <w:b/>
        </w:rPr>
        <w:fldChar w:fldCharType="separate"/>
      </w:r>
      <w:r w:rsidR="007212AD" w:rsidRPr="007212AD">
        <w:rPr>
          <w:noProof/>
          <w:szCs w:val="24"/>
        </w:rPr>
        <w:t>1.</w:t>
      </w:r>
      <w:r w:rsidR="007212AD" w:rsidRPr="007212AD">
        <w:rPr>
          <w:noProof/>
          <w:szCs w:val="24"/>
        </w:rPr>
        <w:tab/>
        <w:t xml:space="preserve">Suhre, K., McCarthy, M. I. &amp; Schwenk, J. M. Genetics meets proteomics: perspectives for large population-based studies. </w:t>
      </w:r>
      <w:r w:rsidR="007212AD" w:rsidRPr="007212AD">
        <w:rPr>
          <w:i/>
          <w:iCs/>
          <w:noProof/>
          <w:szCs w:val="24"/>
        </w:rPr>
        <w:t>Nat. Rev. Genet.</w:t>
      </w:r>
      <w:r w:rsidR="007212AD" w:rsidRPr="007212AD">
        <w:rPr>
          <w:noProof/>
          <w:szCs w:val="24"/>
        </w:rPr>
        <w:t xml:space="preserve"> 1–19 (2020) doi:10.1038/s41576-020-0268-2.</w:t>
      </w:r>
    </w:p>
    <w:p w14:paraId="7862E7A1"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2.</w:t>
      </w:r>
      <w:r w:rsidRPr="007212AD">
        <w:rPr>
          <w:noProof/>
          <w:szCs w:val="24"/>
        </w:rPr>
        <w:tab/>
        <w:t xml:space="preserve">Deboever, C. </w:t>
      </w:r>
      <w:r w:rsidRPr="007212AD">
        <w:rPr>
          <w:i/>
          <w:iCs/>
          <w:noProof/>
          <w:szCs w:val="24"/>
        </w:rPr>
        <w:t>et al.</w:t>
      </w:r>
      <w:r w:rsidRPr="007212AD">
        <w:rPr>
          <w:noProof/>
          <w:szCs w:val="24"/>
        </w:rPr>
        <w:t xml:space="preserve"> Medical relevance of protein-truncating variants across 337,205 individuals in the UK Biobank study. </w:t>
      </w:r>
      <w:r w:rsidRPr="007212AD">
        <w:rPr>
          <w:i/>
          <w:iCs/>
          <w:noProof/>
          <w:szCs w:val="24"/>
        </w:rPr>
        <w:t>Nat. Commun.</w:t>
      </w:r>
      <w:r w:rsidRPr="007212AD">
        <w:rPr>
          <w:noProof/>
          <w:szCs w:val="24"/>
        </w:rPr>
        <w:t xml:space="preserve"> </w:t>
      </w:r>
      <w:r w:rsidRPr="007212AD">
        <w:rPr>
          <w:b/>
          <w:bCs/>
          <w:noProof/>
          <w:szCs w:val="24"/>
        </w:rPr>
        <w:t>9</w:t>
      </w:r>
      <w:r w:rsidRPr="007212AD">
        <w:rPr>
          <w:noProof/>
          <w:szCs w:val="24"/>
        </w:rPr>
        <w:t>, 1–10 (2018).</w:t>
      </w:r>
    </w:p>
    <w:p w14:paraId="055CFCB5"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3.</w:t>
      </w:r>
      <w:r w:rsidRPr="007212AD">
        <w:rPr>
          <w:noProof/>
          <w:szCs w:val="24"/>
        </w:rPr>
        <w:tab/>
        <w:t xml:space="preserve">Suhre, K. </w:t>
      </w:r>
      <w:r w:rsidRPr="007212AD">
        <w:rPr>
          <w:i/>
          <w:iCs/>
          <w:noProof/>
          <w:szCs w:val="24"/>
        </w:rPr>
        <w:t>et al.</w:t>
      </w:r>
      <w:r w:rsidRPr="007212AD">
        <w:rPr>
          <w:noProof/>
          <w:szCs w:val="24"/>
        </w:rPr>
        <w:t xml:space="preserve"> Connecting genetic risk to disease end points through the human blood plasma proteome. </w:t>
      </w:r>
      <w:r w:rsidRPr="007212AD">
        <w:rPr>
          <w:i/>
          <w:iCs/>
          <w:noProof/>
          <w:szCs w:val="24"/>
        </w:rPr>
        <w:t>Nat. Commun.</w:t>
      </w:r>
      <w:r w:rsidRPr="007212AD">
        <w:rPr>
          <w:noProof/>
          <w:szCs w:val="24"/>
        </w:rPr>
        <w:t xml:space="preserve"> </w:t>
      </w:r>
      <w:r w:rsidRPr="007212AD">
        <w:rPr>
          <w:b/>
          <w:bCs/>
          <w:noProof/>
          <w:szCs w:val="24"/>
        </w:rPr>
        <w:t>8</w:t>
      </w:r>
      <w:r w:rsidRPr="007212AD">
        <w:rPr>
          <w:noProof/>
          <w:szCs w:val="24"/>
        </w:rPr>
        <w:t>, (2017).</w:t>
      </w:r>
    </w:p>
    <w:p w14:paraId="5B5770E9"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4.</w:t>
      </w:r>
      <w:r w:rsidRPr="007212AD">
        <w:rPr>
          <w:noProof/>
          <w:szCs w:val="24"/>
        </w:rPr>
        <w:tab/>
        <w:t xml:space="preserve">Emilsson, V. </w:t>
      </w:r>
      <w:r w:rsidRPr="007212AD">
        <w:rPr>
          <w:i/>
          <w:iCs/>
          <w:noProof/>
          <w:szCs w:val="24"/>
        </w:rPr>
        <w:t>et al.</w:t>
      </w:r>
      <w:r w:rsidRPr="007212AD">
        <w:rPr>
          <w:noProof/>
          <w:szCs w:val="24"/>
        </w:rPr>
        <w:t xml:space="preserve"> Co-regulatory networks of human serum proteins link genetics to disease. </w:t>
      </w:r>
      <w:r w:rsidRPr="007212AD">
        <w:rPr>
          <w:i/>
          <w:iCs/>
          <w:noProof/>
          <w:szCs w:val="24"/>
        </w:rPr>
        <w:t>Science</w:t>
      </w:r>
      <w:r w:rsidRPr="007212AD">
        <w:rPr>
          <w:noProof/>
          <w:szCs w:val="24"/>
        </w:rPr>
        <w:t xml:space="preserve"> </w:t>
      </w:r>
      <w:r w:rsidRPr="007212AD">
        <w:rPr>
          <w:b/>
          <w:bCs/>
          <w:noProof/>
          <w:szCs w:val="24"/>
        </w:rPr>
        <w:t>361</w:t>
      </w:r>
      <w:r w:rsidRPr="007212AD">
        <w:rPr>
          <w:noProof/>
          <w:szCs w:val="24"/>
        </w:rPr>
        <w:t>, 769–773 (2018).</w:t>
      </w:r>
    </w:p>
    <w:p w14:paraId="44938D96"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5.</w:t>
      </w:r>
      <w:r w:rsidRPr="007212AD">
        <w:rPr>
          <w:noProof/>
          <w:szCs w:val="24"/>
        </w:rPr>
        <w:tab/>
        <w:t xml:space="preserve">Sun, B. B. </w:t>
      </w:r>
      <w:r w:rsidRPr="007212AD">
        <w:rPr>
          <w:i/>
          <w:iCs/>
          <w:noProof/>
          <w:szCs w:val="24"/>
        </w:rPr>
        <w:t>et al.</w:t>
      </w:r>
      <w:r w:rsidRPr="007212AD">
        <w:rPr>
          <w:noProof/>
          <w:szCs w:val="24"/>
        </w:rPr>
        <w:t xml:space="preserve"> Genomic atlas of the human plasma proteome. </w:t>
      </w:r>
      <w:r w:rsidRPr="007212AD">
        <w:rPr>
          <w:i/>
          <w:iCs/>
          <w:noProof/>
          <w:szCs w:val="24"/>
        </w:rPr>
        <w:t>Nature</w:t>
      </w:r>
      <w:r w:rsidRPr="007212AD">
        <w:rPr>
          <w:noProof/>
          <w:szCs w:val="24"/>
        </w:rPr>
        <w:t xml:space="preserve"> </w:t>
      </w:r>
      <w:r w:rsidRPr="007212AD">
        <w:rPr>
          <w:b/>
          <w:bCs/>
          <w:noProof/>
          <w:szCs w:val="24"/>
        </w:rPr>
        <w:t>558</w:t>
      </w:r>
      <w:r w:rsidRPr="007212AD">
        <w:rPr>
          <w:noProof/>
          <w:szCs w:val="24"/>
        </w:rPr>
        <w:t>, 73–79 (2018).</w:t>
      </w:r>
    </w:p>
    <w:p w14:paraId="6BAB7F64"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6.</w:t>
      </w:r>
      <w:r w:rsidRPr="007212AD">
        <w:rPr>
          <w:noProof/>
          <w:szCs w:val="24"/>
        </w:rPr>
        <w:tab/>
        <w:t xml:space="preserve">Yao, C. </w:t>
      </w:r>
      <w:r w:rsidRPr="007212AD">
        <w:rPr>
          <w:i/>
          <w:iCs/>
          <w:noProof/>
          <w:szCs w:val="24"/>
        </w:rPr>
        <w:t>et al.</w:t>
      </w:r>
      <w:r w:rsidRPr="007212AD">
        <w:rPr>
          <w:noProof/>
          <w:szCs w:val="24"/>
        </w:rPr>
        <w:t xml:space="preserve"> Genome‐wide mapping of plasma protein QTLs identifies putatively causal genes and pathways for cardiovascular disease. </w:t>
      </w:r>
      <w:r w:rsidRPr="007212AD">
        <w:rPr>
          <w:i/>
          <w:iCs/>
          <w:noProof/>
          <w:szCs w:val="24"/>
        </w:rPr>
        <w:t>Nat. Commun.</w:t>
      </w:r>
      <w:r w:rsidRPr="007212AD">
        <w:rPr>
          <w:noProof/>
          <w:szCs w:val="24"/>
        </w:rPr>
        <w:t xml:space="preserve"> </w:t>
      </w:r>
      <w:r w:rsidRPr="007212AD">
        <w:rPr>
          <w:b/>
          <w:bCs/>
          <w:noProof/>
          <w:szCs w:val="24"/>
        </w:rPr>
        <w:t>9</w:t>
      </w:r>
      <w:r w:rsidRPr="007212AD">
        <w:rPr>
          <w:noProof/>
          <w:szCs w:val="24"/>
        </w:rPr>
        <w:t>, 3268 (2018).</w:t>
      </w:r>
    </w:p>
    <w:p w14:paraId="2D431F9B"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7.</w:t>
      </w:r>
      <w:r w:rsidRPr="007212AD">
        <w:rPr>
          <w:noProof/>
          <w:szCs w:val="24"/>
        </w:rPr>
        <w:tab/>
        <w:t xml:space="preserve">Folkersen, L. </w:t>
      </w:r>
      <w:r w:rsidRPr="007212AD">
        <w:rPr>
          <w:i/>
          <w:iCs/>
          <w:noProof/>
          <w:szCs w:val="24"/>
        </w:rPr>
        <w:t>et al.</w:t>
      </w:r>
      <w:r w:rsidRPr="007212AD">
        <w:rPr>
          <w:noProof/>
          <w:szCs w:val="24"/>
        </w:rPr>
        <w:t xml:space="preserve"> Mapping of 79 loci for 83 plasma protein biomarkers in cardiovascular disease. </w:t>
      </w:r>
      <w:r w:rsidRPr="007212AD">
        <w:rPr>
          <w:i/>
          <w:iCs/>
          <w:noProof/>
          <w:szCs w:val="24"/>
        </w:rPr>
        <w:t>PLoS Genet.</w:t>
      </w:r>
      <w:r w:rsidRPr="007212AD">
        <w:rPr>
          <w:noProof/>
          <w:szCs w:val="24"/>
        </w:rPr>
        <w:t xml:space="preserve"> </w:t>
      </w:r>
      <w:r w:rsidRPr="007212AD">
        <w:rPr>
          <w:b/>
          <w:bCs/>
          <w:noProof/>
          <w:szCs w:val="24"/>
        </w:rPr>
        <w:t>13</w:t>
      </w:r>
      <w:r w:rsidRPr="007212AD">
        <w:rPr>
          <w:noProof/>
          <w:szCs w:val="24"/>
        </w:rPr>
        <w:t>, e1006706 (2017).</w:t>
      </w:r>
    </w:p>
    <w:p w14:paraId="032055F4"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8.</w:t>
      </w:r>
      <w:r w:rsidRPr="007212AD">
        <w:rPr>
          <w:noProof/>
          <w:szCs w:val="24"/>
        </w:rPr>
        <w:tab/>
        <w:t xml:space="preserve">Folkersen, L. </w:t>
      </w:r>
      <w:r w:rsidRPr="007212AD">
        <w:rPr>
          <w:i/>
          <w:iCs/>
          <w:noProof/>
          <w:szCs w:val="24"/>
        </w:rPr>
        <w:t>et al.</w:t>
      </w:r>
      <w:r w:rsidRPr="007212AD">
        <w:rPr>
          <w:noProof/>
          <w:szCs w:val="24"/>
        </w:rPr>
        <w:t xml:space="preserve"> Genomic and drug target evaluation of 90 cardiovascular proteins in 30,931 individuals. </w:t>
      </w:r>
      <w:r w:rsidRPr="007212AD">
        <w:rPr>
          <w:i/>
          <w:iCs/>
          <w:noProof/>
          <w:szCs w:val="24"/>
        </w:rPr>
        <w:t>Nat. Metab.</w:t>
      </w:r>
      <w:r w:rsidRPr="007212AD">
        <w:rPr>
          <w:noProof/>
          <w:szCs w:val="24"/>
        </w:rPr>
        <w:t xml:space="preserve"> </w:t>
      </w:r>
      <w:r w:rsidRPr="007212AD">
        <w:rPr>
          <w:b/>
          <w:bCs/>
          <w:noProof/>
          <w:szCs w:val="24"/>
        </w:rPr>
        <w:t>2</w:t>
      </w:r>
      <w:r w:rsidRPr="007212AD">
        <w:rPr>
          <w:noProof/>
          <w:szCs w:val="24"/>
        </w:rPr>
        <w:t>, 1135–1148 (2020).</w:t>
      </w:r>
    </w:p>
    <w:p w14:paraId="0A8E208D"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9.</w:t>
      </w:r>
      <w:r w:rsidRPr="007212AD">
        <w:rPr>
          <w:noProof/>
          <w:szCs w:val="24"/>
        </w:rPr>
        <w:tab/>
        <w:t xml:space="preserve">Pietzner, M. </w:t>
      </w:r>
      <w:r w:rsidRPr="007212AD">
        <w:rPr>
          <w:i/>
          <w:iCs/>
          <w:noProof/>
          <w:szCs w:val="24"/>
        </w:rPr>
        <w:t>et al.</w:t>
      </w:r>
      <w:r w:rsidRPr="007212AD">
        <w:rPr>
          <w:noProof/>
          <w:szCs w:val="24"/>
        </w:rPr>
        <w:t xml:space="preserve"> Mapping the proteo-genomic convergence of human diseases. </w:t>
      </w:r>
      <w:r w:rsidRPr="007212AD">
        <w:rPr>
          <w:i/>
          <w:iCs/>
          <w:noProof/>
          <w:szCs w:val="24"/>
        </w:rPr>
        <w:t>Science</w:t>
      </w:r>
      <w:r w:rsidRPr="007212AD">
        <w:rPr>
          <w:noProof/>
          <w:szCs w:val="24"/>
        </w:rPr>
        <w:t xml:space="preserve"> </w:t>
      </w:r>
      <w:r w:rsidRPr="007212AD">
        <w:rPr>
          <w:b/>
          <w:bCs/>
          <w:noProof/>
          <w:szCs w:val="24"/>
        </w:rPr>
        <w:t>1541</w:t>
      </w:r>
      <w:r w:rsidRPr="007212AD">
        <w:rPr>
          <w:noProof/>
          <w:szCs w:val="24"/>
        </w:rPr>
        <w:t>, eabj1541 (2021).</w:t>
      </w:r>
    </w:p>
    <w:p w14:paraId="09836977"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10.</w:t>
      </w:r>
      <w:r w:rsidRPr="007212AD">
        <w:rPr>
          <w:noProof/>
          <w:szCs w:val="24"/>
        </w:rPr>
        <w:tab/>
        <w:t xml:space="preserve">Santos, R. </w:t>
      </w:r>
      <w:r w:rsidRPr="007212AD">
        <w:rPr>
          <w:i/>
          <w:iCs/>
          <w:noProof/>
          <w:szCs w:val="24"/>
        </w:rPr>
        <w:t>et al.</w:t>
      </w:r>
      <w:r w:rsidRPr="007212AD">
        <w:rPr>
          <w:noProof/>
          <w:szCs w:val="24"/>
        </w:rPr>
        <w:t xml:space="preserve"> A comprehensive map of molecular drug targets. </w:t>
      </w:r>
      <w:r w:rsidRPr="007212AD">
        <w:rPr>
          <w:i/>
          <w:iCs/>
          <w:noProof/>
          <w:szCs w:val="24"/>
        </w:rPr>
        <w:t>Nat. Rev. Drug Discov.</w:t>
      </w:r>
      <w:r w:rsidRPr="007212AD">
        <w:rPr>
          <w:noProof/>
          <w:szCs w:val="24"/>
        </w:rPr>
        <w:t xml:space="preserve"> </w:t>
      </w:r>
      <w:r w:rsidRPr="007212AD">
        <w:rPr>
          <w:b/>
          <w:bCs/>
          <w:noProof/>
          <w:szCs w:val="24"/>
        </w:rPr>
        <w:t>16</w:t>
      </w:r>
      <w:r w:rsidRPr="007212AD">
        <w:rPr>
          <w:noProof/>
          <w:szCs w:val="24"/>
        </w:rPr>
        <w:t>, 19–34 (2016).</w:t>
      </w:r>
    </w:p>
    <w:p w14:paraId="1171B318"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11.</w:t>
      </w:r>
      <w:r w:rsidRPr="007212AD">
        <w:rPr>
          <w:noProof/>
          <w:szCs w:val="24"/>
        </w:rPr>
        <w:tab/>
        <w:t xml:space="preserve">Zheng, J. </w:t>
      </w:r>
      <w:r w:rsidRPr="007212AD">
        <w:rPr>
          <w:i/>
          <w:iCs/>
          <w:noProof/>
          <w:szCs w:val="24"/>
        </w:rPr>
        <w:t>et al.</w:t>
      </w:r>
      <w:r w:rsidRPr="007212AD">
        <w:rPr>
          <w:noProof/>
          <w:szCs w:val="24"/>
        </w:rPr>
        <w:t xml:space="preserve"> Phenome-wide Mendelian randomization mapping the influence of the plasma proteome on complex diseases. </w:t>
      </w:r>
      <w:r w:rsidRPr="007212AD">
        <w:rPr>
          <w:i/>
          <w:iCs/>
          <w:noProof/>
          <w:szCs w:val="24"/>
        </w:rPr>
        <w:t>Nat. Genet.</w:t>
      </w:r>
      <w:r w:rsidRPr="007212AD">
        <w:rPr>
          <w:noProof/>
          <w:szCs w:val="24"/>
        </w:rPr>
        <w:t xml:space="preserve"> </w:t>
      </w:r>
      <w:r w:rsidRPr="007212AD">
        <w:rPr>
          <w:b/>
          <w:bCs/>
          <w:noProof/>
          <w:szCs w:val="24"/>
        </w:rPr>
        <w:t>52</w:t>
      </w:r>
      <w:r w:rsidRPr="007212AD">
        <w:rPr>
          <w:noProof/>
          <w:szCs w:val="24"/>
        </w:rPr>
        <w:t>, 1122–1131 (2020).</w:t>
      </w:r>
    </w:p>
    <w:p w14:paraId="51F06521"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12.</w:t>
      </w:r>
      <w:r w:rsidRPr="007212AD">
        <w:rPr>
          <w:noProof/>
          <w:szCs w:val="24"/>
        </w:rPr>
        <w:tab/>
        <w:t xml:space="preserve">Nelson, M. R. </w:t>
      </w:r>
      <w:r w:rsidRPr="007212AD">
        <w:rPr>
          <w:i/>
          <w:iCs/>
          <w:noProof/>
          <w:szCs w:val="24"/>
        </w:rPr>
        <w:t>et al.</w:t>
      </w:r>
      <w:r w:rsidRPr="007212AD">
        <w:rPr>
          <w:noProof/>
          <w:szCs w:val="24"/>
        </w:rPr>
        <w:t xml:space="preserve"> The support of human genetic evidence for approved drug indications. </w:t>
      </w:r>
      <w:r w:rsidRPr="007212AD">
        <w:rPr>
          <w:i/>
          <w:iCs/>
          <w:noProof/>
          <w:szCs w:val="24"/>
        </w:rPr>
        <w:t>Nat. Genet.</w:t>
      </w:r>
      <w:r w:rsidRPr="007212AD">
        <w:rPr>
          <w:noProof/>
          <w:szCs w:val="24"/>
        </w:rPr>
        <w:t xml:space="preserve"> </w:t>
      </w:r>
      <w:r w:rsidRPr="007212AD">
        <w:rPr>
          <w:b/>
          <w:bCs/>
          <w:noProof/>
          <w:szCs w:val="24"/>
        </w:rPr>
        <w:t>47</w:t>
      </w:r>
      <w:r w:rsidRPr="007212AD">
        <w:rPr>
          <w:noProof/>
          <w:szCs w:val="24"/>
        </w:rPr>
        <w:t>, 856–860 (2015).</w:t>
      </w:r>
    </w:p>
    <w:p w14:paraId="0E648BE4"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13.</w:t>
      </w:r>
      <w:r w:rsidRPr="007212AD">
        <w:rPr>
          <w:noProof/>
          <w:szCs w:val="24"/>
        </w:rPr>
        <w:tab/>
        <w:t xml:space="preserve">King, E. A., Davis, J. W. &amp; Degner, J. F. Are drug targets with genetic support twice as likely to be approved? Revised estimates of the impact of genetic support for drug mechanisms on the probability of drug approval. </w:t>
      </w:r>
      <w:r w:rsidRPr="007212AD">
        <w:rPr>
          <w:i/>
          <w:iCs/>
          <w:noProof/>
          <w:szCs w:val="24"/>
        </w:rPr>
        <w:t>PLOS Genet.</w:t>
      </w:r>
      <w:r w:rsidRPr="007212AD">
        <w:rPr>
          <w:noProof/>
          <w:szCs w:val="24"/>
        </w:rPr>
        <w:t xml:space="preserve"> </w:t>
      </w:r>
      <w:r w:rsidRPr="007212AD">
        <w:rPr>
          <w:b/>
          <w:bCs/>
          <w:noProof/>
          <w:szCs w:val="24"/>
        </w:rPr>
        <w:t>15</w:t>
      </w:r>
      <w:r w:rsidRPr="007212AD">
        <w:rPr>
          <w:noProof/>
          <w:szCs w:val="24"/>
        </w:rPr>
        <w:t>, e1008489 (2019).</w:t>
      </w:r>
    </w:p>
    <w:p w14:paraId="425768B1"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14.</w:t>
      </w:r>
      <w:r w:rsidRPr="007212AD">
        <w:rPr>
          <w:noProof/>
          <w:szCs w:val="24"/>
        </w:rPr>
        <w:tab/>
        <w:t xml:space="preserve">Sudlow, C. </w:t>
      </w:r>
      <w:r w:rsidRPr="007212AD">
        <w:rPr>
          <w:i/>
          <w:iCs/>
          <w:noProof/>
          <w:szCs w:val="24"/>
        </w:rPr>
        <w:t>et al.</w:t>
      </w:r>
      <w:r w:rsidRPr="007212AD">
        <w:rPr>
          <w:noProof/>
          <w:szCs w:val="24"/>
        </w:rPr>
        <w:t xml:space="preserve"> UK biobank: an open access resource for identifying the causes of a wide range of complex diseases of middle and old age. </w:t>
      </w:r>
      <w:r w:rsidRPr="007212AD">
        <w:rPr>
          <w:i/>
          <w:iCs/>
          <w:noProof/>
          <w:szCs w:val="24"/>
        </w:rPr>
        <w:t>PLoS Med.</w:t>
      </w:r>
      <w:r w:rsidRPr="007212AD">
        <w:rPr>
          <w:noProof/>
          <w:szCs w:val="24"/>
        </w:rPr>
        <w:t xml:space="preserve"> </w:t>
      </w:r>
      <w:r w:rsidRPr="007212AD">
        <w:rPr>
          <w:b/>
          <w:bCs/>
          <w:noProof/>
          <w:szCs w:val="24"/>
        </w:rPr>
        <w:t>12</w:t>
      </w:r>
      <w:r w:rsidRPr="007212AD">
        <w:rPr>
          <w:noProof/>
          <w:szCs w:val="24"/>
        </w:rPr>
        <w:t>, e1001779 (2015).</w:t>
      </w:r>
    </w:p>
    <w:p w14:paraId="2E58375A"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15.</w:t>
      </w:r>
      <w:r w:rsidRPr="007212AD">
        <w:rPr>
          <w:noProof/>
          <w:szCs w:val="24"/>
        </w:rPr>
        <w:tab/>
        <w:t>UK Biobank proteomics. https://www.ukbiobank.ac.uk/learn-more-about-uk-bi https://www.ukbiobank.ac.uk/learn-more-about-uk-biobank/news/uk-biobank-launches-one-of-the-largest-scientific-studies (2020).</w:t>
      </w:r>
    </w:p>
    <w:p w14:paraId="09504480"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16.</w:t>
      </w:r>
      <w:r w:rsidRPr="007212AD">
        <w:rPr>
          <w:noProof/>
          <w:szCs w:val="24"/>
        </w:rPr>
        <w:tab/>
        <w:t xml:space="preserve">Gold, L. </w:t>
      </w:r>
      <w:r w:rsidRPr="007212AD">
        <w:rPr>
          <w:i/>
          <w:iCs/>
          <w:noProof/>
          <w:szCs w:val="24"/>
        </w:rPr>
        <w:t>et al.</w:t>
      </w:r>
      <w:r w:rsidRPr="007212AD">
        <w:rPr>
          <w:noProof/>
          <w:szCs w:val="24"/>
        </w:rPr>
        <w:t xml:space="preserve"> Aptamer-based multiplexed proteomic technology for biomarker discovery. </w:t>
      </w:r>
      <w:r w:rsidRPr="007212AD">
        <w:rPr>
          <w:i/>
          <w:iCs/>
          <w:noProof/>
          <w:szCs w:val="24"/>
        </w:rPr>
        <w:t>PLoS One</w:t>
      </w:r>
      <w:r w:rsidRPr="007212AD">
        <w:rPr>
          <w:noProof/>
          <w:szCs w:val="24"/>
        </w:rPr>
        <w:t xml:space="preserve"> </w:t>
      </w:r>
      <w:r w:rsidRPr="007212AD">
        <w:rPr>
          <w:b/>
          <w:bCs/>
          <w:noProof/>
          <w:szCs w:val="24"/>
        </w:rPr>
        <w:t>5</w:t>
      </w:r>
      <w:r w:rsidRPr="007212AD">
        <w:rPr>
          <w:noProof/>
          <w:szCs w:val="24"/>
        </w:rPr>
        <w:t>, (2010).</w:t>
      </w:r>
    </w:p>
    <w:p w14:paraId="67609CF1"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17.</w:t>
      </w:r>
      <w:r w:rsidRPr="007212AD">
        <w:rPr>
          <w:noProof/>
          <w:szCs w:val="24"/>
        </w:rPr>
        <w:tab/>
        <w:t xml:space="preserve">Assarsson, E. </w:t>
      </w:r>
      <w:r w:rsidRPr="007212AD">
        <w:rPr>
          <w:i/>
          <w:iCs/>
          <w:noProof/>
          <w:szCs w:val="24"/>
        </w:rPr>
        <w:t>et al.</w:t>
      </w:r>
      <w:r w:rsidRPr="007212AD">
        <w:rPr>
          <w:noProof/>
          <w:szCs w:val="24"/>
        </w:rPr>
        <w:t xml:space="preserve"> Homogenous 96-plex PEA immunoassay exhibiting high sensitivity, specificity, and excellent scalability. </w:t>
      </w:r>
      <w:r w:rsidRPr="007212AD">
        <w:rPr>
          <w:i/>
          <w:iCs/>
          <w:noProof/>
          <w:szCs w:val="24"/>
        </w:rPr>
        <w:t>PLoS One</w:t>
      </w:r>
      <w:r w:rsidRPr="007212AD">
        <w:rPr>
          <w:noProof/>
          <w:szCs w:val="24"/>
        </w:rPr>
        <w:t xml:space="preserve"> </w:t>
      </w:r>
      <w:r w:rsidRPr="007212AD">
        <w:rPr>
          <w:b/>
          <w:bCs/>
          <w:noProof/>
          <w:szCs w:val="24"/>
        </w:rPr>
        <w:t>9</w:t>
      </w:r>
      <w:r w:rsidRPr="007212AD">
        <w:rPr>
          <w:noProof/>
          <w:szCs w:val="24"/>
        </w:rPr>
        <w:t>, (2014).</w:t>
      </w:r>
    </w:p>
    <w:p w14:paraId="0071BD78"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18.</w:t>
      </w:r>
      <w:r w:rsidRPr="007212AD">
        <w:rPr>
          <w:noProof/>
          <w:szCs w:val="24"/>
        </w:rPr>
        <w:tab/>
        <w:t xml:space="preserve">Lindsay, T. </w:t>
      </w:r>
      <w:r w:rsidRPr="007212AD">
        <w:rPr>
          <w:i/>
          <w:iCs/>
          <w:noProof/>
          <w:szCs w:val="24"/>
        </w:rPr>
        <w:t>et al.</w:t>
      </w:r>
      <w:r w:rsidRPr="007212AD">
        <w:rPr>
          <w:noProof/>
          <w:szCs w:val="24"/>
        </w:rPr>
        <w:t xml:space="preserve"> Descriptive epidemiology of physical activity energy expenditure in UK adults (The Fenland study). </w:t>
      </w:r>
      <w:r w:rsidRPr="007212AD">
        <w:rPr>
          <w:i/>
          <w:iCs/>
          <w:noProof/>
          <w:szCs w:val="24"/>
        </w:rPr>
        <w:t>Int. J. Behav. Nutr. Phys. Act.</w:t>
      </w:r>
      <w:r w:rsidRPr="007212AD">
        <w:rPr>
          <w:noProof/>
          <w:szCs w:val="24"/>
        </w:rPr>
        <w:t xml:space="preserve"> </w:t>
      </w:r>
      <w:r w:rsidRPr="007212AD">
        <w:rPr>
          <w:b/>
          <w:bCs/>
          <w:noProof/>
          <w:szCs w:val="24"/>
        </w:rPr>
        <w:t>16</w:t>
      </w:r>
      <w:r w:rsidRPr="007212AD">
        <w:rPr>
          <w:noProof/>
          <w:szCs w:val="24"/>
        </w:rPr>
        <w:t>, 126 (2019).</w:t>
      </w:r>
    </w:p>
    <w:p w14:paraId="267E57FF"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lastRenderedPageBreak/>
        <w:t>19.</w:t>
      </w:r>
      <w:r w:rsidRPr="007212AD">
        <w:rPr>
          <w:noProof/>
          <w:szCs w:val="24"/>
        </w:rPr>
        <w:tab/>
        <w:t xml:space="preserve">Pietzner, M. </w:t>
      </w:r>
      <w:r w:rsidRPr="007212AD">
        <w:rPr>
          <w:i/>
          <w:iCs/>
          <w:noProof/>
          <w:szCs w:val="24"/>
        </w:rPr>
        <w:t>et al.</w:t>
      </w:r>
      <w:r w:rsidRPr="007212AD">
        <w:rPr>
          <w:noProof/>
          <w:szCs w:val="24"/>
        </w:rPr>
        <w:t xml:space="preserve"> Genetic architecture of host proteins involved in SARS-CoV-2 infection. </w:t>
      </w:r>
      <w:r w:rsidRPr="007212AD">
        <w:rPr>
          <w:i/>
          <w:iCs/>
          <w:noProof/>
          <w:szCs w:val="24"/>
        </w:rPr>
        <w:t>Nat. Commun.</w:t>
      </w:r>
      <w:r w:rsidRPr="007212AD">
        <w:rPr>
          <w:noProof/>
          <w:szCs w:val="24"/>
        </w:rPr>
        <w:t xml:space="preserve"> </w:t>
      </w:r>
      <w:r w:rsidRPr="007212AD">
        <w:rPr>
          <w:b/>
          <w:bCs/>
          <w:noProof/>
          <w:szCs w:val="24"/>
        </w:rPr>
        <w:t>11</w:t>
      </w:r>
      <w:r w:rsidRPr="007212AD">
        <w:rPr>
          <w:noProof/>
          <w:szCs w:val="24"/>
        </w:rPr>
        <w:t>, 6397 (2020).</w:t>
      </w:r>
    </w:p>
    <w:p w14:paraId="58029C57"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20.</w:t>
      </w:r>
      <w:r w:rsidRPr="007212AD">
        <w:rPr>
          <w:noProof/>
          <w:szCs w:val="24"/>
        </w:rPr>
        <w:tab/>
        <w:t xml:space="preserve">Williams, S. A. </w:t>
      </w:r>
      <w:r w:rsidRPr="007212AD">
        <w:rPr>
          <w:i/>
          <w:iCs/>
          <w:noProof/>
          <w:szCs w:val="24"/>
        </w:rPr>
        <w:t>et al.</w:t>
      </w:r>
      <w:r w:rsidRPr="007212AD">
        <w:rPr>
          <w:noProof/>
          <w:szCs w:val="24"/>
        </w:rPr>
        <w:t xml:space="preserve"> Plasma protein patterns as comprehensive indicators of health. </w:t>
      </w:r>
      <w:r w:rsidRPr="007212AD">
        <w:rPr>
          <w:i/>
          <w:iCs/>
          <w:noProof/>
          <w:szCs w:val="24"/>
        </w:rPr>
        <w:t>Nat. Med.</w:t>
      </w:r>
      <w:r w:rsidRPr="007212AD">
        <w:rPr>
          <w:noProof/>
          <w:szCs w:val="24"/>
        </w:rPr>
        <w:t xml:space="preserve"> </w:t>
      </w:r>
      <w:r w:rsidRPr="007212AD">
        <w:rPr>
          <w:b/>
          <w:bCs/>
          <w:noProof/>
          <w:szCs w:val="24"/>
        </w:rPr>
        <w:t>25</w:t>
      </w:r>
      <w:r w:rsidRPr="007212AD">
        <w:rPr>
          <w:noProof/>
          <w:szCs w:val="24"/>
        </w:rPr>
        <w:t>, 1851–1857 (2019).</w:t>
      </w:r>
    </w:p>
    <w:p w14:paraId="77349E9D"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21.</w:t>
      </w:r>
      <w:r w:rsidRPr="007212AD">
        <w:rPr>
          <w:noProof/>
          <w:szCs w:val="24"/>
        </w:rPr>
        <w:tab/>
        <w:t xml:space="preserve">Raffield, L. M. </w:t>
      </w:r>
      <w:r w:rsidRPr="007212AD">
        <w:rPr>
          <w:i/>
          <w:iCs/>
          <w:noProof/>
          <w:szCs w:val="24"/>
        </w:rPr>
        <w:t>et al.</w:t>
      </w:r>
      <w:r w:rsidRPr="007212AD">
        <w:rPr>
          <w:noProof/>
          <w:szCs w:val="24"/>
        </w:rPr>
        <w:t xml:space="preserve"> Comparison of Proteomic Assessment Methods in Multiple Cohort Studies. </w:t>
      </w:r>
      <w:r w:rsidRPr="007212AD">
        <w:rPr>
          <w:i/>
          <w:iCs/>
          <w:noProof/>
          <w:szCs w:val="24"/>
        </w:rPr>
        <w:t>Proteomics</w:t>
      </w:r>
      <w:r w:rsidRPr="007212AD">
        <w:rPr>
          <w:noProof/>
          <w:szCs w:val="24"/>
        </w:rPr>
        <w:t xml:space="preserve"> </w:t>
      </w:r>
      <w:r w:rsidRPr="007212AD">
        <w:rPr>
          <w:b/>
          <w:bCs/>
          <w:noProof/>
          <w:szCs w:val="24"/>
        </w:rPr>
        <w:t>20</w:t>
      </w:r>
      <w:r w:rsidRPr="007212AD">
        <w:rPr>
          <w:noProof/>
          <w:szCs w:val="24"/>
        </w:rPr>
        <w:t>, e1900278 (2020).</w:t>
      </w:r>
    </w:p>
    <w:p w14:paraId="38B5EFDC"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22.</w:t>
      </w:r>
      <w:r w:rsidRPr="007212AD">
        <w:rPr>
          <w:noProof/>
          <w:szCs w:val="24"/>
        </w:rPr>
        <w:tab/>
        <w:t xml:space="preserve">Rathore, N. </w:t>
      </w:r>
      <w:r w:rsidRPr="007212AD">
        <w:rPr>
          <w:i/>
          <w:iCs/>
          <w:noProof/>
          <w:szCs w:val="24"/>
        </w:rPr>
        <w:t>et al.</w:t>
      </w:r>
      <w:r w:rsidRPr="007212AD">
        <w:rPr>
          <w:noProof/>
          <w:szCs w:val="24"/>
        </w:rPr>
        <w:t xml:space="preserve"> Paired Immunoglobulin-like Type 2 Receptor Alpha G78R variant alters ligand binding and confers protection to Alzheimer’s disease. (2018) doi:10.1371/journal.pgen.1007427.</w:t>
      </w:r>
    </w:p>
    <w:p w14:paraId="36BFAA75"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23.</w:t>
      </w:r>
      <w:r w:rsidRPr="007212AD">
        <w:rPr>
          <w:noProof/>
          <w:szCs w:val="24"/>
        </w:rPr>
        <w:tab/>
        <w:t xml:space="preserve">Fournier, N. </w:t>
      </w:r>
      <w:r w:rsidRPr="007212AD">
        <w:rPr>
          <w:i/>
          <w:iCs/>
          <w:noProof/>
          <w:szCs w:val="24"/>
        </w:rPr>
        <w:t>et al.</w:t>
      </w:r>
      <w:r w:rsidRPr="007212AD">
        <w:rPr>
          <w:noProof/>
          <w:szCs w:val="24"/>
        </w:rPr>
        <w:t xml:space="preserve"> FDF03, a Novel Inhibitory Receptor of the Immunoglobulin Superfamily, Is Expressed by Human Dendritic and Myeloid Cells. </w:t>
      </w:r>
      <w:r w:rsidRPr="007212AD">
        <w:rPr>
          <w:i/>
          <w:iCs/>
          <w:noProof/>
          <w:szCs w:val="24"/>
        </w:rPr>
        <w:t>J. Immunol.</w:t>
      </w:r>
      <w:r w:rsidRPr="007212AD">
        <w:rPr>
          <w:noProof/>
          <w:szCs w:val="24"/>
        </w:rPr>
        <w:t xml:space="preserve"> </w:t>
      </w:r>
      <w:r w:rsidRPr="007212AD">
        <w:rPr>
          <w:b/>
          <w:bCs/>
          <w:noProof/>
          <w:szCs w:val="24"/>
        </w:rPr>
        <w:t>165</w:t>
      </w:r>
      <w:r w:rsidRPr="007212AD">
        <w:rPr>
          <w:noProof/>
          <w:szCs w:val="24"/>
        </w:rPr>
        <w:t>, 1197–1209 (2000).</w:t>
      </w:r>
    </w:p>
    <w:p w14:paraId="71FB14AE"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24.</w:t>
      </w:r>
      <w:r w:rsidRPr="007212AD">
        <w:rPr>
          <w:noProof/>
          <w:szCs w:val="24"/>
        </w:rPr>
        <w:tab/>
        <w:t xml:space="preserve">Gregory, S. G. </w:t>
      </w:r>
      <w:r w:rsidRPr="007212AD">
        <w:rPr>
          <w:i/>
          <w:iCs/>
          <w:noProof/>
          <w:szCs w:val="24"/>
        </w:rPr>
        <w:t>et al.</w:t>
      </w:r>
      <w:r w:rsidRPr="007212AD">
        <w:rPr>
          <w:noProof/>
          <w:szCs w:val="24"/>
        </w:rPr>
        <w:t xml:space="preserve"> Interleukin 7 receptor alpha chain (IL7R) shows allelic and functional association with multiple sclerosis. </w:t>
      </w:r>
      <w:r w:rsidRPr="007212AD">
        <w:rPr>
          <w:i/>
          <w:iCs/>
          <w:noProof/>
          <w:szCs w:val="24"/>
        </w:rPr>
        <w:t>Nat. Genet.</w:t>
      </w:r>
      <w:r w:rsidRPr="007212AD">
        <w:rPr>
          <w:noProof/>
          <w:szCs w:val="24"/>
        </w:rPr>
        <w:t xml:space="preserve"> </w:t>
      </w:r>
      <w:r w:rsidRPr="007212AD">
        <w:rPr>
          <w:b/>
          <w:bCs/>
          <w:noProof/>
          <w:szCs w:val="24"/>
        </w:rPr>
        <w:t>39</w:t>
      </w:r>
      <w:r w:rsidRPr="007212AD">
        <w:rPr>
          <w:noProof/>
          <w:szCs w:val="24"/>
        </w:rPr>
        <w:t>, 1083–91 (2007).</w:t>
      </w:r>
    </w:p>
    <w:p w14:paraId="485550AB"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25.</w:t>
      </w:r>
      <w:r w:rsidRPr="007212AD">
        <w:rPr>
          <w:noProof/>
          <w:szCs w:val="24"/>
        </w:rPr>
        <w:tab/>
        <w:t xml:space="preserve">Lundtoft, C., Seyfarth, J. &amp; Jacobsen, M. IL7RA genetic variants differentially affect IL-7Rα expression and alternative splicing: a role in autoimmune and infectious diseases? </w:t>
      </w:r>
      <w:r w:rsidRPr="007212AD">
        <w:rPr>
          <w:i/>
          <w:iCs/>
          <w:noProof/>
          <w:szCs w:val="24"/>
        </w:rPr>
        <w:t>Genes Immun.</w:t>
      </w:r>
      <w:r w:rsidRPr="007212AD">
        <w:rPr>
          <w:noProof/>
          <w:szCs w:val="24"/>
        </w:rPr>
        <w:t xml:space="preserve"> </w:t>
      </w:r>
      <w:r w:rsidRPr="007212AD">
        <w:rPr>
          <w:b/>
          <w:bCs/>
          <w:noProof/>
          <w:szCs w:val="24"/>
        </w:rPr>
        <w:t>21</w:t>
      </w:r>
      <w:r w:rsidRPr="007212AD">
        <w:rPr>
          <w:noProof/>
          <w:szCs w:val="24"/>
        </w:rPr>
        <w:t>, 83–90 (2020).</w:t>
      </w:r>
    </w:p>
    <w:p w14:paraId="0C049AE6"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26.</w:t>
      </w:r>
      <w:r w:rsidRPr="007212AD">
        <w:rPr>
          <w:noProof/>
          <w:szCs w:val="24"/>
        </w:rPr>
        <w:tab/>
        <w:t xml:space="preserve">Onengut-Gumuscu, S. </w:t>
      </w:r>
      <w:r w:rsidRPr="007212AD">
        <w:rPr>
          <w:i/>
          <w:iCs/>
          <w:noProof/>
          <w:szCs w:val="24"/>
        </w:rPr>
        <w:t>et al.</w:t>
      </w:r>
      <w:r w:rsidRPr="007212AD">
        <w:rPr>
          <w:noProof/>
          <w:szCs w:val="24"/>
        </w:rPr>
        <w:t xml:space="preserve"> Fine mapping of type 1 diabetes susceptibility loci and evidence for colocalization of causal variants with lymphoid gene enhancers. </w:t>
      </w:r>
      <w:r w:rsidRPr="007212AD">
        <w:rPr>
          <w:i/>
          <w:iCs/>
          <w:noProof/>
          <w:szCs w:val="24"/>
        </w:rPr>
        <w:t>Nat. Genet.</w:t>
      </w:r>
      <w:r w:rsidRPr="007212AD">
        <w:rPr>
          <w:noProof/>
          <w:szCs w:val="24"/>
        </w:rPr>
        <w:t xml:space="preserve"> </w:t>
      </w:r>
      <w:r w:rsidRPr="007212AD">
        <w:rPr>
          <w:b/>
          <w:bCs/>
          <w:noProof/>
          <w:szCs w:val="24"/>
        </w:rPr>
        <w:t>47</w:t>
      </w:r>
      <w:r w:rsidRPr="007212AD">
        <w:rPr>
          <w:noProof/>
          <w:szCs w:val="24"/>
        </w:rPr>
        <w:t>, 381–6 (2015).</w:t>
      </w:r>
    </w:p>
    <w:p w14:paraId="27B716D0"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27.</w:t>
      </w:r>
      <w:r w:rsidRPr="007212AD">
        <w:rPr>
          <w:noProof/>
          <w:szCs w:val="24"/>
        </w:rPr>
        <w:tab/>
        <w:t xml:space="preserve">Chiou, J. </w:t>
      </w:r>
      <w:r w:rsidRPr="007212AD">
        <w:rPr>
          <w:i/>
          <w:iCs/>
          <w:noProof/>
          <w:szCs w:val="24"/>
        </w:rPr>
        <w:t>et al.</w:t>
      </w:r>
      <w:r w:rsidRPr="007212AD">
        <w:rPr>
          <w:noProof/>
          <w:szCs w:val="24"/>
        </w:rPr>
        <w:t xml:space="preserve"> Interpreting type 1 diabetes risk with genetics and single-cell epigenomics. </w:t>
      </w:r>
      <w:r w:rsidRPr="007212AD">
        <w:rPr>
          <w:i/>
          <w:iCs/>
          <w:noProof/>
          <w:szCs w:val="24"/>
        </w:rPr>
        <w:t>Nature</w:t>
      </w:r>
      <w:r w:rsidRPr="007212AD">
        <w:rPr>
          <w:noProof/>
          <w:szCs w:val="24"/>
        </w:rPr>
        <w:t xml:space="preserve"> (2021) doi:10.1038/s41586-021-03552-w.</w:t>
      </w:r>
    </w:p>
    <w:p w14:paraId="35F2F850"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28.</w:t>
      </w:r>
      <w:r w:rsidRPr="007212AD">
        <w:rPr>
          <w:noProof/>
          <w:szCs w:val="24"/>
        </w:rPr>
        <w:tab/>
        <w:t xml:space="preserve">Robertson, C. C. </w:t>
      </w:r>
      <w:r w:rsidRPr="007212AD">
        <w:rPr>
          <w:i/>
          <w:iCs/>
          <w:noProof/>
          <w:szCs w:val="24"/>
        </w:rPr>
        <w:t>et al.</w:t>
      </w:r>
      <w:r w:rsidRPr="007212AD">
        <w:rPr>
          <w:noProof/>
          <w:szCs w:val="24"/>
        </w:rPr>
        <w:t xml:space="preserve"> Fine-mapping, trans-ancestral and genomic analyses identify causal variants, cells, genes and drug targets for type 1 diabetes. </w:t>
      </w:r>
      <w:r w:rsidRPr="007212AD">
        <w:rPr>
          <w:i/>
          <w:iCs/>
          <w:noProof/>
          <w:szCs w:val="24"/>
        </w:rPr>
        <w:t>Nat. Genet.</w:t>
      </w:r>
      <w:r w:rsidRPr="007212AD">
        <w:rPr>
          <w:noProof/>
          <w:szCs w:val="24"/>
        </w:rPr>
        <w:t xml:space="preserve"> (2021) doi:10.1038/s41588-021-00880-5.</w:t>
      </w:r>
    </w:p>
    <w:p w14:paraId="452CEB3B"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29.</w:t>
      </w:r>
      <w:r w:rsidRPr="007212AD">
        <w:rPr>
          <w:noProof/>
          <w:szCs w:val="24"/>
        </w:rPr>
        <w:tab/>
        <w:t xml:space="preserve">Lee, L.-F. </w:t>
      </w:r>
      <w:r w:rsidRPr="007212AD">
        <w:rPr>
          <w:i/>
          <w:iCs/>
          <w:noProof/>
          <w:szCs w:val="24"/>
        </w:rPr>
        <w:t>et al.</w:t>
      </w:r>
      <w:r w:rsidRPr="007212AD">
        <w:rPr>
          <w:noProof/>
          <w:szCs w:val="24"/>
        </w:rPr>
        <w:t xml:space="preserve"> Anti-IL-7 receptor-α reverses established type 1 diabetes in nonobese diabetic mice by modulating effector T-cell function. </w:t>
      </w:r>
      <w:r w:rsidRPr="007212AD">
        <w:rPr>
          <w:i/>
          <w:iCs/>
          <w:noProof/>
          <w:szCs w:val="24"/>
        </w:rPr>
        <w:t>Proc. Natl. Acad. Sci. U. S. A.</w:t>
      </w:r>
      <w:r w:rsidRPr="007212AD">
        <w:rPr>
          <w:noProof/>
          <w:szCs w:val="24"/>
        </w:rPr>
        <w:t xml:space="preserve"> </w:t>
      </w:r>
      <w:r w:rsidRPr="007212AD">
        <w:rPr>
          <w:b/>
          <w:bCs/>
          <w:noProof/>
          <w:szCs w:val="24"/>
        </w:rPr>
        <w:t>109</w:t>
      </w:r>
      <w:r w:rsidRPr="007212AD">
        <w:rPr>
          <w:noProof/>
          <w:szCs w:val="24"/>
        </w:rPr>
        <w:t>, 12674–9 (2012).</w:t>
      </w:r>
    </w:p>
    <w:p w14:paraId="67490BED"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30.</w:t>
      </w:r>
      <w:r w:rsidRPr="007212AD">
        <w:rPr>
          <w:noProof/>
          <w:szCs w:val="24"/>
        </w:rPr>
        <w:tab/>
        <w:t xml:space="preserve">Herold, K. C. </w:t>
      </w:r>
      <w:r w:rsidRPr="007212AD">
        <w:rPr>
          <w:i/>
          <w:iCs/>
          <w:noProof/>
          <w:szCs w:val="24"/>
        </w:rPr>
        <w:t>et al.</w:t>
      </w:r>
      <w:r w:rsidRPr="007212AD">
        <w:rPr>
          <w:noProof/>
          <w:szCs w:val="24"/>
        </w:rPr>
        <w:t xml:space="preserve"> Immunomodulatory activity of humanized anti-IL-7R monoclonal antibody RN168 in subjects with type 1 diabetes. </w:t>
      </w:r>
      <w:r w:rsidRPr="007212AD">
        <w:rPr>
          <w:i/>
          <w:iCs/>
          <w:noProof/>
          <w:szCs w:val="24"/>
        </w:rPr>
        <w:t>JCI insight</w:t>
      </w:r>
      <w:r w:rsidRPr="007212AD">
        <w:rPr>
          <w:noProof/>
          <w:szCs w:val="24"/>
        </w:rPr>
        <w:t xml:space="preserve"> </w:t>
      </w:r>
      <w:r w:rsidRPr="007212AD">
        <w:rPr>
          <w:b/>
          <w:bCs/>
          <w:noProof/>
          <w:szCs w:val="24"/>
        </w:rPr>
        <w:t>4</w:t>
      </w:r>
      <w:r w:rsidRPr="007212AD">
        <w:rPr>
          <w:noProof/>
          <w:szCs w:val="24"/>
        </w:rPr>
        <w:t>, (2019).</w:t>
      </w:r>
    </w:p>
    <w:p w14:paraId="785B6699"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31.</w:t>
      </w:r>
      <w:r w:rsidRPr="007212AD">
        <w:rPr>
          <w:noProof/>
          <w:szCs w:val="24"/>
        </w:rPr>
        <w:tab/>
        <w:t xml:space="preserve">Okada, Y. </w:t>
      </w:r>
      <w:r w:rsidRPr="007212AD">
        <w:rPr>
          <w:i/>
          <w:iCs/>
          <w:noProof/>
          <w:szCs w:val="24"/>
        </w:rPr>
        <w:t>et al.</w:t>
      </w:r>
      <w:r w:rsidRPr="007212AD">
        <w:rPr>
          <w:noProof/>
          <w:szCs w:val="24"/>
        </w:rPr>
        <w:t xml:space="preserve"> Genetics of rheumatoid arthritis contributes to biology and drug discovery. </w:t>
      </w:r>
      <w:r w:rsidRPr="007212AD">
        <w:rPr>
          <w:i/>
          <w:iCs/>
          <w:noProof/>
          <w:szCs w:val="24"/>
        </w:rPr>
        <w:t>Nature</w:t>
      </w:r>
      <w:r w:rsidRPr="007212AD">
        <w:rPr>
          <w:noProof/>
          <w:szCs w:val="24"/>
        </w:rPr>
        <w:t xml:space="preserve"> </w:t>
      </w:r>
      <w:r w:rsidRPr="007212AD">
        <w:rPr>
          <w:b/>
          <w:bCs/>
          <w:noProof/>
          <w:szCs w:val="24"/>
        </w:rPr>
        <w:t>506</w:t>
      </w:r>
      <w:r w:rsidRPr="007212AD">
        <w:rPr>
          <w:noProof/>
          <w:szCs w:val="24"/>
        </w:rPr>
        <w:t>, 376–381 (2014).</w:t>
      </w:r>
    </w:p>
    <w:p w14:paraId="657C042D"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32.</w:t>
      </w:r>
      <w:r w:rsidRPr="007212AD">
        <w:rPr>
          <w:noProof/>
          <w:szCs w:val="24"/>
        </w:rPr>
        <w:tab/>
        <w:t xml:space="preserve">Ramsland, P. A. </w:t>
      </w:r>
      <w:r w:rsidRPr="007212AD">
        <w:rPr>
          <w:i/>
          <w:iCs/>
          <w:noProof/>
          <w:szCs w:val="24"/>
        </w:rPr>
        <w:t>et al.</w:t>
      </w:r>
      <w:r w:rsidRPr="007212AD">
        <w:rPr>
          <w:noProof/>
          <w:szCs w:val="24"/>
        </w:rPr>
        <w:t xml:space="preserve"> Structural basis for Fc gammaRIIa recognition of human IgG and formation of inflammatory signaling complexes. </w:t>
      </w:r>
      <w:r w:rsidRPr="007212AD">
        <w:rPr>
          <w:i/>
          <w:iCs/>
          <w:noProof/>
          <w:szCs w:val="24"/>
        </w:rPr>
        <w:t>J. Immunol.</w:t>
      </w:r>
      <w:r w:rsidRPr="007212AD">
        <w:rPr>
          <w:noProof/>
          <w:szCs w:val="24"/>
        </w:rPr>
        <w:t xml:space="preserve"> </w:t>
      </w:r>
      <w:r w:rsidRPr="007212AD">
        <w:rPr>
          <w:b/>
          <w:bCs/>
          <w:noProof/>
          <w:szCs w:val="24"/>
        </w:rPr>
        <w:t>187</w:t>
      </w:r>
      <w:r w:rsidRPr="007212AD">
        <w:rPr>
          <w:noProof/>
          <w:szCs w:val="24"/>
        </w:rPr>
        <w:t>, 3208–17 (2011).</w:t>
      </w:r>
    </w:p>
    <w:p w14:paraId="61B91148"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33.</w:t>
      </w:r>
      <w:r w:rsidRPr="007212AD">
        <w:rPr>
          <w:noProof/>
          <w:szCs w:val="24"/>
        </w:rPr>
        <w:tab/>
        <w:t xml:space="preserve">Bruhns, P. </w:t>
      </w:r>
      <w:r w:rsidRPr="007212AD">
        <w:rPr>
          <w:i/>
          <w:iCs/>
          <w:noProof/>
          <w:szCs w:val="24"/>
        </w:rPr>
        <w:t>et al.</w:t>
      </w:r>
      <w:r w:rsidRPr="007212AD">
        <w:rPr>
          <w:noProof/>
          <w:szCs w:val="24"/>
        </w:rPr>
        <w:t xml:space="preserve"> Specificity and affinity of human Fcgamma receptors and their polymorphic variants for human IgG subclasses. </w:t>
      </w:r>
      <w:r w:rsidRPr="007212AD">
        <w:rPr>
          <w:i/>
          <w:iCs/>
          <w:noProof/>
          <w:szCs w:val="24"/>
        </w:rPr>
        <w:t>Blood</w:t>
      </w:r>
      <w:r w:rsidRPr="007212AD">
        <w:rPr>
          <w:noProof/>
          <w:szCs w:val="24"/>
        </w:rPr>
        <w:t xml:space="preserve"> </w:t>
      </w:r>
      <w:r w:rsidRPr="007212AD">
        <w:rPr>
          <w:b/>
          <w:bCs/>
          <w:noProof/>
          <w:szCs w:val="24"/>
        </w:rPr>
        <w:t>113</w:t>
      </w:r>
      <w:r w:rsidRPr="007212AD">
        <w:rPr>
          <w:noProof/>
          <w:szCs w:val="24"/>
        </w:rPr>
        <w:t>, 3716–25 (2009).</w:t>
      </w:r>
    </w:p>
    <w:p w14:paraId="13D8D651"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34.</w:t>
      </w:r>
      <w:r w:rsidRPr="007212AD">
        <w:rPr>
          <w:noProof/>
          <w:szCs w:val="24"/>
        </w:rPr>
        <w:tab/>
        <w:t xml:space="preserve">Nagelkerke, S. Q., Schmidt, D. E., de Haas, M. &amp; Kuijpers, T. W. Genetic Variation in Low-To-Medium-Affinity Fcγ Receptors: Functional Consequences, Disease Associations, and Opportunities for Personalized Medicine. </w:t>
      </w:r>
      <w:r w:rsidRPr="007212AD">
        <w:rPr>
          <w:i/>
          <w:iCs/>
          <w:noProof/>
          <w:szCs w:val="24"/>
        </w:rPr>
        <w:t>Frontiers in Immunology</w:t>
      </w:r>
      <w:r w:rsidRPr="007212AD">
        <w:rPr>
          <w:noProof/>
          <w:szCs w:val="24"/>
        </w:rPr>
        <w:t xml:space="preserve"> vol. 10 (2019).</w:t>
      </w:r>
    </w:p>
    <w:p w14:paraId="00A2AF21"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35.</w:t>
      </w:r>
      <w:r w:rsidRPr="007212AD">
        <w:rPr>
          <w:noProof/>
          <w:szCs w:val="24"/>
        </w:rPr>
        <w:tab/>
        <w:t xml:space="preserve">Lockhart, S. M., Saudek, V. &amp; O’Rahilly, S. GDF15: A Hormone Conveying Somatic Distress to the Brain. </w:t>
      </w:r>
      <w:r w:rsidRPr="007212AD">
        <w:rPr>
          <w:i/>
          <w:iCs/>
          <w:noProof/>
          <w:szCs w:val="24"/>
        </w:rPr>
        <w:t>Endocr. Rev.</w:t>
      </w:r>
      <w:r w:rsidRPr="007212AD">
        <w:rPr>
          <w:noProof/>
          <w:szCs w:val="24"/>
        </w:rPr>
        <w:t xml:space="preserve"> </w:t>
      </w:r>
      <w:r w:rsidRPr="007212AD">
        <w:rPr>
          <w:b/>
          <w:bCs/>
          <w:noProof/>
          <w:szCs w:val="24"/>
        </w:rPr>
        <w:t>41</w:t>
      </w:r>
      <w:r w:rsidRPr="007212AD">
        <w:rPr>
          <w:noProof/>
          <w:szCs w:val="24"/>
        </w:rPr>
        <w:t>, (2020).</w:t>
      </w:r>
    </w:p>
    <w:p w14:paraId="7C254653"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lastRenderedPageBreak/>
        <w:t>36.</w:t>
      </w:r>
      <w:r w:rsidRPr="007212AD">
        <w:rPr>
          <w:noProof/>
          <w:szCs w:val="24"/>
        </w:rPr>
        <w:tab/>
        <w:t xml:space="preserve">Fejzo, M. S. </w:t>
      </w:r>
      <w:r w:rsidRPr="007212AD">
        <w:rPr>
          <w:i/>
          <w:iCs/>
          <w:noProof/>
          <w:szCs w:val="24"/>
        </w:rPr>
        <w:t>et al.</w:t>
      </w:r>
      <w:r w:rsidRPr="007212AD">
        <w:rPr>
          <w:noProof/>
          <w:szCs w:val="24"/>
        </w:rPr>
        <w:t xml:space="preserve"> Placenta and appetite genes GDF15 and IGFBP7 are associated with hyperemesis gravidarum. </w:t>
      </w:r>
      <w:r w:rsidRPr="007212AD">
        <w:rPr>
          <w:i/>
          <w:iCs/>
          <w:noProof/>
          <w:szCs w:val="24"/>
        </w:rPr>
        <w:t>Nat. Commun.</w:t>
      </w:r>
      <w:r w:rsidRPr="007212AD">
        <w:rPr>
          <w:noProof/>
          <w:szCs w:val="24"/>
        </w:rPr>
        <w:t xml:space="preserve"> </w:t>
      </w:r>
      <w:r w:rsidRPr="007212AD">
        <w:rPr>
          <w:b/>
          <w:bCs/>
          <w:noProof/>
          <w:szCs w:val="24"/>
        </w:rPr>
        <w:t>9</w:t>
      </w:r>
      <w:r w:rsidRPr="007212AD">
        <w:rPr>
          <w:noProof/>
          <w:szCs w:val="24"/>
        </w:rPr>
        <w:t>, (2018).</w:t>
      </w:r>
    </w:p>
    <w:p w14:paraId="3D07C6FB"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37.</w:t>
      </w:r>
      <w:r w:rsidRPr="007212AD">
        <w:rPr>
          <w:noProof/>
          <w:szCs w:val="24"/>
        </w:rPr>
        <w:tab/>
        <w:t xml:space="preserve">Hale, C. &amp; Véniant, M. M. Growth differentiation factor 15 as a potential therapeutic for treating obesity. </w:t>
      </w:r>
      <w:r w:rsidRPr="007212AD">
        <w:rPr>
          <w:i/>
          <w:iCs/>
          <w:noProof/>
          <w:szCs w:val="24"/>
        </w:rPr>
        <w:t>Mol. Metab.</w:t>
      </w:r>
      <w:r w:rsidRPr="007212AD">
        <w:rPr>
          <w:noProof/>
          <w:szCs w:val="24"/>
        </w:rPr>
        <w:t xml:space="preserve"> </w:t>
      </w:r>
      <w:r w:rsidRPr="007212AD">
        <w:rPr>
          <w:b/>
          <w:bCs/>
          <w:noProof/>
          <w:szCs w:val="24"/>
        </w:rPr>
        <w:t>46</w:t>
      </w:r>
      <w:r w:rsidRPr="007212AD">
        <w:rPr>
          <w:noProof/>
          <w:szCs w:val="24"/>
        </w:rPr>
        <w:t>, 101117 (2021).</w:t>
      </w:r>
    </w:p>
    <w:p w14:paraId="6E694EB1"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38.</w:t>
      </w:r>
      <w:r w:rsidRPr="007212AD">
        <w:rPr>
          <w:noProof/>
          <w:szCs w:val="24"/>
        </w:rPr>
        <w:tab/>
        <w:t xml:space="preserve">Cheung, C.-L., Tan, K. C. B., Au, P. C. M., Li, G. H. Y. &amp; Cheung, B. M. Y. Evaluation of GDF15 as a therapeutic target of cardiometabolic diseases in human: A Mendelian randomization study. </w:t>
      </w:r>
      <w:r w:rsidRPr="007212AD">
        <w:rPr>
          <w:i/>
          <w:iCs/>
          <w:noProof/>
          <w:szCs w:val="24"/>
        </w:rPr>
        <w:t>EBioMedicine</w:t>
      </w:r>
      <w:r w:rsidRPr="007212AD">
        <w:rPr>
          <w:noProof/>
          <w:szCs w:val="24"/>
        </w:rPr>
        <w:t xml:space="preserve"> </w:t>
      </w:r>
      <w:r w:rsidRPr="007212AD">
        <w:rPr>
          <w:b/>
          <w:bCs/>
          <w:noProof/>
          <w:szCs w:val="24"/>
        </w:rPr>
        <w:t>41</w:t>
      </w:r>
      <w:r w:rsidRPr="007212AD">
        <w:rPr>
          <w:noProof/>
          <w:szCs w:val="24"/>
        </w:rPr>
        <w:t>, 85–90 (2019).</w:t>
      </w:r>
    </w:p>
    <w:p w14:paraId="58FCCF64"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39.</w:t>
      </w:r>
      <w:r w:rsidRPr="007212AD">
        <w:rPr>
          <w:noProof/>
          <w:szCs w:val="24"/>
        </w:rPr>
        <w:tab/>
        <w:t xml:space="preserve">Newton-Cheh, C. </w:t>
      </w:r>
      <w:r w:rsidRPr="007212AD">
        <w:rPr>
          <w:i/>
          <w:iCs/>
          <w:noProof/>
          <w:szCs w:val="24"/>
        </w:rPr>
        <w:t>et al.</w:t>
      </w:r>
      <w:r w:rsidRPr="007212AD">
        <w:rPr>
          <w:noProof/>
          <w:szCs w:val="24"/>
        </w:rPr>
        <w:t xml:space="preserve"> Genome-wide association study identifies eight loci associated with blood pressure. </w:t>
      </w:r>
      <w:r w:rsidRPr="007212AD">
        <w:rPr>
          <w:i/>
          <w:iCs/>
          <w:noProof/>
          <w:szCs w:val="24"/>
        </w:rPr>
        <w:t>Nat. Genet.</w:t>
      </w:r>
      <w:r w:rsidRPr="007212AD">
        <w:rPr>
          <w:noProof/>
          <w:szCs w:val="24"/>
        </w:rPr>
        <w:t xml:space="preserve"> </w:t>
      </w:r>
      <w:r w:rsidRPr="007212AD">
        <w:rPr>
          <w:b/>
          <w:bCs/>
          <w:noProof/>
          <w:szCs w:val="24"/>
        </w:rPr>
        <w:t>41</w:t>
      </w:r>
      <w:r w:rsidRPr="007212AD">
        <w:rPr>
          <w:noProof/>
          <w:szCs w:val="24"/>
        </w:rPr>
        <w:t>, 666–76 (2009).</w:t>
      </w:r>
    </w:p>
    <w:p w14:paraId="75AD092A"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40.</w:t>
      </w:r>
      <w:r w:rsidRPr="007212AD">
        <w:rPr>
          <w:noProof/>
          <w:szCs w:val="24"/>
        </w:rPr>
        <w:tab/>
        <w:t xml:space="preserve">van der Harst, P. &amp; Verweij, N. Identification of 64 Novel Genetic Loci Provides an Expanded View on the Genetic Architecture of Coronary Artery Disease. </w:t>
      </w:r>
      <w:r w:rsidRPr="007212AD">
        <w:rPr>
          <w:i/>
          <w:iCs/>
          <w:noProof/>
          <w:szCs w:val="24"/>
        </w:rPr>
        <w:t>Circ. Res.</w:t>
      </w:r>
      <w:r w:rsidRPr="007212AD">
        <w:rPr>
          <w:noProof/>
          <w:szCs w:val="24"/>
        </w:rPr>
        <w:t xml:space="preserve"> </w:t>
      </w:r>
      <w:r w:rsidRPr="007212AD">
        <w:rPr>
          <w:b/>
          <w:bCs/>
          <w:noProof/>
          <w:szCs w:val="24"/>
        </w:rPr>
        <w:t>122</w:t>
      </w:r>
      <w:r w:rsidRPr="007212AD">
        <w:rPr>
          <w:noProof/>
          <w:szCs w:val="24"/>
        </w:rPr>
        <w:t>, 433–443 (2018).</w:t>
      </w:r>
    </w:p>
    <w:p w14:paraId="0A45884C"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41.</w:t>
      </w:r>
      <w:r w:rsidRPr="007212AD">
        <w:rPr>
          <w:noProof/>
          <w:szCs w:val="24"/>
        </w:rPr>
        <w:tab/>
        <w:t xml:space="preserve">Nielsen, J. B. </w:t>
      </w:r>
      <w:r w:rsidRPr="007212AD">
        <w:rPr>
          <w:i/>
          <w:iCs/>
          <w:noProof/>
          <w:szCs w:val="24"/>
        </w:rPr>
        <w:t>et al.</w:t>
      </w:r>
      <w:r w:rsidRPr="007212AD">
        <w:rPr>
          <w:noProof/>
          <w:szCs w:val="24"/>
        </w:rPr>
        <w:t xml:space="preserve"> Biobank-driven genomic discovery yields new insight into atrial fibrillation biology. </w:t>
      </w:r>
      <w:r w:rsidRPr="007212AD">
        <w:rPr>
          <w:i/>
          <w:iCs/>
          <w:noProof/>
          <w:szCs w:val="24"/>
        </w:rPr>
        <w:t>Nat. Genet.</w:t>
      </w:r>
      <w:r w:rsidRPr="007212AD">
        <w:rPr>
          <w:noProof/>
          <w:szCs w:val="24"/>
        </w:rPr>
        <w:t xml:space="preserve"> </w:t>
      </w:r>
      <w:r w:rsidRPr="007212AD">
        <w:rPr>
          <w:b/>
          <w:bCs/>
          <w:noProof/>
          <w:szCs w:val="24"/>
        </w:rPr>
        <w:t>50</w:t>
      </w:r>
      <w:r w:rsidRPr="007212AD">
        <w:rPr>
          <w:noProof/>
          <w:szCs w:val="24"/>
        </w:rPr>
        <w:t>, 1234–1239 (2018).</w:t>
      </w:r>
    </w:p>
    <w:p w14:paraId="288A7ECA"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42.</w:t>
      </w:r>
      <w:r w:rsidRPr="007212AD">
        <w:rPr>
          <w:noProof/>
          <w:szCs w:val="24"/>
        </w:rPr>
        <w:tab/>
        <w:t xml:space="preserve">Trudu, M. </w:t>
      </w:r>
      <w:r w:rsidRPr="007212AD">
        <w:rPr>
          <w:i/>
          <w:iCs/>
          <w:noProof/>
          <w:szCs w:val="24"/>
        </w:rPr>
        <w:t>et al.</w:t>
      </w:r>
      <w:r w:rsidRPr="007212AD">
        <w:rPr>
          <w:noProof/>
          <w:szCs w:val="24"/>
        </w:rPr>
        <w:t xml:space="preserve"> Common noncoding UMOD gene variants induce salt-sensitive hypertension and kidney damage by increasing uromodulin expression. </w:t>
      </w:r>
      <w:r w:rsidRPr="007212AD">
        <w:rPr>
          <w:i/>
          <w:iCs/>
          <w:noProof/>
          <w:szCs w:val="24"/>
        </w:rPr>
        <w:t>Nat. Med.</w:t>
      </w:r>
      <w:r w:rsidRPr="007212AD">
        <w:rPr>
          <w:noProof/>
          <w:szCs w:val="24"/>
        </w:rPr>
        <w:t xml:space="preserve"> </w:t>
      </w:r>
      <w:r w:rsidRPr="007212AD">
        <w:rPr>
          <w:b/>
          <w:bCs/>
          <w:noProof/>
          <w:szCs w:val="24"/>
        </w:rPr>
        <w:t>19</w:t>
      </w:r>
      <w:r w:rsidRPr="007212AD">
        <w:rPr>
          <w:noProof/>
          <w:szCs w:val="24"/>
        </w:rPr>
        <w:t>, 1655–60 (2013).</w:t>
      </w:r>
    </w:p>
    <w:p w14:paraId="642EC12E"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43.</w:t>
      </w:r>
      <w:r w:rsidRPr="007212AD">
        <w:rPr>
          <w:noProof/>
          <w:szCs w:val="24"/>
        </w:rPr>
        <w:tab/>
        <w:t xml:space="preserve">Mullin, B. H. </w:t>
      </w:r>
      <w:r w:rsidRPr="007212AD">
        <w:rPr>
          <w:i/>
          <w:iCs/>
          <w:noProof/>
          <w:szCs w:val="24"/>
        </w:rPr>
        <w:t>et al.</w:t>
      </w:r>
      <w:r w:rsidRPr="007212AD">
        <w:rPr>
          <w:noProof/>
          <w:szCs w:val="24"/>
        </w:rPr>
        <w:t xml:space="preserve"> Characterisation of genetic regulatory effects for osteoporosis risk variants in human osteoclasts. </w:t>
      </w:r>
      <w:r w:rsidRPr="007212AD">
        <w:rPr>
          <w:i/>
          <w:iCs/>
          <w:noProof/>
          <w:szCs w:val="24"/>
        </w:rPr>
        <w:t>Genome Biol.</w:t>
      </w:r>
      <w:r w:rsidRPr="007212AD">
        <w:rPr>
          <w:noProof/>
          <w:szCs w:val="24"/>
        </w:rPr>
        <w:t xml:space="preserve"> </w:t>
      </w:r>
      <w:r w:rsidRPr="007212AD">
        <w:rPr>
          <w:b/>
          <w:bCs/>
          <w:noProof/>
          <w:szCs w:val="24"/>
        </w:rPr>
        <w:t>21</w:t>
      </w:r>
      <w:r w:rsidRPr="007212AD">
        <w:rPr>
          <w:noProof/>
          <w:szCs w:val="24"/>
        </w:rPr>
        <w:t>, 80 (2020).</w:t>
      </w:r>
    </w:p>
    <w:p w14:paraId="70B5EB95"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44.</w:t>
      </w:r>
      <w:r w:rsidRPr="007212AD">
        <w:rPr>
          <w:noProof/>
          <w:szCs w:val="24"/>
        </w:rPr>
        <w:tab/>
        <w:t xml:space="preserve">De Lange, K. M. </w:t>
      </w:r>
      <w:r w:rsidRPr="007212AD">
        <w:rPr>
          <w:i/>
          <w:iCs/>
          <w:noProof/>
          <w:szCs w:val="24"/>
        </w:rPr>
        <w:t>et al.</w:t>
      </w:r>
      <w:r w:rsidRPr="007212AD">
        <w:rPr>
          <w:noProof/>
          <w:szCs w:val="24"/>
        </w:rPr>
        <w:t xml:space="preserve"> Genome-wide association study implicates immune activation of multiple integrin genes in inflammatory bowel disease. </w:t>
      </w:r>
      <w:r w:rsidRPr="007212AD">
        <w:rPr>
          <w:i/>
          <w:iCs/>
          <w:noProof/>
          <w:szCs w:val="24"/>
        </w:rPr>
        <w:t>Nat. Genet.</w:t>
      </w:r>
      <w:r w:rsidRPr="007212AD">
        <w:rPr>
          <w:noProof/>
          <w:szCs w:val="24"/>
        </w:rPr>
        <w:t xml:space="preserve"> </w:t>
      </w:r>
      <w:r w:rsidRPr="007212AD">
        <w:rPr>
          <w:b/>
          <w:bCs/>
          <w:noProof/>
          <w:szCs w:val="24"/>
        </w:rPr>
        <w:t>49</w:t>
      </w:r>
      <w:r w:rsidRPr="007212AD">
        <w:rPr>
          <w:noProof/>
          <w:szCs w:val="24"/>
        </w:rPr>
        <w:t>, 256–261 (2017).</w:t>
      </w:r>
    </w:p>
    <w:p w14:paraId="0E1BA639"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45.</w:t>
      </w:r>
      <w:r w:rsidRPr="007212AD">
        <w:rPr>
          <w:noProof/>
          <w:szCs w:val="24"/>
        </w:rPr>
        <w:tab/>
        <w:t xml:space="preserve">Gao, X. R., Huang, H., Nannini, D. R., Fan, F. &amp; Kim, H. Genome-wide association analyses identify new loci influencing intraocular pressure. </w:t>
      </w:r>
      <w:r w:rsidRPr="007212AD">
        <w:rPr>
          <w:i/>
          <w:iCs/>
          <w:noProof/>
          <w:szCs w:val="24"/>
        </w:rPr>
        <w:t>Hum. Mol. Genet.</w:t>
      </w:r>
      <w:r w:rsidRPr="007212AD">
        <w:rPr>
          <w:noProof/>
          <w:szCs w:val="24"/>
        </w:rPr>
        <w:t xml:space="preserve"> </w:t>
      </w:r>
      <w:r w:rsidRPr="007212AD">
        <w:rPr>
          <w:b/>
          <w:bCs/>
          <w:noProof/>
          <w:szCs w:val="24"/>
        </w:rPr>
        <w:t>27</w:t>
      </w:r>
      <w:r w:rsidRPr="007212AD">
        <w:rPr>
          <w:noProof/>
          <w:szCs w:val="24"/>
        </w:rPr>
        <w:t>, 2205–2213 (2018).</w:t>
      </w:r>
    </w:p>
    <w:p w14:paraId="55C48C2F"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46.</w:t>
      </w:r>
      <w:r w:rsidRPr="007212AD">
        <w:rPr>
          <w:noProof/>
          <w:szCs w:val="24"/>
        </w:rPr>
        <w:tab/>
        <w:t xml:space="preserve">Lotta, L. A. </w:t>
      </w:r>
      <w:r w:rsidRPr="007212AD">
        <w:rPr>
          <w:i/>
          <w:iCs/>
          <w:noProof/>
          <w:szCs w:val="24"/>
        </w:rPr>
        <w:t>et al.</w:t>
      </w:r>
      <w:r w:rsidRPr="007212AD">
        <w:rPr>
          <w:noProof/>
          <w:szCs w:val="24"/>
        </w:rPr>
        <w:t xml:space="preserve"> A cross-platform approach identifies genetic regulators of human metabolism and health. </w:t>
      </w:r>
      <w:r w:rsidRPr="007212AD">
        <w:rPr>
          <w:i/>
          <w:iCs/>
          <w:noProof/>
          <w:szCs w:val="24"/>
        </w:rPr>
        <w:t>Nat. Genet.</w:t>
      </w:r>
      <w:r w:rsidRPr="007212AD">
        <w:rPr>
          <w:noProof/>
          <w:szCs w:val="24"/>
        </w:rPr>
        <w:t xml:space="preserve"> </w:t>
      </w:r>
      <w:r w:rsidRPr="007212AD">
        <w:rPr>
          <w:b/>
          <w:bCs/>
          <w:noProof/>
          <w:szCs w:val="24"/>
        </w:rPr>
        <w:t>53</w:t>
      </w:r>
      <w:r w:rsidRPr="007212AD">
        <w:rPr>
          <w:noProof/>
          <w:szCs w:val="24"/>
        </w:rPr>
        <w:t>, 54–64 (2021).</w:t>
      </w:r>
    </w:p>
    <w:p w14:paraId="7042B8BE"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47.</w:t>
      </w:r>
      <w:r w:rsidRPr="007212AD">
        <w:rPr>
          <w:noProof/>
          <w:szCs w:val="24"/>
        </w:rPr>
        <w:tab/>
        <w:t xml:space="preserve">Petrera, A. </w:t>
      </w:r>
      <w:r w:rsidRPr="007212AD">
        <w:rPr>
          <w:i/>
          <w:iCs/>
          <w:noProof/>
          <w:szCs w:val="24"/>
        </w:rPr>
        <w:t>et al.</w:t>
      </w:r>
      <w:r w:rsidRPr="007212AD">
        <w:rPr>
          <w:noProof/>
          <w:szCs w:val="24"/>
        </w:rPr>
        <w:t xml:space="preserve"> Multiplatform Approach for Plasma Proteomics: Complementarity of Olink Proximity Extension Assay Technology to Mass Spectrometry-Based Protein Profiling. </w:t>
      </w:r>
      <w:r w:rsidRPr="007212AD">
        <w:rPr>
          <w:i/>
          <w:iCs/>
          <w:noProof/>
          <w:szCs w:val="24"/>
        </w:rPr>
        <w:t>J. Proteome Res.</w:t>
      </w:r>
      <w:r w:rsidRPr="007212AD">
        <w:rPr>
          <w:noProof/>
          <w:szCs w:val="24"/>
        </w:rPr>
        <w:t xml:space="preserve"> (2020) doi:10.1021/acs.jproteome.0c00641.</w:t>
      </w:r>
    </w:p>
    <w:p w14:paraId="4AB650C7"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48.</w:t>
      </w:r>
      <w:r w:rsidRPr="007212AD">
        <w:rPr>
          <w:noProof/>
          <w:szCs w:val="24"/>
        </w:rPr>
        <w:tab/>
        <w:t xml:space="preserve">Kursa, M. B. &amp; Rudnicki, W. R. Feature selection with the boruta package. </w:t>
      </w:r>
      <w:r w:rsidRPr="007212AD">
        <w:rPr>
          <w:i/>
          <w:iCs/>
          <w:noProof/>
          <w:szCs w:val="24"/>
        </w:rPr>
        <w:t>J. Stat. Softw.</w:t>
      </w:r>
      <w:r w:rsidRPr="007212AD">
        <w:rPr>
          <w:noProof/>
          <w:szCs w:val="24"/>
        </w:rPr>
        <w:t xml:space="preserve"> </w:t>
      </w:r>
      <w:r w:rsidRPr="007212AD">
        <w:rPr>
          <w:b/>
          <w:bCs/>
          <w:noProof/>
          <w:szCs w:val="24"/>
        </w:rPr>
        <w:t>36</w:t>
      </w:r>
      <w:r w:rsidRPr="007212AD">
        <w:rPr>
          <w:noProof/>
          <w:szCs w:val="24"/>
        </w:rPr>
        <w:t>, 1–13 (2010).</w:t>
      </w:r>
    </w:p>
    <w:p w14:paraId="4F45B098"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49.</w:t>
      </w:r>
      <w:r w:rsidRPr="007212AD">
        <w:rPr>
          <w:noProof/>
          <w:szCs w:val="24"/>
        </w:rPr>
        <w:tab/>
        <w:t xml:space="preserve">Bycroft, C. </w:t>
      </w:r>
      <w:r w:rsidRPr="007212AD">
        <w:rPr>
          <w:i/>
          <w:iCs/>
          <w:noProof/>
          <w:szCs w:val="24"/>
        </w:rPr>
        <w:t>et al.</w:t>
      </w:r>
      <w:r w:rsidRPr="007212AD">
        <w:rPr>
          <w:noProof/>
          <w:szCs w:val="24"/>
        </w:rPr>
        <w:t xml:space="preserve"> The UK Biobank resource with deep phenotyping and genomic data. </w:t>
      </w:r>
      <w:r w:rsidRPr="007212AD">
        <w:rPr>
          <w:i/>
          <w:iCs/>
          <w:noProof/>
          <w:szCs w:val="24"/>
        </w:rPr>
        <w:t>Nature</w:t>
      </w:r>
      <w:r w:rsidRPr="007212AD">
        <w:rPr>
          <w:noProof/>
          <w:szCs w:val="24"/>
        </w:rPr>
        <w:t xml:space="preserve"> </w:t>
      </w:r>
      <w:r w:rsidRPr="007212AD">
        <w:rPr>
          <w:b/>
          <w:bCs/>
          <w:noProof/>
          <w:szCs w:val="24"/>
        </w:rPr>
        <w:t>562</w:t>
      </w:r>
      <w:r w:rsidRPr="007212AD">
        <w:rPr>
          <w:noProof/>
          <w:szCs w:val="24"/>
        </w:rPr>
        <w:t>, 203–209 (2018).</w:t>
      </w:r>
    </w:p>
    <w:p w14:paraId="3F9489F1"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50.</w:t>
      </w:r>
      <w:r w:rsidRPr="007212AD">
        <w:rPr>
          <w:noProof/>
          <w:szCs w:val="24"/>
        </w:rPr>
        <w:tab/>
        <w:t xml:space="preserve">McCarthy, S. </w:t>
      </w:r>
      <w:r w:rsidRPr="007212AD">
        <w:rPr>
          <w:i/>
          <w:iCs/>
          <w:noProof/>
          <w:szCs w:val="24"/>
        </w:rPr>
        <w:t>et al.</w:t>
      </w:r>
      <w:r w:rsidRPr="007212AD">
        <w:rPr>
          <w:noProof/>
          <w:szCs w:val="24"/>
        </w:rPr>
        <w:t xml:space="preserve"> A reference panel of 64,976 haplotypes for genotype imputation. </w:t>
      </w:r>
      <w:r w:rsidRPr="007212AD">
        <w:rPr>
          <w:i/>
          <w:iCs/>
          <w:noProof/>
          <w:szCs w:val="24"/>
        </w:rPr>
        <w:t>Nat. Genet.</w:t>
      </w:r>
      <w:r w:rsidRPr="007212AD">
        <w:rPr>
          <w:noProof/>
          <w:szCs w:val="24"/>
        </w:rPr>
        <w:t xml:space="preserve"> </w:t>
      </w:r>
      <w:r w:rsidRPr="007212AD">
        <w:rPr>
          <w:b/>
          <w:bCs/>
          <w:noProof/>
          <w:szCs w:val="24"/>
        </w:rPr>
        <w:t>48</w:t>
      </w:r>
      <w:r w:rsidRPr="007212AD">
        <w:rPr>
          <w:noProof/>
          <w:szCs w:val="24"/>
        </w:rPr>
        <w:t>, 1279–1283 (2016).</w:t>
      </w:r>
    </w:p>
    <w:p w14:paraId="407CAA68"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51.</w:t>
      </w:r>
      <w:r w:rsidRPr="007212AD">
        <w:rPr>
          <w:noProof/>
          <w:szCs w:val="24"/>
        </w:rPr>
        <w:tab/>
        <w:t xml:space="preserve">Huang, J. </w:t>
      </w:r>
      <w:r w:rsidRPr="007212AD">
        <w:rPr>
          <w:i/>
          <w:iCs/>
          <w:noProof/>
          <w:szCs w:val="24"/>
        </w:rPr>
        <w:t>et al.</w:t>
      </w:r>
      <w:r w:rsidRPr="007212AD">
        <w:rPr>
          <w:noProof/>
          <w:szCs w:val="24"/>
        </w:rPr>
        <w:t xml:space="preserve"> Improved imputation of low-frequency and rare variants using the UK10K haplotype reference panel. </w:t>
      </w:r>
      <w:r w:rsidRPr="007212AD">
        <w:rPr>
          <w:i/>
          <w:iCs/>
          <w:noProof/>
          <w:szCs w:val="24"/>
        </w:rPr>
        <w:t>Nat. Commun.</w:t>
      </w:r>
      <w:r w:rsidRPr="007212AD">
        <w:rPr>
          <w:noProof/>
          <w:szCs w:val="24"/>
        </w:rPr>
        <w:t xml:space="preserve"> </w:t>
      </w:r>
      <w:r w:rsidRPr="007212AD">
        <w:rPr>
          <w:b/>
          <w:bCs/>
          <w:noProof/>
          <w:szCs w:val="24"/>
        </w:rPr>
        <w:t>6</w:t>
      </w:r>
      <w:r w:rsidRPr="007212AD">
        <w:rPr>
          <w:noProof/>
          <w:szCs w:val="24"/>
        </w:rPr>
        <w:t>, 1–9 (2015).</w:t>
      </w:r>
    </w:p>
    <w:p w14:paraId="09A2390B"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52.</w:t>
      </w:r>
      <w:r w:rsidRPr="007212AD">
        <w:rPr>
          <w:noProof/>
          <w:szCs w:val="24"/>
        </w:rPr>
        <w:tab/>
        <w:t xml:space="preserve">Willer, C. J., Li, Y. &amp; Abecasis, G. R. METAL: Fast and efficient meta-analysis of genomewide association scans. </w:t>
      </w:r>
      <w:r w:rsidRPr="007212AD">
        <w:rPr>
          <w:i/>
          <w:iCs/>
          <w:noProof/>
          <w:szCs w:val="24"/>
        </w:rPr>
        <w:t>Bioinformatics</w:t>
      </w:r>
      <w:r w:rsidRPr="007212AD">
        <w:rPr>
          <w:noProof/>
          <w:szCs w:val="24"/>
        </w:rPr>
        <w:t xml:space="preserve"> </w:t>
      </w:r>
      <w:r w:rsidRPr="007212AD">
        <w:rPr>
          <w:b/>
          <w:bCs/>
          <w:noProof/>
          <w:szCs w:val="24"/>
        </w:rPr>
        <w:t>26</w:t>
      </w:r>
      <w:r w:rsidRPr="007212AD">
        <w:rPr>
          <w:noProof/>
          <w:szCs w:val="24"/>
        </w:rPr>
        <w:t>, 2190–2191 (2010).</w:t>
      </w:r>
    </w:p>
    <w:p w14:paraId="2F7305A2" w14:textId="77777777" w:rsidR="007212AD" w:rsidRPr="00FA13E3" w:rsidRDefault="007212AD" w:rsidP="007212AD">
      <w:pPr>
        <w:widowControl w:val="0"/>
        <w:autoSpaceDE w:val="0"/>
        <w:autoSpaceDN w:val="0"/>
        <w:adjustRightInd w:val="0"/>
        <w:spacing w:line="240" w:lineRule="auto"/>
        <w:ind w:left="640" w:hanging="640"/>
        <w:rPr>
          <w:noProof/>
          <w:szCs w:val="24"/>
          <w:lang w:val="de-DE"/>
        </w:rPr>
      </w:pPr>
      <w:r w:rsidRPr="007212AD">
        <w:rPr>
          <w:noProof/>
          <w:szCs w:val="24"/>
        </w:rPr>
        <w:t>53.</w:t>
      </w:r>
      <w:r w:rsidRPr="007212AD">
        <w:rPr>
          <w:noProof/>
          <w:szCs w:val="24"/>
        </w:rPr>
        <w:tab/>
        <w:t xml:space="preserve">McLaren, W. </w:t>
      </w:r>
      <w:r w:rsidRPr="007212AD">
        <w:rPr>
          <w:i/>
          <w:iCs/>
          <w:noProof/>
          <w:szCs w:val="24"/>
        </w:rPr>
        <w:t>et al.</w:t>
      </w:r>
      <w:r w:rsidRPr="007212AD">
        <w:rPr>
          <w:noProof/>
          <w:szCs w:val="24"/>
        </w:rPr>
        <w:t xml:space="preserve"> The Ensembl Variant Effect Predictor. </w:t>
      </w:r>
      <w:r w:rsidRPr="00FA13E3">
        <w:rPr>
          <w:i/>
          <w:iCs/>
          <w:noProof/>
          <w:szCs w:val="24"/>
          <w:lang w:val="de-DE"/>
        </w:rPr>
        <w:t>Genome Biol.</w:t>
      </w:r>
      <w:r w:rsidRPr="00FA13E3">
        <w:rPr>
          <w:noProof/>
          <w:szCs w:val="24"/>
          <w:lang w:val="de-DE"/>
        </w:rPr>
        <w:t xml:space="preserve"> </w:t>
      </w:r>
      <w:r w:rsidRPr="00FA13E3">
        <w:rPr>
          <w:b/>
          <w:bCs/>
          <w:noProof/>
          <w:szCs w:val="24"/>
          <w:lang w:val="de-DE"/>
        </w:rPr>
        <w:t>17</w:t>
      </w:r>
      <w:r w:rsidRPr="00FA13E3">
        <w:rPr>
          <w:noProof/>
          <w:szCs w:val="24"/>
          <w:lang w:val="de-DE"/>
        </w:rPr>
        <w:t>, 1–14 (2016).</w:t>
      </w:r>
    </w:p>
    <w:p w14:paraId="6AABD8E3"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FA13E3">
        <w:rPr>
          <w:noProof/>
          <w:szCs w:val="24"/>
          <w:lang w:val="de-DE"/>
        </w:rPr>
        <w:t>54.</w:t>
      </w:r>
      <w:r w:rsidRPr="00FA13E3">
        <w:rPr>
          <w:noProof/>
          <w:szCs w:val="24"/>
          <w:lang w:val="de-DE"/>
        </w:rPr>
        <w:tab/>
        <w:t xml:space="preserve">Buniello, A. </w:t>
      </w:r>
      <w:r w:rsidRPr="00FA13E3">
        <w:rPr>
          <w:i/>
          <w:iCs/>
          <w:noProof/>
          <w:szCs w:val="24"/>
          <w:lang w:val="de-DE"/>
        </w:rPr>
        <w:t>et al.</w:t>
      </w:r>
      <w:r w:rsidRPr="00FA13E3">
        <w:rPr>
          <w:noProof/>
          <w:szCs w:val="24"/>
          <w:lang w:val="de-DE"/>
        </w:rPr>
        <w:t xml:space="preserve"> </w:t>
      </w:r>
      <w:r w:rsidRPr="007212AD">
        <w:rPr>
          <w:noProof/>
          <w:szCs w:val="24"/>
        </w:rPr>
        <w:t xml:space="preserve">The NHGRI-EBI GWAS Catalog of published genome-wide association </w:t>
      </w:r>
      <w:r w:rsidRPr="007212AD">
        <w:rPr>
          <w:noProof/>
          <w:szCs w:val="24"/>
        </w:rPr>
        <w:lastRenderedPageBreak/>
        <w:t xml:space="preserve">studies, targeted arrays and summary statistics 2019. </w:t>
      </w:r>
      <w:r w:rsidRPr="007212AD">
        <w:rPr>
          <w:i/>
          <w:iCs/>
          <w:noProof/>
          <w:szCs w:val="24"/>
        </w:rPr>
        <w:t>Nucleic Acids Res.</w:t>
      </w:r>
      <w:r w:rsidRPr="007212AD">
        <w:rPr>
          <w:noProof/>
          <w:szCs w:val="24"/>
        </w:rPr>
        <w:t xml:space="preserve"> </w:t>
      </w:r>
      <w:r w:rsidRPr="007212AD">
        <w:rPr>
          <w:b/>
          <w:bCs/>
          <w:noProof/>
          <w:szCs w:val="24"/>
        </w:rPr>
        <w:t>47</w:t>
      </w:r>
      <w:r w:rsidRPr="007212AD">
        <w:rPr>
          <w:noProof/>
          <w:szCs w:val="24"/>
        </w:rPr>
        <w:t>, 1005–1012 (2018).</w:t>
      </w:r>
    </w:p>
    <w:p w14:paraId="5DAC6FC7"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55.</w:t>
      </w:r>
      <w:r w:rsidRPr="007212AD">
        <w:rPr>
          <w:noProof/>
          <w:szCs w:val="24"/>
        </w:rPr>
        <w:tab/>
        <w:t xml:space="preserve">Elsworth, B. </w:t>
      </w:r>
      <w:r w:rsidRPr="007212AD">
        <w:rPr>
          <w:i/>
          <w:iCs/>
          <w:noProof/>
          <w:szCs w:val="24"/>
        </w:rPr>
        <w:t>et al.</w:t>
      </w:r>
      <w:r w:rsidRPr="007212AD">
        <w:rPr>
          <w:noProof/>
          <w:szCs w:val="24"/>
        </w:rPr>
        <w:t xml:space="preserve"> The MRC IEU OpenGWAS data infrastructure. </w:t>
      </w:r>
      <w:r w:rsidRPr="007212AD">
        <w:rPr>
          <w:i/>
          <w:iCs/>
          <w:noProof/>
          <w:szCs w:val="24"/>
        </w:rPr>
        <w:t>bioRxiv</w:t>
      </w:r>
      <w:r w:rsidRPr="007212AD">
        <w:rPr>
          <w:noProof/>
          <w:szCs w:val="24"/>
        </w:rPr>
        <w:t xml:space="preserve"> 2020.08.10.244293 (2020) doi:10.1101/2020.08.10.244293.</w:t>
      </w:r>
    </w:p>
    <w:p w14:paraId="3B49140A"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56.</w:t>
      </w:r>
      <w:r w:rsidRPr="007212AD">
        <w:rPr>
          <w:noProof/>
          <w:szCs w:val="24"/>
        </w:rPr>
        <w:tab/>
        <w:t xml:space="preserve">Giambartolomei, C. </w:t>
      </w:r>
      <w:r w:rsidRPr="007212AD">
        <w:rPr>
          <w:i/>
          <w:iCs/>
          <w:noProof/>
          <w:szCs w:val="24"/>
        </w:rPr>
        <w:t>et al.</w:t>
      </w:r>
      <w:r w:rsidRPr="007212AD">
        <w:rPr>
          <w:noProof/>
          <w:szCs w:val="24"/>
        </w:rPr>
        <w:t xml:space="preserve"> Bayesian test for colocalisation between pairs of genetic association studies using summary statistics. </w:t>
      </w:r>
      <w:r w:rsidRPr="007212AD">
        <w:rPr>
          <w:i/>
          <w:iCs/>
          <w:noProof/>
          <w:szCs w:val="24"/>
        </w:rPr>
        <w:t>PLoS Genet.</w:t>
      </w:r>
      <w:r w:rsidRPr="007212AD">
        <w:rPr>
          <w:noProof/>
          <w:szCs w:val="24"/>
        </w:rPr>
        <w:t xml:space="preserve"> </w:t>
      </w:r>
      <w:r w:rsidRPr="007212AD">
        <w:rPr>
          <w:b/>
          <w:bCs/>
          <w:noProof/>
          <w:szCs w:val="24"/>
        </w:rPr>
        <w:t>10</w:t>
      </w:r>
      <w:r w:rsidRPr="007212AD">
        <w:rPr>
          <w:noProof/>
          <w:szCs w:val="24"/>
        </w:rPr>
        <w:t>, e1004383 (2014).</w:t>
      </w:r>
    </w:p>
    <w:p w14:paraId="7D9288F0" w14:textId="77777777" w:rsidR="007212AD" w:rsidRPr="007212AD" w:rsidRDefault="007212AD" w:rsidP="007212AD">
      <w:pPr>
        <w:widowControl w:val="0"/>
        <w:autoSpaceDE w:val="0"/>
        <w:autoSpaceDN w:val="0"/>
        <w:adjustRightInd w:val="0"/>
        <w:spacing w:line="240" w:lineRule="auto"/>
        <w:ind w:left="640" w:hanging="640"/>
        <w:rPr>
          <w:noProof/>
          <w:szCs w:val="24"/>
        </w:rPr>
      </w:pPr>
      <w:r w:rsidRPr="007212AD">
        <w:rPr>
          <w:noProof/>
          <w:szCs w:val="24"/>
        </w:rPr>
        <w:t>57.</w:t>
      </w:r>
      <w:r w:rsidRPr="007212AD">
        <w:rPr>
          <w:noProof/>
          <w:szCs w:val="24"/>
        </w:rPr>
        <w:tab/>
        <w:t xml:space="preserve">GTEx Consortium. The GTEx Consortium atlas of genetic regulatory effects across human tissues. </w:t>
      </w:r>
      <w:r w:rsidRPr="007212AD">
        <w:rPr>
          <w:i/>
          <w:iCs/>
          <w:noProof/>
          <w:szCs w:val="24"/>
        </w:rPr>
        <w:t>Science</w:t>
      </w:r>
      <w:r w:rsidRPr="007212AD">
        <w:rPr>
          <w:noProof/>
          <w:szCs w:val="24"/>
        </w:rPr>
        <w:t xml:space="preserve"> </w:t>
      </w:r>
      <w:r w:rsidRPr="007212AD">
        <w:rPr>
          <w:b/>
          <w:bCs/>
          <w:noProof/>
          <w:szCs w:val="24"/>
        </w:rPr>
        <w:t>369</w:t>
      </w:r>
      <w:r w:rsidRPr="007212AD">
        <w:rPr>
          <w:noProof/>
          <w:szCs w:val="24"/>
        </w:rPr>
        <w:t>, 1318–1330 (2020).</w:t>
      </w:r>
    </w:p>
    <w:p w14:paraId="799C6010" w14:textId="77777777" w:rsidR="007212AD" w:rsidRPr="007212AD" w:rsidRDefault="007212AD" w:rsidP="007212AD">
      <w:pPr>
        <w:widowControl w:val="0"/>
        <w:autoSpaceDE w:val="0"/>
        <w:autoSpaceDN w:val="0"/>
        <w:adjustRightInd w:val="0"/>
        <w:spacing w:line="240" w:lineRule="auto"/>
        <w:ind w:left="640" w:hanging="640"/>
        <w:rPr>
          <w:noProof/>
        </w:rPr>
      </w:pPr>
      <w:r w:rsidRPr="007212AD">
        <w:rPr>
          <w:noProof/>
          <w:szCs w:val="24"/>
        </w:rPr>
        <w:t>58.</w:t>
      </w:r>
      <w:r w:rsidRPr="007212AD">
        <w:rPr>
          <w:noProof/>
          <w:szCs w:val="24"/>
        </w:rPr>
        <w:tab/>
        <w:t xml:space="preserve">Jansen, I. E. </w:t>
      </w:r>
      <w:r w:rsidRPr="007212AD">
        <w:rPr>
          <w:i/>
          <w:iCs/>
          <w:noProof/>
          <w:szCs w:val="24"/>
        </w:rPr>
        <w:t>et al.</w:t>
      </w:r>
      <w:r w:rsidRPr="007212AD">
        <w:rPr>
          <w:noProof/>
          <w:szCs w:val="24"/>
        </w:rPr>
        <w:t xml:space="preserve"> Genome-wide meta-analysis identifies new loci and functional pathways influencing Alzheimer’s disease risk. </w:t>
      </w:r>
      <w:r w:rsidRPr="007212AD">
        <w:rPr>
          <w:i/>
          <w:iCs/>
          <w:noProof/>
          <w:szCs w:val="24"/>
        </w:rPr>
        <w:t>Nat. Genet.</w:t>
      </w:r>
      <w:r w:rsidRPr="007212AD">
        <w:rPr>
          <w:noProof/>
          <w:szCs w:val="24"/>
        </w:rPr>
        <w:t xml:space="preserve"> </w:t>
      </w:r>
      <w:r w:rsidRPr="007212AD">
        <w:rPr>
          <w:b/>
          <w:bCs/>
          <w:noProof/>
          <w:szCs w:val="24"/>
        </w:rPr>
        <w:t>51</w:t>
      </w:r>
      <w:r w:rsidRPr="007212AD">
        <w:rPr>
          <w:noProof/>
          <w:szCs w:val="24"/>
        </w:rPr>
        <w:t>, 404–413 (2019).</w:t>
      </w:r>
    </w:p>
    <w:p w14:paraId="2E4C6E77" w14:textId="733339C6" w:rsidR="00D86316" w:rsidRPr="00177CF7" w:rsidRDefault="001D0EDF" w:rsidP="00A674D5">
      <w:pPr>
        <w:spacing w:line="240" w:lineRule="auto"/>
        <w:jc w:val="both"/>
        <w:rPr>
          <w:b/>
        </w:rPr>
      </w:pPr>
      <w:r w:rsidRPr="00177CF7">
        <w:rPr>
          <w:b/>
        </w:rPr>
        <w:fldChar w:fldCharType="end"/>
      </w:r>
    </w:p>
    <w:p w14:paraId="0F3C6362" w14:textId="77777777" w:rsidR="00D86316" w:rsidRPr="00177CF7" w:rsidRDefault="00D86316">
      <w:pPr>
        <w:rPr>
          <w:b/>
        </w:rPr>
      </w:pPr>
      <w:r w:rsidRPr="00177CF7">
        <w:rPr>
          <w:b/>
        </w:rPr>
        <w:br w:type="page"/>
      </w:r>
    </w:p>
    <w:p w14:paraId="122EC223" w14:textId="77777777" w:rsidR="00C74D43" w:rsidRPr="00177CF7" w:rsidRDefault="00C74D43" w:rsidP="00C74D43">
      <w:pPr>
        <w:spacing w:line="360" w:lineRule="auto"/>
        <w:jc w:val="both"/>
        <w:rPr>
          <w:b/>
          <w:bCs/>
          <w:color w:val="000000"/>
        </w:rPr>
      </w:pPr>
      <w:r w:rsidRPr="00177CF7">
        <w:rPr>
          <w:b/>
          <w:bCs/>
          <w:color w:val="000000" w:themeColor="text1"/>
        </w:rPr>
        <w:lastRenderedPageBreak/>
        <w:t>ACKNOWLEDGEMENT</w:t>
      </w:r>
    </w:p>
    <w:p w14:paraId="26DA679F" w14:textId="403B2F50" w:rsidR="00C74D43" w:rsidRPr="00177CF7" w:rsidRDefault="00C74D43" w:rsidP="00C74D43">
      <w:pPr>
        <w:spacing w:line="360" w:lineRule="auto"/>
        <w:jc w:val="both"/>
        <w:rPr>
          <w:bCs/>
        </w:rPr>
      </w:pPr>
      <w:r w:rsidRPr="00177CF7">
        <w:rPr>
          <w:bCs/>
        </w:rPr>
        <w:t xml:space="preserve">The Fenland Study (10.22025/2017.10.101.00001) is funded by the Medical Research Council (MC_UU_12015/1). We are grateful to all the volunteers and to the General Practitioners and practice staff for assistance with recruitment. We thank the Fenland Study Investigators, Fenland Study Co-ordination team and the Epidemiology Field, Data and Laboratory teams. We further acknowledge support for genomics from the Medical Research Council (MC_PC_13046). Proteomic measurements were supported and governed by a collaboration agreement between the University of Cambridge and </w:t>
      </w:r>
      <w:proofErr w:type="spellStart"/>
      <w:r w:rsidRPr="00177CF7">
        <w:rPr>
          <w:bCs/>
        </w:rPr>
        <w:t>Somalogic</w:t>
      </w:r>
      <w:proofErr w:type="spellEnd"/>
      <w:r w:rsidRPr="00177CF7">
        <w:rPr>
          <w:bCs/>
        </w:rPr>
        <w:t xml:space="preserve">. JCZ is supported by a 4-year </w:t>
      </w:r>
      <w:proofErr w:type="spellStart"/>
      <w:r w:rsidRPr="00177CF7">
        <w:rPr>
          <w:bCs/>
        </w:rPr>
        <w:t>Wellcome</w:t>
      </w:r>
      <w:proofErr w:type="spellEnd"/>
      <w:r w:rsidRPr="00177CF7">
        <w:rPr>
          <w:bCs/>
        </w:rPr>
        <w:t xml:space="preserve"> Trust PhD Studentship and the Cambridge Trust, CL, EW, and NJW are funded by the Medical Research Council (MC_UU_12015/1). NJW is a NIHR Senior Investigator. ADH is an NIHR Senior Investigator and supported by the UCL Hospitals NIHR Biomedical Research Centre and the UCL BHF Research Accelerator (AA/18/6/34223). We thank Philippa Pettingill, Ida Grundberg, Klev Diamanti, and Andrea Ballagi for advice and comments on an earlier draft of this manuscript.</w:t>
      </w:r>
      <w:r w:rsidR="001B0129" w:rsidRPr="00177CF7">
        <w:rPr>
          <w:bCs/>
        </w:rPr>
        <w:t xml:space="preserve"> We thank Vladimir </w:t>
      </w:r>
      <w:r w:rsidR="00803BFD" w:rsidRPr="00177CF7">
        <w:rPr>
          <w:bCs/>
        </w:rPr>
        <w:t>Saudek for generating a 3D-model of variant GDF-15 protein.</w:t>
      </w:r>
    </w:p>
    <w:p w14:paraId="23C60D5D" w14:textId="77777777" w:rsidR="00C74D43" w:rsidRPr="00177CF7" w:rsidRDefault="00C74D43" w:rsidP="00C74D43">
      <w:pPr>
        <w:spacing w:line="360" w:lineRule="auto"/>
        <w:jc w:val="both"/>
        <w:rPr>
          <w:b/>
        </w:rPr>
      </w:pPr>
      <w:r w:rsidRPr="00177CF7">
        <w:rPr>
          <w:b/>
        </w:rPr>
        <w:t>AUTHOR CONTRIBUTIONS</w:t>
      </w:r>
    </w:p>
    <w:p w14:paraId="7FFB7103" w14:textId="77777777" w:rsidR="00C74D43" w:rsidRPr="00177CF7" w:rsidRDefault="00C74D43" w:rsidP="00C74D43">
      <w:pPr>
        <w:spacing w:line="360" w:lineRule="auto"/>
        <w:jc w:val="both"/>
      </w:pPr>
      <w:r w:rsidRPr="00177CF7">
        <w:t xml:space="preserve">MP and CL designed the analysis and drafted the manuscript. MP, EW, and JL analysed the data. JCZ and EO provided bioinformatic characterization of protein targets and mapped </w:t>
      </w:r>
      <w:proofErr w:type="spellStart"/>
      <w:r w:rsidRPr="00177CF7">
        <w:t>pQTLs</w:t>
      </w:r>
      <w:proofErr w:type="spellEnd"/>
      <w:r w:rsidRPr="00177CF7">
        <w:t xml:space="preserve"> to </w:t>
      </w:r>
      <w:proofErr w:type="spellStart"/>
      <w:r w:rsidRPr="00177CF7">
        <w:t>eQTLs</w:t>
      </w:r>
      <w:proofErr w:type="spellEnd"/>
      <w:r w:rsidRPr="00177CF7">
        <w:t>. NK and EO performed quality control of proteomic measurements. ADH and SAW provided critical review and intellectual contribution to the discussion of results. NJW is PI of the Fenland cohort. All authors contributed to the interpretation of the results and critically reviewed the manuscript.</w:t>
      </w:r>
    </w:p>
    <w:p w14:paraId="6C2B8430" w14:textId="77777777" w:rsidR="00C74D43" w:rsidRPr="00177CF7" w:rsidRDefault="00C74D43" w:rsidP="00C74D43">
      <w:pPr>
        <w:spacing w:line="360" w:lineRule="auto"/>
        <w:jc w:val="both"/>
        <w:rPr>
          <w:b/>
          <w:bCs/>
        </w:rPr>
      </w:pPr>
      <w:r w:rsidRPr="00177CF7">
        <w:rPr>
          <w:b/>
          <w:bCs/>
        </w:rPr>
        <w:t>COMPETING INTERESTS</w:t>
      </w:r>
    </w:p>
    <w:p w14:paraId="5C7B0844" w14:textId="77777777" w:rsidR="00C74D43" w:rsidRPr="00177CF7" w:rsidRDefault="00C74D43" w:rsidP="00C74D43">
      <w:pPr>
        <w:spacing w:line="360" w:lineRule="auto"/>
        <w:jc w:val="both"/>
      </w:pPr>
      <w:r w:rsidRPr="00177CF7">
        <w:t xml:space="preserve">SAW is an employee of </w:t>
      </w:r>
      <w:proofErr w:type="spellStart"/>
      <w:r w:rsidRPr="00177CF7">
        <w:t>SomaLogic</w:t>
      </w:r>
      <w:proofErr w:type="spellEnd"/>
      <w:r w:rsidRPr="00177CF7">
        <w:t xml:space="preserve">. The remaining authors declare no competing interests.    </w:t>
      </w:r>
    </w:p>
    <w:p w14:paraId="3A179E79" w14:textId="60F3B2E5" w:rsidR="000E27F1" w:rsidRDefault="000E27F1">
      <w:pPr>
        <w:rPr>
          <w:b/>
        </w:rPr>
      </w:pPr>
      <w:r>
        <w:rPr>
          <w:b/>
        </w:rPr>
        <w:br w:type="page"/>
      </w:r>
    </w:p>
    <w:p w14:paraId="0709764C" w14:textId="6109B28F" w:rsidR="006F5388" w:rsidRPr="00177CF7" w:rsidRDefault="006F5388" w:rsidP="00A674D5">
      <w:pPr>
        <w:spacing w:line="240" w:lineRule="auto"/>
        <w:jc w:val="both"/>
        <w:rPr>
          <w:b/>
        </w:rPr>
      </w:pPr>
      <w:r w:rsidRPr="00177CF7">
        <w:rPr>
          <w:b/>
        </w:rPr>
        <w:lastRenderedPageBreak/>
        <w:t>FIGURE LEGENDS</w:t>
      </w:r>
    </w:p>
    <w:p w14:paraId="4C13FB87" w14:textId="2ED25895" w:rsidR="006F5388" w:rsidRPr="00177CF7" w:rsidRDefault="006F5388" w:rsidP="00A674D5">
      <w:pPr>
        <w:spacing w:line="240" w:lineRule="auto"/>
        <w:jc w:val="both"/>
        <w:rPr>
          <w:b/>
        </w:rPr>
      </w:pPr>
    </w:p>
    <w:p w14:paraId="77E1B6A6" w14:textId="4F6A7BA0" w:rsidR="002E60F9" w:rsidRPr="00177CF7" w:rsidRDefault="002E60F9" w:rsidP="002E60F9">
      <w:pPr>
        <w:jc w:val="both"/>
      </w:pPr>
      <w:r w:rsidRPr="00177CF7">
        <w:rPr>
          <w:b/>
          <w:bCs/>
        </w:rPr>
        <w:t>Figure 1 Scheme of the study design.</w:t>
      </w:r>
      <w:r w:rsidRPr="00177CF7">
        <w:t xml:space="preserve"> The Venn diagram displays the overlap in protein targets captured by the </w:t>
      </w:r>
      <w:proofErr w:type="spellStart"/>
      <w:r w:rsidRPr="00177CF7">
        <w:t>SomaScan</w:t>
      </w:r>
      <w:proofErr w:type="spellEnd"/>
      <w:r w:rsidRPr="00177CF7">
        <w:t xml:space="preserve"> assay and the </w:t>
      </w:r>
      <w:proofErr w:type="spellStart"/>
      <w:r w:rsidRPr="00177CF7">
        <w:t>Olink</w:t>
      </w:r>
      <w:proofErr w:type="spellEnd"/>
      <w:r w:rsidRPr="00177CF7">
        <w:t xml:space="preserve"> proximity extension assay (PEA). Modes of binding to the protein target are depicted simplified next to each ellipse. Correlation coefficients were used to compare both technologies and factors possibly accounting for measurement differences and low correlation coefficients examined in a subset of 485 individuals with overlapping measurements. For the set of 871 common protein targets genome-wide association analysis were performed in 10,708 (</w:t>
      </w:r>
      <w:proofErr w:type="spellStart"/>
      <w:r w:rsidRPr="00177CF7">
        <w:t>SomaScan</w:t>
      </w:r>
      <w:proofErr w:type="spellEnd"/>
      <w:r w:rsidRPr="00177CF7">
        <w:t xml:space="preserve"> assay) and 485 (</w:t>
      </w:r>
      <w:proofErr w:type="spellStart"/>
      <w:r w:rsidRPr="00177CF7">
        <w:t>Olink</w:t>
      </w:r>
      <w:proofErr w:type="spellEnd"/>
      <w:r w:rsidRPr="00177CF7">
        <w:t xml:space="preserve"> PEA) participants in the Fenland cohort. Correspondence of genetic associations was analysed by examining local genetic architecture, comparison of effect estimates, and evaluation of phenotypic consequences. </w:t>
      </w:r>
      <w:r w:rsidR="00A44CC8">
        <w:t xml:space="preserve">Parts of this figure have been </w:t>
      </w:r>
      <w:r w:rsidR="000E27F1">
        <w:t>created with</w:t>
      </w:r>
      <w:r w:rsidR="00A44CC8">
        <w:t xml:space="preserve"> BioRender.com.</w:t>
      </w:r>
      <w:r w:rsidRPr="00177CF7">
        <w:t xml:space="preserve"> </w:t>
      </w:r>
    </w:p>
    <w:p w14:paraId="292904E1" w14:textId="2E1009C3" w:rsidR="002E60F9" w:rsidRPr="00177CF7" w:rsidRDefault="002E60F9" w:rsidP="008E1923">
      <w:pPr>
        <w:jc w:val="both"/>
      </w:pPr>
      <w:r w:rsidRPr="00177CF7">
        <w:rPr>
          <w:b/>
          <w:bCs/>
        </w:rPr>
        <w:t xml:space="preserve">Figure 2 Summary of correlations between measurements on both platforms. a </w:t>
      </w:r>
      <w:r w:rsidRPr="00177CF7">
        <w:t xml:space="preserve">Distribution of correlation coefficients across 937 mapping aptamer – </w:t>
      </w:r>
      <w:proofErr w:type="spellStart"/>
      <w:r w:rsidRPr="00177CF7">
        <w:t>Olink</w:t>
      </w:r>
      <w:proofErr w:type="spellEnd"/>
      <w:r w:rsidRPr="00177CF7">
        <w:t xml:space="preserve"> measure pairs (n=871 unique protein targets).</w:t>
      </w:r>
      <w:r w:rsidR="005F641E">
        <w:t xml:space="preserve"> Source data can be found in Supplementa</w:t>
      </w:r>
      <w:r w:rsidR="009A4142">
        <w:t>ry</w:t>
      </w:r>
      <w:r w:rsidR="005F641E">
        <w:t xml:space="preserve"> </w:t>
      </w:r>
      <w:r w:rsidR="00AE6028">
        <w:t>Data</w:t>
      </w:r>
      <w:r w:rsidR="005F641E">
        <w:t xml:space="preserve"> </w:t>
      </w:r>
      <w:r w:rsidR="009A4142">
        <w:t>2.</w:t>
      </w:r>
      <w:r w:rsidRPr="00177CF7">
        <w:t xml:space="preserve"> </w:t>
      </w:r>
      <w:r w:rsidRPr="00177CF7">
        <w:rPr>
          <w:b/>
          <w:bCs/>
        </w:rPr>
        <w:t>b</w:t>
      </w:r>
      <w:r w:rsidRPr="00177CF7">
        <w:t xml:space="preserve"> Importance measures derived from a random forest-based variable selection procedure to predict Spearman correlation coefficients</w:t>
      </w:r>
      <w:r w:rsidR="00C87A50">
        <w:t xml:space="preserve"> across all 871 protein targets</w:t>
      </w:r>
      <w:r w:rsidR="00A7183E">
        <w:t>,</w:t>
      </w:r>
      <w:r w:rsidRPr="00177CF7">
        <w:t xml:space="preserve"> including technical factors and protein characteristics. Coloured box plots indicate variables for which the importance measure remained significant after accounting for multiple testing</w:t>
      </w:r>
      <w:r w:rsidR="00A7183E">
        <w:t xml:space="preserve"> </w:t>
      </w:r>
      <w:r w:rsidR="006C7125">
        <w:t>(adjusted p&lt;0.01)</w:t>
      </w:r>
      <w:r w:rsidRPr="00177CF7">
        <w:t>.</w:t>
      </w:r>
      <w:r w:rsidR="003208C0">
        <w:t xml:space="preserve"> Boxplots display the distribution</w:t>
      </w:r>
      <w:r w:rsidR="006C7125">
        <w:t xml:space="preserve"> of importance measures for each variable across 500 bootstrap samples.</w:t>
      </w:r>
      <w:r w:rsidR="003208C0">
        <w:t xml:space="preserve"> </w:t>
      </w:r>
      <w:r w:rsidR="00AF116E">
        <w:t xml:space="preserve"> </w:t>
      </w:r>
      <w:proofErr w:type="gramStart"/>
      <w:r w:rsidR="00AF116E">
        <w:t>For the purpose of</w:t>
      </w:r>
      <w:proofErr w:type="gramEnd"/>
      <w:r w:rsidR="00AF116E">
        <w:t xml:space="preserve"> visu</w:t>
      </w:r>
      <w:r w:rsidR="00320752">
        <w:t>alisation, median values have been highlighted by bars.</w:t>
      </w:r>
      <w:r w:rsidRPr="00177CF7">
        <w:t xml:space="preserve"> %-below LOD = Fraction of measurement values below the detection limit of the assay.</w:t>
      </w:r>
      <w:r w:rsidR="00DE7872">
        <w:t xml:space="preserve"> </w:t>
      </w:r>
      <w:r w:rsidR="00DE7872" w:rsidRPr="00DE7872">
        <w:t>Source data are provided as a Source Data file.</w:t>
      </w:r>
    </w:p>
    <w:p w14:paraId="25ACE7E8" w14:textId="2FD5C7C6" w:rsidR="002E60F9" w:rsidRPr="00177CF7" w:rsidRDefault="002E60F9" w:rsidP="002E60F9">
      <w:pPr>
        <w:jc w:val="both"/>
      </w:pPr>
      <w:r w:rsidRPr="00177CF7">
        <w:rPr>
          <w:b/>
          <w:bCs/>
        </w:rPr>
        <w:t>Figure 3</w:t>
      </w:r>
      <w:r w:rsidRPr="00177CF7">
        <w:t xml:space="preserve"> </w:t>
      </w:r>
      <w:r w:rsidRPr="00177CF7">
        <w:rPr>
          <w:b/>
          <w:bCs/>
        </w:rPr>
        <w:t>Consistency of genetic effects across platforms.</w:t>
      </w:r>
      <w:r w:rsidRPr="00177CF7">
        <w:t xml:space="preserve"> </w:t>
      </w:r>
      <w:r w:rsidRPr="00177CF7">
        <w:rPr>
          <w:b/>
          <w:bCs/>
        </w:rPr>
        <w:t>a</w:t>
      </w:r>
      <w:r w:rsidRPr="00177CF7">
        <w:t xml:space="preserve"> Comparison of beta estimates from linear regression models across 816 corresponding </w:t>
      </w:r>
      <w:proofErr w:type="spellStart"/>
      <w:r w:rsidRPr="00177CF7">
        <w:t>SOMAmer</w:t>
      </w:r>
      <w:proofErr w:type="spellEnd"/>
      <w:r w:rsidRPr="00177CF7">
        <w:t xml:space="preserve"> - </w:t>
      </w:r>
      <w:proofErr w:type="spellStart"/>
      <w:r w:rsidRPr="00177CF7">
        <w:t>Olink</w:t>
      </w:r>
      <w:proofErr w:type="spellEnd"/>
      <w:r w:rsidRPr="00177CF7">
        <w:t xml:space="preserve"> pairs (n=770 unique protein targets) with at least one genome-wide associated genetic variant for either of the two, including 1,267 distinct genetic variants (R²&lt;0.8). Colouring is based on the genomic location of genetic variants. Red indicates variants close to the protein encoding gene (</w:t>
      </w:r>
      <w:r w:rsidRPr="00177CF7">
        <w:rPr>
          <w:i/>
          <w:iCs/>
        </w:rPr>
        <w:t>cis</w:t>
      </w:r>
      <w:r w:rsidRPr="00177CF7">
        <w:t>, ±500kb) and blue otherwise.</w:t>
      </w:r>
      <w:r w:rsidR="00CD5DB3">
        <w:t xml:space="preserve"> Estimates are presented in Supplementary </w:t>
      </w:r>
      <w:r w:rsidR="00AE6028">
        <w:t>Data</w:t>
      </w:r>
      <w:r w:rsidR="00CD5DB3">
        <w:t xml:space="preserve"> </w:t>
      </w:r>
      <w:r w:rsidR="001859A9">
        <w:t>3.</w:t>
      </w:r>
      <w:r w:rsidRPr="00177CF7">
        <w:t xml:space="preserve"> </w:t>
      </w:r>
      <w:r w:rsidRPr="00177CF7">
        <w:rPr>
          <w:b/>
          <w:bCs/>
        </w:rPr>
        <w:t xml:space="preserve">b </w:t>
      </w:r>
      <w:r w:rsidRPr="00177CF7">
        <w:t xml:space="preserve">Summary of platform agreement for 479 genomic region – protein target associations with sufficient power among the Fenland subsample with available </w:t>
      </w:r>
      <w:proofErr w:type="spellStart"/>
      <w:r w:rsidRPr="00177CF7">
        <w:t>Olink</w:t>
      </w:r>
      <w:proofErr w:type="spellEnd"/>
      <w:r w:rsidRPr="00177CF7">
        <w:t xml:space="preserve"> measures (N=485).</w:t>
      </w:r>
      <w:r w:rsidR="00DA61B1">
        <w:t xml:space="preserve"> More information is detailed in Supplementary </w:t>
      </w:r>
      <w:r w:rsidR="00AE6028">
        <w:t>Data</w:t>
      </w:r>
      <w:r w:rsidR="00DA61B1">
        <w:t xml:space="preserve"> 5.</w:t>
      </w:r>
      <w:r w:rsidRPr="00177CF7">
        <w:t xml:space="preserve"> </w:t>
      </w:r>
      <w:r w:rsidRPr="00177CF7">
        <w:rPr>
          <w:b/>
          <w:bCs/>
        </w:rPr>
        <w:t xml:space="preserve">c </w:t>
      </w:r>
      <w:r w:rsidRPr="00177CF7">
        <w:t xml:space="preserve">Factors associated with </w:t>
      </w:r>
      <w:proofErr w:type="spellStart"/>
      <w:r w:rsidRPr="00177CF7">
        <w:t>pQTLs</w:t>
      </w:r>
      <w:proofErr w:type="spellEnd"/>
      <w:r w:rsidRPr="00177CF7">
        <w:t xml:space="preserve"> that are shared across platforms compared to three sets of platform-specific controls. Odds ratios and 95%-confidence intervals for factors associated with cross-platform protein quantitative trait loci (</w:t>
      </w:r>
      <w:proofErr w:type="spellStart"/>
      <w:r w:rsidRPr="00177CF7">
        <w:t>pQTL</w:t>
      </w:r>
      <w:proofErr w:type="spellEnd"/>
      <w:r w:rsidRPr="00177CF7">
        <w:t xml:space="preserve">) across the </w:t>
      </w:r>
      <w:proofErr w:type="spellStart"/>
      <w:r w:rsidRPr="00177CF7">
        <w:t>SomaScan</w:t>
      </w:r>
      <w:proofErr w:type="spellEnd"/>
      <w:r w:rsidRPr="00177CF7">
        <w:t xml:space="preserve"> v4 and </w:t>
      </w:r>
      <w:proofErr w:type="spellStart"/>
      <w:r w:rsidRPr="00177CF7">
        <w:t>Olink</w:t>
      </w:r>
      <w:proofErr w:type="spellEnd"/>
      <w:r w:rsidRPr="00177CF7">
        <w:t xml:space="preserve"> assays</w:t>
      </w:r>
      <w:r w:rsidR="00084B2B">
        <w:t xml:space="preserve"> (Supplementary </w:t>
      </w:r>
      <w:r w:rsidR="00AE6028">
        <w:t>Data</w:t>
      </w:r>
      <w:r w:rsidR="00084B2B">
        <w:t xml:space="preserve"> </w:t>
      </w:r>
      <w:r w:rsidR="001E47F5">
        <w:t>9</w:t>
      </w:r>
      <w:r w:rsidR="00084B2B">
        <w:t>)</w:t>
      </w:r>
      <w:r w:rsidRPr="00177CF7">
        <w:t xml:space="preserve">. The panels are based on 540 variant – protein target pairs (306 shared, 234 platform-specific) with sufficient power for replication in the Fenland sample. PAV = protein altering variant; </w:t>
      </w:r>
      <w:proofErr w:type="spellStart"/>
      <w:r w:rsidRPr="00177CF7">
        <w:t>eQTL</w:t>
      </w:r>
      <w:proofErr w:type="spellEnd"/>
      <w:r w:rsidRPr="00177CF7">
        <w:t xml:space="preserve"> = expression quantitative trait loci; </w:t>
      </w:r>
      <w:proofErr w:type="spellStart"/>
      <w:r w:rsidRPr="00177CF7">
        <w:t>Coloc</w:t>
      </w:r>
      <w:proofErr w:type="spellEnd"/>
      <w:r w:rsidRPr="00177CF7">
        <w:t xml:space="preserve">. = </w:t>
      </w:r>
      <w:proofErr w:type="spellStart"/>
      <w:r w:rsidRPr="00177CF7">
        <w:t>colocalisation</w:t>
      </w:r>
      <w:proofErr w:type="spellEnd"/>
      <w:r w:rsidRPr="00177CF7">
        <w:t xml:space="preserve">; GWAS = genome-wide association analysis </w:t>
      </w:r>
      <w:r w:rsidRPr="00177CF7">
        <w:rPr>
          <w:b/>
          <w:bCs/>
        </w:rPr>
        <w:t>d</w:t>
      </w:r>
      <w:r w:rsidRPr="00177CF7">
        <w:t xml:space="preserve"> Spearman correlation coefficients stratified by genotype. The first bar in each column indicates the overall correlation, and the three successive bars indicate the correlation among homozygous carriers of the major allele, heterozygous carriers, and homozygous carriers of the minor allele (if any). Colours indicate whether the </w:t>
      </w:r>
      <w:proofErr w:type="spellStart"/>
      <w:r w:rsidRPr="00177CF7">
        <w:t>pQTL</w:t>
      </w:r>
      <w:proofErr w:type="spellEnd"/>
      <w:r w:rsidRPr="00177CF7">
        <w:t xml:space="preserve"> was in cis (orange) or trans (blue). Protein target – </w:t>
      </w:r>
      <w:proofErr w:type="spellStart"/>
      <w:r w:rsidRPr="00177CF7">
        <w:t>pQTL</w:t>
      </w:r>
      <w:proofErr w:type="spellEnd"/>
      <w:r w:rsidRPr="00177CF7">
        <w:t xml:space="preserve"> pairs were selected based on a linear regression model (see Main text).</w:t>
      </w:r>
      <w:r w:rsidR="00DE7872">
        <w:t xml:space="preserve"> </w:t>
      </w:r>
      <w:r w:rsidR="00DE7872" w:rsidRPr="00DE7872">
        <w:t>Source data are provided as a Source Data file.</w:t>
      </w:r>
    </w:p>
    <w:p w14:paraId="754983A6" w14:textId="02668974" w:rsidR="002E60F9" w:rsidRPr="00177CF7" w:rsidRDefault="002E60F9" w:rsidP="008E1923">
      <w:pPr>
        <w:jc w:val="both"/>
        <w:rPr>
          <w:b/>
          <w:bCs/>
        </w:rPr>
      </w:pPr>
      <w:r w:rsidRPr="00177CF7">
        <w:rPr>
          <w:b/>
          <w:bCs/>
        </w:rPr>
        <w:lastRenderedPageBreak/>
        <w:t xml:space="preserve">Figure 4 A genetically anchored protein – phenotype network. </w:t>
      </w:r>
      <w:r w:rsidRPr="00177CF7">
        <w:t>Each node is either a protein target (square) or a phenotype (circle) and a connection was drawn between both if the protein target shares a genetic signal (posterior probability (PP) &gt; 80%) with the phenotype within a ±500kb region around the protein encoding gene</w:t>
      </w:r>
      <w:r w:rsidR="00A44CC8">
        <w:t xml:space="preserve"> (Supplementary </w:t>
      </w:r>
      <w:r w:rsidR="00AE6028">
        <w:t>Data</w:t>
      </w:r>
      <w:r w:rsidR="00A44CC8">
        <w:t xml:space="preserve"> 1</w:t>
      </w:r>
      <w:r w:rsidR="00AE6028">
        <w:t>1</w:t>
      </w:r>
      <w:r w:rsidR="00A44CC8">
        <w:t>)</w:t>
      </w:r>
      <w:r w:rsidRPr="00177CF7">
        <w:t xml:space="preserve">. Colours indicate whether the shared signal was identified using the </w:t>
      </w:r>
      <w:proofErr w:type="spellStart"/>
      <w:r w:rsidRPr="00177CF7">
        <w:t>SomaScan</w:t>
      </w:r>
      <w:proofErr w:type="spellEnd"/>
      <w:r w:rsidRPr="00177CF7">
        <w:t xml:space="preserve"> (cyan) or the </w:t>
      </w:r>
      <w:proofErr w:type="spellStart"/>
      <w:r w:rsidRPr="00177CF7">
        <w:t>Olink</w:t>
      </w:r>
      <w:proofErr w:type="spellEnd"/>
      <w:r w:rsidRPr="00177CF7">
        <w:t xml:space="preserve"> assay (orange). Protein-phenotype connections consistent between both platforms are indicated by two lines connecting the protein and the phenotype. Solid lines indicate a positive association of the shared genetic variant with the phenotype aligned to the protein-increasing allele. The inset highlights selected subnetworks for which both proteomic techniques provide complementary information.</w:t>
      </w:r>
    </w:p>
    <w:p w14:paraId="037B3D3E" w14:textId="7B8052D7" w:rsidR="007607C5" w:rsidRPr="00177CF7" w:rsidRDefault="006F5388" w:rsidP="008E1923">
      <w:pPr>
        <w:jc w:val="both"/>
      </w:pPr>
      <w:r w:rsidRPr="00177CF7">
        <w:rPr>
          <w:b/>
        </w:rPr>
        <w:t xml:space="preserve">Figure 5 </w:t>
      </w:r>
      <w:r w:rsidR="007607C5" w:rsidRPr="00177CF7">
        <w:rPr>
          <w:b/>
          <w:bCs/>
        </w:rPr>
        <w:t xml:space="preserve">Regional association plots for the </w:t>
      </w:r>
      <w:r w:rsidR="007607C5" w:rsidRPr="00177CF7">
        <w:rPr>
          <w:b/>
          <w:bCs/>
          <w:i/>
          <w:iCs/>
        </w:rPr>
        <w:t>PILRA</w:t>
      </w:r>
      <w:r w:rsidR="007607C5" w:rsidRPr="00177CF7">
        <w:rPr>
          <w:b/>
          <w:bCs/>
        </w:rPr>
        <w:t xml:space="preserve"> and </w:t>
      </w:r>
      <w:r w:rsidR="007607C5" w:rsidRPr="00177CF7">
        <w:rPr>
          <w:b/>
          <w:bCs/>
          <w:i/>
          <w:iCs/>
        </w:rPr>
        <w:t>GDF15</w:t>
      </w:r>
      <w:r w:rsidR="007607C5" w:rsidRPr="00177CF7">
        <w:rPr>
          <w:b/>
          <w:bCs/>
        </w:rPr>
        <w:t xml:space="preserve"> locus.</w:t>
      </w:r>
      <w:r w:rsidR="007607C5" w:rsidRPr="00177CF7">
        <w:t xml:space="preserve">  </w:t>
      </w:r>
      <w:r w:rsidRPr="00177CF7">
        <w:rPr>
          <w:b/>
        </w:rPr>
        <w:t>a</w:t>
      </w:r>
      <w:r w:rsidR="001A2958" w:rsidRPr="00177CF7">
        <w:rPr>
          <w:b/>
        </w:rPr>
        <w:t xml:space="preserve"> </w:t>
      </w:r>
      <w:proofErr w:type="gramStart"/>
      <w:r w:rsidR="001A2958" w:rsidRPr="00177CF7">
        <w:rPr>
          <w:rFonts w:cs="Times New Roman"/>
          <w:lang w:eastAsia="en-US"/>
        </w:rPr>
        <w:t>Regional</w:t>
      </w:r>
      <w:proofErr w:type="gramEnd"/>
      <w:r w:rsidR="001A2958" w:rsidRPr="00177CF7">
        <w:rPr>
          <w:rFonts w:cs="Times New Roman"/>
          <w:lang w:eastAsia="en-US"/>
        </w:rPr>
        <w:t xml:space="preserve"> association plots for </w:t>
      </w:r>
      <w:r w:rsidR="00E23F10" w:rsidRPr="00177CF7">
        <w:rPr>
          <w:rFonts w:cs="Times New Roman"/>
          <w:lang w:eastAsia="en-US"/>
        </w:rPr>
        <w:t>p</w:t>
      </w:r>
      <w:r w:rsidR="001A2958" w:rsidRPr="00177CF7">
        <w:rPr>
          <w:rFonts w:cs="Times New Roman"/>
          <w:lang w:eastAsia="en-US"/>
        </w:rPr>
        <w:t>aired immunoglobulin-like type 2 receptor alpha</w:t>
      </w:r>
      <w:r w:rsidR="00E23F10" w:rsidRPr="00177CF7">
        <w:rPr>
          <w:rFonts w:cs="Times New Roman"/>
          <w:lang w:eastAsia="en-US"/>
        </w:rPr>
        <w:t xml:space="preserve"> (PILR</w:t>
      </w:r>
      <w:r w:rsidR="00E23F10" w:rsidRPr="00177CF7">
        <w:rPr>
          <w:lang w:eastAsia="en-US"/>
        </w:rPr>
        <w:t>α</w:t>
      </w:r>
      <w:r w:rsidR="00E23F10" w:rsidRPr="00177CF7">
        <w:rPr>
          <w:rFonts w:cs="Times New Roman"/>
          <w:lang w:eastAsia="en-US"/>
        </w:rPr>
        <w:t>)</w:t>
      </w:r>
      <w:r w:rsidR="001A2958" w:rsidRPr="00177CF7">
        <w:rPr>
          <w:rFonts w:cs="Times New Roman"/>
          <w:lang w:eastAsia="en-US"/>
        </w:rPr>
        <w:t xml:space="preserve"> measured by </w:t>
      </w:r>
      <w:proofErr w:type="spellStart"/>
      <w:r w:rsidR="001A2958" w:rsidRPr="00177CF7">
        <w:rPr>
          <w:rFonts w:cs="Times New Roman"/>
          <w:lang w:eastAsia="en-US"/>
        </w:rPr>
        <w:t>SomaScan</w:t>
      </w:r>
      <w:proofErr w:type="spellEnd"/>
      <w:r w:rsidR="001A2958" w:rsidRPr="00177CF7">
        <w:rPr>
          <w:rFonts w:cs="Times New Roman"/>
          <w:lang w:eastAsia="en-US"/>
        </w:rPr>
        <w:t xml:space="preserve"> (top rows) and </w:t>
      </w:r>
      <w:proofErr w:type="spellStart"/>
      <w:r w:rsidR="001A2958" w:rsidRPr="00177CF7">
        <w:rPr>
          <w:rFonts w:cs="Times New Roman"/>
          <w:lang w:eastAsia="en-US"/>
        </w:rPr>
        <w:t>Olink</w:t>
      </w:r>
      <w:proofErr w:type="spellEnd"/>
      <w:r w:rsidR="001A2958" w:rsidRPr="00177CF7">
        <w:rPr>
          <w:rFonts w:cs="Times New Roman"/>
          <w:lang w:eastAsia="en-US"/>
        </w:rPr>
        <w:t>, as well as for Alzheimer</w:t>
      </w:r>
      <w:r w:rsidR="00E23F10" w:rsidRPr="00177CF7">
        <w:rPr>
          <w:rFonts w:cs="Times New Roman"/>
          <w:lang w:eastAsia="en-US"/>
        </w:rPr>
        <w:t>’</w:t>
      </w:r>
      <w:r w:rsidR="001A2958" w:rsidRPr="00177CF7">
        <w:rPr>
          <w:rFonts w:cs="Times New Roman"/>
          <w:lang w:eastAsia="en-US"/>
        </w:rPr>
        <w:t xml:space="preserve">s disease centred around a </w:t>
      </w:r>
      <w:r w:rsidR="001E418E" w:rsidRPr="00177CF7">
        <w:rPr>
          <w:rFonts w:cs="Times New Roman"/>
          <w:lang w:eastAsia="en-US"/>
        </w:rPr>
        <w:t>colocalising</w:t>
      </w:r>
      <w:r w:rsidR="001A2958" w:rsidRPr="00177CF7">
        <w:rPr>
          <w:rFonts w:cs="Times New Roman"/>
          <w:lang w:eastAsia="en-US"/>
        </w:rPr>
        <w:t xml:space="preserve"> signal for the missense variant rs1859788 </w:t>
      </w:r>
      <w:r w:rsidR="001E418E" w:rsidRPr="00177CF7">
        <w:rPr>
          <w:rFonts w:cs="Times New Roman"/>
          <w:lang w:eastAsia="en-US"/>
        </w:rPr>
        <w:t>within</w:t>
      </w:r>
      <w:r w:rsidR="001A2958" w:rsidRPr="00177CF7">
        <w:rPr>
          <w:rFonts w:cs="Times New Roman"/>
          <w:lang w:eastAsia="en-US"/>
        </w:rPr>
        <w:t xml:space="preserve"> </w:t>
      </w:r>
      <w:r w:rsidR="001A2958" w:rsidRPr="00177CF7">
        <w:rPr>
          <w:rFonts w:cs="Times New Roman"/>
          <w:i/>
          <w:iCs/>
          <w:lang w:eastAsia="en-US"/>
        </w:rPr>
        <w:t>PILRA</w:t>
      </w:r>
      <w:r w:rsidR="001A2958" w:rsidRPr="00177CF7">
        <w:rPr>
          <w:rFonts w:cs="Times New Roman"/>
          <w:lang w:eastAsia="en-US"/>
        </w:rPr>
        <w:t xml:space="preserve"> (p.G78R). Colours indicate direction of effect for the A-allele of rs1859788 on the respective trait (blue – inverse, red - positive) and shading indicates linkage disequilibrium (</w:t>
      </w:r>
      <w:r w:rsidR="007607C5" w:rsidRPr="00177CF7">
        <w:rPr>
          <w:rFonts w:cs="Times New Roman"/>
          <w:lang w:eastAsia="en-US"/>
        </w:rPr>
        <w:t>r</w:t>
      </w:r>
      <w:r w:rsidR="001A2958" w:rsidRPr="00177CF7">
        <w:rPr>
          <w:rFonts w:cs="Times New Roman"/>
          <w:vertAlign w:val="superscript"/>
          <w:lang w:eastAsia="en-US"/>
        </w:rPr>
        <w:t>2</w:t>
      </w:r>
      <w:r w:rsidR="001A2958" w:rsidRPr="00177CF7">
        <w:rPr>
          <w:rFonts w:cs="Times New Roman"/>
          <w:lang w:eastAsia="en-US"/>
        </w:rPr>
        <w:t>) with the lead variant at the locus. The red line in the gene panel indicates the position of the variant. P-values for protein measures were derived from genome-wide association analysis</w:t>
      </w:r>
      <w:r w:rsidR="00DA47B1">
        <w:rPr>
          <w:rFonts w:cs="Times New Roman"/>
          <w:lang w:eastAsia="en-US"/>
        </w:rPr>
        <w:t xml:space="preserve"> (linear regression models)</w:t>
      </w:r>
      <w:r w:rsidR="001A2958" w:rsidRPr="00177CF7">
        <w:rPr>
          <w:rFonts w:cs="Times New Roman"/>
          <w:lang w:eastAsia="en-US"/>
        </w:rPr>
        <w:t xml:space="preserve"> from the Fenland cohort as described in the main text, whereas summary statistics for Alzheimer’s disease were obtained from Jansen et al. 2019</w:t>
      </w:r>
      <w:r w:rsidR="001A2958" w:rsidRPr="00177CF7">
        <w:rPr>
          <w:rFonts w:cs="Times New Roman"/>
          <w:lang w:eastAsia="en-US"/>
        </w:rPr>
        <w:fldChar w:fldCharType="begin" w:fldLock="1"/>
      </w:r>
      <w:r w:rsidR="007212AD">
        <w:rPr>
          <w:rFonts w:cs="Times New Roman"/>
          <w:lang w:eastAsia="en-US"/>
        </w:rPr>
        <w:instrText>ADDIN CSL_CITATION {"citationItems":[{"id":"ITEM-1","itemData":{"DOI":"10.1038/s41588-018-0311-9","ISSN":"15461718","PMID":"30617256","abstract":"Alzheimer’s disease (AD) is highly heritable and recent studies have identified over 20 disease-associated genomic loci. Yet these only explain a small proportion of the genetic variance, indicating that undiscovered loci remain. Here, we performed a large genome-wide association study of clinically diagnosed AD and AD-by-proxy (71,880 cases, 383,378 controls). AD-by-proxy, based on parental diagnoses, showed strong genetic correlation with AD (rg = 0.81). Meta-analysis identified 29 risk loci, implicating 215 potential causative genes. Associated genes are strongly expressed in immune-related tissues and cell types (spleen, liver, and microglia). Gene-set analyses indicate biological mechanisms involved in lipid-related processes and degradation of amyloid precursor proteins. We show strong genetic correlations with multiple health-related outcomes, and Mendelian randomization results suggest a protective effect of cognitive ability on AD risk. These results are a step forward in identifying the genetic factors that contribute to AD risk and add novel insights into the neurobiology of AD.","author":[{"dropping-particle":"","family":"Jansen","given":"Iris E","non-dropping-particle":"","parse-names":false,"suffix":""},{"dropping-particle":"","family":"Savage","given":"Jeanne E","non-dropping-particle":"","parse-names":false,"suffix":""},{"dropping-particle":"","family":"Watanabe","given":"Kyoko","non-dropping-particle":"","parse-names":false,"suffix":""},{"dropping-particle":"","family":"Bryois","given":"Julien","non-dropping-particle":"","parse-names":false,"suffix":""},{"dropping-particle":"","family":"Williams","given":"Dylan M","non-dropping-particle":"","parse-names":false,"suffix":""},{"dropping-particle":"","family":"Steinberg","given":"Stacy","non-dropping-particle":"","parse-names":false,"suffix":""},{"dropping-particle":"","family":"Sealock","given":"Julia","non-dropping-particle":"","parse-names":false,"suffix":""},{"dropping-particle":"","family":"Karlsson","given":"Ida K","non-dropping-particle":"","parse-names":false,"suffix":""},{"dropping-particle":"","family":"Hägg","given":"Sara","non-dropping-particle":"","parse-names":false,"suffix":""},{"dropping-particle":"","family":"Athanasiu","given":"Lavinia","non-dropping-particle":"","parse-names":false,"suffix":""},{"dropping-particle":"","family":"Voyle","given":"Nicola","non-dropping-particle":"","parse-names":false,"suffix":""},{"dropping-particle":"","family":"Proitsi","given":"Petroula","non-dropping-particle":"","parse-names":false,"suffix":""},{"dropping-particle":"","family":"Witoelar","given":"Aree","non-dropping-particle":"","parse-names":false,"suffix":""},{"dropping-particle":"","family":"Stringer","given":"Sven","non-dropping-particle":"","parse-names":false,"suffix":""},{"dropping-particle":"","family":"Aarsland","given":"Dag","non-dropping-particle":"","parse-names":false,"suffix":""},{"dropping-particle":"","family":"Almdahl","given":"Ina S.","non-dropping-particle":"","parse-names":false,"suffix":""},{"dropping-particle":"","family":"Andersen","given":"Fred","non-dropping-particle":"","parse-names":false,"suffix":""},{"dropping-particle":"","family":"Bergh","given":"Sverre","non-dropping-particle":"","parse-names":false,"suffix":""},{"dropping-particle":"","family":"Bettella","given":"Francesco","non-dropping-particle":"","parse-names":false,"suffix":""},{"dropping-particle":"","family":"Bjornsson","given":"Sigurbjorn","non-dropping-particle":"","parse-names":false,"suffix":""},{"dropping-particle":"","family":"Brækhus","given":"Anne","non-dropping-particle":"","parse-names":false,"suffix":""},{"dropping-particle":"","family":"Bråthen","given":"Geir","non-dropping-particle":"","parse-names":false,"suffix":""},{"dropping-particle":"","family":"Leeuw","given":"Christiaan","non-dropping-particle":"de","parse-names":false,"suffix":""},{"dropping-particle":"","family":"Desikan","given":"Rahul S.","non-dropping-particle":"","parse-names":false,"suffix":""},{"dropping-particle":"","family":"Djurovic","given":"Srdjan","non-dropping-particle":"","parse-names":false,"suffix":""},{"dropping-particle":"","family":"Dumitrescu","given":"Logan","non-dropping-particle":"","parse-names":false,"suffix":""},{"dropping-particle":"","family":"Fladby","given":"Tormod","non-dropping-particle":"","parse-names":false,"suffix":""},{"dropping-particle":"","family":"Hohman","given":"Timothy J.","non-dropping-particle":"","parse-names":false,"suffix":""},{"dropping-particle":"V.","family":"Jonsson","given":"Palmi","non-dropping-particle":"","parse-names":false,"suffix":""},{"dropping-particle":"","family":"Kiddle","given":"Steven J.","non-dropping-particle":"","parse-names":false,"suffix":""},{"dropping-particle":"","family":"Rongve","given":"Arvid","non-dropping-particle":"","parse-names":false,"suffix":""},{"dropping-particle":"","family":"Saltvedt","given":"Ingvild","non-dropping-particle":"","parse-names":false,"suffix":""},{"dropping-particle":"","family":"Sando","given":"Sigrid B.","non-dropping-particle":"","parse-names":false,"suffix":""},{"dropping-particle":"","family":"Selbæk","given":"Geir","non-dropping-particle":"","parse-names":false,"suffix":""},{"dropping-particle":"","family":"Shoai","given":"Maryam","non-dropping-particle":"","parse-names":false,"suffix":""},{"dropping-particle":"","family":"Skene","given":"Nathan G.","non-dropping-particle":"","parse-names":false,"suffix":""},{"dropping-particle":"","family":"Snaedal","given":"Jon","non-dropping-particle":"","parse-names":false,"suffix":""},{"dropping-particle":"","family":"Stordal","given":"Eystein","non-dropping-particle":"","parse-names":false,"suffix":""},{"dropping-particle":"","family":"Ulstein","given":"Ingun D.","non-dropping-particle":"","parse-names":false,"suffix":""},{"dropping-particle":"","family":"Wang","given":"Yunpeng","non-dropping-particle":"","parse-names":false,"suffix":""},{"dropping-particle":"","family":"White","given":"Linda R.","non-dropping-particle":"","parse-names":false,"suffix":""},{"dropping-particle":"","family":"Hardy","given":"John","non-dropping-particle":"","parse-names":false,"suffix":""},{"dropping-particle":"","family":"Hjerling-Leffler","given":"Jens","non-dropping-particle":"","parse-names":false,"suffix":""},{"dropping-particle":"","family":"Sullivan","given":"Patrick F.","non-dropping-particle":"","parse-names":false,"suffix":""},{"dropping-particle":"","family":"Flier","given":"Wiesje M.","non-dropping-particle":"van der","parse-names":false,"suffix":""},{"dropping-particle":"","family":"Dobson","given":"Richard","non-dropping-particle":"","parse-names":false,"suffix":""},{"dropping-particle":"","family":"Davis","given":"Lea K.","non-dropping-particle":"","parse-names":false,"suffix":""},{"dropping-particle":"","family":"Stefansson","given":"Hreinn","non-dropping-particle":"","parse-names":false,"suffix":""},{"dropping-particle":"","family":"Stefansson","given":"Kari","non-dropping-particle":"","parse-names":false,"suffix":""},{"dropping-particle":"","family":"Pedersen","given":"Nancy L","non-dropping-particle":"","parse-names":false,"suffix":""},{"dropping-particle":"","family":"Ripke","given":"Stephan","non-dropping-particle":"","parse-names":false,"suffix":""},{"dropping-particle":"","family":"Andreassen","given":"Ole A","non-dropping-particle":"","parse-names":false,"suffix":""},{"dropping-particle":"","family":"Posthuma","given":"Danielle","non-dropping-particle":"","parse-names":false,"suffix":""}],"container-title":"Nature Genetics","id":"ITEM-1","issue":"3","issued":{"date-parts":[["2019"]]},"page":"404-413","title":"Genome-wide meta-analysis identifies new loci and functional pathways influencing Alzheimer’s disease risk","type":"article-journal","volume":"51"},"uris":["http://www.mendeley.com/documents/?uuid=99ceadf5-131f-36bd-a163-d449343f4028"]}],"mendeley":{"formattedCitation":"&lt;sup&gt;58&lt;/sup&gt;","plainTextFormattedCitation":"58","previouslyFormattedCitation":"&lt;sup&gt;58&lt;/sup&gt;"},"properties":{"noteIndex":0},"schema":"https://github.com/citation-style-language/schema/raw/master/csl-citation.json"}</w:instrText>
      </w:r>
      <w:r w:rsidR="001A2958" w:rsidRPr="00177CF7">
        <w:rPr>
          <w:rFonts w:cs="Times New Roman"/>
          <w:lang w:eastAsia="en-US"/>
        </w:rPr>
        <w:fldChar w:fldCharType="separate"/>
      </w:r>
      <w:r w:rsidR="00AB37AF" w:rsidRPr="00AB37AF">
        <w:rPr>
          <w:rFonts w:cs="Times New Roman"/>
          <w:noProof/>
          <w:vertAlign w:val="superscript"/>
          <w:lang w:eastAsia="en-US"/>
        </w:rPr>
        <w:t>58</w:t>
      </w:r>
      <w:r w:rsidR="001A2958" w:rsidRPr="00177CF7">
        <w:rPr>
          <w:rFonts w:cs="Times New Roman"/>
          <w:lang w:eastAsia="en-US"/>
        </w:rPr>
        <w:fldChar w:fldCharType="end"/>
      </w:r>
      <w:r w:rsidR="00655DF3" w:rsidRPr="00177CF7">
        <w:rPr>
          <w:rFonts w:cs="Times New Roman"/>
          <w:lang w:eastAsia="en-US"/>
        </w:rPr>
        <w:t>. The scheme on the right dis</w:t>
      </w:r>
      <w:r w:rsidR="00C76EF2" w:rsidRPr="00177CF7">
        <w:rPr>
          <w:rFonts w:cs="Times New Roman"/>
          <w:lang w:eastAsia="en-US"/>
        </w:rPr>
        <w:t>plays a possible mechanism by which the</w:t>
      </w:r>
      <w:r w:rsidR="001C7A6A" w:rsidRPr="00177CF7">
        <w:rPr>
          <w:rFonts w:cs="Times New Roman"/>
          <w:lang w:eastAsia="en-US"/>
        </w:rPr>
        <w:t xml:space="preserve"> p.</w:t>
      </w:r>
      <w:r w:rsidR="00E416AB" w:rsidRPr="00177CF7">
        <w:rPr>
          <w:rFonts w:cs="Times New Roman"/>
          <w:lang w:eastAsia="en-US"/>
        </w:rPr>
        <w:t xml:space="preserve">G78R could lead to discordant results between </w:t>
      </w:r>
      <w:proofErr w:type="spellStart"/>
      <w:r w:rsidR="00E416AB" w:rsidRPr="00177CF7">
        <w:rPr>
          <w:rFonts w:cs="Times New Roman"/>
          <w:lang w:eastAsia="en-US"/>
        </w:rPr>
        <w:t>SomaLogic</w:t>
      </w:r>
      <w:proofErr w:type="spellEnd"/>
      <w:r w:rsidR="00E416AB" w:rsidRPr="00177CF7">
        <w:rPr>
          <w:rFonts w:cs="Times New Roman"/>
          <w:lang w:eastAsia="en-US"/>
        </w:rPr>
        <w:t xml:space="preserve"> and </w:t>
      </w:r>
      <w:proofErr w:type="spellStart"/>
      <w:r w:rsidR="00E416AB" w:rsidRPr="00177CF7">
        <w:rPr>
          <w:rFonts w:cs="Times New Roman"/>
          <w:lang w:eastAsia="en-US"/>
        </w:rPr>
        <w:t>Olink</w:t>
      </w:r>
      <w:proofErr w:type="spellEnd"/>
      <w:r w:rsidR="001A2958" w:rsidRPr="00177CF7">
        <w:rPr>
          <w:rFonts w:cs="Times New Roman"/>
          <w:lang w:eastAsia="en-US"/>
        </w:rPr>
        <w:t xml:space="preserve">. </w:t>
      </w:r>
      <w:r w:rsidR="007607C5" w:rsidRPr="00177CF7">
        <w:rPr>
          <w:rFonts w:cs="Times New Roman"/>
          <w:b/>
          <w:bCs/>
          <w:lang w:eastAsia="en-US"/>
        </w:rPr>
        <w:t>b</w:t>
      </w:r>
      <w:r w:rsidR="001A2958" w:rsidRPr="00177CF7">
        <w:rPr>
          <w:rFonts w:cs="Times New Roman"/>
          <w:lang w:eastAsia="en-US"/>
        </w:rPr>
        <w:t xml:space="preserve"> </w:t>
      </w:r>
      <w:r w:rsidR="007607C5" w:rsidRPr="00177CF7">
        <w:t xml:space="preserve">Each panel shows summary statistics (p-values) from genetic association studies for coffee intake, comparative body size at age 10, and growth-differentiation factor 15 (GDF-15) measured by </w:t>
      </w:r>
      <w:proofErr w:type="spellStart"/>
      <w:r w:rsidR="007607C5" w:rsidRPr="00177CF7">
        <w:t>Olink</w:t>
      </w:r>
      <w:proofErr w:type="spellEnd"/>
      <w:r w:rsidR="007607C5" w:rsidRPr="00177CF7">
        <w:t xml:space="preserve"> and </w:t>
      </w:r>
      <w:proofErr w:type="spellStart"/>
      <w:r w:rsidR="007607C5" w:rsidRPr="00177CF7">
        <w:t>SomaScan</w:t>
      </w:r>
      <w:proofErr w:type="spellEnd"/>
      <w:r w:rsidR="007607C5" w:rsidRPr="00177CF7">
        <w:t xml:space="preserve">. The lead genetic variant for each assay as well as variants in high linkage disequilibrium are highlighted by colours (blue – </w:t>
      </w:r>
      <w:proofErr w:type="spellStart"/>
      <w:r w:rsidR="007607C5" w:rsidRPr="00177CF7">
        <w:t>SomaScan</w:t>
      </w:r>
      <w:proofErr w:type="spellEnd"/>
      <w:r w:rsidR="007607C5" w:rsidRPr="00177CF7">
        <w:t xml:space="preserve">, orange – </w:t>
      </w:r>
      <w:proofErr w:type="spellStart"/>
      <w:r w:rsidR="007607C5" w:rsidRPr="00177CF7">
        <w:t>Olink</w:t>
      </w:r>
      <w:proofErr w:type="spellEnd"/>
      <w:r w:rsidR="007607C5" w:rsidRPr="00177CF7">
        <w:t>). Summary statistics for phenotypes were obtained from the Open GWAS database (UK Biobank)</w:t>
      </w:r>
      <w:r w:rsidR="007607C5" w:rsidRPr="00177CF7">
        <w:fldChar w:fldCharType="begin" w:fldLock="1"/>
      </w:r>
      <w:r w:rsidR="007212AD">
        <w:instrText>ADDIN CSL_CITATION {"citationItems":[{"id":"ITEM-1","itemData":{"DOI":"10.1101/2020.08.10.244293","abstract":"Data generated by genome-wide association studies (GWAS) are growing fast with the linkage of biobank samples to health records, and expanding capture of high-dimensional molecular phenotypes. However the utility of these efforts can only be fully realised if their complete results are collected from their heterogeneous sources and formats, harmonised and made programmatically accessible. Here we present the OpenGWAS database, an open source, open access, scalable and high-performance cloud-based data infrastructure that imports and publishes complete GWAS summary datasets and metadata for the scientific community. Our import pipeline harmonises these datasets against dbSNP and the human genome reference sequence, generates summary reports and standardises the format of results and metadata. Users can access the data via a website, an application programming interface, R and Python packages, and also as downloadable files that can be rapidly queried in high performance computing environments. OpenGWAS currently contains 126 billion genetic associations from 14,582 complete GWAS datasets representing a range of different human phenotypes and disease outcomes across different populations. We developed R and Python packages to serve as conduits between these GWAS data sources and a range of available analytical tools, enabling Mendelian randomization, genetic colocalisation analysis, fine mapping, genetic correlation and locus visualisation. OpenGWAS is freely accessible at ​ https://gwas.mrcieu.ac.uk​ , and has been designed to facilitate integration with third party analytical tools.","author":[{"dropping-particle":"","family":"Elsworth","given":"Ben","non-dropping-particle":"","parse-names":false,"suffix":""},{"dropping-particle":"","family":"Lyon","given":"Matthew","non-dropping-particle":"","parse-names":false,"suffix":""},{"dropping-particle":"","family":"Alexander","given":"Tessa","non-dropping-particle":"","parse-names":false,"suffix":""},{"dropping-particle":"","family":"Liu","given":"Yi","non-dropping-particle":"","parse-names":false,"suffix":""},{"dropping-particle":"","family":"Matthews","given":"Peter","non-dropping-particle":"","parse-names":false,"suffix":""},{"dropping-particle":"","family":"Hallett","given":"Jon","non-dropping-particle":"","parse-names":false,"suffix":""},{"dropping-particle":"","family":"Bates","given":"Phil","non-dropping-particle":"","parse-names":false,"suffix":""},{"dropping-particle":"","family":"Palmer","given":"Tom","non-dropping-particle":"","parse-names":false,"suffix":""},{"dropping-particle":"","family":"Haberland","given":"Valeriia","non-dropping-particle":"","parse-names":false,"suffix":""},{"dropping-particle":"","family":"Smith","given":"George Davey","non-dropping-particle":"","parse-names":false,"suffix":""},{"dropping-particle":"","family":"Zheng","given":"Jie","non-dropping-particle":"","parse-names":false,"suffix":""},{"dropping-particle":"","family":"Haycock","given":"Philip","non-dropping-particle":"","parse-names":false,"suffix":""},{"dropping-particle":"","family":"Gaunt","given":"Tom R","non-dropping-particle":"","parse-names":false,"suffix":""},{"dropping-particle":"","family":"Hemani","given":"Gibran","non-dropping-particle":"","parse-names":false,"suffix":""}],"container-title":"bioRxiv","id":"ITEM-1","issued":{"date-parts":[["2020"]]},"page":"2020.08.10.244293","title":"The MRC IEU OpenGWAS data infrastructure","type":"article-journal"},"uris":["http://www.mendeley.com/documents/?uuid=5a7de174-0d15-4bbd-b838-6e7b2827ef03"]}],"mendeley":{"formattedCitation":"&lt;sup&gt;55&lt;/sup&gt;","plainTextFormattedCitation":"55","previouslyFormattedCitation":"&lt;sup&gt;55&lt;/sup&gt;"},"properties":{"noteIndex":0},"schema":"https://github.com/citation-style-language/schema/raw/master/csl-citation.json"}</w:instrText>
      </w:r>
      <w:r w:rsidR="007607C5" w:rsidRPr="00177CF7">
        <w:fldChar w:fldCharType="separate"/>
      </w:r>
      <w:r w:rsidR="00AB37AF" w:rsidRPr="00AB37AF">
        <w:rPr>
          <w:noProof/>
          <w:vertAlign w:val="superscript"/>
        </w:rPr>
        <w:t>55</w:t>
      </w:r>
      <w:r w:rsidR="007607C5" w:rsidRPr="00177CF7">
        <w:fldChar w:fldCharType="end"/>
      </w:r>
      <w:r w:rsidR="007607C5" w:rsidRPr="00177CF7">
        <w:t xml:space="preserve"> and protein summary statistics for GDF-15 from</w:t>
      </w:r>
      <w:r w:rsidR="007607C5" w:rsidRPr="00177CF7">
        <w:fldChar w:fldCharType="begin" w:fldLock="1"/>
      </w:r>
      <w:r w:rsidR="007607C5" w:rsidRPr="00177CF7">
        <w:instrText>ADDIN CSL_CITATION {"citationItems":[{"id":"ITEM-1","itemData":{"DOI":"10.1038/s42255-020-00287-2","ISSN":"25225812","PMID":"33067605","abstract":"Circulating proteins are vital in human health and disease and are frequently used as biomarkers for clinical decision-making or as targets for pharmacological intervention. Here, we map and replicate protein quantitative trait loci (pQTL) for 90 cardiovascular proteins in over 30,000 individuals, resulting in 451 pQTLs for 85 proteins. For each protein, we further perform pathway mapping to obtain trans-pQTL gene and regulatory designations. We substantiate these regulatory findings with orthogonal evidence for trans-pQTLs using mouse knockdown experiments (ABCA1 and TRIB1) and clinical trial results (chemokine receptors CCR2 and CCR5), with consistent regulation. Finally, we evaluate known drug targets, and suggest new target candidates or repositioning opportunities using Mendelian randomization. This identifies 11 proteins with causal evidence of involvement in human disease that have not previously been targeted, including EGF, IL-16, PAPPA, SPON1, F3, ADM, CASP-8, CHI3L1, CXCL16, GDF15 and MMP-12. Taken together, these findings demonstrate the utility of large-scale mapping of the genetics of the proteome and provide a resource for future precision studies of circulating proteins in human health.","author":[{"dropping-particle":"","family":"Folkersen","given":"Lasse","non-dropping-particle":"","parse-names":false,"suffix":""},{"dropping-particle":"","family":"Gustafsson","given":"Stefan","non-dropping-particle":"","parse-names":false,"suffix":""},{"dropping-particle":"","family":"Wang","given":"Qin","non-dropping-particle":"","parse-names":false,"suffix":""},{"dropping-particle":"","family":"Hansen","given":"Daniel Hvidberg","non-dropping-particle":"","parse-names":false,"suffix":""},{"dropping-particle":"","family":"Hedman","given":"Åsa K.","non-dropping-particle":"","parse-names":false,"suffix":""},{"dropping-particle":"","family":"Schork","given":"Andrew","non-dropping-particle":"","parse-names":false,"suffix":""},{"dropping-particle":"","family":"Page","given":"Karen","non-dropping-particle":"","parse-names":false,"suffix":""},{"dropping-particle":"V.","family":"Zhernakova","given":"Daria","non-dropping-particle":"","parse-names":false,"suffix":""},{"dropping-particle":"","family":"Wu","given":"Yang","non-dropping-particle":"","parse-names":false,"suffix":""},{"dropping-particle":"","family":"Peters","given":"James","non-dropping-particle":"","parse-names":false,"suffix":""},{"dropping-particle":"","family":"Eriksson","given":"Niclas","non-dropping-particle":"","parse-names":false,"suffix":""},{"dropping-particle":"","family":"Bergen","given":"Sarah E.","non-dropping-particle":"","parse-names":false,"suffix":""},{"dropping-particle":"","family":"Boutin","given":"Thibaud S.","non-dropping-particle":"","parse-names":false,"suffix":""},{"dropping-particle":"","family":"Bretherick","given":"Andrew D.","non-dropping-particle":"","parse-names":false,"suffix":""},{"dropping-particle":"","family":"Enroth","given":"Stefan","non-dropping-particle":"","parse-names":false,"suffix":""},{"dropping-particle":"","family":"Kalnapenkis","given":"Anette","non-dropping-particle":"","parse-names":false,"suffix":""},{"dropping-particle":"","family":"Gådin","given":"Jesper R.","non-dropping-particle":"","parse-names":false,"suffix":""},{"dropping-particle":"","family":"Suur","given":"Bianca E.","non-dropping-particle":"","parse-names":false,"suffix":""},{"dropping-particle":"","family":"Chen","given":"Yan","non-dropping-particle":"","parse-names":false,"suffix":""},{"dropping-particle":"","family":"Matic","given":"Ljubica","non-dropping-particle":"","parse-names":false,"suffix":""},{"dropping-particle":"","family":"Gale","given":"Jeremy D.","non-dropping-particle":"","parse-names":false,"suffix":""},{"dropping-particle":"","family":"Lee","given":"Julie","non-dropping-particle":"","parse-names":false,"suffix":""},{"dropping-particle":"","family":"Zhang","given":"Weidong","non-dropping-particle":"","parse-names":false,"suffix":""},{"dropping-particle":"","family":"Quazi","given":"Amira","non-dropping-particle":"","parse-names":false,"suffix":""},{"dropping-particle":"","family":"Ala-Korpela","given":"Mika","non-dropping-particle":"","parse-names":false,"suffix":""},{"dropping-particle":"","family":"Choi","given":"Seung Hoan","non-dropping-particle":"","parse-names":false,"suffix":""},{"dropping-particle":"","family":"Claringbould","given":"Annique","non-dropping-particle":"","parse-names":false,"suffix":""},{"dropping-particle":"","family":"Danesh","given":"John","non-dropping-particle":"","parse-names":false,"suffix":""},{"dropping-particle":"","family":"Davey Smith","given":"George","non-dropping-particle":"","parse-names":false,"suffix":""},{"dropping-particle":"","family":"Masi","given":"Federico","non-dropping-particle":"de","parse-names":false,"suffix":""},{"dropping-particle":"","family":"Elmståhl","given":"Sölve","non-dropping-particle":"","parse-names":false,"suffix":""},{"dropping-particle":"","family":"Engström","given":"Gunnar","non-dropping-particle":"","parse-names":false,"suffix":""},{"dropping-particle":"","family":"Fauman","given":"Eric","non-dropping-particle":"","parse-names":false,"suffix":""},{"dropping-particle":"","family":"Fernandez","given":"Celine","non-dropping-particle":"","parse-names":false,"suffix":""},{"dropping-particle":"","family":"Franke","given":"Lude","non-dropping-particle":"","parse-names":false,"suffix":""},{"dropping-particle":"","family":"Franks","given":"Paul W.","non-dropping-particle":"","parse-names":false,"suffix":""},{"dropping-particle":"","family":"Giedraitis","given":"Vilmantas","non-dropping-particle":"","parse-names":false,"suffix":""},{"dropping-particle":"","family":"Haley","given":"Chris","non-dropping-particle":"","parse-names":false,"suffix":""},{"dropping-particle":"","family":"Hamsten","given":"Anders","non-dropping-particle":"","parse-names":false,"suffix":""},{"dropping-particle":"","family":"Ingason","given":"Andres","non-dropping-particle":"","parse-names":false,"suffix":""},{"dropping-particle":"","family":"Johansson","given":"Åsa","non-dropping-particle":"","parse-names":false,"suffix":""},{"dropping-particle":"","family":"Joshi","given":"Peter K.","non-dropping-particle":"","parse-names":false,"suffix":""},{"dropping-particle":"","family":"Lind","given":"Lars","non-dropping-particle":"","parse-names":false,"suffix":""},{"dropping-particle":"","family":"Lindgren","given":"Cecilia M.","non-dropping-particle":"","parse-names":false,"suffix":""},{"dropping-particle":"","family":"Lubitz","given":"Steven","non-dropping-particle":"","parse-names":false,"suffix":""},{"dropping-particle":"","family":"Palmer","given":"Tom","non-dropping-particle":"","parse-names":false,"suffix":""},{"dropping-particle":"","family":"Macdonald-Dunlop","given":"Erin","non-dropping-particle":"","parse-names":false,"suffix":""},{"dropping-particle":"","family":"Magnusson","given":"Martin","non-dropping-particle":"","parse-names":false,"suffix":""},{"dropping-particle":"","family":"Melander","given":"Olle","non-dropping-particle":"","parse-names":false,"suffix":""},{"dropping-particle":"","family":"Michaelsson","given":"Karl","non-dropping-particle":"","parse-names":false,"suffix":""},{"dropping-particle":"","family":"Morris","given":"Andrew P.","non-dropping-particle":"","parse-names":false,"suffix":""},{"dropping-particle":"","family":"Mägi","given":"Reedik","non-dropping-particle":"","parse-names":false,"suffix":""},{"dropping-particle":"","family":"Nagle","given":"Michael W.","non-dropping-particle":"","parse-names":false,"suffix":""},{"dropping-particle":"","family":"Nilsson","given":"Peter M.","non-dropping-particle":"","parse-names":false,"suffix":""},{"dropping-particle":"","family":"Nilsson","given":"Jan","non-dropping-particle":"","parse-names":false,"suffix":""},{"dropping-particle":"","family":"Orho-Melander","given":"Marju","non-dropping-particle":"","parse-names":false,"suffix":""},{"dropping-particle":"","family":"Polasek","given":"Ozren","non-dropping-particle":"","parse-names":false,"suffix":""},{"dropping-particle":"","family":"Prins","given":"Bram","non-dropping-particle":"","parse-names":false,"suffix":""},{"dropping-particle":"","family":"Pålsson","given":"Erik","non-dropping-particle":"","parse-names":false,"suffix":""},{"dropping-particle":"","family":"Qi","given":"Ting","non-dropping-particle":"","parse-names":false,"suffix":""},{"dropping-particle":"","family":"Sjögren","given":"Marketa","non-dropping-particle":"","parse-names":false,"suffix":""},{"dropping-particle":"","family":"Sundström","given":"Johan","non-dropping-particle":"","parse-names":false,"suffix":""},{"dropping-particle":"","family":"Surendran","given":"Praveen","non-dropping-particle":"","parse-names":false,"suffix":""},{"dropping-particle":"","family":"Võsa","given":"Urmo","non-dropping-particle":"","parse-names":false,"suffix":""},{"dropping-particle":"","family":"Werge","given":"Thomas","non-dropping-particle":"","parse-names":false,"suffix":""},{"dropping-particle":"","family":"Wernersson","given":"Rasmus","non-dropping-particle":"","parse-names":false,"suffix":""},{"dropping-particle":"","family":"Westra","given":"Harm Jan","non-dropping-particle":"","parse-names":false,"suffix":""},{"dropping-particle":"","family":"Yang","given":"Jian","non-dropping-particle":"","parse-names":false,"suffix":""},{"dropping-particle":"","family":"Zhernakova","given":"Alexandra","non-dropping-particle":"","parse-names":false,"suffix":""},{"dropping-particle":"","family":"Ärnlöv","given":"Johan","non-dropping-particle":"","parse-names":false,"suffix":""},{"dropping-particle":"","family":"Fu","given":"Jingyuan","non-dropping-particle":"","parse-names":false,"suffix":""},{"dropping-particle":"","family":"Smith","given":"J. Gustav","non-dropping-particle":"","parse-names":false,"suffix":""},{"dropping-particle":"","family":"Esko","given":"Tõnu","non-dropping-particle":"","parse-names":false,"suffix":""},{"dropping-particle":"","family":"Hayward","given":"Caroline","non-dropping-particle":"","parse-names":false,"suffix":""},{"dropping-particle":"","family":"Gyllensten","given":"Ulf","non-dropping-particle":"","parse-names":false,"suffix":""},{"dropping-particle":"","family":"Landen","given":"Mikael","non-dropping-particle":"","parse-names":false,"suffix":""},{"dropping-particle":"","family":"Siegbahn","given":"Agneta","non-dropping-particle":"","parse-names":false,"suffix":""},{"dropping-particle":"","family":"Wilson","given":"James F.","non-dropping-particle":"","parse-names":false,"suffix":""},{"dropping-particle":"","family":"Wallentin","given":"Lars","non-dropping-particle":"","parse-names":false,"suffix":""},{"dropping-particle":"","family":"Butterworth","given":"Adam S.","non-dropping-particle":"","parse-names":false,"suffix":""},{"dropping-particle":"V.","family":"Holmes","given":"Michael","non-dropping-particle":"","parse-names":false,"suffix":""},{"dropping-particle":"","family":"Ingelsson","given":"Erik","non-dropping-particle":"","parse-names":false,"suffix":""},{"dropping-particle":"","family":"Mälarstig","given":"Anders","non-dropping-particle":"","parse-names":false,"suffix":""}],"container-title":"Nature Metabolism","id":"ITEM-1","issue":"10","issued":{"date-parts":[["2020"]]},"page":"1135-1148","publisher":"Springer US","title":"Genomic and drug target evaluation of 90 cardiovascular proteins in 30,931 individuals","type":"article-journal","volume":"2"},"uris":["http://www.mendeley.com/documents/?uuid=e356e314-e447-4315-93b5-17b6100ac034"]}],"mendeley":{"formattedCitation":"&lt;sup&gt;8&lt;/sup&gt;","plainTextFormattedCitation":"8","previouslyFormattedCitation":"&lt;sup&gt;8&lt;/sup&gt;"},"properties":{"noteIndex":0},"schema":"https://github.com/citation-style-language/schema/raw/master/csl-citation.json"}</w:instrText>
      </w:r>
      <w:r w:rsidR="007607C5" w:rsidRPr="00177CF7">
        <w:fldChar w:fldCharType="separate"/>
      </w:r>
      <w:r w:rsidR="007607C5" w:rsidRPr="00177CF7">
        <w:rPr>
          <w:noProof/>
          <w:vertAlign w:val="superscript"/>
        </w:rPr>
        <w:t>8</w:t>
      </w:r>
      <w:r w:rsidR="007607C5" w:rsidRPr="00177CF7">
        <w:fldChar w:fldCharType="end"/>
      </w:r>
      <w:r w:rsidR="007607C5" w:rsidRPr="00177CF7">
        <w:t xml:space="preserve"> for </w:t>
      </w:r>
      <w:proofErr w:type="spellStart"/>
      <w:r w:rsidR="007607C5" w:rsidRPr="00177CF7">
        <w:t>Olink</w:t>
      </w:r>
      <w:proofErr w:type="spellEnd"/>
      <w:r w:rsidR="007607C5" w:rsidRPr="00177CF7">
        <w:t xml:space="preserve"> and </w:t>
      </w:r>
      <w:proofErr w:type="spellStart"/>
      <w:r w:rsidR="007607C5" w:rsidRPr="00177CF7">
        <w:t>SomaScan</w:t>
      </w:r>
      <w:proofErr w:type="spellEnd"/>
      <w:r w:rsidR="007607C5" w:rsidRPr="00177CF7">
        <w:t xml:space="preserve"> from the present study.</w:t>
      </w:r>
      <w:r w:rsidR="00E416AB" w:rsidRPr="00177CF7">
        <w:t xml:space="preserve"> The scheme on the right </w:t>
      </w:r>
      <w:r w:rsidR="00681D98" w:rsidRPr="00177CF7">
        <w:t>shows’</w:t>
      </w:r>
      <w:r w:rsidR="00373871" w:rsidRPr="00177CF7">
        <w:t xml:space="preserve"> possible consequences of a differently shaped GDF-15 protein. A </w:t>
      </w:r>
      <w:r w:rsidR="002E10AF" w:rsidRPr="00177CF7">
        <w:t>3D-model of the alternative protein is presented in Supplementa</w:t>
      </w:r>
      <w:r w:rsidR="006277F2">
        <w:t>ry</w:t>
      </w:r>
      <w:r w:rsidR="002E10AF" w:rsidRPr="00177CF7">
        <w:t xml:space="preserve"> Figure </w:t>
      </w:r>
      <w:r w:rsidR="00933A79" w:rsidRPr="00177CF7">
        <w:t>10.</w:t>
      </w:r>
      <w:r w:rsidR="000E27F1">
        <w:t xml:space="preserve"> Parts of this figure have been created with BioRender.com.</w:t>
      </w:r>
      <w:r w:rsidR="00700BCB">
        <w:t xml:space="preserve"> </w:t>
      </w:r>
      <w:r w:rsidR="00700BCB" w:rsidRPr="00700BCB">
        <w:t>Source data are provided as a Source Data file.</w:t>
      </w:r>
    </w:p>
    <w:p w14:paraId="53E6C13C" w14:textId="04F6F546" w:rsidR="00B26BA2" w:rsidRDefault="00B26BA2" w:rsidP="008E1923">
      <w:pPr>
        <w:jc w:val="both"/>
      </w:pPr>
      <w:r w:rsidRPr="00177CF7">
        <w:rPr>
          <w:b/>
        </w:rPr>
        <w:t>F</w:t>
      </w:r>
      <w:r w:rsidR="006F5388" w:rsidRPr="00177CF7">
        <w:rPr>
          <w:b/>
        </w:rPr>
        <w:t>igure 6</w:t>
      </w:r>
      <w:r w:rsidRPr="00177CF7">
        <w:rPr>
          <w:b/>
        </w:rPr>
        <w:t xml:space="preserve"> </w:t>
      </w:r>
      <w:r w:rsidRPr="00177CF7">
        <w:rPr>
          <w:b/>
          <w:bCs/>
        </w:rPr>
        <w:t>Sources of variation.</w:t>
      </w:r>
      <w:r w:rsidRPr="00177CF7">
        <w:t xml:space="preserve"> Graphical summary of factors contributing to variation in the affinity-based discovery of the plasma proteome. PAV = protein altering variant; SNV = single nucleotide variant</w:t>
      </w:r>
      <w:r w:rsidR="000E27F1">
        <w:t xml:space="preserve">. </w:t>
      </w:r>
      <w:r w:rsidR="000B536C">
        <w:t>T</w:t>
      </w:r>
      <w:r w:rsidR="000E27F1">
        <w:t>his figure ha</w:t>
      </w:r>
      <w:r w:rsidR="000B536C">
        <w:t>s</w:t>
      </w:r>
      <w:r w:rsidR="000E27F1">
        <w:t xml:space="preserve"> been created with BioRender.com.</w:t>
      </w:r>
      <w:r w:rsidR="000E27F1" w:rsidRPr="00177CF7">
        <w:t xml:space="preserve"> </w:t>
      </w:r>
    </w:p>
    <w:p w14:paraId="776467A1" w14:textId="568FFB87" w:rsidR="006F5388" w:rsidRDefault="006F5388" w:rsidP="00A674D5">
      <w:pPr>
        <w:spacing w:line="240" w:lineRule="auto"/>
        <w:jc w:val="both"/>
        <w:rPr>
          <w:b/>
        </w:rPr>
      </w:pPr>
    </w:p>
    <w:p w14:paraId="652DF4A4" w14:textId="77777777" w:rsidR="006F5388" w:rsidRPr="00A637C6" w:rsidRDefault="006F5388" w:rsidP="00A674D5">
      <w:pPr>
        <w:spacing w:line="240" w:lineRule="auto"/>
        <w:jc w:val="both"/>
        <w:rPr>
          <w:b/>
        </w:rPr>
      </w:pPr>
    </w:p>
    <w:sectPr w:rsidR="006F5388" w:rsidRPr="00A637C6" w:rsidSect="00F83DD9">
      <w:footerReference w:type="default" r:id="rId21"/>
      <w:pgSz w:w="11906" w:h="16838"/>
      <w:pgMar w:top="1440" w:right="1440" w:bottom="1440" w:left="1440" w:header="708" w:footer="708" w:gutter="0"/>
      <w:lnNumType w:countBy="1" w:restart="continuous"/>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823F34" w14:textId="77777777" w:rsidR="00630E27" w:rsidRDefault="00630E27" w:rsidP="00F83DD9">
      <w:pPr>
        <w:spacing w:after="0" w:line="240" w:lineRule="auto"/>
      </w:pPr>
      <w:r>
        <w:separator/>
      </w:r>
    </w:p>
  </w:endnote>
  <w:endnote w:type="continuationSeparator" w:id="0">
    <w:p w14:paraId="755B8254" w14:textId="77777777" w:rsidR="00630E27" w:rsidRDefault="00630E27" w:rsidP="00F83DD9">
      <w:pPr>
        <w:spacing w:after="0" w:line="240" w:lineRule="auto"/>
      </w:pPr>
      <w:r>
        <w:continuationSeparator/>
      </w:r>
    </w:p>
  </w:endnote>
  <w:endnote w:type="continuationNotice" w:id="1">
    <w:p w14:paraId="6F3DAF2D" w14:textId="77777777" w:rsidR="00630E27" w:rsidRDefault="00630E2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24085399"/>
      <w:docPartObj>
        <w:docPartGallery w:val="Page Numbers (Bottom of Page)"/>
        <w:docPartUnique/>
      </w:docPartObj>
    </w:sdtPr>
    <w:sdtEndPr/>
    <w:sdtContent>
      <w:p w14:paraId="514A92B2" w14:textId="73C5048F" w:rsidR="006C6108" w:rsidRDefault="006C6108">
        <w:pPr>
          <w:pStyle w:val="Footer"/>
          <w:jc w:val="right"/>
        </w:pPr>
        <w:r>
          <w:fldChar w:fldCharType="begin"/>
        </w:r>
        <w:r>
          <w:instrText>PAGE   \* MERGEFORMAT</w:instrText>
        </w:r>
        <w:r>
          <w:fldChar w:fldCharType="separate"/>
        </w:r>
        <w:r w:rsidR="00EF7147" w:rsidRPr="00EF7147">
          <w:rPr>
            <w:noProof/>
            <w:lang w:val="de-DE"/>
          </w:rPr>
          <w:t>15</w:t>
        </w:r>
        <w:r>
          <w:fldChar w:fldCharType="end"/>
        </w:r>
      </w:p>
    </w:sdtContent>
  </w:sdt>
  <w:p w14:paraId="20055E2A" w14:textId="77777777" w:rsidR="006C6108" w:rsidRDefault="006C610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A554BB" w14:textId="77777777" w:rsidR="00630E27" w:rsidRDefault="00630E27" w:rsidP="00F83DD9">
      <w:pPr>
        <w:spacing w:after="0" w:line="240" w:lineRule="auto"/>
      </w:pPr>
      <w:r>
        <w:separator/>
      </w:r>
    </w:p>
  </w:footnote>
  <w:footnote w:type="continuationSeparator" w:id="0">
    <w:p w14:paraId="60C044D7" w14:textId="77777777" w:rsidR="00630E27" w:rsidRDefault="00630E27" w:rsidP="00F83DD9">
      <w:pPr>
        <w:spacing w:after="0" w:line="240" w:lineRule="auto"/>
      </w:pPr>
      <w:r>
        <w:continuationSeparator/>
      </w:r>
    </w:p>
  </w:footnote>
  <w:footnote w:type="continuationNotice" w:id="1">
    <w:p w14:paraId="509302D6" w14:textId="77777777" w:rsidR="00630E27" w:rsidRDefault="00630E27">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0E04AEC"/>
    <w:multiLevelType w:val="hybridMultilevel"/>
    <w:tmpl w:val="8398FC3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A694FC8"/>
    <w:multiLevelType w:val="hybridMultilevel"/>
    <w:tmpl w:val="47DC199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6C45"/>
    <w:rsid w:val="00000318"/>
    <w:rsid w:val="000014C3"/>
    <w:rsid w:val="00001983"/>
    <w:rsid w:val="0000212A"/>
    <w:rsid w:val="0000323F"/>
    <w:rsid w:val="00003F43"/>
    <w:rsid w:val="0000468D"/>
    <w:rsid w:val="00004F86"/>
    <w:rsid w:val="0000525C"/>
    <w:rsid w:val="000065FE"/>
    <w:rsid w:val="00006A7A"/>
    <w:rsid w:val="00006B8C"/>
    <w:rsid w:val="0000749B"/>
    <w:rsid w:val="00007534"/>
    <w:rsid w:val="00007D77"/>
    <w:rsid w:val="00007D9F"/>
    <w:rsid w:val="000112E8"/>
    <w:rsid w:val="0001228F"/>
    <w:rsid w:val="00012776"/>
    <w:rsid w:val="000127AC"/>
    <w:rsid w:val="00012F4D"/>
    <w:rsid w:val="00014821"/>
    <w:rsid w:val="000156B5"/>
    <w:rsid w:val="0001601F"/>
    <w:rsid w:val="00017927"/>
    <w:rsid w:val="00017979"/>
    <w:rsid w:val="000201AD"/>
    <w:rsid w:val="00020367"/>
    <w:rsid w:val="0002048B"/>
    <w:rsid w:val="00021389"/>
    <w:rsid w:val="00021596"/>
    <w:rsid w:val="000216F0"/>
    <w:rsid w:val="000219BE"/>
    <w:rsid w:val="00021E2B"/>
    <w:rsid w:val="000225DA"/>
    <w:rsid w:val="0002318F"/>
    <w:rsid w:val="00023480"/>
    <w:rsid w:val="00023A83"/>
    <w:rsid w:val="0002449B"/>
    <w:rsid w:val="000244A7"/>
    <w:rsid w:val="00024EBD"/>
    <w:rsid w:val="00025379"/>
    <w:rsid w:val="00025604"/>
    <w:rsid w:val="00025A8B"/>
    <w:rsid w:val="00026462"/>
    <w:rsid w:val="00026AB6"/>
    <w:rsid w:val="00027621"/>
    <w:rsid w:val="0002799D"/>
    <w:rsid w:val="00027B06"/>
    <w:rsid w:val="00027D10"/>
    <w:rsid w:val="000304AE"/>
    <w:rsid w:val="000305CB"/>
    <w:rsid w:val="0003063D"/>
    <w:rsid w:val="00031652"/>
    <w:rsid w:val="00031E9C"/>
    <w:rsid w:val="0003368A"/>
    <w:rsid w:val="00033C34"/>
    <w:rsid w:val="00033FE9"/>
    <w:rsid w:val="00034755"/>
    <w:rsid w:val="00034B33"/>
    <w:rsid w:val="0003536E"/>
    <w:rsid w:val="00035A5B"/>
    <w:rsid w:val="00036409"/>
    <w:rsid w:val="0003675B"/>
    <w:rsid w:val="000369F2"/>
    <w:rsid w:val="000378D2"/>
    <w:rsid w:val="00037E9A"/>
    <w:rsid w:val="000401A7"/>
    <w:rsid w:val="000409DA"/>
    <w:rsid w:val="00040C76"/>
    <w:rsid w:val="00041390"/>
    <w:rsid w:val="00041536"/>
    <w:rsid w:val="00041961"/>
    <w:rsid w:val="00042038"/>
    <w:rsid w:val="00042F68"/>
    <w:rsid w:val="00043690"/>
    <w:rsid w:val="000438D4"/>
    <w:rsid w:val="00044F39"/>
    <w:rsid w:val="00045237"/>
    <w:rsid w:val="000452F1"/>
    <w:rsid w:val="000469B6"/>
    <w:rsid w:val="00046EE4"/>
    <w:rsid w:val="00046FCF"/>
    <w:rsid w:val="00047EBA"/>
    <w:rsid w:val="0005128F"/>
    <w:rsid w:val="0005233C"/>
    <w:rsid w:val="00052774"/>
    <w:rsid w:val="0005369E"/>
    <w:rsid w:val="00053B48"/>
    <w:rsid w:val="0005565B"/>
    <w:rsid w:val="00055787"/>
    <w:rsid w:val="00056E11"/>
    <w:rsid w:val="00057493"/>
    <w:rsid w:val="000600C6"/>
    <w:rsid w:val="00060D76"/>
    <w:rsid w:val="00061A4F"/>
    <w:rsid w:val="00061E9F"/>
    <w:rsid w:val="000626FF"/>
    <w:rsid w:val="00062FA3"/>
    <w:rsid w:val="00063277"/>
    <w:rsid w:val="00063F56"/>
    <w:rsid w:val="00064143"/>
    <w:rsid w:val="000653D8"/>
    <w:rsid w:val="0006663B"/>
    <w:rsid w:val="000676F3"/>
    <w:rsid w:val="00067867"/>
    <w:rsid w:val="00067C53"/>
    <w:rsid w:val="00070EF8"/>
    <w:rsid w:val="00071081"/>
    <w:rsid w:val="00071867"/>
    <w:rsid w:val="00071DA2"/>
    <w:rsid w:val="00072007"/>
    <w:rsid w:val="00072152"/>
    <w:rsid w:val="000724A2"/>
    <w:rsid w:val="00072916"/>
    <w:rsid w:val="00072F36"/>
    <w:rsid w:val="00073A63"/>
    <w:rsid w:val="00074EDC"/>
    <w:rsid w:val="000752B7"/>
    <w:rsid w:val="0007531C"/>
    <w:rsid w:val="00075B20"/>
    <w:rsid w:val="00076D45"/>
    <w:rsid w:val="0007726D"/>
    <w:rsid w:val="00077AC2"/>
    <w:rsid w:val="00077C69"/>
    <w:rsid w:val="0008119C"/>
    <w:rsid w:val="000815B8"/>
    <w:rsid w:val="00081734"/>
    <w:rsid w:val="00081D5D"/>
    <w:rsid w:val="00083424"/>
    <w:rsid w:val="00084437"/>
    <w:rsid w:val="000845A2"/>
    <w:rsid w:val="00084B2B"/>
    <w:rsid w:val="000850B1"/>
    <w:rsid w:val="000865A4"/>
    <w:rsid w:val="00086FA7"/>
    <w:rsid w:val="000870CC"/>
    <w:rsid w:val="000874A6"/>
    <w:rsid w:val="000877DC"/>
    <w:rsid w:val="000877EE"/>
    <w:rsid w:val="00090B77"/>
    <w:rsid w:val="000910C5"/>
    <w:rsid w:val="00091567"/>
    <w:rsid w:val="00092EE7"/>
    <w:rsid w:val="00094B7B"/>
    <w:rsid w:val="00094D6C"/>
    <w:rsid w:val="0009610D"/>
    <w:rsid w:val="0009621F"/>
    <w:rsid w:val="000963F0"/>
    <w:rsid w:val="00096BB2"/>
    <w:rsid w:val="000A00A6"/>
    <w:rsid w:val="000A0ED0"/>
    <w:rsid w:val="000A1A12"/>
    <w:rsid w:val="000A28EF"/>
    <w:rsid w:val="000A34D6"/>
    <w:rsid w:val="000A34EC"/>
    <w:rsid w:val="000A3918"/>
    <w:rsid w:val="000A423B"/>
    <w:rsid w:val="000A4270"/>
    <w:rsid w:val="000A5179"/>
    <w:rsid w:val="000A568E"/>
    <w:rsid w:val="000A65E3"/>
    <w:rsid w:val="000A6955"/>
    <w:rsid w:val="000A7981"/>
    <w:rsid w:val="000B1134"/>
    <w:rsid w:val="000B1422"/>
    <w:rsid w:val="000B1897"/>
    <w:rsid w:val="000B26E0"/>
    <w:rsid w:val="000B2C64"/>
    <w:rsid w:val="000B3E1C"/>
    <w:rsid w:val="000B4148"/>
    <w:rsid w:val="000B4A37"/>
    <w:rsid w:val="000B536C"/>
    <w:rsid w:val="000B54CC"/>
    <w:rsid w:val="000B566C"/>
    <w:rsid w:val="000B5BB4"/>
    <w:rsid w:val="000B69EF"/>
    <w:rsid w:val="000C07C0"/>
    <w:rsid w:val="000C1563"/>
    <w:rsid w:val="000C214B"/>
    <w:rsid w:val="000C2E90"/>
    <w:rsid w:val="000C3744"/>
    <w:rsid w:val="000C3918"/>
    <w:rsid w:val="000C392F"/>
    <w:rsid w:val="000C3AB5"/>
    <w:rsid w:val="000C419B"/>
    <w:rsid w:val="000C48C5"/>
    <w:rsid w:val="000C4ABA"/>
    <w:rsid w:val="000C4EE2"/>
    <w:rsid w:val="000C5241"/>
    <w:rsid w:val="000C5A61"/>
    <w:rsid w:val="000C5CB7"/>
    <w:rsid w:val="000C5F51"/>
    <w:rsid w:val="000C716E"/>
    <w:rsid w:val="000D0655"/>
    <w:rsid w:val="000D0A21"/>
    <w:rsid w:val="000D20D7"/>
    <w:rsid w:val="000D2778"/>
    <w:rsid w:val="000D3BB9"/>
    <w:rsid w:val="000D5133"/>
    <w:rsid w:val="000D55F9"/>
    <w:rsid w:val="000D5678"/>
    <w:rsid w:val="000D61D8"/>
    <w:rsid w:val="000D6720"/>
    <w:rsid w:val="000D74FB"/>
    <w:rsid w:val="000E1EDC"/>
    <w:rsid w:val="000E2234"/>
    <w:rsid w:val="000E2493"/>
    <w:rsid w:val="000E27F1"/>
    <w:rsid w:val="000E2E21"/>
    <w:rsid w:val="000E3318"/>
    <w:rsid w:val="000E5598"/>
    <w:rsid w:val="000E595E"/>
    <w:rsid w:val="000E59C1"/>
    <w:rsid w:val="000E5E68"/>
    <w:rsid w:val="000E634C"/>
    <w:rsid w:val="000E69BE"/>
    <w:rsid w:val="000E6FBC"/>
    <w:rsid w:val="000E6FD6"/>
    <w:rsid w:val="000E798A"/>
    <w:rsid w:val="000E7E36"/>
    <w:rsid w:val="000F0A24"/>
    <w:rsid w:val="000F0E96"/>
    <w:rsid w:val="000F2223"/>
    <w:rsid w:val="000F28C6"/>
    <w:rsid w:val="000F3922"/>
    <w:rsid w:val="000F4297"/>
    <w:rsid w:val="000F4B73"/>
    <w:rsid w:val="000F59BA"/>
    <w:rsid w:val="000F78CC"/>
    <w:rsid w:val="00100468"/>
    <w:rsid w:val="00101788"/>
    <w:rsid w:val="00101B86"/>
    <w:rsid w:val="00102252"/>
    <w:rsid w:val="00102AA7"/>
    <w:rsid w:val="00102C6E"/>
    <w:rsid w:val="001031CF"/>
    <w:rsid w:val="001035CE"/>
    <w:rsid w:val="001040B0"/>
    <w:rsid w:val="00104162"/>
    <w:rsid w:val="00104F95"/>
    <w:rsid w:val="00105345"/>
    <w:rsid w:val="00105751"/>
    <w:rsid w:val="00105812"/>
    <w:rsid w:val="00107162"/>
    <w:rsid w:val="0010770B"/>
    <w:rsid w:val="00107BD3"/>
    <w:rsid w:val="0011003A"/>
    <w:rsid w:val="00110872"/>
    <w:rsid w:val="00110FDE"/>
    <w:rsid w:val="00111568"/>
    <w:rsid w:val="00111580"/>
    <w:rsid w:val="001115A7"/>
    <w:rsid w:val="00111920"/>
    <w:rsid w:val="0011192C"/>
    <w:rsid w:val="0011232A"/>
    <w:rsid w:val="00112643"/>
    <w:rsid w:val="00112939"/>
    <w:rsid w:val="0011321B"/>
    <w:rsid w:val="0011553C"/>
    <w:rsid w:val="00115F8C"/>
    <w:rsid w:val="001203D0"/>
    <w:rsid w:val="00121244"/>
    <w:rsid w:val="00122027"/>
    <w:rsid w:val="001225EB"/>
    <w:rsid w:val="00122E95"/>
    <w:rsid w:val="00122FEA"/>
    <w:rsid w:val="00123214"/>
    <w:rsid w:val="0012342B"/>
    <w:rsid w:val="00124F1C"/>
    <w:rsid w:val="001250DB"/>
    <w:rsid w:val="001257F7"/>
    <w:rsid w:val="0012606F"/>
    <w:rsid w:val="001272C8"/>
    <w:rsid w:val="00127ED1"/>
    <w:rsid w:val="00130715"/>
    <w:rsid w:val="00131711"/>
    <w:rsid w:val="00131E86"/>
    <w:rsid w:val="0013217B"/>
    <w:rsid w:val="00133AF4"/>
    <w:rsid w:val="00134407"/>
    <w:rsid w:val="00135037"/>
    <w:rsid w:val="00135074"/>
    <w:rsid w:val="00135ADA"/>
    <w:rsid w:val="00136A9D"/>
    <w:rsid w:val="00136BDF"/>
    <w:rsid w:val="00137648"/>
    <w:rsid w:val="001401F6"/>
    <w:rsid w:val="00140203"/>
    <w:rsid w:val="001409E6"/>
    <w:rsid w:val="00141356"/>
    <w:rsid w:val="001417AE"/>
    <w:rsid w:val="0014284B"/>
    <w:rsid w:val="00142969"/>
    <w:rsid w:val="00142A46"/>
    <w:rsid w:val="00143910"/>
    <w:rsid w:val="00143D8A"/>
    <w:rsid w:val="00144FC6"/>
    <w:rsid w:val="001452C7"/>
    <w:rsid w:val="00145611"/>
    <w:rsid w:val="00145F85"/>
    <w:rsid w:val="001465E1"/>
    <w:rsid w:val="00146F30"/>
    <w:rsid w:val="001477F0"/>
    <w:rsid w:val="001508E6"/>
    <w:rsid w:val="00152F86"/>
    <w:rsid w:val="0015383A"/>
    <w:rsid w:val="00153982"/>
    <w:rsid w:val="0015481B"/>
    <w:rsid w:val="001571C7"/>
    <w:rsid w:val="00157452"/>
    <w:rsid w:val="0016072B"/>
    <w:rsid w:val="001608A3"/>
    <w:rsid w:val="00161453"/>
    <w:rsid w:val="00162E4D"/>
    <w:rsid w:val="00163726"/>
    <w:rsid w:val="001640B3"/>
    <w:rsid w:val="00164469"/>
    <w:rsid w:val="001645D2"/>
    <w:rsid w:val="001646D4"/>
    <w:rsid w:val="00164994"/>
    <w:rsid w:val="00164C75"/>
    <w:rsid w:val="001652AB"/>
    <w:rsid w:val="00166091"/>
    <w:rsid w:val="0016667F"/>
    <w:rsid w:val="00166709"/>
    <w:rsid w:val="00166DA6"/>
    <w:rsid w:val="00166F76"/>
    <w:rsid w:val="00167731"/>
    <w:rsid w:val="0016787D"/>
    <w:rsid w:val="00167886"/>
    <w:rsid w:val="00170627"/>
    <w:rsid w:val="0017093C"/>
    <w:rsid w:val="00171CF0"/>
    <w:rsid w:val="00172576"/>
    <w:rsid w:val="001729E5"/>
    <w:rsid w:val="00173AD2"/>
    <w:rsid w:val="00173FD4"/>
    <w:rsid w:val="00174567"/>
    <w:rsid w:val="001750C7"/>
    <w:rsid w:val="001758E8"/>
    <w:rsid w:val="00175C5C"/>
    <w:rsid w:val="00176158"/>
    <w:rsid w:val="00176B01"/>
    <w:rsid w:val="00176DAC"/>
    <w:rsid w:val="00177C40"/>
    <w:rsid w:val="00177CF7"/>
    <w:rsid w:val="00177D8D"/>
    <w:rsid w:val="00177DCA"/>
    <w:rsid w:val="00180963"/>
    <w:rsid w:val="00180A0B"/>
    <w:rsid w:val="00183513"/>
    <w:rsid w:val="001836BF"/>
    <w:rsid w:val="001851BD"/>
    <w:rsid w:val="001859A9"/>
    <w:rsid w:val="001868A5"/>
    <w:rsid w:val="00186D87"/>
    <w:rsid w:val="00186F1C"/>
    <w:rsid w:val="00187827"/>
    <w:rsid w:val="00190842"/>
    <w:rsid w:val="00190B34"/>
    <w:rsid w:val="00193591"/>
    <w:rsid w:val="0019380D"/>
    <w:rsid w:val="00193F59"/>
    <w:rsid w:val="001954FA"/>
    <w:rsid w:val="001964D1"/>
    <w:rsid w:val="001965C7"/>
    <w:rsid w:val="0019678D"/>
    <w:rsid w:val="00196D09"/>
    <w:rsid w:val="0019739E"/>
    <w:rsid w:val="001A07AB"/>
    <w:rsid w:val="001A1070"/>
    <w:rsid w:val="001A1D5E"/>
    <w:rsid w:val="001A1FFE"/>
    <w:rsid w:val="001A21F2"/>
    <w:rsid w:val="001A289A"/>
    <w:rsid w:val="001A2958"/>
    <w:rsid w:val="001A30E0"/>
    <w:rsid w:val="001A3747"/>
    <w:rsid w:val="001A3804"/>
    <w:rsid w:val="001A4318"/>
    <w:rsid w:val="001A4787"/>
    <w:rsid w:val="001A5457"/>
    <w:rsid w:val="001A5674"/>
    <w:rsid w:val="001A624D"/>
    <w:rsid w:val="001A6B34"/>
    <w:rsid w:val="001A722A"/>
    <w:rsid w:val="001A74D7"/>
    <w:rsid w:val="001B0129"/>
    <w:rsid w:val="001B19CD"/>
    <w:rsid w:val="001B2495"/>
    <w:rsid w:val="001B25A2"/>
    <w:rsid w:val="001B2BE3"/>
    <w:rsid w:val="001B38C6"/>
    <w:rsid w:val="001B3A6E"/>
    <w:rsid w:val="001B3E7E"/>
    <w:rsid w:val="001B4300"/>
    <w:rsid w:val="001B46AE"/>
    <w:rsid w:val="001B46F7"/>
    <w:rsid w:val="001B4707"/>
    <w:rsid w:val="001B4AE7"/>
    <w:rsid w:val="001B558D"/>
    <w:rsid w:val="001B587E"/>
    <w:rsid w:val="001B5EC1"/>
    <w:rsid w:val="001B5FC4"/>
    <w:rsid w:val="001B724D"/>
    <w:rsid w:val="001C1489"/>
    <w:rsid w:val="001C1A46"/>
    <w:rsid w:val="001C210D"/>
    <w:rsid w:val="001C220C"/>
    <w:rsid w:val="001C2B61"/>
    <w:rsid w:val="001C4420"/>
    <w:rsid w:val="001C5CF8"/>
    <w:rsid w:val="001C609F"/>
    <w:rsid w:val="001C7819"/>
    <w:rsid w:val="001C7A6A"/>
    <w:rsid w:val="001C7DC9"/>
    <w:rsid w:val="001D0963"/>
    <w:rsid w:val="001D0EDF"/>
    <w:rsid w:val="001D1DF1"/>
    <w:rsid w:val="001D2362"/>
    <w:rsid w:val="001D4A12"/>
    <w:rsid w:val="001D5869"/>
    <w:rsid w:val="001D5A5C"/>
    <w:rsid w:val="001D5A9E"/>
    <w:rsid w:val="001D7680"/>
    <w:rsid w:val="001D77F1"/>
    <w:rsid w:val="001D7E46"/>
    <w:rsid w:val="001D7FC9"/>
    <w:rsid w:val="001E058B"/>
    <w:rsid w:val="001E18A3"/>
    <w:rsid w:val="001E1D64"/>
    <w:rsid w:val="001E1E6D"/>
    <w:rsid w:val="001E2748"/>
    <w:rsid w:val="001E274D"/>
    <w:rsid w:val="001E2C2A"/>
    <w:rsid w:val="001E301A"/>
    <w:rsid w:val="001E34FA"/>
    <w:rsid w:val="001E393A"/>
    <w:rsid w:val="001E39D7"/>
    <w:rsid w:val="001E418E"/>
    <w:rsid w:val="001E42B9"/>
    <w:rsid w:val="001E451D"/>
    <w:rsid w:val="001E47F5"/>
    <w:rsid w:val="001E5764"/>
    <w:rsid w:val="001E57C5"/>
    <w:rsid w:val="001E5E2E"/>
    <w:rsid w:val="001E6209"/>
    <w:rsid w:val="001F03EA"/>
    <w:rsid w:val="001F07B5"/>
    <w:rsid w:val="001F107B"/>
    <w:rsid w:val="001F1452"/>
    <w:rsid w:val="001F20F1"/>
    <w:rsid w:val="001F2329"/>
    <w:rsid w:val="001F282B"/>
    <w:rsid w:val="001F30AA"/>
    <w:rsid w:val="001F328F"/>
    <w:rsid w:val="001F3B31"/>
    <w:rsid w:val="001F3DE6"/>
    <w:rsid w:val="001F3EF7"/>
    <w:rsid w:val="001F41AD"/>
    <w:rsid w:val="001F5992"/>
    <w:rsid w:val="001F63E3"/>
    <w:rsid w:val="001F65EE"/>
    <w:rsid w:val="001F710C"/>
    <w:rsid w:val="001F7249"/>
    <w:rsid w:val="00201634"/>
    <w:rsid w:val="00201679"/>
    <w:rsid w:val="00201B38"/>
    <w:rsid w:val="00202608"/>
    <w:rsid w:val="00202965"/>
    <w:rsid w:val="0020319A"/>
    <w:rsid w:val="00204704"/>
    <w:rsid w:val="00204DF3"/>
    <w:rsid w:val="0020523D"/>
    <w:rsid w:val="00206863"/>
    <w:rsid w:val="00206B4C"/>
    <w:rsid w:val="00207DF2"/>
    <w:rsid w:val="002101B9"/>
    <w:rsid w:val="002108EE"/>
    <w:rsid w:val="00211D11"/>
    <w:rsid w:val="002120E3"/>
    <w:rsid w:val="0021267A"/>
    <w:rsid w:val="00212A41"/>
    <w:rsid w:val="00213EB1"/>
    <w:rsid w:val="00215B4B"/>
    <w:rsid w:val="00215E02"/>
    <w:rsid w:val="00215ED7"/>
    <w:rsid w:val="00215F17"/>
    <w:rsid w:val="0021628D"/>
    <w:rsid w:val="00216A52"/>
    <w:rsid w:val="0021797E"/>
    <w:rsid w:val="00220821"/>
    <w:rsid w:val="00220A51"/>
    <w:rsid w:val="00222394"/>
    <w:rsid w:val="002225CC"/>
    <w:rsid w:val="00222C75"/>
    <w:rsid w:val="00222D6B"/>
    <w:rsid w:val="00223895"/>
    <w:rsid w:val="00224734"/>
    <w:rsid w:val="00225A15"/>
    <w:rsid w:val="00225DCF"/>
    <w:rsid w:val="002261E5"/>
    <w:rsid w:val="00226833"/>
    <w:rsid w:val="0022732C"/>
    <w:rsid w:val="00230BFB"/>
    <w:rsid w:val="00230D09"/>
    <w:rsid w:val="0023129E"/>
    <w:rsid w:val="00231349"/>
    <w:rsid w:val="002320F3"/>
    <w:rsid w:val="0023386C"/>
    <w:rsid w:val="002350EC"/>
    <w:rsid w:val="00235337"/>
    <w:rsid w:val="00235D00"/>
    <w:rsid w:val="00237A56"/>
    <w:rsid w:val="00240135"/>
    <w:rsid w:val="002403FC"/>
    <w:rsid w:val="00240FAC"/>
    <w:rsid w:val="00241117"/>
    <w:rsid w:val="00241175"/>
    <w:rsid w:val="0024184E"/>
    <w:rsid w:val="00241861"/>
    <w:rsid w:val="00241D5A"/>
    <w:rsid w:val="002452A7"/>
    <w:rsid w:val="002453E6"/>
    <w:rsid w:val="00245542"/>
    <w:rsid w:val="00245950"/>
    <w:rsid w:val="00245D61"/>
    <w:rsid w:val="00246E8C"/>
    <w:rsid w:val="00247925"/>
    <w:rsid w:val="00247A33"/>
    <w:rsid w:val="002502A6"/>
    <w:rsid w:val="002507DB"/>
    <w:rsid w:val="00251671"/>
    <w:rsid w:val="00251767"/>
    <w:rsid w:val="002524D8"/>
    <w:rsid w:val="0025271F"/>
    <w:rsid w:val="00252789"/>
    <w:rsid w:val="00252DF1"/>
    <w:rsid w:val="00253D97"/>
    <w:rsid w:val="002549B5"/>
    <w:rsid w:val="002551A3"/>
    <w:rsid w:val="002552AE"/>
    <w:rsid w:val="0025548F"/>
    <w:rsid w:val="00255554"/>
    <w:rsid w:val="00255FC5"/>
    <w:rsid w:val="002560AD"/>
    <w:rsid w:val="00256BA4"/>
    <w:rsid w:val="00256CF0"/>
    <w:rsid w:val="00256D47"/>
    <w:rsid w:val="00257261"/>
    <w:rsid w:val="00257E8A"/>
    <w:rsid w:val="002600C1"/>
    <w:rsid w:val="00260B42"/>
    <w:rsid w:val="00261522"/>
    <w:rsid w:val="00261BA4"/>
    <w:rsid w:val="0026210B"/>
    <w:rsid w:val="002634C0"/>
    <w:rsid w:val="0026362E"/>
    <w:rsid w:val="002648BB"/>
    <w:rsid w:val="002648D1"/>
    <w:rsid w:val="0026570F"/>
    <w:rsid w:val="00265960"/>
    <w:rsid w:val="00265C55"/>
    <w:rsid w:val="002660EE"/>
    <w:rsid w:val="002679F4"/>
    <w:rsid w:val="00270278"/>
    <w:rsid w:val="00270D93"/>
    <w:rsid w:val="0027119A"/>
    <w:rsid w:val="00271CA8"/>
    <w:rsid w:val="00272FA8"/>
    <w:rsid w:val="00273011"/>
    <w:rsid w:val="00274385"/>
    <w:rsid w:val="0027533C"/>
    <w:rsid w:val="00275BBD"/>
    <w:rsid w:val="002763C8"/>
    <w:rsid w:val="00276AE9"/>
    <w:rsid w:val="00276BD7"/>
    <w:rsid w:val="00277829"/>
    <w:rsid w:val="00277AB8"/>
    <w:rsid w:val="00277EA7"/>
    <w:rsid w:val="00282710"/>
    <w:rsid w:val="0028330A"/>
    <w:rsid w:val="002842A9"/>
    <w:rsid w:val="00285C8F"/>
    <w:rsid w:val="00286B13"/>
    <w:rsid w:val="00286B92"/>
    <w:rsid w:val="002877BF"/>
    <w:rsid w:val="00290B08"/>
    <w:rsid w:val="00290BFF"/>
    <w:rsid w:val="002913EF"/>
    <w:rsid w:val="00291C56"/>
    <w:rsid w:val="002921DA"/>
    <w:rsid w:val="00292816"/>
    <w:rsid w:val="00292AD7"/>
    <w:rsid w:val="00292DC8"/>
    <w:rsid w:val="00292ECC"/>
    <w:rsid w:val="00293D0D"/>
    <w:rsid w:val="00294044"/>
    <w:rsid w:val="00295190"/>
    <w:rsid w:val="002978DC"/>
    <w:rsid w:val="002A05C3"/>
    <w:rsid w:val="002A06CA"/>
    <w:rsid w:val="002A14E4"/>
    <w:rsid w:val="002A2389"/>
    <w:rsid w:val="002A2FF1"/>
    <w:rsid w:val="002A30E9"/>
    <w:rsid w:val="002A3803"/>
    <w:rsid w:val="002A3CD7"/>
    <w:rsid w:val="002A5570"/>
    <w:rsid w:val="002A5CEA"/>
    <w:rsid w:val="002A5E1A"/>
    <w:rsid w:val="002A6AEA"/>
    <w:rsid w:val="002A7255"/>
    <w:rsid w:val="002A7312"/>
    <w:rsid w:val="002A7376"/>
    <w:rsid w:val="002A759B"/>
    <w:rsid w:val="002B1850"/>
    <w:rsid w:val="002B2116"/>
    <w:rsid w:val="002B2417"/>
    <w:rsid w:val="002B2830"/>
    <w:rsid w:val="002B305F"/>
    <w:rsid w:val="002B3AC4"/>
    <w:rsid w:val="002B3E2F"/>
    <w:rsid w:val="002B4AE3"/>
    <w:rsid w:val="002B4C51"/>
    <w:rsid w:val="002B4FC7"/>
    <w:rsid w:val="002B5053"/>
    <w:rsid w:val="002B529C"/>
    <w:rsid w:val="002B5472"/>
    <w:rsid w:val="002B5530"/>
    <w:rsid w:val="002B55CB"/>
    <w:rsid w:val="002B5CFC"/>
    <w:rsid w:val="002B6D9B"/>
    <w:rsid w:val="002B7C8D"/>
    <w:rsid w:val="002B7CE7"/>
    <w:rsid w:val="002C1379"/>
    <w:rsid w:val="002C17D6"/>
    <w:rsid w:val="002C1CEC"/>
    <w:rsid w:val="002C257B"/>
    <w:rsid w:val="002C32E2"/>
    <w:rsid w:val="002C379A"/>
    <w:rsid w:val="002C4D1E"/>
    <w:rsid w:val="002C6575"/>
    <w:rsid w:val="002D0F93"/>
    <w:rsid w:val="002D1366"/>
    <w:rsid w:val="002D17F8"/>
    <w:rsid w:val="002D381D"/>
    <w:rsid w:val="002D3830"/>
    <w:rsid w:val="002D41FA"/>
    <w:rsid w:val="002D433B"/>
    <w:rsid w:val="002D4AC9"/>
    <w:rsid w:val="002D5106"/>
    <w:rsid w:val="002D608F"/>
    <w:rsid w:val="002D61C9"/>
    <w:rsid w:val="002D624F"/>
    <w:rsid w:val="002D66C8"/>
    <w:rsid w:val="002D773F"/>
    <w:rsid w:val="002D7B1F"/>
    <w:rsid w:val="002D7BA3"/>
    <w:rsid w:val="002E02E1"/>
    <w:rsid w:val="002E0886"/>
    <w:rsid w:val="002E10AF"/>
    <w:rsid w:val="002E1441"/>
    <w:rsid w:val="002E1A60"/>
    <w:rsid w:val="002E2704"/>
    <w:rsid w:val="002E332A"/>
    <w:rsid w:val="002E3EAD"/>
    <w:rsid w:val="002E4410"/>
    <w:rsid w:val="002E4DF1"/>
    <w:rsid w:val="002E5458"/>
    <w:rsid w:val="002E570D"/>
    <w:rsid w:val="002E5B81"/>
    <w:rsid w:val="002E5E35"/>
    <w:rsid w:val="002E60F9"/>
    <w:rsid w:val="002E67FA"/>
    <w:rsid w:val="002E6DC0"/>
    <w:rsid w:val="002E7315"/>
    <w:rsid w:val="002E757D"/>
    <w:rsid w:val="002E7C0D"/>
    <w:rsid w:val="002F1ADB"/>
    <w:rsid w:val="002F2988"/>
    <w:rsid w:val="002F3F67"/>
    <w:rsid w:val="002F43AB"/>
    <w:rsid w:val="002F4785"/>
    <w:rsid w:val="002F4CA6"/>
    <w:rsid w:val="002F5962"/>
    <w:rsid w:val="002F65E1"/>
    <w:rsid w:val="002F7DFD"/>
    <w:rsid w:val="003002BE"/>
    <w:rsid w:val="0030095A"/>
    <w:rsid w:val="003009FE"/>
    <w:rsid w:val="00300D68"/>
    <w:rsid w:val="00300EC0"/>
    <w:rsid w:val="00301501"/>
    <w:rsid w:val="003024D5"/>
    <w:rsid w:val="00303741"/>
    <w:rsid w:val="00304CCE"/>
    <w:rsid w:val="00305786"/>
    <w:rsid w:val="003057E1"/>
    <w:rsid w:val="00307259"/>
    <w:rsid w:val="003073E9"/>
    <w:rsid w:val="00310B70"/>
    <w:rsid w:val="00310D7C"/>
    <w:rsid w:val="003115F8"/>
    <w:rsid w:val="003143C8"/>
    <w:rsid w:val="00314F0F"/>
    <w:rsid w:val="00317036"/>
    <w:rsid w:val="003178EB"/>
    <w:rsid w:val="00320752"/>
    <w:rsid w:val="003208C0"/>
    <w:rsid w:val="003208DF"/>
    <w:rsid w:val="003209F0"/>
    <w:rsid w:val="00320CC4"/>
    <w:rsid w:val="00320D8A"/>
    <w:rsid w:val="00320E2E"/>
    <w:rsid w:val="00321F26"/>
    <w:rsid w:val="003221AD"/>
    <w:rsid w:val="00323B99"/>
    <w:rsid w:val="00325A42"/>
    <w:rsid w:val="00327920"/>
    <w:rsid w:val="00328D69"/>
    <w:rsid w:val="0033072B"/>
    <w:rsid w:val="00330EF4"/>
    <w:rsid w:val="00331C94"/>
    <w:rsid w:val="00331D36"/>
    <w:rsid w:val="00331F8F"/>
    <w:rsid w:val="00332B1C"/>
    <w:rsid w:val="00334F01"/>
    <w:rsid w:val="0033531A"/>
    <w:rsid w:val="003363E5"/>
    <w:rsid w:val="00336445"/>
    <w:rsid w:val="0033652B"/>
    <w:rsid w:val="003365E3"/>
    <w:rsid w:val="00340CE8"/>
    <w:rsid w:val="00340FB6"/>
    <w:rsid w:val="00341F54"/>
    <w:rsid w:val="00341FF1"/>
    <w:rsid w:val="00342234"/>
    <w:rsid w:val="003426A3"/>
    <w:rsid w:val="00343AE4"/>
    <w:rsid w:val="003443A8"/>
    <w:rsid w:val="00344849"/>
    <w:rsid w:val="00347517"/>
    <w:rsid w:val="00350B7E"/>
    <w:rsid w:val="00350EBF"/>
    <w:rsid w:val="00351A6B"/>
    <w:rsid w:val="00351E23"/>
    <w:rsid w:val="00353008"/>
    <w:rsid w:val="003536E5"/>
    <w:rsid w:val="00353A57"/>
    <w:rsid w:val="00354B8F"/>
    <w:rsid w:val="00355769"/>
    <w:rsid w:val="0035618C"/>
    <w:rsid w:val="00356CA5"/>
    <w:rsid w:val="00357977"/>
    <w:rsid w:val="00357A2A"/>
    <w:rsid w:val="00357F59"/>
    <w:rsid w:val="00362C47"/>
    <w:rsid w:val="00362EBE"/>
    <w:rsid w:val="00363C71"/>
    <w:rsid w:val="00366106"/>
    <w:rsid w:val="003664FB"/>
    <w:rsid w:val="003665E1"/>
    <w:rsid w:val="00367052"/>
    <w:rsid w:val="003670DC"/>
    <w:rsid w:val="003670EA"/>
    <w:rsid w:val="0036742A"/>
    <w:rsid w:val="00367AA9"/>
    <w:rsid w:val="003702B6"/>
    <w:rsid w:val="003707B6"/>
    <w:rsid w:val="00370F53"/>
    <w:rsid w:val="0037173E"/>
    <w:rsid w:val="003720E9"/>
    <w:rsid w:val="003735EB"/>
    <w:rsid w:val="00373731"/>
    <w:rsid w:val="00373871"/>
    <w:rsid w:val="0037391B"/>
    <w:rsid w:val="00373AB2"/>
    <w:rsid w:val="00374132"/>
    <w:rsid w:val="003747D7"/>
    <w:rsid w:val="0037595E"/>
    <w:rsid w:val="00375D1E"/>
    <w:rsid w:val="0037686A"/>
    <w:rsid w:val="00377AE3"/>
    <w:rsid w:val="003806C8"/>
    <w:rsid w:val="00380E3B"/>
    <w:rsid w:val="00381920"/>
    <w:rsid w:val="0038473A"/>
    <w:rsid w:val="00384D8A"/>
    <w:rsid w:val="003864E6"/>
    <w:rsid w:val="0038752A"/>
    <w:rsid w:val="003879CE"/>
    <w:rsid w:val="0039042D"/>
    <w:rsid w:val="003907AD"/>
    <w:rsid w:val="00390ABD"/>
    <w:rsid w:val="00390F50"/>
    <w:rsid w:val="003912EE"/>
    <w:rsid w:val="00391331"/>
    <w:rsid w:val="00391B2D"/>
    <w:rsid w:val="0039297F"/>
    <w:rsid w:val="00393E9F"/>
    <w:rsid w:val="00394E4E"/>
    <w:rsid w:val="00394E82"/>
    <w:rsid w:val="00394F2E"/>
    <w:rsid w:val="00395954"/>
    <w:rsid w:val="00395B03"/>
    <w:rsid w:val="00396009"/>
    <w:rsid w:val="00396048"/>
    <w:rsid w:val="003964C5"/>
    <w:rsid w:val="00396AC0"/>
    <w:rsid w:val="00396BA2"/>
    <w:rsid w:val="00396BB4"/>
    <w:rsid w:val="00396DB5"/>
    <w:rsid w:val="003A10FC"/>
    <w:rsid w:val="003A150A"/>
    <w:rsid w:val="003A1CD0"/>
    <w:rsid w:val="003A3AEA"/>
    <w:rsid w:val="003A4E7E"/>
    <w:rsid w:val="003A5C33"/>
    <w:rsid w:val="003A5C40"/>
    <w:rsid w:val="003A5F74"/>
    <w:rsid w:val="003A7C69"/>
    <w:rsid w:val="003B0F54"/>
    <w:rsid w:val="003B22E3"/>
    <w:rsid w:val="003B282E"/>
    <w:rsid w:val="003B3482"/>
    <w:rsid w:val="003B45D8"/>
    <w:rsid w:val="003B4C4A"/>
    <w:rsid w:val="003B53D5"/>
    <w:rsid w:val="003B57A5"/>
    <w:rsid w:val="003B7EF8"/>
    <w:rsid w:val="003C0A1B"/>
    <w:rsid w:val="003C0ECC"/>
    <w:rsid w:val="003C19F1"/>
    <w:rsid w:val="003C2562"/>
    <w:rsid w:val="003C2855"/>
    <w:rsid w:val="003C30B6"/>
    <w:rsid w:val="003C42A6"/>
    <w:rsid w:val="003C54D2"/>
    <w:rsid w:val="003C54FB"/>
    <w:rsid w:val="003C627F"/>
    <w:rsid w:val="003C6668"/>
    <w:rsid w:val="003C7202"/>
    <w:rsid w:val="003C7F6F"/>
    <w:rsid w:val="003D0786"/>
    <w:rsid w:val="003D07BF"/>
    <w:rsid w:val="003D2A49"/>
    <w:rsid w:val="003D2BF4"/>
    <w:rsid w:val="003D2F52"/>
    <w:rsid w:val="003D3005"/>
    <w:rsid w:val="003D30F6"/>
    <w:rsid w:val="003D35FE"/>
    <w:rsid w:val="003D3D15"/>
    <w:rsid w:val="003D3F29"/>
    <w:rsid w:val="003D4461"/>
    <w:rsid w:val="003D496D"/>
    <w:rsid w:val="003D66A6"/>
    <w:rsid w:val="003D6D41"/>
    <w:rsid w:val="003D7160"/>
    <w:rsid w:val="003D755B"/>
    <w:rsid w:val="003E06ED"/>
    <w:rsid w:val="003E07B7"/>
    <w:rsid w:val="003E1A36"/>
    <w:rsid w:val="003E1B9D"/>
    <w:rsid w:val="003E2235"/>
    <w:rsid w:val="003E23E6"/>
    <w:rsid w:val="003E2D1B"/>
    <w:rsid w:val="003E3D7A"/>
    <w:rsid w:val="003E3ECF"/>
    <w:rsid w:val="003E47E1"/>
    <w:rsid w:val="003E4B19"/>
    <w:rsid w:val="003E591C"/>
    <w:rsid w:val="003E597F"/>
    <w:rsid w:val="003E67D5"/>
    <w:rsid w:val="003E6BBF"/>
    <w:rsid w:val="003E6DB1"/>
    <w:rsid w:val="003F000F"/>
    <w:rsid w:val="003F0092"/>
    <w:rsid w:val="003F0554"/>
    <w:rsid w:val="003F05F9"/>
    <w:rsid w:val="003F06DF"/>
    <w:rsid w:val="003F2274"/>
    <w:rsid w:val="003F22B8"/>
    <w:rsid w:val="003F3081"/>
    <w:rsid w:val="003F329E"/>
    <w:rsid w:val="003F40D2"/>
    <w:rsid w:val="003F4535"/>
    <w:rsid w:val="003F45BE"/>
    <w:rsid w:val="003F4DC9"/>
    <w:rsid w:val="003F5523"/>
    <w:rsid w:val="003F6733"/>
    <w:rsid w:val="003F7F23"/>
    <w:rsid w:val="0040009B"/>
    <w:rsid w:val="00402FF8"/>
    <w:rsid w:val="00403414"/>
    <w:rsid w:val="0040491A"/>
    <w:rsid w:val="00405010"/>
    <w:rsid w:val="00405104"/>
    <w:rsid w:val="00405917"/>
    <w:rsid w:val="00406470"/>
    <w:rsid w:val="00406812"/>
    <w:rsid w:val="00407629"/>
    <w:rsid w:val="00407FFB"/>
    <w:rsid w:val="004101B1"/>
    <w:rsid w:val="00410C2C"/>
    <w:rsid w:val="00410CDA"/>
    <w:rsid w:val="00410F5A"/>
    <w:rsid w:val="00412878"/>
    <w:rsid w:val="00412A88"/>
    <w:rsid w:val="00412E4B"/>
    <w:rsid w:val="004147B2"/>
    <w:rsid w:val="004147E4"/>
    <w:rsid w:val="00414949"/>
    <w:rsid w:val="00415A74"/>
    <w:rsid w:val="0041600A"/>
    <w:rsid w:val="0041660D"/>
    <w:rsid w:val="0041670D"/>
    <w:rsid w:val="004168CF"/>
    <w:rsid w:val="00416B1B"/>
    <w:rsid w:val="00417A88"/>
    <w:rsid w:val="00421458"/>
    <w:rsid w:val="00422C21"/>
    <w:rsid w:val="0042364D"/>
    <w:rsid w:val="00423969"/>
    <w:rsid w:val="00424980"/>
    <w:rsid w:val="00424A41"/>
    <w:rsid w:val="00424BB2"/>
    <w:rsid w:val="00424CEA"/>
    <w:rsid w:val="00424D26"/>
    <w:rsid w:val="00424E4A"/>
    <w:rsid w:val="00424EF5"/>
    <w:rsid w:val="004253A8"/>
    <w:rsid w:val="004256D1"/>
    <w:rsid w:val="00426215"/>
    <w:rsid w:val="00426CA4"/>
    <w:rsid w:val="004279E8"/>
    <w:rsid w:val="00427A3E"/>
    <w:rsid w:val="004316BD"/>
    <w:rsid w:val="00431980"/>
    <w:rsid w:val="004320C3"/>
    <w:rsid w:val="004324EA"/>
    <w:rsid w:val="00433057"/>
    <w:rsid w:val="004335DB"/>
    <w:rsid w:val="004344A3"/>
    <w:rsid w:val="00435670"/>
    <w:rsid w:val="00436466"/>
    <w:rsid w:val="00440189"/>
    <w:rsid w:val="00440364"/>
    <w:rsid w:val="00440AE5"/>
    <w:rsid w:val="004413B2"/>
    <w:rsid w:val="00441528"/>
    <w:rsid w:val="0044240B"/>
    <w:rsid w:val="00443F7F"/>
    <w:rsid w:val="004445EB"/>
    <w:rsid w:val="004447A5"/>
    <w:rsid w:val="00450286"/>
    <w:rsid w:val="00450697"/>
    <w:rsid w:val="00451659"/>
    <w:rsid w:val="00452144"/>
    <w:rsid w:val="004523A0"/>
    <w:rsid w:val="004533E5"/>
    <w:rsid w:val="004547BF"/>
    <w:rsid w:val="00454E6B"/>
    <w:rsid w:val="00455136"/>
    <w:rsid w:val="004552CB"/>
    <w:rsid w:val="004560C1"/>
    <w:rsid w:val="004560CC"/>
    <w:rsid w:val="00457CA1"/>
    <w:rsid w:val="00460885"/>
    <w:rsid w:val="00460E2C"/>
    <w:rsid w:val="00461582"/>
    <w:rsid w:val="0046167F"/>
    <w:rsid w:val="00461C1D"/>
    <w:rsid w:val="00462133"/>
    <w:rsid w:val="00462FAE"/>
    <w:rsid w:val="00463097"/>
    <w:rsid w:val="00463363"/>
    <w:rsid w:val="004639CA"/>
    <w:rsid w:val="00465BA1"/>
    <w:rsid w:val="00466045"/>
    <w:rsid w:val="0046628B"/>
    <w:rsid w:val="0046695F"/>
    <w:rsid w:val="00466B70"/>
    <w:rsid w:val="004670F8"/>
    <w:rsid w:val="00467B96"/>
    <w:rsid w:val="004702DF"/>
    <w:rsid w:val="0047165B"/>
    <w:rsid w:val="004716A9"/>
    <w:rsid w:val="004722E1"/>
    <w:rsid w:val="00472A89"/>
    <w:rsid w:val="00473580"/>
    <w:rsid w:val="00473CB2"/>
    <w:rsid w:val="00473DC3"/>
    <w:rsid w:val="004746FE"/>
    <w:rsid w:val="004757C7"/>
    <w:rsid w:val="0047582F"/>
    <w:rsid w:val="0047610E"/>
    <w:rsid w:val="004766A5"/>
    <w:rsid w:val="00476BE7"/>
    <w:rsid w:val="00477E66"/>
    <w:rsid w:val="00480221"/>
    <w:rsid w:val="00480332"/>
    <w:rsid w:val="00481FDA"/>
    <w:rsid w:val="00482960"/>
    <w:rsid w:val="00483B35"/>
    <w:rsid w:val="0048491E"/>
    <w:rsid w:val="00486007"/>
    <w:rsid w:val="004872F7"/>
    <w:rsid w:val="00487A73"/>
    <w:rsid w:val="00487FB5"/>
    <w:rsid w:val="004901EB"/>
    <w:rsid w:val="00490DF1"/>
    <w:rsid w:val="00491C57"/>
    <w:rsid w:val="0049215D"/>
    <w:rsid w:val="00492860"/>
    <w:rsid w:val="004937B0"/>
    <w:rsid w:val="00494099"/>
    <w:rsid w:val="00494BFF"/>
    <w:rsid w:val="00494DEF"/>
    <w:rsid w:val="004950AF"/>
    <w:rsid w:val="0049590B"/>
    <w:rsid w:val="00495EFF"/>
    <w:rsid w:val="00497E27"/>
    <w:rsid w:val="004A1414"/>
    <w:rsid w:val="004A1F2B"/>
    <w:rsid w:val="004A3034"/>
    <w:rsid w:val="004A45F5"/>
    <w:rsid w:val="004A4D71"/>
    <w:rsid w:val="004A4DEF"/>
    <w:rsid w:val="004A5B7F"/>
    <w:rsid w:val="004A5E20"/>
    <w:rsid w:val="004A5F6A"/>
    <w:rsid w:val="004A78F8"/>
    <w:rsid w:val="004B14BA"/>
    <w:rsid w:val="004B177E"/>
    <w:rsid w:val="004B1A44"/>
    <w:rsid w:val="004B1FD9"/>
    <w:rsid w:val="004B21A7"/>
    <w:rsid w:val="004B26A3"/>
    <w:rsid w:val="004B2828"/>
    <w:rsid w:val="004B2D30"/>
    <w:rsid w:val="004B3701"/>
    <w:rsid w:val="004B37CB"/>
    <w:rsid w:val="004B4F97"/>
    <w:rsid w:val="004B5FF3"/>
    <w:rsid w:val="004B66BA"/>
    <w:rsid w:val="004B688A"/>
    <w:rsid w:val="004B69D8"/>
    <w:rsid w:val="004B6EBB"/>
    <w:rsid w:val="004B6FF9"/>
    <w:rsid w:val="004B75B8"/>
    <w:rsid w:val="004B7B3E"/>
    <w:rsid w:val="004C0EF0"/>
    <w:rsid w:val="004C174F"/>
    <w:rsid w:val="004C18E2"/>
    <w:rsid w:val="004C1CBE"/>
    <w:rsid w:val="004C1EBD"/>
    <w:rsid w:val="004C2D9A"/>
    <w:rsid w:val="004C45E1"/>
    <w:rsid w:val="004C5339"/>
    <w:rsid w:val="004C5E9F"/>
    <w:rsid w:val="004C797E"/>
    <w:rsid w:val="004C7A10"/>
    <w:rsid w:val="004D069B"/>
    <w:rsid w:val="004D1F6F"/>
    <w:rsid w:val="004D2CCD"/>
    <w:rsid w:val="004D357A"/>
    <w:rsid w:val="004D3C23"/>
    <w:rsid w:val="004D3E6E"/>
    <w:rsid w:val="004D4C50"/>
    <w:rsid w:val="004D57B7"/>
    <w:rsid w:val="004D59B2"/>
    <w:rsid w:val="004D76E5"/>
    <w:rsid w:val="004D7B94"/>
    <w:rsid w:val="004E00A5"/>
    <w:rsid w:val="004E0C77"/>
    <w:rsid w:val="004E169F"/>
    <w:rsid w:val="004E2CED"/>
    <w:rsid w:val="004E2D98"/>
    <w:rsid w:val="004E31ED"/>
    <w:rsid w:val="004E342C"/>
    <w:rsid w:val="004E37D5"/>
    <w:rsid w:val="004E396B"/>
    <w:rsid w:val="004E449B"/>
    <w:rsid w:val="004E4F13"/>
    <w:rsid w:val="004E50F1"/>
    <w:rsid w:val="004E5169"/>
    <w:rsid w:val="004E54BD"/>
    <w:rsid w:val="004E613A"/>
    <w:rsid w:val="004E6755"/>
    <w:rsid w:val="004F0CB1"/>
    <w:rsid w:val="004F0CEC"/>
    <w:rsid w:val="004F0F74"/>
    <w:rsid w:val="004F1A7A"/>
    <w:rsid w:val="004F2827"/>
    <w:rsid w:val="004F3AA1"/>
    <w:rsid w:val="004F46C0"/>
    <w:rsid w:val="004F49DA"/>
    <w:rsid w:val="004F4AB6"/>
    <w:rsid w:val="004F6099"/>
    <w:rsid w:val="004F61A3"/>
    <w:rsid w:val="004F643A"/>
    <w:rsid w:val="004F6464"/>
    <w:rsid w:val="004F6681"/>
    <w:rsid w:val="004F690E"/>
    <w:rsid w:val="004F6E9A"/>
    <w:rsid w:val="004F75E7"/>
    <w:rsid w:val="004F7B46"/>
    <w:rsid w:val="00500457"/>
    <w:rsid w:val="005004D4"/>
    <w:rsid w:val="00502EE2"/>
    <w:rsid w:val="005032A3"/>
    <w:rsid w:val="00503494"/>
    <w:rsid w:val="00504544"/>
    <w:rsid w:val="00504824"/>
    <w:rsid w:val="00504FFD"/>
    <w:rsid w:val="0050524F"/>
    <w:rsid w:val="0050526E"/>
    <w:rsid w:val="00505B17"/>
    <w:rsid w:val="00505DCD"/>
    <w:rsid w:val="0050619F"/>
    <w:rsid w:val="00506232"/>
    <w:rsid w:val="005069E3"/>
    <w:rsid w:val="00506E30"/>
    <w:rsid w:val="005101F4"/>
    <w:rsid w:val="00510786"/>
    <w:rsid w:val="00510B76"/>
    <w:rsid w:val="00511452"/>
    <w:rsid w:val="005119CC"/>
    <w:rsid w:val="00511A1D"/>
    <w:rsid w:val="00512475"/>
    <w:rsid w:val="00512DE8"/>
    <w:rsid w:val="00512E73"/>
    <w:rsid w:val="00513109"/>
    <w:rsid w:val="005142DF"/>
    <w:rsid w:val="00515033"/>
    <w:rsid w:val="00515A65"/>
    <w:rsid w:val="005160F5"/>
    <w:rsid w:val="005165FC"/>
    <w:rsid w:val="00516675"/>
    <w:rsid w:val="00517292"/>
    <w:rsid w:val="00517C91"/>
    <w:rsid w:val="00520C04"/>
    <w:rsid w:val="0052228D"/>
    <w:rsid w:val="0052281B"/>
    <w:rsid w:val="00522ED4"/>
    <w:rsid w:val="00523301"/>
    <w:rsid w:val="00523A24"/>
    <w:rsid w:val="00523AF0"/>
    <w:rsid w:val="0052478F"/>
    <w:rsid w:val="00525003"/>
    <w:rsid w:val="00525DAC"/>
    <w:rsid w:val="00526C95"/>
    <w:rsid w:val="00527408"/>
    <w:rsid w:val="005307A6"/>
    <w:rsid w:val="00530E45"/>
    <w:rsid w:val="00531736"/>
    <w:rsid w:val="005319C0"/>
    <w:rsid w:val="005326F3"/>
    <w:rsid w:val="0053316D"/>
    <w:rsid w:val="00533337"/>
    <w:rsid w:val="0053370C"/>
    <w:rsid w:val="0053440F"/>
    <w:rsid w:val="00535041"/>
    <w:rsid w:val="00535CD2"/>
    <w:rsid w:val="005364D0"/>
    <w:rsid w:val="005365F6"/>
    <w:rsid w:val="00536D4F"/>
    <w:rsid w:val="0053750B"/>
    <w:rsid w:val="005378EE"/>
    <w:rsid w:val="005406D1"/>
    <w:rsid w:val="00541458"/>
    <w:rsid w:val="0054152F"/>
    <w:rsid w:val="00541BD5"/>
    <w:rsid w:val="00541EB6"/>
    <w:rsid w:val="005420C2"/>
    <w:rsid w:val="005430F2"/>
    <w:rsid w:val="005442A1"/>
    <w:rsid w:val="00546556"/>
    <w:rsid w:val="00546CC6"/>
    <w:rsid w:val="00546DBF"/>
    <w:rsid w:val="00546E41"/>
    <w:rsid w:val="005472C2"/>
    <w:rsid w:val="005509C4"/>
    <w:rsid w:val="00550C5E"/>
    <w:rsid w:val="00550D48"/>
    <w:rsid w:val="00550D53"/>
    <w:rsid w:val="005516BB"/>
    <w:rsid w:val="005530B1"/>
    <w:rsid w:val="00553379"/>
    <w:rsid w:val="00553961"/>
    <w:rsid w:val="00553D02"/>
    <w:rsid w:val="00554428"/>
    <w:rsid w:val="005554D0"/>
    <w:rsid w:val="005556C3"/>
    <w:rsid w:val="0055575D"/>
    <w:rsid w:val="00555843"/>
    <w:rsid w:val="00555D20"/>
    <w:rsid w:val="00555D65"/>
    <w:rsid w:val="0056018F"/>
    <w:rsid w:val="0056099E"/>
    <w:rsid w:val="00560D34"/>
    <w:rsid w:val="005623A0"/>
    <w:rsid w:val="00562CD1"/>
    <w:rsid w:val="0056304D"/>
    <w:rsid w:val="005630E0"/>
    <w:rsid w:val="00563300"/>
    <w:rsid w:val="00563B60"/>
    <w:rsid w:val="00564219"/>
    <w:rsid w:val="00564422"/>
    <w:rsid w:val="00564463"/>
    <w:rsid w:val="00564883"/>
    <w:rsid w:val="00564DEB"/>
    <w:rsid w:val="00564EED"/>
    <w:rsid w:val="00566597"/>
    <w:rsid w:val="00566F7C"/>
    <w:rsid w:val="00567CB0"/>
    <w:rsid w:val="005701F4"/>
    <w:rsid w:val="005706CE"/>
    <w:rsid w:val="00570DD8"/>
    <w:rsid w:val="00570E20"/>
    <w:rsid w:val="0057176C"/>
    <w:rsid w:val="00574C51"/>
    <w:rsid w:val="00574D60"/>
    <w:rsid w:val="00575DD2"/>
    <w:rsid w:val="00575E3E"/>
    <w:rsid w:val="00575F64"/>
    <w:rsid w:val="005760F4"/>
    <w:rsid w:val="00576EBB"/>
    <w:rsid w:val="005812FE"/>
    <w:rsid w:val="00581E73"/>
    <w:rsid w:val="00583315"/>
    <w:rsid w:val="0058338D"/>
    <w:rsid w:val="00583CBE"/>
    <w:rsid w:val="0058415E"/>
    <w:rsid w:val="005858F5"/>
    <w:rsid w:val="0058593A"/>
    <w:rsid w:val="00585DD8"/>
    <w:rsid w:val="005863D3"/>
    <w:rsid w:val="00586C09"/>
    <w:rsid w:val="005910B5"/>
    <w:rsid w:val="0059136D"/>
    <w:rsid w:val="005919B1"/>
    <w:rsid w:val="005928BB"/>
    <w:rsid w:val="00592A59"/>
    <w:rsid w:val="00593CCD"/>
    <w:rsid w:val="005947F0"/>
    <w:rsid w:val="00594DAA"/>
    <w:rsid w:val="0059533A"/>
    <w:rsid w:val="00595E28"/>
    <w:rsid w:val="0059617C"/>
    <w:rsid w:val="0059767E"/>
    <w:rsid w:val="005977FB"/>
    <w:rsid w:val="005A03F1"/>
    <w:rsid w:val="005A0D08"/>
    <w:rsid w:val="005A0FFC"/>
    <w:rsid w:val="005A26A9"/>
    <w:rsid w:val="005A29F1"/>
    <w:rsid w:val="005A2F38"/>
    <w:rsid w:val="005A3B03"/>
    <w:rsid w:val="005A57CF"/>
    <w:rsid w:val="005A5DA6"/>
    <w:rsid w:val="005A662C"/>
    <w:rsid w:val="005A73CB"/>
    <w:rsid w:val="005B1010"/>
    <w:rsid w:val="005B1CE0"/>
    <w:rsid w:val="005B1DD2"/>
    <w:rsid w:val="005B2A23"/>
    <w:rsid w:val="005B2DEA"/>
    <w:rsid w:val="005B2F90"/>
    <w:rsid w:val="005B2FA6"/>
    <w:rsid w:val="005B34BF"/>
    <w:rsid w:val="005B407A"/>
    <w:rsid w:val="005B6F21"/>
    <w:rsid w:val="005B7BCA"/>
    <w:rsid w:val="005C07A8"/>
    <w:rsid w:val="005C1218"/>
    <w:rsid w:val="005C1615"/>
    <w:rsid w:val="005C1788"/>
    <w:rsid w:val="005C1911"/>
    <w:rsid w:val="005C1F0E"/>
    <w:rsid w:val="005C2393"/>
    <w:rsid w:val="005C262B"/>
    <w:rsid w:val="005C2933"/>
    <w:rsid w:val="005C2F49"/>
    <w:rsid w:val="005C3A15"/>
    <w:rsid w:val="005C3E1D"/>
    <w:rsid w:val="005C4A40"/>
    <w:rsid w:val="005C56AD"/>
    <w:rsid w:val="005C5C09"/>
    <w:rsid w:val="005C5DD2"/>
    <w:rsid w:val="005C5F6E"/>
    <w:rsid w:val="005C68C8"/>
    <w:rsid w:val="005C68E2"/>
    <w:rsid w:val="005C7D62"/>
    <w:rsid w:val="005D0690"/>
    <w:rsid w:val="005D073E"/>
    <w:rsid w:val="005D0F3C"/>
    <w:rsid w:val="005D111E"/>
    <w:rsid w:val="005D18E7"/>
    <w:rsid w:val="005D3235"/>
    <w:rsid w:val="005D38CF"/>
    <w:rsid w:val="005D3B84"/>
    <w:rsid w:val="005D3CF8"/>
    <w:rsid w:val="005D40A0"/>
    <w:rsid w:val="005D4708"/>
    <w:rsid w:val="005D4E16"/>
    <w:rsid w:val="005D5323"/>
    <w:rsid w:val="005D5509"/>
    <w:rsid w:val="005D5956"/>
    <w:rsid w:val="005D5DE8"/>
    <w:rsid w:val="005D5E54"/>
    <w:rsid w:val="005D608D"/>
    <w:rsid w:val="005D629A"/>
    <w:rsid w:val="005D7637"/>
    <w:rsid w:val="005D79E0"/>
    <w:rsid w:val="005E0952"/>
    <w:rsid w:val="005E0E58"/>
    <w:rsid w:val="005E0E62"/>
    <w:rsid w:val="005E1A42"/>
    <w:rsid w:val="005E2063"/>
    <w:rsid w:val="005E21D1"/>
    <w:rsid w:val="005E23B8"/>
    <w:rsid w:val="005E241A"/>
    <w:rsid w:val="005E324A"/>
    <w:rsid w:val="005E3434"/>
    <w:rsid w:val="005E45F2"/>
    <w:rsid w:val="005E46F4"/>
    <w:rsid w:val="005E4747"/>
    <w:rsid w:val="005E4A88"/>
    <w:rsid w:val="005E4B74"/>
    <w:rsid w:val="005E5652"/>
    <w:rsid w:val="005E56E2"/>
    <w:rsid w:val="005E6258"/>
    <w:rsid w:val="005E6375"/>
    <w:rsid w:val="005E6CAC"/>
    <w:rsid w:val="005E73BA"/>
    <w:rsid w:val="005F0034"/>
    <w:rsid w:val="005F0155"/>
    <w:rsid w:val="005F01AD"/>
    <w:rsid w:val="005F06AD"/>
    <w:rsid w:val="005F1066"/>
    <w:rsid w:val="005F1A06"/>
    <w:rsid w:val="005F1FDC"/>
    <w:rsid w:val="005F25A6"/>
    <w:rsid w:val="005F3DDD"/>
    <w:rsid w:val="005F4271"/>
    <w:rsid w:val="005F4671"/>
    <w:rsid w:val="005F48A7"/>
    <w:rsid w:val="005F57E2"/>
    <w:rsid w:val="005F61A0"/>
    <w:rsid w:val="005F641E"/>
    <w:rsid w:val="005F6BBF"/>
    <w:rsid w:val="005F76C9"/>
    <w:rsid w:val="00600048"/>
    <w:rsid w:val="006006E6"/>
    <w:rsid w:val="00600987"/>
    <w:rsid w:val="00600C12"/>
    <w:rsid w:val="00600E6F"/>
    <w:rsid w:val="00601247"/>
    <w:rsid w:val="00602BC2"/>
    <w:rsid w:val="006033AE"/>
    <w:rsid w:val="00603BE7"/>
    <w:rsid w:val="00603EAB"/>
    <w:rsid w:val="00603FA8"/>
    <w:rsid w:val="00604408"/>
    <w:rsid w:val="00604A5C"/>
    <w:rsid w:val="00605725"/>
    <w:rsid w:val="006063AE"/>
    <w:rsid w:val="006065E7"/>
    <w:rsid w:val="0060666F"/>
    <w:rsid w:val="00606AA1"/>
    <w:rsid w:val="00607534"/>
    <w:rsid w:val="00607625"/>
    <w:rsid w:val="00607AF4"/>
    <w:rsid w:val="006104BF"/>
    <w:rsid w:val="0061118F"/>
    <w:rsid w:val="00611229"/>
    <w:rsid w:val="006117AB"/>
    <w:rsid w:val="0061202A"/>
    <w:rsid w:val="00612EC9"/>
    <w:rsid w:val="00613236"/>
    <w:rsid w:val="00613571"/>
    <w:rsid w:val="00613B3C"/>
    <w:rsid w:val="00613F17"/>
    <w:rsid w:val="00613F1D"/>
    <w:rsid w:val="00614CB4"/>
    <w:rsid w:val="00615452"/>
    <w:rsid w:val="00615508"/>
    <w:rsid w:val="0061595F"/>
    <w:rsid w:val="00615BE3"/>
    <w:rsid w:val="00616324"/>
    <w:rsid w:val="006165AC"/>
    <w:rsid w:val="006165ED"/>
    <w:rsid w:val="0061715A"/>
    <w:rsid w:val="00617925"/>
    <w:rsid w:val="00617B8E"/>
    <w:rsid w:val="00617C95"/>
    <w:rsid w:val="00620135"/>
    <w:rsid w:val="00620782"/>
    <w:rsid w:val="00620872"/>
    <w:rsid w:val="0062165E"/>
    <w:rsid w:val="006218D6"/>
    <w:rsid w:val="00621BC5"/>
    <w:rsid w:val="00622125"/>
    <w:rsid w:val="006222DA"/>
    <w:rsid w:val="00622CD0"/>
    <w:rsid w:val="0062310A"/>
    <w:rsid w:val="00623275"/>
    <w:rsid w:val="00624446"/>
    <w:rsid w:val="00624513"/>
    <w:rsid w:val="0062466B"/>
    <w:rsid w:val="00626865"/>
    <w:rsid w:val="006277F2"/>
    <w:rsid w:val="00630697"/>
    <w:rsid w:val="00630AA6"/>
    <w:rsid w:val="00630BEB"/>
    <w:rsid w:val="00630E27"/>
    <w:rsid w:val="00632180"/>
    <w:rsid w:val="00632685"/>
    <w:rsid w:val="00632760"/>
    <w:rsid w:val="006327AE"/>
    <w:rsid w:val="00633049"/>
    <w:rsid w:val="00634750"/>
    <w:rsid w:val="00635239"/>
    <w:rsid w:val="006373D7"/>
    <w:rsid w:val="00637EB6"/>
    <w:rsid w:val="00640218"/>
    <w:rsid w:val="00640883"/>
    <w:rsid w:val="006411A2"/>
    <w:rsid w:val="006415D5"/>
    <w:rsid w:val="0064267E"/>
    <w:rsid w:val="00642FB6"/>
    <w:rsid w:val="006431A1"/>
    <w:rsid w:val="0064326F"/>
    <w:rsid w:val="00643EAA"/>
    <w:rsid w:val="0064446F"/>
    <w:rsid w:val="00644FA1"/>
    <w:rsid w:val="0064642C"/>
    <w:rsid w:val="00646583"/>
    <w:rsid w:val="00646DE1"/>
    <w:rsid w:val="00647453"/>
    <w:rsid w:val="00650112"/>
    <w:rsid w:val="00650532"/>
    <w:rsid w:val="00651DCA"/>
    <w:rsid w:val="00651DF8"/>
    <w:rsid w:val="00651EA5"/>
    <w:rsid w:val="00651FC2"/>
    <w:rsid w:val="006530BC"/>
    <w:rsid w:val="00653FA8"/>
    <w:rsid w:val="006551AE"/>
    <w:rsid w:val="00655841"/>
    <w:rsid w:val="00655DF3"/>
    <w:rsid w:val="00656037"/>
    <w:rsid w:val="0065609E"/>
    <w:rsid w:val="0065640C"/>
    <w:rsid w:val="006565A4"/>
    <w:rsid w:val="006568AD"/>
    <w:rsid w:val="00656DAD"/>
    <w:rsid w:val="0065790B"/>
    <w:rsid w:val="00657CED"/>
    <w:rsid w:val="00657F82"/>
    <w:rsid w:val="00661924"/>
    <w:rsid w:val="0066336A"/>
    <w:rsid w:val="006635B0"/>
    <w:rsid w:val="0066401A"/>
    <w:rsid w:val="00664C58"/>
    <w:rsid w:val="00665D75"/>
    <w:rsid w:val="00666290"/>
    <w:rsid w:val="00666BAF"/>
    <w:rsid w:val="00666D24"/>
    <w:rsid w:val="00667146"/>
    <w:rsid w:val="006672CD"/>
    <w:rsid w:val="006701A8"/>
    <w:rsid w:val="006701E6"/>
    <w:rsid w:val="0067067F"/>
    <w:rsid w:val="00670685"/>
    <w:rsid w:val="00670BDF"/>
    <w:rsid w:val="00671644"/>
    <w:rsid w:val="00674387"/>
    <w:rsid w:val="006747AC"/>
    <w:rsid w:val="00674847"/>
    <w:rsid w:val="00674B96"/>
    <w:rsid w:val="006751F7"/>
    <w:rsid w:val="00675291"/>
    <w:rsid w:val="00675A18"/>
    <w:rsid w:val="006766EE"/>
    <w:rsid w:val="00676908"/>
    <w:rsid w:val="00677998"/>
    <w:rsid w:val="006804F7"/>
    <w:rsid w:val="00680E1D"/>
    <w:rsid w:val="00681303"/>
    <w:rsid w:val="00681D98"/>
    <w:rsid w:val="006831B9"/>
    <w:rsid w:val="006839D1"/>
    <w:rsid w:val="0068428B"/>
    <w:rsid w:val="00684DC7"/>
    <w:rsid w:val="00685376"/>
    <w:rsid w:val="00685FC5"/>
    <w:rsid w:val="00686058"/>
    <w:rsid w:val="00686F4C"/>
    <w:rsid w:val="00687024"/>
    <w:rsid w:val="006904E8"/>
    <w:rsid w:val="0069138A"/>
    <w:rsid w:val="00691391"/>
    <w:rsid w:val="006916EB"/>
    <w:rsid w:val="0069177F"/>
    <w:rsid w:val="00691F1C"/>
    <w:rsid w:val="00691F64"/>
    <w:rsid w:val="006923EA"/>
    <w:rsid w:val="00692B3D"/>
    <w:rsid w:val="00692CD9"/>
    <w:rsid w:val="006933AD"/>
    <w:rsid w:val="00693C30"/>
    <w:rsid w:val="00695999"/>
    <w:rsid w:val="006959D4"/>
    <w:rsid w:val="00695F59"/>
    <w:rsid w:val="00696669"/>
    <w:rsid w:val="006967E0"/>
    <w:rsid w:val="0069688D"/>
    <w:rsid w:val="00696E5B"/>
    <w:rsid w:val="006A06FD"/>
    <w:rsid w:val="006A0B2F"/>
    <w:rsid w:val="006A10C8"/>
    <w:rsid w:val="006A1E06"/>
    <w:rsid w:val="006A21A7"/>
    <w:rsid w:val="006A3832"/>
    <w:rsid w:val="006A3B0E"/>
    <w:rsid w:val="006A577E"/>
    <w:rsid w:val="006A5F7E"/>
    <w:rsid w:val="006A6C58"/>
    <w:rsid w:val="006A6DEA"/>
    <w:rsid w:val="006A71DE"/>
    <w:rsid w:val="006A77E6"/>
    <w:rsid w:val="006A7D0B"/>
    <w:rsid w:val="006B052F"/>
    <w:rsid w:val="006B0FB4"/>
    <w:rsid w:val="006B17A7"/>
    <w:rsid w:val="006B1EF9"/>
    <w:rsid w:val="006B2DD2"/>
    <w:rsid w:val="006B310A"/>
    <w:rsid w:val="006B444B"/>
    <w:rsid w:val="006B56FB"/>
    <w:rsid w:val="006B59D1"/>
    <w:rsid w:val="006B6C87"/>
    <w:rsid w:val="006B6DA0"/>
    <w:rsid w:val="006B7337"/>
    <w:rsid w:val="006B7A17"/>
    <w:rsid w:val="006B7E11"/>
    <w:rsid w:val="006C1204"/>
    <w:rsid w:val="006C1922"/>
    <w:rsid w:val="006C1D23"/>
    <w:rsid w:val="006C1F94"/>
    <w:rsid w:val="006C31DC"/>
    <w:rsid w:val="006C324F"/>
    <w:rsid w:val="006C45AA"/>
    <w:rsid w:val="006C4611"/>
    <w:rsid w:val="006C4784"/>
    <w:rsid w:val="006C4E23"/>
    <w:rsid w:val="006C5171"/>
    <w:rsid w:val="006C5F70"/>
    <w:rsid w:val="006C6108"/>
    <w:rsid w:val="006C6395"/>
    <w:rsid w:val="006C6FF6"/>
    <w:rsid w:val="006C7125"/>
    <w:rsid w:val="006D049A"/>
    <w:rsid w:val="006D0A1F"/>
    <w:rsid w:val="006D0CE5"/>
    <w:rsid w:val="006D255D"/>
    <w:rsid w:val="006D26BF"/>
    <w:rsid w:val="006D2907"/>
    <w:rsid w:val="006D3603"/>
    <w:rsid w:val="006D48F2"/>
    <w:rsid w:val="006D5E7C"/>
    <w:rsid w:val="006D656F"/>
    <w:rsid w:val="006D6BB3"/>
    <w:rsid w:val="006D7C19"/>
    <w:rsid w:val="006E1FC2"/>
    <w:rsid w:val="006E2080"/>
    <w:rsid w:val="006E221A"/>
    <w:rsid w:val="006E259A"/>
    <w:rsid w:val="006E25D8"/>
    <w:rsid w:val="006E25E3"/>
    <w:rsid w:val="006E28B5"/>
    <w:rsid w:val="006E306C"/>
    <w:rsid w:val="006E307C"/>
    <w:rsid w:val="006E33AB"/>
    <w:rsid w:val="006E33BB"/>
    <w:rsid w:val="006E422D"/>
    <w:rsid w:val="006E455A"/>
    <w:rsid w:val="006E4758"/>
    <w:rsid w:val="006E5199"/>
    <w:rsid w:val="006E66B6"/>
    <w:rsid w:val="006E7023"/>
    <w:rsid w:val="006E763F"/>
    <w:rsid w:val="006E795C"/>
    <w:rsid w:val="006F11BF"/>
    <w:rsid w:val="006F1657"/>
    <w:rsid w:val="006F18CC"/>
    <w:rsid w:val="006F1FA5"/>
    <w:rsid w:val="006F21F2"/>
    <w:rsid w:val="006F299F"/>
    <w:rsid w:val="006F2AEC"/>
    <w:rsid w:val="006F3CC7"/>
    <w:rsid w:val="006F44AB"/>
    <w:rsid w:val="006F46DD"/>
    <w:rsid w:val="006F4876"/>
    <w:rsid w:val="006F4F1D"/>
    <w:rsid w:val="006F51FD"/>
    <w:rsid w:val="006F5388"/>
    <w:rsid w:val="006F5834"/>
    <w:rsid w:val="006F5981"/>
    <w:rsid w:val="006F60BF"/>
    <w:rsid w:val="006F7FCB"/>
    <w:rsid w:val="00700BCB"/>
    <w:rsid w:val="007016E7"/>
    <w:rsid w:val="00701CC7"/>
    <w:rsid w:val="00702DE2"/>
    <w:rsid w:val="00703064"/>
    <w:rsid w:val="007030BC"/>
    <w:rsid w:val="00703731"/>
    <w:rsid w:val="00703C81"/>
    <w:rsid w:val="00704A4E"/>
    <w:rsid w:val="00706597"/>
    <w:rsid w:val="00706895"/>
    <w:rsid w:val="00706DA2"/>
    <w:rsid w:val="0070720B"/>
    <w:rsid w:val="00707EBF"/>
    <w:rsid w:val="00707EE7"/>
    <w:rsid w:val="007108BA"/>
    <w:rsid w:val="00711268"/>
    <w:rsid w:val="007112F2"/>
    <w:rsid w:val="00711B2A"/>
    <w:rsid w:val="007121F9"/>
    <w:rsid w:val="0071357B"/>
    <w:rsid w:val="007137FC"/>
    <w:rsid w:val="00713D98"/>
    <w:rsid w:val="007141BE"/>
    <w:rsid w:val="00714221"/>
    <w:rsid w:val="00714D9F"/>
    <w:rsid w:val="007157FF"/>
    <w:rsid w:val="00715E08"/>
    <w:rsid w:val="007173CA"/>
    <w:rsid w:val="007173F7"/>
    <w:rsid w:val="007178E6"/>
    <w:rsid w:val="00720226"/>
    <w:rsid w:val="00720762"/>
    <w:rsid w:val="007212AD"/>
    <w:rsid w:val="0072153C"/>
    <w:rsid w:val="00722481"/>
    <w:rsid w:val="00722716"/>
    <w:rsid w:val="00723807"/>
    <w:rsid w:val="00723D96"/>
    <w:rsid w:val="00723EC5"/>
    <w:rsid w:val="007255C3"/>
    <w:rsid w:val="0072575D"/>
    <w:rsid w:val="007263C9"/>
    <w:rsid w:val="007266DE"/>
    <w:rsid w:val="00726988"/>
    <w:rsid w:val="00727EAC"/>
    <w:rsid w:val="00731070"/>
    <w:rsid w:val="00731496"/>
    <w:rsid w:val="007317C1"/>
    <w:rsid w:val="00731DE5"/>
    <w:rsid w:val="0073213E"/>
    <w:rsid w:val="00732BAB"/>
    <w:rsid w:val="00734036"/>
    <w:rsid w:val="007355B8"/>
    <w:rsid w:val="0073699F"/>
    <w:rsid w:val="00736A7C"/>
    <w:rsid w:val="00736FDD"/>
    <w:rsid w:val="00737165"/>
    <w:rsid w:val="007377BA"/>
    <w:rsid w:val="00740557"/>
    <w:rsid w:val="00740B19"/>
    <w:rsid w:val="0074114E"/>
    <w:rsid w:val="00741450"/>
    <w:rsid w:val="00743245"/>
    <w:rsid w:val="00743469"/>
    <w:rsid w:val="007438BC"/>
    <w:rsid w:val="007438C0"/>
    <w:rsid w:val="00744CCC"/>
    <w:rsid w:val="00745337"/>
    <w:rsid w:val="007453C9"/>
    <w:rsid w:val="00745546"/>
    <w:rsid w:val="007455C1"/>
    <w:rsid w:val="00746A71"/>
    <w:rsid w:val="007500EA"/>
    <w:rsid w:val="00750454"/>
    <w:rsid w:val="007505B1"/>
    <w:rsid w:val="007505CA"/>
    <w:rsid w:val="007506C4"/>
    <w:rsid w:val="007508E2"/>
    <w:rsid w:val="00750B90"/>
    <w:rsid w:val="00750EDD"/>
    <w:rsid w:val="00751123"/>
    <w:rsid w:val="00751204"/>
    <w:rsid w:val="00751B1F"/>
    <w:rsid w:val="007521C3"/>
    <w:rsid w:val="00752307"/>
    <w:rsid w:val="00753293"/>
    <w:rsid w:val="00753C81"/>
    <w:rsid w:val="00755437"/>
    <w:rsid w:val="00756B0B"/>
    <w:rsid w:val="00756B3A"/>
    <w:rsid w:val="0075727A"/>
    <w:rsid w:val="007607C5"/>
    <w:rsid w:val="007633C4"/>
    <w:rsid w:val="00763682"/>
    <w:rsid w:val="00763690"/>
    <w:rsid w:val="007644AB"/>
    <w:rsid w:val="0076549E"/>
    <w:rsid w:val="007656BA"/>
    <w:rsid w:val="0076630C"/>
    <w:rsid w:val="00766C45"/>
    <w:rsid w:val="00766C5E"/>
    <w:rsid w:val="007709BD"/>
    <w:rsid w:val="00771247"/>
    <w:rsid w:val="00771993"/>
    <w:rsid w:val="00771B40"/>
    <w:rsid w:val="00771FAD"/>
    <w:rsid w:val="00772211"/>
    <w:rsid w:val="007726CC"/>
    <w:rsid w:val="00772B51"/>
    <w:rsid w:val="00773606"/>
    <w:rsid w:val="00773741"/>
    <w:rsid w:val="00773ECF"/>
    <w:rsid w:val="007746CC"/>
    <w:rsid w:val="0077492F"/>
    <w:rsid w:val="00775A2E"/>
    <w:rsid w:val="007768AA"/>
    <w:rsid w:val="00776E8E"/>
    <w:rsid w:val="00777042"/>
    <w:rsid w:val="007771EB"/>
    <w:rsid w:val="007778E8"/>
    <w:rsid w:val="00777AE4"/>
    <w:rsid w:val="00777D35"/>
    <w:rsid w:val="00780AF7"/>
    <w:rsid w:val="00780D30"/>
    <w:rsid w:val="00781133"/>
    <w:rsid w:val="00781C8F"/>
    <w:rsid w:val="0078204C"/>
    <w:rsid w:val="007824E3"/>
    <w:rsid w:val="00785969"/>
    <w:rsid w:val="007876DF"/>
    <w:rsid w:val="00787EBC"/>
    <w:rsid w:val="007908D9"/>
    <w:rsid w:val="00790FF3"/>
    <w:rsid w:val="0079284C"/>
    <w:rsid w:val="0079391B"/>
    <w:rsid w:val="00794566"/>
    <w:rsid w:val="00794706"/>
    <w:rsid w:val="00794CD6"/>
    <w:rsid w:val="00794CF6"/>
    <w:rsid w:val="00795923"/>
    <w:rsid w:val="007A0026"/>
    <w:rsid w:val="007A00BF"/>
    <w:rsid w:val="007A02B0"/>
    <w:rsid w:val="007A0805"/>
    <w:rsid w:val="007A2E3B"/>
    <w:rsid w:val="007A31E7"/>
    <w:rsid w:val="007A3F22"/>
    <w:rsid w:val="007A6183"/>
    <w:rsid w:val="007A673D"/>
    <w:rsid w:val="007A6F4E"/>
    <w:rsid w:val="007A796B"/>
    <w:rsid w:val="007A7E18"/>
    <w:rsid w:val="007B1EC4"/>
    <w:rsid w:val="007B2176"/>
    <w:rsid w:val="007B2BFA"/>
    <w:rsid w:val="007B2F5C"/>
    <w:rsid w:val="007B2FE3"/>
    <w:rsid w:val="007B317C"/>
    <w:rsid w:val="007B332E"/>
    <w:rsid w:val="007B3429"/>
    <w:rsid w:val="007B344C"/>
    <w:rsid w:val="007B3AA5"/>
    <w:rsid w:val="007B46EF"/>
    <w:rsid w:val="007B578E"/>
    <w:rsid w:val="007B59ED"/>
    <w:rsid w:val="007B5E01"/>
    <w:rsid w:val="007B6083"/>
    <w:rsid w:val="007B6478"/>
    <w:rsid w:val="007B6E69"/>
    <w:rsid w:val="007B7500"/>
    <w:rsid w:val="007C0533"/>
    <w:rsid w:val="007C05FB"/>
    <w:rsid w:val="007C0727"/>
    <w:rsid w:val="007C268F"/>
    <w:rsid w:val="007C3249"/>
    <w:rsid w:val="007C3E06"/>
    <w:rsid w:val="007C3F86"/>
    <w:rsid w:val="007C45EC"/>
    <w:rsid w:val="007C5452"/>
    <w:rsid w:val="007C5B7E"/>
    <w:rsid w:val="007C6413"/>
    <w:rsid w:val="007C69BB"/>
    <w:rsid w:val="007C6ED3"/>
    <w:rsid w:val="007C7781"/>
    <w:rsid w:val="007C78CF"/>
    <w:rsid w:val="007D1282"/>
    <w:rsid w:val="007D1ACF"/>
    <w:rsid w:val="007D1E7C"/>
    <w:rsid w:val="007D2485"/>
    <w:rsid w:val="007D26C8"/>
    <w:rsid w:val="007D29F7"/>
    <w:rsid w:val="007D2E0A"/>
    <w:rsid w:val="007D3EB2"/>
    <w:rsid w:val="007D3FE7"/>
    <w:rsid w:val="007D4A27"/>
    <w:rsid w:val="007D4B6E"/>
    <w:rsid w:val="007D60DB"/>
    <w:rsid w:val="007D6340"/>
    <w:rsid w:val="007D6EF6"/>
    <w:rsid w:val="007D6F88"/>
    <w:rsid w:val="007D73F9"/>
    <w:rsid w:val="007D7BB9"/>
    <w:rsid w:val="007E0466"/>
    <w:rsid w:val="007E0B22"/>
    <w:rsid w:val="007E0D51"/>
    <w:rsid w:val="007E0F06"/>
    <w:rsid w:val="007E102A"/>
    <w:rsid w:val="007E13BA"/>
    <w:rsid w:val="007E2068"/>
    <w:rsid w:val="007E22BE"/>
    <w:rsid w:val="007E2EF7"/>
    <w:rsid w:val="007E3B1B"/>
    <w:rsid w:val="007E3D7E"/>
    <w:rsid w:val="007E4978"/>
    <w:rsid w:val="007E49F8"/>
    <w:rsid w:val="007E613E"/>
    <w:rsid w:val="007E650B"/>
    <w:rsid w:val="007E699F"/>
    <w:rsid w:val="007E79CC"/>
    <w:rsid w:val="007E7F18"/>
    <w:rsid w:val="007F05C8"/>
    <w:rsid w:val="007F1457"/>
    <w:rsid w:val="007F1C22"/>
    <w:rsid w:val="007F2CB7"/>
    <w:rsid w:val="007F4073"/>
    <w:rsid w:val="007F4129"/>
    <w:rsid w:val="007F54B5"/>
    <w:rsid w:val="007F5D16"/>
    <w:rsid w:val="007F61CF"/>
    <w:rsid w:val="007F7489"/>
    <w:rsid w:val="007F751B"/>
    <w:rsid w:val="007F78D7"/>
    <w:rsid w:val="007F7965"/>
    <w:rsid w:val="00800AB1"/>
    <w:rsid w:val="008011B8"/>
    <w:rsid w:val="00801216"/>
    <w:rsid w:val="008019F7"/>
    <w:rsid w:val="00801D49"/>
    <w:rsid w:val="0080249F"/>
    <w:rsid w:val="00802F58"/>
    <w:rsid w:val="008032E9"/>
    <w:rsid w:val="00803BFD"/>
    <w:rsid w:val="00804998"/>
    <w:rsid w:val="00804DFE"/>
    <w:rsid w:val="00805A1C"/>
    <w:rsid w:val="00805F37"/>
    <w:rsid w:val="00806BEE"/>
    <w:rsid w:val="00806D42"/>
    <w:rsid w:val="0080720E"/>
    <w:rsid w:val="00807322"/>
    <w:rsid w:val="00811224"/>
    <w:rsid w:val="008112DE"/>
    <w:rsid w:val="00811BA0"/>
    <w:rsid w:val="00811BFD"/>
    <w:rsid w:val="00811C66"/>
    <w:rsid w:val="0081233D"/>
    <w:rsid w:val="008131F1"/>
    <w:rsid w:val="008137C3"/>
    <w:rsid w:val="00814358"/>
    <w:rsid w:val="00814FAA"/>
    <w:rsid w:val="00816067"/>
    <w:rsid w:val="0081667E"/>
    <w:rsid w:val="00816DA8"/>
    <w:rsid w:val="008170D4"/>
    <w:rsid w:val="008225E3"/>
    <w:rsid w:val="00822CDA"/>
    <w:rsid w:val="0082311C"/>
    <w:rsid w:val="008235A7"/>
    <w:rsid w:val="00823A59"/>
    <w:rsid w:val="00823B66"/>
    <w:rsid w:val="0082560F"/>
    <w:rsid w:val="00825E29"/>
    <w:rsid w:val="008271F1"/>
    <w:rsid w:val="0082728D"/>
    <w:rsid w:val="008278FC"/>
    <w:rsid w:val="008278FE"/>
    <w:rsid w:val="00827BF5"/>
    <w:rsid w:val="00827E5A"/>
    <w:rsid w:val="00827FAB"/>
    <w:rsid w:val="008300C9"/>
    <w:rsid w:val="00830597"/>
    <w:rsid w:val="008305EB"/>
    <w:rsid w:val="008306F9"/>
    <w:rsid w:val="00830AA2"/>
    <w:rsid w:val="00831425"/>
    <w:rsid w:val="0083162E"/>
    <w:rsid w:val="008321B2"/>
    <w:rsid w:val="00833D26"/>
    <w:rsid w:val="00834258"/>
    <w:rsid w:val="00834544"/>
    <w:rsid w:val="00835CC3"/>
    <w:rsid w:val="00835FDF"/>
    <w:rsid w:val="0083667B"/>
    <w:rsid w:val="00837182"/>
    <w:rsid w:val="00840363"/>
    <w:rsid w:val="0084069C"/>
    <w:rsid w:val="00841649"/>
    <w:rsid w:val="0084242D"/>
    <w:rsid w:val="00843EF8"/>
    <w:rsid w:val="00844873"/>
    <w:rsid w:val="00845B00"/>
    <w:rsid w:val="00845E8B"/>
    <w:rsid w:val="00847D88"/>
    <w:rsid w:val="008508A9"/>
    <w:rsid w:val="00850E9E"/>
    <w:rsid w:val="00851614"/>
    <w:rsid w:val="00851992"/>
    <w:rsid w:val="008521A5"/>
    <w:rsid w:val="0085275D"/>
    <w:rsid w:val="00852F4D"/>
    <w:rsid w:val="008531E6"/>
    <w:rsid w:val="00853CD9"/>
    <w:rsid w:val="008541DC"/>
    <w:rsid w:val="00857372"/>
    <w:rsid w:val="008573BF"/>
    <w:rsid w:val="0085779E"/>
    <w:rsid w:val="0086058A"/>
    <w:rsid w:val="00860636"/>
    <w:rsid w:val="00860835"/>
    <w:rsid w:val="00862F64"/>
    <w:rsid w:val="00863035"/>
    <w:rsid w:val="0086334A"/>
    <w:rsid w:val="00864072"/>
    <w:rsid w:val="0086494B"/>
    <w:rsid w:val="008673AD"/>
    <w:rsid w:val="00867617"/>
    <w:rsid w:val="00867F28"/>
    <w:rsid w:val="008703A9"/>
    <w:rsid w:val="00870980"/>
    <w:rsid w:val="00870ACE"/>
    <w:rsid w:val="00870DE3"/>
    <w:rsid w:val="00870F4F"/>
    <w:rsid w:val="0087109B"/>
    <w:rsid w:val="008710DC"/>
    <w:rsid w:val="00872761"/>
    <w:rsid w:val="00872925"/>
    <w:rsid w:val="0087340C"/>
    <w:rsid w:val="0087377E"/>
    <w:rsid w:val="00873C60"/>
    <w:rsid w:val="00874187"/>
    <w:rsid w:val="0087423A"/>
    <w:rsid w:val="0087432C"/>
    <w:rsid w:val="008748C6"/>
    <w:rsid w:val="00874C26"/>
    <w:rsid w:val="0087590C"/>
    <w:rsid w:val="008765F9"/>
    <w:rsid w:val="00876958"/>
    <w:rsid w:val="008773DE"/>
    <w:rsid w:val="0087780D"/>
    <w:rsid w:val="00877F5F"/>
    <w:rsid w:val="008806DD"/>
    <w:rsid w:val="00880C37"/>
    <w:rsid w:val="00880C5B"/>
    <w:rsid w:val="00880D05"/>
    <w:rsid w:val="00880E2C"/>
    <w:rsid w:val="00881C42"/>
    <w:rsid w:val="00882A0E"/>
    <w:rsid w:val="008832A2"/>
    <w:rsid w:val="00883A99"/>
    <w:rsid w:val="0088457E"/>
    <w:rsid w:val="008846D1"/>
    <w:rsid w:val="00885565"/>
    <w:rsid w:val="00885FF2"/>
    <w:rsid w:val="008866F4"/>
    <w:rsid w:val="00887CBA"/>
    <w:rsid w:val="00887D90"/>
    <w:rsid w:val="0089016D"/>
    <w:rsid w:val="00890633"/>
    <w:rsid w:val="008916D0"/>
    <w:rsid w:val="00891E87"/>
    <w:rsid w:val="008923F6"/>
    <w:rsid w:val="00892476"/>
    <w:rsid w:val="008928C1"/>
    <w:rsid w:val="00892EAA"/>
    <w:rsid w:val="00893244"/>
    <w:rsid w:val="008937E6"/>
    <w:rsid w:val="00893CBF"/>
    <w:rsid w:val="0089423E"/>
    <w:rsid w:val="00894C71"/>
    <w:rsid w:val="00895B79"/>
    <w:rsid w:val="00895FBA"/>
    <w:rsid w:val="008968A6"/>
    <w:rsid w:val="0089696D"/>
    <w:rsid w:val="00896AB0"/>
    <w:rsid w:val="00896E0B"/>
    <w:rsid w:val="0089726A"/>
    <w:rsid w:val="00897450"/>
    <w:rsid w:val="00897825"/>
    <w:rsid w:val="00897CB8"/>
    <w:rsid w:val="008A1654"/>
    <w:rsid w:val="008A1680"/>
    <w:rsid w:val="008A20AA"/>
    <w:rsid w:val="008A36A0"/>
    <w:rsid w:val="008A3CED"/>
    <w:rsid w:val="008A400A"/>
    <w:rsid w:val="008A42E5"/>
    <w:rsid w:val="008A5185"/>
    <w:rsid w:val="008A55B7"/>
    <w:rsid w:val="008A57C1"/>
    <w:rsid w:val="008A7A07"/>
    <w:rsid w:val="008A7B4D"/>
    <w:rsid w:val="008B03AC"/>
    <w:rsid w:val="008B068F"/>
    <w:rsid w:val="008B15F5"/>
    <w:rsid w:val="008B3E9B"/>
    <w:rsid w:val="008B5A21"/>
    <w:rsid w:val="008B5FC9"/>
    <w:rsid w:val="008B5FD8"/>
    <w:rsid w:val="008B6C0B"/>
    <w:rsid w:val="008C04CE"/>
    <w:rsid w:val="008C09E1"/>
    <w:rsid w:val="008C0BF8"/>
    <w:rsid w:val="008C0E10"/>
    <w:rsid w:val="008C1D70"/>
    <w:rsid w:val="008C2274"/>
    <w:rsid w:val="008C2C59"/>
    <w:rsid w:val="008C3A75"/>
    <w:rsid w:val="008C4232"/>
    <w:rsid w:val="008C6F12"/>
    <w:rsid w:val="008C7D23"/>
    <w:rsid w:val="008C7E12"/>
    <w:rsid w:val="008D0E91"/>
    <w:rsid w:val="008D0F53"/>
    <w:rsid w:val="008D1F0B"/>
    <w:rsid w:val="008D2361"/>
    <w:rsid w:val="008D2AF4"/>
    <w:rsid w:val="008D3093"/>
    <w:rsid w:val="008D377C"/>
    <w:rsid w:val="008D412E"/>
    <w:rsid w:val="008D477C"/>
    <w:rsid w:val="008D4853"/>
    <w:rsid w:val="008D58B4"/>
    <w:rsid w:val="008D60DA"/>
    <w:rsid w:val="008D67FF"/>
    <w:rsid w:val="008D6F74"/>
    <w:rsid w:val="008D7A24"/>
    <w:rsid w:val="008D7D0D"/>
    <w:rsid w:val="008D7F96"/>
    <w:rsid w:val="008E03D7"/>
    <w:rsid w:val="008E0B36"/>
    <w:rsid w:val="008E0D0E"/>
    <w:rsid w:val="008E1923"/>
    <w:rsid w:val="008E1EEE"/>
    <w:rsid w:val="008E263A"/>
    <w:rsid w:val="008E2651"/>
    <w:rsid w:val="008E2CF3"/>
    <w:rsid w:val="008E2E2D"/>
    <w:rsid w:val="008E30DF"/>
    <w:rsid w:val="008E3926"/>
    <w:rsid w:val="008E3C19"/>
    <w:rsid w:val="008E4187"/>
    <w:rsid w:val="008E57CE"/>
    <w:rsid w:val="008E584A"/>
    <w:rsid w:val="008E5E20"/>
    <w:rsid w:val="008E6939"/>
    <w:rsid w:val="008E6C65"/>
    <w:rsid w:val="008E7021"/>
    <w:rsid w:val="008F025A"/>
    <w:rsid w:val="008F0B01"/>
    <w:rsid w:val="008F2BBB"/>
    <w:rsid w:val="008F2E82"/>
    <w:rsid w:val="008F31ED"/>
    <w:rsid w:val="008F3330"/>
    <w:rsid w:val="008F3A00"/>
    <w:rsid w:val="008F42F6"/>
    <w:rsid w:val="008F4C92"/>
    <w:rsid w:val="008F4D32"/>
    <w:rsid w:val="008F4F35"/>
    <w:rsid w:val="008F68AA"/>
    <w:rsid w:val="008F6EB6"/>
    <w:rsid w:val="008F76B9"/>
    <w:rsid w:val="008F7CD8"/>
    <w:rsid w:val="00900CD6"/>
    <w:rsid w:val="0090161C"/>
    <w:rsid w:val="00901FE4"/>
    <w:rsid w:val="00902A78"/>
    <w:rsid w:val="0090338E"/>
    <w:rsid w:val="00903F1D"/>
    <w:rsid w:val="009041B6"/>
    <w:rsid w:val="00904872"/>
    <w:rsid w:val="0090620E"/>
    <w:rsid w:val="009063AA"/>
    <w:rsid w:val="00906AB3"/>
    <w:rsid w:val="00907A6F"/>
    <w:rsid w:val="00907CAA"/>
    <w:rsid w:val="00907FA4"/>
    <w:rsid w:val="00910195"/>
    <w:rsid w:val="0091087B"/>
    <w:rsid w:val="0091101C"/>
    <w:rsid w:val="00911C0C"/>
    <w:rsid w:val="009130BF"/>
    <w:rsid w:val="00914740"/>
    <w:rsid w:val="00915725"/>
    <w:rsid w:val="00916DF1"/>
    <w:rsid w:val="0092089F"/>
    <w:rsid w:val="00920975"/>
    <w:rsid w:val="00921AC6"/>
    <w:rsid w:val="00921B2D"/>
    <w:rsid w:val="00921D2F"/>
    <w:rsid w:val="00921F6D"/>
    <w:rsid w:val="009224DA"/>
    <w:rsid w:val="00922B18"/>
    <w:rsid w:val="00922BC7"/>
    <w:rsid w:val="00922CDD"/>
    <w:rsid w:val="00923EDD"/>
    <w:rsid w:val="009242D0"/>
    <w:rsid w:val="00924478"/>
    <w:rsid w:val="0092548F"/>
    <w:rsid w:val="009264D5"/>
    <w:rsid w:val="00926A15"/>
    <w:rsid w:val="009274EA"/>
    <w:rsid w:val="00931461"/>
    <w:rsid w:val="0093210F"/>
    <w:rsid w:val="00932759"/>
    <w:rsid w:val="0093278E"/>
    <w:rsid w:val="009327EE"/>
    <w:rsid w:val="00932834"/>
    <w:rsid w:val="00932E8C"/>
    <w:rsid w:val="00933138"/>
    <w:rsid w:val="00933A79"/>
    <w:rsid w:val="00934426"/>
    <w:rsid w:val="00934A09"/>
    <w:rsid w:val="00935295"/>
    <w:rsid w:val="009359CD"/>
    <w:rsid w:val="009360A2"/>
    <w:rsid w:val="00936367"/>
    <w:rsid w:val="009365C3"/>
    <w:rsid w:val="009366CE"/>
    <w:rsid w:val="0093768C"/>
    <w:rsid w:val="00937795"/>
    <w:rsid w:val="00941504"/>
    <w:rsid w:val="0094167C"/>
    <w:rsid w:val="00941BD6"/>
    <w:rsid w:val="00942643"/>
    <w:rsid w:val="00942EE9"/>
    <w:rsid w:val="0094423F"/>
    <w:rsid w:val="00944A6A"/>
    <w:rsid w:val="00945140"/>
    <w:rsid w:val="00946521"/>
    <w:rsid w:val="00946588"/>
    <w:rsid w:val="009471FC"/>
    <w:rsid w:val="009475B2"/>
    <w:rsid w:val="00947FA3"/>
    <w:rsid w:val="00950DA2"/>
    <w:rsid w:val="009515CD"/>
    <w:rsid w:val="00951FEC"/>
    <w:rsid w:val="00952678"/>
    <w:rsid w:val="009535A8"/>
    <w:rsid w:val="009536AB"/>
    <w:rsid w:val="00953C9D"/>
    <w:rsid w:val="00953E0E"/>
    <w:rsid w:val="00955A0C"/>
    <w:rsid w:val="0095706F"/>
    <w:rsid w:val="00960F43"/>
    <w:rsid w:val="00960FC7"/>
    <w:rsid w:val="0096141A"/>
    <w:rsid w:val="00961762"/>
    <w:rsid w:val="009617A3"/>
    <w:rsid w:val="00961E93"/>
    <w:rsid w:val="009623BC"/>
    <w:rsid w:val="0096366D"/>
    <w:rsid w:val="00964A26"/>
    <w:rsid w:val="00964DFA"/>
    <w:rsid w:val="00964FFB"/>
    <w:rsid w:val="009663BE"/>
    <w:rsid w:val="00966D7D"/>
    <w:rsid w:val="00967452"/>
    <w:rsid w:val="00967642"/>
    <w:rsid w:val="00971C3C"/>
    <w:rsid w:val="00971FF1"/>
    <w:rsid w:val="00972712"/>
    <w:rsid w:val="00972B1B"/>
    <w:rsid w:val="00972C67"/>
    <w:rsid w:val="009733FA"/>
    <w:rsid w:val="009739D0"/>
    <w:rsid w:val="00973F25"/>
    <w:rsid w:val="00973FF0"/>
    <w:rsid w:val="00973FF6"/>
    <w:rsid w:val="00974A48"/>
    <w:rsid w:val="00974D25"/>
    <w:rsid w:val="009752EF"/>
    <w:rsid w:val="00975B93"/>
    <w:rsid w:val="00975E4D"/>
    <w:rsid w:val="0097677F"/>
    <w:rsid w:val="009771D7"/>
    <w:rsid w:val="00977B0A"/>
    <w:rsid w:val="009802BF"/>
    <w:rsid w:val="00980C26"/>
    <w:rsid w:val="00981671"/>
    <w:rsid w:val="009820F6"/>
    <w:rsid w:val="00982472"/>
    <w:rsid w:val="00982F19"/>
    <w:rsid w:val="0098343C"/>
    <w:rsid w:val="00983B3F"/>
    <w:rsid w:val="009849BC"/>
    <w:rsid w:val="00984C48"/>
    <w:rsid w:val="00984CF2"/>
    <w:rsid w:val="00985292"/>
    <w:rsid w:val="009852CF"/>
    <w:rsid w:val="0098572E"/>
    <w:rsid w:val="00985EA9"/>
    <w:rsid w:val="0098629D"/>
    <w:rsid w:val="0098662A"/>
    <w:rsid w:val="00986FB2"/>
    <w:rsid w:val="00987239"/>
    <w:rsid w:val="00987836"/>
    <w:rsid w:val="00987C6D"/>
    <w:rsid w:val="0099081C"/>
    <w:rsid w:val="00991708"/>
    <w:rsid w:val="00991A19"/>
    <w:rsid w:val="00992E46"/>
    <w:rsid w:val="00992EDF"/>
    <w:rsid w:val="0099506C"/>
    <w:rsid w:val="009950E9"/>
    <w:rsid w:val="009953C7"/>
    <w:rsid w:val="00996983"/>
    <w:rsid w:val="0099772A"/>
    <w:rsid w:val="00997E89"/>
    <w:rsid w:val="00997F33"/>
    <w:rsid w:val="009A01B6"/>
    <w:rsid w:val="009A17FC"/>
    <w:rsid w:val="009A2571"/>
    <w:rsid w:val="009A2614"/>
    <w:rsid w:val="009A27B4"/>
    <w:rsid w:val="009A2A0D"/>
    <w:rsid w:val="009A2C59"/>
    <w:rsid w:val="009A33AF"/>
    <w:rsid w:val="009A3F61"/>
    <w:rsid w:val="009A4142"/>
    <w:rsid w:val="009A420A"/>
    <w:rsid w:val="009A4C3C"/>
    <w:rsid w:val="009A4EEE"/>
    <w:rsid w:val="009A6618"/>
    <w:rsid w:val="009A70DB"/>
    <w:rsid w:val="009A78C6"/>
    <w:rsid w:val="009B0D05"/>
    <w:rsid w:val="009B1778"/>
    <w:rsid w:val="009B1D6A"/>
    <w:rsid w:val="009B1F0D"/>
    <w:rsid w:val="009B228D"/>
    <w:rsid w:val="009B244E"/>
    <w:rsid w:val="009B2C60"/>
    <w:rsid w:val="009B31D2"/>
    <w:rsid w:val="009B4311"/>
    <w:rsid w:val="009B4741"/>
    <w:rsid w:val="009B4854"/>
    <w:rsid w:val="009B49EF"/>
    <w:rsid w:val="009B59CE"/>
    <w:rsid w:val="009B6433"/>
    <w:rsid w:val="009C0793"/>
    <w:rsid w:val="009C09CF"/>
    <w:rsid w:val="009C2303"/>
    <w:rsid w:val="009C2BCA"/>
    <w:rsid w:val="009C35A4"/>
    <w:rsid w:val="009C4871"/>
    <w:rsid w:val="009C50A4"/>
    <w:rsid w:val="009C5B30"/>
    <w:rsid w:val="009C7567"/>
    <w:rsid w:val="009C77E7"/>
    <w:rsid w:val="009D0B39"/>
    <w:rsid w:val="009D0FD6"/>
    <w:rsid w:val="009D112F"/>
    <w:rsid w:val="009D1437"/>
    <w:rsid w:val="009D1873"/>
    <w:rsid w:val="009D2B3B"/>
    <w:rsid w:val="009D4E73"/>
    <w:rsid w:val="009D5C76"/>
    <w:rsid w:val="009D7819"/>
    <w:rsid w:val="009D7922"/>
    <w:rsid w:val="009D7E23"/>
    <w:rsid w:val="009E1893"/>
    <w:rsid w:val="009E1B84"/>
    <w:rsid w:val="009E1D87"/>
    <w:rsid w:val="009E202F"/>
    <w:rsid w:val="009E2553"/>
    <w:rsid w:val="009E2AC1"/>
    <w:rsid w:val="009E3202"/>
    <w:rsid w:val="009E3B26"/>
    <w:rsid w:val="009E3CF0"/>
    <w:rsid w:val="009E3EEF"/>
    <w:rsid w:val="009E40EA"/>
    <w:rsid w:val="009E510C"/>
    <w:rsid w:val="009E5AB7"/>
    <w:rsid w:val="009E5C08"/>
    <w:rsid w:val="009E5D80"/>
    <w:rsid w:val="009E5F36"/>
    <w:rsid w:val="009E62E6"/>
    <w:rsid w:val="009E6717"/>
    <w:rsid w:val="009F02E6"/>
    <w:rsid w:val="009F12F2"/>
    <w:rsid w:val="009F131D"/>
    <w:rsid w:val="009F250F"/>
    <w:rsid w:val="009F30FD"/>
    <w:rsid w:val="009F35DD"/>
    <w:rsid w:val="009F3E03"/>
    <w:rsid w:val="009F42EE"/>
    <w:rsid w:val="009F535A"/>
    <w:rsid w:val="009F54C9"/>
    <w:rsid w:val="009F6178"/>
    <w:rsid w:val="009F6B73"/>
    <w:rsid w:val="009F7248"/>
    <w:rsid w:val="009F7D2E"/>
    <w:rsid w:val="00A00117"/>
    <w:rsid w:val="00A0286F"/>
    <w:rsid w:val="00A03170"/>
    <w:rsid w:val="00A03816"/>
    <w:rsid w:val="00A049C2"/>
    <w:rsid w:val="00A053FF"/>
    <w:rsid w:val="00A05BCC"/>
    <w:rsid w:val="00A06055"/>
    <w:rsid w:val="00A06B02"/>
    <w:rsid w:val="00A07B0B"/>
    <w:rsid w:val="00A07E31"/>
    <w:rsid w:val="00A1023C"/>
    <w:rsid w:val="00A1062D"/>
    <w:rsid w:val="00A10825"/>
    <w:rsid w:val="00A10993"/>
    <w:rsid w:val="00A10F5B"/>
    <w:rsid w:val="00A11DCD"/>
    <w:rsid w:val="00A11F49"/>
    <w:rsid w:val="00A120BE"/>
    <w:rsid w:val="00A12129"/>
    <w:rsid w:val="00A122DC"/>
    <w:rsid w:val="00A12D35"/>
    <w:rsid w:val="00A139F2"/>
    <w:rsid w:val="00A14611"/>
    <w:rsid w:val="00A14BFE"/>
    <w:rsid w:val="00A14CE6"/>
    <w:rsid w:val="00A1534D"/>
    <w:rsid w:val="00A16371"/>
    <w:rsid w:val="00A16A16"/>
    <w:rsid w:val="00A16ECF"/>
    <w:rsid w:val="00A214EE"/>
    <w:rsid w:val="00A22620"/>
    <w:rsid w:val="00A231B4"/>
    <w:rsid w:val="00A238CB"/>
    <w:rsid w:val="00A238F4"/>
    <w:rsid w:val="00A23E65"/>
    <w:rsid w:val="00A247D4"/>
    <w:rsid w:val="00A247FD"/>
    <w:rsid w:val="00A24DF7"/>
    <w:rsid w:val="00A26688"/>
    <w:rsid w:val="00A26CA8"/>
    <w:rsid w:val="00A2747D"/>
    <w:rsid w:val="00A27623"/>
    <w:rsid w:val="00A30BCC"/>
    <w:rsid w:val="00A31BCE"/>
    <w:rsid w:val="00A32BC3"/>
    <w:rsid w:val="00A33FB2"/>
    <w:rsid w:val="00A34BCE"/>
    <w:rsid w:val="00A34EAC"/>
    <w:rsid w:val="00A35226"/>
    <w:rsid w:val="00A36064"/>
    <w:rsid w:val="00A36744"/>
    <w:rsid w:val="00A368AE"/>
    <w:rsid w:val="00A36976"/>
    <w:rsid w:val="00A40A18"/>
    <w:rsid w:val="00A42B30"/>
    <w:rsid w:val="00A432FC"/>
    <w:rsid w:val="00A43342"/>
    <w:rsid w:val="00A445D3"/>
    <w:rsid w:val="00A44CC8"/>
    <w:rsid w:val="00A451EF"/>
    <w:rsid w:val="00A45468"/>
    <w:rsid w:val="00A46474"/>
    <w:rsid w:val="00A4697D"/>
    <w:rsid w:val="00A47422"/>
    <w:rsid w:val="00A4769D"/>
    <w:rsid w:val="00A51879"/>
    <w:rsid w:val="00A536C4"/>
    <w:rsid w:val="00A53E3D"/>
    <w:rsid w:val="00A54602"/>
    <w:rsid w:val="00A5504B"/>
    <w:rsid w:val="00A55B06"/>
    <w:rsid w:val="00A56E59"/>
    <w:rsid w:val="00A5775C"/>
    <w:rsid w:val="00A603EB"/>
    <w:rsid w:val="00A61298"/>
    <w:rsid w:val="00A62EDE"/>
    <w:rsid w:val="00A637C6"/>
    <w:rsid w:val="00A63BC0"/>
    <w:rsid w:val="00A65CAD"/>
    <w:rsid w:val="00A66A41"/>
    <w:rsid w:val="00A66D61"/>
    <w:rsid w:val="00A66E11"/>
    <w:rsid w:val="00A67096"/>
    <w:rsid w:val="00A671C4"/>
    <w:rsid w:val="00A674D5"/>
    <w:rsid w:val="00A6754D"/>
    <w:rsid w:val="00A67EDF"/>
    <w:rsid w:val="00A700C0"/>
    <w:rsid w:val="00A709E5"/>
    <w:rsid w:val="00A71507"/>
    <w:rsid w:val="00A71579"/>
    <w:rsid w:val="00A71788"/>
    <w:rsid w:val="00A7183E"/>
    <w:rsid w:val="00A71BE8"/>
    <w:rsid w:val="00A71F45"/>
    <w:rsid w:val="00A730E5"/>
    <w:rsid w:val="00A73662"/>
    <w:rsid w:val="00A73746"/>
    <w:rsid w:val="00A73E1D"/>
    <w:rsid w:val="00A74CF4"/>
    <w:rsid w:val="00A74F09"/>
    <w:rsid w:val="00A75B09"/>
    <w:rsid w:val="00A760F1"/>
    <w:rsid w:val="00A76689"/>
    <w:rsid w:val="00A76C5B"/>
    <w:rsid w:val="00A76D1C"/>
    <w:rsid w:val="00A7703B"/>
    <w:rsid w:val="00A777F1"/>
    <w:rsid w:val="00A77F81"/>
    <w:rsid w:val="00A81B5F"/>
    <w:rsid w:val="00A81D86"/>
    <w:rsid w:val="00A82443"/>
    <w:rsid w:val="00A82711"/>
    <w:rsid w:val="00A82715"/>
    <w:rsid w:val="00A82B3D"/>
    <w:rsid w:val="00A82E62"/>
    <w:rsid w:val="00A83340"/>
    <w:rsid w:val="00A8392B"/>
    <w:rsid w:val="00A83E75"/>
    <w:rsid w:val="00A84456"/>
    <w:rsid w:val="00A8585B"/>
    <w:rsid w:val="00A85A42"/>
    <w:rsid w:val="00A86494"/>
    <w:rsid w:val="00A907AE"/>
    <w:rsid w:val="00A91AFF"/>
    <w:rsid w:val="00A921A7"/>
    <w:rsid w:val="00A923BD"/>
    <w:rsid w:val="00A925D2"/>
    <w:rsid w:val="00A9375E"/>
    <w:rsid w:val="00A93B74"/>
    <w:rsid w:val="00A94B40"/>
    <w:rsid w:val="00A95677"/>
    <w:rsid w:val="00A957F6"/>
    <w:rsid w:val="00A97187"/>
    <w:rsid w:val="00A97DB0"/>
    <w:rsid w:val="00AA017F"/>
    <w:rsid w:val="00AA0410"/>
    <w:rsid w:val="00AA09B4"/>
    <w:rsid w:val="00AA13C2"/>
    <w:rsid w:val="00AA257B"/>
    <w:rsid w:val="00AA31F0"/>
    <w:rsid w:val="00AA395D"/>
    <w:rsid w:val="00AA57E3"/>
    <w:rsid w:val="00AA57E8"/>
    <w:rsid w:val="00AA75BD"/>
    <w:rsid w:val="00AB095D"/>
    <w:rsid w:val="00AB0F5B"/>
    <w:rsid w:val="00AB1AD0"/>
    <w:rsid w:val="00AB1E6B"/>
    <w:rsid w:val="00AB2CA7"/>
    <w:rsid w:val="00AB37AF"/>
    <w:rsid w:val="00AB593F"/>
    <w:rsid w:val="00AB696F"/>
    <w:rsid w:val="00AB6F50"/>
    <w:rsid w:val="00AB75F4"/>
    <w:rsid w:val="00AB77F7"/>
    <w:rsid w:val="00AB7DC2"/>
    <w:rsid w:val="00AC07A8"/>
    <w:rsid w:val="00AC10E8"/>
    <w:rsid w:val="00AC1A86"/>
    <w:rsid w:val="00AC2ED3"/>
    <w:rsid w:val="00AC5158"/>
    <w:rsid w:val="00AC68F1"/>
    <w:rsid w:val="00AC6AA0"/>
    <w:rsid w:val="00AC6AEB"/>
    <w:rsid w:val="00AC72C0"/>
    <w:rsid w:val="00AD1701"/>
    <w:rsid w:val="00AD18F9"/>
    <w:rsid w:val="00AD1BAF"/>
    <w:rsid w:val="00AD1EF5"/>
    <w:rsid w:val="00AD2B7B"/>
    <w:rsid w:val="00AD2E2A"/>
    <w:rsid w:val="00AD3208"/>
    <w:rsid w:val="00AD34BF"/>
    <w:rsid w:val="00AD3615"/>
    <w:rsid w:val="00AD3693"/>
    <w:rsid w:val="00AD5E47"/>
    <w:rsid w:val="00AD5FD7"/>
    <w:rsid w:val="00AD7217"/>
    <w:rsid w:val="00AD7BF2"/>
    <w:rsid w:val="00AE187B"/>
    <w:rsid w:val="00AE27D5"/>
    <w:rsid w:val="00AE2849"/>
    <w:rsid w:val="00AE2A3A"/>
    <w:rsid w:val="00AE3CC7"/>
    <w:rsid w:val="00AE4129"/>
    <w:rsid w:val="00AE52B7"/>
    <w:rsid w:val="00AE6028"/>
    <w:rsid w:val="00AE67A7"/>
    <w:rsid w:val="00AE6B68"/>
    <w:rsid w:val="00AE7C38"/>
    <w:rsid w:val="00AF0AE6"/>
    <w:rsid w:val="00AF1035"/>
    <w:rsid w:val="00AF116E"/>
    <w:rsid w:val="00AF1C21"/>
    <w:rsid w:val="00AF222E"/>
    <w:rsid w:val="00AF27AA"/>
    <w:rsid w:val="00AF28C0"/>
    <w:rsid w:val="00AF582B"/>
    <w:rsid w:val="00AF65F9"/>
    <w:rsid w:val="00AF705C"/>
    <w:rsid w:val="00AF738D"/>
    <w:rsid w:val="00AF7CFD"/>
    <w:rsid w:val="00AF7D3F"/>
    <w:rsid w:val="00B00AF2"/>
    <w:rsid w:val="00B00F10"/>
    <w:rsid w:val="00B01B30"/>
    <w:rsid w:val="00B01BC4"/>
    <w:rsid w:val="00B02DB6"/>
    <w:rsid w:val="00B03099"/>
    <w:rsid w:val="00B0336A"/>
    <w:rsid w:val="00B03AF0"/>
    <w:rsid w:val="00B043C2"/>
    <w:rsid w:val="00B04558"/>
    <w:rsid w:val="00B0460D"/>
    <w:rsid w:val="00B04623"/>
    <w:rsid w:val="00B04B61"/>
    <w:rsid w:val="00B04F1C"/>
    <w:rsid w:val="00B05278"/>
    <w:rsid w:val="00B05CE1"/>
    <w:rsid w:val="00B05FC6"/>
    <w:rsid w:val="00B066AE"/>
    <w:rsid w:val="00B0780C"/>
    <w:rsid w:val="00B1055E"/>
    <w:rsid w:val="00B10760"/>
    <w:rsid w:val="00B11C04"/>
    <w:rsid w:val="00B1249B"/>
    <w:rsid w:val="00B129E1"/>
    <w:rsid w:val="00B13229"/>
    <w:rsid w:val="00B14B60"/>
    <w:rsid w:val="00B14E78"/>
    <w:rsid w:val="00B14F79"/>
    <w:rsid w:val="00B15531"/>
    <w:rsid w:val="00B156D2"/>
    <w:rsid w:val="00B156F4"/>
    <w:rsid w:val="00B162B5"/>
    <w:rsid w:val="00B1635D"/>
    <w:rsid w:val="00B16406"/>
    <w:rsid w:val="00B164CF"/>
    <w:rsid w:val="00B167DA"/>
    <w:rsid w:val="00B171B9"/>
    <w:rsid w:val="00B17256"/>
    <w:rsid w:val="00B17B5D"/>
    <w:rsid w:val="00B17EDC"/>
    <w:rsid w:val="00B203B2"/>
    <w:rsid w:val="00B2129E"/>
    <w:rsid w:val="00B2163F"/>
    <w:rsid w:val="00B2237A"/>
    <w:rsid w:val="00B22648"/>
    <w:rsid w:val="00B23970"/>
    <w:rsid w:val="00B24A0D"/>
    <w:rsid w:val="00B252C9"/>
    <w:rsid w:val="00B2536E"/>
    <w:rsid w:val="00B25F81"/>
    <w:rsid w:val="00B261DB"/>
    <w:rsid w:val="00B26656"/>
    <w:rsid w:val="00B26BA2"/>
    <w:rsid w:val="00B27556"/>
    <w:rsid w:val="00B27726"/>
    <w:rsid w:val="00B31511"/>
    <w:rsid w:val="00B3159D"/>
    <w:rsid w:val="00B31ECB"/>
    <w:rsid w:val="00B3211F"/>
    <w:rsid w:val="00B33C4C"/>
    <w:rsid w:val="00B33FB7"/>
    <w:rsid w:val="00B34552"/>
    <w:rsid w:val="00B34C73"/>
    <w:rsid w:val="00B34E94"/>
    <w:rsid w:val="00B34ED1"/>
    <w:rsid w:val="00B354F0"/>
    <w:rsid w:val="00B3552B"/>
    <w:rsid w:val="00B370E4"/>
    <w:rsid w:val="00B374A1"/>
    <w:rsid w:val="00B40F4D"/>
    <w:rsid w:val="00B41C07"/>
    <w:rsid w:val="00B42A12"/>
    <w:rsid w:val="00B42E33"/>
    <w:rsid w:val="00B455B1"/>
    <w:rsid w:val="00B4672F"/>
    <w:rsid w:val="00B468A9"/>
    <w:rsid w:val="00B47B5E"/>
    <w:rsid w:val="00B47F25"/>
    <w:rsid w:val="00B47FB4"/>
    <w:rsid w:val="00B5119B"/>
    <w:rsid w:val="00B5198D"/>
    <w:rsid w:val="00B51B95"/>
    <w:rsid w:val="00B52DF9"/>
    <w:rsid w:val="00B52E17"/>
    <w:rsid w:val="00B543DC"/>
    <w:rsid w:val="00B5589D"/>
    <w:rsid w:val="00B56147"/>
    <w:rsid w:val="00B56C1D"/>
    <w:rsid w:val="00B57001"/>
    <w:rsid w:val="00B5700A"/>
    <w:rsid w:val="00B57322"/>
    <w:rsid w:val="00B57460"/>
    <w:rsid w:val="00B60543"/>
    <w:rsid w:val="00B60636"/>
    <w:rsid w:val="00B609AC"/>
    <w:rsid w:val="00B636D6"/>
    <w:rsid w:val="00B639E6"/>
    <w:rsid w:val="00B63F63"/>
    <w:rsid w:val="00B6474D"/>
    <w:rsid w:val="00B64FE1"/>
    <w:rsid w:val="00B66091"/>
    <w:rsid w:val="00B66AD0"/>
    <w:rsid w:val="00B67633"/>
    <w:rsid w:val="00B67B76"/>
    <w:rsid w:val="00B7034A"/>
    <w:rsid w:val="00B70AC8"/>
    <w:rsid w:val="00B70B49"/>
    <w:rsid w:val="00B70B82"/>
    <w:rsid w:val="00B70DF2"/>
    <w:rsid w:val="00B71890"/>
    <w:rsid w:val="00B71B5E"/>
    <w:rsid w:val="00B72518"/>
    <w:rsid w:val="00B72F38"/>
    <w:rsid w:val="00B73835"/>
    <w:rsid w:val="00B7500B"/>
    <w:rsid w:val="00B7569D"/>
    <w:rsid w:val="00B75F31"/>
    <w:rsid w:val="00B75F71"/>
    <w:rsid w:val="00B77E64"/>
    <w:rsid w:val="00B80CD6"/>
    <w:rsid w:val="00B81F1D"/>
    <w:rsid w:val="00B82262"/>
    <w:rsid w:val="00B8289C"/>
    <w:rsid w:val="00B84AFF"/>
    <w:rsid w:val="00B86227"/>
    <w:rsid w:val="00B8660B"/>
    <w:rsid w:val="00B8685C"/>
    <w:rsid w:val="00B86BB6"/>
    <w:rsid w:val="00B8754A"/>
    <w:rsid w:val="00B87B3A"/>
    <w:rsid w:val="00B87C20"/>
    <w:rsid w:val="00B87DBD"/>
    <w:rsid w:val="00B91780"/>
    <w:rsid w:val="00B91E6B"/>
    <w:rsid w:val="00B92AF1"/>
    <w:rsid w:val="00B92B70"/>
    <w:rsid w:val="00B93EE6"/>
    <w:rsid w:val="00B951D8"/>
    <w:rsid w:val="00B95335"/>
    <w:rsid w:val="00B95E99"/>
    <w:rsid w:val="00B978E1"/>
    <w:rsid w:val="00BA024E"/>
    <w:rsid w:val="00BA04B7"/>
    <w:rsid w:val="00BA0AD9"/>
    <w:rsid w:val="00BA1102"/>
    <w:rsid w:val="00BA1888"/>
    <w:rsid w:val="00BA35CD"/>
    <w:rsid w:val="00BA368F"/>
    <w:rsid w:val="00BA36F5"/>
    <w:rsid w:val="00BA3E31"/>
    <w:rsid w:val="00BA4A5A"/>
    <w:rsid w:val="00BA6201"/>
    <w:rsid w:val="00BA6DCC"/>
    <w:rsid w:val="00BA6E28"/>
    <w:rsid w:val="00BA737B"/>
    <w:rsid w:val="00BA7A3A"/>
    <w:rsid w:val="00BA7D30"/>
    <w:rsid w:val="00BB08F6"/>
    <w:rsid w:val="00BB09FA"/>
    <w:rsid w:val="00BB0D69"/>
    <w:rsid w:val="00BB1013"/>
    <w:rsid w:val="00BB1351"/>
    <w:rsid w:val="00BB257D"/>
    <w:rsid w:val="00BB26D5"/>
    <w:rsid w:val="00BB2E5A"/>
    <w:rsid w:val="00BB2E95"/>
    <w:rsid w:val="00BB31BD"/>
    <w:rsid w:val="00BB34EF"/>
    <w:rsid w:val="00BB442E"/>
    <w:rsid w:val="00BB4B50"/>
    <w:rsid w:val="00BB4F23"/>
    <w:rsid w:val="00BB5497"/>
    <w:rsid w:val="00BB5AF8"/>
    <w:rsid w:val="00BB66D6"/>
    <w:rsid w:val="00BB67AE"/>
    <w:rsid w:val="00BB6A57"/>
    <w:rsid w:val="00BC0157"/>
    <w:rsid w:val="00BC0278"/>
    <w:rsid w:val="00BC032D"/>
    <w:rsid w:val="00BC05FE"/>
    <w:rsid w:val="00BC09DA"/>
    <w:rsid w:val="00BC0B5E"/>
    <w:rsid w:val="00BC0D2E"/>
    <w:rsid w:val="00BC1BE8"/>
    <w:rsid w:val="00BC1ED7"/>
    <w:rsid w:val="00BC2586"/>
    <w:rsid w:val="00BC2920"/>
    <w:rsid w:val="00BC2A83"/>
    <w:rsid w:val="00BC392B"/>
    <w:rsid w:val="00BC415E"/>
    <w:rsid w:val="00BC4679"/>
    <w:rsid w:val="00BC4AC4"/>
    <w:rsid w:val="00BC528E"/>
    <w:rsid w:val="00BC5694"/>
    <w:rsid w:val="00BC58D8"/>
    <w:rsid w:val="00BC5FD9"/>
    <w:rsid w:val="00BC7B22"/>
    <w:rsid w:val="00BC7FE2"/>
    <w:rsid w:val="00BD139A"/>
    <w:rsid w:val="00BD198E"/>
    <w:rsid w:val="00BD1C8E"/>
    <w:rsid w:val="00BD2372"/>
    <w:rsid w:val="00BD2F9D"/>
    <w:rsid w:val="00BD33FB"/>
    <w:rsid w:val="00BD394F"/>
    <w:rsid w:val="00BD4EAF"/>
    <w:rsid w:val="00BD5256"/>
    <w:rsid w:val="00BD57F2"/>
    <w:rsid w:val="00BD607A"/>
    <w:rsid w:val="00BD6898"/>
    <w:rsid w:val="00BD73E4"/>
    <w:rsid w:val="00BD73F8"/>
    <w:rsid w:val="00BD7C78"/>
    <w:rsid w:val="00BD7F03"/>
    <w:rsid w:val="00BE08FC"/>
    <w:rsid w:val="00BE0A1C"/>
    <w:rsid w:val="00BE17AC"/>
    <w:rsid w:val="00BE2F93"/>
    <w:rsid w:val="00BE31B5"/>
    <w:rsid w:val="00BE31CE"/>
    <w:rsid w:val="00BE3433"/>
    <w:rsid w:val="00BE34DE"/>
    <w:rsid w:val="00BE3B59"/>
    <w:rsid w:val="00BE555E"/>
    <w:rsid w:val="00BE5E60"/>
    <w:rsid w:val="00BE60DD"/>
    <w:rsid w:val="00BE6797"/>
    <w:rsid w:val="00BE6948"/>
    <w:rsid w:val="00BE6980"/>
    <w:rsid w:val="00BE78D6"/>
    <w:rsid w:val="00BF0AA6"/>
    <w:rsid w:val="00BF2DE0"/>
    <w:rsid w:val="00BF4E8B"/>
    <w:rsid w:val="00BF623A"/>
    <w:rsid w:val="00BF708A"/>
    <w:rsid w:val="00BF71B1"/>
    <w:rsid w:val="00BF765A"/>
    <w:rsid w:val="00BF7A12"/>
    <w:rsid w:val="00BF7A21"/>
    <w:rsid w:val="00C00503"/>
    <w:rsid w:val="00C00A42"/>
    <w:rsid w:val="00C00ADB"/>
    <w:rsid w:val="00C0115F"/>
    <w:rsid w:val="00C01674"/>
    <w:rsid w:val="00C0178E"/>
    <w:rsid w:val="00C057F2"/>
    <w:rsid w:val="00C06AF3"/>
    <w:rsid w:val="00C07B5D"/>
    <w:rsid w:val="00C07E5C"/>
    <w:rsid w:val="00C1122A"/>
    <w:rsid w:val="00C116C4"/>
    <w:rsid w:val="00C11C32"/>
    <w:rsid w:val="00C128E9"/>
    <w:rsid w:val="00C13029"/>
    <w:rsid w:val="00C130DE"/>
    <w:rsid w:val="00C13679"/>
    <w:rsid w:val="00C14067"/>
    <w:rsid w:val="00C16873"/>
    <w:rsid w:val="00C16C57"/>
    <w:rsid w:val="00C1747F"/>
    <w:rsid w:val="00C17C73"/>
    <w:rsid w:val="00C20850"/>
    <w:rsid w:val="00C20B48"/>
    <w:rsid w:val="00C20E17"/>
    <w:rsid w:val="00C21502"/>
    <w:rsid w:val="00C226E6"/>
    <w:rsid w:val="00C2336F"/>
    <w:rsid w:val="00C234AF"/>
    <w:rsid w:val="00C2357A"/>
    <w:rsid w:val="00C237E8"/>
    <w:rsid w:val="00C23847"/>
    <w:rsid w:val="00C241B4"/>
    <w:rsid w:val="00C25845"/>
    <w:rsid w:val="00C25F98"/>
    <w:rsid w:val="00C26600"/>
    <w:rsid w:val="00C26CF2"/>
    <w:rsid w:val="00C27C13"/>
    <w:rsid w:val="00C302AC"/>
    <w:rsid w:val="00C30681"/>
    <w:rsid w:val="00C3108F"/>
    <w:rsid w:val="00C3142A"/>
    <w:rsid w:val="00C31583"/>
    <w:rsid w:val="00C31AA3"/>
    <w:rsid w:val="00C31DED"/>
    <w:rsid w:val="00C3224F"/>
    <w:rsid w:val="00C32DB9"/>
    <w:rsid w:val="00C33AC4"/>
    <w:rsid w:val="00C34BF4"/>
    <w:rsid w:val="00C370ED"/>
    <w:rsid w:val="00C37B1E"/>
    <w:rsid w:val="00C37D07"/>
    <w:rsid w:val="00C401B7"/>
    <w:rsid w:val="00C4116A"/>
    <w:rsid w:val="00C4144C"/>
    <w:rsid w:val="00C4211C"/>
    <w:rsid w:val="00C430BA"/>
    <w:rsid w:val="00C4311E"/>
    <w:rsid w:val="00C4328F"/>
    <w:rsid w:val="00C45671"/>
    <w:rsid w:val="00C456B8"/>
    <w:rsid w:val="00C463B5"/>
    <w:rsid w:val="00C471C1"/>
    <w:rsid w:val="00C47530"/>
    <w:rsid w:val="00C47D8B"/>
    <w:rsid w:val="00C47F4D"/>
    <w:rsid w:val="00C50203"/>
    <w:rsid w:val="00C5024F"/>
    <w:rsid w:val="00C50621"/>
    <w:rsid w:val="00C50D9B"/>
    <w:rsid w:val="00C51183"/>
    <w:rsid w:val="00C51473"/>
    <w:rsid w:val="00C52FE8"/>
    <w:rsid w:val="00C53F54"/>
    <w:rsid w:val="00C55E22"/>
    <w:rsid w:val="00C560BC"/>
    <w:rsid w:val="00C56390"/>
    <w:rsid w:val="00C5731E"/>
    <w:rsid w:val="00C605F6"/>
    <w:rsid w:val="00C614E1"/>
    <w:rsid w:val="00C6158F"/>
    <w:rsid w:val="00C633F6"/>
    <w:rsid w:val="00C63BFF"/>
    <w:rsid w:val="00C63F0F"/>
    <w:rsid w:val="00C64A3C"/>
    <w:rsid w:val="00C65797"/>
    <w:rsid w:val="00C66A64"/>
    <w:rsid w:val="00C6732A"/>
    <w:rsid w:val="00C677B5"/>
    <w:rsid w:val="00C717E0"/>
    <w:rsid w:val="00C72F35"/>
    <w:rsid w:val="00C72F47"/>
    <w:rsid w:val="00C74ADD"/>
    <w:rsid w:val="00C74BE9"/>
    <w:rsid w:val="00C74D43"/>
    <w:rsid w:val="00C755ED"/>
    <w:rsid w:val="00C75CF2"/>
    <w:rsid w:val="00C75D42"/>
    <w:rsid w:val="00C763BB"/>
    <w:rsid w:val="00C76717"/>
    <w:rsid w:val="00C76B26"/>
    <w:rsid w:val="00C76EF2"/>
    <w:rsid w:val="00C773F7"/>
    <w:rsid w:val="00C805EF"/>
    <w:rsid w:val="00C808A7"/>
    <w:rsid w:val="00C80B41"/>
    <w:rsid w:val="00C81B99"/>
    <w:rsid w:val="00C82268"/>
    <w:rsid w:val="00C826C5"/>
    <w:rsid w:val="00C836C6"/>
    <w:rsid w:val="00C839CC"/>
    <w:rsid w:val="00C83CCD"/>
    <w:rsid w:val="00C8417C"/>
    <w:rsid w:val="00C847CD"/>
    <w:rsid w:val="00C875C0"/>
    <w:rsid w:val="00C87A50"/>
    <w:rsid w:val="00C87C5D"/>
    <w:rsid w:val="00C907BA"/>
    <w:rsid w:val="00C90E03"/>
    <w:rsid w:val="00C919E3"/>
    <w:rsid w:val="00C924CD"/>
    <w:rsid w:val="00C9277C"/>
    <w:rsid w:val="00C92A3A"/>
    <w:rsid w:val="00C92D67"/>
    <w:rsid w:val="00C932DC"/>
    <w:rsid w:val="00C93642"/>
    <w:rsid w:val="00C93CF3"/>
    <w:rsid w:val="00C9417B"/>
    <w:rsid w:val="00C95458"/>
    <w:rsid w:val="00C95551"/>
    <w:rsid w:val="00C95E7C"/>
    <w:rsid w:val="00C96391"/>
    <w:rsid w:val="00C97F2D"/>
    <w:rsid w:val="00CA026E"/>
    <w:rsid w:val="00CA0E4C"/>
    <w:rsid w:val="00CA1399"/>
    <w:rsid w:val="00CA193E"/>
    <w:rsid w:val="00CA1E29"/>
    <w:rsid w:val="00CA280C"/>
    <w:rsid w:val="00CA31C2"/>
    <w:rsid w:val="00CA3EE0"/>
    <w:rsid w:val="00CA52BB"/>
    <w:rsid w:val="00CA5459"/>
    <w:rsid w:val="00CA5FB5"/>
    <w:rsid w:val="00CA61BD"/>
    <w:rsid w:val="00CA65BF"/>
    <w:rsid w:val="00CA687A"/>
    <w:rsid w:val="00CA6DEE"/>
    <w:rsid w:val="00CA71AF"/>
    <w:rsid w:val="00CB05BD"/>
    <w:rsid w:val="00CB0D88"/>
    <w:rsid w:val="00CB15AC"/>
    <w:rsid w:val="00CB1964"/>
    <w:rsid w:val="00CB1A34"/>
    <w:rsid w:val="00CB2828"/>
    <w:rsid w:val="00CB2916"/>
    <w:rsid w:val="00CB5450"/>
    <w:rsid w:val="00CB5743"/>
    <w:rsid w:val="00CB77EB"/>
    <w:rsid w:val="00CB7FAA"/>
    <w:rsid w:val="00CC069C"/>
    <w:rsid w:val="00CC1F56"/>
    <w:rsid w:val="00CC2BCB"/>
    <w:rsid w:val="00CC3178"/>
    <w:rsid w:val="00CC3768"/>
    <w:rsid w:val="00CC3841"/>
    <w:rsid w:val="00CC3C72"/>
    <w:rsid w:val="00CC4826"/>
    <w:rsid w:val="00CC5DCA"/>
    <w:rsid w:val="00CC65E2"/>
    <w:rsid w:val="00CC6A68"/>
    <w:rsid w:val="00CC77F6"/>
    <w:rsid w:val="00CD087A"/>
    <w:rsid w:val="00CD1007"/>
    <w:rsid w:val="00CD21F3"/>
    <w:rsid w:val="00CD2205"/>
    <w:rsid w:val="00CD24F7"/>
    <w:rsid w:val="00CD3244"/>
    <w:rsid w:val="00CD3669"/>
    <w:rsid w:val="00CD4801"/>
    <w:rsid w:val="00CD5A4D"/>
    <w:rsid w:val="00CD5DB3"/>
    <w:rsid w:val="00CD607F"/>
    <w:rsid w:val="00CD7860"/>
    <w:rsid w:val="00CE0246"/>
    <w:rsid w:val="00CE212F"/>
    <w:rsid w:val="00CE22F0"/>
    <w:rsid w:val="00CE22F4"/>
    <w:rsid w:val="00CE2D36"/>
    <w:rsid w:val="00CE320D"/>
    <w:rsid w:val="00CE58D9"/>
    <w:rsid w:val="00CE66AA"/>
    <w:rsid w:val="00CE6AD7"/>
    <w:rsid w:val="00CF0512"/>
    <w:rsid w:val="00CF057A"/>
    <w:rsid w:val="00CF141B"/>
    <w:rsid w:val="00CF1874"/>
    <w:rsid w:val="00CF2156"/>
    <w:rsid w:val="00CF2646"/>
    <w:rsid w:val="00CF2BAE"/>
    <w:rsid w:val="00CF2E4B"/>
    <w:rsid w:val="00CF3151"/>
    <w:rsid w:val="00CF3292"/>
    <w:rsid w:val="00CF3CC3"/>
    <w:rsid w:val="00CF45AC"/>
    <w:rsid w:val="00CF517D"/>
    <w:rsid w:val="00CF51E4"/>
    <w:rsid w:val="00CF5BFF"/>
    <w:rsid w:val="00CF5E5C"/>
    <w:rsid w:val="00CF681F"/>
    <w:rsid w:val="00D00A82"/>
    <w:rsid w:val="00D02467"/>
    <w:rsid w:val="00D027AA"/>
    <w:rsid w:val="00D02B9C"/>
    <w:rsid w:val="00D03AAF"/>
    <w:rsid w:val="00D042A1"/>
    <w:rsid w:val="00D052C9"/>
    <w:rsid w:val="00D05362"/>
    <w:rsid w:val="00D05CAE"/>
    <w:rsid w:val="00D06336"/>
    <w:rsid w:val="00D068D6"/>
    <w:rsid w:val="00D0692B"/>
    <w:rsid w:val="00D07090"/>
    <w:rsid w:val="00D074C5"/>
    <w:rsid w:val="00D117DB"/>
    <w:rsid w:val="00D126C9"/>
    <w:rsid w:val="00D12AE6"/>
    <w:rsid w:val="00D1350F"/>
    <w:rsid w:val="00D149E8"/>
    <w:rsid w:val="00D14EBF"/>
    <w:rsid w:val="00D1532A"/>
    <w:rsid w:val="00D160F9"/>
    <w:rsid w:val="00D17174"/>
    <w:rsid w:val="00D177CD"/>
    <w:rsid w:val="00D17B05"/>
    <w:rsid w:val="00D20084"/>
    <w:rsid w:val="00D204A1"/>
    <w:rsid w:val="00D20781"/>
    <w:rsid w:val="00D20AA9"/>
    <w:rsid w:val="00D21B8C"/>
    <w:rsid w:val="00D22422"/>
    <w:rsid w:val="00D22FCC"/>
    <w:rsid w:val="00D233B7"/>
    <w:rsid w:val="00D23726"/>
    <w:rsid w:val="00D23882"/>
    <w:rsid w:val="00D23B22"/>
    <w:rsid w:val="00D24562"/>
    <w:rsid w:val="00D2570F"/>
    <w:rsid w:val="00D25C50"/>
    <w:rsid w:val="00D26AA4"/>
    <w:rsid w:val="00D2752A"/>
    <w:rsid w:val="00D276E2"/>
    <w:rsid w:val="00D31787"/>
    <w:rsid w:val="00D31984"/>
    <w:rsid w:val="00D32052"/>
    <w:rsid w:val="00D32A03"/>
    <w:rsid w:val="00D32D81"/>
    <w:rsid w:val="00D32FCB"/>
    <w:rsid w:val="00D33C9D"/>
    <w:rsid w:val="00D33E7C"/>
    <w:rsid w:val="00D33EC5"/>
    <w:rsid w:val="00D34056"/>
    <w:rsid w:val="00D349A3"/>
    <w:rsid w:val="00D349DC"/>
    <w:rsid w:val="00D36775"/>
    <w:rsid w:val="00D37188"/>
    <w:rsid w:val="00D37A32"/>
    <w:rsid w:val="00D37DC8"/>
    <w:rsid w:val="00D402B9"/>
    <w:rsid w:val="00D403F1"/>
    <w:rsid w:val="00D4052D"/>
    <w:rsid w:val="00D40D77"/>
    <w:rsid w:val="00D40E2E"/>
    <w:rsid w:val="00D4108B"/>
    <w:rsid w:val="00D4196E"/>
    <w:rsid w:val="00D41EC8"/>
    <w:rsid w:val="00D42407"/>
    <w:rsid w:val="00D45234"/>
    <w:rsid w:val="00D459A2"/>
    <w:rsid w:val="00D46845"/>
    <w:rsid w:val="00D47130"/>
    <w:rsid w:val="00D47E11"/>
    <w:rsid w:val="00D5069E"/>
    <w:rsid w:val="00D5076F"/>
    <w:rsid w:val="00D510CD"/>
    <w:rsid w:val="00D523E5"/>
    <w:rsid w:val="00D52AB4"/>
    <w:rsid w:val="00D52EBD"/>
    <w:rsid w:val="00D53183"/>
    <w:rsid w:val="00D531B6"/>
    <w:rsid w:val="00D55A4B"/>
    <w:rsid w:val="00D56191"/>
    <w:rsid w:val="00D56BFB"/>
    <w:rsid w:val="00D60815"/>
    <w:rsid w:val="00D60821"/>
    <w:rsid w:val="00D60F9F"/>
    <w:rsid w:val="00D6166B"/>
    <w:rsid w:val="00D61D17"/>
    <w:rsid w:val="00D6218A"/>
    <w:rsid w:val="00D633C5"/>
    <w:rsid w:val="00D63C5A"/>
    <w:rsid w:val="00D64958"/>
    <w:rsid w:val="00D66154"/>
    <w:rsid w:val="00D66988"/>
    <w:rsid w:val="00D66D94"/>
    <w:rsid w:val="00D67253"/>
    <w:rsid w:val="00D674C4"/>
    <w:rsid w:val="00D67EE6"/>
    <w:rsid w:val="00D70253"/>
    <w:rsid w:val="00D708BB"/>
    <w:rsid w:val="00D70911"/>
    <w:rsid w:val="00D71447"/>
    <w:rsid w:val="00D72076"/>
    <w:rsid w:val="00D72F46"/>
    <w:rsid w:val="00D73218"/>
    <w:rsid w:val="00D7405F"/>
    <w:rsid w:val="00D74AF7"/>
    <w:rsid w:val="00D76DA5"/>
    <w:rsid w:val="00D775B1"/>
    <w:rsid w:val="00D804A4"/>
    <w:rsid w:val="00D80629"/>
    <w:rsid w:val="00D80ED6"/>
    <w:rsid w:val="00D81A66"/>
    <w:rsid w:val="00D822A1"/>
    <w:rsid w:val="00D829BE"/>
    <w:rsid w:val="00D82CDC"/>
    <w:rsid w:val="00D83140"/>
    <w:rsid w:val="00D83BA8"/>
    <w:rsid w:val="00D842C3"/>
    <w:rsid w:val="00D85098"/>
    <w:rsid w:val="00D85502"/>
    <w:rsid w:val="00D85D0A"/>
    <w:rsid w:val="00D86316"/>
    <w:rsid w:val="00D86894"/>
    <w:rsid w:val="00D86E9E"/>
    <w:rsid w:val="00D873D5"/>
    <w:rsid w:val="00D90056"/>
    <w:rsid w:val="00D90C95"/>
    <w:rsid w:val="00D9149E"/>
    <w:rsid w:val="00D916FF"/>
    <w:rsid w:val="00D91B7F"/>
    <w:rsid w:val="00D928F2"/>
    <w:rsid w:val="00D929F1"/>
    <w:rsid w:val="00D932D8"/>
    <w:rsid w:val="00D93F76"/>
    <w:rsid w:val="00D9417A"/>
    <w:rsid w:val="00D941B7"/>
    <w:rsid w:val="00D94652"/>
    <w:rsid w:val="00D948EF"/>
    <w:rsid w:val="00D954B8"/>
    <w:rsid w:val="00D95CBC"/>
    <w:rsid w:val="00D9610A"/>
    <w:rsid w:val="00D9736E"/>
    <w:rsid w:val="00D978C7"/>
    <w:rsid w:val="00DA00CE"/>
    <w:rsid w:val="00DA00DC"/>
    <w:rsid w:val="00DA032C"/>
    <w:rsid w:val="00DA052E"/>
    <w:rsid w:val="00DA06F1"/>
    <w:rsid w:val="00DA1168"/>
    <w:rsid w:val="00DA1FBE"/>
    <w:rsid w:val="00DA234F"/>
    <w:rsid w:val="00DA2427"/>
    <w:rsid w:val="00DA2D65"/>
    <w:rsid w:val="00DA404B"/>
    <w:rsid w:val="00DA436C"/>
    <w:rsid w:val="00DA4459"/>
    <w:rsid w:val="00DA454E"/>
    <w:rsid w:val="00DA4616"/>
    <w:rsid w:val="00DA47B1"/>
    <w:rsid w:val="00DA4BEA"/>
    <w:rsid w:val="00DA50B2"/>
    <w:rsid w:val="00DA5BFB"/>
    <w:rsid w:val="00DA5F2C"/>
    <w:rsid w:val="00DA61B1"/>
    <w:rsid w:val="00DA6614"/>
    <w:rsid w:val="00DA7A8F"/>
    <w:rsid w:val="00DA7FF1"/>
    <w:rsid w:val="00DB0E17"/>
    <w:rsid w:val="00DB17ED"/>
    <w:rsid w:val="00DB1F94"/>
    <w:rsid w:val="00DB201C"/>
    <w:rsid w:val="00DB25C6"/>
    <w:rsid w:val="00DB276C"/>
    <w:rsid w:val="00DB3106"/>
    <w:rsid w:val="00DB3868"/>
    <w:rsid w:val="00DB44CC"/>
    <w:rsid w:val="00DB455C"/>
    <w:rsid w:val="00DB5315"/>
    <w:rsid w:val="00DB607A"/>
    <w:rsid w:val="00DB62C7"/>
    <w:rsid w:val="00DB6E86"/>
    <w:rsid w:val="00DB6F11"/>
    <w:rsid w:val="00DB7C37"/>
    <w:rsid w:val="00DC01C6"/>
    <w:rsid w:val="00DC02FE"/>
    <w:rsid w:val="00DC0744"/>
    <w:rsid w:val="00DC26F7"/>
    <w:rsid w:val="00DC2C32"/>
    <w:rsid w:val="00DC2CD4"/>
    <w:rsid w:val="00DC3740"/>
    <w:rsid w:val="00DC4874"/>
    <w:rsid w:val="00DC4BAE"/>
    <w:rsid w:val="00DC4FCB"/>
    <w:rsid w:val="00DC59C7"/>
    <w:rsid w:val="00DC6495"/>
    <w:rsid w:val="00DC6572"/>
    <w:rsid w:val="00DD0A01"/>
    <w:rsid w:val="00DD177B"/>
    <w:rsid w:val="00DD188A"/>
    <w:rsid w:val="00DD1C71"/>
    <w:rsid w:val="00DD1ED4"/>
    <w:rsid w:val="00DD1FFF"/>
    <w:rsid w:val="00DD2EB6"/>
    <w:rsid w:val="00DD40DC"/>
    <w:rsid w:val="00DD44B9"/>
    <w:rsid w:val="00DD4ADA"/>
    <w:rsid w:val="00DD5277"/>
    <w:rsid w:val="00DD5BF4"/>
    <w:rsid w:val="00DD6365"/>
    <w:rsid w:val="00DD677E"/>
    <w:rsid w:val="00DD6785"/>
    <w:rsid w:val="00DD6FAF"/>
    <w:rsid w:val="00DD754E"/>
    <w:rsid w:val="00DE06FB"/>
    <w:rsid w:val="00DE07C3"/>
    <w:rsid w:val="00DE0CE5"/>
    <w:rsid w:val="00DE1234"/>
    <w:rsid w:val="00DE31F9"/>
    <w:rsid w:val="00DE4240"/>
    <w:rsid w:val="00DE4A67"/>
    <w:rsid w:val="00DE6937"/>
    <w:rsid w:val="00DE7872"/>
    <w:rsid w:val="00DE78C2"/>
    <w:rsid w:val="00DF0442"/>
    <w:rsid w:val="00DF13EA"/>
    <w:rsid w:val="00DF171B"/>
    <w:rsid w:val="00DF263A"/>
    <w:rsid w:val="00DF3130"/>
    <w:rsid w:val="00DF3D3F"/>
    <w:rsid w:val="00DF53F1"/>
    <w:rsid w:val="00DF5B5E"/>
    <w:rsid w:val="00DF5E7A"/>
    <w:rsid w:val="00DF72D1"/>
    <w:rsid w:val="00DF7777"/>
    <w:rsid w:val="00E05151"/>
    <w:rsid w:val="00E052E0"/>
    <w:rsid w:val="00E053E9"/>
    <w:rsid w:val="00E05929"/>
    <w:rsid w:val="00E05946"/>
    <w:rsid w:val="00E06141"/>
    <w:rsid w:val="00E0650F"/>
    <w:rsid w:val="00E06A6D"/>
    <w:rsid w:val="00E07568"/>
    <w:rsid w:val="00E07B77"/>
    <w:rsid w:val="00E103D1"/>
    <w:rsid w:val="00E114FF"/>
    <w:rsid w:val="00E11EA7"/>
    <w:rsid w:val="00E11EAC"/>
    <w:rsid w:val="00E120EE"/>
    <w:rsid w:val="00E13441"/>
    <w:rsid w:val="00E13DBB"/>
    <w:rsid w:val="00E1421B"/>
    <w:rsid w:val="00E1524B"/>
    <w:rsid w:val="00E152D0"/>
    <w:rsid w:val="00E1594F"/>
    <w:rsid w:val="00E16873"/>
    <w:rsid w:val="00E17605"/>
    <w:rsid w:val="00E20023"/>
    <w:rsid w:val="00E2038B"/>
    <w:rsid w:val="00E20907"/>
    <w:rsid w:val="00E215C1"/>
    <w:rsid w:val="00E21CC5"/>
    <w:rsid w:val="00E22471"/>
    <w:rsid w:val="00E22D7D"/>
    <w:rsid w:val="00E23F10"/>
    <w:rsid w:val="00E24BB5"/>
    <w:rsid w:val="00E25AD9"/>
    <w:rsid w:val="00E26A79"/>
    <w:rsid w:val="00E30FCF"/>
    <w:rsid w:val="00E3120A"/>
    <w:rsid w:val="00E315C3"/>
    <w:rsid w:val="00E315CB"/>
    <w:rsid w:val="00E31835"/>
    <w:rsid w:val="00E32147"/>
    <w:rsid w:val="00E32A04"/>
    <w:rsid w:val="00E32E09"/>
    <w:rsid w:val="00E32FA6"/>
    <w:rsid w:val="00E33313"/>
    <w:rsid w:val="00E33842"/>
    <w:rsid w:val="00E34569"/>
    <w:rsid w:val="00E36DD7"/>
    <w:rsid w:val="00E37FE1"/>
    <w:rsid w:val="00E402EA"/>
    <w:rsid w:val="00E416AB"/>
    <w:rsid w:val="00E4384D"/>
    <w:rsid w:val="00E438D9"/>
    <w:rsid w:val="00E443E5"/>
    <w:rsid w:val="00E45778"/>
    <w:rsid w:val="00E45889"/>
    <w:rsid w:val="00E468C2"/>
    <w:rsid w:val="00E468D6"/>
    <w:rsid w:val="00E46DF7"/>
    <w:rsid w:val="00E471FC"/>
    <w:rsid w:val="00E47233"/>
    <w:rsid w:val="00E47616"/>
    <w:rsid w:val="00E47B3A"/>
    <w:rsid w:val="00E47DA3"/>
    <w:rsid w:val="00E5045C"/>
    <w:rsid w:val="00E50FC7"/>
    <w:rsid w:val="00E510FC"/>
    <w:rsid w:val="00E51193"/>
    <w:rsid w:val="00E52912"/>
    <w:rsid w:val="00E53201"/>
    <w:rsid w:val="00E5347B"/>
    <w:rsid w:val="00E536CF"/>
    <w:rsid w:val="00E540EE"/>
    <w:rsid w:val="00E548DE"/>
    <w:rsid w:val="00E54FAF"/>
    <w:rsid w:val="00E55371"/>
    <w:rsid w:val="00E56F6D"/>
    <w:rsid w:val="00E57B5C"/>
    <w:rsid w:val="00E57D59"/>
    <w:rsid w:val="00E605E6"/>
    <w:rsid w:val="00E60B3B"/>
    <w:rsid w:val="00E60DA4"/>
    <w:rsid w:val="00E61BAA"/>
    <w:rsid w:val="00E623F3"/>
    <w:rsid w:val="00E624EB"/>
    <w:rsid w:val="00E62546"/>
    <w:rsid w:val="00E63594"/>
    <w:rsid w:val="00E63FD6"/>
    <w:rsid w:val="00E6528E"/>
    <w:rsid w:val="00E65877"/>
    <w:rsid w:val="00E65E72"/>
    <w:rsid w:val="00E66455"/>
    <w:rsid w:val="00E66B9D"/>
    <w:rsid w:val="00E67B38"/>
    <w:rsid w:val="00E70836"/>
    <w:rsid w:val="00E710BA"/>
    <w:rsid w:val="00E71396"/>
    <w:rsid w:val="00E71B1C"/>
    <w:rsid w:val="00E73644"/>
    <w:rsid w:val="00E743DF"/>
    <w:rsid w:val="00E74968"/>
    <w:rsid w:val="00E754A9"/>
    <w:rsid w:val="00E768D9"/>
    <w:rsid w:val="00E76AF8"/>
    <w:rsid w:val="00E77A46"/>
    <w:rsid w:val="00E8102C"/>
    <w:rsid w:val="00E81353"/>
    <w:rsid w:val="00E82295"/>
    <w:rsid w:val="00E83434"/>
    <w:rsid w:val="00E837AA"/>
    <w:rsid w:val="00E845B4"/>
    <w:rsid w:val="00E84A56"/>
    <w:rsid w:val="00E84E31"/>
    <w:rsid w:val="00E87476"/>
    <w:rsid w:val="00E879E7"/>
    <w:rsid w:val="00E90CE9"/>
    <w:rsid w:val="00E911C9"/>
    <w:rsid w:val="00E9147E"/>
    <w:rsid w:val="00E923AC"/>
    <w:rsid w:val="00E92705"/>
    <w:rsid w:val="00E9304E"/>
    <w:rsid w:val="00E931CB"/>
    <w:rsid w:val="00E94BDA"/>
    <w:rsid w:val="00E9544E"/>
    <w:rsid w:val="00E95E22"/>
    <w:rsid w:val="00E96DBA"/>
    <w:rsid w:val="00E9734F"/>
    <w:rsid w:val="00E97C67"/>
    <w:rsid w:val="00EA104B"/>
    <w:rsid w:val="00EA1587"/>
    <w:rsid w:val="00EA2325"/>
    <w:rsid w:val="00EA26B6"/>
    <w:rsid w:val="00EA2D5F"/>
    <w:rsid w:val="00EA35EC"/>
    <w:rsid w:val="00EA3BC3"/>
    <w:rsid w:val="00EA4480"/>
    <w:rsid w:val="00EA563E"/>
    <w:rsid w:val="00EA5F50"/>
    <w:rsid w:val="00EA6029"/>
    <w:rsid w:val="00EA657A"/>
    <w:rsid w:val="00EA6D80"/>
    <w:rsid w:val="00EA7125"/>
    <w:rsid w:val="00EA7BE6"/>
    <w:rsid w:val="00EB259C"/>
    <w:rsid w:val="00EB300D"/>
    <w:rsid w:val="00EB365A"/>
    <w:rsid w:val="00EB3ABD"/>
    <w:rsid w:val="00EB4574"/>
    <w:rsid w:val="00EB6BF1"/>
    <w:rsid w:val="00EB73CE"/>
    <w:rsid w:val="00EB7996"/>
    <w:rsid w:val="00EC08E9"/>
    <w:rsid w:val="00EC1423"/>
    <w:rsid w:val="00EC1FFD"/>
    <w:rsid w:val="00EC20C9"/>
    <w:rsid w:val="00EC3BAD"/>
    <w:rsid w:val="00EC3EFC"/>
    <w:rsid w:val="00EC43C2"/>
    <w:rsid w:val="00EC4734"/>
    <w:rsid w:val="00EC630F"/>
    <w:rsid w:val="00EC7FED"/>
    <w:rsid w:val="00ED0400"/>
    <w:rsid w:val="00ED0BB1"/>
    <w:rsid w:val="00ED3598"/>
    <w:rsid w:val="00ED35E2"/>
    <w:rsid w:val="00ED37AC"/>
    <w:rsid w:val="00ED3EBA"/>
    <w:rsid w:val="00ED456B"/>
    <w:rsid w:val="00ED482A"/>
    <w:rsid w:val="00ED4924"/>
    <w:rsid w:val="00ED543E"/>
    <w:rsid w:val="00ED6654"/>
    <w:rsid w:val="00ED6EC6"/>
    <w:rsid w:val="00ED7125"/>
    <w:rsid w:val="00EE081A"/>
    <w:rsid w:val="00EE1307"/>
    <w:rsid w:val="00EE1F0E"/>
    <w:rsid w:val="00EE27BD"/>
    <w:rsid w:val="00EE33C2"/>
    <w:rsid w:val="00EE36B9"/>
    <w:rsid w:val="00EE3D9A"/>
    <w:rsid w:val="00EE5449"/>
    <w:rsid w:val="00EE5B8E"/>
    <w:rsid w:val="00EE6CEB"/>
    <w:rsid w:val="00EE77AD"/>
    <w:rsid w:val="00EE791C"/>
    <w:rsid w:val="00EE7A4A"/>
    <w:rsid w:val="00EE7B56"/>
    <w:rsid w:val="00EF0656"/>
    <w:rsid w:val="00EF06FD"/>
    <w:rsid w:val="00EF0AA4"/>
    <w:rsid w:val="00EF0F20"/>
    <w:rsid w:val="00EF136F"/>
    <w:rsid w:val="00EF143C"/>
    <w:rsid w:val="00EF1E39"/>
    <w:rsid w:val="00EF2434"/>
    <w:rsid w:val="00EF2904"/>
    <w:rsid w:val="00EF3621"/>
    <w:rsid w:val="00EF3EB0"/>
    <w:rsid w:val="00EF46C7"/>
    <w:rsid w:val="00EF473C"/>
    <w:rsid w:val="00EF670C"/>
    <w:rsid w:val="00EF6E77"/>
    <w:rsid w:val="00EF7147"/>
    <w:rsid w:val="00F00145"/>
    <w:rsid w:val="00F01DAA"/>
    <w:rsid w:val="00F02B98"/>
    <w:rsid w:val="00F037FE"/>
    <w:rsid w:val="00F03F5C"/>
    <w:rsid w:val="00F04E9F"/>
    <w:rsid w:val="00F052D8"/>
    <w:rsid w:val="00F05781"/>
    <w:rsid w:val="00F0667D"/>
    <w:rsid w:val="00F07C1D"/>
    <w:rsid w:val="00F07DF6"/>
    <w:rsid w:val="00F07E34"/>
    <w:rsid w:val="00F07E80"/>
    <w:rsid w:val="00F108BF"/>
    <w:rsid w:val="00F12FB5"/>
    <w:rsid w:val="00F13117"/>
    <w:rsid w:val="00F139DD"/>
    <w:rsid w:val="00F1465B"/>
    <w:rsid w:val="00F1520B"/>
    <w:rsid w:val="00F16CE1"/>
    <w:rsid w:val="00F1734B"/>
    <w:rsid w:val="00F207AE"/>
    <w:rsid w:val="00F2084E"/>
    <w:rsid w:val="00F20A2E"/>
    <w:rsid w:val="00F2115B"/>
    <w:rsid w:val="00F22455"/>
    <w:rsid w:val="00F22739"/>
    <w:rsid w:val="00F232E0"/>
    <w:rsid w:val="00F2433D"/>
    <w:rsid w:val="00F24E5E"/>
    <w:rsid w:val="00F24E8B"/>
    <w:rsid w:val="00F2796B"/>
    <w:rsid w:val="00F2797D"/>
    <w:rsid w:val="00F3079E"/>
    <w:rsid w:val="00F30EB6"/>
    <w:rsid w:val="00F316D7"/>
    <w:rsid w:val="00F32040"/>
    <w:rsid w:val="00F331ED"/>
    <w:rsid w:val="00F339EB"/>
    <w:rsid w:val="00F34005"/>
    <w:rsid w:val="00F34032"/>
    <w:rsid w:val="00F3560F"/>
    <w:rsid w:val="00F362FE"/>
    <w:rsid w:val="00F363D3"/>
    <w:rsid w:val="00F36612"/>
    <w:rsid w:val="00F3716B"/>
    <w:rsid w:val="00F37C02"/>
    <w:rsid w:val="00F418E5"/>
    <w:rsid w:val="00F419F3"/>
    <w:rsid w:val="00F41B52"/>
    <w:rsid w:val="00F424E7"/>
    <w:rsid w:val="00F45263"/>
    <w:rsid w:val="00F47173"/>
    <w:rsid w:val="00F47981"/>
    <w:rsid w:val="00F47E26"/>
    <w:rsid w:val="00F524DA"/>
    <w:rsid w:val="00F53C31"/>
    <w:rsid w:val="00F53F76"/>
    <w:rsid w:val="00F542BB"/>
    <w:rsid w:val="00F54A14"/>
    <w:rsid w:val="00F54BDD"/>
    <w:rsid w:val="00F5583A"/>
    <w:rsid w:val="00F569EE"/>
    <w:rsid w:val="00F57017"/>
    <w:rsid w:val="00F57A18"/>
    <w:rsid w:val="00F57DA2"/>
    <w:rsid w:val="00F604F3"/>
    <w:rsid w:val="00F62B02"/>
    <w:rsid w:val="00F62DBE"/>
    <w:rsid w:val="00F62F4A"/>
    <w:rsid w:val="00F639DE"/>
    <w:rsid w:val="00F649FC"/>
    <w:rsid w:val="00F655EC"/>
    <w:rsid w:val="00F666A2"/>
    <w:rsid w:val="00F666C4"/>
    <w:rsid w:val="00F679B0"/>
    <w:rsid w:val="00F679B3"/>
    <w:rsid w:val="00F704CA"/>
    <w:rsid w:val="00F712D7"/>
    <w:rsid w:val="00F726D5"/>
    <w:rsid w:val="00F73B48"/>
    <w:rsid w:val="00F74FF9"/>
    <w:rsid w:val="00F75518"/>
    <w:rsid w:val="00F76D36"/>
    <w:rsid w:val="00F77FFC"/>
    <w:rsid w:val="00F80B31"/>
    <w:rsid w:val="00F80BD1"/>
    <w:rsid w:val="00F80D35"/>
    <w:rsid w:val="00F81168"/>
    <w:rsid w:val="00F816BC"/>
    <w:rsid w:val="00F81A08"/>
    <w:rsid w:val="00F81AE6"/>
    <w:rsid w:val="00F81F3D"/>
    <w:rsid w:val="00F81FC2"/>
    <w:rsid w:val="00F826F8"/>
    <w:rsid w:val="00F828A6"/>
    <w:rsid w:val="00F8354D"/>
    <w:rsid w:val="00F83750"/>
    <w:rsid w:val="00F83DD9"/>
    <w:rsid w:val="00F843FA"/>
    <w:rsid w:val="00F844BA"/>
    <w:rsid w:val="00F855C7"/>
    <w:rsid w:val="00F860E8"/>
    <w:rsid w:val="00F87EF7"/>
    <w:rsid w:val="00F904B0"/>
    <w:rsid w:val="00F90738"/>
    <w:rsid w:val="00F90858"/>
    <w:rsid w:val="00F91F04"/>
    <w:rsid w:val="00F9299A"/>
    <w:rsid w:val="00F92E64"/>
    <w:rsid w:val="00F93432"/>
    <w:rsid w:val="00F94F61"/>
    <w:rsid w:val="00F95BA2"/>
    <w:rsid w:val="00F965C5"/>
    <w:rsid w:val="00F96E6C"/>
    <w:rsid w:val="00F972C4"/>
    <w:rsid w:val="00FA0511"/>
    <w:rsid w:val="00FA1259"/>
    <w:rsid w:val="00FA13E3"/>
    <w:rsid w:val="00FA1B82"/>
    <w:rsid w:val="00FA2264"/>
    <w:rsid w:val="00FA24C8"/>
    <w:rsid w:val="00FA2AB0"/>
    <w:rsid w:val="00FA2CC2"/>
    <w:rsid w:val="00FA3516"/>
    <w:rsid w:val="00FA4245"/>
    <w:rsid w:val="00FA4280"/>
    <w:rsid w:val="00FA4387"/>
    <w:rsid w:val="00FA43CD"/>
    <w:rsid w:val="00FA4EBC"/>
    <w:rsid w:val="00FA501E"/>
    <w:rsid w:val="00FA550F"/>
    <w:rsid w:val="00FA5BD4"/>
    <w:rsid w:val="00FA6135"/>
    <w:rsid w:val="00FA6726"/>
    <w:rsid w:val="00FA6810"/>
    <w:rsid w:val="00FB0A0C"/>
    <w:rsid w:val="00FB155A"/>
    <w:rsid w:val="00FB2BC2"/>
    <w:rsid w:val="00FB3A1C"/>
    <w:rsid w:val="00FB58AE"/>
    <w:rsid w:val="00FB7C70"/>
    <w:rsid w:val="00FC0FBD"/>
    <w:rsid w:val="00FC1E8A"/>
    <w:rsid w:val="00FC2367"/>
    <w:rsid w:val="00FC2B7A"/>
    <w:rsid w:val="00FC3AA5"/>
    <w:rsid w:val="00FC480E"/>
    <w:rsid w:val="00FC4BCC"/>
    <w:rsid w:val="00FC6C05"/>
    <w:rsid w:val="00FC76F5"/>
    <w:rsid w:val="00FC77F5"/>
    <w:rsid w:val="00FC7C34"/>
    <w:rsid w:val="00FD0166"/>
    <w:rsid w:val="00FD04A7"/>
    <w:rsid w:val="00FD1123"/>
    <w:rsid w:val="00FD1C5B"/>
    <w:rsid w:val="00FD1EB3"/>
    <w:rsid w:val="00FD279D"/>
    <w:rsid w:val="00FD659D"/>
    <w:rsid w:val="00FD67EC"/>
    <w:rsid w:val="00FD6FAF"/>
    <w:rsid w:val="00FD7726"/>
    <w:rsid w:val="00FD7F8E"/>
    <w:rsid w:val="00FE044E"/>
    <w:rsid w:val="00FE0E91"/>
    <w:rsid w:val="00FE1560"/>
    <w:rsid w:val="00FE1A2F"/>
    <w:rsid w:val="00FE3C0E"/>
    <w:rsid w:val="00FE4196"/>
    <w:rsid w:val="00FE4281"/>
    <w:rsid w:val="00FE47A3"/>
    <w:rsid w:val="00FE483C"/>
    <w:rsid w:val="00FE4866"/>
    <w:rsid w:val="00FE4EDF"/>
    <w:rsid w:val="00FE606B"/>
    <w:rsid w:val="00FE62E6"/>
    <w:rsid w:val="00FF27FC"/>
    <w:rsid w:val="00FF29F7"/>
    <w:rsid w:val="00FF2A59"/>
    <w:rsid w:val="00FF33E5"/>
    <w:rsid w:val="00FF36FC"/>
    <w:rsid w:val="00FF38A4"/>
    <w:rsid w:val="00FF5E06"/>
    <w:rsid w:val="00FF5ED9"/>
    <w:rsid w:val="00FF6949"/>
    <w:rsid w:val="00FF7516"/>
    <w:rsid w:val="00FF7606"/>
    <w:rsid w:val="00FF7906"/>
    <w:rsid w:val="01053A79"/>
    <w:rsid w:val="01547BD3"/>
    <w:rsid w:val="01B39B97"/>
    <w:rsid w:val="01CE5DCA"/>
    <w:rsid w:val="03469D66"/>
    <w:rsid w:val="0396BB73"/>
    <w:rsid w:val="04EB4747"/>
    <w:rsid w:val="07624507"/>
    <w:rsid w:val="07747BFD"/>
    <w:rsid w:val="088CB86F"/>
    <w:rsid w:val="097820EF"/>
    <w:rsid w:val="0B1A923E"/>
    <w:rsid w:val="0CEBCA0E"/>
    <w:rsid w:val="0D7F9479"/>
    <w:rsid w:val="0E655672"/>
    <w:rsid w:val="0E706DE6"/>
    <w:rsid w:val="10A1AF43"/>
    <w:rsid w:val="11234BC9"/>
    <w:rsid w:val="12908B11"/>
    <w:rsid w:val="130E5D84"/>
    <w:rsid w:val="13275DA8"/>
    <w:rsid w:val="1387A708"/>
    <w:rsid w:val="14DCECE3"/>
    <w:rsid w:val="18B47BB7"/>
    <w:rsid w:val="19188E9B"/>
    <w:rsid w:val="1939AED0"/>
    <w:rsid w:val="1A88B2CD"/>
    <w:rsid w:val="1AB7F719"/>
    <w:rsid w:val="1C714F92"/>
    <w:rsid w:val="1DF11FDF"/>
    <w:rsid w:val="206B170F"/>
    <w:rsid w:val="21D29F0F"/>
    <w:rsid w:val="22220E50"/>
    <w:rsid w:val="22E4A38C"/>
    <w:rsid w:val="22F9B973"/>
    <w:rsid w:val="24349D69"/>
    <w:rsid w:val="2445B102"/>
    <w:rsid w:val="250A3FD1"/>
    <w:rsid w:val="2570A24F"/>
    <w:rsid w:val="2654840D"/>
    <w:rsid w:val="2957C020"/>
    <w:rsid w:val="2AF39081"/>
    <w:rsid w:val="2C782029"/>
    <w:rsid w:val="2D978A8C"/>
    <w:rsid w:val="2E2D21E0"/>
    <w:rsid w:val="2F2E55C6"/>
    <w:rsid w:val="2FEE7974"/>
    <w:rsid w:val="308E5D92"/>
    <w:rsid w:val="3140B56B"/>
    <w:rsid w:val="32194C91"/>
    <w:rsid w:val="32FEB9F3"/>
    <w:rsid w:val="332450B1"/>
    <w:rsid w:val="35181208"/>
    <w:rsid w:val="382FD6AB"/>
    <w:rsid w:val="38FF112C"/>
    <w:rsid w:val="399D00E8"/>
    <w:rsid w:val="39C61C02"/>
    <w:rsid w:val="3CE94CAB"/>
    <w:rsid w:val="40AFD27E"/>
    <w:rsid w:val="40CCF621"/>
    <w:rsid w:val="4149E0C8"/>
    <w:rsid w:val="420C4AF2"/>
    <w:rsid w:val="43E77340"/>
    <w:rsid w:val="4497655E"/>
    <w:rsid w:val="4969D8A0"/>
    <w:rsid w:val="49BF776F"/>
    <w:rsid w:val="4B4A77B7"/>
    <w:rsid w:val="4BC891D3"/>
    <w:rsid w:val="4CE01662"/>
    <w:rsid w:val="4EC2819A"/>
    <w:rsid w:val="4FB6CBB4"/>
    <w:rsid w:val="51353863"/>
    <w:rsid w:val="54058490"/>
    <w:rsid w:val="54B6D88A"/>
    <w:rsid w:val="56773ABF"/>
    <w:rsid w:val="57707663"/>
    <w:rsid w:val="58BBC6E2"/>
    <w:rsid w:val="5A74C614"/>
    <w:rsid w:val="5B440F88"/>
    <w:rsid w:val="5D799F3E"/>
    <w:rsid w:val="5DAC66D6"/>
    <w:rsid w:val="5DD9DF8A"/>
    <w:rsid w:val="5DEC32C6"/>
    <w:rsid w:val="5F3334C0"/>
    <w:rsid w:val="617212A4"/>
    <w:rsid w:val="62BAF134"/>
    <w:rsid w:val="6582735F"/>
    <w:rsid w:val="676CA493"/>
    <w:rsid w:val="69C9B413"/>
    <w:rsid w:val="6A8E4BB6"/>
    <w:rsid w:val="6B0ECE44"/>
    <w:rsid w:val="6BA94C73"/>
    <w:rsid w:val="6E764043"/>
    <w:rsid w:val="6F312016"/>
    <w:rsid w:val="6FF13189"/>
    <w:rsid w:val="71499442"/>
    <w:rsid w:val="72206F64"/>
    <w:rsid w:val="7237DC77"/>
    <w:rsid w:val="753A9B2F"/>
    <w:rsid w:val="7ADC4608"/>
    <w:rsid w:val="7C8A2AA4"/>
    <w:rsid w:val="7C8CC0DB"/>
    <w:rsid w:val="7D0E5CC6"/>
    <w:rsid w:val="7F8DE396"/>
    <w:rsid w:val="7FE5855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60E5211"/>
  <w15:docId w15:val="{F15B3116-A673-C943-BC27-51CE60F098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80574"/>
  </w:style>
  <w:style w:type="paragraph" w:styleId="Heading1">
    <w:name w:val="heading 1"/>
    <w:basedOn w:val="Normal"/>
    <w:next w:val="Normal"/>
    <w:link w:val="Heading1Char"/>
    <w:uiPriority w:val="9"/>
    <w:qFormat/>
    <w:rsid w:val="00A6483D"/>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624B3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next w:val="Normal"/>
    <w:pPr>
      <w:keepNext/>
      <w:keepLines/>
      <w:spacing w:before="480" w:after="120"/>
    </w:pPr>
    <w:rPr>
      <w:b/>
      <w:sz w:val="72"/>
      <w:szCs w:val="72"/>
    </w:rPr>
  </w:style>
  <w:style w:type="character" w:styleId="CommentReference">
    <w:name w:val="annotation reference"/>
    <w:basedOn w:val="DefaultParagraphFont"/>
    <w:uiPriority w:val="99"/>
    <w:semiHidden/>
    <w:unhideWhenUsed/>
    <w:rsid w:val="005070A4"/>
    <w:rPr>
      <w:sz w:val="16"/>
      <w:szCs w:val="16"/>
    </w:rPr>
  </w:style>
  <w:style w:type="paragraph" w:styleId="CommentText">
    <w:name w:val="annotation text"/>
    <w:basedOn w:val="Normal"/>
    <w:link w:val="CommentTextChar"/>
    <w:uiPriority w:val="99"/>
    <w:unhideWhenUsed/>
    <w:rsid w:val="005070A4"/>
    <w:pPr>
      <w:spacing w:line="240" w:lineRule="auto"/>
    </w:pPr>
    <w:rPr>
      <w:sz w:val="20"/>
      <w:szCs w:val="20"/>
    </w:rPr>
  </w:style>
  <w:style w:type="character" w:customStyle="1" w:styleId="CommentTextChar">
    <w:name w:val="Comment Text Char"/>
    <w:basedOn w:val="DefaultParagraphFont"/>
    <w:link w:val="CommentText"/>
    <w:uiPriority w:val="99"/>
    <w:rsid w:val="005070A4"/>
    <w:rPr>
      <w:sz w:val="20"/>
      <w:szCs w:val="20"/>
    </w:rPr>
  </w:style>
  <w:style w:type="paragraph" w:styleId="CommentSubject">
    <w:name w:val="annotation subject"/>
    <w:basedOn w:val="CommentText"/>
    <w:next w:val="CommentText"/>
    <w:link w:val="CommentSubjectChar"/>
    <w:uiPriority w:val="99"/>
    <w:semiHidden/>
    <w:unhideWhenUsed/>
    <w:rsid w:val="005070A4"/>
    <w:rPr>
      <w:b/>
      <w:bCs/>
    </w:rPr>
  </w:style>
  <w:style w:type="character" w:customStyle="1" w:styleId="CommentSubjectChar">
    <w:name w:val="Comment Subject Char"/>
    <w:basedOn w:val="CommentTextChar"/>
    <w:link w:val="CommentSubject"/>
    <w:uiPriority w:val="99"/>
    <w:semiHidden/>
    <w:rsid w:val="005070A4"/>
    <w:rPr>
      <w:b/>
      <w:bCs/>
      <w:sz w:val="20"/>
      <w:szCs w:val="20"/>
    </w:rPr>
  </w:style>
  <w:style w:type="paragraph" w:styleId="BalloonText">
    <w:name w:val="Balloon Text"/>
    <w:basedOn w:val="Normal"/>
    <w:link w:val="BalloonTextChar"/>
    <w:uiPriority w:val="99"/>
    <w:semiHidden/>
    <w:unhideWhenUsed/>
    <w:rsid w:val="005070A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070A4"/>
    <w:rPr>
      <w:rFonts w:ascii="Tahoma" w:hAnsi="Tahoma" w:cs="Tahoma"/>
      <w:sz w:val="16"/>
      <w:szCs w:val="16"/>
    </w:rPr>
  </w:style>
  <w:style w:type="character" w:styleId="LineNumber">
    <w:name w:val="line number"/>
    <w:basedOn w:val="DefaultParagraphFont"/>
    <w:uiPriority w:val="99"/>
    <w:semiHidden/>
    <w:unhideWhenUsed/>
    <w:rsid w:val="00522704"/>
  </w:style>
  <w:style w:type="character" w:styleId="Hyperlink">
    <w:name w:val="Hyperlink"/>
    <w:basedOn w:val="DefaultParagraphFont"/>
    <w:uiPriority w:val="99"/>
    <w:unhideWhenUsed/>
    <w:rsid w:val="00B74536"/>
    <w:rPr>
      <w:color w:val="0000FF" w:themeColor="hyperlink"/>
      <w:u w:val="single"/>
    </w:rPr>
  </w:style>
  <w:style w:type="character" w:customStyle="1" w:styleId="Heading2Char">
    <w:name w:val="Heading 2 Char"/>
    <w:basedOn w:val="DefaultParagraphFont"/>
    <w:link w:val="Heading2"/>
    <w:uiPriority w:val="9"/>
    <w:rsid w:val="00624B3A"/>
    <w:rPr>
      <w:rFonts w:asciiTheme="majorHAnsi" w:eastAsiaTheme="majorEastAsia" w:hAnsiTheme="majorHAnsi" w:cstheme="majorBidi"/>
      <w:b/>
      <w:bCs/>
      <w:color w:val="4F81BD" w:themeColor="accent1"/>
      <w:sz w:val="26"/>
      <w:szCs w:val="26"/>
    </w:rPr>
  </w:style>
  <w:style w:type="character" w:customStyle="1" w:styleId="Heading1Char">
    <w:name w:val="Heading 1 Char"/>
    <w:basedOn w:val="DefaultParagraphFont"/>
    <w:link w:val="Heading1"/>
    <w:uiPriority w:val="9"/>
    <w:rsid w:val="00A6483D"/>
    <w:rPr>
      <w:rFonts w:asciiTheme="majorHAnsi" w:eastAsiaTheme="majorEastAsia" w:hAnsiTheme="majorHAnsi" w:cstheme="majorBidi"/>
      <w:color w:val="365F91" w:themeColor="accent1" w:themeShade="BF"/>
      <w:sz w:val="32"/>
      <w:szCs w:val="32"/>
    </w:rPr>
  </w:style>
  <w:style w:type="character" w:customStyle="1" w:styleId="highlight">
    <w:name w:val="highlight"/>
    <w:basedOn w:val="DefaultParagraphFont"/>
    <w:rsid w:val="00A6483D"/>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paragraph" w:styleId="Header">
    <w:name w:val="header"/>
    <w:basedOn w:val="Normal"/>
    <w:link w:val="HeaderChar"/>
    <w:uiPriority w:val="99"/>
    <w:unhideWhenUsed/>
    <w:rsid w:val="00F83DD9"/>
    <w:pPr>
      <w:tabs>
        <w:tab w:val="center" w:pos="4536"/>
        <w:tab w:val="right" w:pos="9072"/>
      </w:tabs>
      <w:spacing w:after="0" w:line="240" w:lineRule="auto"/>
    </w:pPr>
  </w:style>
  <w:style w:type="character" w:customStyle="1" w:styleId="HeaderChar">
    <w:name w:val="Header Char"/>
    <w:basedOn w:val="DefaultParagraphFont"/>
    <w:link w:val="Header"/>
    <w:uiPriority w:val="99"/>
    <w:rsid w:val="00F83DD9"/>
  </w:style>
  <w:style w:type="paragraph" w:styleId="Footer">
    <w:name w:val="footer"/>
    <w:basedOn w:val="Normal"/>
    <w:link w:val="FooterChar"/>
    <w:uiPriority w:val="99"/>
    <w:unhideWhenUsed/>
    <w:rsid w:val="00F83DD9"/>
    <w:pPr>
      <w:tabs>
        <w:tab w:val="center" w:pos="4536"/>
        <w:tab w:val="right" w:pos="9072"/>
      </w:tabs>
      <w:spacing w:after="0" w:line="240" w:lineRule="auto"/>
    </w:pPr>
  </w:style>
  <w:style w:type="character" w:customStyle="1" w:styleId="FooterChar">
    <w:name w:val="Footer Char"/>
    <w:basedOn w:val="DefaultParagraphFont"/>
    <w:link w:val="Footer"/>
    <w:uiPriority w:val="99"/>
    <w:rsid w:val="00F83DD9"/>
  </w:style>
  <w:style w:type="character" w:customStyle="1" w:styleId="UnresolvedMention1">
    <w:name w:val="Unresolved Mention1"/>
    <w:basedOn w:val="DefaultParagraphFont"/>
    <w:uiPriority w:val="99"/>
    <w:semiHidden/>
    <w:unhideWhenUsed/>
    <w:rsid w:val="001652AB"/>
    <w:rPr>
      <w:color w:val="605E5C"/>
      <w:shd w:val="clear" w:color="auto" w:fill="E1DFDD"/>
    </w:rPr>
  </w:style>
  <w:style w:type="character" w:customStyle="1" w:styleId="apple-converted-space">
    <w:name w:val="apple-converted-space"/>
    <w:basedOn w:val="DefaultParagraphFont"/>
    <w:rsid w:val="00A637C6"/>
  </w:style>
  <w:style w:type="paragraph" w:styleId="ListParagraph">
    <w:name w:val="List Paragraph"/>
    <w:basedOn w:val="Normal"/>
    <w:uiPriority w:val="34"/>
    <w:qFormat/>
    <w:rsid w:val="00A637C6"/>
    <w:pPr>
      <w:ind w:left="720"/>
      <w:contextualSpacing/>
    </w:pPr>
  </w:style>
  <w:style w:type="paragraph" w:styleId="Revision">
    <w:name w:val="Revision"/>
    <w:hidden/>
    <w:uiPriority w:val="99"/>
    <w:semiHidden/>
    <w:rsid w:val="00827FAB"/>
    <w:pPr>
      <w:spacing w:after="0" w:line="240" w:lineRule="auto"/>
    </w:pPr>
  </w:style>
  <w:style w:type="character" w:styleId="UnresolvedMention">
    <w:name w:val="Unresolved Mention"/>
    <w:basedOn w:val="DefaultParagraphFont"/>
    <w:uiPriority w:val="99"/>
    <w:semiHidden/>
    <w:unhideWhenUsed/>
    <w:rsid w:val="008846D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0418387">
      <w:bodyDiv w:val="1"/>
      <w:marLeft w:val="0"/>
      <w:marRight w:val="0"/>
      <w:marTop w:val="0"/>
      <w:marBottom w:val="0"/>
      <w:divBdr>
        <w:top w:val="none" w:sz="0" w:space="0" w:color="auto"/>
        <w:left w:val="none" w:sz="0" w:space="0" w:color="auto"/>
        <w:bottom w:val="none" w:sz="0" w:space="0" w:color="auto"/>
        <w:right w:val="none" w:sz="0" w:space="0" w:color="auto"/>
      </w:divBdr>
    </w:div>
    <w:div w:id="152842654">
      <w:bodyDiv w:val="1"/>
      <w:marLeft w:val="0"/>
      <w:marRight w:val="0"/>
      <w:marTop w:val="0"/>
      <w:marBottom w:val="0"/>
      <w:divBdr>
        <w:top w:val="none" w:sz="0" w:space="0" w:color="auto"/>
        <w:left w:val="none" w:sz="0" w:space="0" w:color="auto"/>
        <w:bottom w:val="none" w:sz="0" w:space="0" w:color="auto"/>
        <w:right w:val="none" w:sz="0" w:space="0" w:color="auto"/>
      </w:divBdr>
    </w:div>
    <w:div w:id="161895998">
      <w:bodyDiv w:val="1"/>
      <w:marLeft w:val="0"/>
      <w:marRight w:val="0"/>
      <w:marTop w:val="0"/>
      <w:marBottom w:val="0"/>
      <w:divBdr>
        <w:top w:val="none" w:sz="0" w:space="0" w:color="auto"/>
        <w:left w:val="none" w:sz="0" w:space="0" w:color="auto"/>
        <w:bottom w:val="none" w:sz="0" w:space="0" w:color="auto"/>
        <w:right w:val="none" w:sz="0" w:space="0" w:color="auto"/>
      </w:divBdr>
    </w:div>
    <w:div w:id="277567565">
      <w:bodyDiv w:val="1"/>
      <w:marLeft w:val="0"/>
      <w:marRight w:val="0"/>
      <w:marTop w:val="0"/>
      <w:marBottom w:val="0"/>
      <w:divBdr>
        <w:top w:val="none" w:sz="0" w:space="0" w:color="auto"/>
        <w:left w:val="none" w:sz="0" w:space="0" w:color="auto"/>
        <w:bottom w:val="none" w:sz="0" w:space="0" w:color="auto"/>
        <w:right w:val="none" w:sz="0" w:space="0" w:color="auto"/>
      </w:divBdr>
    </w:div>
    <w:div w:id="281307543">
      <w:bodyDiv w:val="1"/>
      <w:marLeft w:val="0"/>
      <w:marRight w:val="0"/>
      <w:marTop w:val="0"/>
      <w:marBottom w:val="0"/>
      <w:divBdr>
        <w:top w:val="none" w:sz="0" w:space="0" w:color="auto"/>
        <w:left w:val="none" w:sz="0" w:space="0" w:color="auto"/>
        <w:bottom w:val="none" w:sz="0" w:space="0" w:color="auto"/>
        <w:right w:val="none" w:sz="0" w:space="0" w:color="auto"/>
      </w:divBdr>
    </w:div>
    <w:div w:id="287931818">
      <w:bodyDiv w:val="1"/>
      <w:marLeft w:val="0"/>
      <w:marRight w:val="0"/>
      <w:marTop w:val="0"/>
      <w:marBottom w:val="0"/>
      <w:divBdr>
        <w:top w:val="none" w:sz="0" w:space="0" w:color="auto"/>
        <w:left w:val="none" w:sz="0" w:space="0" w:color="auto"/>
        <w:bottom w:val="none" w:sz="0" w:space="0" w:color="auto"/>
        <w:right w:val="none" w:sz="0" w:space="0" w:color="auto"/>
      </w:divBdr>
    </w:div>
    <w:div w:id="345596786">
      <w:bodyDiv w:val="1"/>
      <w:marLeft w:val="0"/>
      <w:marRight w:val="0"/>
      <w:marTop w:val="0"/>
      <w:marBottom w:val="0"/>
      <w:divBdr>
        <w:top w:val="none" w:sz="0" w:space="0" w:color="auto"/>
        <w:left w:val="none" w:sz="0" w:space="0" w:color="auto"/>
        <w:bottom w:val="none" w:sz="0" w:space="0" w:color="auto"/>
        <w:right w:val="none" w:sz="0" w:space="0" w:color="auto"/>
      </w:divBdr>
    </w:div>
    <w:div w:id="366221938">
      <w:bodyDiv w:val="1"/>
      <w:marLeft w:val="0"/>
      <w:marRight w:val="0"/>
      <w:marTop w:val="0"/>
      <w:marBottom w:val="0"/>
      <w:divBdr>
        <w:top w:val="none" w:sz="0" w:space="0" w:color="auto"/>
        <w:left w:val="none" w:sz="0" w:space="0" w:color="auto"/>
        <w:bottom w:val="none" w:sz="0" w:space="0" w:color="auto"/>
        <w:right w:val="none" w:sz="0" w:space="0" w:color="auto"/>
      </w:divBdr>
    </w:div>
    <w:div w:id="511072022">
      <w:bodyDiv w:val="1"/>
      <w:marLeft w:val="0"/>
      <w:marRight w:val="0"/>
      <w:marTop w:val="0"/>
      <w:marBottom w:val="0"/>
      <w:divBdr>
        <w:top w:val="none" w:sz="0" w:space="0" w:color="auto"/>
        <w:left w:val="none" w:sz="0" w:space="0" w:color="auto"/>
        <w:bottom w:val="none" w:sz="0" w:space="0" w:color="auto"/>
        <w:right w:val="none" w:sz="0" w:space="0" w:color="auto"/>
      </w:divBdr>
    </w:div>
    <w:div w:id="546185847">
      <w:bodyDiv w:val="1"/>
      <w:marLeft w:val="0"/>
      <w:marRight w:val="0"/>
      <w:marTop w:val="0"/>
      <w:marBottom w:val="0"/>
      <w:divBdr>
        <w:top w:val="none" w:sz="0" w:space="0" w:color="auto"/>
        <w:left w:val="none" w:sz="0" w:space="0" w:color="auto"/>
        <w:bottom w:val="none" w:sz="0" w:space="0" w:color="auto"/>
        <w:right w:val="none" w:sz="0" w:space="0" w:color="auto"/>
      </w:divBdr>
    </w:div>
    <w:div w:id="576282406">
      <w:bodyDiv w:val="1"/>
      <w:marLeft w:val="0"/>
      <w:marRight w:val="0"/>
      <w:marTop w:val="0"/>
      <w:marBottom w:val="0"/>
      <w:divBdr>
        <w:top w:val="none" w:sz="0" w:space="0" w:color="auto"/>
        <w:left w:val="none" w:sz="0" w:space="0" w:color="auto"/>
        <w:bottom w:val="none" w:sz="0" w:space="0" w:color="auto"/>
        <w:right w:val="none" w:sz="0" w:space="0" w:color="auto"/>
      </w:divBdr>
    </w:div>
    <w:div w:id="581839435">
      <w:bodyDiv w:val="1"/>
      <w:marLeft w:val="0"/>
      <w:marRight w:val="0"/>
      <w:marTop w:val="0"/>
      <w:marBottom w:val="0"/>
      <w:divBdr>
        <w:top w:val="none" w:sz="0" w:space="0" w:color="auto"/>
        <w:left w:val="none" w:sz="0" w:space="0" w:color="auto"/>
        <w:bottom w:val="none" w:sz="0" w:space="0" w:color="auto"/>
        <w:right w:val="none" w:sz="0" w:space="0" w:color="auto"/>
      </w:divBdr>
    </w:div>
    <w:div w:id="808933257">
      <w:bodyDiv w:val="1"/>
      <w:marLeft w:val="0"/>
      <w:marRight w:val="0"/>
      <w:marTop w:val="0"/>
      <w:marBottom w:val="0"/>
      <w:divBdr>
        <w:top w:val="none" w:sz="0" w:space="0" w:color="auto"/>
        <w:left w:val="none" w:sz="0" w:space="0" w:color="auto"/>
        <w:bottom w:val="none" w:sz="0" w:space="0" w:color="auto"/>
        <w:right w:val="none" w:sz="0" w:space="0" w:color="auto"/>
      </w:divBdr>
    </w:div>
    <w:div w:id="813330253">
      <w:bodyDiv w:val="1"/>
      <w:marLeft w:val="0"/>
      <w:marRight w:val="0"/>
      <w:marTop w:val="0"/>
      <w:marBottom w:val="0"/>
      <w:divBdr>
        <w:top w:val="none" w:sz="0" w:space="0" w:color="auto"/>
        <w:left w:val="none" w:sz="0" w:space="0" w:color="auto"/>
        <w:bottom w:val="none" w:sz="0" w:space="0" w:color="auto"/>
        <w:right w:val="none" w:sz="0" w:space="0" w:color="auto"/>
      </w:divBdr>
    </w:div>
    <w:div w:id="941692199">
      <w:bodyDiv w:val="1"/>
      <w:marLeft w:val="0"/>
      <w:marRight w:val="0"/>
      <w:marTop w:val="0"/>
      <w:marBottom w:val="0"/>
      <w:divBdr>
        <w:top w:val="none" w:sz="0" w:space="0" w:color="auto"/>
        <w:left w:val="none" w:sz="0" w:space="0" w:color="auto"/>
        <w:bottom w:val="none" w:sz="0" w:space="0" w:color="auto"/>
        <w:right w:val="none" w:sz="0" w:space="0" w:color="auto"/>
      </w:divBdr>
    </w:div>
    <w:div w:id="1116945193">
      <w:bodyDiv w:val="1"/>
      <w:marLeft w:val="0"/>
      <w:marRight w:val="0"/>
      <w:marTop w:val="0"/>
      <w:marBottom w:val="0"/>
      <w:divBdr>
        <w:top w:val="none" w:sz="0" w:space="0" w:color="auto"/>
        <w:left w:val="none" w:sz="0" w:space="0" w:color="auto"/>
        <w:bottom w:val="none" w:sz="0" w:space="0" w:color="auto"/>
        <w:right w:val="none" w:sz="0" w:space="0" w:color="auto"/>
      </w:divBdr>
    </w:div>
    <w:div w:id="1172530781">
      <w:bodyDiv w:val="1"/>
      <w:marLeft w:val="0"/>
      <w:marRight w:val="0"/>
      <w:marTop w:val="0"/>
      <w:marBottom w:val="0"/>
      <w:divBdr>
        <w:top w:val="none" w:sz="0" w:space="0" w:color="auto"/>
        <w:left w:val="none" w:sz="0" w:space="0" w:color="auto"/>
        <w:bottom w:val="none" w:sz="0" w:space="0" w:color="auto"/>
        <w:right w:val="none" w:sz="0" w:space="0" w:color="auto"/>
      </w:divBdr>
    </w:div>
    <w:div w:id="1209953170">
      <w:bodyDiv w:val="1"/>
      <w:marLeft w:val="0"/>
      <w:marRight w:val="0"/>
      <w:marTop w:val="0"/>
      <w:marBottom w:val="0"/>
      <w:divBdr>
        <w:top w:val="none" w:sz="0" w:space="0" w:color="auto"/>
        <w:left w:val="none" w:sz="0" w:space="0" w:color="auto"/>
        <w:bottom w:val="none" w:sz="0" w:space="0" w:color="auto"/>
        <w:right w:val="none" w:sz="0" w:space="0" w:color="auto"/>
      </w:divBdr>
    </w:div>
    <w:div w:id="1385518361">
      <w:bodyDiv w:val="1"/>
      <w:marLeft w:val="0"/>
      <w:marRight w:val="0"/>
      <w:marTop w:val="0"/>
      <w:marBottom w:val="0"/>
      <w:divBdr>
        <w:top w:val="none" w:sz="0" w:space="0" w:color="auto"/>
        <w:left w:val="none" w:sz="0" w:space="0" w:color="auto"/>
        <w:bottom w:val="none" w:sz="0" w:space="0" w:color="auto"/>
        <w:right w:val="none" w:sz="0" w:space="0" w:color="auto"/>
      </w:divBdr>
    </w:div>
    <w:div w:id="1433627549">
      <w:bodyDiv w:val="1"/>
      <w:marLeft w:val="0"/>
      <w:marRight w:val="0"/>
      <w:marTop w:val="0"/>
      <w:marBottom w:val="0"/>
      <w:divBdr>
        <w:top w:val="none" w:sz="0" w:space="0" w:color="auto"/>
        <w:left w:val="none" w:sz="0" w:space="0" w:color="auto"/>
        <w:bottom w:val="none" w:sz="0" w:space="0" w:color="auto"/>
        <w:right w:val="none" w:sz="0" w:space="0" w:color="auto"/>
      </w:divBdr>
    </w:div>
    <w:div w:id="1795562431">
      <w:bodyDiv w:val="1"/>
      <w:marLeft w:val="0"/>
      <w:marRight w:val="0"/>
      <w:marTop w:val="0"/>
      <w:marBottom w:val="0"/>
      <w:divBdr>
        <w:top w:val="none" w:sz="0" w:space="0" w:color="auto"/>
        <w:left w:val="none" w:sz="0" w:space="0" w:color="auto"/>
        <w:bottom w:val="none" w:sz="0" w:space="0" w:color="auto"/>
        <w:right w:val="none" w:sz="0" w:space="0" w:color="auto"/>
      </w:divBdr>
    </w:div>
    <w:div w:id="1843278067">
      <w:bodyDiv w:val="1"/>
      <w:marLeft w:val="0"/>
      <w:marRight w:val="0"/>
      <w:marTop w:val="0"/>
      <w:marBottom w:val="0"/>
      <w:divBdr>
        <w:top w:val="none" w:sz="0" w:space="0" w:color="auto"/>
        <w:left w:val="none" w:sz="0" w:space="0" w:color="auto"/>
        <w:bottom w:val="none" w:sz="0" w:space="0" w:color="auto"/>
        <w:right w:val="none" w:sz="0" w:space="0" w:color="auto"/>
      </w:divBdr>
    </w:div>
    <w:div w:id="1955096280">
      <w:bodyDiv w:val="1"/>
      <w:marLeft w:val="0"/>
      <w:marRight w:val="0"/>
      <w:marTop w:val="0"/>
      <w:marBottom w:val="0"/>
      <w:divBdr>
        <w:top w:val="none" w:sz="0" w:space="0" w:color="auto"/>
        <w:left w:val="none" w:sz="0" w:space="0" w:color="auto"/>
        <w:bottom w:val="none" w:sz="0" w:space="0" w:color="auto"/>
        <w:right w:val="none" w:sz="0" w:space="0" w:color="auto"/>
      </w:divBdr>
    </w:div>
    <w:div w:id="1997949575">
      <w:bodyDiv w:val="1"/>
      <w:marLeft w:val="0"/>
      <w:marRight w:val="0"/>
      <w:marTop w:val="0"/>
      <w:marBottom w:val="0"/>
      <w:divBdr>
        <w:top w:val="none" w:sz="0" w:space="0" w:color="auto"/>
        <w:left w:val="none" w:sz="0" w:space="0" w:color="auto"/>
        <w:bottom w:val="none" w:sz="0" w:space="0" w:color="auto"/>
        <w:right w:val="none" w:sz="0" w:space="0" w:color="auto"/>
      </w:divBdr>
      <w:divsChild>
        <w:div w:id="1036346585">
          <w:marLeft w:val="0"/>
          <w:marRight w:val="0"/>
          <w:marTop w:val="0"/>
          <w:marBottom w:val="0"/>
          <w:divBdr>
            <w:top w:val="none" w:sz="0" w:space="0" w:color="auto"/>
            <w:left w:val="none" w:sz="0" w:space="0" w:color="auto"/>
            <w:bottom w:val="none" w:sz="0" w:space="0" w:color="auto"/>
            <w:right w:val="none" w:sz="0" w:space="0" w:color="auto"/>
          </w:divBdr>
        </w:div>
      </w:divsChild>
    </w:div>
    <w:div w:id="2063826051">
      <w:bodyDiv w:val="1"/>
      <w:marLeft w:val="0"/>
      <w:marRight w:val="0"/>
      <w:marTop w:val="0"/>
      <w:marBottom w:val="0"/>
      <w:divBdr>
        <w:top w:val="none" w:sz="0" w:space="0" w:color="auto"/>
        <w:left w:val="none" w:sz="0" w:space="0" w:color="auto"/>
        <w:bottom w:val="none" w:sz="0" w:space="0" w:color="auto"/>
        <w:right w:val="none" w:sz="0" w:space="0" w:color="auto"/>
      </w:divBdr>
    </w:div>
    <w:div w:id="2132088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tiff"/><Relationship Id="rId18" Type="http://schemas.openxmlformats.org/officeDocument/2006/relationships/hyperlink" Target="https://gwas.mrcieu.ac.uk/" TargetMode="External"/><Relationship Id="rId3" Type="http://schemas.openxmlformats.org/officeDocument/2006/relationships/numbering" Target="numbering.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image" Target="media/image3.tiff"/><Relationship Id="rId17" Type="http://schemas.openxmlformats.org/officeDocument/2006/relationships/hyperlink" Target="https://epi-meta.mrc-epid.cam.ac.uk/" TargetMode="External"/><Relationship Id="rId2" Type="http://schemas.openxmlformats.org/officeDocument/2006/relationships/customXml" Target="../customXml/item2.xml"/><Relationship Id="rId16" Type="http://schemas.openxmlformats.org/officeDocument/2006/relationships/hyperlink" Target="https://www.mrc-epid.cam.ac.uk/research/studies/fenland/information-for-researchers/" TargetMode="External"/><Relationship Id="rId20" Type="http://schemas.openxmlformats.org/officeDocument/2006/relationships/hyperlink" Target="https://www.ebi.ac.uk/gwas/publications/33067605"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tiff"/><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hyperlink" Target="https://www.ebi.ac.uk/gwas/" TargetMode="External"/><Relationship Id="rId4" Type="http://schemas.openxmlformats.org/officeDocument/2006/relationships/styles" Target="styles.xml"/><Relationship Id="rId9" Type="http://schemas.openxmlformats.org/officeDocument/2006/relationships/hyperlink" Target="mailto:claudia.langenberg@mrc-epid.cam.ac.uk" TargetMode="External"/><Relationship Id="rId14" Type="http://schemas.openxmlformats.org/officeDocument/2006/relationships/image" Target="media/image5.pn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Aspect">
      <a:majorFont>
        <a:latin typeface="Verdana"/>
        <a:ea typeface=""/>
        <a:cs typeface=""/>
        <a:font script="Jpan" typeface="ＭＳ ゴシック"/>
        <a:font script="Hang" typeface="굴림"/>
        <a:font script="Hans" typeface="微软雅黑"/>
        <a:font script="Hant" typeface="微軟正黑體"/>
        <a:font script="Arab" typeface="Tahoma"/>
        <a:font script="Hebr" typeface="Tahoma"/>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ajorFont>
      <a:minorFont>
        <a:latin typeface="Verdana"/>
        <a:ea typeface=""/>
        <a:cs typeface=""/>
        <a:font script="Jpan" typeface="ＭＳ ゴシック"/>
        <a:font script="Hang" typeface="굴림"/>
        <a:font script="Hans" typeface="微软雅黑"/>
        <a:font script="Hant" typeface="微軟正黑體"/>
        <a:font script="Arab" typeface="Tahoma"/>
        <a:font script="Hebr" typeface="Tahoma"/>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go:gDocsCustomXmlDataStorage xmlns:go="http://customooxmlschemas.google.com/" xmlns:r="http://schemas.openxmlformats.org/officeDocument/2006/relationships">
  <go:docsCustomData xmlns:go="http://customooxmlschemas.google.com/" roundtripDataSignature="AMtx7mg3uHj+W1z74UAMJHsWJJ0OVfq8XQ==">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</go:docsCustomData>
</go:gDocsCustomXmlDataStorage>
</file>

<file path=customXml/itemProps1.xml><?xml version="1.0" encoding="utf-8"?>
<ds:datastoreItem xmlns:ds="http://schemas.openxmlformats.org/officeDocument/2006/customXml" ds:itemID="{CD0930C8-2121-469E-B75D-FE371AFCCC88}">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32</Pages>
  <Words>90133</Words>
  <Characters>513760</Characters>
  <Application>Microsoft Office Word</Application>
  <DocSecurity>0</DocSecurity>
  <Lines>4281</Lines>
  <Paragraphs>1205</Paragraphs>
  <ScaleCrop>false</ScaleCrop>
  <HeadingPairs>
    <vt:vector size="2" baseType="variant">
      <vt:variant>
        <vt:lpstr>Title</vt:lpstr>
      </vt:variant>
      <vt:variant>
        <vt:i4>1</vt:i4>
      </vt:variant>
    </vt:vector>
  </HeadingPairs>
  <TitlesOfParts>
    <vt:vector size="1" baseType="lpstr">
      <vt:lpstr/>
    </vt:vector>
  </TitlesOfParts>
  <Company>EMAU</Company>
  <LinksUpToDate>false</LinksUpToDate>
  <CharactersWithSpaces>602688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Maik Pietzner</dc:creator>
  <cp:lastModifiedBy>Pietzner, Maik</cp:lastModifiedBy>
  <cp:revision>16</cp:revision>
  <dcterms:created xsi:type="dcterms:W3CDTF">2021-11-04T08:10:00Z</dcterms:created>
  <dcterms:modified xsi:type="dcterms:W3CDTF">2021-11-04T08:19:00Z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http://www.zotero.org/styles/science</vt:lpwstr>
  </property>
  <property fmtid="{D5CDD505-2E9C-101B-9397-08002B2CF9AE}" pid="21" name="Mendeley Recent Style Name 9_1">
    <vt:lpwstr>Science</vt:lpwstr>
  </property>
  <property fmtid="{D5CDD505-2E9C-101B-9397-08002B2CF9AE}" pid="22" name="Mendeley Citation Style_1">
    <vt:lpwstr>http://www.zotero.org/styles/nature</vt:lpwstr>
  </property>
  <property fmtid="{D5CDD505-2E9C-101B-9397-08002B2CF9AE}" pid="23" name="Mendeley Document_1">
    <vt:lpwstr>True</vt:lpwstr>
  </property>
  <property fmtid="{D5CDD505-2E9C-101B-9397-08002B2CF9AE}" pid="24" name="Mendeley Unique User Id_1">
    <vt:lpwstr>e86083e0-a88f-391e-9994-160fb25dda37</vt:lpwstr>
  </property>
</Properties>
</file>