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F74323C" w14:textId="27DB3663" w:rsidR="00AE3EC5" w:rsidRPr="004B61EA" w:rsidRDefault="00E24DF1" w:rsidP="00AE3EC5">
      <w:pPr>
        <w:pStyle w:val="NoSpacing"/>
        <w:spacing w:line="360" w:lineRule="auto"/>
        <w:rPr>
          <w:rFonts w:ascii="Arial" w:hAnsi="Arial" w:cs="Arial"/>
          <w:b/>
          <w:sz w:val="24"/>
          <w:szCs w:val="24"/>
          <w:lang w:val="en-US"/>
        </w:rPr>
      </w:pPr>
      <w:bookmarkStart w:id="0" w:name="_GoBack"/>
      <w:r w:rsidRPr="004B61EA">
        <w:rPr>
          <w:rFonts w:ascii="Arial" w:hAnsi="Arial" w:cs="Arial"/>
          <w:b/>
          <w:sz w:val="24"/>
          <w:szCs w:val="24"/>
          <w:lang w:val="en-US"/>
        </w:rPr>
        <w:t>Birth weight</w:t>
      </w:r>
      <w:r w:rsidR="001C3F01" w:rsidRPr="004B61EA">
        <w:rPr>
          <w:rFonts w:ascii="Arial" w:hAnsi="Arial" w:cs="Arial"/>
          <w:b/>
          <w:sz w:val="24"/>
          <w:szCs w:val="24"/>
          <w:lang w:val="en-US"/>
        </w:rPr>
        <w:t xml:space="preserve"> to </w:t>
      </w:r>
      <w:r w:rsidRPr="004B61EA">
        <w:rPr>
          <w:rFonts w:ascii="Arial" w:hAnsi="Arial" w:cs="Arial"/>
          <w:b/>
          <w:sz w:val="24"/>
          <w:szCs w:val="24"/>
          <w:lang w:val="en-US"/>
        </w:rPr>
        <w:t>placenta weight ratio and its relation</w:t>
      </w:r>
      <w:r w:rsidR="00D270A8" w:rsidRPr="004B61EA">
        <w:rPr>
          <w:rFonts w:ascii="Arial" w:hAnsi="Arial" w:cs="Arial"/>
          <w:b/>
          <w:sz w:val="24"/>
          <w:szCs w:val="24"/>
          <w:lang w:val="en-US"/>
        </w:rPr>
        <w:t>ship to</w:t>
      </w:r>
      <w:r w:rsidRPr="004B61EA">
        <w:rPr>
          <w:rFonts w:ascii="Arial" w:hAnsi="Arial" w:cs="Arial"/>
          <w:b/>
          <w:sz w:val="24"/>
          <w:szCs w:val="24"/>
          <w:lang w:val="en-US"/>
        </w:rPr>
        <w:t xml:space="preserve"> </w:t>
      </w:r>
      <w:r w:rsidR="00670E42" w:rsidRPr="004B61EA">
        <w:rPr>
          <w:rFonts w:ascii="Arial" w:hAnsi="Arial" w:cs="Arial"/>
          <w:b/>
          <w:sz w:val="24"/>
          <w:szCs w:val="24"/>
          <w:lang w:val="en-US"/>
        </w:rPr>
        <w:t>ultrasonic measurements, maternal and neonatal morbidity:</w:t>
      </w:r>
      <w:r w:rsidRPr="004B61EA">
        <w:rPr>
          <w:rFonts w:ascii="Arial" w:hAnsi="Arial" w:cs="Arial"/>
          <w:b/>
          <w:sz w:val="24"/>
          <w:szCs w:val="24"/>
          <w:lang w:val="en-US"/>
        </w:rPr>
        <w:t xml:space="preserve"> a prospective cohort study of nulliparous women</w:t>
      </w:r>
      <w:bookmarkEnd w:id="0"/>
      <w:r w:rsidRPr="004B61EA">
        <w:rPr>
          <w:rFonts w:ascii="Arial" w:hAnsi="Arial" w:cs="Arial"/>
          <w:b/>
          <w:sz w:val="24"/>
          <w:szCs w:val="24"/>
          <w:lang w:val="en-US"/>
        </w:rPr>
        <w:t>.</w:t>
      </w:r>
    </w:p>
    <w:p w14:paraId="57B82873" w14:textId="77777777" w:rsidR="00AE3EC5" w:rsidRPr="004B61EA" w:rsidRDefault="00AE3EC5" w:rsidP="00AE3EC5">
      <w:pPr>
        <w:pStyle w:val="NoSpacing"/>
        <w:spacing w:line="360" w:lineRule="auto"/>
        <w:rPr>
          <w:rFonts w:ascii="Arial" w:hAnsi="Arial" w:cs="Arial"/>
          <w:sz w:val="24"/>
          <w:szCs w:val="24"/>
          <w:lang w:val="en-US"/>
        </w:rPr>
      </w:pPr>
    </w:p>
    <w:p w14:paraId="4EF498F8" w14:textId="4F26EA37" w:rsidR="00AE3EC5" w:rsidRPr="004B61EA" w:rsidRDefault="00AE3EC5" w:rsidP="0045605B">
      <w:pPr>
        <w:pStyle w:val="NoSpacing"/>
        <w:spacing w:line="360" w:lineRule="auto"/>
        <w:outlineLvl w:val="0"/>
        <w:rPr>
          <w:rFonts w:ascii="Arial" w:hAnsi="Arial" w:cs="Arial"/>
          <w:sz w:val="24"/>
          <w:szCs w:val="24"/>
          <w:vertAlign w:val="superscript"/>
          <w:lang w:val="es-ES"/>
        </w:rPr>
      </w:pPr>
      <w:r w:rsidRPr="004B61EA">
        <w:rPr>
          <w:rFonts w:ascii="Arial" w:hAnsi="Arial" w:cs="Arial"/>
          <w:sz w:val="24"/>
          <w:szCs w:val="24"/>
          <w:lang w:val="es-ES"/>
        </w:rPr>
        <w:t>N. Salavati</w:t>
      </w:r>
      <w:r w:rsidRPr="004B61EA">
        <w:rPr>
          <w:rFonts w:ascii="Arial" w:hAnsi="Arial" w:cs="Arial"/>
          <w:sz w:val="24"/>
          <w:szCs w:val="24"/>
          <w:vertAlign w:val="superscript"/>
          <w:lang w:val="es-ES"/>
        </w:rPr>
        <w:t>a</w:t>
      </w:r>
    </w:p>
    <w:p w14:paraId="0529EE32" w14:textId="1445947C" w:rsidR="00AE3EC5" w:rsidRPr="004B61EA" w:rsidRDefault="00AE3EC5" w:rsidP="00AE3EC5">
      <w:pPr>
        <w:pStyle w:val="NoSpacing"/>
        <w:spacing w:line="360" w:lineRule="auto"/>
        <w:rPr>
          <w:rFonts w:ascii="Arial" w:hAnsi="Arial" w:cs="Arial"/>
          <w:sz w:val="24"/>
          <w:szCs w:val="24"/>
          <w:lang w:val="es-ES"/>
        </w:rPr>
      </w:pPr>
      <w:r w:rsidRPr="004B61EA">
        <w:rPr>
          <w:rFonts w:ascii="Arial" w:hAnsi="Arial" w:cs="Arial"/>
          <w:sz w:val="24"/>
          <w:szCs w:val="24"/>
          <w:lang w:val="es-ES"/>
        </w:rPr>
        <w:t>Dr. S.J. Gordijn</w:t>
      </w:r>
      <w:r w:rsidRPr="004B61EA">
        <w:rPr>
          <w:rFonts w:ascii="Arial" w:hAnsi="Arial" w:cs="Arial"/>
          <w:sz w:val="24"/>
          <w:szCs w:val="24"/>
          <w:vertAlign w:val="superscript"/>
          <w:lang w:val="es-ES"/>
        </w:rPr>
        <w:t>a</w:t>
      </w:r>
    </w:p>
    <w:p w14:paraId="189D5017" w14:textId="0A246DFC" w:rsidR="00AE3EC5" w:rsidRPr="004B61EA" w:rsidRDefault="00AE3EC5" w:rsidP="00AE3EC5">
      <w:pPr>
        <w:pStyle w:val="NoSpacing"/>
        <w:spacing w:line="360" w:lineRule="auto"/>
        <w:rPr>
          <w:rFonts w:ascii="Arial" w:hAnsi="Arial" w:cs="Arial"/>
          <w:sz w:val="24"/>
          <w:szCs w:val="24"/>
          <w:vertAlign w:val="superscript"/>
          <w:lang w:val="de-DE"/>
        </w:rPr>
      </w:pPr>
      <w:r w:rsidRPr="004B61EA">
        <w:rPr>
          <w:rFonts w:ascii="Arial" w:hAnsi="Arial" w:cs="Arial"/>
          <w:sz w:val="24"/>
          <w:szCs w:val="24"/>
          <w:lang w:val="de-DE"/>
        </w:rPr>
        <w:t>Dr. U. Sovio</w:t>
      </w:r>
      <w:r w:rsidRPr="004B61EA">
        <w:rPr>
          <w:rFonts w:ascii="Arial" w:hAnsi="Arial" w:cs="Arial"/>
          <w:sz w:val="24"/>
          <w:szCs w:val="24"/>
          <w:vertAlign w:val="superscript"/>
          <w:lang w:val="de-DE"/>
        </w:rPr>
        <w:t>b</w:t>
      </w:r>
      <w:r w:rsidR="001C3F01" w:rsidRPr="004B61EA">
        <w:rPr>
          <w:rFonts w:ascii="Arial" w:hAnsi="Arial" w:cs="Arial"/>
          <w:sz w:val="24"/>
          <w:szCs w:val="24"/>
          <w:vertAlign w:val="superscript"/>
          <w:lang w:val="de-DE"/>
        </w:rPr>
        <w:t>,c</w:t>
      </w:r>
    </w:p>
    <w:p w14:paraId="4F2C8017" w14:textId="41A14DB3" w:rsidR="00391CD5" w:rsidRPr="004B61EA" w:rsidRDefault="00391CD5" w:rsidP="00AE3EC5">
      <w:pPr>
        <w:pStyle w:val="NoSpacing"/>
        <w:spacing w:line="360" w:lineRule="auto"/>
        <w:rPr>
          <w:rFonts w:ascii="Arial" w:hAnsi="Arial" w:cs="Arial"/>
          <w:sz w:val="24"/>
          <w:szCs w:val="24"/>
          <w:lang w:val="de-DE"/>
        </w:rPr>
      </w:pPr>
      <w:r w:rsidRPr="004B61EA">
        <w:rPr>
          <w:rFonts w:ascii="Arial" w:hAnsi="Arial" w:cs="Arial"/>
          <w:sz w:val="24"/>
          <w:szCs w:val="24"/>
          <w:lang w:val="de-DE"/>
        </w:rPr>
        <w:t xml:space="preserve">Dr. </w:t>
      </w:r>
      <w:r w:rsidR="006F6755" w:rsidRPr="004B61EA">
        <w:rPr>
          <w:rFonts w:ascii="Arial" w:hAnsi="Arial" w:cs="Arial"/>
          <w:sz w:val="24"/>
          <w:szCs w:val="24"/>
          <w:lang w:val="de-DE"/>
        </w:rPr>
        <w:t>R. Zill-E-Huma</w:t>
      </w:r>
      <w:r w:rsidRPr="004B61EA">
        <w:rPr>
          <w:rFonts w:ascii="Arial" w:hAnsi="Arial" w:cs="Arial"/>
          <w:sz w:val="24"/>
          <w:szCs w:val="24"/>
          <w:vertAlign w:val="superscript"/>
          <w:lang w:val="de-DE"/>
        </w:rPr>
        <w:t>b</w:t>
      </w:r>
    </w:p>
    <w:p w14:paraId="1EFF3F48" w14:textId="209A7E44" w:rsidR="00AE3EC5" w:rsidRPr="004B61EA" w:rsidRDefault="00AE3EC5" w:rsidP="00AE3EC5">
      <w:pPr>
        <w:pStyle w:val="NoSpacing"/>
        <w:spacing w:line="360" w:lineRule="auto"/>
        <w:rPr>
          <w:rFonts w:ascii="Arial" w:hAnsi="Arial" w:cs="Arial"/>
          <w:sz w:val="24"/>
          <w:szCs w:val="24"/>
          <w:lang w:val="de-DE"/>
        </w:rPr>
      </w:pPr>
      <w:r w:rsidRPr="004B61EA">
        <w:rPr>
          <w:rFonts w:ascii="Arial" w:hAnsi="Arial" w:cs="Arial"/>
          <w:sz w:val="24"/>
          <w:szCs w:val="24"/>
          <w:lang w:val="de-DE"/>
        </w:rPr>
        <w:t>Dr. A. Gebril</w:t>
      </w:r>
      <w:r w:rsidR="00E667E7" w:rsidRPr="004B61EA">
        <w:rPr>
          <w:rFonts w:ascii="Arial" w:hAnsi="Arial" w:cs="Arial"/>
          <w:sz w:val="24"/>
          <w:szCs w:val="24"/>
          <w:vertAlign w:val="superscript"/>
          <w:lang w:val="de-DE"/>
        </w:rPr>
        <w:t>b</w:t>
      </w:r>
      <w:r w:rsidR="006F6755" w:rsidRPr="004B61EA">
        <w:rPr>
          <w:rFonts w:ascii="Arial" w:hAnsi="Arial" w:cs="Arial"/>
          <w:sz w:val="24"/>
          <w:szCs w:val="24"/>
          <w:vertAlign w:val="superscript"/>
          <w:lang w:val="de-DE"/>
        </w:rPr>
        <w:t>,d</w:t>
      </w:r>
    </w:p>
    <w:p w14:paraId="00D6531E" w14:textId="1852E38D" w:rsidR="00AE3EC5" w:rsidRPr="004B61EA" w:rsidRDefault="00AE3EC5" w:rsidP="00AE3EC5">
      <w:pPr>
        <w:pStyle w:val="NoSpacing"/>
        <w:spacing w:line="360" w:lineRule="auto"/>
        <w:rPr>
          <w:rFonts w:ascii="Arial" w:hAnsi="Arial" w:cs="Arial"/>
          <w:sz w:val="24"/>
          <w:szCs w:val="24"/>
          <w:vertAlign w:val="superscript"/>
          <w:lang w:val="de-DE"/>
        </w:rPr>
      </w:pPr>
      <w:r w:rsidRPr="004B61EA">
        <w:rPr>
          <w:rFonts w:ascii="Arial" w:hAnsi="Arial" w:cs="Arial"/>
          <w:sz w:val="24"/>
          <w:szCs w:val="24"/>
          <w:lang w:val="de-DE"/>
        </w:rPr>
        <w:t>Prof. D.S. Charnock-Jones</w:t>
      </w:r>
      <w:r w:rsidR="00E667E7" w:rsidRPr="004B61EA">
        <w:rPr>
          <w:rFonts w:ascii="Arial" w:hAnsi="Arial" w:cs="Arial"/>
          <w:sz w:val="24"/>
          <w:szCs w:val="24"/>
          <w:vertAlign w:val="superscript"/>
          <w:lang w:val="de-DE"/>
        </w:rPr>
        <w:t>b,c</w:t>
      </w:r>
    </w:p>
    <w:p w14:paraId="5620B684" w14:textId="6BBD1651" w:rsidR="00AE3EC5" w:rsidRPr="004B61EA" w:rsidRDefault="00AE3EC5" w:rsidP="00AE3EC5">
      <w:pPr>
        <w:pStyle w:val="NoSpacing"/>
        <w:spacing w:line="360" w:lineRule="auto"/>
        <w:rPr>
          <w:rFonts w:ascii="Arial" w:hAnsi="Arial" w:cs="Arial"/>
          <w:sz w:val="24"/>
          <w:szCs w:val="24"/>
          <w:vertAlign w:val="superscript"/>
          <w:lang w:val="de-DE"/>
        </w:rPr>
      </w:pPr>
      <w:r w:rsidRPr="004B61EA">
        <w:rPr>
          <w:rFonts w:ascii="Arial" w:hAnsi="Arial" w:cs="Arial"/>
          <w:sz w:val="24"/>
          <w:szCs w:val="24"/>
          <w:lang w:val="de-DE"/>
        </w:rPr>
        <w:t>Prof. S.A. Scherjon</w:t>
      </w:r>
      <w:r w:rsidRPr="004B61EA">
        <w:rPr>
          <w:rFonts w:ascii="Arial" w:hAnsi="Arial" w:cs="Arial"/>
          <w:sz w:val="24"/>
          <w:szCs w:val="24"/>
          <w:vertAlign w:val="superscript"/>
          <w:lang w:val="de-DE"/>
        </w:rPr>
        <w:t>a</w:t>
      </w:r>
    </w:p>
    <w:p w14:paraId="393F65D0" w14:textId="77C0BC2D" w:rsidR="00AE3EC5" w:rsidRPr="004B61EA" w:rsidRDefault="00AE3EC5" w:rsidP="00AE3EC5">
      <w:pPr>
        <w:pStyle w:val="NoSpacing"/>
        <w:spacing w:line="360" w:lineRule="auto"/>
        <w:rPr>
          <w:rFonts w:ascii="Arial" w:hAnsi="Arial" w:cs="Arial"/>
          <w:sz w:val="24"/>
          <w:szCs w:val="24"/>
          <w:lang w:val="en-US"/>
        </w:rPr>
      </w:pPr>
      <w:r w:rsidRPr="004B61EA">
        <w:rPr>
          <w:rFonts w:ascii="Arial" w:hAnsi="Arial" w:cs="Arial"/>
          <w:sz w:val="24"/>
          <w:szCs w:val="24"/>
          <w:lang w:val="en-US"/>
        </w:rPr>
        <w:t>Prof. G.C.S. Smith</w:t>
      </w:r>
      <w:r w:rsidR="00E667E7" w:rsidRPr="004B61EA">
        <w:rPr>
          <w:rFonts w:ascii="Arial" w:hAnsi="Arial" w:cs="Arial"/>
          <w:sz w:val="24"/>
          <w:szCs w:val="24"/>
          <w:vertAlign w:val="superscript"/>
          <w:lang w:val="en-US"/>
        </w:rPr>
        <w:t>b,c</w:t>
      </w:r>
      <w:r w:rsidRPr="004B61EA">
        <w:rPr>
          <w:rFonts w:ascii="Arial" w:hAnsi="Arial" w:cs="Arial"/>
          <w:sz w:val="24"/>
          <w:szCs w:val="24"/>
          <w:vertAlign w:val="superscript"/>
          <w:lang w:val="en-US"/>
        </w:rPr>
        <w:t>,</w:t>
      </w:r>
      <w:r w:rsidR="001663DD" w:rsidRPr="004B61EA">
        <w:rPr>
          <w:rFonts w:ascii="Arial" w:hAnsi="Arial" w:cs="Arial"/>
          <w:sz w:val="24"/>
          <w:szCs w:val="24"/>
          <w:vertAlign w:val="superscript"/>
          <w:lang w:val="en-US"/>
        </w:rPr>
        <w:t>1</w:t>
      </w:r>
    </w:p>
    <w:p w14:paraId="5031B414" w14:textId="77777777" w:rsidR="00AE3EC5" w:rsidRPr="004B61EA" w:rsidRDefault="00AE3EC5" w:rsidP="00AE3EC5">
      <w:pPr>
        <w:pStyle w:val="NoSpacing"/>
        <w:spacing w:line="360" w:lineRule="auto"/>
        <w:rPr>
          <w:rFonts w:ascii="Arial" w:hAnsi="Arial" w:cs="Arial"/>
          <w:sz w:val="24"/>
          <w:szCs w:val="24"/>
          <w:lang w:val="en-US"/>
        </w:rPr>
      </w:pPr>
    </w:p>
    <w:p w14:paraId="24530A55" w14:textId="1CA3587D" w:rsidR="00AE3EC5" w:rsidRPr="004B61EA" w:rsidRDefault="00AE3EC5" w:rsidP="00AE3EC5">
      <w:pPr>
        <w:pStyle w:val="NoSpacing"/>
        <w:spacing w:line="360" w:lineRule="auto"/>
        <w:rPr>
          <w:rFonts w:ascii="Arial" w:hAnsi="Arial" w:cs="Arial"/>
          <w:sz w:val="24"/>
          <w:szCs w:val="24"/>
          <w:lang w:val="en-US"/>
        </w:rPr>
      </w:pPr>
      <w:r w:rsidRPr="004B61EA">
        <w:rPr>
          <w:rFonts w:ascii="Arial" w:hAnsi="Arial" w:cs="Arial"/>
          <w:sz w:val="24"/>
          <w:szCs w:val="24"/>
          <w:vertAlign w:val="superscript"/>
          <w:lang w:val="en-US"/>
        </w:rPr>
        <w:t>a</w:t>
      </w:r>
      <w:r w:rsidRPr="004B61EA">
        <w:rPr>
          <w:rFonts w:ascii="Arial" w:hAnsi="Arial" w:cs="Arial"/>
          <w:sz w:val="24"/>
          <w:szCs w:val="24"/>
          <w:lang w:val="en-US"/>
        </w:rPr>
        <w:t>Department of Obstetrics and Gynaecology, University Medical Centre of Groningen, University of Groningen, The Netherlands.</w:t>
      </w:r>
    </w:p>
    <w:p w14:paraId="1DD64E91" w14:textId="5FB24EEE" w:rsidR="00AE3EC5" w:rsidRPr="004B61EA" w:rsidRDefault="000D4469" w:rsidP="00AE3EC5">
      <w:pPr>
        <w:pStyle w:val="NoSpacing"/>
        <w:spacing w:line="360" w:lineRule="auto"/>
        <w:rPr>
          <w:rFonts w:ascii="Arial" w:hAnsi="Arial" w:cs="Arial"/>
          <w:sz w:val="24"/>
          <w:szCs w:val="24"/>
          <w:lang w:val="en-US"/>
        </w:rPr>
      </w:pPr>
      <w:r w:rsidRPr="004B61EA">
        <w:rPr>
          <w:rFonts w:ascii="Arial" w:hAnsi="Arial" w:cs="Arial"/>
          <w:sz w:val="24"/>
          <w:szCs w:val="24"/>
          <w:vertAlign w:val="superscript"/>
          <w:lang w:val="en-US"/>
        </w:rPr>
        <w:t>b</w:t>
      </w:r>
      <w:r w:rsidR="00AE3EC5" w:rsidRPr="004B61EA">
        <w:rPr>
          <w:rFonts w:ascii="Arial" w:hAnsi="Arial" w:cs="Arial"/>
          <w:sz w:val="24"/>
          <w:szCs w:val="24"/>
          <w:lang w:val="en-US"/>
        </w:rPr>
        <w:t>Department of Obstetrics and Gynaecology, University of Cambridge; NIHR Cambridge Comprehensive Biomedical Research Centre, Cambridge, UK.</w:t>
      </w:r>
    </w:p>
    <w:p w14:paraId="701613B7" w14:textId="71B79DD0" w:rsidR="00AE3EC5" w:rsidRPr="004B61EA" w:rsidRDefault="000D4469" w:rsidP="00AE3EC5">
      <w:pPr>
        <w:pStyle w:val="NoSpacing"/>
        <w:spacing w:line="360" w:lineRule="auto"/>
        <w:rPr>
          <w:rFonts w:ascii="Arial" w:hAnsi="Arial" w:cs="Arial"/>
          <w:sz w:val="24"/>
          <w:szCs w:val="24"/>
          <w:lang w:val="en-US"/>
        </w:rPr>
      </w:pPr>
      <w:r w:rsidRPr="004B61EA">
        <w:rPr>
          <w:rFonts w:ascii="Arial" w:hAnsi="Arial" w:cs="Arial"/>
          <w:sz w:val="24"/>
          <w:szCs w:val="24"/>
          <w:vertAlign w:val="superscript"/>
          <w:lang w:val="en-US"/>
        </w:rPr>
        <w:t>c</w:t>
      </w:r>
      <w:r w:rsidR="00AE3EC5" w:rsidRPr="004B61EA">
        <w:rPr>
          <w:rFonts w:ascii="Arial" w:hAnsi="Arial" w:cs="Arial"/>
          <w:sz w:val="24"/>
          <w:szCs w:val="24"/>
          <w:lang w:val="en-US"/>
        </w:rPr>
        <w:t>Centre for Trophoblast Research (CTR), Department of Physiology, Development and Neuroscience, Universi</w:t>
      </w:r>
      <w:r w:rsidRPr="004B61EA">
        <w:rPr>
          <w:rFonts w:ascii="Arial" w:hAnsi="Arial" w:cs="Arial"/>
          <w:sz w:val="24"/>
          <w:szCs w:val="24"/>
          <w:lang w:val="en-US"/>
        </w:rPr>
        <w:t>ty of Cambridge, Cambridge, UK.</w:t>
      </w:r>
    </w:p>
    <w:p w14:paraId="5CDD410D" w14:textId="58E7A5ED" w:rsidR="006F6755" w:rsidRPr="004B61EA" w:rsidRDefault="006F6755" w:rsidP="00AE3EC5">
      <w:pPr>
        <w:pStyle w:val="NoSpacing"/>
        <w:spacing w:line="360" w:lineRule="auto"/>
        <w:rPr>
          <w:rFonts w:ascii="Arial" w:hAnsi="Arial" w:cs="Arial"/>
          <w:sz w:val="24"/>
          <w:szCs w:val="24"/>
          <w:vertAlign w:val="superscript"/>
          <w:lang w:val="en-US"/>
        </w:rPr>
      </w:pPr>
      <w:r w:rsidRPr="004B61EA">
        <w:rPr>
          <w:rFonts w:ascii="Arial" w:hAnsi="Arial" w:cs="Arial"/>
          <w:sz w:val="24"/>
          <w:szCs w:val="24"/>
          <w:vertAlign w:val="superscript"/>
          <w:lang w:val="en-US"/>
        </w:rPr>
        <w:t>d</w:t>
      </w:r>
      <w:r w:rsidRPr="004B61EA">
        <w:rPr>
          <w:rFonts w:ascii="Arial" w:hAnsi="Arial" w:cs="Arial"/>
          <w:sz w:val="24"/>
          <w:szCs w:val="24"/>
          <w:lang w:val="en-US"/>
        </w:rPr>
        <w:t>Current address: Department of Obstetrics and Gynaecology, Cairo University, Egypt.</w:t>
      </w:r>
    </w:p>
    <w:p w14:paraId="704ED3F1" w14:textId="77777777" w:rsidR="00AE3EC5" w:rsidRPr="004B61EA" w:rsidRDefault="00AE3EC5" w:rsidP="00AE3EC5">
      <w:pPr>
        <w:pStyle w:val="NoSpacing"/>
        <w:spacing w:line="360" w:lineRule="auto"/>
        <w:rPr>
          <w:rFonts w:ascii="Arial" w:hAnsi="Arial" w:cs="Arial"/>
          <w:sz w:val="24"/>
          <w:szCs w:val="24"/>
          <w:lang w:val="en-US"/>
        </w:rPr>
      </w:pPr>
    </w:p>
    <w:p w14:paraId="1B25C894" w14:textId="117A621C" w:rsidR="00AE3EC5" w:rsidRPr="004B61EA" w:rsidRDefault="00AE3EC5" w:rsidP="00AE3EC5">
      <w:pPr>
        <w:spacing w:after="0" w:line="360" w:lineRule="auto"/>
        <w:jc w:val="both"/>
        <w:rPr>
          <w:rFonts w:ascii="Arial" w:hAnsi="Arial" w:cs="Arial"/>
          <w:sz w:val="24"/>
          <w:szCs w:val="24"/>
          <w:lang w:val="en-US"/>
        </w:rPr>
      </w:pPr>
      <w:r w:rsidRPr="004B61EA">
        <w:rPr>
          <w:rFonts w:ascii="Arial" w:hAnsi="Arial" w:cs="Arial"/>
          <w:sz w:val="24"/>
          <w:szCs w:val="24"/>
          <w:vertAlign w:val="superscript"/>
          <w:lang w:val="en-US"/>
        </w:rPr>
        <w:t>1</w:t>
      </w:r>
      <w:r w:rsidRPr="004B61EA">
        <w:rPr>
          <w:rFonts w:ascii="Arial" w:hAnsi="Arial" w:cs="Arial"/>
          <w:sz w:val="24"/>
          <w:szCs w:val="24"/>
          <w:lang w:val="en-US"/>
        </w:rPr>
        <w:t xml:space="preserve">Corresponding author: </w:t>
      </w:r>
    </w:p>
    <w:p w14:paraId="138C8B58" w14:textId="77777777" w:rsidR="00AE3EC5" w:rsidRPr="004B61EA" w:rsidRDefault="00AE3EC5" w:rsidP="00AE3EC5">
      <w:pPr>
        <w:spacing w:after="0" w:line="360" w:lineRule="auto"/>
        <w:jc w:val="both"/>
        <w:rPr>
          <w:rFonts w:ascii="Arial" w:hAnsi="Arial" w:cs="Arial"/>
          <w:sz w:val="24"/>
          <w:szCs w:val="24"/>
          <w:lang w:val="en-US"/>
        </w:rPr>
      </w:pPr>
      <w:r w:rsidRPr="004B61EA">
        <w:rPr>
          <w:rFonts w:ascii="Arial" w:hAnsi="Arial" w:cs="Arial"/>
          <w:sz w:val="24"/>
          <w:szCs w:val="24"/>
          <w:lang w:val="en-US"/>
        </w:rPr>
        <w:t xml:space="preserve">Prof GCS Smith, Department of Obstetrics and Gynaecology, University of Cambridge, Box 223 The Rosie Hospital, Cambridge, CB2 0SW, UK. </w:t>
      </w:r>
    </w:p>
    <w:p w14:paraId="11CA5D94" w14:textId="77777777" w:rsidR="00AE3EC5" w:rsidRPr="004B61EA" w:rsidRDefault="00AE3EC5" w:rsidP="00AE3EC5">
      <w:pPr>
        <w:spacing w:after="0" w:line="360" w:lineRule="auto"/>
        <w:jc w:val="both"/>
        <w:rPr>
          <w:rFonts w:ascii="Arial" w:hAnsi="Arial" w:cs="Arial"/>
          <w:sz w:val="24"/>
          <w:szCs w:val="24"/>
          <w:lang w:val="en-US"/>
        </w:rPr>
      </w:pPr>
      <w:r w:rsidRPr="004B61EA">
        <w:rPr>
          <w:rFonts w:ascii="Arial" w:hAnsi="Arial" w:cs="Arial"/>
          <w:sz w:val="24"/>
          <w:szCs w:val="24"/>
          <w:lang w:val="en-US"/>
        </w:rPr>
        <w:t>Tel: +44 (0)1223 336871, Fax: +44 (0)1223 215327, E-mail: gcss2@cam.ac.uk</w:t>
      </w:r>
    </w:p>
    <w:p w14:paraId="23DF0827" w14:textId="77777777" w:rsidR="000D4469" w:rsidRPr="004B61EA" w:rsidRDefault="000D4469" w:rsidP="00AE3EC5">
      <w:pPr>
        <w:pStyle w:val="NoSpacing"/>
        <w:spacing w:line="360" w:lineRule="auto"/>
        <w:rPr>
          <w:rFonts w:ascii="Arial" w:hAnsi="Arial" w:cs="Arial"/>
          <w:sz w:val="24"/>
          <w:szCs w:val="24"/>
          <w:lang w:val="en-US"/>
        </w:rPr>
      </w:pPr>
    </w:p>
    <w:p w14:paraId="24EEFDCE" w14:textId="0BF4B5DF" w:rsidR="00AE3EC5" w:rsidRPr="004B61EA" w:rsidRDefault="00AE3EC5" w:rsidP="00AE3EC5">
      <w:pPr>
        <w:pStyle w:val="NoSpacing"/>
        <w:spacing w:line="360" w:lineRule="auto"/>
        <w:rPr>
          <w:rFonts w:ascii="Arial" w:hAnsi="Arial" w:cs="Arial"/>
          <w:sz w:val="24"/>
          <w:szCs w:val="24"/>
          <w:lang w:val="en-US"/>
        </w:rPr>
      </w:pPr>
      <w:r w:rsidRPr="004B61EA">
        <w:rPr>
          <w:rFonts w:ascii="Arial" w:hAnsi="Arial" w:cs="Arial"/>
          <w:sz w:val="24"/>
          <w:szCs w:val="24"/>
          <w:lang w:val="en-US"/>
        </w:rPr>
        <w:t xml:space="preserve">Email addresses: </w:t>
      </w:r>
      <w:hyperlink r:id="rId8" w:history="1">
        <w:r w:rsidRPr="004B61EA">
          <w:rPr>
            <w:rStyle w:val="Hyperlink"/>
            <w:rFonts w:ascii="Arial" w:hAnsi="Arial" w:cs="Arial"/>
            <w:sz w:val="24"/>
            <w:szCs w:val="24"/>
            <w:lang w:val="en-US"/>
          </w:rPr>
          <w:t>n.salavati@umcg.nl</w:t>
        </w:r>
      </w:hyperlink>
      <w:r w:rsidRPr="004B61EA">
        <w:rPr>
          <w:rFonts w:ascii="Arial" w:hAnsi="Arial" w:cs="Arial"/>
          <w:sz w:val="24"/>
          <w:szCs w:val="24"/>
          <w:lang w:val="en-US"/>
        </w:rPr>
        <w:t xml:space="preserve"> (NS),</w:t>
      </w:r>
      <w:r w:rsidR="000D4469" w:rsidRPr="004B61EA">
        <w:rPr>
          <w:rFonts w:ascii="Arial" w:hAnsi="Arial" w:cs="Arial"/>
          <w:sz w:val="24"/>
          <w:szCs w:val="24"/>
          <w:lang w:val="en-US"/>
        </w:rPr>
        <w:t xml:space="preserve"> </w:t>
      </w:r>
      <w:hyperlink r:id="rId9" w:history="1">
        <w:r w:rsidR="000D4469" w:rsidRPr="004B61EA">
          <w:rPr>
            <w:rStyle w:val="Hyperlink"/>
            <w:rFonts w:ascii="Arial" w:hAnsi="Arial" w:cs="Arial"/>
            <w:sz w:val="24"/>
            <w:szCs w:val="24"/>
            <w:lang w:val="en-US"/>
          </w:rPr>
          <w:t>s.j.gordijn@umcg.nl</w:t>
        </w:r>
      </w:hyperlink>
      <w:r w:rsidR="000D4469" w:rsidRPr="004B61EA">
        <w:rPr>
          <w:rFonts w:ascii="Arial" w:hAnsi="Arial" w:cs="Arial"/>
          <w:sz w:val="24"/>
          <w:szCs w:val="24"/>
          <w:lang w:val="en-US"/>
        </w:rPr>
        <w:t xml:space="preserve"> (SJG),</w:t>
      </w:r>
      <w:r w:rsidRPr="004B61EA">
        <w:rPr>
          <w:rFonts w:ascii="Arial" w:hAnsi="Arial" w:cs="Arial"/>
          <w:sz w:val="24"/>
          <w:szCs w:val="24"/>
          <w:lang w:val="en-US"/>
        </w:rPr>
        <w:t xml:space="preserve"> </w:t>
      </w:r>
      <w:hyperlink r:id="rId10" w:history="1">
        <w:r w:rsidRPr="004B61EA">
          <w:rPr>
            <w:rStyle w:val="Hyperlink"/>
            <w:rFonts w:ascii="Arial" w:hAnsi="Arial" w:cs="Arial"/>
            <w:sz w:val="24"/>
            <w:szCs w:val="24"/>
            <w:lang w:val="en-US"/>
          </w:rPr>
          <w:t>us253@medschl.cam.ac.uk</w:t>
        </w:r>
      </w:hyperlink>
      <w:r w:rsidR="000D4469" w:rsidRPr="004B61EA">
        <w:rPr>
          <w:rFonts w:ascii="Arial" w:hAnsi="Arial" w:cs="Arial"/>
          <w:sz w:val="24"/>
          <w:szCs w:val="24"/>
          <w:lang w:val="en-US"/>
        </w:rPr>
        <w:t xml:space="preserve"> (US)</w:t>
      </w:r>
      <w:r w:rsidRPr="004B61EA">
        <w:rPr>
          <w:rFonts w:ascii="Arial" w:hAnsi="Arial" w:cs="Arial"/>
          <w:sz w:val="24"/>
          <w:szCs w:val="24"/>
          <w:lang w:val="en-US"/>
        </w:rPr>
        <w:t>,</w:t>
      </w:r>
      <w:r w:rsidR="00043B00" w:rsidRPr="004B61EA">
        <w:rPr>
          <w:lang w:val="en-US"/>
        </w:rPr>
        <w:t xml:space="preserve"> </w:t>
      </w:r>
      <w:hyperlink r:id="rId11" w:history="1">
        <w:r w:rsidR="00043B00" w:rsidRPr="004B61EA">
          <w:rPr>
            <w:rStyle w:val="Hyperlink"/>
            <w:rFonts w:ascii="Arial" w:hAnsi="Arial" w:cs="Arial"/>
            <w:sz w:val="24"/>
            <w:szCs w:val="24"/>
            <w:lang w:val="en-US"/>
          </w:rPr>
          <w:t>rabia.zill-e-huma@nhs.net</w:t>
        </w:r>
      </w:hyperlink>
      <w:r w:rsidR="00043B00" w:rsidRPr="004B61EA">
        <w:rPr>
          <w:rFonts w:ascii="Arial" w:hAnsi="Arial" w:cs="Arial"/>
          <w:sz w:val="24"/>
          <w:szCs w:val="24"/>
          <w:lang w:val="en-US"/>
        </w:rPr>
        <w:t xml:space="preserve"> (RH), </w:t>
      </w:r>
      <w:hyperlink r:id="rId12" w:history="1">
        <w:r w:rsidR="00CD247E" w:rsidRPr="004B61EA">
          <w:rPr>
            <w:rStyle w:val="Hyperlink"/>
            <w:rFonts w:ascii="Arial" w:hAnsi="Arial" w:cs="Arial"/>
            <w:sz w:val="24"/>
            <w:szCs w:val="24"/>
            <w:lang w:val="en-US"/>
          </w:rPr>
          <w:t>amrgebril@kasralainy.edu.eg</w:t>
        </w:r>
      </w:hyperlink>
      <w:r w:rsidR="00CD247E" w:rsidRPr="004B61EA">
        <w:rPr>
          <w:rFonts w:ascii="Arial" w:hAnsi="Arial" w:cs="Arial"/>
          <w:sz w:val="24"/>
          <w:szCs w:val="24"/>
          <w:lang w:val="en-US"/>
        </w:rPr>
        <w:t xml:space="preserve"> (AG), </w:t>
      </w:r>
      <w:hyperlink r:id="rId13" w:history="1">
        <w:r w:rsidRPr="004B61EA">
          <w:rPr>
            <w:rStyle w:val="Hyperlink"/>
            <w:rFonts w:ascii="Arial" w:hAnsi="Arial" w:cs="Arial"/>
            <w:sz w:val="24"/>
            <w:szCs w:val="24"/>
            <w:lang w:val="en-US"/>
          </w:rPr>
          <w:t>dscj1@cam.ac.uk</w:t>
        </w:r>
      </w:hyperlink>
      <w:r w:rsidRPr="004B61EA">
        <w:rPr>
          <w:rFonts w:ascii="Arial" w:hAnsi="Arial" w:cs="Arial"/>
          <w:sz w:val="24"/>
          <w:szCs w:val="24"/>
          <w:lang w:val="en-US"/>
        </w:rPr>
        <w:t xml:space="preserve"> (DSCJ),</w:t>
      </w:r>
      <w:r w:rsidR="000D4469" w:rsidRPr="004B61EA">
        <w:rPr>
          <w:rFonts w:ascii="Arial" w:hAnsi="Arial" w:cs="Arial"/>
          <w:sz w:val="24"/>
          <w:szCs w:val="24"/>
          <w:lang w:val="en-US"/>
        </w:rPr>
        <w:t xml:space="preserve"> </w:t>
      </w:r>
      <w:hyperlink r:id="rId14" w:history="1">
        <w:r w:rsidR="000D4469" w:rsidRPr="004B61EA">
          <w:rPr>
            <w:rStyle w:val="Hyperlink"/>
            <w:rFonts w:ascii="Arial" w:hAnsi="Arial" w:cs="Arial"/>
            <w:sz w:val="24"/>
            <w:szCs w:val="24"/>
            <w:lang w:val="en-US"/>
          </w:rPr>
          <w:t>s.a.scherjon@umcg.nl</w:t>
        </w:r>
      </w:hyperlink>
      <w:r w:rsidR="000D4469" w:rsidRPr="004B61EA">
        <w:rPr>
          <w:rFonts w:ascii="Arial" w:hAnsi="Arial" w:cs="Arial"/>
          <w:sz w:val="24"/>
          <w:szCs w:val="24"/>
          <w:lang w:val="en-US"/>
        </w:rPr>
        <w:t xml:space="preserve"> (SAS)</w:t>
      </w:r>
      <w:r w:rsidR="00CD247E" w:rsidRPr="004B61EA">
        <w:rPr>
          <w:rFonts w:ascii="Arial" w:hAnsi="Arial" w:cs="Arial"/>
          <w:sz w:val="24"/>
          <w:szCs w:val="24"/>
          <w:lang w:val="en-US"/>
        </w:rPr>
        <w:t>,</w:t>
      </w:r>
      <w:r w:rsidRPr="004B61EA">
        <w:rPr>
          <w:rFonts w:ascii="Arial" w:hAnsi="Arial" w:cs="Arial"/>
          <w:sz w:val="24"/>
          <w:szCs w:val="24"/>
          <w:lang w:val="en-US"/>
        </w:rPr>
        <w:t xml:space="preserve"> </w:t>
      </w:r>
      <w:hyperlink r:id="rId15" w:history="1">
        <w:r w:rsidRPr="004B61EA">
          <w:rPr>
            <w:rStyle w:val="Hyperlink"/>
            <w:rFonts w:ascii="Arial" w:hAnsi="Arial" w:cs="Arial"/>
            <w:sz w:val="24"/>
            <w:szCs w:val="24"/>
            <w:lang w:val="en-US"/>
          </w:rPr>
          <w:t>gcss2@cam.ac.uk</w:t>
        </w:r>
      </w:hyperlink>
      <w:r w:rsidRPr="004B61EA">
        <w:rPr>
          <w:rFonts w:ascii="Arial" w:hAnsi="Arial" w:cs="Arial"/>
          <w:sz w:val="24"/>
          <w:szCs w:val="24"/>
          <w:lang w:val="en-US"/>
        </w:rPr>
        <w:t xml:space="preserve"> (GCS)</w:t>
      </w:r>
      <w:r w:rsidR="00CD247E" w:rsidRPr="004B61EA">
        <w:rPr>
          <w:rFonts w:ascii="Arial" w:hAnsi="Arial" w:cs="Arial"/>
          <w:sz w:val="24"/>
          <w:szCs w:val="24"/>
          <w:lang w:val="en-US"/>
        </w:rPr>
        <w:t>.</w:t>
      </w:r>
    </w:p>
    <w:p w14:paraId="4EC05F05" w14:textId="77777777" w:rsidR="00AE3EC5" w:rsidRPr="004B61EA" w:rsidRDefault="00AE3EC5">
      <w:pPr>
        <w:rPr>
          <w:rFonts w:ascii="Arial" w:hAnsi="Arial" w:cs="Arial"/>
          <w:sz w:val="24"/>
          <w:szCs w:val="24"/>
          <w:u w:val="single"/>
          <w:lang w:val="en-US"/>
        </w:rPr>
      </w:pPr>
      <w:r w:rsidRPr="004B61EA">
        <w:rPr>
          <w:rFonts w:ascii="Arial" w:hAnsi="Arial" w:cs="Arial"/>
          <w:sz w:val="24"/>
          <w:szCs w:val="24"/>
          <w:u w:val="single"/>
          <w:lang w:val="en-US"/>
        </w:rPr>
        <w:br w:type="page"/>
      </w:r>
    </w:p>
    <w:p w14:paraId="24A65C9E" w14:textId="77777777" w:rsidR="00CB66C0" w:rsidRPr="004B61EA" w:rsidRDefault="00CB66C0" w:rsidP="0045605B">
      <w:pPr>
        <w:spacing w:line="480" w:lineRule="auto"/>
        <w:outlineLvl w:val="0"/>
        <w:rPr>
          <w:rFonts w:ascii="Arial" w:hAnsi="Arial" w:cs="Arial"/>
          <w:sz w:val="24"/>
          <w:szCs w:val="24"/>
          <w:lang w:val="en-US"/>
        </w:rPr>
      </w:pPr>
      <w:r w:rsidRPr="004B61EA">
        <w:rPr>
          <w:rFonts w:ascii="Arial" w:hAnsi="Arial" w:cs="Arial"/>
          <w:b/>
          <w:sz w:val="24"/>
          <w:szCs w:val="24"/>
          <w:lang w:val="en-US"/>
        </w:rPr>
        <w:lastRenderedPageBreak/>
        <w:t>Abstract</w:t>
      </w:r>
    </w:p>
    <w:p w14:paraId="6B0332AA" w14:textId="161F58A8" w:rsidR="00DD7E63" w:rsidRPr="004B61EA" w:rsidRDefault="00CB66C0" w:rsidP="001C138F">
      <w:pPr>
        <w:spacing w:line="480" w:lineRule="auto"/>
        <w:rPr>
          <w:rFonts w:ascii="Arial" w:hAnsi="Arial" w:cs="Arial"/>
          <w:i/>
          <w:sz w:val="24"/>
          <w:szCs w:val="24"/>
          <w:lang w:val="en-US"/>
        </w:rPr>
      </w:pPr>
      <w:r w:rsidRPr="004B61EA">
        <w:rPr>
          <w:rFonts w:ascii="Arial" w:hAnsi="Arial" w:cs="Arial"/>
          <w:i/>
          <w:sz w:val="24"/>
          <w:szCs w:val="24"/>
          <w:lang w:val="en-US"/>
        </w:rPr>
        <w:t>Introduction:</w:t>
      </w:r>
      <w:r w:rsidR="00BB3D3B" w:rsidRPr="004B61EA">
        <w:rPr>
          <w:rFonts w:ascii="Arial" w:hAnsi="Arial" w:cs="Arial"/>
          <w:sz w:val="24"/>
          <w:szCs w:val="24"/>
          <w:lang w:val="en-US"/>
        </w:rPr>
        <w:t xml:space="preserve"> </w:t>
      </w:r>
      <w:r w:rsidR="00684494" w:rsidRPr="004B61EA">
        <w:rPr>
          <w:rFonts w:ascii="Arial" w:hAnsi="Arial" w:cs="Arial"/>
          <w:sz w:val="24"/>
          <w:szCs w:val="24"/>
          <w:lang w:val="en-US"/>
        </w:rPr>
        <w:t xml:space="preserve">Birth weight </w:t>
      </w:r>
      <w:r w:rsidR="00793228" w:rsidRPr="004B61EA">
        <w:rPr>
          <w:rFonts w:ascii="Arial" w:hAnsi="Arial" w:cs="Arial"/>
          <w:sz w:val="24"/>
          <w:szCs w:val="24"/>
          <w:lang w:val="en-US"/>
        </w:rPr>
        <w:t xml:space="preserve">to </w:t>
      </w:r>
      <w:r w:rsidR="00684494" w:rsidRPr="004B61EA">
        <w:rPr>
          <w:rFonts w:ascii="Arial" w:hAnsi="Arial" w:cs="Arial"/>
          <w:sz w:val="24"/>
          <w:szCs w:val="24"/>
          <w:lang w:val="en-US"/>
        </w:rPr>
        <w:t>placenta weigh</w:t>
      </w:r>
      <w:r w:rsidR="002A3074" w:rsidRPr="004B61EA">
        <w:rPr>
          <w:rFonts w:ascii="Arial" w:hAnsi="Arial" w:cs="Arial"/>
          <w:sz w:val="24"/>
          <w:szCs w:val="24"/>
          <w:lang w:val="en-US"/>
        </w:rPr>
        <w:t>t</w:t>
      </w:r>
      <w:r w:rsidR="007B5385" w:rsidRPr="004B61EA">
        <w:rPr>
          <w:rFonts w:ascii="Arial" w:hAnsi="Arial" w:cs="Arial"/>
          <w:sz w:val="24"/>
          <w:szCs w:val="24"/>
          <w:lang w:val="en-US"/>
        </w:rPr>
        <w:t xml:space="preserve"> (BWPW)-</w:t>
      </w:r>
      <w:r w:rsidR="002A3074" w:rsidRPr="004B61EA">
        <w:rPr>
          <w:rFonts w:ascii="Arial" w:hAnsi="Arial" w:cs="Arial"/>
          <w:sz w:val="24"/>
          <w:szCs w:val="24"/>
          <w:lang w:val="en-US"/>
        </w:rPr>
        <w:t xml:space="preserve">ratio </w:t>
      </w:r>
      <w:r w:rsidR="00DB1F4B" w:rsidRPr="004B61EA">
        <w:rPr>
          <w:rFonts w:ascii="Arial" w:hAnsi="Arial" w:cs="Arial"/>
          <w:sz w:val="24"/>
          <w:szCs w:val="24"/>
          <w:lang w:val="en-US"/>
        </w:rPr>
        <w:t xml:space="preserve">is an indicator of </w:t>
      </w:r>
      <w:r w:rsidR="007B5385" w:rsidRPr="004B61EA">
        <w:rPr>
          <w:rFonts w:ascii="Arial" w:hAnsi="Arial" w:cs="Arial"/>
          <w:sz w:val="24"/>
          <w:szCs w:val="24"/>
          <w:lang w:val="en-US"/>
        </w:rPr>
        <w:t>the ability of the placenta to maintain adequate nutrient supply to the fetus.</w:t>
      </w:r>
      <w:r w:rsidR="00684494" w:rsidRPr="004B61EA">
        <w:rPr>
          <w:rFonts w:ascii="Arial" w:hAnsi="Arial" w:cs="Arial"/>
          <w:sz w:val="24"/>
          <w:szCs w:val="24"/>
          <w:lang w:val="en-US"/>
        </w:rPr>
        <w:t xml:space="preserve"> </w:t>
      </w:r>
      <w:r w:rsidR="00DB1F4B" w:rsidRPr="004B61EA">
        <w:rPr>
          <w:rFonts w:ascii="Arial" w:hAnsi="Arial" w:cs="Arial"/>
          <w:sz w:val="24"/>
          <w:szCs w:val="24"/>
          <w:lang w:val="en-US"/>
        </w:rPr>
        <w:t>We sought</w:t>
      </w:r>
      <w:r w:rsidR="00684494" w:rsidRPr="004B61EA">
        <w:rPr>
          <w:rFonts w:ascii="Arial" w:hAnsi="Arial" w:cs="Arial"/>
          <w:sz w:val="24"/>
          <w:szCs w:val="24"/>
          <w:lang w:val="en-US"/>
        </w:rPr>
        <w:t xml:space="preserve"> to investigate the relationship between </w:t>
      </w:r>
      <w:r w:rsidR="007B5385" w:rsidRPr="004B61EA">
        <w:rPr>
          <w:rFonts w:ascii="Arial" w:hAnsi="Arial" w:cs="Arial"/>
          <w:sz w:val="24"/>
          <w:szCs w:val="24"/>
          <w:lang w:val="en-US"/>
        </w:rPr>
        <w:t>BWPW-</w:t>
      </w:r>
      <w:r w:rsidR="00684494" w:rsidRPr="004B61EA">
        <w:rPr>
          <w:rFonts w:ascii="Arial" w:hAnsi="Arial" w:cs="Arial"/>
          <w:sz w:val="24"/>
          <w:szCs w:val="24"/>
          <w:lang w:val="en-US"/>
        </w:rPr>
        <w:t xml:space="preserve">ratio with </w:t>
      </w:r>
      <w:r w:rsidR="00E97AE6" w:rsidRPr="004B61EA">
        <w:rPr>
          <w:rFonts w:ascii="Arial" w:hAnsi="Arial" w:cs="Arial"/>
          <w:sz w:val="24"/>
          <w:szCs w:val="24"/>
          <w:lang w:val="en-US"/>
        </w:rPr>
        <w:t>fetal growth, utero-placental Doppler and</w:t>
      </w:r>
      <w:r w:rsidR="00684494" w:rsidRPr="004B61EA">
        <w:rPr>
          <w:rFonts w:ascii="Arial" w:hAnsi="Arial" w:cs="Arial"/>
          <w:sz w:val="24"/>
          <w:szCs w:val="24"/>
          <w:lang w:val="en-US"/>
        </w:rPr>
        <w:t xml:space="preserve"> neonatal an</w:t>
      </w:r>
      <w:r w:rsidR="007B5385" w:rsidRPr="004B61EA">
        <w:rPr>
          <w:rFonts w:ascii="Arial" w:hAnsi="Arial" w:cs="Arial"/>
          <w:sz w:val="24"/>
          <w:szCs w:val="24"/>
          <w:lang w:val="en-US"/>
        </w:rPr>
        <w:t>d</w:t>
      </w:r>
      <w:r w:rsidR="00684494" w:rsidRPr="004B61EA">
        <w:rPr>
          <w:rFonts w:ascii="Arial" w:hAnsi="Arial" w:cs="Arial"/>
          <w:sz w:val="24"/>
          <w:szCs w:val="24"/>
          <w:lang w:val="en-US"/>
        </w:rPr>
        <w:t xml:space="preserve"> maternal morbidity.</w:t>
      </w:r>
      <w:r w:rsidR="00793228" w:rsidRPr="004B61EA">
        <w:rPr>
          <w:rFonts w:ascii="Helvetica Neue" w:hAnsi="Helvetica Neue" w:cs="Helvetica Neue"/>
          <w:color w:val="262626"/>
          <w:sz w:val="24"/>
          <w:szCs w:val="24"/>
          <w:lang w:val="en-US"/>
        </w:rPr>
        <w:t xml:space="preserve"> </w:t>
      </w:r>
    </w:p>
    <w:p w14:paraId="37D5F099" w14:textId="62DEA49F" w:rsidR="00DB1F4B" w:rsidRPr="004B61EA" w:rsidRDefault="00CB66C0" w:rsidP="001C138F">
      <w:pPr>
        <w:spacing w:line="480" w:lineRule="auto"/>
        <w:rPr>
          <w:rFonts w:ascii="Arial" w:hAnsi="Arial" w:cs="Arial"/>
          <w:i/>
          <w:sz w:val="24"/>
          <w:szCs w:val="24"/>
          <w:lang w:val="en-US"/>
        </w:rPr>
      </w:pPr>
      <w:r w:rsidRPr="004B61EA">
        <w:rPr>
          <w:rFonts w:ascii="Arial" w:hAnsi="Arial" w:cs="Arial"/>
          <w:i/>
          <w:sz w:val="24"/>
          <w:szCs w:val="24"/>
          <w:lang w:val="en-US"/>
        </w:rPr>
        <w:t>Methods:</w:t>
      </w:r>
      <w:r w:rsidR="00842A1B" w:rsidRPr="004B61EA">
        <w:rPr>
          <w:rFonts w:ascii="Arial" w:hAnsi="Arial" w:cs="Arial"/>
          <w:sz w:val="24"/>
          <w:szCs w:val="24"/>
          <w:lang w:val="en-US"/>
        </w:rPr>
        <w:t xml:space="preserve"> We studied a group of 3311 women</w:t>
      </w:r>
      <w:r w:rsidR="00DB1F4B" w:rsidRPr="004B61EA">
        <w:rPr>
          <w:rFonts w:ascii="Arial" w:hAnsi="Arial" w:cs="Arial"/>
          <w:sz w:val="24"/>
          <w:szCs w:val="24"/>
          <w:lang w:val="en-US"/>
        </w:rPr>
        <w:t xml:space="preserve"> recruited to a prospective cohort study of nulliparous women (Rosie Hospital, Cambridge, UK)</w:t>
      </w:r>
      <w:r w:rsidR="00842A1B" w:rsidRPr="004B61EA">
        <w:rPr>
          <w:rFonts w:ascii="Arial" w:hAnsi="Arial" w:cs="Arial"/>
          <w:sz w:val="24"/>
          <w:szCs w:val="24"/>
          <w:lang w:val="en-US"/>
        </w:rPr>
        <w:t xml:space="preserve"> who delivered a live</w:t>
      </w:r>
      <w:r w:rsidR="00426C95" w:rsidRPr="004B61EA">
        <w:rPr>
          <w:rFonts w:ascii="Arial" w:hAnsi="Arial" w:cs="Arial"/>
          <w:sz w:val="24"/>
          <w:szCs w:val="24"/>
          <w:lang w:val="en-US"/>
        </w:rPr>
        <w:t xml:space="preserve"> </w:t>
      </w:r>
      <w:r w:rsidR="00842A1B" w:rsidRPr="004B61EA">
        <w:rPr>
          <w:rFonts w:ascii="Arial" w:hAnsi="Arial" w:cs="Arial"/>
          <w:sz w:val="24"/>
          <w:szCs w:val="24"/>
          <w:lang w:val="en-US"/>
        </w:rPr>
        <w:t>born infant at term and</w:t>
      </w:r>
      <w:r w:rsidR="009A541D" w:rsidRPr="004B61EA">
        <w:rPr>
          <w:rFonts w:ascii="Arial" w:hAnsi="Arial" w:cs="Arial"/>
          <w:sz w:val="24"/>
          <w:szCs w:val="24"/>
          <w:lang w:val="en-US"/>
        </w:rPr>
        <w:t xml:space="preserve"> whose</w:t>
      </w:r>
      <w:r w:rsidR="00842A1B" w:rsidRPr="004B61EA">
        <w:rPr>
          <w:rFonts w:ascii="Arial" w:hAnsi="Arial" w:cs="Arial"/>
          <w:sz w:val="24"/>
          <w:szCs w:val="24"/>
          <w:lang w:val="en-US"/>
        </w:rPr>
        <w:t xml:space="preserve"> placenta</w:t>
      </w:r>
      <w:r w:rsidR="007E7959" w:rsidRPr="004B61EA">
        <w:rPr>
          <w:rFonts w:ascii="Arial" w:hAnsi="Arial" w:cs="Arial"/>
          <w:sz w:val="24"/>
          <w:szCs w:val="24"/>
          <w:lang w:val="en-US"/>
        </w:rPr>
        <w:t>l</w:t>
      </w:r>
      <w:r w:rsidR="009A541D" w:rsidRPr="004B61EA">
        <w:rPr>
          <w:rFonts w:ascii="Arial" w:hAnsi="Arial" w:cs="Arial"/>
          <w:sz w:val="24"/>
          <w:szCs w:val="24"/>
          <w:lang w:val="en-US"/>
        </w:rPr>
        <w:t xml:space="preserve"> weight</w:t>
      </w:r>
      <w:r w:rsidR="007E7959" w:rsidRPr="004B61EA">
        <w:rPr>
          <w:rFonts w:ascii="Arial" w:hAnsi="Arial" w:cs="Arial"/>
          <w:sz w:val="24"/>
          <w:szCs w:val="24"/>
          <w:lang w:val="en-US"/>
        </w:rPr>
        <w:t xml:space="preserve"> and birth weight</w:t>
      </w:r>
      <w:r w:rsidR="009A541D" w:rsidRPr="004B61EA">
        <w:rPr>
          <w:rFonts w:ascii="Arial" w:hAnsi="Arial" w:cs="Arial"/>
          <w:sz w:val="24"/>
          <w:szCs w:val="24"/>
          <w:lang w:val="en-US"/>
        </w:rPr>
        <w:t xml:space="preserve"> were known</w:t>
      </w:r>
      <w:r w:rsidR="00842A1B" w:rsidRPr="004B61EA">
        <w:rPr>
          <w:rFonts w:ascii="Arial" w:hAnsi="Arial" w:cs="Arial"/>
          <w:sz w:val="24"/>
          <w:szCs w:val="24"/>
          <w:lang w:val="en-US"/>
        </w:rPr>
        <w:t>.</w:t>
      </w:r>
      <w:r w:rsidR="00426C95" w:rsidRPr="004B61EA">
        <w:rPr>
          <w:rFonts w:ascii="Arial" w:hAnsi="Arial" w:cs="Arial"/>
          <w:sz w:val="24"/>
          <w:szCs w:val="24"/>
          <w:lang w:val="en-US"/>
        </w:rPr>
        <w:t xml:space="preserve"> Ultrasonic indices and BWPW ratio were converted to gestational age adjusted z scores. Analysis of continuo</w:t>
      </w:r>
      <w:r w:rsidR="001C3F01" w:rsidRPr="004B61EA">
        <w:rPr>
          <w:rFonts w:ascii="Arial" w:hAnsi="Arial" w:cs="Arial"/>
          <w:sz w:val="24"/>
          <w:szCs w:val="24"/>
          <w:lang w:val="en-US"/>
        </w:rPr>
        <w:t>us variables was by multivariable</w:t>
      </w:r>
      <w:r w:rsidR="00426C95" w:rsidRPr="004B61EA">
        <w:rPr>
          <w:rFonts w:ascii="Arial" w:hAnsi="Arial" w:cs="Arial"/>
          <w:sz w:val="24"/>
          <w:szCs w:val="24"/>
          <w:lang w:val="en-US"/>
        </w:rPr>
        <w:t xml:space="preserve"> linear regression.</w:t>
      </w:r>
      <w:r w:rsidR="00842A1B" w:rsidRPr="004B61EA">
        <w:rPr>
          <w:rFonts w:ascii="Arial" w:hAnsi="Arial" w:cs="Arial"/>
          <w:sz w:val="24"/>
          <w:szCs w:val="24"/>
          <w:lang w:val="en-US"/>
        </w:rPr>
        <w:t xml:space="preserve"> </w:t>
      </w:r>
      <w:r w:rsidR="00DB1F4B" w:rsidRPr="004B61EA">
        <w:rPr>
          <w:rFonts w:ascii="Arial" w:hAnsi="Arial" w:cs="Arial"/>
          <w:sz w:val="24"/>
          <w:szCs w:val="24"/>
          <w:lang w:val="en-US"/>
        </w:rPr>
        <w:t xml:space="preserve">BWPW ratio was </w:t>
      </w:r>
      <w:r w:rsidR="00426C95" w:rsidRPr="004B61EA">
        <w:rPr>
          <w:rFonts w:ascii="Arial" w:hAnsi="Arial" w:cs="Arial"/>
          <w:sz w:val="24"/>
          <w:szCs w:val="24"/>
          <w:lang w:val="en-US"/>
        </w:rPr>
        <w:t xml:space="preserve">also </w:t>
      </w:r>
      <w:r w:rsidR="00DB1F4B" w:rsidRPr="004B61EA">
        <w:rPr>
          <w:rFonts w:ascii="Arial" w:hAnsi="Arial" w:cs="Arial"/>
          <w:sz w:val="24"/>
          <w:szCs w:val="24"/>
          <w:lang w:val="en-US"/>
        </w:rPr>
        <w:t>categorized (lowest or highest quintile, both referent to quintiles 2 to 4)</w:t>
      </w:r>
      <w:r w:rsidR="00E97AE6" w:rsidRPr="004B61EA">
        <w:rPr>
          <w:rFonts w:ascii="Arial" w:hAnsi="Arial" w:cs="Arial"/>
          <w:sz w:val="24"/>
          <w:szCs w:val="24"/>
          <w:lang w:val="en-US"/>
        </w:rPr>
        <w:t xml:space="preserve"> and </w:t>
      </w:r>
      <w:r w:rsidR="00426C95" w:rsidRPr="004B61EA">
        <w:rPr>
          <w:rFonts w:ascii="Arial" w:hAnsi="Arial" w:cs="Arial"/>
          <w:sz w:val="24"/>
          <w:szCs w:val="24"/>
          <w:lang w:val="en-US"/>
        </w:rPr>
        <w:t>associations with adverse outcomes analyzed using</w:t>
      </w:r>
      <w:r w:rsidR="00E97AE6" w:rsidRPr="004B61EA">
        <w:rPr>
          <w:rFonts w:ascii="Arial" w:hAnsi="Arial" w:cs="Arial"/>
          <w:sz w:val="24"/>
          <w:szCs w:val="24"/>
          <w:lang w:val="en-US"/>
        </w:rPr>
        <w:t xml:space="preserve"> multiva</w:t>
      </w:r>
      <w:r w:rsidR="001C3F01" w:rsidRPr="004B61EA">
        <w:rPr>
          <w:rFonts w:ascii="Arial" w:hAnsi="Arial" w:cs="Arial"/>
          <w:sz w:val="24"/>
          <w:szCs w:val="24"/>
          <w:lang w:val="en-US"/>
        </w:rPr>
        <w:t>riable</w:t>
      </w:r>
      <w:r w:rsidR="00E97AE6" w:rsidRPr="004B61EA">
        <w:rPr>
          <w:rFonts w:ascii="Arial" w:hAnsi="Arial" w:cs="Arial"/>
          <w:sz w:val="24"/>
          <w:szCs w:val="24"/>
          <w:lang w:val="en-US"/>
        </w:rPr>
        <w:t xml:space="preserve"> logistic regression</w:t>
      </w:r>
      <w:r w:rsidR="00DB1F4B" w:rsidRPr="004B61EA">
        <w:rPr>
          <w:rFonts w:ascii="Arial" w:hAnsi="Arial" w:cs="Arial"/>
          <w:sz w:val="24"/>
          <w:szCs w:val="24"/>
          <w:lang w:val="en-US"/>
        </w:rPr>
        <w:t>.</w:t>
      </w:r>
      <w:r w:rsidR="00426C95" w:rsidRPr="004B61EA">
        <w:rPr>
          <w:rFonts w:ascii="Arial" w:hAnsi="Arial" w:cs="Arial"/>
          <w:sz w:val="24"/>
          <w:szCs w:val="24"/>
          <w:lang w:val="en-US"/>
        </w:rPr>
        <w:t xml:space="preserve"> </w:t>
      </w:r>
    </w:p>
    <w:p w14:paraId="22171151" w14:textId="19610140" w:rsidR="00E97AE6" w:rsidRPr="004B61EA" w:rsidRDefault="00CB66C0" w:rsidP="001C138F">
      <w:pPr>
        <w:spacing w:line="480" w:lineRule="auto"/>
        <w:rPr>
          <w:rFonts w:ascii="Arial" w:hAnsi="Arial" w:cs="Arial"/>
          <w:i/>
          <w:sz w:val="24"/>
          <w:szCs w:val="24"/>
          <w:lang w:val="en-US"/>
        </w:rPr>
      </w:pPr>
      <w:r w:rsidRPr="004B61EA">
        <w:rPr>
          <w:rFonts w:ascii="Arial" w:hAnsi="Arial" w:cs="Arial"/>
          <w:i/>
          <w:sz w:val="24"/>
          <w:szCs w:val="24"/>
          <w:lang w:val="en-US"/>
        </w:rPr>
        <w:t>Results:</w:t>
      </w:r>
      <w:r w:rsidR="00C912DE" w:rsidRPr="004B61EA">
        <w:rPr>
          <w:rFonts w:ascii="Arial" w:hAnsi="Arial" w:cs="Arial"/>
          <w:sz w:val="24"/>
          <w:szCs w:val="24"/>
          <w:lang w:val="en-US"/>
        </w:rPr>
        <w:t xml:space="preserve"> Low</w:t>
      </w:r>
      <w:r w:rsidR="00DB1F4B" w:rsidRPr="004B61EA">
        <w:rPr>
          <w:rFonts w:ascii="Arial" w:hAnsi="Arial" w:cs="Arial"/>
          <w:sz w:val="24"/>
          <w:szCs w:val="24"/>
          <w:lang w:val="en-US"/>
        </w:rPr>
        <w:t>est quintile of</w:t>
      </w:r>
      <w:r w:rsidR="00C912DE" w:rsidRPr="004B61EA">
        <w:rPr>
          <w:rFonts w:ascii="Arial" w:hAnsi="Arial" w:cs="Arial"/>
          <w:sz w:val="24"/>
          <w:szCs w:val="24"/>
          <w:lang w:val="en-US"/>
        </w:rPr>
        <w:t xml:space="preserve"> </w:t>
      </w:r>
      <w:r w:rsidR="007B5385" w:rsidRPr="004B61EA">
        <w:rPr>
          <w:rFonts w:ascii="Arial" w:hAnsi="Arial" w:cs="Arial"/>
          <w:sz w:val="24"/>
          <w:szCs w:val="24"/>
          <w:lang w:val="en-US"/>
        </w:rPr>
        <w:t>BWPW-</w:t>
      </w:r>
      <w:r w:rsidR="00C912DE" w:rsidRPr="004B61EA">
        <w:rPr>
          <w:rFonts w:ascii="Arial" w:hAnsi="Arial" w:cs="Arial"/>
          <w:sz w:val="24"/>
          <w:szCs w:val="24"/>
          <w:lang w:val="en-US"/>
        </w:rPr>
        <w:t xml:space="preserve">ratio was associated </w:t>
      </w:r>
      <w:r w:rsidR="00DB1F4B" w:rsidRPr="004B61EA">
        <w:rPr>
          <w:rFonts w:ascii="Arial" w:hAnsi="Arial" w:cs="Arial"/>
          <w:sz w:val="24"/>
          <w:szCs w:val="24"/>
          <w:lang w:val="en-US"/>
        </w:rPr>
        <w:t>(adjusted odds ratio [95% CI]</w:t>
      </w:r>
      <w:r w:rsidR="00E97AE6" w:rsidRPr="004B61EA">
        <w:rPr>
          <w:rFonts w:ascii="Arial" w:hAnsi="Arial" w:cs="Arial"/>
          <w:sz w:val="24"/>
          <w:szCs w:val="24"/>
          <w:lang w:val="en-US"/>
        </w:rPr>
        <w:t>,</w:t>
      </w:r>
      <w:r w:rsidR="00DB1F4B" w:rsidRPr="004B61EA">
        <w:rPr>
          <w:rFonts w:ascii="Arial" w:hAnsi="Arial" w:cs="Arial"/>
          <w:sz w:val="24"/>
          <w:szCs w:val="24"/>
          <w:lang w:val="en-US"/>
        </w:rPr>
        <w:t xml:space="preserve"> </w:t>
      </w:r>
      <w:r w:rsidR="00E97AE6" w:rsidRPr="004B61EA">
        <w:rPr>
          <w:rFonts w:ascii="Arial" w:hAnsi="Arial" w:cs="Arial"/>
          <w:sz w:val="24"/>
          <w:szCs w:val="24"/>
          <w:lang w:val="en-US"/>
        </w:rPr>
        <w:t>P</w:t>
      </w:r>
      <w:r w:rsidR="00DB1F4B" w:rsidRPr="004B61EA">
        <w:rPr>
          <w:rFonts w:ascii="Arial" w:hAnsi="Arial" w:cs="Arial"/>
          <w:sz w:val="24"/>
          <w:szCs w:val="24"/>
          <w:lang w:val="en-US"/>
        </w:rPr>
        <w:t xml:space="preserve">) </w:t>
      </w:r>
      <w:r w:rsidR="00C912DE" w:rsidRPr="004B61EA">
        <w:rPr>
          <w:rFonts w:ascii="Arial" w:hAnsi="Arial" w:cs="Arial"/>
          <w:sz w:val="24"/>
          <w:szCs w:val="24"/>
          <w:lang w:val="en-US"/>
        </w:rPr>
        <w:t xml:space="preserve">with both neonatal </w:t>
      </w:r>
      <w:r w:rsidR="00FE5D44" w:rsidRPr="004B61EA">
        <w:rPr>
          <w:rFonts w:ascii="Arial" w:hAnsi="Arial" w:cs="Arial"/>
          <w:sz w:val="24"/>
          <w:szCs w:val="24"/>
          <w:lang w:val="en-US"/>
        </w:rPr>
        <w:t>morbidity (1.55</w:t>
      </w:r>
      <w:r w:rsidR="00684494" w:rsidRPr="004B61EA">
        <w:rPr>
          <w:rFonts w:ascii="Arial" w:hAnsi="Arial" w:cs="Arial"/>
          <w:sz w:val="24"/>
          <w:szCs w:val="24"/>
          <w:lang w:val="en-US"/>
        </w:rPr>
        <w:t xml:space="preserve"> </w:t>
      </w:r>
      <w:r w:rsidR="00DB1F4B" w:rsidRPr="004B61EA">
        <w:rPr>
          <w:rFonts w:ascii="Arial" w:hAnsi="Arial" w:cs="Arial"/>
          <w:sz w:val="24"/>
          <w:szCs w:val="24"/>
          <w:lang w:val="en-US"/>
        </w:rPr>
        <w:t>[</w:t>
      </w:r>
      <w:r w:rsidR="00FE5D44" w:rsidRPr="004B61EA">
        <w:rPr>
          <w:rFonts w:ascii="Arial" w:hAnsi="Arial" w:cs="Arial"/>
          <w:sz w:val="24"/>
          <w:szCs w:val="24"/>
          <w:lang w:val="en-US"/>
        </w:rPr>
        <w:t>1.12-2.14</w:t>
      </w:r>
      <w:r w:rsidR="00DB1F4B" w:rsidRPr="004B61EA">
        <w:rPr>
          <w:rFonts w:ascii="Arial" w:hAnsi="Arial" w:cs="Arial"/>
          <w:sz w:val="24"/>
          <w:szCs w:val="24"/>
          <w:lang w:val="en-US"/>
        </w:rPr>
        <w:t>]</w:t>
      </w:r>
      <w:r w:rsidR="00E97AE6" w:rsidRPr="004B61EA">
        <w:rPr>
          <w:rFonts w:ascii="Arial" w:hAnsi="Arial" w:cs="Arial"/>
          <w:sz w:val="24"/>
          <w:szCs w:val="24"/>
          <w:lang w:val="en-US"/>
        </w:rPr>
        <w:t>,</w:t>
      </w:r>
      <w:r w:rsidR="00FE5D44" w:rsidRPr="004B61EA">
        <w:rPr>
          <w:rFonts w:ascii="Arial" w:hAnsi="Arial" w:cs="Arial"/>
          <w:sz w:val="24"/>
          <w:szCs w:val="24"/>
          <w:lang w:val="en-US"/>
        </w:rPr>
        <w:t xml:space="preserve"> 0.007</w:t>
      </w:r>
      <w:r w:rsidR="00684494" w:rsidRPr="004B61EA">
        <w:rPr>
          <w:rFonts w:ascii="Arial" w:hAnsi="Arial" w:cs="Arial"/>
          <w:sz w:val="24"/>
          <w:szCs w:val="24"/>
          <w:lang w:val="en-US"/>
        </w:rPr>
        <w:t>)</w:t>
      </w:r>
      <w:r w:rsidR="00DB1F4B" w:rsidRPr="004B61EA">
        <w:rPr>
          <w:rFonts w:ascii="Arial" w:hAnsi="Arial" w:cs="Arial"/>
          <w:sz w:val="24"/>
          <w:szCs w:val="24"/>
          <w:lang w:val="en-US"/>
        </w:rPr>
        <w:t xml:space="preserve"> and </w:t>
      </w:r>
      <w:r w:rsidR="00FE5D44" w:rsidRPr="004B61EA">
        <w:rPr>
          <w:rFonts w:ascii="Arial" w:hAnsi="Arial" w:cs="Arial"/>
          <w:sz w:val="24"/>
          <w:szCs w:val="24"/>
          <w:lang w:val="en-US"/>
        </w:rPr>
        <w:t>maternal diabetes (1.75</w:t>
      </w:r>
      <w:r w:rsidR="00E97AE6" w:rsidRPr="004B61EA">
        <w:rPr>
          <w:rFonts w:ascii="Arial" w:hAnsi="Arial" w:cs="Arial"/>
          <w:sz w:val="24"/>
          <w:szCs w:val="24"/>
          <w:lang w:val="en-US"/>
        </w:rPr>
        <w:t xml:space="preserve"> [</w:t>
      </w:r>
      <w:r w:rsidR="00FE5D44" w:rsidRPr="004B61EA">
        <w:rPr>
          <w:rFonts w:ascii="Arial" w:hAnsi="Arial" w:cs="Arial"/>
          <w:sz w:val="24"/>
          <w:szCs w:val="24"/>
          <w:lang w:val="en-US"/>
        </w:rPr>
        <w:t>1.18-2.59</w:t>
      </w:r>
      <w:r w:rsidR="00E97AE6" w:rsidRPr="004B61EA">
        <w:rPr>
          <w:rFonts w:ascii="Arial" w:hAnsi="Arial" w:cs="Arial"/>
          <w:sz w:val="24"/>
          <w:szCs w:val="24"/>
          <w:lang w:val="en-US"/>
        </w:rPr>
        <w:t>],</w:t>
      </w:r>
      <w:r w:rsidR="00FE5D44" w:rsidRPr="004B61EA">
        <w:rPr>
          <w:rFonts w:ascii="Arial" w:hAnsi="Arial" w:cs="Arial"/>
          <w:sz w:val="24"/>
          <w:szCs w:val="24"/>
          <w:lang w:val="en-US"/>
        </w:rPr>
        <w:t xml:space="preserve"> 0.005</w:t>
      </w:r>
      <w:r w:rsidR="00DB1F4B" w:rsidRPr="004B61EA">
        <w:rPr>
          <w:rFonts w:ascii="Arial" w:hAnsi="Arial" w:cs="Arial"/>
          <w:sz w:val="24"/>
          <w:szCs w:val="24"/>
          <w:lang w:val="en-US"/>
        </w:rPr>
        <w:t>). Highest quintile of BWPW ratio was associated with a reduced risk of maternal obesity (0.71 [0.53 to 0.95], 0.02)</w:t>
      </w:r>
      <w:r w:rsidR="00C912DE" w:rsidRPr="004B61EA">
        <w:rPr>
          <w:rFonts w:ascii="Arial" w:hAnsi="Arial" w:cs="Arial"/>
          <w:sz w:val="24"/>
          <w:szCs w:val="24"/>
          <w:lang w:val="en-US"/>
        </w:rPr>
        <w:t xml:space="preserve"> </w:t>
      </w:r>
      <w:r w:rsidR="00DB1F4B" w:rsidRPr="004B61EA">
        <w:rPr>
          <w:rFonts w:ascii="Arial" w:hAnsi="Arial" w:cs="Arial"/>
          <w:sz w:val="24"/>
          <w:szCs w:val="24"/>
          <w:lang w:val="en-US"/>
        </w:rPr>
        <w:t>and preeclampsia</w:t>
      </w:r>
      <w:r w:rsidR="00694985" w:rsidRPr="004B61EA">
        <w:rPr>
          <w:rFonts w:ascii="Arial" w:hAnsi="Arial" w:cs="Arial"/>
          <w:sz w:val="24"/>
          <w:szCs w:val="24"/>
          <w:lang w:val="en-US"/>
        </w:rPr>
        <w:t xml:space="preserve"> </w:t>
      </w:r>
      <w:r w:rsidR="00DB1F4B" w:rsidRPr="004B61EA">
        <w:rPr>
          <w:rFonts w:ascii="Arial" w:hAnsi="Arial" w:cs="Arial"/>
          <w:sz w:val="24"/>
          <w:szCs w:val="24"/>
          <w:lang w:val="en-US"/>
        </w:rPr>
        <w:t>(</w:t>
      </w:r>
      <w:r w:rsidR="00694985" w:rsidRPr="004B61EA">
        <w:rPr>
          <w:rFonts w:ascii="Arial" w:hAnsi="Arial" w:cs="Arial"/>
          <w:sz w:val="24"/>
          <w:szCs w:val="24"/>
          <w:lang w:val="en-US"/>
        </w:rPr>
        <w:t xml:space="preserve">0.51 </w:t>
      </w:r>
      <w:r w:rsidR="00DB1F4B" w:rsidRPr="004B61EA">
        <w:rPr>
          <w:rFonts w:ascii="Arial" w:hAnsi="Arial" w:cs="Arial"/>
          <w:sz w:val="24"/>
          <w:szCs w:val="24"/>
          <w:lang w:val="en-US"/>
        </w:rPr>
        <w:t>[</w:t>
      </w:r>
      <w:r w:rsidR="00694985" w:rsidRPr="004B61EA">
        <w:rPr>
          <w:rFonts w:ascii="Arial" w:hAnsi="Arial" w:cs="Arial"/>
          <w:sz w:val="24"/>
          <w:szCs w:val="24"/>
          <w:lang w:val="en-US"/>
        </w:rPr>
        <w:t>0.31</w:t>
      </w:r>
      <w:r w:rsidR="00DB1F4B" w:rsidRPr="004B61EA">
        <w:rPr>
          <w:rFonts w:ascii="Arial" w:hAnsi="Arial" w:cs="Arial"/>
          <w:sz w:val="24"/>
          <w:szCs w:val="24"/>
          <w:lang w:val="en-US"/>
        </w:rPr>
        <w:t xml:space="preserve"> to </w:t>
      </w:r>
      <w:r w:rsidR="00694985" w:rsidRPr="004B61EA">
        <w:rPr>
          <w:rFonts w:ascii="Arial" w:hAnsi="Arial" w:cs="Arial"/>
          <w:sz w:val="24"/>
          <w:szCs w:val="24"/>
          <w:lang w:val="en-US"/>
        </w:rPr>
        <w:t>0.84</w:t>
      </w:r>
      <w:r w:rsidR="00DB1F4B" w:rsidRPr="004B61EA">
        <w:rPr>
          <w:rFonts w:ascii="Arial" w:hAnsi="Arial" w:cs="Arial"/>
          <w:sz w:val="24"/>
          <w:szCs w:val="24"/>
          <w:lang w:val="en-US"/>
        </w:rPr>
        <w:t>]</w:t>
      </w:r>
      <w:r w:rsidR="001C3F01" w:rsidRPr="004B61EA">
        <w:rPr>
          <w:rFonts w:ascii="Arial" w:hAnsi="Arial" w:cs="Arial"/>
          <w:sz w:val="24"/>
          <w:szCs w:val="24"/>
          <w:lang w:val="en-US"/>
        </w:rPr>
        <w:t xml:space="preserve">, </w:t>
      </w:r>
      <w:r w:rsidR="00694985" w:rsidRPr="004B61EA">
        <w:rPr>
          <w:rFonts w:ascii="Arial" w:hAnsi="Arial" w:cs="Arial"/>
          <w:sz w:val="24"/>
          <w:szCs w:val="24"/>
          <w:lang w:val="en-US"/>
        </w:rPr>
        <w:t>0.008)</w:t>
      </w:r>
      <w:r w:rsidR="00DB1F4B" w:rsidRPr="004B61EA">
        <w:rPr>
          <w:rFonts w:ascii="Arial" w:hAnsi="Arial" w:cs="Arial"/>
          <w:sz w:val="24"/>
          <w:szCs w:val="24"/>
          <w:lang w:val="en-US"/>
        </w:rPr>
        <w:t>, but higher (adjusted z score [95% CI]</w:t>
      </w:r>
      <w:r w:rsidR="00E97AE6" w:rsidRPr="004B61EA">
        <w:rPr>
          <w:rFonts w:ascii="Arial" w:hAnsi="Arial" w:cs="Arial"/>
          <w:sz w:val="24"/>
          <w:szCs w:val="24"/>
          <w:lang w:val="en-US"/>
        </w:rPr>
        <w:t>,</w:t>
      </w:r>
      <w:r w:rsidR="00DB1F4B" w:rsidRPr="004B61EA">
        <w:rPr>
          <w:rFonts w:ascii="Arial" w:hAnsi="Arial" w:cs="Arial"/>
          <w:sz w:val="24"/>
          <w:szCs w:val="24"/>
          <w:lang w:val="en-US"/>
        </w:rPr>
        <w:t xml:space="preserve"> </w:t>
      </w:r>
      <w:r w:rsidR="00E97AE6" w:rsidRPr="004B61EA">
        <w:rPr>
          <w:rFonts w:ascii="Arial" w:hAnsi="Arial" w:cs="Arial"/>
          <w:sz w:val="24"/>
          <w:szCs w:val="24"/>
          <w:lang w:val="en-US"/>
        </w:rPr>
        <w:t>P</w:t>
      </w:r>
      <w:r w:rsidR="00DB1F4B" w:rsidRPr="004B61EA">
        <w:rPr>
          <w:rFonts w:ascii="Arial" w:hAnsi="Arial" w:cs="Arial"/>
          <w:sz w:val="24"/>
          <w:szCs w:val="24"/>
          <w:lang w:val="en-US"/>
        </w:rPr>
        <w:t xml:space="preserve">) </w:t>
      </w:r>
      <w:r w:rsidR="00684494" w:rsidRPr="004B61EA">
        <w:rPr>
          <w:rFonts w:ascii="Arial" w:hAnsi="Arial" w:cs="Arial"/>
          <w:sz w:val="24"/>
          <w:szCs w:val="24"/>
          <w:lang w:val="en-US"/>
        </w:rPr>
        <w:t>uterine artery Doppler mean pulsatility index (PI) at 20 weeks</w:t>
      </w:r>
      <w:r w:rsidR="00694985" w:rsidRPr="004B61EA">
        <w:rPr>
          <w:rFonts w:ascii="Arial" w:hAnsi="Arial" w:cs="Arial"/>
          <w:sz w:val="24"/>
          <w:szCs w:val="24"/>
          <w:lang w:val="en-US"/>
        </w:rPr>
        <w:t xml:space="preserve"> of </w:t>
      </w:r>
      <w:r w:rsidR="00684494" w:rsidRPr="004B61EA">
        <w:rPr>
          <w:rFonts w:ascii="Arial" w:hAnsi="Arial" w:cs="Arial"/>
          <w:sz w:val="24"/>
          <w:szCs w:val="24"/>
          <w:lang w:val="en-US"/>
        </w:rPr>
        <w:t>gestation</w:t>
      </w:r>
      <w:r w:rsidR="00694985" w:rsidRPr="004B61EA">
        <w:rPr>
          <w:rFonts w:ascii="Arial" w:hAnsi="Arial" w:cs="Arial"/>
          <w:sz w:val="24"/>
          <w:szCs w:val="24"/>
          <w:lang w:val="en-US"/>
        </w:rPr>
        <w:t xml:space="preserve"> (</w:t>
      </w:r>
      <w:r w:rsidR="00E97AE6" w:rsidRPr="004B61EA">
        <w:rPr>
          <w:rFonts w:ascii="Arial" w:hAnsi="Arial" w:cs="Arial"/>
          <w:sz w:val="24"/>
          <w:szCs w:val="24"/>
          <w:lang w:val="en-US"/>
        </w:rPr>
        <w:t>0.09</w:t>
      </w:r>
      <w:r w:rsidR="00694985" w:rsidRPr="004B61EA">
        <w:rPr>
          <w:rFonts w:ascii="Arial" w:hAnsi="Arial" w:cs="Arial"/>
          <w:sz w:val="24"/>
          <w:szCs w:val="24"/>
          <w:lang w:val="en-US"/>
        </w:rPr>
        <w:t xml:space="preserve"> </w:t>
      </w:r>
      <w:r w:rsidR="00E97AE6" w:rsidRPr="004B61EA">
        <w:rPr>
          <w:rFonts w:ascii="Arial" w:hAnsi="Arial" w:cs="Arial"/>
          <w:sz w:val="24"/>
          <w:szCs w:val="24"/>
          <w:lang w:val="en-US"/>
        </w:rPr>
        <w:t>[</w:t>
      </w:r>
      <w:r w:rsidR="00694985" w:rsidRPr="004B61EA">
        <w:rPr>
          <w:rFonts w:ascii="Arial" w:hAnsi="Arial" w:cs="Arial"/>
          <w:sz w:val="24"/>
          <w:szCs w:val="24"/>
          <w:lang w:val="en-US"/>
        </w:rPr>
        <w:t>0.01-0.18</w:t>
      </w:r>
      <w:r w:rsidR="00E97AE6" w:rsidRPr="004B61EA">
        <w:rPr>
          <w:rFonts w:ascii="Arial" w:hAnsi="Arial" w:cs="Arial"/>
          <w:sz w:val="24"/>
          <w:szCs w:val="24"/>
          <w:lang w:val="en-US"/>
        </w:rPr>
        <w:t>],</w:t>
      </w:r>
      <w:r w:rsidR="00694985" w:rsidRPr="004B61EA">
        <w:rPr>
          <w:rFonts w:ascii="Arial" w:hAnsi="Arial" w:cs="Arial"/>
          <w:sz w:val="24"/>
          <w:szCs w:val="24"/>
          <w:lang w:val="en-US"/>
        </w:rPr>
        <w:t xml:space="preserve"> 0.04) </w:t>
      </w:r>
      <w:r w:rsidR="00684494" w:rsidRPr="004B61EA">
        <w:rPr>
          <w:rFonts w:ascii="Arial" w:hAnsi="Arial" w:cs="Arial"/>
          <w:sz w:val="24"/>
          <w:szCs w:val="24"/>
          <w:lang w:val="en-US"/>
        </w:rPr>
        <w:t xml:space="preserve">and </w:t>
      </w:r>
      <w:r w:rsidR="00E97AE6" w:rsidRPr="004B61EA">
        <w:rPr>
          <w:rFonts w:ascii="Arial" w:hAnsi="Arial" w:cs="Arial"/>
          <w:sz w:val="24"/>
          <w:szCs w:val="24"/>
          <w:lang w:val="en-US"/>
        </w:rPr>
        <w:t>u</w:t>
      </w:r>
      <w:r w:rsidR="00684494" w:rsidRPr="004B61EA">
        <w:rPr>
          <w:rFonts w:ascii="Arial" w:hAnsi="Arial" w:cs="Arial"/>
          <w:sz w:val="24"/>
          <w:szCs w:val="24"/>
          <w:lang w:val="en-US"/>
        </w:rPr>
        <w:t xml:space="preserve">mbilical artery Doppler PI at 36 weeks </w:t>
      </w:r>
      <w:r w:rsidR="00694985" w:rsidRPr="004B61EA">
        <w:rPr>
          <w:rFonts w:ascii="Arial" w:hAnsi="Arial" w:cs="Arial"/>
          <w:sz w:val="24"/>
          <w:szCs w:val="24"/>
          <w:lang w:val="en-US"/>
        </w:rPr>
        <w:t xml:space="preserve">of </w:t>
      </w:r>
      <w:r w:rsidR="00684494" w:rsidRPr="004B61EA">
        <w:rPr>
          <w:rFonts w:ascii="Arial" w:hAnsi="Arial" w:cs="Arial"/>
          <w:sz w:val="24"/>
          <w:szCs w:val="24"/>
          <w:lang w:val="en-US"/>
        </w:rPr>
        <w:t>gestation</w:t>
      </w:r>
      <w:r w:rsidR="00694985" w:rsidRPr="004B61EA">
        <w:rPr>
          <w:rFonts w:ascii="Arial" w:hAnsi="Arial" w:cs="Arial"/>
          <w:sz w:val="24"/>
          <w:szCs w:val="24"/>
          <w:lang w:val="en-US"/>
        </w:rPr>
        <w:t xml:space="preserve"> (</w:t>
      </w:r>
      <w:r w:rsidR="00E97AE6" w:rsidRPr="004B61EA">
        <w:rPr>
          <w:rFonts w:ascii="Arial" w:hAnsi="Arial" w:cs="Arial"/>
          <w:sz w:val="24"/>
          <w:szCs w:val="24"/>
          <w:lang w:val="en-US"/>
        </w:rPr>
        <w:t>0.16</w:t>
      </w:r>
      <w:r w:rsidR="00694985" w:rsidRPr="004B61EA">
        <w:rPr>
          <w:rFonts w:ascii="Arial" w:hAnsi="Arial" w:cs="Arial"/>
          <w:sz w:val="24"/>
          <w:szCs w:val="24"/>
          <w:lang w:val="en-US"/>
        </w:rPr>
        <w:t xml:space="preserve"> </w:t>
      </w:r>
      <w:r w:rsidR="00E97AE6" w:rsidRPr="004B61EA">
        <w:rPr>
          <w:rFonts w:ascii="Arial" w:hAnsi="Arial" w:cs="Arial"/>
          <w:sz w:val="24"/>
          <w:szCs w:val="24"/>
          <w:lang w:val="en-US"/>
        </w:rPr>
        <w:t>[</w:t>
      </w:r>
      <w:r w:rsidR="00694985" w:rsidRPr="004B61EA">
        <w:rPr>
          <w:rFonts w:ascii="Arial" w:hAnsi="Arial" w:cs="Arial"/>
          <w:sz w:val="24"/>
          <w:szCs w:val="24"/>
          <w:lang w:val="en-US"/>
        </w:rPr>
        <w:t>0.07-0.25</w:t>
      </w:r>
      <w:r w:rsidR="00E97AE6" w:rsidRPr="004B61EA">
        <w:rPr>
          <w:rFonts w:ascii="Arial" w:hAnsi="Arial" w:cs="Arial"/>
          <w:sz w:val="24"/>
          <w:szCs w:val="24"/>
          <w:lang w:val="en-US"/>
        </w:rPr>
        <w:t>]</w:t>
      </w:r>
      <w:r w:rsidR="00694985" w:rsidRPr="004B61EA">
        <w:rPr>
          <w:rFonts w:ascii="Arial" w:hAnsi="Arial" w:cs="Arial"/>
          <w:sz w:val="24"/>
          <w:szCs w:val="24"/>
          <w:lang w:val="en-US"/>
        </w:rPr>
        <w:t xml:space="preserve">, </w:t>
      </w:r>
      <w:r w:rsidR="00E97AE6" w:rsidRPr="004B61EA">
        <w:rPr>
          <w:rFonts w:ascii="Arial" w:hAnsi="Arial" w:cs="Arial"/>
          <w:sz w:val="24"/>
          <w:szCs w:val="24"/>
          <w:lang w:val="en-US"/>
        </w:rPr>
        <w:t>&lt;0</w:t>
      </w:r>
      <w:r w:rsidR="00694985" w:rsidRPr="004B61EA">
        <w:rPr>
          <w:rFonts w:ascii="Arial" w:hAnsi="Arial" w:cs="Arial"/>
          <w:sz w:val="24"/>
          <w:szCs w:val="24"/>
          <w:lang w:val="en-US"/>
        </w:rPr>
        <w:t>.001)</w:t>
      </w:r>
      <w:r w:rsidR="00684494" w:rsidRPr="004B61EA">
        <w:rPr>
          <w:rFonts w:ascii="Arial" w:hAnsi="Arial" w:cs="Arial"/>
          <w:sz w:val="24"/>
          <w:szCs w:val="24"/>
          <w:lang w:val="en-US"/>
        </w:rPr>
        <w:t>.</w:t>
      </w:r>
    </w:p>
    <w:p w14:paraId="76F0A758" w14:textId="7329DD15" w:rsidR="00E97AE6" w:rsidRPr="004B61EA" w:rsidRDefault="00CB66C0" w:rsidP="001C138F">
      <w:pPr>
        <w:spacing w:line="480" w:lineRule="auto"/>
        <w:rPr>
          <w:rFonts w:ascii="Arial" w:hAnsi="Arial" w:cs="Arial"/>
          <w:i/>
          <w:sz w:val="24"/>
          <w:szCs w:val="24"/>
          <w:lang w:val="en-US"/>
        </w:rPr>
      </w:pPr>
      <w:r w:rsidRPr="004B61EA">
        <w:rPr>
          <w:rFonts w:ascii="Arial" w:hAnsi="Arial" w:cs="Arial"/>
          <w:i/>
          <w:sz w:val="24"/>
          <w:szCs w:val="24"/>
          <w:lang w:val="en-US"/>
        </w:rPr>
        <w:t>Conclusion:</w:t>
      </w:r>
      <w:r w:rsidR="00C912DE" w:rsidRPr="004B61EA">
        <w:rPr>
          <w:rFonts w:ascii="Arial" w:hAnsi="Arial" w:cs="Arial"/>
          <w:sz w:val="24"/>
          <w:szCs w:val="24"/>
          <w:lang w:val="en-US"/>
        </w:rPr>
        <w:t xml:space="preserve"> </w:t>
      </w:r>
      <w:r w:rsidR="007B5385" w:rsidRPr="004B61EA">
        <w:rPr>
          <w:rFonts w:ascii="Arial" w:hAnsi="Arial" w:cs="Arial"/>
          <w:sz w:val="24"/>
          <w:szCs w:val="24"/>
          <w:lang w:val="en-US"/>
        </w:rPr>
        <w:t>BWPW-</w:t>
      </w:r>
      <w:r w:rsidR="00C912DE" w:rsidRPr="004B61EA">
        <w:rPr>
          <w:rFonts w:ascii="Arial" w:hAnsi="Arial" w:cs="Arial"/>
          <w:sz w:val="24"/>
          <w:szCs w:val="24"/>
          <w:lang w:val="en-US"/>
        </w:rPr>
        <w:t xml:space="preserve">ratio is related to ultrasonic measurements and both neonatal and maternal morbidity. Therefore, this ratio may be an indicative marker of </w:t>
      </w:r>
      <w:r w:rsidR="00694985" w:rsidRPr="004B61EA">
        <w:rPr>
          <w:rFonts w:ascii="Arial" w:hAnsi="Arial" w:cs="Arial"/>
          <w:sz w:val="24"/>
          <w:szCs w:val="24"/>
          <w:lang w:val="en-US"/>
        </w:rPr>
        <w:t xml:space="preserve">immediate and longer term </w:t>
      </w:r>
      <w:r w:rsidR="00C912DE" w:rsidRPr="004B61EA">
        <w:rPr>
          <w:rFonts w:ascii="Arial" w:hAnsi="Arial" w:cs="Arial"/>
          <w:sz w:val="24"/>
          <w:szCs w:val="24"/>
          <w:lang w:val="en-US"/>
        </w:rPr>
        <w:t>health risks for an individual.</w:t>
      </w:r>
    </w:p>
    <w:p w14:paraId="00FE8D82" w14:textId="4C82FFDD" w:rsidR="00CB66C0" w:rsidRPr="004B61EA" w:rsidRDefault="00CB66C0" w:rsidP="001C138F">
      <w:pPr>
        <w:spacing w:line="480" w:lineRule="auto"/>
        <w:rPr>
          <w:rFonts w:ascii="Arial" w:hAnsi="Arial" w:cs="Arial"/>
          <w:sz w:val="24"/>
          <w:szCs w:val="24"/>
          <w:lang w:val="en-US"/>
        </w:rPr>
      </w:pPr>
      <w:r w:rsidRPr="004B61EA">
        <w:rPr>
          <w:rFonts w:ascii="Arial" w:hAnsi="Arial" w:cs="Arial"/>
          <w:sz w:val="24"/>
          <w:szCs w:val="24"/>
          <w:lang w:val="en-US"/>
        </w:rPr>
        <w:t>Keywords:</w:t>
      </w:r>
      <w:r w:rsidR="00684494" w:rsidRPr="004B61EA">
        <w:rPr>
          <w:rFonts w:ascii="Arial" w:hAnsi="Arial" w:cs="Arial"/>
          <w:sz w:val="24"/>
          <w:szCs w:val="24"/>
          <w:lang w:val="en-US"/>
        </w:rPr>
        <w:t xml:space="preserve"> birth weight, placenta weight, Doppler flow velocimetry, fetal growth, human</w:t>
      </w:r>
    </w:p>
    <w:p w14:paraId="286526E7" w14:textId="1E71DB41" w:rsidR="00CB66C0" w:rsidRPr="004B61EA" w:rsidRDefault="00CB66C0" w:rsidP="001C138F">
      <w:pPr>
        <w:spacing w:line="480" w:lineRule="auto"/>
        <w:rPr>
          <w:rFonts w:ascii="Arial" w:hAnsi="Arial" w:cs="Arial"/>
          <w:i/>
          <w:sz w:val="24"/>
          <w:szCs w:val="24"/>
          <w:lang w:val="en-US"/>
        </w:rPr>
      </w:pPr>
      <w:r w:rsidRPr="004B61EA">
        <w:rPr>
          <w:rFonts w:ascii="Arial" w:hAnsi="Arial" w:cs="Arial"/>
          <w:b/>
          <w:sz w:val="24"/>
          <w:szCs w:val="24"/>
          <w:lang w:val="en-US"/>
        </w:rPr>
        <w:lastRenderedPageBreak/>
        <w:t xml:space="preserve">Abbreviations. </w:t>
      </w:r>
      <w:r w:rsidRPr="004B61EA">
        <w:rPr>
          <w:rFonts w:ascii="Arial" w:hAnsi="Arial" w:cs="Arial"/>
          <w:sz w:val="24"/>
          <w:szCs w:val="24"/>
          <w:lang w:val="en-US"/>
        </w:rPr>
        <w:t xml:space="preserve">AC, abdominal circumference; </w:t>
      </w:r>
      <w:r w:rsidR="006810C4" w:rsidRPr="004B61EA">
        <w:rPr>
          <w:rFonts w:ascii="Arial" w:hAnsi="Arial" w:cs="Arial"/>
          <w:sz w:val="24"/>
          <w:szCs w:val="24"/>
          <w:lang w:val="en-US"/>
        </w:rPr>
        <w:t xml:space="preserve">AGA, appropriate for gestational age; </w:t>
      </w:r>
      <w:r w:rsidRPr="004B61EA">
        <w:rPr>
          <w:rFonts w:ascii="Arial" w:hAnsi="Arial" w:cs="Arial"/>
          <w:sz w:val="24"/>
          <w:szCs w:val="24"/>
          <w:lang w:val="en-US"/>
        </w:rPr>
        <w:t xml:space="preserve">BW, birth weight; CI, confidence interval; </w:t>
      </w:r>
      <w:r w:rsidR="006810C4" w:rsidRPr="004B61EA">
        <w:rPr>
          <w:rFonts w:ascii="Arial" w:hAnsi="Arial" w:cs="Arial"/>
          <w:sz w:val="24"/>
          <w:szCs w:val="24"/>
          <w:lang w:val="en-US"/>
        </w:rPr>
        <w:t xml:space="preserve">EFW, estimated fetal weight; </w:t>
      </w:r>
      <w:r w:rsidRPr="004B61EA">
        <w:rPr>
          <w:rFonts w:ascii="Arial" w:hAnsi="Arial" w:cs="Arial"/>
          <w:sz w:val="24"/>
          <w:szCs w:val="24"/>
          <w:lang w:val="en-US"/>
        </w:rPr>
        <w:t>FGR, fetal growth restriction</w:t>
      </w:r>
      <w:r w:rsidRPr="004B61EA">
        <w:rPr>
          <w:rFonts w:ascii="Arial" w:hAnsi="Arial" w:cs="Arial"/>
          <w:color w:val="000000"/>
          <w:sz w:val="24"/>
          <w:szCs w:val="24"/>
          <w:lang w:val="en-US"/>
        </w:rPr>
        <w:t xml:space="preserve">; </w:t>
      </w:r>
      <w:r w:rsidR="006810C4" w:rsidRPr="004B61EA">
        <w:rPr>
          <w:rFonts w:ascii="Arial" w:hAnsi="Arial" w:cs="Arial"/>
          <w:color w:val="000000"/>
          <w:sz w:val="24"/>
          <w:szCs w:val="24"/>
          <w:lang w:val="en-US"/>
        </w:rPr>
        <w:t xml:space="preserve">GA, gestational age; </w:t>
      </w:r>
      <w:r w:rsidRPr="004B61EA">
        <w:rPr>
          <w:rFonts w:ascii="Arial" w:hAnsi="Arial" w:cs="Arial"/>
          <w:sz w:val="24"/>
          <w:szCs w:val="24"/>
          <w:lang w:val="en-US"/>
        </w:rPr>
        <w:t xml:space="preserve">GV, growth velocity; </w:t>
      </w:r>
      <w:r w:rsidR="006810C4" w:rsidRPr="004B61EA">
        <w:rPr>
          <w:rFonts w:ascii="Arial" w:hAnsi="Arial" w:cs="Arial"/>
          <w:sz w:val="24"/>
          <w:szCs w:val="24"/>
          <w:lang w:val="en-US"/>
        </w:rPr>
        <w:t xml:space="preserve">LGA, large for gestational age; </w:t>
      </w:r>
      <w:r w:rsidRPr="004B61EA">
        <w:rPr>
          <w:rFonts w:ascii="Arial" w:hAnsi="Arial" w:cs="Arial"/>
          <w:sz w:val="24"/>
          <w:szCs w:val="24"/>
          <w:lang w:val="en-US"/>
        </w:rPr>
        <w:t xml:space="preserve">PW, placenta weight; PI, pulsatility index; POP, Pregnancy Outcome Prediction; SD, standard deviation; </w:t>
      </w:r>
      <w:r w:rsidR="006810C4" w:rsidRPr="004B61EA">
        <w:rPr>
          <w:rFonts w:ascii="Arial" w:hAnsi="Arial" w:cs="Arial"/>
          <w:sz w:val="24"/>
          <w:szCs w:val="24"/>
          <w:lang w:val="en-US"/>
        </w:rPr>
        <w:t xml:space="preserve">SGA, small for gestational age; </w:t>
      </w:r>
      <w:r w:rsidRPr="004B61EA">
        <w:rPr>
          <w:rFonts w:ascii="Arial" w:hAnsi="Arial" w:cs="Arial"/>
          <w:sz w:val="24"/>
          <w:szCs w:val="24"/>
          <w:lang w:val="en-US"/>
        </w:rPr>
        <w:t>UmA, umbilical artery;</w:t>
      </w:r>
      <w:r w:rsidRPr="004B61EA">
        <w:rPr>
          <w:rFonts w:ascii="Arial" w:hAnsi="Arial" w:cs="Arial"/>
          <w:color w:val="000000"/>
          <w:sz w:val="24"/>
          <w:szCs w:val="24"/>
          <w:lang w:val="en-US"/>
        </w:rPr>
        <w:t xml:space="preserve"> UtA, </w:t>
      </w:r>
      <w:r w:rsidRPr="004B61EA">
        <w:rPr>
          <w:rFonts w:ascii="Arial" w:hAnsi="Arial" w:cs="Arial"/>
          <w:sz w:val="24"/>
          <w:szCs w:val="24"/>
          <w:lang w:val="en-US"/>
        </w:rPr>
        <w:t>uterine artery.</w:t>
      </w:r>
      <w:r w:rsidRPr="004B61EA">
        <w:rPr>
          <w:rFonts w:ascii="Arial" w:hAnsi="Arial" w:cs="Arial"/>
          <w:sz w:val="24"/>
          <w:szCs w:val="24"/>
          <w:u w:val="single"/>
          <w:lang w:val="en-US"/>
        </w:rPr>
        <w:br w:type="page"/>
      </w:r>
    </w:p>
    <w:p w14:paraId="6BA0376A" w14:textId="0E889267" w:rsidR="003173EC" w:rsidRPr="004B61EA" w:rsidRDefault="003173EC" w:rsidP="0045605B">
      <w:pPr>
        <w:spacing w:after="0" w:line="480" w:lineRule="auto"/>
        <w:outlineLvl w:val="0"/>
        <w:rPr>
          <w:rFonts w:ascii="Arial" w:hAnsi="Arial" w:cs="Arial"/>
          <w:b/>
          <w:sz w:val="24"/>
          <w:szCs w:val="24"/>
          <w:lang w:val="en-US"/>
        </w:rPr>
      </w:pPr>
      <w:r w:rsidRPr="004B61EA">
        <w:rPr>
          <w:rFonts w:ascii="Arial" w:hAnsi="Arial" w:cs="Arial"/>
          <w:b/>
          <w:sz w:val="24"/>
          <w:szCs w:val="24"/>
          <w:lang w:val="en-US"/>
        </w:rPr>
        <w:lastRenderedPageBreak/>
        <w:t>Introduction</w:t>
      </w:r>
    </w:p>
    <w:p w14:paraId="13897453" w14:textId="2F4270E8" w:rsidR="00183B4C" w:rsidRPr="004B61EA" w:rsidRDefault="00D24512" w:rsidP="001C138F">
      <w:pPr>
        <w:pStyle w:val="NoSpacing"/>
        <w:spacing w:line="480" w:lineRule="auto"/>
        <w:rPr>
          <w:rFonts w:ascii="Arial" w:hAnsi="Arial" w:cs="Arial"/>
          <w:sz w:val="24"/>
          <w:szCs w:val="24"/>
          <w:lang w:val="en-US"/>
        </w:rPr>
      </w:pPr>
      <w:r w:rsidRPr="004B61EA">
        <w:rPr>
          <w:rFonts w:ascii="Arial" w:hAnsi="Arial" w:cs="Arial"/>
          <w:sz w:val="24"/>
          <w:szCs w:val="24"/>
          <w:lang w:val="en-US"/>
        </w:rPr>
        <w:t>Appropriate nutrient supply to the fetus, via the placenta, is essential for optimal fetal growth. The ability of the placenta to mai</w:t>
      </w:r>
      <w:r w:rsidR="00E20097" w:rsidRPr="004B61EA">
        <w:rPr>
          <w:rFonts w:ascii="Arial" w:hAnsi="Arial" w:cs="Arial"/>
          <w:sz w:val="24"/>
          <w:szCs w:val="24"/>
          <w:lang w:val="en-US"/>
        </w:rPr>
        <w:t xml:space="preserve">ntain adequate nutrient supply </w:t>
      </w:r>
      <w:r w:rsidRPr="004B61EA">
        <w:rPr>
          <w:rFonts w:ascii="Arial" w:hAnsi="Arial" w:cs="Arial"/>
          <w:sz w:val="24"/>
          <w:szCs w:val="24"/>
          <w:lang w:val="en-US"/>
        </w:rPr>
        <w:t>is co</w:t>
      </w:r>
      <w:r w:rsidR="00365FE0" w:rsidRPr="004B61EA">
        <w:rPr>
          <w:rFonts w:ascii="Arial" w:hAnsi="Arial" w:cs="Arial"/>
          <w:sz w:val="24"/>
          <w:szCs w:val="24"/>
          <w:lang w:val="en-US"/>
        </w:rPr>
        <w:t>mmonly described</w:t>
      </w:r>
      <w:r w:rsidR="007B5385" w:rsidRPr="004B61EA">
        <w:rPr>
          <w:rFonts w:ascii="Arial" w:hAnsi="Arial" w:cs="Arial"/>
          <w:sz w:val="24"/>
          <w:szCs w:val="24"/>
          <w:lang w:val="en-US"/>
        </w:rPr>
        <w:t xml:space="preserve"> by birth weight to </w:t>
      </w:r>
      <w:r w:rsidRPr="004B61EA">
        <w:rPr>
          <w:rFonts w:ascii="Arial" w:hAnsi="Arial" w:cs="Arial"/>
          <w:sz w:val="24"/>
          <w:szCs w:val="24"/>
          <w:lang w:val="en-US"/>
        </w:rPr>
        <w:t xml:space="preserve">placenta weight-ratio (BWPW-ratio) i.e., the grams of the fetus per gram placenta </w:t>
      </w:r>
      <w:r w:rsidRPr="004B61EA">
        <w:rPr>
          <w:rFonts w:ascii="Arial" w:hAnsi="Arial" w:cs="Arial"/>
          <w:sz w:val="24"/>
          <w:szCs w:val="24"/>
          <w:lang w:val="en-US"/>
        </w:rPr>
        <w:fldChar w:fldCharType="begin" w:fldLock="1"/>
      </w:r>
      <w:r w:rsidR="003A7625" w:rsidRPr="004B61EA">
        <w:rPr>
          <w:rFonts w:ascii="Arial" w:hAnsi="Arial" w:cs="Arial"/>
          <w:sz w:val="24"/>
          <w:szCs w:val="24"/>
          <w:lang w:val="en-US"/>
        </w:rPr>
        <w:instrText>ADDIN CSL_CITATION { "citationItems" : [ { "id" : "ITEM-1", "itemData" : { "ISSN" : "1477-0415", "PMID" : "11980192", "abstract" : "Litter size is often proposed as the trait that could have the greatest impact in improving reproductive efficiency of pigs. Efforts to select directly for increased litter size have generally been unsuccessful and highly variable. As a result, several attempts have been made to identify critical physiological components that control litter size, with the underlying assumption that augmenting these components would improve this important trait. One attempt at improving physiological components has involved the selection of animals for increased uterine capacity, as measured by the number of fetuses or piglets that a female can carry successfully to term. Recent evidence indicates that one critical component of the uterine capacity in pigs is placental efficiency, or the body weight of a piglet divided by the mass of its placenta. It is easy to determine the average placental efficiency in a litter, but variation among conceptuses within a litter for this trait can be substantial, leading to the conclusion that placental efficiency is an individual conceptus trait. It is suggested that the limited success of selection for an increased uterine capacity results, at least in part, from a misguided view that 'uterine capacity' is strictly a maternal trait. Uterine capacity is better defined as the mass of placental tissue that a pregnant female can support to term, and involves phenotypic variation in both the dam and her offspring. This definition of uterine capacity allows maximization of both uterine size and placental efficiency in future attempts to increase litter size in pigs.", "author" : [ { "dropping-particle" : "", "family" : "Wilson", "given" : "M E", "non-dropping-particle" : "", "parse-names" : false, "suffix" : "" }, { "dropping-particle" : "", "family" : "Ford", "given" : "S P", "non-dropping-particle" : "", "parse-names" : false, "suffix" : "" } ], "container-title" : "Reproduction (Cambridge, England) Supplement", "id" : "ITEM-1", "issued" : { "date-parts" : [ [ "2001", "1" ] ] }, "page" : "223-32", "title" : "Comparative aspects of placental efficiency.", "type" : "article-journal", "volume" : "58" }, "uris" : [ "http://www.mendeley.com/documents/?uuid=8d93ea6f-6f8e-492f-991f-3a893f7f7d51" ] } ], "mendeley" : { "formattedCitation" : "[1]", "plainTextFormattedCitation" : "[1]", "previouslyFormattedCitation" : "[1]" }, "properties" : { "noteIndex" : 0 }, "schema" : "https://github.com/citation-style-language/schema/raw/master/csl-citation.json" }</w:instrText>
      </w:r>
      <w:r w:rsidRPr="004B61EA">
        <w:rPr>
          <w:rFonts w:ascii="Arial" w:hAnsi="Arial" w:cs="Arial"/>
          <w:sz w:val="24"/>
          <w:szCs w:val="24"/>
          <w:lang w:val="en-US"/>
        </w:rPr>
        <w:fldChar w:fldCharType="separate"/>
      </w:r>
      <w:r w:rsidR="005B7819" w:rsidRPr="004B61EA">
        <w:rPr>
          <w:rFonts w:ascii="Arial" w:hAnsi="Arial" w:cs="Arial"/>
          <w:noProof/>
          <w:sz w:val="24"/>
          <w:szCs w:val="24"/>
          <w:lang w:val="en-US"/>
        </w:rPr>
        <w:t>[1]</w:t>
      </w:r>
      <w:r w:rsidRPr="004B61EA">
        <w:rPr>
          <w:rFonts w:ascii="Arial" w:hAnsi="Arial" w:cs="Arial"/>
          <w:sz w:val="24"/>
          <w:szCs w:val="24"/>
          <w:lang w:val="en-US"/>
        </w:rPr>
        <w:fldChar w:fldCharType="end"/>
      </w:r>
      <w:r w:rsidRPr="004B61EA">
        <w:rPr>
          <w:rFonts w:ascii="Arial" w:hAnsi="Arial" w:cs="Arial"/>
          <w:sz w:val="24"/>
          <w:szCs w:val="24"/>
          <w:lang w:val="en-US"/>
        </w:rPr>
        <w:t xml:space="preserve">. Changes in </w:t>
      </w:r>
      <w:r w:rsidR="00E20097" w:rsidRPr="004B61EA">
        <w:rPr>
          <w:rFonts w:ascii="Arial" w:hAnsi="Arial" w:cs="Arial"/>
          <w:sz w:val="24"/>
          <w:szCs w:val="24"/>
          <w:lang w:val="en-US"/>
        </w:rPr>
        <w:t>BWPW-ratio</w:t>
      </w:r>
      <w:r w:rsidR="00CD6755" w:rsidRPr="004B61EA">
        <w:rPr>
          <w:rFonts w:ascii="Arial" w:hAnsi="Arial" w:cs="Arial"/>
          <w:sz w:val="24"/>
          <w:szCs w:val="24"/>
          <w:lang w:val="en-US"/>
        </w:rPr>
        <w:t>, in literature often described as “placental efficiency”</w:t>
      </w:r>
      <w:r w:rsidR="004E1D60" w:rsidRPr="004B61EA">
        <w:rPr>
          <w:rFonts w:ascii="Arial" w:hAnsi="Arial" w:cs="Arial"/>
          <w:sz w:val="24"/>
          <w:szCs w:val="24"/>
          <w:lang w:val="en-US"/>
        </w:rPr>
        <w:t xml:space="preserve"> </w:t>
      </w:r>
      <w:r w:rsidR="004E1D60" w:rsidRPr="004B61EA">
        <w:rPr>
          <w:rFonts w:ascii="Arial" w:hAnsi="Arial" w:cs="Arial"/>
          <w:sz w:val="24"/>
          <w:szCs w:val="24"/>
          <w:lang w:val="en-US"/>
        </w:rPr>
        <w:fldChar w:fldCharType="begin" w:fldLock="1"/>
      </w:r>
      <w:r w:rsidR="004E1D60" w:rsidRPr="004B61EA">
        <w:rPr>
          <w:rFonts w:ascii="Arial" w:hAnsi="Arial" w:cs="Arial"/>
          <w:sz w:val="24"/>
          <w:szCs w:val="24"/>
          <w:lang w:val="en-US"/>
        </w:rPr>
        <w:instrText>ADDIN CSL_CITATION { "citationItems" : [ { "id" : "ITEM-1", "itemData" : { "DOI" : "10.1113/jphysiol.2009.173013", "ISSN" : "1469-7793", "PMID" : "19451204", "abstract" : "Size at birth is critical in determining life expectancy and is dependent primarily on the placental supply of nutrients. However, the fetus is not just a passive recipient of nutrients from the placenta. It exerts a significant acquisitive drive for nutrients, which acts through morphological and functional adaptations in the placenta, particularly when the genetically determined drive for fetal growth is compromised by adverse intrauterine conditions. These adaptations alter the efficiency with which the placenta supports fetal growth, which results in optimal growth for prevailing conditions in utero. This review examines placental efficiency as a means of altering fetal growth, the morphological and functional adaptations that influence placental efficiency and the endocrine regulation of these processes.", "author" : [ { "dropping-particle" : "", "family" : "Fowden", "given" : "A L", "non-dropping-particle" : "", "parse-names" : false, "suffix" : "" }, { "dropping-particle" : "", "family" : "Sferruzzi-Perri", "given" : "A N", "non-dropping-particle" : "", "parse-names" : false, "suffix" : "" }, { "dropping-particle" : "", "family" : "Coan", "given" : "P M", "non-dropping-particle" : "", "parse-names" : false, "suffix" : "" }, { "dropping-particle" : "", "family" : "Constancia", "given" : "M", "non-dropping-particle" : "", "parse-names" : false, "suffix" : "" }, { "dropping-particle" : "", "family" : "Burton", "given" : "G J", "non-dropping-particle" : "", "parse-names" : false, "suffix" : "" } ], "container-title" : "The Journal of physiology", "id" : "ITEM-1", "issue" : "Pt 14", "issued" : { "date-parts" : [ [ "2009", "7", "15" ] ] }, "page" : "3459-72", "title" : "Placental efficiency and adaptation: endocrine regulation.", "type" : "article-journal", "volume" : "587" }, "uris" : [ "http://www.mendeley.com/documents/?uuid=88b4bcd4-5a7a-4f94-9ea7-0c89fa8e8bcc" ] } ], "mendeley" : { "formattedCitation" : "[2]", "plainTextFormattedCitation" : "[2]", "previouslyFormattedCitation" : "[2]" }, "properties" : { "noteIndex" : 0 }, "schema" : "https://github.com/citation-style-language/schema/raw/master/csl-citation.json" }</w:instrText>
      </w:r>
      <w:r w:rsidR="004E1D60" w:rsidRPr="004B61EA">
        <w:rPr>
          <w:rFonts w:ascii="Arial" w:hAnsi="Arial" w:cs="Arial"/>
          <w:sz w:val="24"/>
          <w:szCs w:val="24"/>
          <w:lang w:val="en-US"/>
        </w:rPr>
        <w:fldChar w:fldCharType="separate"/>
      </w:r>
      <w:r w:rsidR="004E1D60" w:rsidRPr="004B61EA">
        <w:rPr>
          <w:rFonts w:ascii="Arial" w:hAnsi="Arial" w:cs="Arial"/>
          <w:noProof/>
          <w:sz w:val="24"/>
          <w:szCs w:val="24"/>
          <w:lang w:val="en-US"/>
        </w:rPr>
        <w:t>[2]</w:t>
      </w:r>
      <w:r w:rsidR="004E1D60" w:rsidRPr="004B61EA">
        <w:rPr>
          <w:rFonts w:ascii="Arial" w:hAnsi="Arial" w:cs="Arial"/>
          <w:sz w:val="24"/>
          <w:szCs w:val="24"/>
          <w:lang w:val="en-US"/>
        </w:rPr>
        <w:fldChar w:fldCharType="end"/>
      </w:r>
      <w:r w:rsidR="00CD6755" w:rsidRPr="004B61EA">
        <w:rPr>
          <w:rFonts w:ascii="Arial" w:hAnsi="Arial" w:cs="Arial"/>
          <w:sz w:val="24"/>
          <w:szCs w:val="24"/>
          <w:lang w:val="en-US"/>
        </w:rPr>
        <w:t>,</w:t>
      </w:r>
      <w:r w:rsidR="00E20097" w:rsidRPr="004B61EA">
        <w:rPr>
          <w:rFonts w:ascii="Arial" w:hAnsi="Arial" w:cs="Arial"/>
          <w:sz w:val="24"/>
          <w:szCs w:val="24"/>
          <w:lang w:val="en-US"/>
        </w:rPr>
        <w:t xml:space="preserve"> </w:t>
      </w:r>
      <w:r w:rsidRPr="004B61EA">
        <w:rPr>
          <w:rFonts w:ascii="Arial" w:hAnsi="Arial" w:cs="Arial"/>
          <w:sz w:val="24"/>
          <w:szCs w:val="24"/>
          <w:lang w:val="en-US"/>
        </w:rPr>
        <w:t xml:space="preserve">can occur in response to either maternal or fetal stimuli that cause morphological and functional placental adaptations. </w:t>
      </w:r>
      <w:r w:rsidR="00435F21" w:rsidRPr="004B61EA">
        <w:rPr>
          <w:rFonts w:ascii="Arial" w:hAnsi="Arial" w:cs="Arial"/>
          <w:sz w:val="24"/>
          <w:szCs w:val="24"/>
          <w:lang w:val="en-US"/>
        </w:rPr>
        <w:t>T</w:t>
      </w:r>
      <w:r w:rsidRPr="004B61EA">
        <w:rPr>
          <w:rFonts w:ascii="Arial" w:hAnsi="Arial" w:cs="Arial"/>
          <w:sz w:val="24"/>
          <w:szCs w:val="24"/>
          <w:lang w:val="en-US"/>
        </w:rPr>
        <w:t>hese adaptations take place in order to maintain appropriate fetal</w:t>
      </w:r>
      <w:r w:rsidR="00435F21" w:rsidRPr="004B61EA">
        <w:rPr>
          <w:rFonts w:ascii="Arial" w:hAnsi="Arial" w:cs="Arial"/>
          <w:sz w:val="24"/>
          <w:szCs w:val="24"/>
          <w:lang w:val="en-US"/>
        </w:rPr>
        <w:t xml:space="preserve"> growth, and </w:t>
      </w:r>
      <w:r w:rsidRPr="004B61EA">
        <w:rPr>
          <w:rFonts w:ascii="Arial" w:hAnsi="Arial" w:cs="Arial"/>
          <w:sz w:val="24"/>
          <w:szCs w:val="24"/>
          <w:lang w:val="en-US"/>
        </w:rPr>
        <w:t>failure of placental adaptation may result in a fetus that is either too small or too large with regards to its genetic growth potential.</w:t>
      </w:r>
      <w:r w:rsidR="00435F21" w:rsidRPr="004B61EA">
        <w:rPr>
          <w:rFonts w:ascii="Arial" w:hAnsi="Arial" w:cs="Arial"/>
          <w:sz w:val="24"/>
          <w:szCs w:val="24"/>
          <w:lang w:val="en-US"/>
        </w:rPr>
        <w:t xml:space="preserve"> </w:t>
      </w:r>
      <w:r w:rsidR="00183B4C" w:rsidRPr="004B61EA">
        <w:rPr>
          <w:rFonts w:ascii="Arial" w:hAnsi="Arial" w:cs="Arial"/>
          <w:sz w:val="24"/>
          <w:szCs w:val="24"/>
          <w:lang w:val="en-US"/>
        </w:rPr>
        <w:t xml:space="preserve">A </w:t>
      </w:r>
      <w:r w:rsidR="002D18D6" w:rsidRPr="004B61EA">
        <w:rPr>
          <w:rFonts w:ascii="Arial" w:hAnsi="Arial" w:cs="Arial"/>
          <w:sz w:val="24"/>
          <w:szCs w:val="24"/>
          <w:lang w:val="en-US"/>
        </w:rPr>
        <w:t xml:space="preserve">previous </w:t>
      </w:r>
      <w:r w:rsidR="00183B4C" w:rsidRPr="004B61EA">
        <w:rPr>
          <w:rFonts w:ascii="Arial" w:hAnsi="Arial" w:cs="Arial"/>
          <w:sz w:val="24"/>
          <w:szCs w:val="24"/>
          <w:lang w:val="en-US"/>
        </w:rPr>
        <w:t xml:space="preserve">study has already described that a small BWPW-ratio was associated with higher risk of delivering a term small for gestational age (SGA) infant </w:t>
      </w:r>
      <w:r w:rsidR="00183B4C" w:rsidRPr="004B61EA">
        <w:rPr>
          <w:rFonts w:ascii="Arial" w:hAnsi="Arial" w:cs="Arial"/>
          <w:sz w:val="24"/>
          <w:szCs w:val="24"/>
          <w:lang w:val="en-US"/>
        </w:rPr>
        <w:fldChar w:fldCharType="begin" w:fldLock="1"/>
      </w:r>
      <w:r w:rsidR="004E1D60" w:rsidRPr="004B61EA">
        <w:rPr>
          <w:rFonts w:ascii="Arial" w:hAnsi="Arial" w:cs="Arial"/>
          <w:sz w:val="24"/>
          <w:szCs w:val="24"/>
          <w:lang w:val="en-US"/>
        </w:rPr>
        <w:instrText>ADDIN CSL_CITATION { "citationItems" : [ { "id" : "ITEM-1", "itemData" : { "DOI" : "10.1007/s10654-015-9993-9", "ISSN" : "1573-7284", "PMID" : "25630563", "abstract" : "Higher placental weight relative to birthweight has been described as an adaptive mechanism to fetal hypoxia in small for gestational age (SGA) infants. However, placental weight alone may not be a good marker reflecting intrauterine growth restriction. We hypothesized that fetoplacental ratio (FPR)-the ratio between birthweight and placental weight-may serve as a good marker of SGA after adjustment for surrogates of fetal hypoxemia (maternal iron deficiency anemia, smoking and choriodecidual necrosis). We conducted a within-sibling analysis using data from the US National Collaborative Perinatal Project (1959-1966) of 1,803 women who delivered their first two (or more) consecutive infants at term (n = 3,494). We used variance-component fixed-effect linear regression models to explore the effect of observed time-varying factors on placental weight and conditional logistic regression to estimate the effects of the tertiles of FPRs (1st small, 2nd normal and 3rd large) on the odds of SGA infants. We found placental weights to be 15 g [95 % confidence interval (CI) 8, 23] higher and -7 g (95 % CI -13, -2) lower among women that had anemia and choriodecidual necrosis, respectively. After multivariable adjustment, newborns with a small FPR (1st-tertile \u22647) had twofold higher odds of being SGA (OR 2.0, 95 % CI 1.2, 3.5) than their siblings with a large FPR (3nd-tertile \u22659). A small FPR was associated with higher odds of SGA, suggesting that small FPR may serve as an indicator suggestive of adverse intrauterine environment. This observation may help to distinguish pathological from constitutional SGA.", "author" : [ { "dropping-particle" : "", "family" : "Luque-Fernandez", "given" : "Miguel Angel", "non-dropping-particle" : "", "parse-names" : false, "suffix" : "" }, { "dropping-particle" : "V", "family" : "Ananth", "given" : "Cande", "non-dropping-particle" : "", "parse-names" : false, "suffix" : "" }, { "dropping-particle" : "V", "family" : "Jaddoe", "given" : "Vincent W", "non-dropping-particle" : "", "parse-names" : false, "suffix" : "" }, { "dropping-particle" : "", "family" : "Gaillard", "given" : "Romy", "non-dropping-particle" : "", "parse-names" : false, "suffix" : "" }, { "dropping-particle" : "", "family" : "Albert", "given" : "Paul S", "non-dropping-particle" : "", "parse-names" : false, "suffix" : "" }, { "dropping-particle" : "", "family" : "Schomaker", "given" : "Michael", "non-dropping-particle" : "", "parse-names" : false, "suffix" : "" }, { "dropping-particle" : "", "family" : "McElduff", "given" : "Patrick", "non-dropping-particle" : "", "parse-names" : false, "suffix" : "" }, { "dropping-particle" : "", "family" : "Enquobahrie", "given" : "Daniel A", "non-dropping-particle" : "", "parse-names" : false, "suffix" : "" }, { "dropping-particle" : "", "family" : "Gelaye", "given" : "Bizu", "non-dropping-particle" : "", "parse-names" : false, "suffix" : "" }, { "dropping-particle" : "", "family" : "Williams", "given" : "Michelle A", "non-dropping-particle" : "", "parse-names" : false, "suffix" : "" } ], "container-title" : "European journal of epidemiology", "id" : "ITEM-1", "issue" : "4", "issued" : { "date-parts" : [ [ "2015", "4", "29" ] ] }, "page" : "331-41", "title" : "Is the fetoplacental ratio a differential marker of fetal growth restriction in small for gestational age infants?", "type" : "article-journal", "volume" : "30" }, "uris" : [ "http://www.mendeley.com/documents/?uuid=3c447e6b-9e54-38aa-9e8a-f2b0915387e2" ] } ], "mendeley" : { "formattedCitation" : "[3]", "plainTextFormattedCitation" : "[3]", "previouslyFormattedCitation" : "[3]" }, "properties" : { "noteIndex" : 0 }, "schema" : "https://github.com/citation-style-language/schema/raw/master/csl-citation.json" }</w:instrText>
      </w:r>
      <w:r w:rsidR="00183B4C" w:rsidRPr="004B61EA">
        <w:rPr>
          <w:rFonts w:ascii="Arial" w:hAnsi="Arial" w:cs="Arial"/>
          <w:sz w:val="24"/>
          <w:szCs w:val="24"/>
          <w:lang w:val="en-US"/>
        </w:rPr>
        <w:fldChar w:fldCharType="separate"/>
      </w:r>
      <w:r w:rsidR="004E1D60" w:rsidRPr="004B61EA">
        <w:rPr>
          <w:rFonts w:ascii="Arial" w:hAnsi="Arial" w:cs="Arial"/>
          <w:noProof/>
          <w:sz w:val="24"/>
          <w:szCs w:val="24"/>
          <w:lang w:val="en-US"/>
        </w:rPr>
        <w:t>[3]</w:t>
      </w:r>
      <w:r w:rsidR="00183B4C" w:rsidRPr="004B61EA">
        <w:rPr>
          <w:rFonts w:ascii="Arial" w:hAnsi="Arial" w:cs="Arial"/>
          <w:sz w:val="24"/>
          <w:szCs w:val="24"/>
          <w:lang w:val="en-US"/>
        </w:rPr>
        <w:fldChar w:fldCharType="end"/>
      </w:r>
      <w:r w:rsidR="00183B4C" w:rsidRPr="004B61EA">
        <w:rPr>
          <w:rFonts w:ascii="Arial" w:hAnsi="Arial" w:cs="Arial"/>
          <w:sz w:val="24"/>
          <w:szCs w:val="24"/>
          <w:lang w:val="en-US"/>
        </w:rPr>
        <w:t xml:space="preserve">. </w:t>
      </w:r>
    </w:p>
    <w:p w14:paraId="4EBBDB48" w14:textId="14CC28CC" w:rsidR="00F47A14" w:rsidRPr="004B61EA" w:rsidRDefault="000570AE" w:rsidP="001C138F">
      <w:pPr>
        <w:pStyle w:val="NoSpacing"/>
        <w:spacing w:line="480" w:lineRule="auto"/>
        <w:rPr>
          <w:rFonts w:ascii="Arial" w:hAnsi="Arial" w:cs="Arial"/>
          <w:sz w:val="24"/>
          <w:szCs w:val="24"/>
          <w:lang w:val="en-US"/>
        </w:rPr>
      </w:pPr>
      <w:r w:rsidRPr="004B61EA">
        <w:rPr>
          <w:rFonts w:ascii="Arial" w:hAnsi="Arial" w:cs="Arial"/>
          <w:sz w:val="24"/>
          <w:szCs w:val="24"/>
          <w:lang w:val="en-US"/>
        </w:rPr>
        <w:t>It</w:t>
      </w:r>
      <w:r w:rsidR="00F95777" w:rsidRPr="004B61EA">
        <w:rPr>
          <w:rFonts w:ascii="Arial" w:hAnsi="Arial" w:cs="Arial"/>
          <w:sz w:val="24"/>
          <w:szCs w:val="24"/>
          <w:lang w:val="en-US"/>
        </w:rPr>
        <w:t xml:space="preserve"> is known that </w:t>
      </w:r>
      <w:r w:rsidRPr="004B61EA">
        <w:rPr>
          <w:rFonts w:ascii="Arial" w:hAnsi="Arial" w:cs="Arial"/>
          <w:sz w:val="24"/>
          <w:szCs w:val="24"/>
          <w:lang w:val="en-US"/>
        </w:rPr>
        <w:t xml:space="preserve">fetal growth restriction (FGR), a condition in which the fetus fails to achieve its genetic growth potential, </w:t>
      </w:r>
      <w:r w:rsidR="00F95777" w:rsidRPr="004B61EA">
        <w:rPr>
          <w:rFonts w:ascii="Arial" w:hAnsi="Arial" w:cs="Arial"/>
          <w:sz w:val="24"/>
          <w:szCs w:val="24"/>
          <w:lang w:val="en-US"/>
        </w:rPr>
        <w:t>is associated with placental dysfunction</w:t>
      </w:r>
      <w:r w:rsidR="00E20097" w:rsidRPr="004B61EA">
        <w:rPr>
          <w:rFonts w:ascii="Arial" w:hAnsi="Arial" w:cs="Arial"/>
          <w:sz w:val="24"/>
          <w:szCs w:val="24"/>
          <w:lang w:val="en-US"/>
        </w:rPr>
        <w:t xml:space="preserve">. </w:t>
      </w:r>
      <w:r w:rsidR="00F47A14" w:rsidRPr="004B61EA">
        <w:rPr>
          <w:rFonts w:ascii="Arial" w:hAnsi="Arial" w:cs="Arial"/>
          <w:sz w:val="24"/>
          <w:szCs w:val="24"/>
          <w:lang w:val="en-US"/>
        </w:rPr>
        <w:t>The placenta in FGR may exhibit altered</w:t>
      </w:r>
      <w:r w:rsidR="00F95777" w:rsidRPr="004B61EA">
        <w:rPr>
          <w:rFonts w:ascii="Arial" w:hAnsi="Arial" w:cs="Arial"/>
          <w:sz w:val="24"/>
          <w:szCs w:val="24"/>
          <w:lang w:val="en-US"/>
        </w:rPr>
        <w:t xml:space="preserve"> nutrient transfer capacity to compensate for </w:t>
      </w:r>
      <w:r w:rsidR="00F47A14" w:rsidRPr="004B61EA">
        <w:rPr>
          <w:rFonts w:ascii="Arial" w:hAnsi="Arial" w:cs="Arial"/>
          <w:sz w:val="24"/>
          <w:szCs w:val="24"/>
          <w:lang w:val="en-US"/>
        </w:rPr>
        <w:t>sub-</w:t>
      </w:r>
      <w:r w:rsidR="00E20097" w:rsidRPr="004B61EA">
        <w:rPr>
          <w:rFonts w:ascii="Arial" w:hAnsi="Arial" w:cs="Arial"/>
          <w:sz w:val="24"/>
          <w:szCs w:val="24"/>
          <w:lang w:val="en-US"/>
        </w:rPr>
        <w:t>optimal function</w:t>
      </w:r>
      <w:r w:rsidR="00435F21" w:rsidRPr="004B61EA">
        <w:rPr>
          <w:rFonts w:ascii="Arial" w:hAnsi="Arial" w:cs="Arial"/>
          <w:sz w:val="24"/>
          <w:szCs w:val="24"/>
          <w:lang w:val="en-US"/>
        </w:rPr>
        <w:t xml:space="preserve"> </w:t>
      </w:r>
      <w:r w:rsidR="00435F21" w:rsidRPr="004B61EA">
        <w:rPr>
          <w:rFonts w:ascii="Arial" w:hAnsi="Arial" w:cs="Arial"/>
          <w:sz w:val="24"/>
          <w:szCs w:val="24"/>
          <w:lang w:val="en-US"/>
        </w:rPr>
        <w:fldChar w:fldCharType="begin" w:fldLock="1"/>
      </w:r>
      <w:r w:rsidR="004E1D60" w:rsidRPr="004B61EA">
        <w:rPr>
          <w:rFonts w:ascii="Arial" w:hAnsi="Arial" w:cs="Arial"/>
          <w:sz w:val="24"/>
          <w:szCs w:val="24"/>
          <w:lang w:val="en-US"/>
        </w:rPr>
        <w:instrText>ADDIN CSL_CITATION { "citationItems" : [ { "id" : "ITEM-1", "itemData" : { "DOI" : "10.1203/00006450-199710000-00016", "ISSN" : "0031-3998", "author" : [ { "dropping-particle" : "", "family" : "Glazier", "given" : "Jocelyn D", "non-dropping-particle" : "", "parse-names" : false, "suffix" : "" }, { "dropping-particle" : "", "family" : "Cetin", "given" : "Irene", "non-dropping-particle" : "", "parse-names" : false, "suffix" : "" }, { "dropping-particle" : "", "family" : "Perugino", "given" : "Giuseppe", "non-dropping-particle" : "", "parse-names" : false, "suffix" : "" }, { "dropping-particle" : "", "family" : "Ronzoni", "given" : "Stefania", "non-dropping-particle" : "", "parse-names" : false, "suffix" : "" }, { "dropping-particle" : "", "family" : "Grey", "given" : "Anne Marie", "non-dropping-particle" : "", "parse-names" : false, "suffix" : "" }, { "dropping-particle" : "", "family" : "Mahendran", "given" : "Dhushyanthan", "non-dropping-particle" : "", "parse-names" : false, "suffix" : "" }, { "dropping-particle" : "", "family" : "Marconi", "given" : "Anna Maria", "non-dropping-particle" : "", "parse-names" : false, "suffix" : "" }, { "dropping-particle" : "", "family" : "Pardi", "given" : "Giorgio", "non-dropping-particle" : "", "parse-names" : false, "suffix" : "" }, { "dropping-particle" : "", "family" : "Sibley", "given" : "Colin P", "non-dropping-particle" : "", "parse-names" : false, "suffix" : "" } ], "container-title" : "Pediatric Research", "id" : "ITEM-1", "issue" : "4", "issued" : { "date-parts" : [ [ "1997", "10" ] ] }, "page" : "514-519", "publisher" : "Nature Publishing Group", "title" : "Association between the Activity of the System A Amino Acid Transporter in the Microvillous Plasma Membrane of the Human Placenta and Severity of Fetal Compromise in Intrauterine Growth Restriction", "type" : "article-journal", "volume" : "42" }, "uris" : [ "http://www.mendeley.com/documents/?uuid=b7458c40-9dcc-3de9-9b4d-c1f6c20dbe39" ] } ], "mendeley" : { "formattedCitation" : "[4]", "plainTextFormattedCitation" : "[4]", "previouslyFormattedCitation" : "[4]" }, "properties" : { "noteIndex" : 0 }, "schema" : "https://github.com/citation-style-language/schema/raw/master/csl-citation.json" }</w:instrText>
      </w:r>
      <w:r w:rsidR="00435F21" w:rsidRPr="004B61EA">
        <w:rPr>
          <w:rFonts w:ascii="Arial" w:hAnsi="Arial" w:cs="Arial"/>
          <w:sz w:val="24"/>
          <w:szCs w:val="24"/>
          <w:lang w:val="en-US"/>
        </w:rPr>
        <w:fldChar w:fldCharType="separate"/>
      </w:r>
      <w:r w:rsidR="004E1D60" w:rsidRPr="004B61EA">
        <w:rPr>
          <w:rFonts w:ascii="Arial" w:hAnsi="Arial" w:cs="Arial"/>
          <w:noProof/>
          <w:sz w:val="24"/>
          <w:szCs w:val="24"/>
          <w:lang w:val="en-US"/>
        </w:rPr>
        <w:t>[4]</w:t>
      </w:r>
      <w:r w:rsidR="00435F21" w:rsidRPr="004B61EA">
        <w:rPr>
          <w:rFonts w:ascii="Arial" w:hAnsi="Arial" w:cs="Arial"/>
          <w:sz w:val="24"/>
          <w:szCs w:val="24"/>
          <w:lang w:val="en-US"/>
        </w:rPr>
        <w:fldChar w:fldCharType="end"/>
      </w:r>
      <w:r w:rsidR="00F95777" w:rsidRPr="004B61EA">
        <w:rPr>
          <w:rFonts w:ascii="Arial" w:hAnsi="Arial" w:cs="Arial"/>
          <w:sz w:val="24"/>
          <w:szCs w:val="24"/>
          <w:lang w:val="en-US"/>
        </w:rPr>
        <w:t xml:space="preserve">. </w:t>
      </w:r>
      <w:r w:rsidR="004D35F7" w:rsidRPr="004B61EA">
        <w:rPr>
          <w:rFonts w:ascii="Arial" w:hAnsi="Arial" w:cs="Arial"/>
          <w:sz w:val="24"/>
          <w:szCs w:val="24"/>
          <w:lang w:val="en-US"/>
        </w:rPr>
        <w:t xml:space="preserve">In current </w:t>
      </w:r>
      <w:r w:rsidR="00C27EFE" w:rsidRPr="004B61EA">
        <w:rPr>
          <w:rFonts w:ascii="Arial" w:hAnsi="Arial" w:cs="Arial"/>
          <w:sz w:val="24"/>
          <w:szCs w:val="24"/>
          <w:lang w:val="en-US"/>
        </w:rPr>
        <w:t>clinical practice</w:t>
      </w:r>
      <w:r w:rsidR="004D35F7" w:rsidRPr="004B61EA">
        <w:rPr>
          <w:rFonts w:ascii="Arial" w:hAnsi="Arial" w:cs="Arial"/>
          <w:sz w:val="24"/>
          <w:szCs w:val="24"/>
          <w:lang w:val="en-US"/>
        </w:rPr>
        <w:t>, fetuses with a birth weight below the 10</w:t>
      </w:r>
      <w:r w:rsidR="004D35F7" w:rsidRPr="004B61EA">
        <w:rPr>
          <w:rFonts w:ascii="Arial" w:hAnsi="Arial" w:cs="Arial"/>
          <w:sz w:val="24"/>
          <w:szCs w:val="24"/>
          <w:vertAlign w:val="superscript"/>
          <w:lang w:val="en-US"/>
        </w:rPr>
        <w:t>th</w:t>
      </w:r>
      <w:r w:rsidR="004D35F7" w:rsidRPr="004B61EA">
        <w:rPr>
          <w:rFonts w:ascii="Arial" w:hAnsi="Arial" w:cs="Arial"/>
          <w:sz w:val="24"/>
          <w:szCs w:val="24"/>
          <w:lang w:val="en-US"/>
        </w:rPr>
        <w:t xml:space="preserve"> centile are either constitutionally small (SGA) or growth restricted</w:t>
      </w:r>
      <w:r w:rsidR="00183B4C" w:rsidRPr="004B61EA">
        <w:rPr>
          <w:rFonts w:ascii="Arial" w:hAnsi="Arial" w:cs="Arial"/>
          <w:sz w:val="24"/>
          <w:szCs w:val="24"/>
          <w:lang w:val="en-US"/>
        </w:rPr>
        <w:t xml:space="preserve">. </w:t>
      </w:r>
      <w:r w:rsidRPr="004B61EA">
        <w:rPr>
          <w:rFonts w:ascii="Arial" w:hAnsi="Arial" w:cs="Arial"/>
          <w:sz w:val="24"/>
          <w:szCs w:val="24"/>
          <w:lang w:val="en-US"/>
        </w:rPr>
        <w:t>However, fetuses with an estimated fetal weight (EFW) or birth weight above the 10</w:t>
      </w:r>
      <w:r w:rsidRPr="004B61EA">
        <w:rPr>
          <w:rFonts w:ascii="Arial" w:hAnsi="Arial" w:cs="Arial"/>
          <w:sz w:val="24"/>
          <w:szCs w:val="24"/>
          <w:vertAlign w:val="superscript"/>
          <w:lang w:val="en-US"/>
        </w:rPr>
        <w:t>th</w:t>
      </w:r>
      <w:r w:rsidRPr="004B61EA">
        <w:rPr>
          <w:rFonts w:ascii="Arial" w:hAnsi="Arial" w:cs="Arial"/>
          <w:sz w:val="24"/>
          <w:szCs w:val="24"/>
          <w:lang w:val="en-US"/>
        </w:rPr>
        <w:t xml:space="preserve"> centile can also be growth restricted due to insufficient nutrient supply, despite</w:t>
      </w:r>
      <w:r w:rsidR="005978A7" w:rsidRPr="004B61EA">
        <w:rPr>
          <w:rFonts w:ascii="Arial" w:hAnsi="Arial" w:cs="Arial"/>
          <w:sz w:val="24"/>
          <w:szCs w:val="24"/>
          <w:lang w:val="en-US"/>
        </w:rPr>
        <w:t xml:space="preserve"> </w:t>
      </w:r>
      <w:r w:rsidRPr="004B61EA">
        <w:rPr>
          <w:rFonts w:ascii="Arial" w:hAnsi="Arial" w:cs="Arial"/>
          <w:sz w:val="24"/>
          <w:szCs w:val="24"/>
          <w:lang w:val="en-US"/>
        </w:rPr>
        <w:t xml:space="preserve">their weight being </w:t>
      </w:r>
      <w:r w:rsidR="00F47A14" w:rsidRPr="004B61EA">
        <w:rPr>
          <w:rFonts w:ascii="Arial" w:hAnsi="Arial" w:cs="Arial"/>
          <w:sz w:val="24"/>
          <w:szCs w:val="24"/>
          <w:lang w:val="en-US"/>
        </w:rPr>
        <w:t>above the 10</w:t>
      </w:r>
      <w:r w:rsidR="00F47A14" w:rsidRPr="004B61EA">
        <w:rPr>
          <w:rFonts w:ascii="Arial" w:hAnsi="Arial" w:cs="Arial"/>
          <w:sz w:val="24"/>
          <w:szCs w:val="24"/>
          <w:vertAlign w:val="superscript"/>
          <w:lang w:val="en-US"/>
        </w:rPr>
        <w:t>th</w:t>
      </w:r>
      <w:r w:rsidR="00F47A14" w:rsidRPr="004B61EA">
        <w:rPr>
          <w:rFonts w:ascii="Arial" w:hAnsi="Arial" w:cs="Arial"/>
          <w:sz w:val="24"/>
          <w:szCs w:val="24"/>
          <w:lang w:val="en-US"/>
        </w:rPr>
        <w:t xml:space="preserve"> percentile</w:t>
      </w:r>
      <w:r w:rsidRPr="004B61EA">
        <w:rPr>
          <w:rFonts w:ascii="Arial" w:hAnsi="Arial" w:cs="Arial"/>
          <w:sz w:val="24"/>
          <w:szCs w:val="24"/>
          <w:lang w:val="en-US"/>
        </w:rPr>
        <w:t xml:space="preserve">. </w:t>
      </w:r>
      <w:r w:rsidR="00C27EFE" w:rsidRPr="004B61EA">
        <w:rPr>
          <w:rFonts w:ascii="Arial" w:hAnsi="Arial" w:cs="Arial"/>
          <w:sz w:val="24"/>
          <w:szCs w:val="24"/>
          <w:lang w:val="en-US"/>
        </w:rPr>
        <w:t>C</w:t>
      </w:r>
      <w:r w:rsidR="00F47A14" w:rsidRPr="004B61EA">
        <w:rPr>
          <w:rFonts w:ascii="Arial" w:hAnsi="Arial" w:cs="Arial"/>
          <w:sz w:val="24"/>
          <w:szCs w:val="24"/>
          <w:lang w:val="en-US"/>
        </w:rPr>
        <w:t>orrect c</w:t>
      </w:r>
      <w:r w:rsidR="00C27EFE" w:rsidRPr="004B61EA">
        <w:rPr>
          <w:rFonts w:ascii="Arial" w:hAnsi="Arial" w:cs="Arial"/>
          <w:sz w:val="24"/>
          <w:szCs w:val="24"/>
          <w:lang w:val="en-US"/>
        </w:rPr>
        <w:t xml:space="preserve">lassification of </w:t>
      </w:r>
      <w:r w:rsidR="00F47A14" w:rsidRPr="004B61EA">
        <w:rPr>
          <w:rFonts w:ascii="Arial" w:hAnsi="Arial" w:cs="Arial"/>
          <w:sz w:val="24"/>
          <w:szCs w:val="24"/>
          <w:lang w:val="en-US"/>
        </w:rPr>
        <w:t xml:space="preserve">these </w:t>
      </w:r>
      <w:r w:rsidR="00C27EFE" w:rsidRPr="004B61EA">
        <w:rPr>
          <w:rFonts w:ascii="Arial" w:hAnsi="Arial" w:cs="Arial"/>
          <w:sz w:val="24"/>
          <w:szCs w:val="24"/>
          <w:lang w:val="en-US"/>
        </w:rPr>
        <w:t>fetuses as</w:t>
      </w:r>
      <w:r w:rsidR="00F95777" w:rsidRPr="004B61EA">
        <w:rPr>
          <w:rFonts w:ascii="Arial" w:hAnsi="Arial" w:cs="Arial"/>
          <w:sz w:val="24"/>
          <w:szCs w:val="24"/>
          <w:lang w:val="en-US"/>
        </w:rPr>
        <w:t xml:space="preserve"> FGR</w:t>
      </w:r>
      <w:r w:rsidR="00F47A14" w:rsidRPr="004B61EA">
        <w:rPr>
          <w:rFonts w:ascii="Arial" w:hAnsi="Arial" w:cs="Arial"/>
          <w:sz w:val="24"/>
          <w:szCs w:val="24"/>
          <w:lang w:val="en-US"/>
        </w:rPr>
        <w:t xml:space="preserve"> </w:t>
      </w:r>
      <w:r w:rsidR="00E20097" w:rsidRPr="004B61EA">
        <w:rPr>
          <w:rFonts w:ascii="Arial" w:hAnsi="Arial" w:cs="Arial"/>
          <w:sz w:val="24"/>
          <w:szCs w:val="24"/>
          <w:lang w:val="en-US"/>
        </w:rPr>
        <w:t>is a major challeng</w:t>
      </w:r>
      <w:r w:rsidR="004D63EE" w:rsidRPr="004B61EA">
        <w:rPr>
          <w:rFonts w:ascii="Arial" w:hAnsi="Arial" w:cs="Arial"/>
          <w:sz w:val="24"/>
          <w:szCs w:val="24"/>
          <w:lang w:val="en-US"/>
        </w:rPr>
        <w:t xml:space="preserve">e </w:t>
      </w:r>
      <w:r w:rsidR="00F47A14" w:rsidRPr="004B61EA">
        <w:rPr>
          <w:rFonts w:ascii="Arial" w:hAnsi="Arial" w:cs="Arial"/>
          <w:sz w:val="24"/>
          <w:szCs w:val="24"/>
          <w:lang w:val="en-US"/>
        </w:rPr>
        <w:t xml:space="preserve">but </w:t>
      </w:r>
      <w:r w:rsidR="004D63EE" w:rsidRPr="004B61EA">
        <w:rPr>
          <w:rFonts w:ascii="Arial" w:hAnsi="Arial" w:cs="Arial"/>
          <w:sz w:val="24"/>
          <w:szCs w:val="24"/>
          <w:lang w:val="en-US"/>
        </w:rPr>
        <w:t>it is of</w:t>
      </w:r>
      <w:r w:rsidR="004D35F7" w:rsidRPr="004B61EA">
        <w:rPr>
          <w:rFonts w:ascii="Arial" w:hAnsi="Arial" w:cs="Arial"/>
          <w:sz w:val="24"/>
          <w:szCs w:val="24"/>
          <w:lang w:val="en-US"/>
        </w:rPr>
        <w:t xml:space="preserve"> great importance</w:t>
      </w:r>
      <w:r w:rsidR="00F47A14" w:rsidRPr="004B61EA">
        <w:rPr>
          <w:rFonts w:ascii="Arial" w:hAnsi="Arial" w:cs="Arial"/>
          <w:sz w:val="24"/>
          <w:szCs w:val="24"/>
          <w:lang w:val="en-US"/>
        </w:rPr>
        <w:t xml:space="preserve"> as this</w:t>
      </w:r>
      <w:r w:rsidR="004D35F7" w:rsidRPr="004B61EA">
        <w:rPr>
          <w:rFonts w:ascii="Arial" w:hAnsi="Arial" w:cs="Arial"/>
          <w:sz w:val="24"/>
          <w:szCs w:val="24"/>
          <w:lang w:val="en-US"/>
        </w:rPr>
        <w:t xml:space="preserve"> ‘hidden’ FGR </w:t>
      </w:r>
      <w:r w:rsidR="00F47A14" w:rsidRPr="004B61EA">
        <w:rPr>
          <w:rFonts w:ascii="Arial" w:hAnsi="Arial" w:cs="Arial"/>
          <w:sz w:val="24"/>
          <w:szCs w:val="24"/>
          <w:lang w:val="en-US"/>
        </w:rPr>
        <w:t>is also associated with an</w:t>
      </w:r>
      <w:r w:rsidR="004D35F7" w:rsidRPr="004B61EA">
        <w:rPr>
          <w:rFonts w:ascii="Arial" w:hAnsi="Arial" w:cs="Arial"/>
          <w:sz w:val="24"/>
          <w:szCs w:val="24"/>
          <w:lang w:val="en-US"/>
        </w:rPr>
        <w:t xml:space="preserve"> increased risk </w:t>
      </w:r>
      <w:r w:rsidR="00F47A14" w:rsidRPr="004B61EA">
        <w:rPr>
          <w:rFonts w:ascii="Arial" w:hAnsi="Arial" w:cs="Arial"/>
          <w:sz w:val="24"/>
          <w:szCs w:val="24"/>
          <w:lang w:val="en-US"/>
        </w:rPr>
        <w:t xml:space="preserve">of </w:t>
      </w:r>
      <w:r w:rsidR="004D35F7" w:rsidRPr="004B61EA">
        <w:rPr>
          <w:rFonts w:ascii="Arial" w:hAnsi="Arial" w:cs="Arial"/>
          <w:sz w:val="24"/>
          <w:szCs w:val="24"/>
          <w:lang w:val="en-US"/>
        </w:rPr>
        <w:t xml:space="preserve">neonatal morbidity and mortality </w:t>
      </w:r>
      <w:r w:rsidR="004D35F7" w:rsidRPr="004B61EA">
        <w:rPr>
          <w:rFonts w:ascii="Arial" w:hAnsi="Arial" w:cs="Arial"/>
          <w:sz w:val="24"/>
          <w:szCs w:val="24"/>
          <w:lang w:val="en-US"/>
        </w:rPr>
        <w:fldChar w:fldCharType="begin" w:fldLock="1"/>
      </w:r>
      <w:r w:rsidR="004E1D60" w:rsidRPr="004B61EA">
        <w:rPr>
          <w:rFonts w:ascii="Arial" w:hAnsi="Arial" w:cs="Arial"/>
          <w:sz w:val="24"/>
          <w:szCs w:val="24"/>
          <w:lang w:val="en-US"/>
        </w:rPr>
        <w:instrText>ADDIN CSL_CITATION { "citationItems" : [ { "id" : "ITEM-1", "itemData" : { "DOI" : "10.1055/s-0034-1371360", "ISSN" : "1098-8785", "PMID" : "24585001", "abstract" : "OBJECTIVE To assess differences in mode of delivery and pregnancy outcome between prenatally detected and nonprenatally detected small for gestational age (SGA) neonates born at term. STUDY DESIGN We performed a retrospective multicenter cohort study. All singleton infants, born SGA in cephalic position between 36(0/7) and 41(0/7) weeks gestation, were classified as either prenatally detected SGA or nonprenatally detected SGA. With propensity score matching we created groups with comparable baseline characteristics. We compared these groups for composite adverse perinatal outcome, labor induction, and cesarean section rates. RESULTS We included 718 SGA infants, of whom 555 (77%) were not prenatally detected. Composite adverse neonatal outcome did not differ statistically significant between the matched prenatally detected and the nonprenatally detected group (5.5 vs. 7.4%, odds ratio [OR] 0.74, 95% confidence interval [CI]: 0.30-1.8). However, perinatal mortality only occurred in the nonprenatally detected group (1.8% [3/163] in the matched cohort, 1.3% [7/555] in the complete cohort). In the propensity matched prenatally detected SGA group both induction of labor (57 vs. 9%, OR 14.0, 95% CI: 7.4-26.2) and cesarean sections (20 vs. 8%, OR 2.9, 95% CI: 1.5-5.8) were more often performed compared with the nonprenatally detected SGA group. CONCLUSION Prenatal SGA detection at term allows timely induction of labor and cesarean sections thus potentially preventing stillbirth.", "author" : [ { "dropping-particle" : "", "family" : "Voskamp", "given" : "Bart Jan", "non-dropping-particle" : "", "parse-names" : false, "suffix" : "" }, { "dropping-particle" : "", "family" : "Beemsterboer", "given" : "Daphne H", "non-dropping-particle" : "", "parse-names" : false, "suffix" : "" }, { "dropping-particle" : "", "family" : "Verhoeven", "given" : "Corine J M", "non-dropping-particle" : "", "parse-names" : false, "suffix" : "" }, { "dropping-particle" : "", "family" : "Oude Rengerink", "given" : "Katrien", "non-dropping-particle" : "", "parse-names" : false, "suffix" : "" }, { "dropping-particle" : "", "family" : "Ravelli", "given" : "Anita C J", "non-dropping-particle" : "", "parse-names" : false, "suffix" : "" }, { "dropping-particle" : "", "family" : "Bakker", "given" : "Jannet J H", "non-dropping-particle" : "", "parse-names" : false, "suffix" : "" }, { "dropping-particle" : "", "family" : "Mol", "given" : "Ben Willem J", "non-dropping-particle" : "", "parse-names" : false, "suffix" : "" }, { "dropping-particle" : "", "family" : "Pajkrt", "given" : "Eva", "non-dropping-particle" : "", "parse-names" : false, "suffix" : "" } ], "container-title" : "American journal of perinatology", "id" : "ITEM-1", "issue" : "12", "issued" : { "date-parts" : [ [ "2014", "12" ] ] }, "page" : "1093-104", "title" : "Potential improvement of pregnancy outcome through prenatal small for gestational age detection. [correction].", "type" : "article-journal", "volume" : "31" }, "uris" : [ "http://www.mendeley.com/documents/?uuid=a82383ff-cd50-3d33-85cd-8a0d84c40dd2" ] } ], "mendeley" : { "formattedCitation" : "[5]", "plainTextFormattedCitation" : "[5]", "previouslyFormattedCitation" : "[5]" }, "properties" : { "noteIndex" : 0 }, "schema" : "https://github.com/citation-style-language/schema/raw/master/csl-citation.json" }</w:instrText>
      </w:r>
      <w:r w:rsidR="004D35F7" w:rsidRPr="004B61EA">
        <w:rPr>
          <w:rFonts w:ascii="Arial" w:hAnsi="Arial" w:cs="Arial"/>
          <w:sz w:val="24"/>
          <w:szCs w:val="24"/>
          <w:lang w:val="en-US"/>
        </w:rPr>
        <w:fldChar w:fldCharType="separate"/>
      </w:r>
      <w:r w:rsidR="004E1D60" w:rsidRPr="004B61EA">
        <w:rPr>
          <w:rFonts w:ascii="Arial" w:hAnsi="Arial" w:cs="Arial"/>
          <w:noProof/>
          <w:sz w:val="24"/>
          <w:szCs w:val="24"/>
          <w:lang w:val="en-US"/>
        </w:rPr>
        <w:t>[5]</w:t>
      </w:r>
      <w:r w:rsidR="004D35F7" w:rsidRPr="004B61EA">
        <w:rPr>
          <w:rFonts w:ascii="Arial" w:hAnsi="Arial" w:cs="Arial"/>
          <w:sz w:val="24"/>
          <w:szCs w:val="24"/>
          <w:lang w:val="en-US"/>
        </w:rPr>
        <w:fldChar w:fldCharType="end"/>
      </w:r>
      <w:r w:rsidR="004D35F7" w:rsidRPr="004B61EA">
        <w:rPr>
          <w:rFonts w:ascii="Arial" w:hAnsi="Arial" w:cs="Arial"/>
          <w:sz w:val="24"/>
          <w:szCs w:val="24"/>
          <w:lang w:val="en-US"/>
        </w:rPr>
        <w:t>.</w:t>
      </w:r>
    </w:p>
    <w:p w14:paraId="0EC3D5DF" w14:textId="39A50309" w:rsidR="00D74FAD" w:rsidRPr="004B61EA" w:rsidRDefault="00D24512" w:rsidP="001C138F">
      <w:pPr>
        <w:spacing w:after="0" w:line="480" w:lineRule="auto"/>
        <w:rPr>
          <w:rFonts w:ascii="Arial" w:hAnsi="Arial" w:cs="Arial"/>
          <w:sz w:val="24"/>
          <w:szCs w:val="24"/>
          <w:lang w:val="en-US"/>
        </w:rPr>
      </w:pPr>
      <w:r w:rsidRPr="004B61EA">
        <w:rPr>
          <w:rFonts w:ascii="Arial" w:hAnsi="Arial" w:cs="Arial"/>
          <w:sz w:val="24"/>
          <w:szCs w:val="24"/>
          <w:lang w:val="en-US"/>
        </w:rPr>
        <w:t xml:space="preserve">In this study we </w:t>
      </w:r>
      <w:r w:rsidR="00C27EFE" w:rsidRPr="004B61EA">
        <w:rPr>
          <w:rFonts w:ascii="Arial" w:hAnsi="Arial" w:cs="Arial"/>
          <w:sz w:val="24"/>
          <w:szCs w:val="24"/>
          <w:lang w:val="en-US"/>
        </w:rPr>
        <w:t xml:space="preserve">set out </w:t>
      </w:r>
      <w:r w:rsidRPr="004B61EA">
        <w:rPr>
          <w:rFonts w:ascii="Arial" w:hAnsi="Arial" w:cs="Arial"/>
          <w:sz w:val="24"/>
          <w:szCs w:val="24"/>
          <w:lang w:val="en-US"/>
        </w:rPr>
        <w:t xml:space="preserve">to investigate the relationship between both </w:t>
      </w:r>
      <w:r w:rsidR="00691DB3" w:rsidRPr="004B61EA">
        <w:rPr>
          <w:rFonts w:ascii="Arial" w:hAnsi="Arial" w:cs="Arial"/>
          <w:sz w:val="24"/>
          <w:szCs w:val="24"/>
          <w:lang w:val="en-US"/>
        </w:rPr>
        <w:t xml:space="preserve">a </w:t>
      </w:r>
      <w:r w:rsidRPr="004B61EA">
        <w:rPr>
          <w:rFonts w:ascii="Arial" w:hAnsi="Arial" w:cs="Arial"/>
          <w:sz w:val="24"/>
          <w:szCs w:val="24"/>
          <w:lang w:val="en-US"/>
        </w:rPr>
        <w:t>relative</w:t>
      </w:r>
      <w:r w:rsidR="00691DB3" w:rsidRPr="004B61EA">
        <w:rPr>
          <w:rFonts w:ascii="Arial" w:hAnsi="Arial" w:cs="Arial"/>
          <w:sz w:val="24"/>
          <w:szCs w:val="24"/>
          <w:lang w:val="en-US"/>
        </w:rPr>
        <w:t>ly smaller placenta and a relatively larger placenta</w:t>
      </w:r>
      <w:r w:rsidRPr="004B61EA">
        <w:rPr>
          <w:rFonts w:ascii="Arial" w:hAnsi="Arial" w:cs="Arial"/>
          <w:sz w:val="24"/>
          <w:szCs w:val="24"/>
          <w:lang w:val="en-US"/>
        </w:rPr>
        <w:t xml:space="preserve">, with ultrasonic measurements of utero-placental blood flow (indicating high resistance flow in the placenta and thus </w:t>
      </w:r>
      <w:r w:rsidRPr="004B61EA">
        <w:rPr>
          <w:rFonts w:ascii="Arial" w:hAnsi="Arial" w:cs="Arial"/>
          <w:sz w:val="24"/>
          <w:szCs w:val="24"/>
          <w:lang w:val="en-US"/>
        </w:rPr>
        <w:lastRenderedPageBreak/>
        <w:t>maternal vascular malperfusion) and neonatal and</w:t>
      </w:r>
      <w:r w:rsidR="00E20097" w:rsidRPr="004B61EA">
        <w:rPr>
          <w:rFonts w:ascii="Arial" w:hAnsi="Arial" w:cs="Arial"/>
          <w:sz w:val="24"/>
          <w:szCs w:val="24"/>
          <w:lang w:val="en-US"/>
        </w:rPr>
        <w:t xml:space="preserve"> maternal morbidity</w:t>
      </w:r>
      <w:r w:rsidRPr="004B61EA">
        <w:rPr>
          <w:rFonts w:ascii="Arial" w:hAnsi="Arial" w:cs="Arial"/>
          <w:sz w:val="24"/>
          <w:szCs w:val="24"/>
          <w:lang w:val="en-US"/>
        </w:rPr>
        <w:t xml:space="preserve"> using data from the Pregnancy Outcome Prediction study</w:t>
      </w:r>
      <w:r w:rsidR="001F3D18" w:rsidRPr="004B61EA">
        <w:rPr>
          <w:rFonts w:ascii="Arial" w:hAnsi="Arial" w:cs="Arial"/>
          <w:sz w:val="24"/>
          <w:szCs w:val="24"/>
          <w:lang w:val="en-US"/>
        </w:rPr>
        <w:t xml:space="preserve"> </w:t>
      </w:r>
      <w:r w:rsidR="001F3D18" w:rsidRPr="004B61EA">
        <w:rPr>
          <w:rFonts w:ascii="Arial" w:hAnsi="Arial" w:cs="Arial"/>
          <w:sz w:val="24"/>
          <w:szCs w:val="24"/>
          <w:lang w:val="en-US"/>
        </w:rPr>
        <w:fldChar w:fldCharType="begin" w:fldLock="1"/>
      </w:r>
      <w:r w:rsidR="004E1D60" w:rsidRPr="004B61EA">
        <w:rPr>
          <w:rFonts w:ascii="Arial" w:hAnsi="Arial" w:cs="Arial"/>
          <w:sz w:val="24"/>
          <w:szCs w:val="24"/>
          <w:lang w:val="en-US"/>
        </w:rPr>
        <w:instrText>ADDIN CSL_CITATION { "citationItems" : [ { "id" : "ITEM-1", "itemData" : { "DOI" : "10.1186/1471-2393-8-51", "ISSN" : "1471-2393", "PMID" : "19019223", "abstract" : "BACKGROUND There have been dramatic changes in the approach to screening for aneuploidy over the last 20 years. However, the approach to screening for other complications of pregnancy such as intra-uterine growth restriction, pre-eclampsia and stillbirth remains largely unchanged. Randomised controlled trials of routine application of high tech screening methods to the general population have generally failed to show improvement in outcome. We have previously reviewed this and concluded it was due, in large part, to poor performance of screening tests. Here, we report a study design where the primary aim is to generate clinically useful methods to screen women to assess their risk of adverse pregnancy outcome. METHODS/DESIGN We report the design of a prospective cohort study of unselected primiparous women recruited at the time of their first ultrasound scan. Participation involves serial phlebotomy and obstetric ultrasound at the dating ultrasound scan (typically 10-14 weeks), 20 weeks, 28 weeks and 36 weeks gestation. In addition, maternal demographic details are obtained; maternal and paternal height are measured and maternal weight is serially measured during the pregnancy; maternal, paternal and offspring DNA are collected; and, samples of placenta and membranes are collected at birth. Data will be analysed as a prospective cohort study, a case-cohort study, and a nested case-control study. DISCUSSION The study is expected to provide a resource for the identification of novel biomarkers for adverse pregnancy outcome and to evaluate the performance of biomarkers and serial ultrasonography in providing clinically useful prediction of risk.", "author" : [ { "dropping-particle" : "", "family" : "Pasupathy", "given" : "Dharmintra", "non-dropping-particle" : "", "parse-names" : false, "suffix" : "" }, { "dropping-particle" : "", "family" : "Dacey", "given" : "Alison", "non-dropping-particle" : "", "parse-names" : false, "suffix" : "" }, { "dropping-particle" : "", "family" : "Cook", "given" : "Emma", "non-dropping-particle" : "", "parse-names" : false, "suffix" : "" }, { "dropping-particle" : "", "family" : "Charnock-Jones", "given" : "D Stephen", "non-dropping-particle" : "", "parse-names" : false, "suffix" : "" }, { "dropping-particle" : "", "family" : "White", "given" : "Ian R", "non-dropping-particle" : "", "parse-names" : false, "suffix" : "" }, { "dropping-particle" : "", "family" : "Smith", "given" : "Gordon C S", "non-dropping-particle" : "", "parse-names" : false, "suffix" : "" } ], "container-title" : "BMC pregnancy and childbirth", "id" : "ITEM-1", "issued" : { "date-parts" : [ [ "2008" ] ] }, "page" : "51", "title" : "Study protocol. A prospective cohort study of unselected primiparous women: the pregnancy outcome prediction study.", "type" : "article-journal", "volume" : "8" }, "uris" : [ "http://www.mendeley.com/documents/?uuid=a27131aa-47cf-3e43-96fe-f600fd6d9e58" ] }, { "id" : "ITEM-2", "itemData" : { "DOI" : "10.1016/S0140-6736(15)00131-2", "ISSN" : "1474-547X", "PMID" : "26360240", "abstract" : "BACKGROUND Fetal growth restriction is a major determinant of adverse perinatal outcome. Screening procedures for fetal growth restriction need to identify small babies and then differentiate between those that are healthy and those that are pathologically small. We sought to determine the diagnostic effectiveness of universal ultrasonic fetal biometry in the third trimester as a screening test for small-for-gestational-age (SGA) infants, and whether the risk of morbidity associated with being small differed in the presence or absence of ultrasonic markers of fetal growth restriction. METHODS The Pregnancy Outcome Prediction (POP) study was a prospective cohort study of nulliparous women with a viable singleton pregnancy at the time of the dating ultrasound scan. Women participating had clinically indicated ultrasonography in the third trimester as per routine clinical care and these results were reported as usual (selective ultrasonography). Additionally, all participants had research ultrasonography, including fetal biometry at 28 and 36 weeks' gestational age. These results were not made available to participants or treating clinicians (universal ultrasonography). We regarded SGA as a birthweight of less than the 10th percentile for gestational age and screen positive for SGA an ultrasonographic estimated fetal weight of less than the 10th percentile for gestational age. Markers of fetal growth restriction included biometric ratios, utero-placental Doppler, and fetal growth velocity. We assessed outcomes for consenting participants who attended research scans and had a livebirth at the Rosie Hospital (Cambridge, UK) after the 28 weeks' research scan. FINDINGS Between Jan 14, 2008, and July 31, 2012, 4512 women provided written informed consent of whom 3977 (88%) were eligible for analysis. Sensitivity for detection of SGA infants was 20% (95% CI 15-24; 69 of 352 fetuses) for selective ultrasonography and 57% (51-62; 199 of 352 fetuses) for universal ultrasonography (relative sensitivity 2\u00b79, 95% CI 2\u00b74-3\u00b75, p&lt;0\u00b70001). Of the 3977 fetuses, 562 (14\u00b71%) were identified by universal ultrasonography with an estimated fetal weight of less than the 10th percentile and were at an increased risk of neonatal morbidity (relative risk [RR] 1\u00b760, 95% CI 1\u00b722-2\u00b709, p=0\u00b70012). However, estimated fetal weight of less than the 10th percentile was only associated with the risk of neonatal morbidity (pinteraction=0\u00b7005) if the fetal abdominal circumference growth veloc\u2026", "author" : [ { "dropping-particle" : "", "family" : "Sovio", "given" : "Ulla", "non-dropping-particle" : "", "parse-names" : false, "suffix" : "" }, { "dropping-particle" : "", "family" : "White", "given" : "Ian R", "non-dropping-particle" : "", "parse-names" : false, "suffix" : "" }, { "dropping-particle" : "", "family" : "Dacey", "given" : "Alison", "non-dropping-particle" : "", "parse-names" : false, "suffix" : "" }, { "dropping-particle" : "", "family" : "Pasupathy", "given" : "Dharmintra", "non-dropping-particle" : "", "parse-names" : false, "suffix" : "" }, { "dropping-particle" : "", "family" : "Smith", "given" : "Gordon C S", "non-dropping-particle" : "", "parse-names" : false, "suffix" : "" } ], "container-title" : "Lancet (London, England)", "id" : "ITEM-2", "issue" : "10008", "issued" : { "date-parts" : [ [ "2015", "11", "21" ] ] }, "page" : "2089-97", "title" : "Screening for fetal growth restriction with universal third trimester ultrasonography in nulliparous women in the Pregnancy Outcome Prediction (POP) study: a prospective cohort study.", "type" : "article-journal", "volume" : "386" }, "uris" : [ "http://www.mendeley.com/documents/?uuid=b85c438f-6e0f-36de-ae85-8cd037a6a5a9" ] }, { "id" : "ITEM-3", "itemData" : { "DOI" : "10.1016/j.placenta.2016.10.011", "ISSN" : "01434004", "abstract" : "&lt;h2&gt;Abstract&lt;/h2&gt;&lt;p&gt;Placental dysfunction is implicated in many major complications of pregnancy associated with adverse maternal and infant outcome, such as preeclampsia, fetal growth restriction and stillbirth. Yet, despite years of intensive research, screening for these complications is still largely based upon clinical grounds rather than ultrasonic and/or biochemical assessment of placental function. One of the few widely employed methods for assessment of risk, low first trimester levels of PAPP-A (Pregnancy Associated Plasma Protein A), was identified through secondary analysis of data collected to identify new methods of screening for Down's syndrome rather than as a purposeful search for screening tests for abnormal placentation. Development of improved methods for population screening requires better mechanistic understanding of the pathways leading to placentally-related complications of human pregnancy. This is in addition to a need for identification of biomarkers which reflect the underlying pathology, while predicting associated disease with high sensitivity and specificity. In this paper, we outline some of the challenges and opportunities in this area. Furthermore, we illustrate how some of these can be addressed in research studies using the example of the Pregnancy Outcome Prediction (POP) study, a prospective cohort study conducted in Cambridge, UK.&lt;/p&gt;", "author" : [ { "dropping-particle" : "", "family" : "Gaccioli", "given" : "Francesca", "non-dropping-particle" : "", "parse-names" : false, "suffix" : "" }, { "dropping-particle" : "", "family" : "Lager", "given" : "Susanne", "non-dropping-particle" : "", "parse-names" : false, "suffix" : "" }, { "dropping-particle" : "", "family" : "Sovio", "given" : "Ulla", "non-dropping-particle" : "", "parse-names" : false, "suffix" : "" }, { "dropping-particle" : "", "family" : "Charnock-Jones", "given" : "D. Stephen", "non-dropping-particle" : "", "parse-names" : false, "suffix" : "" }, { "dropping-particle" : "", "family" : "Smith", "given" : "Gordon C.S.", "non-dropping-particle" : "", "parse-names" : false, "suffix" : "" }, { "dropping-particle" : "", "family" : "Sennstrom", "given" : "M.", "non-dropping-particle" : "", "parse-names" : false, "suffix" : "" }, { "dropping-particle" : "", "family" : "Olovsson", "given" : "M.", "non-dropping-particle" : "", "parse-names" : false, "suffix" : "" }, { "dropping-particle" : "", "family" : "Brennecke", "given" : "S.P.", "non-dropping-particle" : "", "parse-names" : false, "suffix" : "" }, { "dropping-particle" : "", "family" : "Stepan", "given" : "H.", "non-dropping-particle" : "", "parse-names" : false, "suffix" : "" }, { "dropping-particle" : "", "family" : "Allegranza", "given" : "D.", "non-dropping-particle" : "", "parse-names" : false, "suffix" : "" }, { "dropping-particle" : "", "family" : "Dilba", "given" : "P.", "non-dropping-particle" : "", "parse-names" : false, "suffix" : "" }, { "dropping-particle" : "", "family" : "Schoedl", "given" : "M.", "non-dropping-particle" : "", "parse-names" : false, "suffix" : "" }, { "dropping-particle" : "", "family" : "Hund", "given" : "M.", "non-dropping-particle" : "", "parse-names" : false, "suffix" : "" }, { "dropping-particle" : "", "family" : "Verlohren", "given" : "S.", "non-dropping-particle" : "", "parse-names" : false, "suffix" : "" }, { "dropping-particle" : "", "family" : "Esplin", "given" : "M.S.", "non-dropping-particle" : "", "parse-names" : false, "suffix" : "" }, { "dropping-particle" : "", "family" : "Elovitz", "given" : "M.A.", "non-dropping-particle" : "", "parse-names" : false, "suffix" : "" }, { "dropping-particle" : "", "family" : "Foroud", "given" : "T.", "non-dropping-particle" : "", "parse-names" : false, "suffix" : "" }, { "dropping-particle" : "", "family" : "Peaceman", "given" : "A.M.", "non-dropping-particle" : "", "parse-names" : false, "suffix" : "" }, { "dropping-particle" : "", "family" : "Saade", "given" : "G.R.", "non-dropping-particle" : "", "parse-names" : false, "suffix" : "" }, { "dropping-particle" : "", "family" : "Willinger", "given" : "M.", "non-dropping-particle" : "", "parse-names" : false, "suffix" : "" }, { "dropping-particle" : "", "family" : "Reddy", "given" : "U.M.", "non-dropping-particle" : "", "parse-names" : false, "suffix" : "" }, { "dropping-particle" : "", "family" : "NuMo", "given" : "M.b.s.", "non-dropping-particle" : "", "parse-names" : false, "suffix" : "" }, { "dropping-particle" : "", "family" : "Ravaldi", "given" : "C.", "non-dropping-particle" : "", "parse-names" : false, "suffix" : "" }, { "dropping-particle" : "", "family" : "Vannacci", "given" : "A.", "non-dropping-particle" : "", "parse-names" : false, "suffix" : "" }, { "dropping-particle" : "", "family" : "Cassidy", "given" : "J.", "non-dropping-particle" : "", "parse-names" : false, "suffix" : "" }, { "dropping-particle" : "", "family" : "Cassidy", "given" : "P.", "non-dropping-particle" : "", "parse-names" : false, "suffix" : "" }, { "dropping-particle" : "", "family" : "Farquhar", "given" : "C.", "non-dropping-particle" : "", "parse-names" : false, "suffix" : "" }, { "dropping-particle" : "", "family" : "Wallace", "given" : "E.", "non-dropping-particle" : "", "parse-names" : false, "suffix" : "" }, { "dropping-particle" : "", "family" : "Siassakos", "given" : "D.", "non-dropping-particle" : "", "parse-names" : false, "suffix" : "" }, { "dropping-particle" : "", "family" : "Heazell", "given" : "A.E.", "non-dropping-particle" : "", "parse-names" : false, "suffix" : "" }, { "dropping-particle" : "", "family" : "Storey", "given" : "C.", "non-dropping-particle" : "", "parse-names" : false, "suffix" : "" }, { "dropping-particle" : "", "family" : "Sadler", "given" : "L.", "non-dropping-particle" : "", "parse-names" : false, "suffix" : "" }, { "dropping-particle" : "", "family" : "Petersen", "given" : "S.", "non-dropping-particle" : "", "parse-names" : false, "suffix" : "" }, { "dropping-particle" : "", "family" : "Froen", "given" : "J.F.", "non-dropping-particle" : "", "parse-names" : false, "suffix" : "" }, { "dropping-particle" : "", "family" : "Goldenberg", "given" : "R.L.", "non-dropping-particle" : "", "parse-names" : false, "suffix" : "" } ], "container-title" : "Placenta", "id" : "ITEM-3", "issue" : "0", "issued" : { "date-parts" : [ [ "2016", "10" ] ] }, "page" : "13-22", "publisher" : "Royal college of obstetricians and Gynaecologists", "title" : "The pregnancy outcome prediction (POP) study: Investigating the relationship between serial prenatal ultrasonography, biomarkers, placental phenotype and adverse pregnancy outcomes", "type" : "article-journal", "volume" : "374" }, "uris" : [ "http://www.mendeley.com/documents/?uuid=8268d0b6-6810-33b4-99e0-fe761d9ea282" ] } ], "mendeley" : { "formattedCitation" : "[6\u20138]", "plainTextFormattedCitation" : "[6\u20138]", "previouslyFormattedCitation" : "[6\u20138]" }, "properties" : { "noteIndex" : 0 }, "schema" : "https://github.com/citation-style-language/schema/raw/master/csl-citation.json" }</w:instrText>
      </w:r>
      <w:r w:rsidR="001F3D18" w:rsidRPr="004B61EA">
        <w:rPr>
          <w:rFonts w:ascii="Arial" w:hAnsi="Arial" w:cs="Arial"/>
          <w:sz w:val="24"/>
          <w:szCs w:val="24"/>
          <w:lang w:val="en-US"/>
        </w:rPr>
        <w:fldChar w:fldCharType="separate"/>
      </w:r>
      <w:r w:rsidR="004E1D60" w:rsidRPr="004B61EA">
        <w:rPr>
          <w:rFonts w:ascii="Arial" w:hAnsi="Arial" w:cs="Arial"/>
          <w:noProof/>
          <w:sz w:val="24"/>
          <w:szCs w:val="24"/>
          <w:lang w:val="en-US"/>
        </w:rPr>
        <w:t>[6–8]</w:t>
      </w:r>
      <w:r w:rsidR="001F3D18" w:rsidRPr="004B61EA">
        <w:rPr>
          <w:rFonts w:ascii="Arial" w:hAnsi="Arial" w:cs="Arial"/>
          <w:sz w:val="24"/>
          <w:szCs w:val="24"/>
          <w:lang w:val="en-US"/>
        </w:rPr>
        <w:fldChar w:fldCharType="end"/>
      </w:r>
      <w:r w:rsidR="001F3D18" w:rsidRPr="004B61EA">
        <w:rPr>
          <w:rFonts w:ascii="Arial" w:hAnsi="Arial" w:cs="Arial"/>
          <w:sz w:val="24"/>
          <w:szCs w:val="24"/>
          <w:lang w:val="en-US"/>
        </w:rPr>
        <w:t xml:space="preserve">. </w:t>
      </w:r>
      <w:r w:rsidRPr="004B61EA">
        <w:rPr>
          <w:rFonts w:ascii="Arial" w:hAnsi="Arial" w:cs="Arial"/>
          <w:sz w:val="24"/>
          <w:szCs w:val="24"/>
          <w:lang w:val="en-US"/>
        </w:rPr>
        <w:t>We hypothesize</w:t>
      </w:r>
      <w:r w:rsidR="00C27EFE" w:rsidRPr="004B61EA">
        <w:rPr>
          <w:rFonts w:ascii="Arial" w:hAnsi="Arial" w:cs="Arial"/>
          <w:sz w:val="24"/>
          <w:szCs w:val="24"/>
          <w:lang w:val="en-US"/>
        </w:rPr>
        <w:t>d</w:t>
      </w:r>
      <w:r w:rsidRPr="004B61EA">
        <w:rPr>
          <w:rFonts w:ascii="Arial" w:hAnsi="Arial" w:cs="Arial"/>
          <w:sz w:val="24"/>
          <w:szCs w:val="24"/>
          <w:lang w:val="en-US"/>
        </w:rPr>
        <w:t xml:space="preserve"> that failure of placental development manifested in smaller placental size, relative to </w:t>
      </w:r>
      <w:r w:rsidR="008E2D97" w:rsidRPr="004B61EA">
        <w:rPr>
          <w:rFonts w:ascii="Arial" w:hAnsi="Arial" w:cs="Arial"/>
          <w:sz w:val="24"/>
          <w:szCs w:val="24"/>
          <w:lang w:val="en-US"/>
        </w:rPr>
        <w:t>the fetus, is associated with (1</w:t>
      </w:r>
      <w:r w:rsidRPr="004B61EA">
        <w:rPr>
          <w:rFonts w:ascii="Arial" w:hAnsi="Arial" w:cs="Arial"/>
          <w:sz w:val="24"/>
          <w:szCs w:val="24"/>
          <w:lang w:val="en-US"/>
        </w:rPr>
        <w:t xml:space="preserve">) </w:t>
      </w:r>
      <w:r w:rsidR="008E2D97" w:rsidRPr="004B61EA">
        <w:rPr>
          <w:rFonts w:ascii="Arial" w:hAnsi="Arial" w:cs="Arial"/>
          <w:sz w:val="24"/>
          <w:szCs w:val="24"/>
          <w:lang w:val="en-US"/>
        </w:rPr>
        <w:t>fetal growth restriction and (2</w:t>
      </w:r>
      <w:r w:rsidRPr="004B61EA">
        <w:rPr>
          <w:rFonts w:ascii="Arial" w:hAnsi="Arial" w:cs="Arial"/>
          <w:sz w:val="24"/>
          <w:szCs w:val="24"/>
          <w:lang w:val="en-US"/>
        </w:rPr>
        <w:t>) raised umbilical artery (UmA) pulsatility index.</w:t>
      </w:r>
      <w:r w:rsidR="00F47A14" w:rsidRPr="004B61EA">
        <w:rPr>
          <w:rFonts w:ascii="Arial" w:hAnsi="Arial" w:cs="Arial"/>
          <w:sz w:val="24"/>
          <w:szCs w:val="24"/>
          <w:lang w:val="en-US"/>
        </w:rPr>
        <w:t xml:space="preserve"> </w:t>
      </w:r>
      <w:r w:rsidRPr="004B61EA">
        <w:rPr>
          <w:rFonts w:ascii="Arial" w:hAnsi="Arial" w:cs="Arial"/>
          <w:sz w:val="24"/>
          <w:szCs w:val="24"/>
          <w:lang w:val="en-US"/>
        </w:rPr>
        <w:t>In addition, we hypothesize</w:t>
      </w:r>
      <w:r w:rsidR="00C27EFE" w:rsidRPr="004B61EA">
        <w:rPr>
          <w:rFonts w:ascii="Arial" w:hAnsi="Arial" w:cs="Arial"/>
          <w:sz w:val="24"/>
          <w:szCs w:val="24"/>
          <w:lang w:val="en-US"/>
        </w:rPr>
        <w:t>d</w:t>
      </w:r>
      <w:r w:rsidRPr="004B61EA">
        <w:rPr>
          <w:rFonts w:ascii="Arial" w:hAnsi="Arial" w:cs="Arial"/>
          <w:sz w:val="24"/>
          <w:szCs w:val="24"/>
          <w:lang w:val="en-US"/>
        </w:rPr>
        <w:t xml:space="preserve"> that selective stimulati</w:t>
      </w:r>
      <w:r w:rsidR="00E20097" w:rsidRPr="004B61EA">
        <w:rPr>
          <w:rFonts w:ascii="Arial" w:hAnsi="Arial" w:cs="Arial"/>
          <w:sz w:val="24"/>
          <w:szCs w:val="24"/>
          <w:lang w:val="en-US"/>
        </w:rPr>
        <w:t>on of fetal growth compared to</w:t>
      </w:r>
      <w:r w:rsidRPr="004B61EA">
        <w:rPr>
          <w:rFonts w:ascii="Arial" w:hAnsi="Arial" w:cs="Arial"/>
          <w:sz w:val="24"/>
          <w:szCs w:val="24"/>
          <w:lang w:val="en-US"/>
        </w:rPr>
        <w:t xml:space="preserve"> placental growth leads to relative placental insufficiency and will be associated with (</w:t>
      </w:r>
      <w:r w:rsidR="008E2D97" w:rsidRPr="004B61EA">
        <w:rPr>
          <w:rFonts w:ascii="Arial" w:hAnsi="Arial" w:cs="Arial"/>
          <w:sz w:val="24"/>
          <w:szCs w:val="24"/>
          <w:lang w:val="en-US"/>
        </w:rPr>
        <w:t>i</w:t>
      </w:r>
      <w:r w:rsidRPr="004B61EA">
        <w:rPr>
          <w:rFonts w:ascii="Arial" w:hAnsi="Arial" w:cs="Arial"/>
          <w:sz w:val="24"/>
          <w:szCs w:val="24"/>
          <w:lang w:val="en-US"/>
        </w:rPr>
        <w:t>) pathological determinant</w:t>
      </w:r>
      <w:r w:rsidR="008E2D97" w:rsidRPr="004B61EA">
        <w:rPr>
          <w:rFonts w:ascii="Arial" w:hAnsi="Arial" w:cs="Arial"/>
          <w:sz w:val="24"/>
          <w:szCs w:val="24"/>
          <w:lang w:val="en-US"/>
        </w:rPr>
        <w:t>s of excessive fetal growth, (ii</w:t>
      </w:r>
      <w:r w:rsidRPr="004B61EA">
        <w:rPr>
          <w:rFonts w:ascii="Arial" w:hAnsi="Arial" w:cs="Arial"/>
          <w:sz w:val="24"/>
          <w:szCs w:val="24"/>
          <w:lang w:val="en-US"/>
        </w:rPr>
        <w:t>) an increased risk of adverse perinatal outcome, (iii) raised UmA PI.</w:t>
      </w:r>
      <w:r w:rsidR="00D74FAD" w:rsidRPr="004B61EA">
        <w:rPr>
          <w:rFonts w:ascii="Arial" w:hAnsi="Arial" w:cs="Arial"/>
          <w:sz w:val="24"/>
          <w:szCs w:val="24"/>
          <w:lang w:val="en-US"/>
        </w:rPr>
        <w:br w:type="page"/>
      </w:r>
    </w:p>
    <w:p w14:paraId="09F092AC" w14:textId="77777777" w:rsidR="00D10ECD" w:rsidRPr="004B61EA" w:rsidRDefault="00596AD2" w:rsidP="0045605B">
      <w:pPr>
        <w:pStyle w:val="NoSpacing"/>
        <w:spacing w:line="480" w:lineRule="auto"/>
        <w:outlineLvl w:val="0"/>
        <w:rPr>
          <w:rFonts w:ascii="Arial" w:hAnsi="Arial" w:cs="Arial"/>
          <w:b/>
          <w:sz w:val="24"/>
          <w:szCs w:val="24"/>
          <w:lang w:val="en-US"/>
        </w:rPr>
      </w:pPr>
      <w:r w:rsidRPr="004B61EA">
        <w:rPr>
          <w:rFonts w:ascii="Arial" w:hAnsi="Arial" w:cs="Arial"/>
          <w:b/>
          <w:sz w:val="24"/>
          <w:szCs w:val="24"/>
          <w:lang w:val="en-US"/>
        </w:rPr>
        <w:lastRenderedPageBreak/>
        <w:t>Methods</w:t>
      </w:r>
    </w:p>
    <w:p w14:paraId="6D378EF9" w14:textId="77777777" w:rsidR="00596AD2" w:rsidRPr="004B61EA" w:rsidRDefault="00A4748D" w:rsidP="0045605B">
      <w:pPr>
        <w:pStyle w:val="NoSpacing"/>
        <w:spacing w:line="480" w:lineRule="auto"/>
        <w:outlineLvl w:val="0"/>
        <w:rPr>
          <w:rFonts w:ascii="Arial" w:hAnsi="Arial" w:cs="Arial"/>
          <w:i/>
          <w:sz w:val="24"/>
          <w:szCs w:val="24"/>
          <w:lang w:val="en-US"/>
        </w:rPr>
      </w:pPr>
      <w:r w:rsidRPr="004B61EA">
        <w:rPr>
          <w:rFonts w:ascii="Arial" w:hAnsi="Arial" w:cs="Arial"/>
          <w:i/>
          <w:sz w:val="24"/>
          <w:szCs w:val="24"/>
          <w:lang w:val="en-US"/>
        </w:rPr>
        <w:t>Ethical approval</w:t>
      </w:r>
    </w:p>
    <w:p w14:paraId="0774D308" w14:textId="77777777" w:rsidR="00EE4F9D" w:rsidRPr="004B61EA" w:rsidRDefault="00EE4F9D" w:rsidP="008840E6">
      <w:pPr>
        <w:pStyle w:val="NoSpacing"/>
        <w:spacing w:line="480" w:lineRule="auto"/>
        <w:rPr>
          <w:rFonts w:ascii="Arial" w:hAnsi="Arial" w:cs="Arial"/>
          <w:sz w:val="24"/>
          <w:szCs w:val="24"/>
          <w:lang w:val="en-US"/>
        </w:rPr>
      </w:pPr>
      <w:r w:rsidRPr="004B61EA">
        <w:rPr>
          <w:rFonts w:ascii="Arial" w:hAnsi="Arial" w:cs="Arial"/>
          <w:sz w:val="24"/>
          <w:szCs w:val="24"/>
          <w:lang w:val="en-US"/>
        </w:rPr>
        <w:t>Ethical approval for the study was obtained by the Cambridgeshire 2 Research Ethics Committee (reference number 07/H0308/163). All participants gave written informed consent.</w:t>
      </w:r>
    </w:p>
    <w:p w14:paraId="27D09507" w14:textId="77777777" w:rsidR="00EE4F9D" w:rsidRPr="004B61EA" w:rsidRDefault="00EE4F9D" w:rsidP="008840E6">
      <w:pPr>
        <w:pStyle w:val="NoSpacing"/>
        <w:spacing w:line="480" w:lineRule="auto"/>
        <w:rPr>
          <w:rFonts w:ascii="Arial" w:hAnsi="Arial" w:cs="Arial"/>
          <w:i/>
          <w:sz w:val="24"/>
          <w:szCs w:val="24"/>
          <w:lang w:val="en-US"/>
        </w:rPr>
      </w:pPr>
    </w:p>
    <w:p w14:paraId="07F1ED16" w14:textId="77777777" w:rsidR="00EE4F9D" w:rsidRPr="004B61EA" w:rsidRDefault="00EE4F9D" w:rsidP="0045605B">
      <w:pPr>
        <w:pStyle w:val="NoSpacing"/>
        <w:spacing w:line="480" w:lineRule="auto"/>
        <w:outlineLvl w:val="0"/>
        <w:rPr>
          <w:rFonts w:ascii="Arial" w:hAnsi="Arial" w:cs="Arial"/>
          <w:sz w:val="24"/>
          <w:szCs w:val="24"/>
          <w:lang w:val="en-US"/>
        </w:rPr>
      </w:pPr>
      <w:r w:rsidRPr="004B61EA">
        <w:rPr>
          <w:rFonts w:ascii="Arial" w:hAnsi="Arial" w:cs="Arial"/>
          <w:i/>
          <w:sz w:val="24"/>
          <w:szCs w:val="24"/>
          <w:lang w:val="en-US"/>
        </w:rPr>
        <w:t>Study design</w:t>
      </w:r>
    </w:p>
    <w:p w14:paraId="672119AA" w14:textId="1D343F29" w:rsidR="00EE4F9D" w:rsidRPr="004B61EA" w:rsidRDefault="00FB0272" w:rsidP="008840E6">
      <w:pPr>
        <w:pStyle w:val="NoSpacing"/>
        <w:spacing w:line="480" w:lineRule="auto"/>
        <w:rPr>
          <w:rFonts w:ascii="Arial" w:hAnsi="Arial" w:cs="Arial"/>
          <w:sz w:val="24"/>
          <w:szCs w:val="24"/>
          <w:lang w:val="en-US"/>
        </w:rPr>
      </w:pPr>
      <w:r w:rsidRPr="004B61EA">
        <w:rPr>
          <w:rFonts w:ascii="Arial" w:hAnsi="Arial" w:cs="Arial"/>
          <w:sz w:val="24"/>
          <w:szCs w:val="24"/>
          <w:lang w:val="en-US"/>
        </w:rPr>
        <w:t>The Pregnancy Outcome Prediction (POP) study was conducted at the Rosie Hospital, Cambridge (UK) and has been previously described in detai</w:t>
      </w:r>
      <w:r w:rsidR="00540738" w:rsidRPr="004B61EA">
        <w:rPr>
          <w:rFonts w:ascii="Arial" w:hAnsi="Arial" w:cs="Arial"/>
          <w:sz w:val="24"/>
          <w:szCs w:val="24"/>
          <w:lang w:val="en-US"/>
        </w:rPr>
        <w:t>l</w:t>
      </w:r>
      <w:r w:rsidR="002E4B1E" w:rsidRPr="004B61EA">
        <w:rPr>
          <w:rFonts w:ascii="Arial" w:hAnsi="Arial" w:cs="Arial"/>
          <w:sz w:val="24"/>
          <w:szCs w:val="24"/>
          <w:lang w:val="en-US"/>
        </w:rPr>
        <w:t xml:space="preserve"> </w:t>
      </w:r>
      <w:r w:rsidR="00A5195E" w:rsidRPr="004B61EA">
        <w:rPr>
          <w:rFonts w:ascii="Arial" w:hAnsi="Arial" w:cs="Arial"/>
          <w:sz w:val="24"/>
          <w:szCs w:val="24"/>
          <w:lang w:val="en-US"/>
        </w:rPr>
        <w:fldChar w:fldCharType="begin" w:fldLock="1"/>
      </w:r>
      <w:r w:rsidR="004E1D60" w:rsidRPr="004B61EA">
        <w:rPr>
          <w:rFonts w:ascii="Arial" w:hAnsi="Arial" w:cs="Arial"/>
          <w:sz w:val="24"/>
          <w:szCs w:val="24"/>
          <w:lang w:val="en-US"/>
        </w:rPr>
        <w:instrText>ADDIN CSL_CITATION { "citationItems" : [ { "id" : "ITEM-1", "itemData" : { "DOI" : "10.1186/1471-2393-8-51", "ISSN" : "1471-2393", "PMID" : "19019223", "abstract" : "BACKGROUND There have been dramatic changes in the approach to screening for aneuploidy over the last 20 years. However, the approach to screening for other complications of pregnancy such as intra-uterine growth restriction, pre-eclampsia and stillbirth remains largely unchanged. Randomised controlled trials of routine application of high tech screening methods to the general population have generally failed to show improvement in outcome. We have previously reviewed this and concluded it was due, in large part, to poor performance of screening tests. Here, we report a study design where the primary aim is to generate clinically useful methods to screen women to assess their risk of adverse pregnancy outcome. METHODS/DESIGN We report the design of a prospective cohort study of unselected primiparous women recruited at the time of their first ultrasound scan. Participation involves serial phlebotomy and obstetric ultrasound at the dating ultrasound scan (typically 10-14 weeks), 20 weeks, 28 weeks and 36 weeks gestation. In addition, maternal demographic details are obtained; maternal and paternal height are measured and maternal weight is serially measured during the pregnancy; maternal, paternal and offspring DNA are collected; and, samples of placenta and membranes are collected at birth. Data will be analysed as a prospective cohort study, a case-cohort study, and a nested case-control study. DISCUSSION The study is expected to provide a resource for the identification of novel biomarkers for adverse pregnancy outcome and to evaluate the performance of biomarkers and serial ultrasonography in providing clinically useful prediction of risk.", "author" : [ { "dropping-particle" : "", "family" : "Pasupathy", "given" : "Dharmintra", "non-dropping-particle" : "", "parse-names" : false, "suffix" : "" }, { "dropping-particle" : "", "family" : "Dacey", "given" : "Alison", "non-dropping-particle" : "", "parse-names" : false, "suffix" : "" }, { "dropping-particle" : "", "family" : "Cook", "given" : "Emma", "non-dropping-particle" : "", "parse-names" : false, "suffix" : "" }, { "dropping-particle" : "", "family" : "Charnock-Jones", "given" : "D Stephen", "non-dropping-particle" : "", "parse-names" : false, "suffix" : "" }, { "dropping-particle" : "", "family" : "White", "given" : "Ian R", "non-dropping-particle" : "", "parse-names" : false, "suffix" : "" }, { "dropping-particle" : "", "family" : "Smith", "given" : "Gordon C S", "non-dropping-particle" : "", "parse-names" : false, "suffix" : "" } ], "container-title" : "BMC pregnancy and childbirth", "id" : "ITEM-1", "issued" : { "date-parts" : [ [ "2008" ] ] }, "page" : "51", "title" : "Study protocol. A prospective cohort study of unselected primiparous women: the pregnancy outcome prediction study.", "type" : "article-journal", "volume" : "8" }, "uris" : [ "http://www.mendeley.com/documents/?uuid=a27131aa-47cf-3e43-96fe-f600fd6d9e58" ] }, { "id" : "ITEM-2", "itemData" : { "DOI" : "10.1016/S0140-6736(15)00131-2", "ISSN" : "1474-547X", "PMID" : "26360240", "abstract" : "BACKGROUND Fetal growth restriction is a major determinant of adverse perinatal outcome. Screening procedures for fetal growth restriction need to identify small babies and then differentiate between those that are healthy and those that are pathologically small. We sought to determine the diagnostic effectiveness of universal ultrasonic fetal biometry in the third trimester as a screening test for small-for-gestational-age (SGA) infants, and whether the risk of morbidity associated with being small differed in the presence or absence of ultrasonic markers of fetal growth restriction. METHODS The Pregnancy Outcome Prediction (POP) study was a prospective cohort study of nulliparous women with a viable singleton pregnancy at the time of the dating ultrasound scan. Women participating had clinically indicated ultrasonography in the third trimester as per routine clinical care and these results were reported as usual (selective ultrasonography). Additionally, all participants had research ultrasonography, including fetal biometry at 28 and 36 weeks' gestational age. These results were not made available to participants or treating clinicians (universal ultrasonography). We regarded SGA as a birthweight of less than the 10th percentile for gestational age and screen positive for SGA an ultrasonographic estimated fetal weight of less than the 10th percentile for gestational age. Markers of fetal growth restriction included biometric ratios, utero-placental Doppler, and fetal growth velocity. We assessed outcomes for consenting participants who attended research scans and had a livebirth at the Rosie Hospital (Cambridge, UK) after the 28 weeks' research scan. FINDINGS Between Jan 14, 2008, and July 31, 2012, 4512 women provided written informed consent of whom 3977 (88%) were eligible for analysis. Sensitivity for detection of SGA infants was 20% (95% CI 15-24; 69 of 352 fetuses) for selective ultrasonography and 57% (51-62; 199 of 352 fetuses) for universal ultrasonography (relative sensitivity 2\u00b79, 95% CI 2\u00b74-3\u00b75, p&lt;0\u00b70001). Of the 3977 fetuses, 562 (14\u00b71%) were identified by universal ultrasonography with an estimated fetal weight of less than the 10th percentile and were at an increased risk of neonatal morbidity (relative risk [RR] 1\u00b760, 95% CI 1\u00b722-2\u00b709, p=0\u00b70012). However, estimated fetal weight of less than the 10th percentile was only associated with the risk of neonatal morbidity (pinteraction=0\u00b7005) if the fetal abdominal circumference growth veloc\u2026", "author" : [ { "dropping-particle" : "", "family" : "Sovio", "given" : "Ulla", "non-dropping-particle" : "", "parse-names" : false, "suffix" : "" }, { "dropping-particle" : "", "family" : "White", "given" : "Ian R", "non-dropping-particle" : "", "parse-names" : false, "suffix" : "" }, { "dropping-particle" : "", "family" : "Dacey", "given" : "Alison", "non-dropping-particle" : "", "parse-names" : false, "suffix" : "" }, { "dropping-particle" : "", "family" : "Pasupathy", "given" : "Dharmintra", "non-dropping-particle" : "", "parse-names" : false, "suffix" : "" }, { "dropping-particle" : "", "family" : "Smith", "given" : "Gordon C S", "non-dropping-particle" : "", "parse-names" : false, "suffix" : "" } ], "container-title" : "Lancet (London, England)", "id" : "ITEM-2", "issue" : "10008", "issued" : { "date-parts" : [ [ "2015", "11", "21" ] ] }, "page" : "2089-97", "title" : "Screening for fetal growth restriction with universal third trimester ultrasonography in nulliparous women in the Pregnancy Outcome Prediction (POP) study: a prospective cohort study.", "type" : "article-journal", "volume" : "386" }, "uris" : [ "http://www.mendeley.com/documents/?uuid=b85c438f-6e0f-36de-ae85-8cd037a6a5a9" ] } ], "mendeley" : { "formattedCitation" : "[6,7]", "plainTextFormattedCitation" : "[6,7]", "previouslyFormattedCitation" : "[6,7]" }, "properties" : { "noteIndex" : 0 }, "schema" : "https://github.com/citation-style-language/schema/raw/master/csl-citation.json" }</w:instrText>
      </w:r>
      <w:r w:rsidR="00A5195E" w:rsidRPr="004B61EA">
        <w:rPr>
          <w:rFonts w:ascii="Arial" w:hAnsi="Arial" w:cs="Arial"/>
          <w:sz w:val="24"/>
          <w:szCs w:val="24"/>
          <w:lang w:val="en-US"/>
        </w:rPr>
        <w:fldChar w:fldCharType="separate"/>
      </w:r>
      <w:r w:rsidR="004E1D60" w:rsidRPr="004B61EA">
        <w:rPr>
          <w:rFonts w:ascii="Arial" w:hAnsi="Arial" w:cs="Arial"/>
          <w:noProof/>
          <w:sz w:val="24"/>
          <w:szCs w:val="24"/>
          <w:lang w:val="en-US"/>
        </w:rPr>
        <w:t>[6,7]</w:t>
      </w:r>
      <w:r w:rsidR="00A5195E" w:rsidRPr="004B61EA">
        <w:rPr>
          <w:rFonts w:ascii="Arial" w:hAnsi="Arial" w:cs="Arial"/>
          <w:sz w:val="24"/>
          <w:szCs w:val="24"/>
          <w:lang w:val="en-US"/>
        </w:rPr>
        <w:fldChar w:fldCharType="end"/>
      </w:r>
      <w:r w:rsidRPr="004B61EA">
        <w:rPr>
          <w:rFonts w:ascii="Arial" w:hAnsi="Arial" w:cs="Arial"/>
          <w:sz w:val="24"/>
          <w:szCs w:val="24"/>
          <w:lang w:val="en-US"/>
        </w:rPr>
        <w:t>.</w:t>
      </w:r>
      <w:r w:rsidR="00DA72A1" w:rsidRPr="004B61EA">
        <w:rPr>
          <w:rFonts w:ascii="Arial" w:hAnsi="Arial" w:cs="Arial"/>
          <w:sz w:val="24"/>
          <w:szCs w:val="24"/>
          <w:lang w:val="en-US"/>
        </w:rPr>
        <w:t xml:space="preserve"> </w:t>
      </w:r>
      <w:r w:rsidR="00F47A14" w:rsidRPr="004B61EA">
        <w:rPr>
          <w:rFonts w:ascii="Arial" w:hAnsi="Arial" w:cs="Arial"/>
          <w:sz w:val="24"/>
          <w:szCs w:val="24"/>
          <w:lang w:val="en-US"/>
        </w:rPr>
        <w:t xml:space="preserve">It was </w:t>
      </w:r>
      <w:r w:rsidR="00DA72A1" w:rsidRPr="004B61EA">
        <w:rPr>
          <w:rFonts w:ascii="Arial" w:hAnsi="Arial" w:cs="Arial"/>
          <w:sz w:val="24"/>
          <w:szCs w:val="24"/>
          <w:lang w:val="en-US"/>
        </w:rPr>
        <w:t>a prospective cohort study</w:t>
      </w:r>
      <w:r w:rsidR="00F47A14" w:rsidRPr="004B61EA">
        <w:rPr>
          <w:rFonts w:ascii="Arial" w:hAnsi="Arial" w:cs="Arial"/>
          <w:sz w:val="24"/>
          <w:szCs w:val="24"/>
          <w:lang w:val="en-US"/>
        </w:rPr>
        <w:t xml:space="preserve"> of</w:t>
      </w:r>
      <w:r w:rsidR="00391C96" w:rsidRPr="004B61EA">
        <w:rPr>
          <w:rFonts w:ascii="Arial" w:hAnsi="Arial" w:cs="Arial"/>
          <w:sz w:val="24"/>
          <w:szCs w:val="24"/>
          <w:lang w:val="en-US"/>
        </w:rPr>
        <w:t xml:space="preserve"> n</w:t>
      </w:r>
      <w:r w:rsidR="00DA72A1" w:rsidRPr="004B61EA">
        <w:rPr>
          <w:rFonts w:ascii="Arial" w:hAnsi="Arial" w:cs="Arial"/>
          <w:sz w:val="24"/>
          <w:szCs w:val="24"/>
          <w:lang w:val="en-US"/>
        </w:rPr>
        <w:t>ulliparous women with a viable singleton pregnancy who attended</w:t>
      </w:r>
      <w:r w:rsidR="009C6B52" w:rsidRPr="004B61EA">
        <w:rPr>
          <w:rFonts w:ascii="Arial" w:hAnsi="Arial" w:cs="Arial"/>
          <w:sz w:val="24"/>
          <w:szCs w:val="24"/>
          <w:lang w:val="en-US"/>
        </w:rPr>
        <w:t xml:space="preserve"> </w:t>
      </w:r>
      <w:r w:rsidR="00F47A14" w:rsidRPr="004B61EA">
        <w:rPr>
          <w:rFonts w:ascii="Arial" w:hAnsi="Arial" w:cs="Arial"/>
          <w:sz w:val="24"/>
          <w:szCs w:val="24"/>
          <w:lang w:val="en-US"/>
        </w:rPr>
        <w:t xml:space="preserve">the hospital’s ultrasound department </w:t>
      </w:r>
      <w:r w:rsidR="009C6B52" w:rsidRPr="004B61EA">
        <w:rPr>
          <w:rFonts w:ascii="Arial" w:hAnsi="Arial" w:cs="Arial"/>
          <w:sz w:val="24"/>
          <w:szCs w:val="24"/>
          <w:lang w:val="en-US"/>
        </w:rPr>
        <w:t>between 14/</w:t>
      </w:r>
      <w:r w:rsidR="00CD0D81" w:rsidRPr="004B61EA">
        <w:rPr>
          <w:rFonts w:ascii="Arial" w:hAnsi="Arial" w:cs="Arial"/>
          <w:sz w:val="24"/>
          <w:szCs w:val="24"/>
          <w:lang w:val="en-US"/>
        </w:rPr>
        <w:t>01</w:t>
      </w:r>
      <w:r w:rsidR="009C6B52" w:rsidRPr="004B61EA">
        <w:rPr>
          <w:rFonts w:ascii="Arial" w:hAnsi="Arial" w:cs="Arial"/>
          <w:sz w:val="24"/>
          <w:szCs w:val="24"/>
          <w:lang w:val="en-US"/>
        </w:rPr>
        <w:t>/2008 and 31/07/2012 for their dating ultrasound scan</w:t>
      </w:r>
      <w:r w:rsidR="00DA72A1" w:rsidRPr="004B61EA">
        <w:rPr>
          <w:rFonts w:ascii="Arial" w:hAnsi="Arial" w:cs="Arial"/>
          <w:sz w:val="24"/>
          <w:szCs w:val="24"/>
          <w:lang w:val="en-US"/>
        </w:rPr>
        <w:t xml:space="preserve">. Women </w:t>
      </w:r>
      <w:r w:rsidR="0050272E" w:rsidRPr="004B61EA">
        <w:rPr>
          <w:rFonts w:ascii="Arial" w:hAnsi="Arial" w:cs="Arial"/>
          <w:sz w:val="24"/>
          <w:szCs w:val="24"/>
          <w:lang w:val="en-US"/>
        </w:rPr>
        <w:t xml:space="preserve">included in </w:t>
      </w:r>
      <w:r w:rsidR="00DA72A1" w:rsidRPr="004B61EA">
        <w:rPr>
          <w:rFonts w:ascii="Arial" w:hAnsi="Arial" w:cs="Arial"/>
          <w:sz w:val="24"/>
          <w:szCs w:val="24"/>
          <w:lang w:val="en-US"/>
        </w:rPr>
        <w:t xml:space="preserve">the study </w:t>
      </w:r>
      <w:r w:rsidR="0050272E" w:rsidRPr="004B61EA">
        <w:rPr>
          <w:rFonts w:ascii="Arial" w:hAnsi="Arial" w:cs="Arial"/>
          <w:sz w:val="24"/>
          <w:szCs w:val="24"/>
          <w:lang w:val="en-US"/>
        </w:rPr>
        <w:t>underwent</w:t>
      </w:r>
      <w:r w:rsidR="00DA72A1" w:rsidRPr="004B61EA">
        <w:rPr>
          <w:rFonts w:ascii="Arial" w:hAnsi="Arial" w:cs="Arial"/>
          <w:sz w:val="24"/>
          <w:szCs w:val="24"/>
          <w:lang w:val="en-US"/>
        </w:rPr>
        <w:t xml:space="preserve"> </w:t>
      </w:r>
      <w:r w:rsidR="0050272E" w:rsidRPr="004B61EA">
        <w:rPr>
          <w:rFonts w:ascii="Arial" w:hAnsi="Arial" w:cs="Arial"/>
          <w:sz w:val="24"/>
          <w:szCs w:val="24"/>
          <w:lang w:val="en-US"/>
        </w:rPr>
        <w:t xml:space="preserve">sequential </w:t>
      </w:r>
      <w:r w:rsidR="00DA72A1" w:rsidRPr="004B61EA">
        <w:rPr>
          <w:rFonts w:ascii="Arial" w:hAnsi="Arial" w:cs="Arial"/>
          <w:sz w:val="24"/>
          <w:szCs w:val="24"/>
          <w:lang w:val="en-US"/>
        </w:rPr>
        <w:t>research ultrasound scans at 20, 28 and 36 week</w:t>
      </w:r>
      <w:r w:rsidR="00603217" w:rsidRPr="004B61EA">
        <w:rPr>
          <w:rFonts w:ascii="Arial" w:hAnsi="Arial" w:cs="Arial"/>
          <w:sz w:val="24"/>
          <w:szCs w:val="24"/>
          <w:lang w:val="en-US"/>
        </w:rPr>
        <w:t>s of gestation</w:t>
      </w:r>
      <w:r w:rsidR="000030E1" w:rsidRPr="004B61EA">
        <w:rPr>
          <w:rFonts w:ascii="Arial" w:hAnsi="Arial" w:cs="Arial"/>
          <w:sz w:val="24"/>
          <w:szCs w:val="24"/>
          <w:lang w:val="en-US"/>
        </w:rPr>
        <w:t>. T</w:t>
      </w:r>
      <w:r w:rsidR="00E06EA3" w:rsidRPr="004B61EA">
        <w:rPr>
          <w:rFonts w:ascii="Arial" w:hAnsi="Arial" w:cs="Arial"/>
          <w:sz w:val="24"/>
          <w:szCs w:val="24"/>
          <w:lang w:val="en-US"/>
        </w:rPr>
        <w:t xml:space="preserve">he results </w:t>
      </w:r>
      <w:r w:rsidR="000030E1" w:rsidRPr="004B61EA">
        <w:rPr>
          <w:rFonts w:ascii="Arial" w:hAnsi="Arial" w:cs="Arial"/>
          <w:sz w:val="24"/>
          <w:szCs w:val="24"/>
          <w:lang w:val="en-US"/>
        </w:rPr>
        <w:t xml:space="preserve">of the scans </w:t>
      </w:r>
      <w:r w:rsidR="00E20097" w:rsidRPr="004B61EA">
        <w:rPr>
          <w:rFonts w:ascii="Arial" w:hAnsi="Arial" w:cs="Arial"/>
          <w:sz w:val="24"/>
          <w:szCs w:val="24"/>
          <w:lang w:val="en-US"/>
        </w:rPr>
        <w:t xml:space="preserve">were blinded to both women and </w:t>
      </w:r>
      <w:r w:rsidR="00E06EA3" w:rsidRPr="004B61EA">
        <w:rPr>
          <w:rFonts w:ascii="Arial" w:hAnsi="Arial" w:cs="Arial"/>
          <w:sz w:val="24"/>
          <w:szCs w:val="24"/>
          <w:lang w:val="en-US"/>
        </w:rPr>
        <w:t>clinicians</w:t>
      </w:r>
      <w:r w:rsidR="00603217" w:rsidRPr="004B61EA">
        <w:rPr>
          <w:rFonts w:ascii="Arial" w:hAnsi="Arial" w:cs="Arial"/>
          <w:sz w:val="24"/>
          <w:szCs w:val="24"/>
          <w:lang w:val="en-US"/>
        </w:rPr>
        <w:t xml:space="preserve">. </w:t>
      </w:r>
      <w:r w:rsidR="00E20097" w:rsidRPr="004B61EA">
        <w:rPr>
          <w:rFonts w:ascii="Arial" w:hAnsi="Arial" w:cs="Arial"/>
          <w:sz w:val="24"/>
          <w:szCs w:val="24"/>
          <w:lang w:val="en-US"/>
        </w:rPr>
        <w:t xml:space="preserve">After </w:t>
      </w:r>
      <w:r w:rsidR="00C27EFE" w:rsidRPr="004B61EA">
        <w:rPr>
          <w:rFonts w:ascii="Arial" w:hAnsi="Arial" w:cs="Arial"/>
          <w:sz w:val="24"/>
          <w:szCs w:val="24"/>
          <w:lang w:val="en-US"/>
        </w:rPr>
        <w:t xml:space="preserve">the </w:t>
      </w:r>
      <w:r w:rsidR="00E20097" w:rsidRPr="004B61EA">
        <w:rPr>
          <w:rFonts w:ascii="Arial" w:hAnsi="Arial" w:cs="Arial"/>
          <w:sz w:val="24"/>
          <w:szCs w:val="24"/>
          <w:lang w:val="en-US"/>
        </w:rPr>
        <w:t xml:space="preserve">delivery, </w:t>
      </w:r>
      <w:r w:rsidR="00E06EA3" w:rsidRPr="004B61EA">
        <w:rPr>
          <w:rFonts w:ascii="Arial" w:hAnsi="Arial" w:cs="Arial"/>
          <w:sz w:val="24"/>
          <w:szCs w:val="24"/>
          <w:lang w:val="en-US"/>
        </w:rPr>
        <w:t xml:space="preserve">results of the research scans were unmasked. </w:t>
      </w:r>
    </w:p>
    <w:p w14:paraId="7BE28331" w14:textId="77777777" w:rsidR="00603217" w:rsidRPr="004B61EA" w:rsidRDefault="00603217" w:rsidP="008840E6">
      <w:pPr>
        <w:pStyle w:val="NoSpacing"/>
        <w:spacing w:line="480" w:lineRule="auto"/>
        <w:rPr>
          <w:rFonts w:ascii="Arial" w:hAnsi="Arial" w:cs="Arial"/>
          <w:sz w:val="24"/>
          <w:szCs w:val="24"/>
          <w:lang w:val="en-US"/>
        </w:rPr>
      </w:pPr>
    </w:p>
    <w:p w14:paraId="3BCFF958" w14:textId="77777777" w:rsidR="00A4748D" w:rsidRPr="004B61EA" w:rsidRDefault="00A4748D" w:rsidP="0045605B">
      <w:pPr>
        <w:pStyle w:val="NoSpacing"/>
        <w:spacing w:line="480" w:lineRule="auto"/>
        <w:outlineLvl w:val="0"/>
        <w:rPr>
          <w:rFonts w:ascii="Arial" w:hAnsi="Arial" w:cs="Arial"/>
          <w:i/>
          <w:sz w:val="24"/>
          <w:szCs w:val="24"/>
          <w:lang w:val="en-US"/>
        </w:rPr>
      </w:pPr>
      <w:r w:rsidRPr="004B61EA">
        <w:rPr>
          <w:rFonts w:ascii="Arial" w:hAnsi="Arial" w:cs="Arial"/>
          <w:i/>
          <w:sz w:val="24"/>
          <w:szCs w:val="24"/>
          <w:lang w:val="en-US"/>
        </w:rPr>
        <w:t xml:space="preserve">Study </w:t>
      </w:r>
      <w:r w:rsidR="00EE4F9D" w:rsidRPr="004B61EA">
        <w:rPr>
          <w:rFonts w:ascii="Arial" w:hAnsi="Arial" w:cs="Arial"/>
          <w:i/>
          <w:sz w:val="24"/>
          <w:szCs w:val="24"/>
          <w:lang w:val="en-US"/>
        </w:rPr>
        <w:t>group</w:t>
      </w:r>
    </w:p>
    <w:p w14:paraId="349D7944" w14:textId="33F60A0C" w:rsidR="00603217" w:rsidRPr="004B61EA" w:rsidRDefault="00603217" w:rsidP="008840E6">
      <w:pPr>
        <w:pStyle w:val="NoSpacing"/>
        <w:spacing w:line="480" w:lineRule="auto"/>
        <w:rPr>
          <w:rFonts w:ascii="Arial" w:hAnsi="Arial" w:cs="Arial"/>
          <w:sz w:val="24"/>
          <w:szCs w:val="24"/>
          <w:lang w:val="en-US"/>
        </w:rPr>
      </w:pPr>
      <w:r w:rsidRPr="004B61EA">
        <w:rPr>
          <w:rFonts w:ascii="Arial" w:hAnsi="Arial" w:cs="Arial"/>
          <w:sz w:val="24"/>
          <w:szCs w:val="24"/>
          <w:lang w:val="en-US"/>
        </w:rPr>
        <w:t xml:space="preserve">Among the participants of the POP study, the inclusion criteria for the present analysis were </w:t>
      </w:r>
      <w:r w:rsidR="00EA209C" w:rsidRPr="004B61EA">
        <w:rPr>
          <w:rFonts w:ascii="Arial" w:hAnsi="Arial" w:cs="Arial"/>
          <w:sz w:val="24"/>
          <w:szCs w:val="24"/>
          <w:lang w:val="en-US"/>
        </w:rPr>
        <w:t>women who attended all planned antenatal research scans</w:t>
      </w:r>
      <w:r w:rsidR="00E41094" w:rsidRPr="004B61EA">
        <w:rPr>
          <w:rFonts w:ascii="Arial" w:hAnsi="Arial" w:cs="Arial"/>
          <w:sz w:val="24"/>
          <w:szCs w:val="24"/>
          <w:lang w:val="en-US"/>
        </w:rPr>
        <w:t xml:space="preserve"> and delivered a live</w:t>
      </w:r>
      <w:r w:rsidR="00575AE0" w:rsidRPr="004B61EA">
        <w:rPr>
          <w:rFonts w:ascii="Arial" w:hAnsi="Arial" w:cs="Arial"/>
          <w:sz w:val="24"/>
          <w:szCs w:val="24"/>
          <w:lang w:val="en-US"/>
        </w:rPr>
        <w:t>-</w:t>
      </w:r>
      <w:r w:rsidR="00E41094" w:rsidRPr="004B61EA">
        <w:rPr>
          <w:rFonts w:ascii="Arial" w:hAnsi="Arial" w:cs="Arial"/>
          <w:sz w:val="24"/>
          <w:szCs w:val="24"/>
          <w:lang w:val="en-US"/>
        </w:rPr>
        <w:t xml:space="preserve">born </w:t>
      </w:r>
      <w:r w:rsidR="00877CF0" w:rsidRPr="004B61EA">
        <w:rPr>
          <w:rFonts w:ascii="Arial" w:hAnsi="Arial" w:cs="Arial"/>
          <w:sz w:val="24"/>
          <w:szCs w:val="24"/>
          <w:lang w:val="en-US"/>
        </w:rPr>
        <w:t xml:space="preserve">infant </w:t>
      </w:r>
      <w:r w:rsidR="00E41094" w:rsidRPr="004B61EA">
        <w:rPr>
          <w:rFonts w:ascii="Arial" w:hAnsi="Arial" w:cs="Arial"/>
          <w:sz w:val="24"/>
          <w:szCs w:val="24"/>
          <w:lang w:val="en-US"/>
        </w:rPr>
        <w:t>after 36 weeks of gestation</w:t>
      </w:r>
      <w:r w:rsidR="00F47A14" w:rsidRPr="004B61EA">
        <w:rPr>
          <w:rFonts w:ascii="Arial" w:hAnsi="Arial" w:cs="Arial"/>
          <w:sz w:val="24"/>
          <w:szCs w:val="24"/>
          <w:lang w:val="en-US"/>
        </w:rPr>
        <w:t xml:space="preserve"> where both the birth weight and placental weight had been recorded</w:t>
      </w:r>
      <w:r w:rsidRPr="004B61EA">
        <w:rPr>
          <w:rFonts w:ascii="Arial" w:hAnsi="Arial" w:cs="Arial"/>
          <w:sz w:val="24"/>
          <w:szCs w:val="24"/>
          <w:lang w:val="en-US"/>
        </w:rPr>
        <w:t>. We excluded women who withdrew or were lost to follow up and women who had ultrasonic measurements missing from the 20 or 36 week scans</w:t>
      </w:r>
      <w:r w:rsidR="007D469F" w:rsidRPr="004B61EA">
        <w:rPr>
          <w:rFonts w:ascii="Arial" w:hAnsi="Arial" w:cs="Arial"/>
          <w:sz w:val="24"/>
          <w:szCs w:val="24"/>
          <w:lang w:val="en-US"/>
        </w:rPr>
        <w:t>.</w:t>
      </w:r>
      <w:r w:rsidR="0054248B" w:rsidRPr="004B61EA">
        <w:rPr>
          <w:rFonts w:ascii="Arial" w:hAnsi="Arial" w:cs="Arial"/>
          <w:sz w:val="24"/>
          <w:szCs w:val="24"/>
          <w:lang w:val="en-US"/>
        </w:rPr>
        <w:t xml:space="preserve"> </w:t>
      </w:r>
    </w:p>
    <w:p w14:paraId="1841E672" w14:textId="77777777" w:rsidR="007D469F" w:rsidRPr="004B61EA" w:rsidRDefault="007D469F" w:rsidP="008840E6">
      <w:pPr>
        <w:pStyle w:val="NoSpacing"/>
        <w:spacing w:line="480" w:lineRule="auto"/>
        <w:rPr>
          <w:rFonts w:ascii="Arial" w:hAnsi="Arial" w:cs="Arial"/>
          <w:sz w:val="24"/>
          <w:szCs w:val="24"/>
          <w:lang w:val="en-US"/>
        </w:rPr>
      </w:pPr>
    </w:p>
    <w:p w14:paraId="3332547E" w14:textId="51F9C8BE" w:rsidR="00A4748D" w:rsidRPr="004B61EA" w:rsidRDefault="00C27EFE" w:rsidP="0045605B">
      <w:pPr>
        <w:pStyle w:val="NoSpacing"/>
        <w:spacing w:line="480" w:lineRule="auto"/>
        <w:outlineLvl w:val="0"/>
        <w:rPr>
          <w:rFonts w:ascii="Arial" w:hAnsi="Arial" w:cs="Arial"/>
          <w:i/>
          <w:sz w:val="24"/>
          <w:szCs w:val="24"/>
          <w:lang w:val="en-US"/>
        </w:rPr>
      </w:pPr>
      <w:r w:rsidRPr="004B61EA">
        <w:rPr>
          <w:rFonts w:ascii="Arial" w:hAnsi="Arial" w:cs="Arial"/>
          <w:i/>
          <w:sz w:val="24"/>
          <w:szCs w:val="24"/>
          <w:lang w:val="en-US"/>
        </w:rPr>
        <w:t>Definitions</w:t>
      </w:r>
    </w:p>
    <w:p w14:paraId="2CE03EA4" w14:textId="004FBE20" w:rsidR="00A91D56" w:rsidRPr="004B61EA" w:rsidRDefault="00402168" w:rsidP="008840E6">
      <w:pPr>
        <w:pStyle w:val="NoSpacing"/>
        <w:spacing w:line="480" w:lineRule="auto"/>
        <w:rPr>
          <w:rFonts w:ascii="Arial" w:hAnsi="Arial" w:cs="Arial"/>
          <w:sz w:val="24"/>
          <w:szCs w:val="24"/>
          <w:lang w:val="en-US"/>
        </w:rPr>
      </w:pPr>
      <w:r w:rsidRPr="004B61EA">
        <w:rPr>
          <w:rFonts w:ascii="Arial" w:hAnsi="Arial" w:cs="Arial"/>
          <w:sz w:val="24"/>
          <w:szCs w:val="24"/>
          <w:lang w:val="en-US"/>
        </w:rPr>
        <w:t>The b</w:t>
      </w:r>
      <w:r w:rsidR="003E5712" w:rsidRPr="004B61EA">
        <w:rPr>
          <w:rFonts w:ascii="Arial" w:hAnsi="Arial" w:cs="Arial"/>
          <w:sz w:val="24"/>
          <w:szCs w:val="24"/>
          <w:lang w:val="en-US"/>
        </w:rPr>
        <w:t>irth</w:t>
      </w:r>
      <w:r w:rsidR="00215E73" w:rsidRPr="004B61EA">
        <w:rPr>
          <w:rFonts w:ascii="Arial" w:hAnsi="Arial" w:cs="Arial"/>
          <w:sz w:val="24"/>
          <w:szCs w:val="24"/>
          <w:lang w:val="en-US"/>
        </w:rPr>
        <w:t xml:space="preserve"> </w:t>
      </w:r>
      <w:r w:rsidR="003E5712" w:rsidRPr="004B61EA">
        <w:rPr>
          <w:rFonts w:ascii="Arial" w:hAnsi="Arial" w:cs="Arial"/>
          <w:sz w:val="24"/>
          <w:szCs w:val="24"/>
          <w:lang w:val="en-US"/>
        </w:rPr>
        <w:t>weight</w:t>
      </w:r>
      <w:r w:rsidRPr="004B61EA">
        <w:rPr>
          <w:rFonts w:ascii="Arial" w:hAnsi="Arial" w:cs="Arial"/>
          <w:sz w:val="24"/>
          <w:szCs w:val="24"/>
          <w:lang w:val="en-US"/>
        </w:rPr>
        <w:t xml:space="preserve"> to </w:t>
      </w:r>
      <w:r w:rsidR="003E5712" w:rsidRPr="004B61EA">
        <w:rPr>
          <w:rFonts w:ascii="Arial" w:hAnsi="Arial" w:cs="Arial"/>
          <w:sz w:val="24"/>
          <w:szCs w:val="24"/>
          <w:lang w:val="en-US"/>
        </w:rPr>
        <w:t>placenta</w:t>
      </w:r>
      <w:r w:rsidRPr="004B61EA">
        <w:rPr>
          <w:rFonts w:ascii="Arial" w:hAnsi="Arial" w:cs="Arial"/>
          <w:sz w:val="24"/>
          <w:szCs w:val="24"/>
          <w:lang w:val="en-US"/>
        </w:rPr>
        <w:t xml:space="preserve"> </w:t>
      </w:r>
      <w:r w:rsidR="003E5712" w:rsidRPr="004B61EA">
        <w:rPr>
          <w:rFonts w:ascii="Arial" w:hAnsi="Arial" w:cs="Arial"/>
          <w:sz w:val="24"/>
          <w:szCs w:val="24"/>
          <w:lang w:val="en-US"/>
        </w:rPr>
        <w:t>weight-ratio (BWPW-ratio)</w:t>
      </w:r>
      <w:r w:rsidR="00A91D56" w:rsidRPr="004B61EA">
        <w:rPr>
          <w:rFonts w:ascii="Arial" w:hAnsi="Arial" w:cs="Arial"/>
          <w:sz w:val="24"/>
          <w:szCs w:val="24"/>
          <w:lang w:val="en-US"/>
        </w:rPr>
        <w:t xml:space="preserve"> was defined as the birth</w:t>
      </w:r>
      <w:r w:rsidR="00215E73" w:rsidRPr="004B61EA">
        <w:rPr>
          <w:rFonts w:ascii="Arial" w:hAnsi="Arial" w:cs="Arial"/>
          <w:sz w:val="24"/>
          <w:szCs w:val="24"/>
          <w:lang w:val="en-US"/>
        </w:rPr>
        <w:t xml:space="preserve"> </w:t>
      </w:r>
      <w:r w:rsidR="00A91D56" w:rsidRPr="004B61EA">
        <w:rPr>
          <w:rFonts w:ascii="Arial" w:hAnsi="Arial" w:cs="Arial"/>
          <w:sz w:val="24"/>
          <w:szCs w:val="24"/>
          <w:lang w:val="en-US"/>
        </w:rPr>
        <w:t xml:space="preserve">weight (in grams) divided by </w:t>
      </w:r>
      <w:r w:rsidR="00AC416D" w:rsidRPr="004B61EA">
        <w:rPr>
          <w:rFonts w:ascii="Arial" w:hAnsi="Arial" w:cs="Arial"/>
          <w:sz w:val="24"/>
          <w:szCs w:val="24"/>
          <w:lang w:val="en-US"/>
        </w:rPr>
        <w:t xml:space="preserve">trimmed </w:t>
      </w:r>
      <w:r w:rsidR="00A91D56" w:rsidRPr="004B61EA">
        <w:rPr>
          <w:rFonts w:ascii="Arial" w:hAnsi="Arial" w:cs="Arial"/>
          <w:sz w:val="24"/>
          <w:szCs w:val="24"/>
          <w:lang w:val="en-US"/>
        </w:rPr>
        <w:t>placental weight (in grams</w:t>
      </w:r>
      <w:r w:rsidR="00C74A21" w:rsidRPr="004B61EA">
        <w:rPr>
          <w:rFonts w:ascii="Arial" w:hAnsi="Arial" w:cs="Arial"/>
          <w:sz w:val="24"/>
          <w:szCs w:val="24"/>
          <w:lang w:val="en-US"/>
        </w:rPr>
        <w:t>, whereby membranes and cord were removed</w:t>
      </w:r>
      <w:r w:rsidR="00CD04E5" w:rsidRPr="004B61EA">
        <w:rPr>
          <w:rFonts w:ascii="Arial" w:hAnsi="Arial" w:cs="Arial"/>
          <w:sz w:val="24"/>
          <w:szCs w:val="24"/>
          <w:lang w:val="en-US"/>
        </w:rPr>
        <w:t xml:space="preserve"> and placentas were cleaned from excess blood</w:t>
      </w:r>
      <w:r w:rsidR="00A91D56" w:rsidRPr="004B61EA">
        <w:rPr>
          <w:rFonts w:ascii="Arial" w:hAnsi="Arial" w:cs="Arial"/>
          <w:sz w:val="24"/>
          <w:szCs w:val="24"/>
          <w:lang w:val="en-US"/>
        </w:rPr>
        <w:t>)</w:t>
      </w:r>
      <w:r w:rsidR="00410A7D" w:rsidRPr="004B61EA">
        <w:rPr>
          <w:rFonts w:ascii="Arial" w:hAnsi="Arial" w:cs="Arial"/>
          <w:sz w:val="24"/>
          <w:szCs w:val="24"/>
          <w:lang w:val="en-US"/>
        </w:rPr>
        <w:t>.</w:t>
      </w:r>
      <w:r w:rsidR="002F237E" w:rsidRPr="004B61EA">
        <w:rPr>
          <w:rFonts w:ascii="Arial" w:hAnsi="Arial" w:cs="Arial"/>
          <w:sz w:val="24"/>
          <w:szCs w:val="24"/>
          <w:lang w:val="en-US"/>
        </w:rPr>
        <w:t xml:space="preserve"> This ratio was</w:t>
      </w:r>
      <w:r w:rsidR="00AF65A5" w:rsidRPr="004B61EA">
        <w:rPr>
          <w:rFonts w:ascii="Arial" w:hAnsi="Arial" w:cs="Arial"/>
          <w:sz w:val="24"/>
          <w:szCs w:val="24"/>
          <w:lang w:val="en-US"/>
        </w:rPr>
        <w:t xml:space="preserve"> log-transformed and</w:t>
      </w:r>
      <w:r w:rsidR="002F237E" w:rsidRPr="004B61EA">
        <w:rPr>
          <w:rFonts w:ascii="Arial" w:hAnsi="Arial" w:cs="Arial"/>
          <w:sz w:val="24"/>
          <w:szCs w:val="24"/>
          <w:lang w:val="en-US"/>
        </w:rPr>
        <w:t xml:space="preserve"> converted into </w:t>
      </w:r>
      <w:r w:rsidR="00AC416D" w:rsidRPr="004B61EA">
        <w:rPr>
          <w:rFonts w:ascii="Arial" w:hAnsi="Arial" w:cs="Arial"/>
          <w:sz w:val="24"/>
          <w:szCs w:val="24"/>
          <w:lang w:val="en-US"/>
        </w:rPr>
        <w:t>gestational age (</w:t>
      </w:r>
      <w:r w:rsidR="002F237E" w:rsidRPr="004B61EA">
        <w:rPr>
          <w:rFonts w:ascii="Arial" w:hAnsi="Arial" w:cs="Arial"/>
          <w:sz w:val="24"/>
          <w:szCs w:val="24"/>
          <w:lang w:val="en-US"/>
        </w:rPr>
        <w:t>GA</w:t>
      </w:r>
      <w:r w:rsidR="00AC416D" w:rsidRPr="004B61EA">
        <w:rPr>
          <w:rFonts w:ascii="Arial" w:hAnsi="Arial" w:cs="Arial"/>
          <w:sz w:val="24"/>
          <w:szCs w:val="24"/>
          <w:lang w:val="en-US"/>
        </w:rPr>
        <w:t>)</w:t>
      </w:r>
      <w:r w:rsidR="002F237E" w:rsidRPr="004B61EA">
        <w:rPr>
          <w:rFonts w:ascii="Arial" w:hAnsi="Arial" w:cs="Arial"/>
          <w:sz w:val="24"/>
          <w:szCs w:val="24"/>
          <w:lang w:val="en-US"/>
        </w:rPr>
        <w:t>-adjusted z-score to adjust for variation in gestational age.</w:t>
      </w:r>
      <w:r w:rsidR="002221A6" w:rsidRPr="004B61EA">
        <w:rPr>
          <w:rFonts w:ascii="Arial" w:hAnsi="Arial" w:cs="Arial"/>
          <w:sz w:val="24"/>
          <w:szCs w:val="24"/>
          <w:lang w:val="en-US"/>
        </w:rPr>
        <w:t xml:space="preserve"> Quintiles were calculated from GA-adjusted z-scores</w:t>
      </w:r>
      <w:r w:rsidR="00BA5E8C" w:rsidRPr="004B61EA">
        <w:rPr>
          <w:rFonts w:ascii="Arial" w:hAnsi="Arial" w:cs="Arial"/>
          <w:sz w:val="24"/>
          <w:szCs w:val="24"/>
          <w:lang w:val="en-US"/>
        </w:rPr>
        <w:t>, generated by use of the distribution of the study</w:t>
      </w:r>
      <w:r w:rsidRPr="004B61EA">
        <w:rPr>
          <w:rFonts w:ascii="Arial" w:hAnsi="Arial" w:cs="Arial"/>
          <w:sz w:val="24"/>
          <w:szCs w:val="24"/>
          <w:lang w:val="en-US"/>
        </w:rPr>
        <w:t>, w</w:t>
      </w:r>
      <w:r w:rsidR="002221A6" w:rsidRPr="004B61EA">
        <w:rPr>
          <w:rFonts w:ascii="Arial" w:hAnsi="Arial" w:cs="Arial"/>
          <w:sz w:val="24"/>
          <w:szCs w:val="24"/>
          <w:lang w:val="en-US"/>
        </w:rPr>
        <w:t>hereby quintile 1 was defined as ‘low’ BWPW-ratio</w:t>
      </w:r>
      <w:r w:rsidR="00BA5E8C" w:rsidRPr="004B61EA">
        <w:rPr>
          <w:rFonts w:ascii="Arial" w:hAnsi="Arial" w:cs="Arial"/>
          <w:sz w:val="24"/>
          <w:szCs w:val="24"/>
          <w:lang w:val="en-US"/>
        </w:rPr>
        <w:t xml:space="preserve"> (lowest 20% in this cohort)</w:t>
      </w:r>
      <w:r w:rsidR="002221A6" w:rsidRPr="004B61EA">
        <w:rPr>
          <w:rFonts w:ascii="Arial" w:hAnsi="Arial" w:cs="Arial"/>
          <w:sz w:val="24"/>
          <w:szCs w:val="24"/>
          <w:lang w:val="en-US"/>
        </w:rPr>
        <w:t>, quintiles 2 to 4 as ‘normal’ BWPW-ratio</w:t>
      </w:r>
      <w:r w:rsidR="00BA5E8C" w:rsidRPr="004B61EA">
        <w:rPr>
          <w:rFonts w:ascii="Arial" w:hAnsi="Arial" w:cs="Arial"/>
          <w:sz w:val="24"/>
          <w:szCs w:val="24"/>
          <w:lang w:val="en-US"/>
        </w:rPr>
        <w:t xml:space="preserve"> (middle 60% of this cohort</w:t>
      </w:r>
      <w:r w:rsidRPr="004B61EA">
        <w:rPr>
          <w:rFonts w:ascii="Arial" w:hAnsi="Arial" w:cs="Arial"/>
          <w:sz w:val="24"/>
          <w:szCs w:val="24"/>
          <w:lang w:val="en-US"/>
        </w:rPr>
        <w:t xml:space="preserve"> and used as the referent category</w:t>
      </w:r>
      <w:r w:rsidR="00BA5E8C" w:rsidRPr="004B61EA">
        <w:rPr>
          <w:rFonts w:ascii="Arial" w:hAnsi="Arial" w:cs="Arial"/>
          <w:sz w:val="24"/>
          <w:szCs w:val="24"/>
          <w:lang w:val="en-US"/>
        </w:rPr>
        <w:t>)</w:t>
      </w:r>
      <w:r w:rsidR="002221A6" w:rsidRPr="004B61EA">
        <w:rPr>
          <w:rFonts w:ascii="Arial" w:hAnsi="Arial" w:cs="Arial"/>
          <w:sz w:val="24"/>
          <w:szCs w:val="24"/>
          <w:lang w:val="en-US"/>
        </w:rPr>
        <w:t xml:space="preserve"> and ‘high’ BWPW-ratio was based on quintile 5</w:t>
      </w:r>
      <w:r w:rsidR="00BA5E8C" w:rsidRPr="004B61EA">
        <w:rPr>
          <w:rFonts w:ascii="Arial" w:hAnsi="Arial" w:cs="Arial"/>
          <w:sz w:val="24"/>
          <w:szCs w:val="24"/>
          <w:lang w:val="en-US"/>
        </w:rPr>
        <w:t xml:space="preserve"> (20% highest BWPW-ratio in this cohort</w:t>
      </w:r>
      <w:r w:rsidR="00391C96" w:rsidRPr="004B61EA">
        <w:rPr>
          <w:rFonts w:ascii="Arial" w:hAnsi="Arial" w:cs="Arial"/>
          <w:sz w:val="24"/>
          <w:szCs w:val="24"/>
          <w:lang w:val="en-US"/>
        </w:rPr>
        <w:t>)</w:t>
      </w:r>
      <w:r w:rsidR="002221A6" w:rsidRPr="004B61EA">
        <w:rPr>
          <w:rFonts w:ascii="Arial" w:hAnsi="Arial" w:cs="Arial"/>
          <w:sz w:val="24"/>
          <w:szCs w:val="24"/>
          <w:lang w:val="en-US"/>
        </w:rPr>
        <w:t xml:space="preserve">. </w:t>
      </w:r>
    </w:p>
    <w:p w14:paraId="31CFDD64" w14:textId="6921BBFF" w:rsidR="00603217" w:rsidRPr="004B61EA" w:rsidRDefault="002221A6" w:rsidP="008840E6">
      <w:pPr>
        <w:pStyle w:val="NoSpacing"/>
        <w:spacing w:line="480" w:lineRule="auto"/>
        <w:rPr>
          <w:rFonts w:ascii="Arial" w:hAnsi="Arial" w:cs="Arial"/>
          <w:sz w:val="24"/>
          <w:szCs w:val="24"/>
          <w:lang w:val="en-US"/>
        </w:rPr>
      </w:pPr>
      <w:r w:rsidRPr="004B61EA">
        <w:rPr>
          <w:rFonts w:ascii="Arial" w:hAnsi="Arial" w:cs="Arial"/>
          <w:sz w:val="24"/>
          <w:szCs w:val="24"/>
          <w:lang w:val="en-US"/>
        </w:rPr>
        <w:t>Analysis with the outcome variables were performed within the complete cohort and within stratified groups of small-for-gestational age (SGA), appropriate-for-gestational age (AGA) and large-for-gestational age (LGA)</w:t>
      </w:r>
      <w:r w:rsidR="00402168" w:rsidRPr="004B61EA">
        <w:rPr>
          <w:rFonts w:ascii="Arial" w:hAnsi="Arial" w:cs="Arial"/>
          <w:sz w:val="24"/>
          <w:szCs w:val="24"/>
          <w:lang w:val="en-US"/>
        </w:rPr>
        <w:t>,</w:t>
      </w:r>
      <w:r w:rsidRPr="004B61EA">
        <w:rPr>
          <w:rFonts w:ascii="Arial" w:hAnsi="Arial" w:cs="Arial"/>
          <w:sz w:val="24"/>
          <w:szCs w:val="24"/>
          <w:lang w:val="en-US"/>
        </w:rPr>
        <w:t xml:space="preserve"> </w:t>
      </w:r>
      <w:r w:rsidR="00402168" w:rsidRPr="004B61EA">
        <w:rPr>
          <w:rFonts w:ascii="Arial" w:hAnsi="Arial" w:cs="Arial"/>
          <w:sz w:val="24"/>
          <w:szCs w:val="24"/>
          <w:lang w:val="en-US"/>
        </w:rPr>
        <w:t>w</w:t>
      </w:r>
      <w:r w:rsidR="00C33B0B" w:rsidRPr="004B61EA">
        <w:rPr>
          <w:rFonts w:ascii="Arial" w:hAnsi="Arial" w:cs="Arial"/>
          <w:sz w:val="24"/>
          <w:szCs w:val="24"/>
          <w:lang w:val="en-US"/>
        </w:rPr>
        <w:t>her</w:t>
      </w:r>
      <w:r w:rsidR="00EC76B6" w:rsidRPr="004B61EA">
        <w:rPr>
          <w:rFonts w:ascii="Arial" w:hAnsi="Arial" w:cs="Arial"/>
          <w:sz w:val="24"/>
          <w:szCs w:val="24"/>
          <w:lang w:val="en-US"/>
        </w:rPr>
        <w:t>e SGA was defined as birth</w:t>
      </w:r>
      <w:r w:rsidR="00215E73" w:rsidRPr="004B61EA">
        <w:rPr>
          <w:rFonts w:ascii="Arial" w:hAnsi="Arial" w:cs="Arial"/>
          <w:sz w:val="24"/>
          <w:szCs w:val="24"/>
          <w:lang w:val="en-US"/>
        </w:rPr>
        <w:t xml:space="preserve"> </w:t>
      </w:r>
      <w:r w:rsidR="00EC76B6" w:rsidRPr="004B61EA">
        <w:rPr>
          <w:rFonts w:ascii="Arial" w:hAnsi="Arial" w:cs="Arial"/>
          <w:sz w:val="24"/>
          <w:szCs w:val="24"/>
          <w:lang w:val="en-US"/>
        </w:rPr>
        <w:t>weigh</w:t>
      </w:r>
      <w:r w:rsidR="00635160" w:rsidRPr="004B61EA">
        <w:rPr>
          <w:rFonts w:ascii="Arial" w:hAnsi="Arial" w:cs="Arial"/>
          <w:sz w:val="24"/>
          <w:szCs w:val="24"/>
          <w:lang w:val="en-US"/>
        </w:rPr>
        <w:t>t</w:t>
      </w:r>
      <w:r w:rsidR="00EC76B6" w:rsidRPr="004B61EA">
        <w:rPr>
          <w:rFonts w:ascii="Arial" w:hAnsi="Arial" w:cs="Arial"/>
          <w:sz w:val="24"/>
          <w:szCs w:val="24"/>
          <w:lang w:val="en-US"/>
        </w:rPr>
        <w:t xml:space="preserve"> less than the 10</w:t>
      </w:r>
      <w:r w:rsidR="00EC76B6" w:rsidRPr="004B61EA">
        <w:rPr>
          <w:rFonts w:ascii="Arial" w:hAnsi="Arial" w:cs="Arial"/>
          <w:sz w:val="24"/>
          <w:szCs w:val="24"/>
          <w:vertAlign w:val="superscript"/>
          <w:lang w:val="en-US"/>
        </w:rPr>
        <w:t>th</w:t>
      </w:r>
      <w:r w:rsidR="00EC76B6" w:rsidRPr="004B61EA">
        <w:rPr>
          <w:rFonts w:ascii="Arial" w:hAnsi="Arial" w:cs="Arial"/>
          <w:sz w:val="24"/>
          <w:szCs w:val="24"/>
          <w:lang w:val="en-US"/>
        </w:rPr>
        <w:t xml:space="preserve"> percentile for sex and gestational age, calculated from a UK reference</w:t>
      </w:r>
      <w:r w:rsidR="002E4B1E" w:rsidRPr="004B61EA">
        <w:rPr>
          <w:rFonts w:ascii="Arial" w:hAnsi="Arial" w:cs="Arial"/>
          <w:sz w:val="24"/>
          <w:szCs w:val="24"/>
          <w:lang w:val="en-US"/>
        </w:rPr>
        <w:t xml:space="preserve"> </w:t>
      </w:r>
      <w:r w:rsidR="00A5195E" w:rsidRPr="004B61EA">
        <w:rPr>
          <w:rFonts w:ascii="Arial" w:hAnsi="Arial" w:cs="Arial"/>
          <w:sz w:val="24"/>
          <w:szCs w:val="24"/>
          <w:lang w:val="en-US"/>
        </w:rPr>
        <w:fldChar w:fldCharType="begin" w:fldLock="1"/>
      </w:r>
      <w:r w:rsidR="004E1D60" w:rsidRPr="004B61EA">
        <w:rPr>
          <w:rFonts w:ascii="Arial" w:hAnsi="Arial" w:cs="Arial"/>
          <w:sz w:val="24"/>
          <w:szCs w:val="24"/>
          <w:lang w:val="en-US"/>
        </w:rPr>
        <w:instrText>ADDIN CSL_CITATION { "citationItems" : [ { "id" : "ITEM-1", "itemData" : { "ISSN" : "1468-2044", "PMID" : "7639543", "abstract" : "The current reference curves of stature and weight for the UK were first published in 1966 and have been used ever since despite increasing concern that they may not adequately describe the growth of present day British children. Using current data from seven sources new reference curves have been estimated from birth to 20 years for children in 1990. The great majority of the data are nationally representative. The analysis used Cole's LMS method and has produced efficient estimates of the conventional centiles and gives a good fit to the data. These curves differ from the currently used curves at key ages for both stature and weight. In view of the concerns expressed about the current curves and the differences between them and the new curves, it is proposed that the curves presented here should be adopted as the new UK reference curves.", "author" : [ { "dropping-particle" : "V", "family" : "Freeman", "given" : "J", "non-dropping-particle" : "", "parse-names" : false, "suffix" : "" }, { "dropping-particle" : "", "family" : "Cole", "given" : "T J", "non-dropping-particle" : "", "parse-names" : false, "suffix" : "" }, { "dropping-particle" : "", "family" : "Chinn", "given" : "S", "non-dropping-particle" : "", "parse-names" : false, "suffix" : "" }, { "dropping-particle" : "", "family" : "Jones", "given" : "P R", "non-dropping-particle" : "", "parse-names" : false, "suffix" : "" }, { "dropping-particle" : "", "family" : "White", "given" : "E M", "non-dropping-particle" : "", "parse-names" : false, "suffix" : "" }, { "dropping-particle" : "", "family" : "Preece", "given" : "M A", "non-dropping-particle" : "", "parse-names" : false, "suffix" : "" } ], "container-title" : "Archives of disease in childhood", "id" : "ITEM-1", "issue" : "1", "issued" : { "date-parts" : [ [ "1995", "7" ] ] }, "page" : "17-24", "title" : "Cross sectional stature and weight reference curves for the UK, 1990.", "type" : "article-journal", "volume" : "73" }, "uris" : [ "http://www.mendeley.com/documents/?uuid=f6a84d6e-2da7-4b75-be74-670984899329" ] } ], "mendeley" : { "formattedCitation" : "[9]", "plainTextFormattedCitation" : "[9]", "previouslyFormattedCitation" : "[9]" }, "properties" : { "noteIndex" : 0 }, "schema" : "https://github.com/citation-style-language/schema/raw/master/csl-citation.json" }</w:instrText>
      </w:r>
      <w:r w:rsidR="00A5195E" w:rsidRPr="004B61EA">
        <w:rPr>
          <w:rFonts w:ascii="Arial" w:hAnsi="Arial" w:cs="Arial"/>
          <w:sz w:val="24"/>
          <w:szCs w:val="24"/>
          <w:lang w:val="en-US"/>
        </w:rPr>
        <w:fldChar w:fldCharType="separate"/>
      </w:r>
      <w:r w:rsidR="004E1D60" w:rsidRPr="004B61EA">
        <w:rPr>
          <w:rFonts w:ascii="Arial" w:hAnsi="Arial" w:cs="Arial"/>
          <w:noProof/>
          <w:sz w:val="24"/>
          <w:szCs w:val="24"/>
          <w:lang w:val="en-US"/>
        </w:rPr>
        <w:t>[9]</w:t>
      </w:r>
      <w:r w:rsidR="00A5195E" w:rsidRPr="004B61EA">
        <w:rPr>
          <w:rFonts w:ascii="Arial" w:hAnsi="Arial" w:cs="Arial"/>
          <w:sz w:val="24"/>
          <w:szCs w:val="24"/>
          <w:lang w:val="en-US"/>
        </w:rPr>
        <w:fldChar w:fldCharType="end"/>
      </w:r>
      <w:r w:rsidR="00EC76B6" w:rsidRPr="004B61EA">
        <w:rPr>
          <w:rFonts w:ascii="Arial" w:hAnsi="Arial" w:cs="Arial"/>
          <w:sz w:val="24"/>
          <w:szCs w:val="24"/>
          <w:lang w:val="en-US"/>
        </w:rPr>
        <w:t>.</w:t>
      </w:r>
      <w:r w:rsidR="004E3E99" w:rsidRPr="004B61EA">
        <w:rPr>
          <w:rFonts w:ascii="Arial" w:hAnsi="Arial" w:cs="Arial"/>
          <w:sz w:val="24"/>
          <w:szCs w:val="24"/>
          <w:lang w:val="en-US"/>
        </w:rPr>
        <w:t xml:space="preserve"> </w:t>
      </w:r>
      <w:r w:rsidR="007A7350" w:rsidRPr="004B61EA">
        <w:rPr>
          <w:rFonts w:ascii="Arial" w:hAnsi="Arial" w:cs="Arial"/>
          <w:sz w:val="24"/>
          <w:szCs w:val="24"/>
          <w:lang w:val="en-US"/>
        </w:rPr>
        <w:t>AGA was defined as birth</w:t>
      </w:r>
      <w:r w:rsidR="00215E73" w:rsidRPr="004B61EA">
        <w:rPr>
          <w:rFonts w:ascii="Arial" w:hAnsi="Arial" w:cs="Arial"/>
          <w:sz w:val="24"/>
          <w:szCs w:val="24"/>
          <w:lang w:val="en-US"/>
        </w:rPr>
        <w:t xml:space="preserve"> </w:t>
      </w:r>
      <w:r w:rsidR="007A7350" w:rsidRPr="004B61EA">
        <w:rPr>
          <w:rFonts w:ascii="Arial" w:hAnsi="Arial" w:cs="Arial"/>
          <w:sz w:val="24"/>
          <w:szCs w:val="24"/>
          <w:lang w:val="en-US"/>
        </w:rPr>
        <w:t>weight between the 10</w:t>
      </w:r>
      <w:r w:rsidR="007A7350" w:rsidRPr="004B61EA">
        <w:rPr>
          <w:rFonts w:ascii="Arial" w:hAnsi="Arial" w:cs="Arial"/>
          <w:sz w:val="24"/>
          <w:szCs w:val="24"/>
          <w:vertAlign w:val="superscript"/>
          <w:lang w:val="en-US"/>
        </w:rPr>
        <w:t>th</w:t>
      </w:r>
      <w:r w:rsidR="007A7350" w:rsidRPr="004B61EA">
        <w:rPr>
          <w:rFonts w:ascii="Arial" w:hAnsi="Arial" w:cs="Arial"/>
          <w:sz w:val="24"/>
          <w:szCs w:val="24"/>
          <w:lang w:val="en-US"/>
        </w:rPr>
        <w:t xml:space="preserve"> and 90</w:t>
      </w:r>
      <w:r w:rsidR="007A7350" w:rsidRPr="004B61EA">
        <w:rPr>
          <w:rFonts w:ascii="Arial" w:hAnsi="Arial" w:cs="Arial"/>
          <w:sz w:val="24"/>
          <w:szCs w:val="24"/>
          <w:vertAlign w:val="superscript"/>
          <w:lang w:val="en-US"/>
        </w:rPr>
        <w:t>th</w:t>
      </w:r>
      <w:r w:rsidR="007A7350" w:rsidRPr="004B61EA">
        <w:rPr>
          <w:rFonts w:ascii="Arial" w:hAnsi="Arial" w:cs="Arial"/>
          <w:sz w:val="24"/>
          <w:szCs w:val="24"/>
          <w:lang w:val="en-US"/>
        </w:rPr>
        <w:t xml:space="preserve"> percentile for sex and gestational age. LGA was defined as birth</w:t>
      </w:r>
      <w:r w:rsidR="00215E73" w:rsidRPr="004B61EA">
        <w:rPr>
          <w:rFonts w:ascii="Arial" w:hAnsi="Arial" w:cs="Arial"/>
          <w:sz w:val="24"/>
          <w:szCs w:val="24"/>
          <w:lang w:val="en-US"/>
        </w:rPr>
        <w:t xml:space="preserve"> </w:t>
      </w:r>
      <w:r w:rsidR="007A7350" w:rsidRPr="004B61EA">
        <w:rPr>
          <w:rFonts w:ascii="Arial" w:hAnsi="Arial" w:cs="Arial"/>
          <w:sz w:val="24"/>
          <w:szCs w:val="24"/>
          <w:lang w:val="en-US"/>
        </w:rPr>
        <w:t>weight above the 90</w:t>
      </w:r>
      <w:r w:rsidR="007A7350" w:rsidRPr="004B61EA">
        <w:rPr>
          <w:rFonts w:ascii="Arial" w:hAnsi="Arial" w:cs="Arial"/>
          <w:sz w:val="24"/>
          <w:szCs w:val="24"/>
          <w:vertAlign w:val="superscript"/>
          <w:lang w:val="en-US"/>
        </w:rPr>
        <w:t>th</w:t>
      </w:r>
      <w:r w:rsidR="007A7350" w:rsidRPr="004B61EA">
        <w:rPr>
          <w:rFonts w:ascii="Arial" w:hAnsi="Arial" w:cs="Arial"/>
          <w:sz w:val="24"/>
          <w:szCs w:val="24"/>
          <w:lang w:val="en-US"/>
        </w:rPr>
        <w:t xml:space="preserve"> percentile for sex and gestational age.</w:t>
      </w:r>
      <w:r w:rsidR="0000051D" w:rsidRPr="004B61EA">
        <w:rPr>
          <w:rFonts w:ascii="Arial" w:hAnsi="Arial" w:cs="Arial"/>
          <w:sz w:val="24"/>
          <w:szCs w:val="24"/>
          <w:lang w:val="en-US"/>
        </w:rPr>
        <w:t xml:space="preserve"> </w:t>
      </w:r>
    </w:p>
    <w:p w14:paraId="0E6D0791" w14:textId="77777777" w:rsidR="008C73D5" w:rsidRPr="004B61EA" w:rsidRDefault="008C73D5" w:rsidP="008840E6">
      <w:pPr>
        <w:pStyle w:val="NoSpacing"/>
        <w:spacing w:line="480" w:lineRule="auto"/>
        <w:rPr>
          <w:rFonts w:ascii="Arial" w:hAnsi="Arial" w:cs="Arial"/>
          <w:i/>
          <w:sz w:val="24"/>
          <w:szCs w:val="24"/>
          <w:lang w:val="en-US"/>
        </w:rPr>
      </w:pPr>
    </w:p>
    <w:p w14:paraId="07C80F09" w14:textId="77777777" w:rsidR="00A4748D" w:rsidRPr="004B61EA" w:rsidRDefault="00A4748D" w:rsidP="0045605B">
      <w:pPr>
        <w:pStyle w:val="NoSpacing"/>
        <w:spacing w:line="480" w:lineRule="auto"/>
        <w:outlineLvl w:val="0"/>
        <w:rPr>
          <w:rFonts w:ascii="Arial" w:hAnsi="Arial" w:cs="Arial"/>
          <w:i/>
          <w:sz w:val="24"/>
          <w:szCs w:val="24"/>
          <w:lang w:val="en-US"/>
        </w:rPr>
      </w:pPr>
      <w:r w:rsidRPr="004B61EA">
        <w:rPr>
          <w:rFonts w:ascii="Arial" w:hAnsi="Arial" w:cs="Arial"/>
          <w:i/>
          <w:sz w:val="24"/>
          <w:szCs w:val="24"/>
          <w:lang w:val="en-US"/>
        </w:rPr>
        <w:t>Outcomes</w:t>
      </w:r>
    </w:p>
    <w:p w14:paraId="20F57914" w14:textId="3AD04A98" w:rsidR="003936DF" w:rsidRPr="004B61EA" w:rsidRDefault="003936DF" w:rsidP="008840E6">
      <w:pPr>
        <w:pStyle w:val="NoSpacing"/>
        <w:spacing w:line="480" w:lineRule="auto"/>
        <w:rPr>
          <w:rFonts w:ascii="Arial" w:hAnsi="Arial" w:cs="Arial"/>
          <w:sz w:val="24"/>
          <w:szCs w:val="24"/>
          <w:lang w:val="en-US"/>
        </w:rPr>
      </w:pPr>
      <w:r w:rsidRPr="004B61EA">
        <w:rPr>
          <w:rFonts w:ascii="Arial" w:hAnsi="Arial" w:cs="Arial"/>
          <w:sz w:val="24"/>
          <w:szCs w:val="24"/>
          <w:lang w:val="en-US"/>
        </w:rPr>
        <w:t xml:space="preserve">Neonatal morbidity was defined as one or more of the following criteria: a 5 min Apgar score of less than 7, delivery with metabolic acidosis (defined as </w:t>
      </w:r>
      <w:r w:rsidR="00AA76A2" w:rsidRPr="004B61EA">
        <w:rPr>
          <w:rFonts w:ascii="Arial" w:hAnsi="Arial" w:cs="Arial"/>
          <w:sz w:val="24"/>
          <w:szCs w:val="24"/>
          <w:lang w:val="en-US"/>
        </w:rPr>
        <w:t xml:space="preserve">arterial </w:t>
      </w:r>
      <w:r w:rsidRPr="004B61EA">
        <w:rPr>
          <w:rFonts w:ascii="Arial" w:hAnsi="Arial" w:cs="Arial"/>
          <w:sz w:val="24"/>
          <w:szCs w:val="24"/>
          <w:lang w:val="en-US"/>
        </w:rPr>
        <w:t>cord blood pH &lt;7.1 and base deficit &gt;10 mmol/L</w:t>
      </w:r>
      <w:r w:rsidR="00CD04E5" w:rsidRPr="004B61EA">
        <w:rPr>
          <w:rFonts w:ascii="Arial" w:hAnsi="Arial" w:cs="Arial"/>
          <w:sz w:val="24"/>
          <w:szCs w:val="24"/>
          <w:lang w:val="en-US"/>
        </w:rPr>
        <w:t xml:space="preserve"> </w:t>
      </w:r>
      <w:r w:rsidR="00CD04E5" w:rsidRPr="004B61EA">
        <w:rPr>
          <w:rFonts w:ascii="Arial" w:hAnsi="Arial" w:cs="Arial"/>
          <w:sz w:val="24"/>
          <w:szCs w:val="24"/>
          <w:lang w:val="en-US"/>
        </w:rPr>
        <w:fldChar w:fldCharType="begin" w:fldLock="1"/>
      </w:r>
      <w:r w:rsidR="0023362E" w:rsidRPr="004B61EA">
        <w:rPr>
          <w:rFonts w:ascii="Arial" w:hAnsi="Arial" w:cs="Arial"/>
          <w:sz w:val="24"/>
          <w:szCs w:val="24"/>
          <w:lang w:val="en-US"/>
        </w:rPr>
        <w:instrText>ADDIN CSL_CITATION { "citationItems" : [ { "id" : "ITEM-1", "itemData" : { "DOI" : "10.1016/S0140-6736(15)00131-2", "ISSN" : "1474-547X", "PMID" : "26360240", "abstract" : "BACKGROUND Fetal growth restriction is a major determinant of adverse perinatal outcome. Screening procedures for fetal growth restriction need to identify small babies and then differentiate between those that are healthy and those that are pathologically small. We sought to determine the diagnostic effectiveness of universal ultrasonic fetal biometry in the third trimester as a screening test for small-for-gestational-age (SGA) infants, and whether the risk of morbidity associated with being small differed in the presence or absence of ultrasonic markers of fetal growth restriction. METHODS The Pregnancy Outcome Prediction (POP) study was a prospective cohort study of nulliparous women with a viable singleton pregnancy at the time of the dating ultrasound scan. Women participating had clinically indicated ultrasonography in the third trimester as per routine clinical care and these results were reported as usual (selective ultrasonography). Additionally, all participants had research ultrasonography, including fetal biometry at 28 and 36 weeks' gestational age. These results were not made available to participants or treating clinicians (universal ultrasonography). We regarded SGA as a birthweight of less than the 10th percentile for gestational age and screen positive for SGA an ultrasonographic estimated fetal weight of less than the 10th percentile for gestational age. Markers of fetal growth restriction included biometric ratios, utero-placental Doppler, and fetal growth velocity. We assessed outcomes for consenting participants who attended research scans and had a livebirth at the Rosie Hospital (Cambridge, UK) after the 28 weeks' research scan. FINDINGS Between Jan 14, 2008, and July 31, 2012, 4512 women provided written informed consent of whom 3977 (88%) were eligible for analysis. Sensitivity for detection of SGA infants was 20% (95% CI 15-24; 69 of 352 fetuses) for selective ultrasonography and 57% (51-62; 199 of 352 fetuses) for universal ultrasonography (relative sensitivity 2\u00b79, 95% CI 2\u00b74-3\u00b75, p&lt;0\u00b70001). Of the 3977 fetuses, 562 (14\u00b71%) were identified by universal ultrasonography with an estimated fetal weight of less than the 10th percentile and were at an increased risk of neonatal morbidity (relative risk [RR] 1\u00b760, 95% CI 1\u00b722-2\u00b709, p=0\u00b70012). However, estimated fetal weight of less than the 10th percentile was only associated with the risk of neonatal morbidity (pinteraction=0\u00b7005) if the fetal abdominal circumference growth veloc\u2026", "author" : [ { "dropping-particle" : "", "family" : "Sovio", "given" : "Ulla", "non-dropping-particle" : "", "parse-names" : false, "suffix" : "" }, { "dropping-particle" : "", "family" : "White", "given" : "Ian R", "non-dropping-particle" : "", "parse-names" : false, "suffix" : "" }, { "dropping-particle" : "", "family" : "Dacey", "given" : "Alison", "non-dropping-particle" : "", "parse-names" : false, "suffix" : "" }, { "dropping-particle" : "", "family" : "Pasupathy", "given" : "Dharmintra", "non-dropping-particle" : "", "parse-names" : false, "suffix" : "" }, { "dropping-particle" : "", "family" : "Smith", "given" : "Gordon C S", "non-dropping-particle" : "", "parse-names" : false, "suffix" : "" } ], "container-title" : "Lancet (London, England)", "id" : "ITEM-1", "issue" : "10008", "issued" : { "date-parts" : [ [ "2015", "11", "21" ] ] }, "page" : "2089-97", "title" : "Screening for fetal growth restriction with universal third trimester ultrasonography in nulliparous women in the Pregnancy Outcome Prediction (POP) study: a prospective cohort study.", "type" : "article-journal", "volume" : "386" }, "uris" : [ "http://www.mendeley.com/documents/?uuid=b85c438f-6e0f-36de-ae85-8cd037a6a5a9" ] }, { "id" : "ITEM-2", "itemData" : { "DOI" : "10.1136/bmj.c1471", "ISSN" : "1756-1833", "PMID" : "20466789", "abstract" : "OBJECTIVE To evaluate the association between umbilical cord pH at birth and long term outcomes. DESIGN Systematic review and meta-analysis. DATA SOURCES Medline (1966-August 2008), Embase (1980-August 2008), the Cochrane Library (2008 issue 8), and Medion, without language restrictions; reference lists of selected articles; and contact with authors. STUDY SELECTION Studies in which cord pH at birth was compared with any neonatal or long term outcome. Cohort and case-control designs were included. RESULTS 51 articles totalling 481 753 infants met the selection criteria. Studies varied in design, quality, outcome definition, and results. Meta-analysis carried out within predefined groups showed that low arterial cord pH was significantly associated with neonatal mortality (odds ratio 16.9, 95% confidence interval 9.7 to 29.5, I(2)=0%), hypoxic ischaemic encephalopathy (13.8, 6.6 to 28.9, I(2)=0%), intraventricular haemorrhage or periventricular leucomalacia (2.9, 2.1 to 4.1, I(2)=0%), and cerebral palsy (2.3, 1.3 to 4.2, I(2)=0%). CONCLUSIONS Low arterial cord pH showed strong, consistent, and temporal associations with clinically important neonatal outcomes that are biologically plausible. These data can be used to inform clinical management and justify the use of arterial cord pH as an important outcome measure alongside neonatal morbidity and mortality in obstetric trials.", "author" : [ { "dropping-particle" : "", "family" : "Malin", "given" : "Gemma L", "non-dropping-particle" : "", "parse-names" : false, "suffix" : "" }, { "dropping-particle" : "", "family" : "Morris", "given" : "Rachel K", "non-dropping-particle" : "", "parse-names" : false, "suffix" : "" }, { "dropping-particle" : "", "family" : "Khan", "given" : "Khalid S", "non-dropping-particle" : "", "parse-names" : false, "suffix" : "" } ], "container-title" : "BMJ (Clinical research ed.)", "id" : "ITEM-2", "issued" : { "date-parts" : [ [ "2010", "5", "13" ] ] }, "page" : "c1471", "publisher" : "BMJ Publishing Group", "title" : "Strength of association between umbilical cord pH and perinatal and long term outcomes: systematic review and meta-analysis.", "type" : "article-journal", "volume" : "340" }, "uris" : [ "http://www.mendeley.com/documents/?uuid=7e445cf6-48db-33df-a55c-ad13b448cd39" ] } ], "mendeley" : { "formattedCitation" : "[7,10]", "plainTextFormattedCitation" : "[7,10]", "previouslyFormattedCitation" : "[7,10]" }, "properties" : { "noteIndex" : 0 }, "schema" : "https://github.com/citation-style-language/schema/raw/master/csl-citation.json" }</w:instrText>
      </w:r>
      <w:r w:rsidR="00CD04E5" w:rsidRPr="004B61EA">
        <w:rPr>
          <w:rFonts w:ascii="Arial" w:hAnsi="Arial" w:cs="Arial"/>
          <w:sz w:val="24"/>
          <w:szCs w:val="24"/>
          <w:lang w:val="en-US"/>
        </w:rPr>
        <w:fldChar w:fldCharType="separate"/>
      </w:r>
      <w:r w:rsidR="00CD04E5" w:rsidRPr="004B61EA">
        <w:rPr>
          <w:rFonts w:ascii="Arial" w:hAnsi="Arial" w:cs="Arial"/>
          <w:noProof/>
          <w:sz w:val="24"/>
          <w:szCs w:val="24"/>
          <w:lang w:val="en-US"/>
        </w:rPr>
        <w:t>[7,10]</w:t>
      </w:r>
      <w:r w:rsidR="00CD04E5" w:rsidRPr="004B61EA">
        <w:rPr>
          <w:rFonts w:ascii="Arial" w:hAnsi="Arial" w:cs="Arial"/>
          <w:sz w:val="24"/>
          <w:szCs w:val="24"/>
          <w:lang w:val="en-US"/>
        </w:rPr>
        <w:fldChar w:fldCharType="end"/>
      </w:r>
      <w:r w:rsidRPr="004B61EA">
        <w:rPr>
          <w:rFonts w:ascii="Arial" w:hAnsi="Arial" w:cs="Arial"/>
          <w:sz w:val="24"/>
          <w:szCs w:val="24"/>
          <w:lang w:val="en-US"/>
        </w:rPr>
        <w:t>), or admission to the neonatal unit at term (defined as admission &lt;48 h after birth at ≥37 weeks’ gestational age and discharge ≥48 h after admission).</w:t>
      </w:r>
    </w:p>
    <w:p w14:paraId="0223E41C" w14:textId="77777777" w:rsidR="00DD7E63" w:rsidRPr="004B61EA" w:rsidRDefault="00DD7E63" w:rsidP="008840E6">
      <w:pPr>
        <w:pStyle w:val="NoSpacing"/>
        <w:spacing w:line="480" w:lineRule="auto"/>
        <w:rPr>
          <w:rFonts w:ascii="Arial" w:hAnsi="Arial" w:cs="Arial"/>
          <w:sz w:val="24"/>
          <w:szCs w:val="24"/>
          <w:lang w:val="en-US"/>
        </w:rPr>
      </w:pPr>
    </w:p>
    <w:p w14:paraId="29EC0C92" w14:textId="5071700E" w:rsidR="00AF37EC" w:rsidRPr="004B61EA" w:rsidRDefault="00C679D3" w:rsidP="008840E6">
      <w:pPr>
        <w:pStyle w:val="NoSpacing"/>
        <w:spacing w:line="480" w:lineRule="auto"/>
        <w:rPr>
          <w:rFonts w:ascii="Arial" w:hAnsi="Arial" w:cs="Arial"/>
          <w:sz w:val="24"/>
          <w:szCs w:val="24"/>
          <w:lang w:val="en-US"/>
        </w:rPr>
      </w:pPr>
      <w:r w:rsidRPr="004B61EA">
        <w:rPr>
          <w:rFonts w:ascii="Arial" w:hAnsi="Arial" w:cs="Arial"/>
          <w:sz w:val="24"/>
          <w:szCs w:val="24"/>
          <w:lang w:val="en-US"/>
        </w:rPr>
        <w:t>Q</w:t>
      </w:r>
      <w:r w:rsidR="0067641E" w:rsidRPr="004B61EA">
        <w:rPr>
          <w:rFonts w:ascii="Arial" w:hAnsi="Arial" w:cs="Arial"/>
          <w:sz w:val="24"/>
          <w:szCs w:val="24"/>
          <w:lang w:val="en-US"/>
        </w:rPr>
        <w:t xml:space="preserve">uantification of </w:t>
      </w:r>
      <w:r w:rsidR="004955FF" w:rsidRPr="004B61EA">
        <w:rPr>
          <w:rFonts w:ascii="Arial" w:hAnsi="Arial" w:cs="Arial"/>
          <w:sz w:val="24"/>
          <w:szCs w:val="24"/>
          <w:lang w:val="en-US"/>
        </w:rPr>
        <w:t>Uterine artery (</w:t>
      </w:r>
      <w:r w:rsidR="0067641E" w:rsidRPr="004B61EA">
        <w:rPr>
          <w:rFonts w:ascii="Arial" w:hAnsi="Arial" w:cs="Arial"/>
          <w:sz w:val="24"/>
          <w:szCs w:val="24"/>
          <w:lang w:val="en-US"/>
        </w:rPr>
        <w:t>UtA</w:t>
      </w:r>
      <w:r w:rsidR="004955FF" w:rsidRPr="004B61EA">
        <w:rPr>
          <w:rFonts w:ascii="Arial" w:hAnsi="Arial" w:cs="Arial"/>
          <w:sz w:val="24"/>
          <w:szCs w:val="24"/>
          <w:lang w:val="en-US"/>
        </w:rPr>
        <w:t>)</w:t>
      </w:r>
      <w:r w:rsidR="0067641E" w:rsidRPr="004B61EA">
        <w:rPr>
          <w:rFonts w:ascii="Arial" w:hAnsi="Arial" w:cs="Arial"/>
          <w:sz w:val="24"/>
          <w:szCs w:val="24"/>
          <w:lang w:val="en-US"/>
        </w:rPr>
        <w:t xml:space="preserve"> and </w:t>
      </w:r>
      <w:r w:rsidR="004955FF" w:rsidRPr="004B61EA">
        <w:rPr>
          <w:rFonts w:ascii="Arial" w:hAnsi="Arial" w:cs="Arial"/>
          <w:sz w:val="24"/>
          <w:szCs w:val="24"/>
          <w:lang w:val="en-US"/>
        </w:rPr>
        <w:t>Umbilical artery (</w:t>
      </w:r>
      <w:r w:rsidR="0067641E" w:rsidRPr="004B61EA">
        <w:rPr>
          <w:rFonts w:ascii="Arial" w:hAnsi="Arial" w:cs="Arial"/>
          <w:sz w:val="24"/>
          <w:szCs w:val="24"/>
          <w:lang w:val="en-US"/>
        </w:rPr>
        <w:t>UmA</w:t>
      </w:r>
      <w:r w:rsidR="004955FF" w:rsidRPr="004B61EA">
        <w:rPr>
          <w:rFonts w:ascii="Arial" w:hAnsi="Arial" w:cs="Arial"/>
          <w:sz w:val="24"/>
          <w:szCs w:val="24"/>
          <w:lang w:val="en-US"/>
        </w:rPr>
        <w:t>)</w:t>
      </w:r>
      <w:r w:rsidR="00C33B0B" w:rsidRPr="004B61EA">
        <w:rPr>
          <w:rFonts w:ascii="Arial" w:hAnsi="Arial" w:cs="Arial"/>
          <w:sz w:val="24"/>
          <w:szCs w:val="24"/>
          <w:lang w:val="en-US"/>
        </w:rPr>
        <w:t xml:space="preserve"> Doppler flow velocity waveforms was</w:t>
      </w:r>
      <w:r w:rsidRPr="004B61EA">
        <w:rPr>
          <w:rFonts w:ascii="Arial" w:hAnsi="Arial" w:cs="Arial"/>
          <w:sz w:val="24"/>
          <w:szCs w:val="24"/>
          <w:lang w:val="en-US"/>
        </w:rPr>
        <w:t xml:space="preserve"> done</w:t>
      </w:r>
      <w:r w:rsidR="00C33B0B" w:rsidRPr="004B61EA">
        <w:rPr>
          <w:rFonts w:ascii="Arial" w:hAnsi="Arial" w:cs="Arial"/>
          <w:sz w:val="24"/>
          <w:szCs w:val="24"/>
          <w:lang w:val="en-US"/>
        </w:rPr>
        <w:t xml:space="preserve"> by the pulsatility index (PI).</w:t>
      </w:r>
      <w:r w:rsidR="00AA76A2" w:rsidRPr="004B61EA">
        <w:rPr>
          <w:rFonts w:ascii="Arial" w:hAnsi="Arial" w:cs="Arial"/>
          <w:sz w:val="24"/>
          <w:szCs w:val="24"/>
          <w:lang w:val="en-US"/>
        </w:rPr>
        <w:t xml:space="preserve"> </w:t>
      </w:r>
      <w:r w:rsidR="00C33B0B" w:rsidRPr="004B61EA">
        <w:rPr>
          <w:rFonts w:ascii="Arial" w:hAnsi="Arial" w:cs="Arial"/>
          <w:sz w:val="24"/>
          <w:szCs w:val="24"/>
          <w:lang w:val="en-US"/>
        </w:rPr>
        <w:t xml:space="preserve">UtA PI was quantified </w:t>
      </w:r>
      <w:r w:rsidR="00E803EB" w:rsidRPr="004B61EA">
        <w:rPr>
          <w:rFonts w:ascii="Arial" w:hAnsi="Arial" w:cs="Arial"/>
          <w:sz w:val="24"/>
          <w:szCs w:val="24"/>
          <w:lang w:val="en-US"/>
        </w:rPr>
        <w:t xml:space="preserve">at the 20 weeks scan </w:t>
      </w:r>
      <w:r w:rsidR="00C33B0B" w:rsidRPr="004B61EA">
        <w:rPr>
          <w:rFonts w:ascii="Arial" w:hAnsi="Arial" w:cs="Arial"/>
          <w:sz w:val="24"/>
          <w:szCs w:val="24"/>
          <w:lang w:val="en-US"/>
        </w:rPr>
        <w:t>as the mean PI of the left and right uterine arteries</w:t>
      </w:r>
      <w:r w:rsidR="004955FF" w:rsidRPr="004B61EA">
        <w:rPr>
          <w:rFonts w:ascii="Arial" w:hAnsi="Arial" w:cs="Arial"/>
          <w:sz w:val="24"/>
          <w:szCs w:val="24"/>
          <w:lang w:val="en-US"/>
        </w:rPr>
        <w:t xml:space="preserve"> </w:t>
      </w:r>
      <w:r w:rsidR="00A5195E" w:rsidRPr="004B61EA">
        <w:rPr>
          <w:rFonts w:ascii="Arial" w:hAnsi="Arial" w:cs="Arial"/>
          <w:sz w:val="24"/>
          <w:szCs w:val="24"/>
          <w:lang w:val="en-US"/>
        </w:rPr>
        <w:fldChar w:fldCharType="begin" w:fldLock="1"/>
      </w:r>
      <w:r w:rsidR="0023362E" w:rsidRPr="004B61EA">
        <w:rPr>
          <w:rFonts w:ascii="Arial" w:hAnsi="Arial" w:cs="Arial"/>
          <w:sz w:val="24"/>
          <w:szCs w:val="24"/>
          <w:lang w:val="en-US"/>
        </w:rPr>
        <w:instrText>ADDIN CSL_CITATION { "citationItems" : [ { "id" : "ITEM-1", "itemData" : { "DOI" : "10.1002/uog.12371", "ISSN" : "1469-0705", "PMID" : "23371348", "author" : [ { "dropping-particle" : "", "family" : "Bhide", "given" : "A", "non-dropping-particle" : "", "parse-names" : false, "suffix" : "" }, { "dropping-particle" : "", "family" : "Acharya", "given" : "G", "non-dropping-particle" : "", "parse-names" : false, "suffix" : "" }, { "dropping-particle" : "", "family" : "Bilardo", "given" : "C M", "non-dropping-particle" : "", "parse-names" : false, "suffix" : "" }, { "dropping-particle" : "", "family" : "Brezinka", "given" : "C", "non-dropping-particle" : "", "parse-names" : false, "suffix" : "" }, { "dropping-particle" : "", "family" : "Cafici", "given" : "D", "non-dropping-particle" : "", "parse-names" : false, "suffix" : "" }, { "dropping-particle" : "", "family" : "Hernandez-Andrade", "given" : "E", "non-dropping-particle" : "", "parse-names" : false, "suffix" : "" }, { "dropping-particle" : "", "family" : "Kalache", "given" : "K", "non-dropping-particle" : "", "parse-names" : false, "suffix" : "" }, { "dropping-particle" : "", "family" : "Kingdom", "given" : "J", "non-dropping-particle" : "", "parse-names" : false, "suffix" : "" }, { "dropping-particle" : "", "family" : "Kiserud", "given" : "T", "non-dropping-particle" : "", "parse-names" : false, "suffix" : "" }, { "dropping-particle" : "", "family" : "Lee", "given" : "W", "non-dropping-particle" : "", "parse-names" : false, "suffix" : "" }, { "dropping-particle" : "", "family" : "Lees", "given" : "C", "non-dropping-particle" : "", "parse-names" : false, "suffix" : "" }, { "dropping-particle" : "", "family" : "Leung", "given" : "K Y", "non-dropping-particle" : "", "parse-names" : false, "suffix" : "" }, { "dropping-particle" : "", "family" : "Malinger", "given" : "G", "non-dropping-particle" : "", "parse-names" : false, "suffix" : "" }, { "dropping-particle" : "", "family" : "Mari", "given" : "G", "non-dropping-particle" : "", "parse-names" : false, "suffix" : "" }, { "dropping-particle" : "", "family" : "Prefumo", "given" : "F", "non-dropping-particle" : "", "parse-names" : false, "suffix" : "" }, { "dropping-particle" : "", "family" : "Sepulveda", "given" : "W", "non-dropping-particle" : "", "parse-names" : false, "suffix" : "" }, { "dropping-particle" : "", "family" : "Trudinger", "given" : "B", "non-dropping-particle" : "", "parse-names" : false, "suffix" : "" } ], "container-title" : "Ultrasound in obstetrics &amp; gynecology : the official journal of the International Society of Ultrasound in Obstetrics and Gynecology", "id" : "ITEM-1", "issue" : "2", "issued" : { "date-parts" : [ [ "2013", "2" ] ] }, "page" : "233-39", "title" : "ISUOG practice guidelines: use of Doppler ultrasonography in obstetrics.", "type" : "article-journal", "volume" : "41" }, "uris" : [ "http://www.mendeley.com/documents/?uuid=c9835baa-ccb2-443b-8ad7-92bca3707bfb" ] } ], "mendeley" : { "formattedCitation" : "[11]", "plainTextFormattedCitation" : "[11]", "previouslyFormattedCitation" : "[11]" }, "properties" : { "noteIndex" : 0 }, "schema" : "https://github.com/citation-style-language/schema/raw/master/csl-citation.json" }</w:instrText>
      </w:r>
      <w:r w:rsidR="00A5195E" w:rsidRPr="004B61EA">
        <w:rPr>
          <w:rFonts w:ascii="Arial" w:hAnsi="Arial" w:cs="Arial"/>
          <w:sz w:val="24"/>
          <w:szCs w:val="24"/>
          <w:lang w:val="en-US"/>
        </w:rPr>
        <w:fldChar w:fldCharType="separate"/>
      </w:r>
      <w:r w:rsidR="00CD04E5" w:rsidRPr="004B61EA">
        <w:rPr>
          <w:rFonts w:ascii="Arial" w:hAnsi="Arial" w:cs="Arial"/>
          <w:noProof/>
          <w:sz w:val="24"/>
          <w:szCs w:val="24"/>
          <w:lang w:val="en-US"/>
        </w:rPr>
        <w:t>[11]</w:t>
      </w:r>
      <w:r w:rsidR="00A5195E" w:rsidRPr="004B61EA">
        <w:rPr>
          <w:rFonts w:ascii="Arial" w:hAnsi="Arial" w:cs="Arial"/>
          <w:sz w:val="24"/>
          <w:szCs w:val="24"/>
          <w:lang w:val="en-US"/>
        </w:rPr>
        <w:fldChar w:fldCharType="end"/>
      </w:r>
      <w:r w:rsidR="004955FF" w:rsidRPr="004B61EA">
        <w:rPr>
          <w:rFonts w:ascii="Arial" w:hAnsi="Arial" w:cs="Arial"/>
          <w:sz w:val="24"/>
          <w:szCs w:val="24"/>
          <w:lang w:val="en-US"/>
        </w:rPr>
        <w:t>. UmA</w:t>
      </w:r>
      <w:r w:rsidRPr="004B61EA">
        <w:rPr>
          <w:rFonts w:ascii="Arial" w:hAnsi="Arial" w:cs="Arial"/>
          <w:sz w:val="24"/>
          <w:szCs w:val="24"/>
          <w:lang w:val="en-US"/>
        </w:rPr>
        <w:t xml:space="preserve"> </w:t>
      </w:r>
      <w:r w:rsidR="004955FF" w:rsidRPr="004B61EA">
        <w:rPr>
          <w:rFonts w:ascii="Arial" w:hAnsi="Arial" w:cs="Arial"/>
          <w:sz w:val="24"/>
          <w:szCs w:val="24"/>
          <w:lang w:val="en-US"/>
        </w:rPr>
        <w:t xml:space="preserve">PI </w:t>
      </w:r>
      <w:r w:rsidRPr="004B61EA">
        <w:rPr>
          <w:rFonts w:ascii="Arial" w:hAnsi="Arial" w:cs="Arial"/>
          <w:sz w:val="24"/>
          <w:szCs w:val="24"/>
          <w:lang w:val="en-US"/>
        </w:rPr>
        <w:t>was measur</w:t>
      </w:r>
      <w:r w:rsidR="00E803EB" w:rsidRPr="004B61EA">
        <w:rPr>
          <w:rFonts w:ascii="Arial" w:hAnsi="Arial" w:cs="Arial"/>
          <w:sz w:val="24"/>
          <w:szCs w:val="24"/>
          <w:lang w:val="en-US"/>
        </w:rPr>
        <w:t>ed</w:t>
      </w:r>
      <w:r w:rsidRPr="004B61EA">
        <w:rPr>
          <w:rFonts w:ascii="Arial" w:hAnsi="Arial" w:cs="Arial"/>
          <w:sz w:val="24"/>
          <w:szCs w:val="24"/>
          <w:lang w:val="en-US"/>
        </w:rPr>
        <w:t xml:space="preserve"> at the 36 week scan.</w:t>
      </w:r>
      <w:r w:rsidR="00C33B0B" w:rsidRPr="004B61EA">
        <w:rPr>
          <w:rFonts w:ascii="Arial" w:hAnsi="Arial" w:cs="Arial"/>
          <w:sz w:val="24"/>
          <w:szCs w:val="24"/>
          <w:lang w:val="en-US"/>
        </w:rPr>
        <w:t xml:space="preserve"> Measurements were converted into GA-adjusted z-scores defined within the POP stud</w:t>
      </w:r>
      <w:r w:rsidR="00BB06BF" w:rsidRPr="004B61EA">
        <w:rPr>
          <w:rFonts w:ascii="Arial" w:hAnsi="Arial" w:cs="Arial"/>
          <w:sz w:val="24"/>
          <w:szCs w:val="24"/>
          <w:lang w:val="en-US"/>
        </w:rPr>
        <w:t>y</w:t>
      </w:r>
      <w:r w:rsidR="004955FF" w:rsidRPr="004B61EA">
        <w:rPr>
          <w:rFonts w:ascii="Arial" w:hAnsi="Arial" w:cs="Arial"/>
          <w:sz w:val="24"/>
          <w:szCs w:val="24"/>
          <w:lang w:val="en-US"/>
        </w:rPr>
        <w:t xml:space="preserve"> </w:t>
      </w:r>
      <w:r w:rsidR="00A5195E" w:rsidRPr="004B61EA">
        <w:rPr>
          <w:rFonts w:ascii="Arial" w:hAnsi="Arial" w:cs="Arial"/>
          <w:sz w:val="24"/>
          <w:szCs w:val="24"/>
          <w:lang w:val="en-US"/>
        </w:rPr>
        <w:fldChar w:fldCharType="begin" w:fldLock="1"/>
      </w:r>
      <w:r w:rsidR="004E1D60" w:rsidRPr="004B61EA">
        <w:rPr>
          <w:rFonts w:ascii="Arial" w:hAnsi="Arial" w:cs="Arial"/>
          <w:sz w:val="24"/>
          <w:szCs w:val="24"/>
          <w:lang w:val="en-US"/>
        </w:rPr>
        <w:instrText>ADDIN CSL_CITATION { "citationItems" : [ { "id" : "ITEM-1", "itemData" : { "DOI" : "10.1016/S0140-6736(15)00131-2", "ISSN" : "1474-547X", "PMID" : "26360240", "abstract" : "BACKGROUND Fetal growth restriction is a major determinant of adverse perinatal outcome. Screening procedures for fetal growth restriction need to identify small babies and then differentiate between those that are healthy and those that are pathologically small. We sought to determine the diagnostic effectiveness of universal ultrasonic fetal biometry in the third trimester as a screening test for small-for-gestational-age (SGA) infants, and whether the risk of morbidity associated with being small differed in the presence or absence of ultrasonic markers of fetal growth restriction. METHODS The Pregnancy Outcome Prediction (POP) study was a prospective cohort study of nulliparous women with a viable singleton pregnancy at the time of the dating ultrasound scan. Women participating had clinically indicated ultrasonography in the third trimester as per routine clinical care and these results were reported as usual (selective ultrasonography). Additionally, all participants had research ultrasonography, including fetal biometry at 28 and 36 weeks' gestational age. These results were not made available to participants or treating clinicians (universal ultrasonography). We regarded SGA as a birthweight of less than the 10th percentile for gestational age and screen positive for SGA an ultrasonographic estimated fetal weight of less than the 10th percentile for gestational age. Markers of fetal growth restriction included biometric ratios, utero-placental Doppler, and fetal growth velocity. We assessed outcomes for consenting participants who attended research scans and had a livebirth at the Rosie Hospital (Cambridge, UK) after the 28 weeks' research scan. FINDINGS Between Jan 14, 2008, and July 31, 2012, 4512 women provided written informed consent of whom 3977 (88%) were eligible for analysis. Sensitivity for detection of SGA infants was 20% (95% CI 15-24; 69 of 352 fetuses) for selective ultrasonography and 57% (51-62; 199 of 352 fetuses) for universal ultrasonography (relative sensitivity 2\u00b79, 95% CI 2\u00b74-3\u00b75, p&lt;0\u00b70001). Of the 3977 fetuses, 562 (14\u00b71%) were identified by universal ultrasonography with an estimated fetal weight of less than the 10th percentile and were at an increased risk of neonatal morbidity (relative risk [RR] 1\u00b760, 95% CI 1\u00b722-2\u00b709, p=0\u00b70012). However, estimated fetal weight of less than the 10th percentile was only associated with the risk of neonatal morbidity (pinteraction=0\u00b7005) if the fetal abdominal circumference growth veloc\u2026", "author" : [ { "dropping-particle" : "", "family" : "Sovio", "given" : "Ulla", "non-dropping-particle" : "", "parse-names" : false, "suffix" : "" }, { "dropping-particle" : "", "family" : "White", "given" : "Ian R", "non-dropping-particle" : "", "parse-names" : false, "suffix" : "" }, { "dropping-particle" : "", "family" : "Dacey", "given" : "Alison", "non-dropping-particle" : "", "parse-names" : false, "suffix" : "" }, { "dropping-particle" : "", "family" : "Pasupathy", "given" : "Dharmintra", "non-dropping-particle" : "", "parse-names" : false, "suffix" : "" }, { "dropping-particle" : "", "family" : "Smith", "given" : "Gordon C S", "non-dropping-particle" : "", "parse-names" : false, "suffix" : "" } ], "container-title" : "Lancet (London, England)", "id" : "ITEM-1", "issue" : "10008", "issued" : { "date-parts" : [ [ "2015", "11", "21" ] ] }, "page" : "2089-97", "title" : "Screening for fetal growth restriction with universal third trimester ultrasonography in nulliparous women in the Pregnancy Outcome Prediction (POP) study: a prospective cohort study.", "type" : "article-journal", "volume" : "386" }, "uris" : [ "http://www.mendeley.com/documents/?uuid=b85c438f-6e0f-36de-ae85-8cd037a6a5a9" ] } ], "mendeley" : { "formattedCitation" : "[7]", "plainTextFormattedCitation" : "[7]", "previouslyFormattedCitation" : "[7]" }, "properties" : { "noteIndex" : 0 }, "schema" : "https://github.com/citation-style-language/schema/raw/master/csl-citation.json" }</w:instrText>
      </w:r>
      <w:r w:rsidR="00A5195E" w:rsidRPr="004B61EA">
        <w:rPr>
          <w:rFonts w:ascii="Arial" w:hAnsi="Arial" w:cs="Arial"/>
          <w:sz w:val="24"/>
          <w:szCs w:val="24"/>
          <w:lang w:val="en-US"/>
        </w:rPr>
        <w:fldChar w:fldCharType="separate"/>
      </w:r>
      <w:r w:rsidR="004E1D60" w:rsidRPr="004B61EA">
        <w:rPr>
          <w:rFonts w:ascii="Arial" w:hAnsi="Arial" w:cs="Arial"/>
          <w:noProof/>
          <w:sz w:val="24"/>
          <w:szCs w:val="24"/>
          <w:lang w:val="en-US"/>
        </w:rPr>
        <w:t>[7]</w:t>
      </w:r>
      <w:r w:rsidR="00A5195E" w:rsidRPr="004B61EA">
        <w:rPr>
          <w:rFonts w:ascii="Arial" w:hAnsi="Arial" w:cs="Arial"/>
          <w:sz w:val="24"/>
          <w:szCs w:val="24"/>
          <w:lang w:val="en-US"/>
        </w:rPr>
        <w:fldChar w:fldCharType="end"/>
      </w:r>
      <w:r w:rsidR="00BB06BF" w:rsidRPr="004B61EA">
        <w:rPr>
          <w:rFonts w:ascii="Arial" w:hAnsi="Arial" w:cs="Arial"/>
          <w:sz w:val="24"/>
          <w:szCs w:val="24"/>
          <w:lang w:val="en-US"/>
        </w:rPr>
        <w:t>, to</w:t>
      </w:r>
      <w:r w:rsidR="00751764" w:rsidRPr="004B61EA">
        <w:rPr>
          <w:rFonts w:ascii="Arial" w:hAnsi="Arial" w:cs="Arial"/>
          <w:sz w:val="24"/>
          <w:szCs w:val="24"/>
          <w:lang w:val="en-US"/>
        </w:rPr>
        <w:t xml:space="preserve"> adjust for minor variation in th</w:t>
      </w:r>
      <w:r w:rsidR="00BB06BF" w:rsidRPr="004B61EA">
        <w:rPr>
          <w:rFonts w:ascii="Arial" w:hAnsi="Arial" w:cs="Arial"/>
          <w:sz w:val="24"/>
          <w:szCs w:val="24"/>
          <w:lang w:val="en-US"/>
        </w:rPr>
        <w:t>e exact GA at the scan. Abdominal circumference growth velocity (ACGV) was obtained by ca</w:t>
      </w:r>
      <w:r w:rsidR="003936DF" w:rsidRPr="004B61EA">
        <w:rPr>
          <w:rFonts w:ascii="Arial" w:hAnsi="Arial" w:cs="Arial"/>
          <w:sz w:val="24"/>
          <w:szCs w:val="24"/>
          <w:lang w:val="en-US"/>
        </w:rPr>
        <w:t xml:space="preserve">lculating the difference in AC </w:t>
      </w:r>
      <w:r w:rsidR="00402168" w:rsidRPr="004B61EA">
        <w:rPr>
          <w:rFonts w:ascii="Arial" w:hAnsi="Arial" w:cs="Arial"/>
          <w:sz w:val="24"/>
          <w:szCs w:val="24"/>
          <w:lang w:val="en-US"/>
        </w:rPr>
        <w:t>z</w:t>
      </w:r>
      <w:r w:rsidR="00BB06BF" w:rsidRPr="004B61EA">
        <w:rPr>
          <w:rFonts w:ascii="Arial" w:hAnsi="Arial" w:cs="Arial"/>
          <w:sz w:val="24"/>
          <w:szCs w:val="24"/>
          <w:lang w:val="en-US"/>
        </w:rPr>
        <w:t xml:space="preserve">-score between the 20 </w:t>
      </w:r>
      <w:r w:rsidR="003936DF" w:rsidRPr="004B61EA">
        <w:rPr>
          <w:rFonts w:ascii="Arial" w:hAnsi="Arial" w:cs="Arial"/>
          <w:sz w:val="24"/>
          <w:szCs w:val="24"/>
          <w:lang w:val="en-US"/>
        </w:rPr>
        <w:t>week and 36 week scans</w:t>
      </w:r>
      <w:r w:rsidR="004955FF" w:rsidRPr="004B61EA">
        <w:rPr>
          <w:rFonts w:ascii="Arial" w:hAnsi="Arial" w:cs="Arial"/>
          <w:sz w:val="24"/>
          <w:szCs w:val="24"/>
          <w:lang w:val="en-US"/>
        </w:rPr>
        <w:t xml:space="preserve"> </w:t>
      </w:r>
      <w:r w:rsidR="00A5195E" w:rsidRPr="004B61EA">
        <w:rPr>
          <w:rFonts w:ascii="Arial" w:hAnsi="Arial" w:cs="Arial"/>
          <w:sz w:val="24"/>
          <w:szCs w:val="24"/>
          <w:lang w:val="en-US"/>
        </w:rPr>
        <w:fldChar w:fldCharType="begin" w:fldLock="1"/>
      </w:r>
      <w:r w:rsidR="004E1D60" w:rsidRPr="004B61EA">
        <w:rPr>
          <w:rFonts w:ascii="Arial" w:hAnsi="Arial" w:cs="Arial"/>
          <w:sz w:val="24"/>
          <w:szCs w:val="24"/>
          <w:lang w:val="en-US"/>
        </w:rPr>
        <w:instrText>ADDIN CSL_CITATION { "citationItems" : [ { "id" : "ITEM-1", "itemData" : { "DOI" : "10.1016/S0140-6736(15)00131-2", "ISSN" : "1474-547X", "PMID" : "26360240", "abstract" : "BACKGROUND Fetal growth restriction is a major determinant of adverse perinatal outcome. Screening procedures for fetal growth restriction need to identify small babies and then differentiate between those that are healthy and those that are pathologically small. We sought to determine the diagnostic effectiveness of universal ultrasonic fetal biometry in the third trimester as a screening test for small-for-gestational-age (SGA) infants, and whether the risk of morbidity associated with being small differed in the presence or absence of ultrasonic markers of fetal growth restriction. METHODS The Pregnancy Outcome Prediction (POP) study was a prospective cohort study of nulliparous women with a viable singleton pregnancy at the time of the dating ultrasound scan. Women participating had clinically indicated ultrasonography in the third trimester as per routine clinical care and these results were reported as usual (selective ultrasonography). Additionally, all participants had research ultrasonography, including fetal biometry at 28 and 36 weeks' gestational age. These results were not made available to participants or treating clinicians (universal ultrasonography). We regarded SGA as a birthweight of less than the 10th percentile for gestational age and screen positive for SGA an ultrasonographic estimated fetal weight of less than the 10th percentile for gestational age. Markers of fetal growth restriction included biometric ratios, utero-placental Doppler, and fetal growth velocity. We assessed outcomes for consenting participants who attended research scans and had a livebirth at the Rosie Hospital (Cambridge, UK) after the 28 weeks' research scan. FINDINGS Between Jan 14, 2008, and July 31, 2012, 4512 women provided written informed consent of whom 3977 (88%) were eligible for analysis. Sensitivity for detection of SGA infants was 20% (95% CI 15-24; 69 of 352 fetuses) for selective ultrasonography and 57% (51-62; 199 of 352 fetuses) for universal ultrasonography (relative sensitivity 2\u00b79, 95% CI 2\u00b74-3\u00b75, p&lt;0\u00b70001). Of the 3977 fetuses, 562 (14\u00b71%) were identified by universal ultrasonography with an estimated fetal weight of less than the 10th percentile and were at an increased risk of neonatal morbidity (relative risk [RR] 1\u00b760, 95% CI 1\u00b722-2\u00b709, p=0\u00b70012). However, estimated fetal weight of less than the 10th percentile was only associated with the risk of neonatal morbidity (pinteraction=0\u00b7005) if the fetal abdominal circumference growth veloc\u2026", "author" : [ { "dropping-particle" : "", "family" : "Sovio", "given" : "Ulla", "non-dropping-particle" : "", "parse-names" : false, "suffix" : "" }, { "dropping-particle" : "", "family" : "White", "given" : "Ian R", "non-dropping-particle" : "", "parse-names" : false, "suffix" : "" }, { "dropping-particle" : "", "family" : "Dacey", "given" : "Alison", "non-dropping-particle" : "", "parse-names" : false, "suffix" : "" }, { "dropping-particle" : "", "family" : "Pasupathy", "given" : "Dharmintra", "non-dropping-particle" : "", "parse-names" : false, "suffix" : "" }, { "dropping-particle" : "", "family" : "Smith", "given" : "Gordon C S", "non-dropping-particle" : "", "parse-names" : false, "suffix" : "" } ], "container-title" : "Lancet (London, England)", "id" : "ITEM-1", "issue" : "10008", "issued" : { "date-parts" : [ [ "2015", "11", "21" ] ] }, "page" : "2089-97", "title" : "Screening for fetal growth restriction with universal third trimester ultrasonography in nulliparous women in the Pregnancy Outcome Prediction (POP) study: a prospective cohort study.", "type" : "article-journal", "volume" : "386" }, "uris" : [ "http://www.mendeley.com/documents/?uuid=b85c438f-6e0f-36de-ae85-8cd037a6a5a9" ] } ], "mendeley" : { "formattedCitation" : "[7]", "plainTextFormattedCitation" : "[7]", "previouslyFormattedCitation" : "[7]" }, "properties" : { "noteIndex" : 0 }, "schema" : "https://github.com/citation-style-language/schema/raw/master/csl-citation.json" }</w:instrText>
      </w:r>
      <w:r w:rsidR="00A5195E" w:rsidRPr="004B61EA">
        <w:rPr>
          <w:rFonts w:ascii="Arial" w:hAnsi="Arial" w:cs="Arial"/>
          <w:sz w:val="24"/>
          <w:szCs w:val="24"/>
          <w:lang w:val="en-US"/>
        </w:rPr>
        <w:fldChar w:fldCharType="separate"/>
      </w:r>
      <w:r w:rsidR="004E1D60" w:rsidRPr="004B61EA">
        <w:rPr>
          <w:rFonts w:ascii="Arial" w:hAnsi="Arial" w:cs="Arial"/>
          <w:noProof/>
          <w:sz w:val="24"/>
          <w:szCs w:val="24"/>
          <w:lang w:val="en-US"/>
        </w:rPr>
        <w:t>[7]</w:t>
      </w:r>
      <w:r w:rsidR="00A5195E" w:rsidRPr="004B61EA">
        <w:rPr>
          <w:rFonts w:ascii="Arial" w:hAnsi="Arial" w:cs="Arial"/>
          <w:sz w:val="24"/>
          <w:szCs w:val="24"/>
          <w:lang w:val="en-US"/>
        </w:rPr>
        <w:fldChar w:fldCharType="end"/>
      </w:r>
      <w:r w:rsidR="00F47A14" w:rsidRPr="004B61EA">
        <w:rPr>
          <w:rFonts w:ascii="Arial" w:hAnsi="Arial" w:cs="Arial"/>
          <w:sz w:val="24"/>
          <w:szCs w:val="24"/>
          <w:lang w:val="en-US"/>
        </w:rPr>
        <w:t xml:space="preserve"> and negative values indicate slowing of fetal abdominal growth over this time interval</w:t>
      </w:r>
      <w:r w:rsidR="003936DF" w:rsidRPr="004B61EA">
        <w:rPr>
          <w:rFonts w:ascii="Arial" w:hAnsi="Arial" w:cs="Arial"/>
          <w:sz w:val="24"/>
          <w:szCs w:val="24"/>
          <w:lang w:val="en-US"/>
        </w:rPr>
        <w:t>. For UtA and UmA Doppler flow ve</w:t>
      </w:r>
      <w:r w:rsidR="00307B23" w:rsidRPr="004B61EA">
        <w:rPr>
          <w:rFonts w:ascii="Arial" w:hAnsi="Arial" w:cs="Arial"/>
          <w:sz w:val="24"/>
          <w:szCs w:val="24"/>
          <w:lang w:val="en-US"/>
        </w:rPr>
        <w:t>locity waveforms and ACGV, quintil</w:t>
      </w:r>
      <w:r w:rsidR="003936DF" w:rsidRPr="004B61EA">
        <w:rPr>
          <w:rFonts w:ascii="Arial" w:hAnsi="Arial" w:cs="Arial"/>
          <w:sz w:val="24"/>
          <w:szCs w:val="24"/>
          <w:lang w:val="en-US"/>
        </w:rPr>
        <w:t>es were generated by use of the distribution of the study cohort.</w:t>
      </w:r>
      <w:r w:rsidR="005A3661" w:rsidRPr="004B61EA">
        <w:rPr>
          <w:rFonts w:ascii="Arial" w:hAnsi="Arial" w:cs="Arial"/>
          <w:sz w:val="24"/>
          <w:szCs w:val="24"/>
          <w:lang w:val="en-US"/>
        </w:rPr>
        <w:t xml:space="preserve"> </w:t>
      </w:r>
      <w:r w:rsidR="00DD7E63" w:rsidRPr="004B61EA">
        <w:rPr>
          <w:rFonts w:ascii="Arial" w:hAnsi="Arial" w:cs="Arial"/>
          <w:sz w:val="24"/>
          <w:szCs w:val="24"/>
          <w:lang w:val="en-US"/>
        </w:rPr>
        <w:t>H</w:t>
      </w:r>
      <w:r w:rsidR="00402168" w:rsidRPr="004B61EA">
        <w:rPr>
          <w:rFonts w:ascii="Arial" w:hAnsi="Arial" w:cs="Arial"/>
          <w:sz w:val="24"/>
          <w:szCs w:val="24"/>
          <w:lang w:val="en-US"/>
        </w:rPr>
        <w:t>igh resistance</w:t>
      </w:r>
      <w:r w:rsidR="00DD7E63" w:rsidRPr="004B61EA">
        <w:rPr>
          <w:rFonts w:ascii="Arial" w:hAnsi="Arial" w:cs="Arial"/>
          <w:sz w:val="24"/>
          <w:szCs w:val="24"/>
          <w:lang w:val="en-US"/>
        </w:rPr>
        <w:t xml:space="preserve"> UtA and UmA</w:t>
      </w:r>
      <w:r w:rsidR="00402168" w:rsidRPr="004B61EA">
        <w:rPr>
          <w:rFonts w:ascii="Arial" w:hAnsi="Arial" w:cs="Arial"/>
          <w:sz w:val="24"/>
          <w:szCs w:val="24"/>
          <w:lang w:val="en-US"/>
        </w:rPr>
        <w:t xml:space="preserve"> </w:t>
      </w:r>
      <w:r w:rsidR="00B60505" w:rsidRPr="004B61EA">
        <w:rPr>
          <w:rFonts w:ascii="Arial" w:hAnsi="Arial" w:cs="Arial"/>
          <w:sz w:val="24"/>
          <w:szCs w:val="24"/>
          <w:lang w:val="en-US"/>
        </w:rPr>
        <w:t>Doppler flow velocity waveforms w</w:t>
      </w:r>
      <w:r w:rsidR="00402168" w:rsidRPr="004B61EA">
        <w:rPr>
          <w:rFonts w:ascii="Arial" w:hAnsi="Arial" w:cs="Arial"/>
          <w:sz w:val="24"/>
          <w:szCs w:val="24"/>
          <w:lang w:val="en-US"/>
        </w:rPr>
        <w:t>ere</w:t>
      </w:r>
      <w:r w:rsidR="00B60505" w:rsidRPr="004B61EA">
        <w:rPr>
          <w:rFonts w:ascii="Arial" w:hAnsi="Arial" w:cs="Arial"/>
          <w:sz w:val="24"/>
          <w:szCs w:val="24"/>
          <w:lang w:val="en-US"/>
        </w:rPr>
        <w:t xml:space="preserve"> defined as </w:t>
      </w:r>
      <w:r w:rsidR="00307B23" w:rsidRPr="004B61EA">
        <w:rPr>
          <w:rFonts w:ascii="Arial" w:hAnsi="Arial" w:cs="Arial"/>
          <w:sz w:val="24"/>
          <w:szCs w:val="24"/>
          <w:lang w:val="en-US"/>
        </w:rPr>
        <w:t>the highest quintile</w:t>
      </w:r>
      <w:r w:rsidR="00B60505" w:rsidRPr="004B61EA">
        <w:rPr>
          <w:rFonts w:ascii="Arial" w:hAnsi="Arial" w:cs="Arial"/>
          <w:sz w:val="24"/>
          <w:szCs w:val="24"/>
          <w:lang w:val="en-US"/>
        </w:rPr>
        <w:t xml:space="preserve"> of uterine Doppler and umbilical Doppler, when treated categorically. When ACGV was used as a binary variable, reduced ACGV</w:t>
      </w:r>
      <w:r w:rsidR="00307B23" w:rsidRPr="004B61EA">
        <w:rPr>
          <w:rFonts w:ascii="Arial" w:hAnsi="Arial" w:cs="Arial"/>
          <w:sz w:val="24"/>
          <w:szCs w:val="24"/>
          <w:lang w:val="en-US"/>
        </w:rPr>
        <w:t xml:space="preserve"> was defined as the lowest quintil</w:t>
      </w:r>
      <w:r w:rsidR="00B60505" w:rsidRPr="004B61EA">
        <w:rPr>
          <w:rFonts w:ascii="Arial" w:hAnsi="Arial" w:cs="Arial"/>
          <w:sz w:val="24"/>
          <w:szCs w:val="24"/>
          <w:lang w:val="en-US"/>
        </w:rPr>
        <w:t xml:space="preserve">e </w:t>
      </w:r>
      <w:r w:rsidR="00307B23" w:rsidRPr="004B61EA">
        <w:rPr>
          <w:rFonts w:ascii="Arial" w:hAnsi="Arial" w:cs="Arial"/>
          <w:sz w:val="24"/>
          <w:szCs w:val="24"/>
          <w:lang w:val="en-US"/>
        </w:rPr>
        <w:t>and compared with all other quinti</w:t>
      </w:r>
      <w:r w:rsidR="005A3661" w:rsidRPr="004B61EA">
        <w:rPr>
          <w:rFonts w:ascii="Arial" w:hAnsi="Arial" w:cs="Arial"/>
          <w:sz w:val="24"/>
          <w:szCs w:val="24"/>
          <w:lang w:val="en-US"/>
        </w:rPr>
        <w:t xml:space="preserve">les. </w:t>
      </w:r>
    </w:p>
    <w:p w14:paraId="44B0C99A" w14:textId="77777777" w:rsidR="00DD7E63" w:rsidRPr="004B61EA" w:rsidRDefault="00DD7E63" w:rsidP="008840E6">
      <w:pPr>
        <w:pStyle w:val="NoSpacing"/>
        <w:spacing w:line="480" w:lineRule="auto"/>
        <w:rPr>
          <w:rFonts w:ascii="Arial" w:hAnsi="Arial" w:cs="Arial"/>
          <w:sz w:val="24"/>
          <w:szCs w:val="24"/>
          <w:lang w:val="en-US"/>
        </w:rPr>
      </w:pPr>
    </w:p>
    <w:p w14:paraId="320C41CD" w14:textId="04A0CC08" w:rsidR="00DD7E63" w:rsidRPr="004B61EA" w:rsidRDefault="00A4189D" w:rsidP="008840E6">
      <w:pPr>
        <w:spacing w:after="0" w:line="480" w:lineRule="auto"/>
        <w:rPr>
          <w:rFonts w:ascii="Arial" w:hAnsi="Arial" w:cs="Arial"/>
          <w:sz w:val="24"/>
          <w:szCs w:val="24"/>
          <w:lang w:val="en-US"/>
        </w:rPr>
      </w:pPr>
      <w:r w:rsidRPr="004B61EA">
        <w:rPr>
          <w:rFonts w:ascii="Arial" w:hAnsi="Arial" w:cs="Arial"/>
          <w:sz w:val="24"/>
          <w:szCs w:val="24"/>
          <w:lang w:val="en-US"/>
        </w:rPr>
        <w:t>Obesity and diabetes are maternal characteristics associated with pathological growth. Body mass index (BMI) at the 12 week scan was used as a proxy measurement for pre-pregnan</w:t>
      </w:r>
      <w:r w:rsidR="00246B25" w:rsidRPr="004B61EA">
        <w:rPr>
          <w:rFonts w:ascii="Arial" w:hAnsi="Arial" w:cs="Arial"/>
          <w:sz w:val="24"/>
          <w:szCs w:val="24"/>
          <w:lang w:val="en-US"/>
        </w:rPr>
        <w:t>cy BMI. Maternal obesity is</w:t>
      </w:r>
      <w:r w:rsidRPr="004B61EA">
        <w:rPr>
          <w:rFonts w:ascii="Arial" w:hAnsi="Arial" w:cs="Arial"/>
          <w:sz w:val="24"/>
          <w:szCs w:val="24"/>
          <w:lang w:val="en-US"/>
        </w:rPr>
        <w:t xml:space="preserve"> defined as a body mass index (BMI) above 30 kg/m</w:t>
      </w:r>
      <w:r w:rsidRPr="004B61EA">
        <w:rPr>
          <w:rFonts w:ascii="Arial" w:hAnsi="Arial" w:cs="Arial"/>
          <w:sz w:val="24"/>
          <w:szCs w:val="24"/>
          <w:vertAlign w:val="superscript"/>
          <w:lang w:val="en-US"/>
        </w:rPr>
        <w:t>2</w:t>
      </w:r>
      <w:r w:rsidRPr="004B61EA">
        <w:rPr>
          <w:rFonts w:ascii="Arial" w:hAnsi="Arial" w:cs="Arial"/>
          <w:sz w:val="24"/>
          <w:szCs w:val="24"/>
          <w:lang w:val="en-US"/>
        </w:rPr>
        <w:t xml:space="preserve">. </w:t>
      </w:r>
      <w:r w:rsidR="00246B25" w:rsidRPr="004B61EA">
        <w:rPr>
          <w:rFonts w:ascii="Arial" w:hAnsi="Arial" w:cs="Arial"/>
          <w:sz w:val="24"/>
          <w:szCs w:val="24"/>
          <w:lang w:val="en-US"/>
        </w:rPr>
        <w:t>T</w:t>
      </w:r>
      <w:r w:rsidRPr="004B61EA">
        <w:rPr>
          <w:rFonts w:ascii="Arial" w:hAnsi="Arial" w:cs="Arial"/>
          <w:sz w:val="24"/>
          <w:szCs w:val="24"/>
          <w:lang w:val="en-US"/>
        </w:rPr>
        <w:t>he WHO categories of BMI (i.e. &lt;</w:t>
      </w:r>
      <w:r w:rsidR="00246B25" w:rsidRPr="004B61EA">
        <w:rPr>
          <w:rFonts w:ascii="Arial" w:hAnsi="Arial" w:cs="Arial"/>
          <w:sz w:val="24"/>
          <w:szCs w:val="24"/>
          <w:lang w:val="en-US"/>
        </w:rPr>
        <w:t>18.5, 18.5-24.99, 25-29.99, ≥30)</w:t>
      </w:r>
      <w:r w:rsidR="00FC29F4" w:rsidRPr="004B61EA">
        <w:rPr>
          <w:rFonts w:ascii="Arial" w:hAnsi="Arial" w:cs="Arial"/>
          <w:sz w:val="24"/>
          <w:szCs w:val="24"/>
          <w:lang w:val="en-US"/>
        </w:rPr>
        <w:t xml:space="preserve"> </w:t>
      </w:r>
      <w:r w:rsidR="00EC469F" w:rsidRPr="004B61EA">
        <w:rPr>
          <w:rFonts w:ascii="Arial" w:hAnsi="Arial" w:cs="Arial"/>
          <w:sz w:val="24"/>
          <w:szCs w:val="24"/>
          <w:lang w:val="en-US"/>
        </w:rPr>
        <w:t xml:space="preserve">being ≥30 classified as obese, </w:t>
      </w:r>
      <w:r w:rsidR="00402168" w:rsidRPr="004B61EA">
        <w:rPr>
          <w:rFonts w:ascii="Arial" w:hAnsi="Arial" w:cs="Arial"/>
          <w:sz w:val="24"/>
          <w:szCs w:val="24"/>
          <w:lang w:val="en-US"/>
        </w:rPr>
        <w:t>we</w:t>
      </w:r>
      <w:r w:rsidR="00246B25" w:rsidRPr="004B61EA">
        <w:rPr>
          <w:rFonts w:ascii="Arial" w:hAnsi="Arial" w:cs="Arial"/>
          <w:sz w:val="24"/>
          <w:szCs w:val="24"/>
          <w:lang w:val="en-US"/>
        </w:rPr>
        <w:t>re used,</w:t>
      </w:r>
      <w:r w:rsidRPr="004B61EA">
        <w:rPr>
          <w:rFonts w:ascii="Arial" w:hAnsi="Arial" w:cs="Arial"/>
          <w:sz w:val="24"/>
          <w:szCs w:val="24"/>
          <w:lang w:val="en-US"/>
        </w:rPr>
        <w:t xml:space="preserve"> plus</w:t>
      </w:r>
      <w:r w:rsidR="00246B25" w:rsidRPr="004B61EA">
        <w:rPr>
          <w:rFonts w:ascii="Arial" w:hAnsi="Arial" w:cs="Arial"/>
          <w:sz w:val="24"/>
          <w:szCs w:val="24"/>
          <w:lang w:val="en-US"/>
        </w:rPr>
        <w:t xml:space="preserve"> a</w:t>
      </w:r>
      <w:r w:rsidRPr="004B61EA">
        <w:rPr>
          <w:rFonts w:ascii="Arial" w:hAnsi="Arial" w:cs="Arial"/>
          <w:sz w:val="24"/>
          <w:szCs w:val="24"/>
          <w:lang w:val="en-US"/>
        </w:rPr>
        <w:t xml:space="preserve"> sub-division of the obese group into WHO class I, II and III (30-34.99, 35-39.99, ≥40). Maternal diabetes </w:t>
      </w:r>
      <w:r w:rsidR="00A36B94" w:rsidRPr="004B61EA">
        <w:rPr>
          <w:rFonts w:ascii="Arial" w:hAnsi="Arial" w:cs="Arial"/>
          <w:sz w:val="24"/>
          <w:szCs w:val="24"/>
          <w:lang w:val="en-US"/>
        </w:rPr>
        <w:t>was</w:t>
      </w:r>
      <w:r w:rsidR="00877CF0" w:rsidRPr="004B61EA">
        <w:rPr>
          <w:rFonts w:ascii="Arial" w:hAnsi="Arial" w:cs="Arial"/>
          <w:sz w:val="24"/>
          <w:szCs w:val="24"/>
          <w:lang w:val="en-US"/>
        </w:rPr>
        <w:t xml:space="preserve"> defined as either pre-</w:t>
      </w:r>
      <w:r w:rsidRPr="004B61EA">
        <w:rPr>
          <w:rFonts w:ascii="Arial" w:hAnsi="Arial" w:cs="Arial"/>
          <w:sz w:val="24"/>
          <w:szCs w:val="24"/>
          <w:lang w:val="en-US"/>
        </w:rPr>
        <w:t>gestational</w:t>
      </w:r>
      <w:r w:rsidR="00877CF0" w:rsidRPr="004B61EA">
        <w:rPr>
          <w:rFonts w:ascii="Arial" w:hAnsi="Arial" w:cs="Arial"/>
          <w:sz w:val="24"/>
          <w:szCs w:val="24"/>
          <w:lang w:val="en-US"/>
        </w:rPr>
        <w:t xml:space="preserve"> diabetes (Type 1 or Type 2) or gestational diabetes (</w:t>
      </w:r>
      <w:r w:rsidR="00EC469F" w:rsidRPr="004B61EA">
        <w:rPr>
          <w:rFonts w:ascii="Arial" w:hAnsi="Arial" w:cs="Arial"/>
          <w:sz w:val="24"/>
          <w:szCs w:val="24"/>
          <w:lang w:val="en-US"/>
        </w:rPr>
        <w:t>based on a</w:t>
      </w:r>
      <w:r w:rsidR="00CB6470" w:rsidRPr="004B61EA">
        <w:rPr>
          <w:rFonts w:ascii="Arial" w:hAnsi="Arial" w:cs="Arial"/>
          <w:sz w:val="24"/>
          <w:szCs w:val="24"/>
          <w:lang w:val="en-US"/>
        </w:rPr>
        <w:t>n</w:t>
      </w:r>
      <w:r w:rsidR="00EC469F" w:rsidRPr="004B61EA">
        <w:rPr>
          <w:rFonts w:ascii="Arial" w:hAnsi="Arial" w:cs="Arial"/>
          <w:sz w:val="24"/>
          <w:szCs w:val="24"/>
          <w:lang w:val="en-US"/>
        </w:rPr>
        <w:t xml:space="preserve"> abnormal OGTT</w:t>
      </w:r>
      <w:r w:rsidR="00877CF0" w:rsidRPr="004B61EA">
        <w:rPr>
          <w:rFonts w:ascii="Arial" w:hAnsi="Arial" w:cs="Arial"/>
          <w:sz w:val="24"/>
          <w:szCs w:val="24"/>
          <w:lang w:val="en-US"/>
        </w:rPr>
        <w:t>)</w:t>
      </w:r>
      <w:r w:rsidR="00F47A14" w:rsidRPr="004B61EA">
        <w:rPr>
          <w:rFonts w:ascii="Arial" w:hAnsi="Arial" w:cs="Arial"/>
          <w:sz w:val="24"/>
          <w:szCs w:val="24"/>
          <w:lang w:val="en-US"/>
        </w:rPr>
        <w:t>, see Sovio et al 2016 for details of definitions employed</w:t>
      </w:r>
      <w:r w:rsidR="00CB5A1E" w:rsidRPr="004B61EA">
        <w:rPr>
          <w:rFonts w:ascii="Arial" w:hAnsi="Arial" w:cs="Arial"/>
          <w:sz w:val="24"/>
          <w:szCs w:val="24"/>
          <w:lang w:val="en-US"/>
        </w:rPr>
        <w:t xml:space="preserve"> </w:t>
      </w:r>
      <w:r w:rsidR="00CB5A1E" w:rsidRPr="004B61EA">
        <w:rPr>
          <w:rFonts w:ascii="Arial" w:hAnsi="Arial" w:cs="Arial"/>
          <w:sz w:val="24"/>
          <w:szCs w:val="24"/>
          <w:lang w:val="en-US"/>
        </w:rPr>
        <w:fldChar w:fldCharType="begin" w:fldLock="1"/>
      </w:r>
      <w:r w:rsidR="0023362E" w:rsidRPr="004B61EA">
        <w:rPr>
          <w:rFonts w:ascii="Arial" w:hAnsi="Arial" w:cs="Arial"/>
          <w:sz w:val="24"/>
          <w:szCs w:val="24"/>
          <w:lang w:val="en-US"/>
        </w:rPr>
        <w:instrText>ADDIN CSL_CITATION { "citationItems" : [ { "id" : "ITEM-1", "itemData" : { "DOI" : "10.2337/dc16-0160", "ISSN" : "1935-5548", "PMID" : "27208333", "abstract" : "OBJECTIVE To determine whether fetal overgrowth precedes the diagnosis of gestational diabetes mellitus (GDM) and to quantify the interrelationships among fetal overgrowth, GDM, and maternal obesity. RESEARCH DESIGN AND METHODS We conducted a prospective cohort study of unselected nulliparous women and performed ultrasonic measurement of the fetal abdominal circumference (AC) and head circumference (HC) at 20 and 28 weeks of gestational age (wkGA). Exposures were diagnosis of GDM \u226528 wkGA and maternal obesity. The risk of AC &gt;90th and HC-to-AC ratio &lt;10th percentile was modeled using log-binomial regression, adjusted for maternal characteristics. RESULTS Of 4,069 women, 171 (4.2%) were diagnosed with GDM at \u226528 wkGA. There was no association between fetal biometry at 20 wkGA and subsequent maternal diagnosis of GDM. However, at 28 wkGA, there was an increased risk of AC &gt;90th percentile (adjusted relative risk 2.05 [95% CI 1.37-3.07]) and HC-to-AC ratio &lt;10th percentile (1.97 [1.30-2.99]). Maternal obesity showed similar associations at 28 wkGA (2.04 [1.62-2.56] and 1.46 [1.12-1.90], respectively). The combination of GDM and obesity was associated with an approximately fivefold risk of AC &gt;90th (4.52 [2.98-6.85]) and approximately threefold risk of HC-to-AC ratio &lt;10th percentile (2.80 [1.64-4.78]) at 28 wkGA. Fetal AC &gt;90th percentile at 28 weeks was associated with an approximately fourfold risk of being large for gestational age at birth. CONCLUSIONS Diagnosis of GDM is preceded by excessive growth of the fetal AC between 20 and 28 wkGA, and its effects on fetal growth are additive with the effects of maternal obesity.", "author" : [ { "dropping-particle" : "", "family" : "Sovio", "given" : "Ulla", "non-dropping-particle" : "", "parse-names" : false, "suffix" : "" }, { "dropping-particle" : "", "family" : "Murphy", "given" : "Helen R", "non-dropping-particle" : "", "parse-names" : false, "suffix" : "" }, { "dropping-particle" : "", "family" : "Smith", "given" : "Gordon C S", "non-dropping-particle" : "", "parse-names" : false, "suffix" : "" } ], "container-title" : "Diabetes care", "id" : "ITEM-1", "issue" : "6", "issued" : { "date-parts" : [ [ "2016", "6" ] ] }, "page" : "982-7", "title" : "Accelerated Fetal Growth Prior to Diagnosis of Gestational Diabetes Mellitus: A Prospective Cohort Study of Nulliparous Women.", "type" : "article-journal", "volume" : "39" }, "uris" : [ "http://www.mendeley.com/documents/?uuid=39641c30-5090-3bcc-82cc-3cf5886040a3" ] } ], "mendeley" : { "formattedCitation" : "[12]", "plainTextFormattedCitation" : "[12]", "previouslyFormattedCitation" : "[12]" }, "properties" : { "noteIndex" : 0 }, "schema" : "https://github.com/citation-style-language/schema/raw/master/csl-citation.json" }</w:instrText>
      </w:r>
      <w:r w:rsidR="00CB5A1E" w:rsidRPr="004B61EA">
        <w:rPr>
          <w:rFonts w:ascii="Arial" w:hAnsi="Arial" w:cs="Arial"/>
          <w:sz w:val="24"/>
          <w:szCs w:val="24"/>
          <w:lang w:val="en-US"/>
        </w:rPr>
        <w:fldChar w:fldCharType="separate"/>
      </w:r>
      <w:r w:rsidR="00CD04E5" w:rsidRPr="004B61EA">
        <w:rPr>
          <w:rFonts w:ascii="Arial" w:hAnsi="Arial" w:cs="Arial"/>
          <w:noProof/>
          <w:sz w:val="24"/>
          <w:szCs w:val="24"/>
          <w:lang w:val="en-US"/>
        </w:rPr>
        <w:t>[12]</w:t>
      </w:r>
      <w:r w:rsidR="00CB5A1E" w:rsidRPr="004B61EA">
        <w:rPr>
          <w:rFonts w:ascii="Arial" w:hAnsi="Arial" w:cs="Arial"/>
          <w:sz w:val="24"/>
          <w:szCs w:val="24"/>
          <w:lang w:val="en-US"/>
        </w:rPr>
        <w:fldChar w:fldCharType="end"/>
      </w:r>
      <w:r w:rsidRPr="004B61EA">
        <w:rPr>
          <w:rFonts w:ascii="Arial" w:hAnsi="Arial" w:cs="Arial"/>
          <w:sz w:val="24"/>
          <w:szCs w:val="24"/>
          <w:lang w:val="en-US"/>
        </w:rPr>
        <w:t>.</w:t>
      </w:r>
      <w:r w:rsidR="000E44B8" w:rsidRPr="004B61EA">
        <w:rPr>
          <w:rFonts w:ascii="Arial" w:hAnsi="Arial" w:cs="Arial"/>
          <w:sz w:val="24"/>
          <w:szCs w:val="24"/>
          <w:lang w:val="en-US"/>
        </w:rPr>
        <w:t xml:space="preserve"> </w:t>
      </w:r>
      <w:r w:rsidR="00A36B94" w:rsidRPr="004B61EA">
        <w:rPr>
          <w:rFonts w:ascii="Arial" w:hAnsi="Arial" w:cs="Arial"/>
          <w:sz w:val="24"/>
          <w:szCs w:val="24"/>
          <w:lang w:val="en-US"/>
        </w:rPr>
        <w:br/>
      </w:r>
    </w:p>
    <w:p w14:paraId="5FAB1048" w14:textId="248504C7" w:rsidR="00A4189D" w:rsidRPr="004B61EA" w:rsidRDefault="00A36B94" w:rsidP="008840E6">
      <w:pPr>
        <w:spacing w:after="0" w:line="480" w:lineRule="auto"/>
        <w:rPr>
          <w:rFonts w:ascii="Arial" w:hAnsi="Arial" w:cs="Arial"/>
          <w:sz w:val="24"/>
          <w:szCs w:val="24"/>
          <w:lang w:val="en-US"/>
        </w:rPr>
      </w:pPr>
      <w:r w:rsidRPr="004B61EA">
        <w:rPr>
          <w:rFonts w:ascii="Arial" w:hAnsi="Arial" w:cs="Arial"/>
          <w:sz w:val="24"/>
          <w:szCs w:val="24"/>
          <w:lang w:val="en-US"/>
        </w:rPr>
        <w:t xml:space="preserve">Preeclampsia was defined </w:t>
      </w:r>
      <w:r w:rsidR="00877CF0" w:rsidRPr="004B61EA">
        <w:rPr>
          <w:rFonts w:ascii="Arial" w:hAnsi="Arial" w:cs="Arial"/>
          <w:sz w:val="24"/>
          <w:szCs w:val="24"/>
          <w:lang w:val="en-US"/>
        </w:rPr>
        <w:t>on the basis of the 2013 ACOG Guideline</w:t>
      </w:r>
      <w:r w:rsidR="00F67B23" w:rsidRPr="004B61EA">
        <w:rPr>
          <w:rFonts w:ascii="Arial" w:hAnsi="Arial" w:cs="Arial"/>
          <w:sz w:val="24"/>
          <w:szCs w:val="24"/>
          <w:lang w:val="en-US"/>
        </w:rPr>
        <w:t xml:space="preserve"> </w:t>
      </w:r>
      <w:r w:rsidR="00E41094" w:rsidRPr="004B61EA">
        <w:rPr>
          <w:rFonts w:ascii="Arial" w:hAnsi="Arial" w:cs="Arial"/>
          <w:sz w:val="24"/>
          <w:szCs w:val="24"/>
          <w:lang w:val="en-US"/>
        </w:rPr>
        <w:fldChar w:fldCharType="begin" w:fldLock="1"/>
      </w:r>
      <w:r w:rsidR="0023362E" w:rsidRPr="004B61EA">
        <w:rPr>
          <w:rFonts w:ascii="Arial" w:hAnsi="Arial" w:cs="Arial"/>
          <w:sz w:val="24"/>
          <w:szCs w:val="24"/>
          <w:lang w:val="en-US"/>
        </w:rPr>
        <w:instrText>ADDIN CSL_CITATION { "citationItems" : [ { "id" : "ITEM-1", "itemData" : { "DOI" : "10.1097/01.AOG.0000437382.03963.88", "ISSN" : "0029-7844", "PMID" : "24150027", "author" : [ { "dropping-particle" : "", "family" : "American College of Obstetricians and Gynecologists", "given" : "", "non-dropping-particle" : "", "parse-names" : false, "suffix" : "" }, { "dropping-particle" : "", "family" : "Task Force on Hypertension in Pregnancy", "given" : "", "non-dropping-particle" : "", "parse-names" : false, "suffix" : "" } ], "container-title" : "Obstetrics &amp; Gynecology", "id" : "ITEM-1", "issue" : "5", "issued" : { "date-parts" : [ [ "2013", "11" ] ] }, "page" : "1122-1131", "title" : "Hypertension in Pregnancy", "type" : "article-journal", "volume" : "122" }, "uris" : [ "http://www.mendeley.com/documents/?uuid=efd66b80-1826-3ee2-8840-e9fda9ddbe02" ] } ], "mendeley" : { "formattedCitation" : "[13]", "plainTextFormattedCitation" : "[13]", "previouslyFormattedCitation" : "[13]" }, "properties" : { "noteIndex" : 0 }, "schema" : "https://github.com/citation-style-language/schema/raw/master/csl-citation.json" }</w:instrText>
      </w:r>
      <w:r w:rsidR="00E41094" w:rsidRPr="004B61EA">
        <w:rPr>
          <w:rFonts w:ascii="Arial" w:hAnsi="Arial" w:cs="Arial"/>
          <w:sz w:val="24"/>
          <w:szCs w:val="24"/>
          <w:lang w:val="en-US"/>
        </w:rPr>
        <w:fldChar w:fldCharType="separate"/>
      </w:r>
      <w:r w:rsidR="00CD04E5" w:rsidRPr="004B61EA">
        <w:rPr>
          <w:rFonts w:ascii="Arial" w:hAnsi="Arial" w:cs="Arial"/>
          <w:noProof/>
          <w:sz w:val="24"/>
          <w:szCs w:val="24"/>
          <w:lang w:val="en-US"/>
        </w:rPr>
        <w:t>[13]</w:t>
      </w:r>
      <w:r w:rsidR="00E41094" w:rsidRPr="004B61EA">
        <w:rPr>
          <w:rFonts w:ascii="Arial" w:hAnsi="Arial" w:cs="Arial"/>
          <w:sz w:val="24"/>
          <w:szCs w:val="24"/>
          <w:lang w:val="en-US"/>
        </w:rPr>
        <w:fldChar w:fldCharType="end"/>
      </w:r>
      <w:r w:rsidR="005978A7" w:rsidRPr="004B61EA">
        <w:rPr>
          <w:rFonts w:ascii="Arial" w:hAnsi="Arial" w:cs="Arial"/>
          <w:sz w:val="24"/>
          <w:szCs w:val="24"/>
          <w:lang w:val="en-US"/>
        </w:rPr>
        <w:t xml:space="preserve"> as hypertens</w:t>
      </w:r>
      <w:r w:rsidR="00877CF0" w:rsidRPr="004B61EA">
        <w:rPr>
          <w:rFonts w:ascii="Arial" w:hAnsi="Arial" w:cs="Arial"/>
          <w:sz w:val="24"/>
          <w:szCs w:val="24"/>
          <w:lang w:val="en-US"/>
        </w:rPr>
        <w:t>ion</w:t>
      </w:r>
      <w:r w:rsidR="00F67B23" w:rsidRPr="004B61EA">
        <w:rPr>
          <w:rFonts w:ascii="Arial" w:hAnsi="Arial" w:cs="Arial"/>
          <w:sz w:val="24"/>
          <w:szCs w:val="24"/>
          <w:lang w:val="en-US"/>
        </w:rPr>
        <w:t xml:space="preserve"> and at least one of the </w:t>
      </w:r>
      <w:r w:rsidR="00BF2146" w:rsidRPr="004B61EA">
        <w:rPr>
          <w:rFonts w:ascii="Arial" w:hAnsi="Arial" w:cs="Arial"/>
          <w:sz w:val="24"/>
          <w:szCs w:val="24"/>
          <w:lang w:val="en-US"/>
        </w:rPr>
        <w:t>following: proteinuria, low platelets, elevated transaminase, elevated creatinine, pulmonary oedema, severe cerebral/visual symptoms</w:t>
      </w:r>
      <w:r w:rsidR="00F47A14" w:rsidRPr="004B61EA">
        <w:rPr>
          <w:rFonts w:ascii="Arial" w:hAnsi="Arial" w:cs="Arial"/>
          <w:sz w:val="24"/>
          <w:szCs w:val="24"/>
          <w:lang w:val="en-US"/>
        </w:rPr>
        <w:t>.</w:t>
      </w:r>
      <w:r w:rsidR="00CF44EA" w:rsidRPr="004B61EA">
        <w:rPr>
          <w:rFonts w:ascii="Arial" w:hAnsi="Arial" w:cs="Arial"/>
          <w:sz w:val="24"/>
          <w:szCs w:val="24"/>
          <w:lang w:val="en-US"/>
        </w:rPr>
        <w:t xml:space="preserve"> Severe preeclampsia was defined as preeclampsia and at least one of the following: severe hypertension, low platelets, elevated transaminase, elevated creatinine, pulmonary oedema, severe cerebral/visu</w:t>
      </w:r>
      <w:r w:rsidR="00E41094" w:rsidRPr="004B61EA">
        <w:rPr>
          <w:rFonts w:ascii="Arial" w:hAnsi="Arial" w:cs="Arial"/>
          <w:sz w:val="24"/>
          <w:szCs w:val="24"/>
          <w:lang w:val="en-US"/>
        </w:rPr>
        <w:t xml:space="preserve">al symptoms </w:t>
      </w:r>
      <w:r w:rsidR="00E41094" w:rsidRPr="004B61EA">
        <w:rPr>
          <w:rFonts w:ascii="Arial" w:hAnsi="Arial" w:cs="Arial"/>
          <w:sz w:val="24"/>
          <w:szCs w:val="24"/>
          <w:lang w:val="en-US"/>
        </w:rPr>
        <w:fldChar w:fldCharType="begin" w:fldLock="1"/>
      </w:r>
      <w:r w:rsidR="0023362E" w:rsidRPr="004B61EA">
        <w:rPr>
          <w:rFonts w:ascii="Arial" w:hAnsi="Arial" w:cs="Arial"/>
          <w:sz w:val="24"/>
          <w:szCs w:val="24"/>
          <w:lang w:val="en-US"/>
        </w:rPr>
        <w:instrText>ADDIN CSL_CITATION { "citationItems" : [ { "id" : "ITEM-1", "itemData" : { "DOI" : "10.1161/HYPERTENSIONAHA.116.08620", "ISSN" : "0194-911X", "PMID" : "28167687", "abstract" : "We sought to assess the ratio of sFlt-1 (soluble fms-like tyrosine kinase 1) to PlGF (placental growth factor) in maternal serum as a screening test for preeclampsia in unselected nulliparous women with a singleton pregnancy. We studied 4099 women recruited to the POP study (Pregnancy Outcome Prediction) (Cambridge, United Kingdom). The sFlt-1:PlGF ratio was measured using the Roche Cobas e411 platform at \u224820, \u224828, and \u224836 weeks of gestational age (wkGA). Screen positive was defined as an sFlt-1:PlGF ratio &gt;38, but higher thresholds were also studied. At 28 wkGA, an sFlt-1:PlGF ratio &gt;38 had a positive predictive value (PPV) of 32% for preeclampsia and preterm birth, and the PPV was similar comparing women with low and high prior risk of disease. At 36 wkGA, an sFlt-1:PlGF ratio &gt;38 had a PPV for severe preeclampsia of 20% in high-risk women and 6.4% in low-risk women. At 36 wkGA, an sFlt-1:PlGF ratio &gt;110 had a PPV of 30% for severe preeclampsia, and the PPV was similar comparing low- and high-risk women. Overall, at 36 wkGA, 195 (5.2%) women either had an sFlt-1:PlGF ratio of &gt;110 or an sFlt-1:PlGF ratio &gt;38 plus maternal risk factors: 43% of these women developed preeclampsia, about half with severe features. Among low-risk women at 36 wkGA, an sFlt-1:PlGF ratio \u226438 had a negative predictive value for severe preeclampsia of 99.2%. The sFlt-1:PlGF ratio provided clinically useful prediction of the risk of the most important manifestations of preeclampsia in a cohort of unselected nulliparous women.", "author" : [ { "dropping-particle" : "", "family" : "Sovio", "given" : "Ulla", "non-dropping-particle" : "", "parse-names" : false, "suffix" : "" }, { "dropping-particle" : "", "family" : "Gaccioli", "given" : "Francesca", "non-dropping-particle" : "", "parse-names" : false, "suffix" : "" }, { "dropping-particle" : "", "family" : "Cook", "given" : "Emma", "non-dropping-particle" : "", "parse-names" : false, "suffix" : "" }, { "dropping-particle" : "", "family" : "Hund", "given" : "Martin", "non-dropping-particle" : "", "parse-names" : false, "suffix" : "" }, { "dropping-particle" : "", "family" : "Charnock-Jones", "given" : "D. Stephen", "non-dropping-particle" : "", "parse-names" : false, "suffix" : "" }, { "dropping-particle" : "", "family" : "Smith", "given" : "Gordon C.S.", "non-dropping-particle" : "", "parse-names" : false, "suffix" : "" } ], "container-title" : "Hypertension", "id" : "ITEM-1", "issue" : "4", "issued" : { "date-parts" : [ [ "2017", "4" ] ] }, "page" : "731-738", "title" : "Prediction of Preeclampsia Using the Soluble fms-Like Tyrosine Kinase 1 to Placental Growth Factor RatioNovelty and Significance", "type" : "article-journal", "volume" : "69" }, "uris" : [ "http://www.mendeley.com/documents/?uuid=d5d2be38-f702-35a9-b5bf-a5a70c2b5d99" ] } ], "mendeley" : { "formattedCitation" : "[14]", "plainTextFormattedCitation" : "[14]", "previouslyFormattedCitation" : "[14]" }, "properties" : { "noteIndex" : 0 }, "schema" : "https://github.com/citation-style-language/schema/raw/master/csl-citation.json" }</w:instrText>
      </w:r>
      <w:r w:rsidR="00E41094" w:rsidRPr="004B61EA">
        <w:rPr>
          <w:rFonts w:ascii="Arial" w:hAnsi="Arial" w:cs="Arial"/>
          <w:sz w:val="24"/>
          <w:szCs w:val="24"/>
          <w:lang w:val="en-US"/>
        </w:rPr>
        <w:fldChar w:fldCharType="separate"/>
      </w:r>
      <w:r w:rsidR="00CD04E5" w:rsidRPr="004B61EA">
        <w:rPr>
          <w:rFonts w:ascii="Arial" w:hAnsi="Arial" w:cs="Arial"/>
          <w:noProof/>
          <w:sz w:val="24"/>
          <w:szCs w:val="24"/>
          <w:lang w:val="en-US"/>
        </w:rPr>
        <w:t>[14]</w:t>
      </w:r>
      <w:r w:rsidR="00E41094" w:rsidRPr="004B61EA">
        <w:rPr>
          <w:rFonts w:ascii="Arial" w:hAnsi="Arial" w:cs="Arial"/>
          <w:sz w:val="24"/>
          <w:szCs w:val="24"/>
          <w:lang w:val="en-US"/>
        </w:rPr>
        <w:fldChar w:fldCharType="end"/>
      </w:r>
      <w:r w:rsidR="00E41094" w:rsidRPr="004B61EA">
        <w:rPr>
          <w:rFonts w:ascii="Arial" w:hAnsi="Arial" w:cs="Arial"/>
          <w:sz w:val="24"/>
          <w:szCs w:val="24"/>
          <w:lang w:val="en-US"/>
        </w:rPr>
        <w:t>.</w:t>
      </w:r>
    </w:p>
    <w:p w14:paraId="140ED315" w14:textId="77777777" w:rsidR="00DD7E63" w:rsidRPr="004B61EA" w:rsidRDefault="00DD7E63" w:rsidP="008840E6">
      <w:pPr>
        <w:spacing w:after="0" w:line="480" w:lineRule="auto"/>
        <w:rPr>
          <w:rFonts w:ascii="Arial" w:hAnsi="Arial" w:cs="Arial"/>
          <w:sz w:val="24"/>
          <w:szCs w:val="24"/>
          <w:lang w:val="en-US"/>
        </w:rPr>
      </w:pPr>
    </w:p>
    <w:p w14:paraId="409C92CB" w14:textId="77777777" w:rsidR="00A91D56" w:rsidRPr="004B61EA" w:rsidRDefault="00A91D56" w:rsidP="0045605B">
      <w:pPr>
        <w:pStyle w:val="NoSpacing"/>
        <w:spacing w:line="480" w:lineRule="auto"/>
        <w:outlineLvl w:val="0"/>
        <w:rPr>
          <w:rFonts w:ascii="Arial" w:hAnsi="Arial" w:cs="Arial"/>
          <w:i/>
          <w:sz w:val="24"/>
          <w:szCs w:val="24"/>
          <w:lang w:val="en-US"/>
        </w:rPr>
      </w:pPr>
      <w:r w:rsidRPr="004B61EA">
        <w:rPr>
          <w:rFonts w:ascii="Arial" w:hAnsi="Arial" w:cs="Arial"/>
          <w:i/>
          <w:sz w:val="24"/>
          <w:szCs w:val="24"/>
          <w:lang w:val="en-US"/>
        </w:rPr>
        <w:t>Maternal characteristics</w:t>
      </w:r>
    </w:p>
    <w:p w14:paraId="239BE427" w14:textId="3D8705BF" w:rsidR="008036A2" w:rsidRPr="004B61EA" w:rsidRDefault="008036A2" w:rsidP="008840E6">
      <w:pPr>
        <w:spacing w:after="0" w:line="480" w:lineRule="auto"/>
        <w:rPr>
          <w:rFonts w:ascii="Arial" w:hAnsi="Arial" w:cs="Arial"/>
          <w:sz w:val="24"/>
          <w:szCs w:val="24"/>
          <w:lang w:val="en-US"/>
        </w:rPr>
      </w:pPr>
      <w:r w:rsidRPr="004B61EA">
        <w:rPr>
          <w:rFonts w:ascii="Arial" w:hAnsi="Arial" w:cs="Arial"/>
          <w:sz w:val="24"/>
          <w:szCs w:val="24"/>
          <w:lang w:val="en-US"/>
        </w:rPr>
        <w:t xml:space="preserve">Maternal age was defined as age at </w:t>
      </w:r>
      <w:r w:rsidR="00877CF0" w:rsidRPr="004B61EA">
        <w:rPr>
          <w:rFonts w:ascii="Arial" w:hAnsi="Arial" w:cs="Arial"/>
          <w:sz w:val="24"/>
          <w:szCs w:val="24"/>
          <w:lang w:val="en-US"/>
        </w:rPr>
        <w:t>recruitment</w:t>
      </w:r>
      <w:r w:rsidR="001121E0" w:rsidRPr="004B61EA">
        <w:rPr>
          <w:rFonts w:ascii="Arial" w:hAnsi="Arial" w:cs="Arial"/>
          <w:sz w:val="24"/>
          <w:szCs w:val="24"/>
          <w:lang w:val="en-US"/>
        </w:rPr>
        <w:t>.</w:t>
      </w:r>
      <w:r w:rsidR="00246B25" w:rsidRPr="004B61EA">
        <w:rPr>
          <w:rFonts w:ascii="Arial" w:hAnsi="Arial" w:cs="Arial"/>
          <w:sz w:val="24"/>
          <w:szCs w:val="24"/>
          <w:lang w:val="en-US"/>
        </w:rPr>
        <w:t xml:space="preserve"> </w:t>
      </w:r>
      <w:r w:rsidRPr="004B61EA">
        <w:rPr>
          <w:rFonts w:ascii="Arial" w:hAnsi="Arial" w:cs="Arial"/>
          <w:sz w:val="24"/>
          <w:szCs w:val="24"/>
          <w:lang w:val="en-US"/>
        </w:rPr>
        <w:t>Maternal ethnicity, age at leaving full-time education (FTE), smoking and alcohol consumption were defined by self-report at the 20 week questionnaire. Birth weight was measured directly after delivery.</w:t>
      </w:r>
    </w:p>
    <w:p w14:paraId="659E3993" w14:textId="77777777" w:rsidR="00DD7E63" w:rsidRPr="004B61EA" w:rsidRDefault="00DD7E63" w:rsidP="008840E6">
      <w:pPr>
        <w:spacing w:after="0" w:line="480" w:lineRule="auto"/>
        <w:rPr>
          <w:rFonts w:ascii="Arial" w:hAnsi="Arial" w:cs="Arial"/>
          <w:sz w:val="24"/>
          <w:szCs w:val="24"/>
          <w:lang w:val="en-US"/>
        </w:rPr>
      </w:pPr>
    </w:p>
    <w:p w14:paraId="2E8C7AEB" w14:textId="77777777" w:rsidR="00A4748D" w:rsidRPr="004B61EA" w:rsidRDefault="00A4748D" w:rsidP="0045605B">
      <w:pPr>
        <w:pStyle w:val="NoSpacing"/>
        <w:spacing w:line="480" w:lineRule="auto"/>
        <w:outlineLvl w:val="0"/>
        <w:rPr>
          <w:rFonts w:ascii="Arial" w:hAnsi="Arial" w:cs="Arial"/>
          <w:i/>
          <w:sz w:val="24"/>
          <w:szCs w:val="24"/>
          <w:lang w:val="en-US"/>
        </w:rPr>
      </w:pPr>
      <w:r w:rsidRPr="004B61EA">
        <w:rPr>
          <w:rFonts w:ascii="Arial" w:hAnsi="Arial" w:cs="Arial"/>
          <w:i/>
          <w:sz w:val="24"/>
          <w:szCs w:val="24"/>
          <w:lang w:val="en-US"/>
        </w:rPr>
        <w:t>Statistical analysis</w:t>
      </w:r>
    </w:p>
    <w:p w14:paraId="22C2A74D" w14:textId="4810D47F" w:rsidR="00877CF0" w:rsidRPr="004B61EA" w:rsidRDefault="00E33CDA" w:rsidP="00877CF0">
      <w:pPr>
        <w:pStyle w:val="NoSpacing"/>
        <w:spacing w:line="480" w:lineRule="auto"/>
        <w:rPr>
          <w:rFonts w:ascii="Arial" w:hAnsi="Arial" w:cs="Arial"/>
          <w:sz w:val="24"/>
          <w:szCs w:val="24"/>
          <w:lang w:val="en-US"/>
        </w:rPr>
      </w:pPr>
      <w:r w:rsidRPr="004B61EA">
        <w:rPr>
          <w:rFonts w:ascii="Arial" w:hAnsi="Arial" w:cs="Arial"/>
          <w:sz w:val="24"/>
          <w:szCs w:val="24"/>
          <w:lang w:val="en-US"/>
        </w:rPr>
        <w:t xml:space="preserve">Continuous variables were summarized by the median and IQR, and comparisons between groups were made by the </w:t>
      </w:r>
      <w:r w:rsidR="0075320B" w:rsidRPr="004B61EA">
        <w:rPr>
          <w:rFonts w:ascii="Arial" w:hAnsi="Arial" w:cs="Arial"/>
          <w:sz w:val="24"/>
          <w:szCs w:val="24"/>
          <w:lang w:val="en-US"/>
        </w:rPr>
        <w:t>Kendall’s tau rank correlation</w:t>
      </w:r>
      <w:r w:rsidRPr="004B61EA">
        <w:rPr>
          <w:rFonts w:ascii="Arial" w:hAnsi="Arial" w:cs="Arial"/>
          <w:sz w:val="24"/>
          <w:szCs w:val="24"/>
          <w:lang w:val="en-US"/>
        </w:rPr>
        <w:t xml:space="preserve"> test. Distributions of categorical variables were compared using </w:t>
      </w:r>
      <w:r w:rsidR="001F2FCE" w:rsidRPr="004B61EA">
        <w:rPr>
          <w:rFonts w:ascii="Arial" w:hAnsi="Arial" w:cs="Arial"/>
          <w:sz w:val="24"/>
          <w:szCs w:val="24"/>
          <w:lang w:val="en-US"/>
        </w:rPr>
        <w:t xml:space="preserve">a </w:t>
      </w:r>
      <w:r w:rsidR="0075320B" w:rsidRPr="004B61EA">
        <w:rPr>
          <w:rFonts w:ascii="Arial" w:hAnsi="Arial" w:cs="Arial"/>
          <w:sz w:val="24"/>
          <w:szCs w:val="24"/>
          <w:lang w:val="en-US"/>
        </w:rPr>
        <w:t>Wilcoxon-type test for trend</w:t>
      </w:r>
      <w:r w:rsidR="00877CF0" w:rsidRPr="004B61EA">
        <w:rPr>
          <w:rFonts w:ascii="Arial" w:hAnsi="Arial" w:cs="Arial"/>
          <w:sz w:val="24"/>
          <w:szCs w:val="24"/>
          <w:lang w:val="en-US"/>
        </w:rPr>
        <w:t xml:space="preserve">. </w:t>
      </w:r>
      <w:r w:rsidR="002F237E" w:rsidRPr="004B61EA">
        <w:rPr>
          <w:rFonts w:ascii="Arial" w:hAnsi="Arial" w:cs="Arial"/>
          <w:sz w:val="24"/>
          <w:szCs w:val="24"/>
          <w:lang w:val="en-US"/>
        </w:rPr>
        <w:t>Continuous variables were</w:t>
      </w:r>
      <w:r w:rsidR="00A91D56" w:rsidRPr="004B61EA">
        <w:rPr>
          <w:rFonts w:ascii="Arial" w:hAnsi="Arial" w:cs="Arial"/>
          <w:sz w:val="24"/>
          <w:szCs w:val="24"/>
          <w:lang w:val="en-US"/>
        </w:rPr>
        <w:t xml:space="preserve"> compared using Student's t-test</w:t>
      </w:r>
      <w:r w:rsidR="002F237E" w:rsidRPr="004B61EA">
        <w:rPr>
          <w:rFonts w:ascii="Arial" w:hAnsi="Arial" w:cs="Arial"/>
          <w:sz w:val="24"/>
          <w:szCs w:val="24"/>
          <w:lang w:val="en-US"/>
        </w:rPr>
        <w:t xml:space="preserve"> where the outcome data were</w:t>
      </w:r>
      <w:r w:rsidR="00A91D56" w:rsidRPr="004B61EA">
        <w:rPr>
          <w:rFonts w:ascii="Arial" w:hAnsi="Arial" w:cs="Arial"/>
          <w:sz w:val="24"/>
          <w:szCs w:val="24"/>
          <w:lang w:val="en-US"/>
        </w:rPr>
        <w:t xml:space="preserve"> normally distributed</w:t>
      </w:r>
      <w:r w:rsidRPr="004B61EA">
        <w:rPr>
          <w:rFonts w:ascii="Arial" w:hAnsi="Arial" w:cs="Arial"/>
          <w:sz w:val="24"/>
          <w:szCs w:val="24"/>
          <w:lang w:val="en-US"/>
        </w:rPr>
        <w:t xml:space="preserve"> and the determinant was dichotomous</w:t>
      </w:r>
      <w:r w:rsidR="00A91D56" w:rsidRPr="004B61EA">
        <w:rPr>
          <w:rFonts w:ascii="Arial" w:hAnsi="Arial" w:cs="Arial"/>
          <w:sz w:val="24"/>
          <w:szCs w:val="24"/>
          <w:lang w:val="en-US"/>
        </w:rPr>
        <w:t xml:space="preserve">. </w:t>
      </w:r>
      <w:r w:rsidR="00C929F7" w:rsidRPr="004B61EA">
        <w:rPr>
          <w:rFonts w:ascii="Arial" w:hAnsi="Arial" w:cs="Arial"/>
          <w:sz w:val="24"/>
          <w:szCs w:val="24"/>
          <w:lang w:val="en-US"/>
        </w:rPr>
        <w:t>R</w:t>
      </w:r>
      <w:r w:rsidR="00721DE2" w:rsidRPr="004B61EA">
        <w:rPr>
          <w:rFonts w:ascii="Arial" w:hAnsi="Arial" w:cs="Arial"/>
          <w:sz w:val="24"/>
          <w:szCs w:val="24"/>
          <w:lang w:val="en-US"/>
        </w:rPr>
        <w:t>elative risks were calculated</w:t>
      </w:r>
      <w:r w:rsidR="002F237E" w:rsidRPr="004B61EA">
        <w:rPr>
          <w:rFonts w:ascii="Arial" w:hAnsi="Arial" w:cs="Arial"/>
          <w:sz w:val="24"/>
          <w:szCs w:val="24"/>
          <w:lang w:val="en-US"/>
        </w:rPr>
        <w:t xml:space="preserve"> between binary </w:t>
      </w:r>
      <w:r w:rsidR="00877CF0" w:rsidRPr="004B61EA">
        <w:rPr>
          <w:rFonts w:ascii="Arial" w:hAnsi="Arial" w:cs="Arial"/>
          <w:sz w:val="24"/>
          <w:szCs w:val="24"/>
          <w:lang w:val="en-US"/>
        </w:rPr>
        <w:t xml:space="preserve">adverse </w:t>
      </w:r>
      <w:r w:rsidR="002F237E" w:rsidRPr="004B61EA">
        <w:rPr>
          <w:rFonts w:ascii="Arial" w:hAnsi="Arial" w:cs="Arial"/>
          <w:sz w:val="24"/>
          <w:szCs w:val="24"/>
          <w:lang w:val="en-US"/>
        </w:rPr>
        <w:t>outcome variables and binary</w:t>
      </w:r>
      <w:r w:rsidR="00721DE2" w:rsidRPr="004B61EA">
        <w:rPr>
          <w:rFonts w:ascii="Arial" w:hAnsi="Arial" w:cs="Arial"/>
          <w:sz w:val="24"/>
          <w:szCs w:val="24"/>
          <w:lang w:val="en-US"/>
        </w:rPr>
        <w:t xml:space="preserve"> BWPW-ratio (high vs. normal, and low vs. normal). </w:t>
      </w:r>
      <w:r w:rsidR="00402168" w:rsidRPr="004B61EA">
        <w:rPr>
          <w:rFonts w:ascii="Arial" w:hAnsi="Arial" w:cs="Arial"/>
          <w:sz w:val="24"/>
          <w:szCs w:val="24"/>
          <w:lang w:val="en-US"/>
        </w:rPr>
        <w:t>I</w:t>
      </w:r>
      <w:r w:rsidR="0059584B" w:rsidRPr="004B61EA">
        <w:rPr>
          <w:rFonts w:ascii="Arial" w:hAnsi="Arial" w:cs="Arial"/>
          <w:sz w:val="24"/>
          <w:szCs w:val="24"/>
          <w:lang w:val="en-US"/>
        </w:rPr>
        <w:t>nteraction</w:t>
      </w:r>
      <w:r w:rsidR="00402168" w:rsidRPr="004B61EA">
        <w:rPr>
          <w:rFonts w:ascii="Arial" w:hAnsi="Arial" w:cs="Arial"/>
          <w:sz w:val="24"/>
          <w:szCs w:val="24"/>
          <w:lang w:val="en-US"/>
        </w:rPr>
        <w:t>s were assessed using the likelihood-ratio test</w:t>
      </w:r>
      <w:r w:rsidR="0059584B" w:rsidRPr="004B61EA">
        <w:rPr>
          <w:rFonts w:ascii="Arial" w:hAnsi="Arial" w:cs="Arial"/>
          <w:sz w:val="24"/>
          <w:szCs w:val="24"/>
          <w:lang w:val="en-US"/>
        </w:rPr>
        <w:t>.</w:t>
      </w:r>
      <w:r w:rsidR="00867C10" w:rsidRPr="004B61EA">
        <w:rPr>
          <w:rFonts w:ascii="Arial" w:hAnsi="Arial" w:cs="Arial"/>
          <w:sz w:val="24"/>
          <w:szCs w:val="24"/>
          <w:lang w:val="en-US"/>
        </w:rPr>
        <w:t xml:space="preserve"> </w:t>
      </w:r>
      <w:r w:rsidR="00185053" w:rsidRPr="004B61EA">
        <w:rPr>
          <w:rFonts w:ascii="Arial" w:hAnsi="Arial" w:cs="Arial"/>
          <w:sz w:val="24"/>
          <w:szCs w:val="24"/>
          <w:lang w:val="en-US"/>
        </w:rPr>
        <w:t xml:space="preserve">The associations between BWPW-ratio (exposure) and ultrasonic measurements (outcome) were estimated by linear regression. </w:t>
      </w:r>
      <w:r w:rsidR="00877CF0" w:rsidRPr="004B61EA">
        <w:rPr>
          <w:rFonts w:ascii="Arial" w:hAnsi="Arial" w:cs="Arial"/>
          <w:sz w:val="24"/>
          <w:szCs w:val="24"/>
          <w:lang w:val="en-US"/>
        </w:rPr>
        <w:t xml:space="preserve">The associations with adverse outcomes were estimated and odds ratios were calculated using logistic regression. </w:t>
      </w:r>
      <w:r w:rsidR="00185053" w:rsidRPr="004B61EA">
        <w:rPr>
          <w:rFonts w:ascii="Arial" w:hAnsi="Arial" w:cs="Arial"/>
          <w:sz w:val="24"/>
          <w:szCs w:val="24"/>
          <w:lang w:val="en-US"/>
        </w:rPr>
        <w:t>Maternal characteristics were considered as possible confounders when they were significantly associated with both BWPW-ratio and the outcome variables.</w:t>
      </w:r>
      <w:r w:rsidR="006B68DD" w:rsidRPr="004B61EA">
        <w:rPr>
          <w:rFonts w:ascii="Arial" w:hAnsi="Arial" w:cs="Arial"/>
          <w:sz w:val="24"/>
          <w:szCs w:val="24"/>
          <w:lang w:val="en-US"/>
        </w:rPr>
        <w:t xml:space="preserve"> </w:t>
      </w:r>
      <w:r w:rsidR="00877CF0" w:rsidRPr="004B61EA">
        <w:rPr>
          <w:rFonts w:ascii="Arial" w:hAnsi="Arial" w:cs="Arial"/>
          <w:sz w:val="24"/>
          <w:szCs w:val="24"/>
          <w:lang w:val="en-US"/>
        </w:rPr>
        <w:t xml:space="preserve">Adjusted analyses were performed using multivariable linear or logistic regression, as appropriate. </w:t>
      </w:r>
      <w:r w:rsidR="006B68DD" w:rsidRPr="004B61EA">
        <w:rPr>
          <w:rFonts w:ascii="Arial" w:hAnsi="Arial" w:cs="Arial"/>
          <w:sz w:val="24"/>
          <w:szCs w:val="24"/>
          <w:lang w:val="en-US"/>
        </w:rPr>
        <w:t>Statistical significance was assumed at P &lt; 0.05.</w:t>
      </w:r>
      <w:r w:rsidR="00867C10" w:rsidRPr="004B61EA">
        <w:rPr>
          <w:rFonts w:ascii="Arial" w:hAnsi="Arial" w:cs="Arial"/>
          <w:sz w:val="24"/>
          <w:szCs w:val="24"/>
          <w:lang w:val="en-US"/>
        </w:rPr>
        <w:t xml:space="preserve"> </w:t>
      </w:r>
      <w:r w:rsidR="00E073EB" w:rsidRPr="004B61EA">
        <w:rPr>
          <w:rFonts w:ascii="Arial" w:hAnsi="Arial" w:cs="Arial"/>
          <w:sz w:val="24"/>
          <w:szCs w:val="24"/>
          <w:lang w:val="en-US"/>
        </w:rPr>
        <w:t>Analysis w</w:t>
      </w:r>
      <w:r w:rsidR="00EC469F" w:rsidRPr="004B61EA">
        <w:rPr>
          <w:rFonts w:ascii="Arial" w:hAnsi="Arial" w:cs="Arial"/>
          <w:sz w:val="24"/>
          <w:szCs w:val="24"/>
          <w:lang w:val="en-US"/>
        </w:rPr>
        <w:t>as</w:t>
      </w:r>
      <w:r w:rsidR="00E073EB" w:rsidRPr="004B61EA">
        <w:rPr>
          <w:rFonts w:ascii="Arial" w:hAnsi="Arial" w:cs="Arial"/>
          <w:sz w:val="24"/>
          <w:szCs w:val="24"/>
          <w:lang w:val="en-US"/>
        </w:rPr>
        <w:t xml:space="preserve"> performed using</w:t>
      </w:r>
      <w:r w:rsidR="00721DE2" w:rsidRPr="004B61EA">
        <w:rPr>
          <w:rFonts w:ascii="Arial" w:hAnsi="Arial" w:cs="Arial"/>
          <w:sz w:val="24"/>
          <w:szCs w:val="24"/>
          <w:lang w:val="en-US"/>
        </w:rPr>
        <w:t xml:space="preserve"> Stata software (version 13.1</w:t>
      </w:r>
      <w:r w:rsidR="00AF37EC" w:rsidRPr="004B61EA">
        <w:rPr>
          <w:rFonts w:ascii="Arial" w:hAnsi="Arial" w:cs="Arial"/>
          <w:sz w:val="24"/>
          <w:szCs w:val="24"/>
          <w:lang w:val="en-US"/>
        </w:rPr>
        <w:t>).</w:t>
      </w:r>
      <w:r w:rsidR="00877CF0" w:rsidRPr="004B61EA">
        <w:rPr>
          <w:rFonts w:ascii="Arial" w:hAnsi="Arial" w:cs="Arial"/>
          <w:b/>
          <w:sz w:val="24"/>
          <w:szCs w:val="24"/>
          <w:lang w:val="en-US"/>
        </w:rPr>
        <w:br w:type="page"/>
      </w:r>
    </w:p>
    <w:p w14:paraId="30D32279" w14:textId="425C8B80" w:rsidR="00512587" w:rsidRPr="004B61EA" w:rsidRDefault="00FC70B7" w:rsidP="008840E6">
      <w:pPr>
        <w:pStyle w:val="NoSpacing"/>
        <w:spacing w:line="480" w:lineRule="auto"/>
        <w:rPr>
          <w:rFonts w:ascii="Arial" w:hAnsi="Arial" w:cs="Arial"/>
          <w:sz w:val="24"/>
          <w:szCs w:val="24"/>
          <w:lang w:val="en-US"/>
        </w:rPr>
      </w:pPr>
      <w:r w:rsidRPr="004B61EA">
        <w:rPr>
          <w:rFonts w:ascii="Arial" w:hAnsi="Arial" w:cs="Arial"/>
          <w:b/>
          <w:sz w:val="24"/>
          <w:szCs w:val="24"/>
          <w:lang w:val="en-US"/>
        </w:rPr>
        <w:t>Results</w:t>
      </w:r>
      <w:r w:rsidR="00D10ECD" w:rsidRPr="004B61EA">
        <w:rPr>
          <w:rFonts w:ascii="Arial" w:hAnsi="Arial" w:cs="Arial"/>
          <w:sz w:val="24"/>
          <w:szCs w:val="24"/>
          <w:lang w:val="en-US"/>
        </w:rPr>
        <w:br/>
      </w:r>
      <w:r w:rsidRPr="004B61EA">
        <w:rPr>
          <w:rFonts w:ascii="Arial" w:hAnsi="Arial" w:cs="Arial"/>
          <w:sz w:val="24"/>
          <w:szCs w:val="24"/>
          <w:lang w:val="en-US"/>
        </w:rPr>
        <w:t>A total of</w:t>
      </w:r>
      <w:r w:rsidR="00D10ECD" w:rsidRPr="004B61EA">
        <w:rPr>
          <w:rFonts w:ascii="Arial" w:hAnsi="Arial" w:cs="Arial"/>
          <w:sz w:val="24"/>
          <w:szCs w:val="24"/>
          <w:lang w:val="en-US"/>
        </w:rPr>
        <w:t xml:space="preserve"> 8028</w:t>
      </w:r>
      <w:r w:rsidRPr="004B61EA">
        <w:rPr>
          <w:rFonts w:ascii="Arial" w:hAnsi="Arial" w:cs="Arial"/>
          <w:sz w:val="24"/>
          <w:szCs w:val="24"/>
          <w:lang w:val="en-US"/>
        </w:rPr>
        <w:t xml:space="preserve"> women were eligible</w:t>
      </w:r>
      <w:r w:rsidR="008C73D5" w:rsidRPr="004B61EA">
        <w:rPr>
          <w:rFonts w:ascii="Arial" w:hAnsi="Arial" w:cs="Arial"/>
          <w:sz w:val="24"/>
          <w:szCs w:val="24"/>
          <w:lang w:val="en-US"/>
        </w:rPr>
        <w:t xml:space="preserve"> for inclusion of which 4512 </w:t>
      </w:r>
      <w:r w:rsidR="00D10ECD" w:rsidRPr="004B61EA">
        <w:rPr>
          <w:rFonts w:ascii="Arial" w:hAnsi="Arial" w:cs="Arial"/>
          <w:sz w:val="24"/>
          <w:szCs w:val="24"/>
          <w:lang w:val="en-US"/>
        </w:rPr>
        <w:t>(56</w:t>
      </w:r>
      <w:r w:rsidRPr="004B61EA">
        <w:rPr>
          <w:rFonts w:ascii="Arial" w:hAnsi="Arial" w:cs="Arial"/>
          <w:sz w:val="24"/>
          <w:szCs w:val="24"/>
          <w:lang w:val="en-US"/>
        </w:rPr>
        <w:t>%) provided written informed consent. After excluding women</w:t>
      </w:r>
      <w:r w:rsidR="00D10ECD" w:rsidRPr="004B61EA">
        <w:rPr>
          <w:rFonts w:ascii="Arial" w:hAnsi="Arial" w:cs="Arial"/>
          <w:sz w:val="24"/>
          <w:szCs w:val="24"/>
          <w:lang w:val="en-US"/>
        </w:rPr>
        <w:t xml:space="preserve"> delivered prior to their 36 week scan, who had a preterm birth or stillbirth, or who did not have placenta weight or birth weight of their infant available, </w:t>
      </w:r>
      <w:r w:rsidR="00185ADF" w:rsidRPr="004B61EA">
        <w:rPr>
          <w:rFonts w:ascii="Arial" w:hAnsi="Arial" w:cs="Arial"/>
          <w:sz w:val="24"/>
          <w:szCs w:val="24"/>
          <w:lang w:val="en-US"/>
        </w:rPr>
        <w:t xml:space="preserve">3315 </w:t>
      </w:r>
      <w:r w:rsidRPr="004B61EA">
        <w:rPr>
          <w:rFonts w:ascii="Arial" w:hAnsi="Arial" w:cs="Arial"/>
          <w:sz w:val="24"/>
          <w:szCs w:val="24"/>
          <w:lang w:val="en-US"/>
        </w:rPr>
        <w:t>remai</w:t>
      </w:r>
      <w:r w:rsidR="00D10ECD" w:rsidRPr="004B61EA">
        <w:rPr>
          <w:rFonts w:ascii="Arial" w:hAnsi="Arial" w:cs="Arial"/>
          <w:sz w:val="24"/>
          <w:szCs w:val="24"/>
          <w:lang w:val="en-US"/>
        </w:rPr>
        <w:t>ned available for analysis. After excluding four outliers</w:t>
      </w:r>
      <w:r w:rsidR="009F5108" w:rsidRPr="004B61EA">
        <w:rPr>
          <w:rFonts w:ascii="Arial" w:hAnsi="Arial" w:cs="Arial"/>
          <w:sz w:val="24"/>
          <w:szCs w:val="24"/>
          <w:lang w:val="en-US"/>
        </w:rPr>
        <w:t xml:space="preserve"> (cases with GA-adjusted z-scores </w:t>
      </w:r>
      <w:r w:rsidR="006A06C7" w:rsidRPr="004B61EA">
        <w:rPr>
          <w:rFonts w:ascii="Arial" w:hAnsi="Arial" w:cs="Arial"/>
          <w:sz w:val="24"/>
          <w:szCs w:val="24"/>
          <w:lang w:val="en-US"/>
        </w:rPr>
        <w:t xml:space="preserve">of BWPW ratio </w:t>
      </w:r>
      <w:r w:rsidR="009F5108" w:rsidRPr="004B61EA">
        <w:rPr>
          <w:rFonts w:ascii="Arial" w:hAnsi="Arial" w:cs="Arial"/>
          <w:sz w:val="24"/>
          <w:szCs w:val="24"/>
          <w:lang w:val="en-US"/>
        </w:rPr>
        <w:t>above 5)</w:t>
      </w:r>
      <w:r w:rsidR="00D10ECD" w:rsidRPr="004B61EA">
        <w:rPr>
          <w:rFonts w:ascii="Arial" w:hAnsi="Arial" w:cs="Arial"/>
          <w:sz w:val="24"/>
          <w:szCs w:val="24"/>
          <w:lang w:val="en-US"/>
        </w:rPr>
        <w:t>, 3311 women were included for analysis.</w:t>
      </w:r>
      <w:r w:rsidR="00877CF0" w:rsidRPr="004B61EA">
        <w:rPr>
          <w:rFonts w:ascii="Arial" w:hAnsi="Arial" w:cs="Arial"/>
          <w:sz w:val="24"/>
          <w:szCs w:val="24"/>
          <w:lang w:val="en-US"/>
        </w:rPr>
        <w:t xml:space="preserve"> Among</w:t>
      </w:r>
      <w:r w:rsidR="00AC5427" w:rsidRPr="004B61EA">
        <w:rPr>
          <w:rFonts w:ascii="Arial" w:hAnsi="Arial" w:cs="Arial"/>
          <w:sz w:val="24"/>
          <w:szCs w:val="24"/>
          <w:lang w:val="en-US"/>
        </w:rPr>
        <w:t xml:space="preserve"> these women there were two with missing data on preeclampsia as their status on preeclampsia could not be confirmed. </w:t>
      </w:r>
      <w:r w:rsidR="004B5261" w:rsidRPr="004B61EA">
        <w:rPr>
          <w:rFonts w:ascii="Arial" w:hAnsi="Arial" w:cs="Arial"/>
          <w:sz w:val="24"/>
          <w:szCs w:val="24"/>
          <w:lang w:val="en-US"/>
        </w:rPr>
        <w:t xml:space="preserve">We obtained GA-adjusted z-scores for BWPW-ratios, as </w:t>
      </w:r>
      <w:r w:rsidR="00FE5D44" w:rsidRPr="004B61EA">
        <w:rPr>
          <w:rFonts w:ascii="Arial" w:hAnsi="Arial" w:cs="Arial"/>
          <w:sz w:val="24"/>
          <w:szCs w:val="24"/>
          <w:lang w:val="en-US"/>
        </w:rPr>
        <w:t>BWPW-ratio varied with GA</w:t>
      </w:r>
      <w:r w:rsidR="00512587" w:rsidRPr="004B61EA">
        <w:rPr>
          <w:rFonts w:ascii="Arial" w:hAnsi="Arial" w:cs="Arial"/>
          <w:sz w:val="24"/>
          <w:szCs w:val="24"/>
          <w:lang w:val="en-US"/>
        </w:rPr>
        <w:t xml:space="preserve">, whereby the log-transformed birth weight to placental weight ratio was </w:t>
      </w:r>
      <w:r w:rsidR="00724B7C" w:rsidRPr="004B61EA">
        <w:rPr>
          <w:rFonts w:ascii="Arial" w:hAnsi="Arial" w:cs="Arial"/>
          <w:sz w:val="24"/>
          <w:szCs w:val="24"/>
          <w:lang w:val="en-US"/>
        </w:rPr>
        <w:t xml:space="preserve">on average </w:t>
      </w:r>
      <w:r w:rsidR="00512587" w:rsidRPr="004B61EA">
        <w:rPr>
          <w:rFonts w:ascii="Arial" w:hAnsi="Arial" w:cs="Arial"/>
          <w:sz w:val="24"/>
          <w:szCs w:val="24"/>
          <w:lang w:val="en-US"/>
        </w:rPr>
        <w:t xml:space="preserve">0.1 SD higher for each week increase in </w:t>
      </w:r>
      <w:r w:rsidR="00914E43" w:rsidRPr="004B61EA">
        <w:rPr>
          <w:rFonts w:ascii="Arial" w:hAnsi="Arial" w:cs="Arial"/>
          <w:sz w:val="24"/>
          <w:szCs w:val="24"/>
          <w:lang w:val="en-US"/>
        </w:rPr>
        <w:t xml:space="preserve">GA </w:t>
      </w:r>
      <w:r w:rsidR="00512587" w:rsidRPr="004B61EA">
        <w:rPr>
          <w:rFonts w:ascii="Arial" w:hAnsi="Arial" w:cs="Arial"/>
          <w:sz w:val="24"/>
          <w:szCs w:val="24"/>
          <w:lang w:val="en-US"/>
        </w:rPr>
        <w:t>(p&lt;0.001) (Supplementary Figure 1)</w:t>
      </w:r>
      <w:r w:rsidR="004B5261" w:rsidRPr="004B61EA">
        <w:rPr>
          <w:rFonts w:ascii="Arial" w:hAnsi="Arial" w:cs="Arial"/>
          <w:sz w:val="24"/>
          <w:szCs w:val="24"/>
          <w:lang w:val="en-US"/>
        </w:rPr>
        <w:t>.</w:t>
      </w:r>
      <w:r w:rsidR="00512587" w:rsidRPr="004B61EA">
        <w:rPr>
          <w:rFonts w:ascii="Arial" w:hAnsi="Arial" w:cs="Arial"/>
          <w:sz w:val="24"/>
          <w:szCs w:val="24"/>
          <w:lang w:val="en-US"/>
        </w:rPr>
        <w:t xml:space="preserve"> However, the association was </w:t>
      </w:r>
      <w:r w:rsidR="00724B7C" w:rsidRPr="004B61EA">
        <w:rPr>
          <w:rFonts w:ascii="Arial" w:hAnsi="Arial" w:cs="Arial"/>
          <w:sz w:val="24"/>
          <w:szCs w:val="24"/>
          <w:lang w:val="en-US"/>
        </w:rPr>
        <w:t xml:space="preserve">slightly </w:t>
      </w:r>
      <w:r w:rsidR="00512587" w:rsidRPr="004B61EA">
        <w:rPr>
          <w:rFonts w:ascii="Arial" w:hAnsi="Arial" w:cs="Arial"/>
          <w:sz w:val="24"/>
          <w:szCs w:val="24"/>
          <w:lang w:val="en-US"/>
        </w:rPr>
        <w:t>stronger before 40 weeks than after 40 weeks of</w:t>
      </w:r>
      <w:r w:rsidR="00914E43" w:rsidRPr="004B61EA">
        <w:rPr>
          <w:rFonts w:ascii="Arial" w:hAnsi="Arial" w:cs="Arial"/>
          <w:sz w:val="24"/>
          <w:szCs w:val="24"/>
          <w:lang w:val="en-US"/>
        </w:rPr>
        <w:t xml:space="preserve"> GA</w:t>
      </w:r>
      <w:r w:rsidR="00512587" w:rsidRPr="004B61EA">
        <w:rPr>
          <w:rFonts w:ascii="Arial" w:hAnsi="Arial" w:cs="Arial"/>
          <w:sz w:val="24"/>
          <w:szCs w:val="24"/>
          <w:lang w:val="en-US"/>
        </w:rPr>
        <w:t xml:space="preserve">. </w:t>
      </w:r>
      <w:r w:rsidR="00F43D8B" w:rsidRPr="004B61EA">
        <w:rPr>
          <w:rFonts w:ascii="Arial" w:hAnsi="Arial" w:cs="Arial"/>
          <w:sz w:val="24"/>
          <w:szCs w:val="24"/>
          <w:lang w:val="en-US"/>
        </w:rPr>
        <w:t>Birth</w:t>
      </w:r>
      <w:r w:rsidR="00512587" w:rsidRPr="004B61EA">
        <w:rPr>
          <w:rFonts w:ascii="Arial" w:hAnsi="Arial" w:cs="Arial"/>
          <w:sz w:val="24"/>
          <w:szCs w:val="24"/>
          <w:lang w:val="en-US"/>
        </w:rPr>
        <w:t xml:space="preserve"> weight was 0.4 SD higher for each week increase in </w:t>
      </w:r>
      <w:r w:rsidR="00914E43" w:rsidRPr="004B61EA">
        <w:rPr>
          <w:rFonts w:ascii="Arial" w:hAnsi="Arial" w:cs="Arial"/>
          <w:sz w:val="24"/>
          <w:szCs w:val="24"/>
          <w:lang w:val="en-US"/>
        </w:rPr>
        <w:t>GA</w:t>
      </w:r>
      <w:r w:rsidR="00512587" w:rsidRPr="004B61EA">
        <w:rPr>
          <w:rFonts w:ascii="Arial" w:hAnsi="Arial" w:cs="Arial"/>
          <w:sz w:val="24"/>
          <w:szCs w:val="24"/>
          <w:lang w:val="en-US"/>
        </w:rPr>
        <w:t xml:space="preserve"> (p&lt;0.001), </w:t>
      </w:r>
      <w:r w:rsidR="00724B7C" w:rsidRPr="004B61EA">
        <w:rPr>
          <w:rFonts w:ascii="Arial" w:hAnsi="Arial" w:cs="Arial"/>
          <w:sz w:val="24"/>
          <w:szCs w:val="24"/>
          <w:lang w:val="en-US"/>
        </w:rPr>
        <w:t xml:space="preserve">and this </w:t>
      </w:r>
      <w:r w:rsidR="00512587" w:rsidRPr="004B61EA">
        <w:rPr>
          <w:rFonts w:ascii="Arial" w:hAnsi="Arial" w:cs="Arial"/>
          <w:sz w:val="24"/>
          <w:szCs w:val="24"/>
          <w:lang w:val="en-US"/>
        </w:rPr>
        <w:t xml:space="preserve">association was linear (Supplementary Figure 2). On average, the placental weight was 0.1 SD higher for each week increase in </w:t>
      </w:r>
      <w:r w:rsidR="00914E43" w:rsidRPr="004B61EA">
        <w:rPr>
          <w:rFonts w:ascii="Arial" w:hAnsi="Arial" w:cs="Arial"/>
          <w:sz w:val="24"/>
          <w:szCs w:val="24"/>
          <w:lang w:val="en-US"/>
        </w:rPr>
        <w:t xml:space="preserve">GA </w:t>
      </w:r>
      <w:r w:rsidR="00512587" w:rsidRPr="004B61EA">
        <w:rPr>
          <w:rFonts w:ascii="Arial" w:hAnsi="Arial" w:cs="Arial"/>
          <w:sz w:val="24"/>
          <w:szCs w:val="24"/>
          <w:lang w:val="en-US"/>
        </w:rPr>
        <w:t>(p&lt;0.001) (Supplementary Figure 3). The association was slightly stronger after 40 than before 40 weeks of pregnancy.</w:t>
      </w:r>
    </w:p>
    <w:p w14:paraId="17708558" w14:textId="6E290B9E" w:rsidR="00AB62D4" w:rsidRPr="004B61EA" w:rsidRDefault="00E36E89" w:rsidP="008840E6">
      <w:pPr>
        <w:pStyle w:val="NoSpacing"/>
        <w:spacing w:line="480" w:lineRule="auto"/>
        <w:rPr>
          <w:rFonts w:ascii="Arial" w:hAnsi="Arial" w:cs="Arial"/>
          <w:sz w:val="24"/>
          <w:szCs w:val="24"/>
          <w:lang w:val="en-US"/>
        </w:rPr>
      </w:pPr>
      <w:r w:rsidRPr="004B61EA">
        <w:rPr>
          <w:rFonts w:ascii="Arial" w:hAnsi="Arial" w:cs="Arial"/>
          <w:sz w:val="24"/>
          <w:szCs w:val="24"/>
          <w:lang w:val="en-US"/>
        </w:rPr>
        <w:t>The characteristics of the study cohort</w:t>
      </w:r>
      <w:r w:rsidR="004B5261" w:rsidRPr="004B61EA">
        <w:rPr>
          <w:rFonts w:ascii="Arial" w:hAnsi="Arial" w:cs="Arial"/>
          <w:sz w:val="24"/>
          <w:szCs w:val="24"/>
          <w:lang w:val="en-US"/>
        </w:rPr>
        <w:t>, presented as three groups of BWPW-ratio; 1. low</w:t>
      </w:r>
      <w:r w:rsidR="002D18D6" w:rsidRPr="004B61EA">
        <w:rPr>
          <w:rFonts w:ascii="Arial" w:hAnsi="Arial" w:cs="Arial"/>
          <w:sz w:val="24"/>
          <w:szCs w:val="24"/>
          <w:lang w:val="en-US"/>
        </w:rPr>
        <w:t>est quintile</w:t>
      </w:r>
      <w:r w:rsidR="004B5261" w:rsidRPr="004B61EA">
        <w:rPr>
          <w:rFonts w:ascii="Arial" w:hAnsi="Arial" w:cs="Arial"/>
          <w:sz w:val="24"/>
          <w:szCs w:val="24"/>
          <w:lang w:val="en-US"/>
        </w:rPr>
        <w:t xml:space="preserve"> (n=663), 2. </w:t>
      </w:r>
      <w:r w:rsidR="002D18D6" w:rsidRPr="004B61EA">
        <w:rPr>
          <w:rFonts w:ascii="Arial" w:hAnsi="Arial" w:cs="Arial"/>
          <w:sz w:val="24"/>
          <w:szCs w:val="24"/>
          <w:lang w:val="en-US"/>
        </w:rPr>
        <w:t>middle three quintiles</w:t>
      </w:r>
      <w:r w:rsidR="004B5261" w:rsidRPr="004B61EA">
        <w:rPr>
          <w:rFonts w:ascii="Arial" w:hAnsi="Arial" w:cs="Arial"/>
          <w:sz w:val="24"/>
          <w:szCs w:val="24"/>
          <w:lang w:val="en-US"/>
        </w:rPr>
        <w:t xml:space="preserve"> (n=1986), </w:t>
      </w:r>
      <w:r w:rsidR="002D18D6" w:rsidRPr="004B61EA">
        <w:rPr>
          <w:rFonts w:ascii="Arial" w:hAnsi="Arial" w:cs="Arial"/>
          <w:sz w:val="24"/>
          <w:szCs w:val="24"/>
          <w:lang w:val="en-US"/>
        </w:rPr>
        <w:t xml:space="preserve">and </w:t>
      </w:r>
      <w:r w:rsidR="004B5261" w:rsidRPr="004B61EA">
        <w:rPr>
          <w:rFonts w:ascii="Arial" w:hAnsi="Arial" w:cs="Arial"/>
          <w:sz w:val="24"/>
          <w:szCs w:val="24"/>
          <w:lang w:val="en-US"/>
        </w:rPr>
        <w:t>3. high</w:t>
      </w:r>
      <w:r w:rsidR="002D18D6" w:rsidRPr="004B61EA">
        <w:rPr>
          <w:rFonts w:ascii="Arial" w:hAnsi="Arial" w:cs="Arial"/>
          <w:sz w:val="24"/>
          <w:szCs w:val="24"/>
          <w:lang w:val="en-US"/>
        </w:rPr>
        <w:t>est qu</w:t>
      </w:r>
      <w:r w:rsidR="00FE5D44" w:rsidRPr="004B61EA">
        <w:rPr>
          <w:rFonts w:ascii="Arial" w:hAnsi="Arial" w:cs="Arial"/>
          <w:sz w:val="24"/>
          <w:szCs w:val="24"/>
          <w:lang w:val="en-US"/>
        </w:rPr>
        <w:t>i</w:t>
      </w:r>
      <w:r w:rsidR="002D18D6" w:rsidRPr="004B61EA">
        <w:rPr>
          <w:rFonts w:ascii="Arial" w:hAnsi="Arial" w:cs="Arial"/>
          <w:sz w:val="24"/>
          <w:szCs w:val="24"/>
          <w:lang w:val="en-US"/>
        </w:rPr>
        <w:t>ntile</w:t>
      </w:r>
      <w:r w:rsidR="004B5261" w:rsidRPr="004B61EA">
        <w:rPr>
          <w:rFonts w:ascii="Arial" w:hAnsi="Arial" w:cs="Arial"/>
          <w:sz w:val="24"/>
          <w:szCs w:val="24"/>
          <w:lang w:val="en-US"/>
        </w:rPr>
        <w:t xml:space="preserve"> </w:t>
      </w:r>
      <w:r w:rsidR="000C5B73" w:rsidRPr="004B61EA">
        <w:rPr>
          <w:rFonts w:ascii="Arial" w:hAnsi="Arial" w:cs="Arial"/>
          <w:sz w:val="24"/>
          <w:szCs w:val="24"/>
          <w:lang w:val="en-US"/>
        </w:rPr>
        <w:t>(</w:t>
      </w:r>
      <w:r w:rsidR="004B5261" w:rsidRPr="004B61EA">
        <w:rPr>
          <w:rFonts w:ascii="Arial" w:hAnsi="Arial" w:cs="Arial"/>
          <w:sz w:val="24"/>
          <w:szCs w:val="24"/>
          <w:lang w:val="en-US"/>
        </w:rPr>
        <w:t>n=662</w:t>
      </w:r>
      <w:r w:rsidR="000C5B73" w:rsidRPr="004B61EA">
        <w:rPr>
          <w:rFonts w:ascii="Arial" w:hAnsi="Arial" w:cs="Arial"/>
          <w:sz w:val="24"/>
          <w:szCs w:val="24"/>
          <w:lang w:val="en-US"/>
        </w:rPr>
        <w:t>)</w:t>
      </w:r>
      <w:r w:rsidR="004B5261" w:rsidRPr="004B61EA">
        <w:rPr>
          <w:rFonts w:ascii="Arial" w:hAnsi="Arial" w:cs="Arial"/>
          <w:sz w:val="24"/>
          <w:szCs w:val="24"/>
          <w:lang w:val="en-US"/>
        </w:rPr>
        <w:t xml:space="preserve">, </w:t>
      </w:r>
      <w:r w:rsidRPr="004B61EA">
        <w:rPr>
          <w:rFonts w:ascii="Arial" w:hAnsi="Arial" w:cs="Arial"/>
          <w:sz w:val="24"/>
          <w:szCs w:val="24"/>
          <w:lang w:val="en-US"/>
        </w:rPr>
        <w:t>are summarized in Table 1</w:t>
      </w:r>
      <w:r w:rsidR="007B5385" w:rsidRPr="004B61EA">
        <w:rPr>
          <w:rFonts w:ascii="Arial" w:hAnsi="Arial" w:cs="Arial"/>
          <w:sz w:val="24"/>
          <w:szCs w:val="24"/>
          <w:lang w:val="en-US"/>
        </w:rPr>
        <w:t xml:space="preserve">. </w:t>
      </w:r>
      <w:r w:rsidR="00307B23" w:rsidRPr="004B61EA">
        <w:rPr>
          <w:rFonts w:ascii="Arial" w:hAnsi="Arial" w:cs="Arial"/>
          <w:sz w:val="24"/>
          <w:szCs w:val="24"/>
          <w:lang w:val="en-US"/>
        </w:rPr>
        <w:t xml:space="preserve">Increasing BWPW-ratio was associated with decreasing BMI, smoking status </w:t>
      </w:r>
      <w:r w:rsidR="00E20097" w:rsidRPr="004B61EA">
        <w:rPr>
          <w:rFonts w:ascii="Arial" w:hAnsi="Arial" w:cs="Arial"/>
          <w:sz w:val="24"/>
          <w:szCs w:val="24"/>
          <w:lang w:val="en-US"/>
        </w:rPr>
        <w:t xml:space="preserve">and alcohol consumption </w:t>
      </w:r>
      <w:r w:rsidR="00307B23" w:rsidRPr="004B61EA">
        <w:rPr>
          <w:rFonts w:ascii="Arial" w:hAnsi="Arial" w:cs="Arial"/>
          <w:sz w:val="24"/>
          <w:szCs w:val="24"/>
          <w:lang w:val="en-US"/>
        </w:rPr>
        <w:t>of the mother</w:t>
      </w:r>
      <w:r w:rsidR="00E20097" w:rsidRPr="004B61EA">
        <w:rPr>
          <w:rFonts w:ascii="Arial" w:hAnsi="Arial" w:cs="Arial"/>
          <w:sz w:val="24"/>
          <w:szCs w:val="24"/>
          <w:lang w:val="en-US"/>
        </w:rPr>
        <w:t xml:space="preserve">, </w:t>
      </w:r>
      <w:r w:rsidR="005738F8" w:rsidRPr="004B61EA">
        <w:rPr>
          <w:rFonts w:ascii="Arial" w:hAnsi="Arial" w:cs="Arial"/>
          <w:sz w:val="24"/>
          <w:szCs w:val="24"/>
          <w:lang w:val="en-US"/>
        </w:rPr>
        <w:t xml:space="preserve">ethnicity of the mother, </w:t>
      </w:r>
      <w:r w:rsidR="00307B23" w:rsidRPr="004B61EA">
        <w:rPr>
          <w:rFonts w:ascii="Arial" w:hAnsi="Arial" w:cs="Arial"/>
          <w:sz w:val="24"/>
          <w:szCs w:val="24"/>
          <w:lang w:val="en-US"/>
        </w:rPr>
        <w:t xml:space="preserve">and sex of the </w:t>
      </w:r>
      <w:r w:rsidR="00333138" w:rsidRPr="004B61EA">
        <w:rPr>
          <w:rFonts w:ascii="Arial" w:hAnsi="Arial" w:cs="Arial"/>
          <w:sz w:val="24"/>
          <w:szCs w:val="24"/>
          <w:lang w:val="en-US"/>
        </w:rPr>
        <w:t xml:space="preserve">infant </w:t>
      </w:r>
      <w:r w:rsidR="00307B23" w:rsidRPr="004B61EA">
        <w:rPr>
          <w:rFonts w:ascii="Arial" w:hAnsi="Arial" w:cs="Arial"/>
          <w:sz w:val="24"/>
          <w:szCs w:val="24"/>
          <w:lang w:val="en-US"/>
        </w:rPr>
        <w:t xml:space="preserve">(Table 1). </w:t>
      </w:r>
    </w:p>
    <w:p w14:paraId="52B85111" w14:textId="6218B7D3" w:rsidR="00B613E2" w:rsidRPr="004B61EA" w:rsidRDefault="0059584B" w:rsidP="008840E6">
      <w:pPr>
        <w:pStyle w:val="NoSpacing"/>
        <w:spacing w:line="480" w:lineRule="auto"/>
        <w:rPr>
          <w:rFonts w:ascii="Arial" w:hAnsi="Arial" w:cs="Arial"/>
          <w:sz w:val="24"/>
          <w:szCs w:val="24"/>
          <w:lang w:val="en-US"/>
        </w:rPr>
      </w:pPr>
      <w:r w:rsidRPr="004B61EA">
        <w:rPr>
          <w:rFonts w:ascii="Arial" w:hAnsi="Arial" w:cs="Arial"/>
          <w:sz w:val="24"/>
          <w:szCs w:val="24"/>
          <w:lang w:val="en-US"/>
        </w:rPr>
        <w:t xml:space="preserve">Figure </w:t>
      </w:r>
      <w:r w:rsidR="00246B25" w:rsidRPr="004B61EA">
        <w:rPr>
          <w:rFonts w:ascii="Arial" w:hAnsi="Arial" w:cs="Arial"/>
          <w:sz w:val="24"/>
          <w:szCs w:val="24"/>
          <w:lang w:val="en-US"/>
        </w:rPr>
        <w:t xml:space="preserve">1 </w:t>
      </w:r>
      <w:r w:rsidR="00C13D4F" w:rsidRPr="004B61EA">
        <w:rPr>
          <w:rFonts w:ascii="Arial" w:hAnsi="Arial" w:cs="Arial"/>
          <w:sz w:val="24"/>
          <w:szCs w:val="24"/>
          <w:lang w:val="en-US"/>
        </w:rPr>
        <w:t>and F</w:t>
      </w:r>
      <w:r w:rsidR="001F40B8" w:rsidRPr="004B61EA">
        <w:rPr>
          <w:rFonts w:ascii="Arial" w:hAnsi="Arial" w:cs="Arial"/>
          <w:sz w:val="24"/>
          <w:szCs w:val="24"/>
          <w:lang w:val="en-US"/>
        </w:rPr>
        <w:t>igure 2 present</w:t>
      </w:r>
      <w:r w:rsidRPr="004B61EA">
        <w:rPr>
          <w:rFonts w:ascii="Arial" w:hAnsi="Arial" w:cs="Arial"/>
          <w:sz w:val="24"/>
          <w:szCs w:val="24"/>
          <w:lang w:val="en-US"/>
        </w:rPr>
        <w:t xml:space="preserve"> the relative risks of</w:t>
      </w:r>
      <w:r w:rsidR="00402168" w:rsidRPr="004B61EA">
        <w:rPr>
          <w:rFonts w:ascii="Arial" w:hAnsi="Arial" w:cs="Arial"/>
          <w:sz w:val="24"/>
          <w:szCs w:val="24"/>
          <w:lang w:val="en-US"/>
        </w:rPr>
        <w:t>,</w:t>
      </w:r>
      <w:r w:rsidRPr="004B61EA">
        <w:rPr>
          <w:rFonts w:ascii="Arial" w:hAnsi="Arial" w:cs="Arial"/>
          <w:sz w:val="24"/>
          <w:szCs w:val="24"/>
          <w:lang w:val="en-US"/>
        </w:rPr>
        <w:t xml:space="preserve"> </w:t>
      </w:r>
      <w:r w:rsidR="001F40B8" w:rsidRPr="004B61EA">
        <w:rPr>
          <w:rFonts w:ascii="Arial" w:hAnsi="Arial" w:cs="Arial"/>
          <w:sz w:val="24"/>
          <w:szCs w:val="24"/>
          <w:lang w:val="en-US"/>
        </w:rPr>
        <w:t>resp</w:t>
      </w:r>
      <w:r w:rsidR="00402168" w:rsidRPr="004B61EA">
        <w:rPr>
          <w:rFonts w:ascii="Arial" w:hAnsi="Arial" w:cs="Arial"/>
          <w:sz w:val="24"/>
          <w:szCs w:val="24"/>
          <w:lang w:val="en-US"/>
        </w:rPr>
        <w:t>ectively,</w:t>
      </w:r>
      <w:r w:rsidR="001F40B8" w:rsidRPr="004B61EA">
        <w:rPr>
          <w:rFonts w:ascii="Arial" w:hAnsi="Arial" w:cs="Arial"/>
          <w:sz w:val="24"/>
          <w:szCs w:val="24"/>
          <w:lang w:val="en-US"/>
        </w:rPr>
        <w:t xml:space="preserve"> </w:t>
      </w:r>
      <w:r w:rsidR="0021673C" w:rsidRPr="004B61EA">
        <w:rPr>
          <w:rFonts w:ascii="Arial" w:hAnsi="Arial" w:cs="Arial"/>
          <w:sz w:val="24"/>
          <w:szCs w:val="24"/>
          <w:lang w:val="en-US"/>
        </w:rPr>
        <w:t xml:space="preserve">a </w:t>
      </w:r>
      <w:r w:rsidRPr="004B61EA">
        <w:rPr>
          <w:rFonts w:ascii="Arial" w:hAnsi="Arial" w:cs="Arial"/>
          <w:sz w:val="24"/>
          <w:szCs w:val="24"/>
          <w:lang w:val="en-US"/>
        </w:rPr>
        <w:t>high BWPW-ratio</w:t>
      </w:r>
      <w:r w:rsidR="009F5108" w:rsidRPr="004B61EA">
        <w:rPr>
          <w:rFonts w:ascii="Arial" w:hAnsi="Arial" w:cs="Arial"/>
          <w:sz w:val="24"/>
          <w:szCs w:val="24"/>
          <w:lang w:val="en-US"/>
        </w:rPr>
        <w:t xml:space="preserve"> (Q5 vs. Q2-Q4)</w:t>
      </w:r>
      <w:r w:rsidR="001F40B8" w:rsidRPr="004B61EA">
        <w:rPr>
          <w:rFonts w:ascii="Arial" w:hAnsi="Arial" w:cs="Arial"/>
          <w:sz w:val="24"/>
          <w:szCs w:val="24"/>
          <w:lang w:val="en-US"/>
        </w:rPr>
        <w:t xml:space="preserve"> and </w:t>
      </w:r>
      <w:r w:rsidR="0021673C" w:rsidRPr="004B61EA">
        <w:rPr>
          <w:rFonts w:ascii="Arial" w:hAnsi="Arial" w:cs="Arial"/>
          <w:sz w:val="24"/>
          <w:szCs w:val="24"/>
          <w:lang w:val="en-US"/>
        </w:rPr>
        <w:t xml:space="preserve">a </w:t>
      </w:r>
      <w:r w:rsidR="001F40B8" w:rsidRPr="004B61EA">
        <w:rPr>
          <w:rFonts w:ascii="Arial" w:hAnsi="Arial" w:cs="Arial"/>
          <w:sz w:val="24"/>
          <w:szCs w:val="24"/>
          <w:lang w:val="en-US"/>
        </w:rPr>
        <w:t>low BWPW-ratio (Q1 vs. Q2-Q4)</w:t>
      </w:r>
      <w:r w:rsidRPr="004B61EA">
        <w:rPr>
          <w:rFonts w:ascii="Arial" w:hAnsi="Arial" w:cs="Arial"/>
          <w:sz w:val="24"/>
          <w:szCs w:val="24"/>
          <w:lang w:val="en-US"/>
        </w:rPr>
        <w:t xml:space="preserve"> in relation to several</w:t>
      </w:r>
      <w:r w:rsidR="00166920" w:rsidRPr="004B61EA">
        <w:rPr>
          <w:rFonts w:ascii="Arial" w:hAnsi="Arial" w:cs="Arial"/>
          <w:sz w:val="24"/>
          <w:szCs w:val="24"/>
          <w:lang w:val="en-US"/>
        </w:rPr>
        <w:t xml:space="preserve"> binary</w:t>
      </w:r>
      <w:r w:rsidRPr="004B61EA">
        <w:rPr>
          <w:rFonts w:ascii="Arial" w:hAnsi="Arial" w:cs="Arial"/>
          <w:sz w:val="24"/>
          <w:szCs w:val="24"/>
          <w:lang w:val="en-US"/>
        </w:rPr>
        <w:t xml:space="preserve"> outcome variables</w:t>
      </w:r>
      <w:r w:rsidR="00EF2BEA" w:rsidRPr="004B61EA">
        <w:rPr>
          <w:rFonts w:ascii="Arial" w:hAnsi="Arial" w:cs="Arial"/>
          <w:sz w:val="24"/>
          <w:szCs w:val="24"/>
          <w:lang w:val="en-US"/>
        </w:rPr>
        <w:t xml:space="preserve"> within </w:t>
      </w:r>
      <w:r w:rsidR="00717702" w:rsidRPr="004B61EA">
        <w:rPr>
          <w:rFonts w:ascii="Arial" w:hAnsi="Arial" w:cs="Arial"/>
          <w:sz w:val="24"/>
          <w:szCs w:val="24"/>
          <w:lang w:val="en-US"/>
        </w:rPr>
        <w:t xml:space="preserve">the </w:t>
      </w:r>
      <w:r w:rsidR="00C13D4F" w:rsidRPr="004B61EA">
        <w:rPr>
          <w:rFonts w:ascii="Arial" w:hAnsi="Arial" w:cs="Arial"/>
          <w:sz w:val="24"/>
          <w:szCs w:val="24"/>
          <w:lang w:val="en-US"/>
        </w:rPr>
        <w:t>complete cohort</w:t>
      </w:r>
      <w:r w:rsidR="00166920" w:rsidRPr="004B61EA">
        <w:rPr>
          <w:rFonts w:ascii="Arial" w:hAnsi="Arial" w:cs="Arial"/>
          <w:sz w:val="24"/>
          <w:szCs w:val="24"/>
          <w:lang w:val="en-US"/>
        </w:rPr>
        <w:t>.</w:t>
      </w:r>
      <w:r w:rsidR="00AB62D4" w:rsidRPr="004B61EA">
        <w:rPr>
          <w:rFonts w:ascii="Arial" w:hAnsi="Arial" w:cs="Arial"/>
          <w:sz w:val="24"/>
          <w:szCs w:val="24"/>
          <w:lang w:val="en-US"/>
        </w:rPr>
        <w:t xml:space="preserve"> </w:t>
      </w:r>
      <w:r w:rsidR="00C13D4F" w:rsidRPr="004B61EA">
        <w:rPr>
          <w:rFonts w:ascii="Arial" w:hAnsi="Arial" w:cs="Arial"/>
          <w:sz w:val="24"/>
          <w:szCs w:val="24"/>
          <w:lang w:val="en-US"/>
        </w:rPr>
        <w:t xml:space="preserve">There was no evidence for interaction with birth weight category (SGA, AGA, LGA), therefore only the results of associations between BWPW-ratio and outcome variables within the complete cohort are shown. </w:t>
      </w:r>
      <w:r w:rsidR="001F40B8" w:rsidRPr="004B61EA">
        <w:rPr>
          <w:rFonts w:ascii="Arial" w:hAnsi="Arial" w:cs="Arial"/>
          <w:sz w:val="24"/>
          <w:szCs w:val="24"/>
          <w:lang w:val="en-US"/>
        </w:rPr>
        <w:t>Relative risks are given for either high or low BWPW-ratio in relation to the binary outcome variables, whereby u</w:t>
      </w:r>
      <w:r w:rsidR="00B613E2" w:rsidRPr="004B61EA">
        <w:rPr>
          <w:rFonts w:ascii="Arial" w:hAnsi="Arial" w:cs="Arial"/>
          <w:sz w:val="24"/>
          <w:szCs w:val="24"/>
          <w:lang w:val="en-US"/>
        </w:rPr>
        <w:t xml:space="preserve">ltrasonic measurements were defined as the extreme </w:t>
      </w:r>
      <w:r w:rsidR="00307B23" w:rsidRPr="004B61EA">
        <w:rPr>
          <w:rFonts w:ascii="Arial" w:hAnsi="Arial" w:cs="Arial"/>
          <w:sz w:val="24"/>
          <w:szCs w:val="24"/>
          <w:lang w:val="en-US"/>
        </w:rPr>
        <w:t>quintile</w:t>
      </w:r>
      <w:r w:rsidR="00B613E2" w:rsidRPr="004B61EA">
        <w:rPr>
          <w:rFonts w:ascii="Arial" w:hAnsi="Arial" w:cs="Arial"/>
          <w:sz w:val="24"/>
          <w:szCs w:val="24"/>
          <w:lang w:val="en-US"/>
        </w:rPr>
        <w:t xml:space="preserve"> and compared wi</w:t>
      </w:r>
      <w:r w:rsidR="00A2319E" w:rsidRPr="004B61EA">
        <w:rPr>
          <w:rFonts w:ascii="Arial" w:hAnsi="Arial" w:cs="Arial"/>
          <w:sz w:val="24"/>
          <w:szCs w:val="24"/>
          <w:lang w:val="en-US"/>
        </w:rPr>
        <w:t>th the other four</w:t>
      </w:r>
      <w:r w:rsidR="00307B23" w:rsidRPr="004B61EA">
        <w:rPr>
          <w:rFonts w:ascii="Arial" w:hAnsi="Arial" w:cs="Arial"/>
          <w:sz w:val="24"/>
          <w:szCs w:val="24"/>
          <w:lang w:val="en-US"/>
        </w:rPr>
        <w:t xml:space="preserve"> quint</w:t>
      </w:r>
      <w:r w:rsidR="00B613E2" w:rsidRPr="004B61EA">
        <w:rPr>
          <w:rFonts w:ascii="Arial" w:hAnsi="Arial" w:cs="Arial"/>
          <w:sz w:val="24"/>
          <w:szCs w:val="24"/>
          <w:lang w:val="en-US"/>
        </w:rPr>
        <w:t>iles. For UtA PI and</w:t>
      </w:r>
      <w:r w:rsidR="00307B23" w:rsidRPr="004B61EA">
        <w:rPr>
          <w:rFonts w:ascii="Arial" w:hAnsi="Arial" w:cs="Arial"/>
          <w:sz w:val="24"/>
          <w:szCs w:val="24"/>
          <w:lang w:val="en-US"/>
        </w:rPr>
        <w:t xml:space="preserve"> UmA PI this was the highest quint</w:t>
      </w:r>
      <w:r w:rsidR="00B613E2" w:rsidRPr="004B61EA">
        <w:rPr>
          <w:rFonts w:ascii="Arial" w:hAnsi="Arial" w:cs="Arial"/>
          <w:sz w:val="24"/>
          <w:szCs w:val="24"/>
          <w:lang w:val="en-US"/>
        </w:rPr>
        <w:t>ile (incr</w:t>
      </w:r>
      <w:r w:rsidR="00C13D4F" w:rsidRPr="004B61EA">
        <w:rPr>
          <w:rFonts w:ascii="Arial" w:hAnsi="Arial" w:cs="Arial"/>
          <w:sz w:val="24"/>
          <w:szCs w:val="24"/>
          <w:lang w:val="en-US"/>
        </w:rPr>
        <w:t>eased UmA/UtA PI) and f</w:t>
      </w:r>
      <w:r w:rsidR="00307B23" w:rsidRPr="004B61EA">
        <w:rPr>
          <w:rFonts w:ascii="Arial" w:hAnsi="Arial" w:cs="Arial"/>
          <w:sz w:val="24"/>
          <w:szCs w:val="24"/>
          <w:lang w:val="en-US"/>
        </w:rPr>
        <w:t>or ACGV it was the lowest quint</w:t>
      </w:r>
      <w:r w:rsidR="00FF1886" w:rsidRPr="004B61EA">
        <w:rPr>
          <w:rFonts w:ascii="Arial" w:hAnsi="Arial" w:cs="Arial"/>
          <w:sz w:val="24"/>
          <w:szCs w:val="24"/>
          <w:lang w:val="en-US"/>
        </w:rPr>
        <w:t>ile of ACGV (reduced ACGV).</w:t>
      </w:r>
    </w:p>
    <w:p w14:paraId="1C99A323" w14:textId="023E53C5" w:rsidR="002F7F21" w:rsidRPr="004B61EA" w:rsidRDefault="002F7F21" w:rsidP="001F3D18">
      <w:pPr>
        <w:spacing w:after="0" w:line="480" w:lineRule="auto"/>
        <w:rPr>
          <w:rFonts w:ascii="Arial" w:hAnsi="Arial" w:cs="Arial"/>
          <w:sz w:val="24"/>
          <w:szCs w:val="24"/>
          <w:lang w:val="en-US"/>
        </w:rPr>
      </w:pPr>
      <w:r w:rsidRPr="004B61EA">
        <w:rPr>
          <w:rFonts w:ascii="Arial" w:hAnsi="Arial" w:cs="Arial"/>
          <w:sz w:val="24"/>
          <w:szCs w:val="24"/>
          <w:lang w:val="en-US"/>
        </w:rPr>
        <w:t>Linear regression analyses showed that high BWPW-ratio</w:t>
      </w:r>
      <w:r w:rsidR="00466B50" w:rsidRPr="004B61EA">
        <w:rPr>
          <w:rFonts w:ascii="Arial" w:hAnsi="Arial" w:cs="Arial"/>
          <w:sz w:val="24"/>
          <w:szCs w:val="24"/>
          <w:lang w:val="en-US"/>
        </w:rPr>
        <w:t xml:space="preserve"> had weak </w:t>
      </w:r>
      <w:r w:rsidRPr="004B61EA">
        <w:rPr>
          <w:rFonts w:ascii="Arial" w:hAnsi="Arial" w:cs="Arial"/>
          <w:sz w:val="24"/>
          <w:szCs w:val="24"/>
          <w:lang w:val="en-US"/>
        </w:rPr>
        <w:t>associat</w:t>
      </w:r>
      <w:r w:rsidR="00466B50" w:rsidRPr="004B61EA">
        <w:rPr>
          <w:rFonts w:ascii="Arial" w:hAnsi="Arial" w:cs="Arial"/>
          <w:sz w:val="24"/>
          <w:szCs w:val="24"/>
          <w:lang w:val="en-US"/>
        </w:rPr>
        <w:t>ions</w:t>
      </w:r>
      <w:r w:rsidRPr="004B61EA">
        <w:rPr>
          <w:rFonts w:ascii="Arial" w:hAnsi="Arial" w:cs="Arial"/>
          <w:sz w:val="24"/>
          <w:szCs w:val="24"/>
          <w:lang w:val="en-US"/>
        </w:rPr>
        <w:t xml:space="preserve"> </w:t>
      </w:r>
      <w:r w:rsidR="00E97AE6" w:rsidRPr="004B61EA">
        <w:rPr>
          <w:rFonts w:ascii="Arial" w:hAnsi="Arial" w:cs="Arial"/>
          <w:sz w:val="24"/>
          <w:szCs w:val="24"/>
          <w:lang w:val="en-US"/>
        </w:rPr>
        <w:t xml:space="preserve">with </w:t>
      </w:r>
      <w:r w:rsidRPr="004B61EA">
        <w:rPr>
          <w:rFonts w:ascii="Arial" w:hAnsi="Arial" w:cs="Arial"/>
          <w:sz w:val="24"/>
          <w:szCs w:val="24"/>
          <w:lang w:val="en-US"/>
        </w:rPr>
        <w:t>all three ultrasonic measurements, specifically both increased U</w:t>
      </w:r>
      <w:r w:rsidR="00FF1886" w:rsidRPr="004B61EA">
        <w:rPr>
          <w:rFonts w:ascii="Arial" w:hAnsi="Arial" w:cs="Arial"/>
          <w:sz w:val="24"/>
          <w:szCs w:val="24"/>
          <w:lang w:val="en-US"/>
        </w:rPr>
        <w:t>m</w:t>
      </w:r>
      <w:r w:rsidRPr="004B61EA">
        <w:rPr>
          <w:rFonts w:ascii="Arial" w:hAnsi="Arial" w:cs="Arial"/>
          <w:sz w:val="24"/>
          <w:szCs w:val="24"/>
          <w:lang w:val="en-US"/>
        </w:rPr>
        <w:t>A PI and UtA PI, and reduced ACGV (Table 2). The associations for high BWPW-ratio with UtA PI and UmA PI remained</w:t>
      </w:r>
      <w:r w:rsidR="00466B50" w:rsidRPr="004B61EA">
        <w:rPr>
          <w:rFonts w:ascii="Arial" w:hAnsi="Arial" w:cs="Arial"/>
          <w:sz w:val="24"/>
          <w:szCs w:val="24"/>
          <w:lang w:val="en-US"/>
        </w:rPr>
        <w:t xml:space="preserve"> statistically</w:t>
      </w:r>
      <w:r w:rsidRPr="004B61EA">
        <w:rPr>
          <w:rFonts w:ascii="Arial" w:hAnsi="Arial" w:cs="Arial"/>
          <w:sz w:val="24"/>
          <w:szCs w:val="24"/>
          <w:lang w:val="en-US"/>
        </w:rPr>
        <w:t xml:space="preserve"> significant after adjustment for maternal characteristics. Low BWPW-ratio was associated with a</w:t>
      </w:r>
      <w:r w:rsidR="00BC3B9F" w:rsidRPr="004B61EA">
        <w:rPr>
          <w:rFonts w:ascii="Arial" w:hAnsi="Arial" w:cs="Arial"/>
          <w:sz w:val="24"/>
          <w:szCs w:val="24"/>
          <w:lang w:val="en-US"/>
        </w:rPr>
        <w:t xml:space="preserve"> </w:t>
      </w:r>
      <w:r w:rsidRPr="004B61EA">
        <w:rPr>
          <w:rFonts w:ascii="Arial" w:hAnsi="Arial" w:cs="Arial"/>
          <w:sz w:val="24"/>
          <w:szCs w:val="24"/>
          <w:lang w:val="en-US"/>
        </w:rPr>
        <w:t>reduced UmA PI (Table 2). Adjustments for maternal characteristics did not materially affect these results.</w:t>
      </w:r>
      <w:r w:rsidR="00DD7E63" w:rsidRPr="004B61EA">
        <w:rPr>
          <w:rFonts w:ascii="Arial" w:hAnsi="Arial" w:cs="Arial"/>
          <w:sz w:val="24"/>
          <w:szCs w:val="24"/>
          <w:lang w:val="en-US"/>
        </w:rPr>
        <w:t xml:space="preserve"> </w:t>
      </w:r>
      <w:r w:rsidRPr="004B61EA">
        <w:rPr>
          <w:rFonts w:ascii="Arial" w:hAnsi="Arial" w:cs="Arial"/>
          <w:sz w:val="24"/>
          <w:szCs w:val="24"/>
          <w:lang w:val="en-US"/>
        </w:rPr>
        <w:t xml:space="preserve">In accordance with Table 2, Figure 3 illustrates the comparison in ultrasonic measurements between high and low BWPW-ratio with normal BWPW-ratio. </w:t>
      </w:r>
    </w:p>
    <w:p w14:paraId="056A4CC0" w14:textId="77777777" w:rsidR="00DD7E63" w:rsidRPr="004B61EA" w:rsidRDefault="00DD7E63" w:rsidP="001F3D18">
      <w:pPr>
        <w:spacing w:after="0" w:line="480" w:lineRule="auto"/>
        <w:rPr>
          <w:rFonts w:ascii="Arial" w:hAnsi="Arial" w:cs="Arial"/>
          <w:sz w:val="24"/>
          <w:szCs w:val="24"/>
          <w:lang w:val="en-US"/>
        </w:rPr>
      </w:pPr>
    </w:p>
    <w:p w14:paraId="44D559E1" w14:textId="61D685B4" w:rsidR="000C6C15" w:rsidRPr="004B61EA" w:rsidRDefault="000C6C15" w:rsidP="000C6C15">
      <w:pPr>
        <w:spacing w:after="0" w:line="480" w:lineRule="auto"/>
        <w:rPr>
          <w:rFonts w:ascii="Arial" w:hAnsi="Arial" w:cs="Arial"/>
          <w:sz w:val="24"/>
          <w:szCs w:val="24"/>
          <w:lang w:val="en-US"/>
        </w:rPr>
        <w:sectPr w:rsidR="000C6C15" w:rsidRPr="004B61EA">
          <w:footerReference w:type="default" r:id="rId16"/>
          <w:pgSz w:w="11906" w:h="16838"/>
          <w:pgMar w:top="1417" w:right="1417" w:bottom="1417" w:left="1417" w:header="708" w:footer="708" w:gutter="0"/>
          <w:lnNumType w:countBy="1" w:restart="continuous"/>
          <w:cols w:space="708"/>
          <w:docGrid w:linePitch="360"/>
        </w:sectPr>
      </w:pPr>
      <w:r w:rsidRPr="004B61EA">
        <w:rPr>
          <w:rFonts w:ascii="Arial" w:hAnsi="Arial" w:cs="Arial"/>
          <w:sz w:val="24"/>
          <w:szCs w:val="24"/>
          <w:lang w:val="en-US"/>
        </w:rPr>
        <w:t>When the binary outcome variables were analyzed in relation to both high and low BWPW-ratio (Table 3), we found that neonatal morbidity was more common when BWPW-ratio was low</w:t>
      </w:r>
      <w:r w:rsidR="00FE5D44" w:rsidRPr="004B61EA">
        <w:rPr>
          <w:rFonts w:ascii="Arial" w:hAnsi="Arial" w:cs="Arial"/>
          <w:sz w:val="24"/>
          <w:szCs w:val="24"/>
          <w:lang w:val="en-US"/>
        </w:rPr>
        <w:t xml:space="preserve"> (adjusted odds ratio 1.55</w:t>
      </w:r>
      <w:r w:rsidRPr="004B61EA">
        <w:rPr>
          <w:rFonts w:ascii="Arial" w:hAnsi="Arial" w:cs="Arial"/>
          <w:sz w:val="24"/>
          <w:szCs w:val="24"/>
          <w:lang w:val="en-US"/>
        </w:rPr>
        <w:t xml:space="preserve"> [</w:t>
      </w:r>
      <w:r w:rsidR="00FE5D44" w:rsidRPr="004B61EA">
        <w:rPr>
          <w:rFonts w:ascii="Arial" w:hAnsi="Arial" w:cs="Arial"/>
          <w:sz w:val="24"/>
          <w:szCs w:val="24"/>
          <w:lang w:val="en-US"/>
        </w:rPr>
        <w:t>95%CI 1.12-2.14, p=0.007</w:t>
      </w:r>
      <w:r w:rsidRPr="004B61EA">
        <w:rPr>
          <w:rFonts w:ascii="Arial" w:hAnsi="Arial" w:cs="Arial"/>
          <w:sz w:val="24"/>
          <w:szCs w:val="24"/>
          <w:lang w:val="en-US"/>
        </w:rPr>
        <w:t>]). Furthermore, diabetes (pre-gestational or gestational) was significantly associated with low BWPW-ratio: the adjusted</w:t>
      </w:r>
      <w:r w:rsidR="00FE5D44" w:rsidRPr="004B61EA">
        <w:rPr>
          <w:rFonts w:ascii="Arial" w:hAnsi="Arial" w:cs="Arial"/>
          <w:sz w:val="24"/>
          <w:szCs w:val="24"/>
          <w:lang w:val="en-US"/>
        </w:rPr>
        <w:t xml:space="preserve"> odds ratio was 1.75 (95% CI 1.18-2.59, p=0.005</w:t>
      </w:r>
      <w:r w:rsidRPr="004B61EA">
        <w:rPr>
          <w:rFonts w:ascii="Arial" w:hAnsi="Arial" w:cs="Arial"/>
          <w:sz w:val="24"/>
          <w:szCs w:val="24"/>
          <w:lang w:val="en-US"/>
        </w:rPr>
        <w:t>). It was also shown that high BWPW-ratio was associated with a reduced risk of maternal obesity (adjusted odds ratio of 0.71 [95% CI 0.53-0.95, p=0.02]) and preeclampsia (adjusted odds ratio of 0.51 [95% CI 0.31-0.84, p=0.008]).</w:t>
      </w:r>
    </w:p>
    <w:p w14:paraId="36ECD507" w14:textId="77777777" w:rsidR="005F34C8" w:rsidRPr="004B61EA" w:rsidRDefault="00DD1DBA" w:rsidP="0045605B">
      <w:pPr>
        <w:spacing w:after="0" w:line="480" w:lineRule="auto"/>
        <w:outlineLvl w:val="0"/>
        <w:rPr>
          <w:rFonts w:ascii="Arial" w:hAnsi="Arial" w:cs="Arial"/>
          <w:b/>
          <w:sz w:val="24"/>
          <w:szCs w:val="24"/>
          <w:lang w:val="en-US"/>
        </w:rPr>
      </w:pPr>
      <w:r w:rsidRPr="004B61EA">
        <w:rPr>
          <w:rFonts w:ascii="Arial" w:hAnsi="Arial" w:cs="Arial"/>
          <w:b/>
          <w:sz w:val="24"/>
          <w:szCs w:val="24"/>
          <w:lang w:val="en-US"/>
        </w:rPr>
        <w:t>Discussion</w:t>
      </w:r>
    </w:p>
    <w:p w14:paraId="3B588EBB" w14:textId="77777777" w:rsidR="00DD7E63" w:rsidRPr="004B61EA" w:rsidRDefault="00DD7E63" w:rsidP="008840E6">
      <w:pPr>
        <w:spacing w:after="0" w:line="480" w:lineRule="auto"/>
        <w:rPr>
          <w:rFonts w:ascii="Arial" w:hAnsi="Arial" w:cs="Arial"/>
          <w:sz w:val="24"/>
          <w:szCs w:val="24"/>
          <w:lang w:val="en-US"/>
        </w:rPr>
      </w:pPr>
    </w:p>
    <w:p w14:paraId="124C7FA9" w14:textId="49D154FA" w:rsidR="00DD7E63" w:rsidRPr="004B61EA" w:rsidRDefault="00B8377B" w:rsidP="008840E6">
      <w:pPr>
        <w:spacing w:after="0" w:line="480" w:lineRule="auto"/>
        <w:rPr>
          <w:rFonts w:ascii="Arial" w:hAnsi="Arial" w:cs="Arial"/>
          <w:sz w:val="24"/>
          <w:szCs w:val="24"/>
          <w:lang w:val="en-US"/>
        </w:rPr>
      </w:pPr>
      <w:r w:rsidRPr="004B61EA">
        <w:rPr>
          <w:rFonts w:ascii="Arial" w:hAnsi="Arial" w:cs="Arial"/>
          <w:sz w:val="24"/>
          <w:szCs w:val="24"/>
          <w:lang w:val="en-US"/>
        </w:rPr>
        <w:t xml:space="preserve">The </w:t>
      </w:r>
      <w:r w:rsidR="00331FFC" w:rsidRPr="004B61EA">
        <w:rPr>
          <w:rFonts w:ascii="Arial" w:hAnsi="Arial" w:cs="Arial"/>
          <w:sz w:val="24"/>
          <w:szCs w:val="24"/>
          <w:lang w:val="en-US"/>
        </w:rPr>
        <w:t>aim of this study was</w:t>
      </w:r>
      <w:r w:rsidRPr="004B61EA">
        <w:rPr>
          <w:rFonts w:ascii="Arial" w:hAnsi="Arial" w:cs="Arial"/>
          <w:sz w:val="24"/>
          <w:szCs w:val="24"/>
          <w:lang w:val="en-US"/>
        </w:rPr>
        <w:t xml:space="preserve"> to investigate the relationship between </w:t>
      </w:r>
      <w:r w:rsidR="00BE3412" w:rsidRPr="004B61EA">
        <w:rPr>
          <w:rFonts w:ascii="Arial" w:hAnsi="Arial" w:cs="Arial"/>
          <w:sz w:val="24"/>
          <w:szCs w:val="24"/>
          <w:lang w:val="en-US"/>
        </w:rPr>
        <w:t>birth</w:t>
      </w:r>
      <w:r w:rsidR="00215E73" w:rsidRPr="004B61EA">
        <w:rPr>
          <w:rFonts w:ascii="Arial" w:hAnsi="Arial" w:cs="Arial"/>
          <w:sz w:val="24"/>
          <w:szCs w:val="24"/>
          <w:lang w:val="en-US"/>
        </w:rPr>
        <w:t xml:space="preserve"> </w:t>
      </w:r>
      <w:r w:rsidR="00BE3412" w:rsidRPr="004B61EA">
        <w:rPr>
          <w:rFonts w:ascii="Arial" w:hAnsi="Arial" w:cs="Arial"/>
          <w:sz w:val="24"/>
          <w:szCs w:val="24"/>
          <w:lang w:val="en-US"/>
        </w:rPr>
        <w:t xml:space="preserve">weight </w:t>
      </w:r>
      <w:r w:rsidR="004104D8" w:rsidRPr="004B61EA">
        <w:rPr>
          <w:rFonts w:ascii="Arial" w:hAnsi="Arial" w:cs="Arial"/>
          <w:sz w:val="24"/>
          <w:szCs w:val="24"/>
          <w:lang w:val="en-US"/>
        </w:rPr>
        <w:t xml:space="preserve">to </w:t>
      </w:r>
      <w:r w:rsidR="00BE3412" w:rsidRPr="004B61EA">
        <w:rPr>
          <w:rFonts w:ascii="Arial" w:hAnsi="Arial" w:cs="Arial"/>
          <w:sz w:val="24"/>
          <w:szCs w:val="24"/>
          <w:lang w:val="en-US"/>
        </w:rPr>
        <w:t>placenta</w:t>
      </w:r>
      <w:r w:rsidR="00215E73" w:rsidRPr="004B61EA">
        <w:rPr>
          <w:rFonts w:ascii="Arial" w:hAnsi="Arial" w:cs="Arial"/>
          <w:sz w:val="24"/>
          <w:szCs w:val="24"/>
          <w:lang w:val="en-US"/>
        </w:rPr>
        <w:t xml:space="preserve"> </w:t>
      </w:r>
      <w:r w:rsidR="00BE3412" w:rsidRPr="004B61EA">
        <w:rPr>
          <w:rFonts w:ascii="Arial" w:hAnsi="Arial" w:cs="Arial"/>
          <w:sz w:val="24"/>
          <w:szCs w:val="24"/>
          <w:lang w:val="en-US"/>
        </w:rPr>
        <w:t>weight (BWPW) ratio</w:t>
      </w:r>
      <w:r w:rsidR="00FF641F" w:rsidRPr="004B61EA">
        <w:rPr>
          <w:rFonts w:ascii="Arial" w:hAnsi="Arial" w:cs="Arial"/>
          <w:sz w:val="24"/>
          <w:szCs w:val="24"/>
          <w:lang w:val="en-US"/>
        </w:rPr>
        <w:t xml:space="preserve">, </w:t>
      </w:r>
      <w:r w:rsidR="00A86344" w:rsidRPr="004B61EA">
        <w:rPr>
          <w:rFonts w:ascii="Arial" w:hAnsi="Arial" w:cs="Arial"/>
          <w:sz w:val="24"/>
          <w:szCs w:val="24"/>
          <w:lang w:val="en-US"/>
        </w:rPr>
        <w:t xml:space="preserve">ultrasonic measurements </w:t>
      </w:r>
      <w:r w:rsidR="00331FFC" w:rsidRPr="004B61EA">
        <w:rPr>
          <w:rFonts w:ascii="Arial" w:hAnsi="Arial" w:cs="Arial"/>
          <w:sz w:val="24"/>
          <w:szCs w:val="24"/>
          <w:lang w:val="en-US"/>
        </w:rPr>
        <w:t xml:space="preserve">and both </w:t>
      </w:r>
      <w:r w:rsidR="00A86344" w:rsidRPr="004B61EA">
        <w:rPr>
          <w:rFonts w:ascii="Arial" w:hAnsi="Arial" w:cs="Arial"/>
          <w:sz w:val="24"/>
          <w:szCs w:val="24"/>
          <w:lang w:val="en-US"/>
        </w:rPr>
        <w:t xml:space="preserve">neonatal and maternal morbidity. </w:t>
      </w:r>
      <w:r w:rsidR="004104D8" w:rsidRPr="004B61EA">
        <w:rPr>
          <w:rFonts w:ascii="Arial" w:hAnsi="Arial" w:cs="Arial"/>
          <w:sz w:val="24"/>
          <w:szCs w:val="24"/>
          <w:lang w:val="en-US"/>
        </w:rPr>
        <w:t>We observed</w:t>
      </w:r>
      <w:r w:rsidR="0013346F" w:rsidRPr="004B61EA">
        <w:rPr>
          <w:rFonts w:ascii="Arial" w:hAnsi="Arial" w:cs="Arial"/>
          <w:sz w:val="24"/>
          <w:szCs w:val="24"/>
          <w:lang w:val="en-US"/>
        </w:rPr>
        <w:t xml:space="preserve"> </w:t>
      </w:r>
      <w:r w:rsidR="008311A3" w:rsidRPr="004B61EA">
        <w:rPr>
          <w:rFonts w:ascii="Arial" w:hAnsi="Arial" w:cs="Arial"/>
          <w:sz w:val="24"/>
          <w:szCs w:val="24"/>
          <w:lang w:val="en-US"/>
        </w:rPr>
        <w:t xml:space="preserve">two key patterns. First, low BWPW-ratio was associated with both </w:t>
      </w:r>
      <w:r w:rsidR="00331FFC" w:rsidRPr="004B61EA">
        <w:rPr>
          <w:rFonts w:ascii="Arial" w:hAnsi="Arial" w:cs="Arial"/>
          <w:sz w:val="24"/>
          <w:szCs w:val="24"/>
          <w:lang w:val="en-US"/>
        </w:rPr>
        <w:t xml:space="preserve">neonatal </w:t>
      </w:r>
      <w:r w:rsidR="008311A3" w:rsidRPr="004B61EA">
        <w:rPr>
          <w:rFonts w:ascii="Arial" w:hAnsi="Arial" w:cs="Arial"/>
          <w:sz w:val="24"/>
          <w:szCs w:val="24"/>
          <w:lang w:val="en-US"/>
        </w:rPr>
        <w:t xml:space="preserve">and </w:t>
      </w:r>
      <w:r w:rsidR="00331FFC" w:rsidRPr="004B61EA">
        <w:rPr>
          <w:rFonts w:ascii="Arial" w:hAnsi="Arial" w:cs="Arial"/>
          <w:sz w:val="24"/>
          <w:szCs w:val="24"/>
          <w:lang w:val="en-US"/>
        </w:rPr>
        <w:t>maternal morbidity</w:t>
      </w:r>
      <w:r w:rsidR="004104D8" w:rsidRPr="004B61EA">
        <w:rPr>
          <w:rFonts w:ascii="Arial" w:hAnsi="Arial" w:cs="Arial"/>
          <w:sz w:val="24"/>
          <w:szCs w:val="24"/>
          <w:lang w:val="en-US"/>
        </w:rPr>
        <w:t>, including</w:t>
      </w:r>
      <w:r w:rsidR="00331FFC" w:rsidRPr="004B61EA">
        <w:rPr>
          <w:rFonts w:ascii="Arial" w:hAnsi="Arial" w:cs="Arial"/>
          <w:sz w:val="24"/>
          <w:szCs w:val="24"/>
          <w:lang w:val="en-US"/>
        </w:rPr>
        <w:t xml:space="preserve"> maternal obesity (BMI&gt;30 kg/m</w:t>
      </w:r>
      <w:r w:rsidR="00331FFC" w:rsidRPr="004B61EA">
        <w:rPr>
          <w:rFonts w:ascii="Arial" w:hAnsi="Arial" w:cs="Arial"/>
          <w:sz w:val="24"/>
          <w:szCs w:val="24"/>
          <w:vertAlign w:val="superscript"/>
          <w:lang w:val="en-US"/>
        </w:rPr>
        <w:t>2</w:t>
      </w:r>
      <w:r w:rsidR="00331FFC" w:rsidRPr="004B61EA">
        <w:rPr>
          <w:rFonts w:ascii="Arial" w:hAnsi="Arial" w:cs="Arial"/>
          <w:sz w:val="24"/>
          <w:szCs w:val="24"/>
          <w:lang w:val="en-US"/>
        </w:rPr>
        <w:t>)</w:t>
      </w:r>
      <w:r w:rsidR="008014A9" w:rsidRPr="004B61EA">
        <w:rPr>
          <w:rFonts w:ascii="Arial" w:hAnsi="Arial" w:cs="Arial"/>
          <w:sz w:val="24"/>
          <w:szCs w:val="24"/>
          <w:lang w:val="en-US"/>
        </w:rPr>
        <w:t>,</w:t>
      </w:r>
      <w:r w:rsidR="00331FFC" w:rsidRPr="004B61EA">
        <w:rPr>
          <w:rFonts w:ascii="Arial" w:hAnsi="Arial" w:cs="Arial"/>
          <w:sz w:val="24"/>
          <w:szCs w:val="24"/>
          <w:lang w:val="en-US"/>
        </w:rPr>
        <w:t xml:space="preserve"> diabetes (pre</w:t>
      </w:r>
      <w:r w:rsidR="00257DC6" w:rsidRPr="004B61EA">
        <w:rPr>
          <w:rFonts w:ascii="Arial" w:hAnsi="Arial" w:cs="Arial"/>
          <w:sz w:val="24"/>
          <w:szCs w:val="24"/>
          <w:lang w:val="en-US"/>
        </w:rPr>
        <w:t>-</w:t>
      </w:r>
      <w:r w:rsidR="008311A3" w:rsidRPr="004B61EA">
        <w:rPr>
          <w:rFonts w:ascii="Arial" w:hAnsi="Arial" w:cs="Arial"/>
          <w:sz w:val="24"/>
          <w:szCs w:val="24"/>
          <w:lang w:val="en-US"/>
        </w:rPr>
        <w:t>gestational and gestational)</w:t>
      </w:r>
      <w:r w:rsidR="008014A9" w:rsidRPr="004B61EA">
        <w:rPr>
          <w:rFonts w:ascii="Arial" w:hAnsi="Arial" w:cs="Arial"/>
          <w:sz w:val="24"/>
          <w:szCs w:val="24"/>
          <w:lang w:val="en-US"/>
        </w:rPr>
        <w:t xml:space="preserve"> and preeclampsia</w:t>
      </w:r>
      <w:r w:rsidR="008311A3" w:rsidRPr="004B61EA">
        <w:rPr>
          <w:rFonts w:ascii="Arial" w:hAnsi="Arial" w:cs="Arial"/>
          <w:sz w:val="24"/>
          <w:szCs w:val="24"/>
          <w:lang w:val="en-US"/>
        </w:rPr>
        <w:t>. Second, high BWPW-ratio was associated with both higher umbilical artery PI (36 weeks</w:t>
      </w:r>
      <w:r w:rsidR="005448EE" w:rsidRPr="004B61EA">
        <w:rPr>
          <w:rFonts w:ascii="Arial" w:hAnsi="Arial" w:cs="Arial"/>
          <w:sz w:val="24"/>
          <w:szCs w:val="24"/>
          <w:lang w:val="en-US"/>
        </w:rPr>
        <w:t xml:space="preserve"> of gestation</w:t>
      </w:r>
      <w:r w:rsidR="008311A3" w:rsidRPr="004B61EA">
        <w:rPr>
          <w:rFonts w:ascii="Arial" w:hAnsi="Arial" w:cs="Arial"/>
          <w:sz w:val="24"/>
          <w:szCs w:val="24"/>
          <w:lang w:val="en-US"/>
        </w:rPr>
        <w:t>) and higher uterine artery PI (20 weeks</w:t>
      </w:r>
      <w:r w:rsidR="005448EE" w:rsidRPr="004B61EA">
        <w:rPr>
          <w:rFonts w:ascii="Arial" w:hAnsi="Arial" w:cs="Arial"/>
          <w:sz w:val="24"/>
          <w:szCs w:val="24"/>
          <w:lang w:val="en-US"/>
        </w:rPr>
        <w:t xml:space="preserve"> </w:t>
      </w:r>
      <w:r w:rsidR="00BF5697" w:rsidRPr="004B61EA">
        <w:rPr>
          <w:rFonts w:ascii="Arial" w:hAnsi="Arial" w:cs="Arial"/>
          <w:sz w:val="24"/>
          <w:szCs w:val="24"/>
          <w:lang w:val="en-US"/>
        </w:rPr>
        <w:t xml:space="preserve">of </w:t>
      </w:r>
      <w:r w:rsidR="005448EE" w:rsidRPr="004B61EA">
        <w:rPr>
          <w:rFonts w:ascii="Arial" w:hAnsi="Arial" w:cs="Arial"/>
          <w:sz w:val="24"/>
          <w:szCs w:val="24"/>
          <w:lang w:val="en-US"/>
        </w:rPr>
        <w:t>gestation</w:t>
      </w:r>
      <w:r w:rsidR="008311A3" w:rsidRPr="004B61EA">
        <w:rPr>
          <w:rFonts w:ascii="Arial" w:hAnsi="Arial" w:cs="Arial"/>
          <w:sz w:val="24"/>
          <w:szCs w:val="24"/>
          <w:lang w:val="en-US"/>
        </w:rPr>
        <w:t>).</w:t>
      </w:r>
      <w:r w:rsidR="00A86344" w:rsidRPr="004B61EA">
        <w:rPr>
          <w:rFonts w:ascii="Arial" w:hAnsi="Arial" w:cs="Arial"/>
          <w:sz w:val="24"/>
          <w:szCs w:val="24"/>
          <w:lang w:val="en-US"/>
        </w:rPr>
        <w:t xml:space="preserve"> </w:t>
      </w:r>
      <w:r w:rsidR="00825D46" w:rsidRPr="004B61EA">
        <w:rPr>
          <w:rFonts w:ascii="Arial" w:hAnsi="Arial" w:cs="Arial"/>
          <w:sz w:val="24"/>
          <w:szCs w:val="24"/>
          <w:lang w:val="en-US"/>
        </w:rPr>
        <w:br/>
      </w:r>
      <w:r w:rsidR="00D97AE3" w:rsidRPr="004B61EA">
        <w:rPr>
          <w:rFonts w:ascii="Arial" w:hAnsi="Arial" w:cs="Arial"/>
          <w:sz w:val="24"/>
          <w:szCs w:val="24"/>
          <w:lang w:val="en-US"/>
        </w:rPr>
        <w:t xml:space="preserve">BWPW-ratio is </w:t>
      </w:r>
      <w:r w:rsidR="004104D8" w:rsidRPr="004B61EA">
        <w:rPr>
          <w:rFonts w:ascii="Arial" w:hAnsi="Arial" w:cs="Arial"/>
          <w:sz w:val="24"/>
          <w:szCs w:val="24"/>
          <w:lang w:val="en-US"/>
        </w:rPr>
        <w:t xml:space="preserve">thought to be </w:t>
      </w:r>
      <w:r w:rsidR="00D97AE3" w:rsidRPr="004B61EA">
        <w:rPr>
          <w:rFonts w:ascii="Arial" w:hAnsi="Arial" w:cs="Arial"/>
          <w:sz w:val="24"/>
          <w:szCs w:val="24"/>
          <w:lang w:val="en-US"/>
        </w:rPr>
        <w:t xml:space="preserve">a measure of how placental development and function </w:t>
      </w:r>
      <w:r w:rsidR="004104D8" w:rsidRPr="004B61EA">
        <w:rPr>
          <w:rFonts w:ascii="Arial" w:hAnsi="Arial" w:cs="Arial"/>
          <w:sz w:val="24"/>
          <w:szCs w:val="24"/>
          <w:lang w:val="en-US"/>
        </w:rPr>
        <w:t xml:space="preserve">have </w:t>
      </w:r>
      <w:r w:rsidR="00D97AE3" w:rsidRPr="004B61EA">
        <w:rPr>
          <w:rFonts w:ascii="Arial" w:hAnsi="Arial" w:cs="Arial"/>
          <w:sz w:val="24"/>
          <w:szCs w:val="24"/>
          <w:lang w:val="en-US"/>
        </w:rPr>
        <w:t>adapted to meet</w:t>
      </w:r>
      <w:r w:rsidR="005A00DC" w:rsidRPr="004B61EA">
        <w:rPr>
          <w:rFonts w:ascii="Arial" w:hAnsi="Arial" w:cs="Arial"/>
          <w:sz w:val="24"/>
          <w:szCs w:val="24"/>
          <w:lang w:val="en-US"/>
        </w:rPr>
        <w:t xml:space="preserve"> fetal nutritional requirements</w:t>
      </w:r>
      <w:r w:rsidR="007D0527" w:rsidRPr="004B61EA">
        <w:rPr>
          <w:rFonts w:ascii="Arial" w:hAnsi="Arial" w:cs="Arial"/>
          <w:sz w:val="24"/>
          <w:szCs w:val="24"/>
          <w:lang w:val="en-US"/>
        </w:rPr>
        <w:t xml:space="preserve"> and maternal </w:t>
      </w:r>
      <w:r w:rsidR="00D97AE3" w:rsidRPr="004B61EA">
        <w:rPr>
          <w:rFonts w:ascii="Arial" w:hAnsi="Arial" w:cs="Arial"/>
          <w:sz w:val="24"/>
          <w:szCs w:val="24"/>
          <w:lang w:val="en-US"/>
        </w:rPr>
        <w:t>supply</w:t>
      </w:r>
      <w:r w:rsidR="00320378" w:rsidRPr="004B61EA">
        <w:rPr>
          <w:rFonts w:ascii="Arial" w:hAnsi="Arial" w:cs="Arial"/>
          <w:sz w:val="24"/>
          <w:szCs w:val="24"/>
          <w:lang w:val="en-US"/>
        </w:rPr>
        <w:t xml:space="preserve"> </w:t>
      </w:r>
      <w:r w:rsidR="00320378" w:rsidRPr="004B61EA">
        <w:rPr>
          <w:rFonts w:ascii="Arial" w:hAnsi="Arial" w:cs="Arial"/>
          <w:sz w:val="24"/>
          <w:szCs w:val="24"/>
          <w:lang w:val="en-US"/>
        </w:rPr>
        <w:fldChar w:fldCharType="begin" w:fldLock="1"/>
      </w:r>
      <w:r w:rsidR="004E1D60" w:rsidRPr="004B61EA">
        <w:rPr>
          <w:rFonts w:ascii="Arial" w:hAnsi="Arial" w:cs="Arial"/>
          <w:sz w:val="24"/>
          <w:szCs w:val="24"/>
          <w:lang w:val="en-US"/>
        </w:rPr>
        <w:instrText>ADDIN CSL_CITATION { "citationItems" : [ { "id" : "ITEM-1", "itemData" : { "DOI" : "10.1113/jphysiol.2009.173013", "ISSN" : "1469-7793", "PMID" : "19451204", "abstract" : "Size at birth is critical in determining life expectancy and is dependent primarily on the placental supply of nutrients. However, the fetus is not just a passive recipient of nutrients from the placenta. It exerts a significant acquisitive drive for nutrients, which acts through morphological and functional adaptations in the placenta, particularly when the genetically determined drive for fetal growth is compromised by adverse intrauterine conditions. These adaptations alter the efficiency with which the placenta supports fetal growth, which results in optimal growth for prevailing conditions in utero. This review examines placental efficiency as a means of altering fetal growth, the morphological and functional adaptations that influence placental efficiency and the endocrine regulation of these processes.", "author" : [ { "dropping-particle" : "", "family" : "Fowden", "given" : "A L", "non-dropping-particle" : "", "parse-names" : false, "suffix" : "" }, { "dropping-particle" : "", "family" : "Sferruzzi-Perri", "given" : "A N", "non-dropping-particle" : "", "parse-names" : false, "suffix" : "" }, { "dropping-particle" : "", "family" : "Coan", "given" : "P M", "non-dropping-particle" : "", "parse-names" : false, "suffix" : "" }, { "dropping-particle" : "", "family" : "Constancia", "given" : "M", "non-dropping-particle" : "", "parse-names" : false, "suffix" : "" }, { "dropping-particle" : "", "family" : "Burton", "given" : "G J", "non-dropping-particle" : "", "parse-names" : false, "suffix" : "" } ], "container-title" : "The Journal of physiology", "id" : "ITEM-1", "issue" : "Pt 14", "issued" : { "date-parts" : [ [ "2009", "7", "15" ] ] }, "page" : "3459-72", "title" : "Placental efficiency and adaptation: endocrine regulation.", "type" : "article-journal", "volume" : "587" }, "uris" : [ "http://www.mendeley.com/documents/?uuid=88b4bcd4-5a7a-4f94-9ea7-0c89fa8e8bcc" ] } ], "mendeley" : { "formattedCitation" : "[2]", "plainTextFormattedCitation" : "[2]", "previouslyFormattedCitation" : "[2]" }, "properties" : { "noteIndex" : 0 }, "schema" : "https://github.com/citation-style-language/schema/raw/master/csl-citation.json" }</w:instrText>
      </w:r>
      <w:r w:rsidR="00320378" w:rsidRPr="004B61EA">
        <w:rPr>
          <w:rFonts w:ascii="Arial" w:hAnsi="Arial" w:cs="Arial"/>
          <w:sz w:val="24"/>
          <w:szCs w:val="24"/>
          <w:lang w:val="en-US"/>
        </w:rPr>
        <w:fldChar w:fldCharType="separate"/>
      </w:r>
      <w:r w:rsidR="004E1D60" w:rsidRPr="004B61EA">
        <w:rPr>
          <w:rFonts w:ascii="Arial" w:hAnsi="Arial" w:cs="Arial"/>
          <w:noProof/>
          <w:sz w:val="24"/>
          <w:szCs w:val="24"/>
          <w:lang w:val="en-US"/>
        </w:rPr>
        <w:t>[2]</w:t>
      </w:r>
      <w:r w:rsidR="00320378" w:rsidRPr="004B61EA">
        <w:rPr>
          <w:rFonts w:ascii="Arial" w:hAnsi="Arial" w:cs="Arial"/>
          <w:sz w:val="24"/>
          <w:szCs w:val="24"/>
          <w:lang w:val="en-US"/>
        </w:rPr>
        <w:fldChar w:fldCharType="end"/>
      </w:r>
      <w:r w:rsidR="00320378" w:rsidRPr="004B61EA">
        <w:rPr>
          <w:rFonts w:ascii="Arial" w:hAnsi="Arial" w:cs="Arial"/>
          <w:sz w:val="24"/>
          <w:szCs w:val="24"/>
          <w:lang w:val="en-US"/>
        </w:rPr>
        <w:t xml:space="preserve">. </w:t>
      </w:r>
      <w:r w:rsidR="00D97AE3" w:rsidRPr="004B61EA">
        <w:rPr>
          <w:rFonts w:ascii="Arial" w:hAnsi="Arial" w:cs="Arial"/>
          <w:sz w:val="24"/>
          <w:szCs w:val="24"/>
          <w:lang w:val="en-US"/>
        </w:rPr>
        <w:t>An increased BWPW-ratio (</w:t>
      </w:r>
      <w:r w:rsidR="00A91549" w:rsidRPr="004B61EA">
        <w:rPr>
          <w:rFonts w:ascii="Arial" w:hAnsi="Arial" w:cs="Arial"/>
          <w:sz w:val="24"/>
          <w:szCs w:val="24"/>
          <w:lang w:val="en-US"/>
        </w:rPr>
        <w:t xml:space="preserve">a </w:t>
      </w:r>
      <w:r w:rsidR="00D97AE3" w:rsidRPr="004B61EA">
        <w:rPr>
          <w:rFonts w:ascii="Arial" w:hAnsi="Arial" w:cs="Arial"/>
          <w:sz w:val="24"/>
          <w:szCs w:val="24"/>
          <w:lang w:val="en-US"/>
        </w:rPr>
        <w:t>relative</w:t>
      </w:r>
      <w:r w:rsidR="00A91549" w:rsidRPr="004B61EA">
        <w:rPr>
          <w:rFonts w:ascii="Arial" w:hAnsi="Arial" w:cs="Arial"/>
          <w:sz w:val="24"/>
          <w:szCs w:val="24"/>
          <w:lang w:val="en-US"/>
        </w:rPr>
        <w:t>ly smaller</w:t>
      </w:r>
      <w:r w:rsidR="00D97AE3" w:rsidRPr="004B61EA">
        <w:rPr>
          <w:rFonts w:ascii="Arial" w:hAnsi="Arial" w:cs="Arial"/>
          <w:sz w:val="24"/>
          <w:szCs w:val="24"/>
          <w:lang w:val="en-US"/>
        </w:rPr>
        <w:t xml:space="preserve"> placenta</w:t>
      </w:r>
      <w:r w:rsidR="00CD6755" w:rsidRPr="004B61EA">
        <w:rPr>
          <w:rFonts w:ascii="Arial" w:hAnsi="Arial" w:cs="Arial"/>
          <w:sz w:val="24"/>
          <w:szCs w:val="24"/>
          <w:lang w:val="en-US"/>
        </w:rPr>
        <w:t>)</w:t>
      </w:r>
      <w:r w:rsidR="00D97AE3" w:rsidRPr="004B61EA">
        <w:rPr>
          <w:rFonts w:ascii="Arial" w:hAnsi="Arial" w:cs="Arial"/>
          <w:sz w:val="24"/>
          <w:szCs w:val="24"/>
          <w:lang w:val="en-US"/>
        </w:rPr>
        <w:t>, implies that nutrient transfer per gram placenta must have increased. According</w:t>
      </w:r>
      <w:r w:rsidR="004104D8" w:rsidRPr="004B61EA">
        <w:rPr>
          <w:rFonts w:ascii="Arial" w:hAnsi="Arial" w:cs="Arial"/>
          <w:sz w:val="24"/>
          <w:szCs w:val="24"/>
          <w:lang w:val="en-US"/>
        </w:rPr>
        <w:t>ly</w:t>
      </w:r>
      <w:r w:rsidR="00D97AE3" w:rsidRPr="004B61EA">
        <w:rPr>
          <w:rFonts w:ascii="Arial" w:hAnsi="Arial" w:cs="Arial"/>
          <w:sz w:val="24"/>
          <w:szCs w:val="24"/>
          <w:lang w:val="en-US"/>
        </w:rPr>
        <w:t xml:space="preserve">, the </w:t>
      </w:r>
      <w:r w:rsidR="00A91549" w:rsidRPr="004B61EA">
        <w:rPr>
          <w:rFonts w:ascii="Arial" w:hAnsi="Arial" w:cs="Arial"/>
          <w:sz w:val="24"/>
          <w:szCs w:val="24"/>
          <w:lang w:val="en-US"/>
        </w:rPr>
        <w:t>con</w:t>
      </w:r>
      <w:r w:rsidR="00D97AE3" w:rsidRPr="004B61EA">
        <w:rPr>
          <w:rFonts w:ascii="Arial" w:hAnsi="Arial" w:cs="Arial"/>
          <w:sz w:val="24"/>
          <w:szCs w:val="24"/>
          <w:lang w:val="en-US"/>
        </w:rPr>
        <w:t>verse is true: a reduced BWPW-ratio suggest</w:t>
      </w:r>
      <w:r w:rsidR="00193E0B" w:rsidRPr="004B61EA">
        <w:rPr>
          <w:rFonts w:ascii="Arial" w:hAnsi="Arial" w:cs="Arial"/>
          <w:sz w:val="24"/>
          <w:szCs w:val="24"/>
          <w:lang w:val="en-US"/>
        </w:rPr>
        <w:t>s</w:t>
      </w:r>
      <w:r w:rsidR="00D97AE3" w:rsidRPr="004B61EA">
        <w:rPr>
          <w:rFonts w:ascii="Arial" w:hAnsi="Arial" w:cs="Arial"/>
          <w:sz w:val="24"/>
          <w:szCs w:val="24"/>
          <w:lang w:val="en-US"/>
        </w:rPr>
        <w:t xml:space="preserve"> that nutrient transfer, per gram placenta is reduced.</w:t>
      </w:r>
    </w:p>
    <w:p w14:paraId="0DEB0457" w14:textId="34810338" w:rsidR="00780ED6" w:rsidRPr="004B61EA" w:rsidRDefault="00825D46" w:rsidP="008840E6">
      <w:pPr>
        <w:spacing w:after="0" w:line="480" w:lineRule="auto"/>
        <w:rPr>
          <w:rFonts w:ascii="Arial" w:hAnsi="Arial" w:cs="Arial"/>
          <w:sz w:val="24"/>
          <w:szCs w:val="24"/>
          <w:lang w:val="en-US"/>
        </w:rPr>
      </w:pPr>
      <w:r w:rsidRPr="004B61EA">
        <w:rPr>
          <w:rFonts w:ascii="Arial" w:hAnsi="Arial" w:cs="Arial"/>
          <w:sz w:val="24"/>
          <w:szCs w:val="24"/>
          <w:lang w:val="en-US"/>
        </w:rPr>
        <w:br/>
      </w:r>
      <w:r w:rsidR="0087417E" w:rsidRPr="004B61EA">
        <w:rPr>
          <w:rFonts w:ascii="Arial" w:hAnsi="Arial" w:cs="Arial"/>
          <w:sz w:val="24"/>
          <w:szCs w:val="24"/>
          <w:lang w:val="en-US"/>
        </w:rPr>
        <w:t>O</w:t>
      </w:r>
      <w:r w:rsidR="00257DC6" w:rsidRPr="004B61EA">
        <w:rPr>
          <w:rFonts w:ascii="Arial" w:hAnsi="Arial" w:cs="Arial"/>
          <w:sz w:val="24"/>
          <w:szCs w:val="24"/>
          <w:lang w:val="en-US"/>
        </w:rPr>
        <w:t>besity and diabetes are maternal characteristics associated wit</w:t>
      </w:r>
      <w:r w:rsidR="0087417E" w:rsidRPr="004B61EA">
        <w:rPr>
          <w:rFonts w:ascii="Arial" w:hAnsi="Arial" w:cs="Arial"/>
          <w:sz w:val="24"/>
          <w:szCs w:val="24"/>
          <w:lang w:val="en-US"/>
        </w:rPr>
        <w:t xml:space="preserve">h pathological </w:t>
      </w:r>
      <w:r w:rsidR="0091159E" w:rsidRPr="004B61EA">
        <w:rPr>
          <w:rFonts w:ascii="Arial" w:hAnsi="Arial" w:cs="Arial"/>
          <w:sz w:val="24"/>
          <w:szCs w:val="24"/>
          <w:lang w:val="en-US"/>
        </w:rPr>
        <w:t xml:space="preserve">fetal and placental </w:t>
      </w:r>
      <w:r w:rsidR="0087417E" w:rsidRPr="004B61EA">
        <w:rPr>
          <w:rFonts w:ascii="Arial" w:hAnsi="Arial" w:cs="Arial"/>
          <w:sz w:val="24"/>
          <w:szCs w:val="24"/>
          <w:lang w:val="en-US"/>
        </w:rPr>
        <w:t>growth, and are the most common problems in obstetrics that affect both the mother and her offspring</w:t>
      </w:r>
      <w:r w:rsidR="00320378" w:rsidRPr="004B61EA">
        <w:rPr>
          <w:rFonts w:ascii="Arial" w:hAnsi="Arial" w:cs="Arial"/>
          <w:sz w:val="24"/>
          <w:szCs w:val="24"/>
          <w:lang w:val="en-US"/>
        </w:rPr>
        <w:t xml:space="preserve"> </w:t>
      </w:r>
      <w:r w:rsidR="00320378" w:rsidRPr="004B61EA">
        <w:rPr>
          <w:rFonts w:ascii="Arial" w:hAnsi="Arial" w:cs="Arial"/>
          <w:sz w:val="24"/>
          <w:szCs w:val="24"/>
          <w:lang w:val="en-US"/>
        </w:rPr>
        <w:fldChar w:fldCharType="begin" w:fldLock="1"/>
      </w:r>
      <w:r w:rsidR="0023362E" w:rsidRPr="004B61EA">
        <w:rPr>
          <w:rFonts w:ascii="Arial" w:hAnsi="Arial" w:cs="Arial"/>
          <w:sz w:val="24"/>
          <w:szCs w:val="24"/>
          <w:lang w:val="en-US"/>
        </w:rPr>
        <w:instrText>ADDIN CSL_CITATION { "citationItems" : [ { "id" : "ITEM-1", "itemData" : { "ISSN" : "1756-1833", "PMID" : "28179267", "abstract" : "Obesity is the most common medical condition in women of reproductive age. Obesity during pregnancy has short term and long term adverse consequences for both mother and child. Obesity causes problems with infertility, and in early gestation it causes spontaneous pregnancy loss and congenital anomalies. Metabolically, obese women have increased insulin resistance in early pregnancy, which becomes manifest clinically in late gestation as glucose intolerance and fetal overgrowth. At term, the risk of cesarean delivery and wound complications is increased. Postpartum, obese women have an increased risk of venous thromboembolism, depression, and difficulty with breast feeding. Because 50-60% of overweight or obese women gain more than recommended by Institute of Medicine gestational weight guidelines, postpartum weight retention increases future cardiometabolic risks and prepregnancy obesity in subsequent pregnancies. Neonates of obese women have increased body fat at birth, which increases the risk of childhood obesity. Although there is no unifying mechanism responsible for the adverse perinatal outcomes associated with maternal obesity, on the basis of the available data, increased prepregnancy maternal insulin resistance and accompanying hyperinsulinemia, inflammation, and oxidative stress seem to contribute to early placental and fetal dysfunction. We will review the pathophysiology underlying these data and try to shed light on the specific underlying mechanisms.", "author" : [ { "dropping-particle" : "", "family" : "Catalano", "given" : "Patrick M", "non-dropping-particle" : "", "parse-names" : false, "suffix" : "" }, { "dropping-particle" : "", "family" : "Shankar", "given" : "Kartik", "non-dropping-particle" : "", "parse-names" : false, "suffix" : "" } ], "container-title" : "BMJ (Clinical research ed.)", "id" : "ITEM-1", "issued" : { "date-parts" : [ [ "2017", "2", "8" ] ] }, "page" : "j1", "title" : "Obesity and pregnancy: mechanisms of short term and long term adverse consequences for mother and child.", "type" : "article-journal", "volume" : "356" }, "uris" : [ "http://www.mendeley.com/documents/?uuid=2f563eb0-1b25-35e2-9b58-d262c397f99e" ] }, { "id" : "ITEM-2", "itemData" : { "DOI" : "10.1001/jama.2012.39", "ISSN" : "0098-7484", "PMID" : "22253363", "abstract" : "CONTEXT Between 1980 and 1999, the prevalence of adult obesity (body mass index [BMI] \u226530) increased in the United States and the distribution of BMI changed. More recent data suggested a slowing or leveling off of these trends. OBJECTIVE To estimate the prevalence of adult obesity from the 2009-2010 National Health and Nutrition Examination Survey (NHANES) and compare adult obesity and the distribution of BMI with data from 1999-2008. DESIGN, SETTING, AND PARTICIPANTS NHANES includes measured heights and weights for 5926 adult men and women from a nationally representative sample of the civilian noninstitutionalized US population in 2009-2010 and for 22,847 men and women in 1999-2008. MAIN OUTCOME MEASURES The prevalence of obesity and mean BMI. RESULTS In 2009-2010 the age-adjusted mean BMI was 28.7 (95% CI, 28.3-29.1) for men and also 28.7 (95% CI, 28.4-29.0) for women. Median BMI was 27.8 (interquartile range [IQR], 24.7-31.7) for men and 27.3 (IQR, 23.3-32.7) for women. The age-adjusted prevalence of obesity was 35.5% (95% CI, 31.9%-39.2%) among adult men and 35.8% (95% CI, 34.0%-37.7%) among adult women. Over the 12-year period from 1999 through 2010, obesity showed no significant increase among women overall (age- and race-adjusted annual change in odds ratio [AOR], 1.01; 95% CI, 1.00-1.03; P = .07), but increases were statistically significant for non-Hispanic black women (P = .04) and Mexican American women (P = .046). For men, there was a significant linear trend (AOR, 1.04; 95% CI, 1.02-1.06; P &lt; .001) over the 12-year period. For both men and women, the most recent 2 years (2009-2010) did not differ significantly (P = .08 for men and P = .24 for women) from the previous 6 years (2003-2008). Trends in BMI were similar to obesity trends. CONCLUSION In 2009-2010, the prevalence of obesity was 35.5% among adult men and 35.8% among adult women, with no significant change compared with 2003-2008.", "author" : [ { "dropping-particle" : "", "family" : "Flegal", "given" : "Katherine M.", "non-dropping-particle" : "", "parse-names" : false, "suffix" : "" }, { "dropping-particle" : "", "family" : "Carroll", "given" : "Margaret D.", "non-dropping-particle" : "", "parse-names" : false, "suffix" : "" }, { "dropping-particle" : "", "family" : "Kit", "given" : "Brian K.", "non-dropping-particle" : "", "parse-names" : false, "suffix" : "" }, { "dropping-particle" : "", "family" : "Ogden", "given" : "Cynthia L.", "non-dropping-particle" : "", "parse-names" : false, "suffix" : "" } ], "container-title" : "JAMA", "id" : "ITEM-2", "issue" : "5", "issued" : { "date-parts" : [ [ "2012", "2", "1" ] ] }, "page" : "491", "title" : "Prevalence of Obesity and Trends in the Distribution of Body Mass Index Among US Adults, 1999-2010", "type" : "article-journal", "volume" : "307" }, "uris" : [ "http://www.mendeley.com/documents/?uuid=a21eadff-c475-3eee-afff-4ff0c2811660" ] } ], "mendeley" : { "formattedCitation" : "[15,16]", "plainTextFormattedCitation" : "[15,16]", "previouslyFormattedCitation" : "[15,16]" }, "properties" : { "noteIndex" : 0 }, "schema" : "https://github.com/citation-style-language/schema/raw/master/csl-citation.json" }</w:instrText>
      </w:r>
      <w:r w:rsidR="00320378" w:rsidRPr="004B61EA">
        <w:rPr>
          <w:rFonts w:ascii="Arial" w:hAnsi="Arial" w:cs="Arial"/>
          <w:sz w:val="24"/>
          <w:szCs w:val="24"/>
          <w:lang w:val="en-US"/>
        </w:rPr>
        <w:fldChar w:fldCharType="separate"/>
      </w:r>
      <w:r w:rsidR="00CD04E5" w:rsidRPr="004B61EA">
        <w:rPr>
          <w:rFonts w:ascii="Arial" w:hAnsi="Arial" w:cs="Arial"/>
          <w:noProof/>
          <w:sz w:val="24"/>
          <w:szCs w:val="24"/>
          <w:lang w:val="en-US"/>
        </w:rPr>
        <w:t>[15,16]</w:t>
      </w:r>
      <w:r w:rsidR="00320378" w:rsidRPr="004B61EA">
        <w:rPr>
          <w:rFonts w:ascii="Arial" w:hAnsi="Arial" w:cs="Arial"/>
          <w:sz w:val="24"/>
          <w:szCs w:val="24"/>
          <w:lang w:val="en-US"/>
        </w:rPr>
        <w:fldChar w:fldCharType="end"/>
      </w:r>
      <w:r w:rsidR="00320378" w:rsidRPr="004B61EA">
        <w:rPr>
          <w:rFonts w:ascii="Arial" w:hAnsi="Arial" w:cs="Arial"/>
          <w:sz w:val="24"/>
          <w:szCs w:val="24"/>
          <w:lang w:val="en-US"/>
        </w:rPr>
        <w:t xml:space="preserve">. </w:t>
      </w:r>
      <w:r w:rsidR="00FA2FED" w:rsidRPr="004B61EA">
        <w:rPr>
          <w:rFonts w:ascii="Arial" w:hAnsi="Arial" w:cs="Arial"/>
          <w:sz w:val="24"/>
          <w:szCs w:val="24"/>
          <w:lang w:val="en-US"/>
        </w:rPr>
        <w:t>Previous studies have shown</w:t>
      </w:r>
      <w:r w:rsidR="0087417E" w:rsidRPr="004B61EA">
        <w:rPr>
          <w:rFonts w:ascii="Arial" w:hAnsi="Arial" w:cs="Arial"/>
          <w:sz w:val="24"/>
          <w:szCs w:val="24"/>
          <w:lang w:val="en-US"/>
        </w:rPr>
        <w:t xml:space="preserve"> that placentas of obese women are significantly heavier at birth</w:t>
      </w:r>
      <w:r w:rsidR="00320378" w:rsidRPr="004B61EA">
        <w:rPr>
          <w:rFonts w:ascii="Arial" w:hAnsi="Arial" w:cs="Arial"/>
          <w:sz w:val="24"/>
          <w:szCs w:val="24"/>
          <w:lang w:val="en-US"/>
        </w:rPr>
        <w:t xml:space="preserve"> </w:t>
      </w:r>
      <w:r w:rsidR="00320378" w:rsidRPr="004B61EA">
        <w:rPr>
          <w:rFonts w:ascii="Arial" w:hAnsi="Arial" w:cs="Arial"/>
          <w:sz w:val="24"/>
          <w:szCs w:val="24"/>
          <w:lang w:val="en-US"/>
        </w:rPr>
        <w:fldChar w:fldCharType="begin" w:fldLock="1"/>
      </w:r>
      <w:r w:rsidR="00B159EE" w:rsidRPr="004B61EA">
        <w:rPr>
          <w:rFonts w:ascii="Arial" w:hAnsi="Arial" w:cs="Arial"/>
          <w:sz w:val="24"/>
          <w:szCs w:val="24"/>
          <w:lang w:val="en-US"/>
        </w:rPr>
        <w:instrText>ADDIN CSL_CITATION { "citationItems" : [ { "id" : "ITEM-1", "itemData" : { "DOI" : "10.2337/dc08-2077", "ISSN" : "0149-5992", "author" : [ { "dropping-particle" : "", "family" : "Catalano", "given" : "P. M.", "non-dropping-particle" : "", "parse-names" : false, "suffix" : "" }, { "dropping-particle" : "", "family" : "Presley", "given" : "L.", "non-dropping-particle" : "", "parse-names" : false, "suffix" : "" }, { "dropping-particle" : "", "family" : "Minium", "given" : "J.", "non-dropping-particle" : "", "parse-names" : false, "suffix" : "" }, { "dropping-particle" : "", "family" : "Hauguel-de Mouzon", "given" : "S.", "non-dropping-particle" : "", "parse-names" : false, "suffix" : "" } ], "container-title" : "Diabetes Care", "id" : "ITEM-1", "issue" : "6", "issued" : { "date-parts" : [ [ "2009", "6", "1" ] ] }, "page" : "1076-1080", "title" : "Fetuses of Obese Mothers Develop Insulin Resistance in Utero", "type" : "article-journal", "volume" : "32" }, "uris" : [ "http://www.mendeley.com/documents/?uuid=d7817d24-4aa7-32c9-bb5d-e06437021ed2" ] }, { "id" : "ITEM-2", "itemData" : { "DOI" : "10.1016/j.placenta.2015.12.006", "ISSN" : "01434004", "author" : [ { "dropping-particle" : "", "family" : "Leon-Garcia", "given" : "Sandra M.", "non-dropping-particle" : "", "parse-names" : false, "suffix" : "" }, { "dropping-particle" : "", "family" : "Roeder", "given" : "Hilary A.", "non-dropping-particle" : "", "parse-names" : false, "suffix" : "" }, { "dropping-particle" : "", "family" : "Nelson", "given" : "Katharine K.", "non-dropping-particle" : "", "parse-names" : false, "suffix" : "" }, { "dropping-particle" : "", "family" : "Liao", "given" : "Xiaoyan", "non-dropping-particle" : "", "parse-names" : false, "suffix" : "" }, { "dropping-particle" : "", "family" : "Pizzo", "given" : "Donald P.", "non-dropping-particle" : "", "parse-names" : false, "suffix" : "" }, { "dropping-particle" : "", "family" : "Laurent", "given" : "Louise C.", "non-dropping-particle" : "", "parse-names" : false, "suffix" : "" }, { "dropping-particle" : "", "family" : "Parast", "given" : "Mana M.", "non-dropping-particle" : "", "parse-names" : false, "suffix" : "" }, { "dropping-particle" : "", "family" : "LaCoursiere", "given" : "D. Yvette", "non-dropping-particle" : "", "parse-names" : false, "suffix" : "" } ], "container-title" : "Placenta", "id" : "ITEM-2", "issued" : { "date-parts" : [ [ "2016", "2" ] ] }, "page" : "33-40", "title" : "Maternal obesity and sex-specific differences in placental pathology", "type" : "article-journal", "volume" : "38" }, "uris" : [ "http://www.mendeley.com/documents/?uuid=997b16ce-c538-31d7-a51d-7e96babf887a" ] } ], "mendeley" : { "formattedCitation" : "[17,18]", "plainTextFormattedCitation" : "[17,18]", "previouslyFormattedCitation" : "[17,18]" }, "properties" : { "noteIndex" : 0 }, "schema" : "https://github.com/citation-style-language/schema/raw/master/csl-citation.json" }</w:instrText>
      </w:r>
      <w:r w:rsidR="00320378" w:rsidRPr="004B61EA">
        <w:rPr>
          <w:rFonts w:ascii="Arial" w:hAnsi="Arial" w:cs="Arial"/>
          <w:sz w:val="24"/>
          <w:szCs w:val="24"/>
          <w:lang w:val="en-US"/>
        </w:rPr>
        <w:fldChar w:fldCharType="separate"/>
      </w:r>
      <w:r w:rsidR="0023362E" w:rsidRPr="004B61EA">
        <w:rPr>
          <w:rFonts w:ascii="Arial" w:hAnsi="Arial" w:cs="Arial"/>
          <w:noProof/>
          <w:sz w:val="24"/>
          <w:szCs w:val="24"/>
          <w:lang w:val="en-US"/>
        </w:rPr>
        <w:t>[17,18]</w:t>
      </w:r>
      <w:r w:rsidR="00320378" w:rsidRPr="004B61EA">
        <w:rPr>
          <w:rFonts w:ascii="Arial" w:hAnsi="Arial" w:cs="Arial"/>
          <w:sz w:val="24"/>
          <w:szCs w:val="24"/>
          <w:lang w:val="en-US"/>
        </w:rPr>
        <w:fldChar w:fldCharType="end"/>
      </w:r>
      <w:r w:rsidR="0062487D" w:rsidRPr="004B61EA">
        <w:rPr>
          <w:rFonts w:ascii="Arial" w:hAnsi="Arial" w:cs="Arial"/>
          <w:sz w:val="24"/>
          <w:szCs w:val="24"/>
          <w:lang w:val="en-US"/>
        </w:rPr>
        <w:t>, and that</w:t>
      </w:r>
      <w:r w:rsidR="00FA2FED" w:rsidRPr="004B61EA">
        <w:rPr>
          <w:rFonts w:ascii="Arial" w:hAnsi="Arial" w:cs="Arial"/>
          <w:sz w:val="24"/>
          <w:szCs w:val="24"/>
          <w:lang w:val="en-US"/>
        </w:rPr>
        <w:t xml:space="preserve"> there </w:t>
      </w:r>
      <w:r w:rsidR="0091159E" w:rsidRPr="004B61EA">
        <w:rPr>
          <w:rFonts w:ascii="Arial" w:hAnsi="Arial" w:cs="Arial"/>
          <w:sz w:val="24"/>
          <w:szCs w:val="24"/>
          <w:lang w:val="en-US"/>
        </w:rPr>
        <w:t xml:space="preserve">is an association with </w:t>
      </w:r>
      <w:r w:rsidR="00826D21" w:rsidRPr="004B61EA">
        <w:rPr>
          <w:rFonts w:ascii="Arial" w:hAnsi="Arial" w:cs="Arial"/>
          <w:sz w:val="24"/>
          <w:szCs w:val="24"/>
          <w:lang w:val="en-US"/>
        </w:rPr>
        <w:t>fetal overgrowth</w:t>
      </w:r>
      <w:r w:rsidR="004104D8" w:rsidRPr="004B61EA">
        <w:rPr>
          <w:rFonts w:ascii="Arial" w:hAnsi="Arial" w:cs="Arial"/>
          <w:sz w:val="24"/>
          <w:szCs w:val="24"/>
          <w:lang w:val="en-US"/>
        </w:rPr>
        <w:t>, which may be related to increased placental system A amino acid transporters 1 and 2 (SNAT1 and SNAT2) and insulin gro</w:t>
      </w:r>
      <w:r w:rsidR="0062487D" w:rsidRPr="004B61EA">
        <w:rPr>
          <w:rFonts w:ascii="Arial" w:hAnsi="Arial" w:cs="Arial"/>
          <w:sz w:val="24"/>
          <w:szCs w:val="24"/>
          <w:lang w:val="en-US"/>
        </w:rPr>
        <w:t>wth factor (IGF-1) signaling</w:t>
      </w:r>
      <w:r w:rsidR="000B14E4" w:rsidRPr="004B61EA">
        <w:rPr>
          <w:rFonts w:ascii="Arial" w:hAnsi="Arial" w:cs="Arial"/>
          <w:sz w:val="24"/>
          <w:szCs w:val="24"/>
          <w:lang w:val="en-US"/>
        </w:rPr>
        <w:t xml:space="preserve"> </w:t>
      </w:r>
      <w:r w:rsidR="000B14E4" w:rsidRPr="004B61EA">
        <w:rPr>
          <w:rFonts w:ascii="Arial" w:hAnsi="Arial" w:cs="Arial"/>
          <w:sz w:val="24"/>
          <w:szCs w:val="24"/>
          <w:lang w:val="en-US"/>
        </w:rPr>
        <w:fldChar w:fldCharType="begin" w:fldLock="1"/>
      </w:r>
      <w:r w:rsidR="00B159EE" w:rsidRPr="004B61EA">
        <w:rPr>
          <w:rFonts w:ascii="Arial" w:hAnsi="Arial" w:cs="Arial"/>
          <w:sz w:val="24"/>
          <w:szCs w:val="24"/>
          <w:lang w:val="en-US"/>
        </w:rPr>
        <w:instrText>ADDIN CSL_CITATION { "citationItems" : [ { "id" : "ITEM-1", "itemData" : { "DOI" : "10.1210/jc.2012-2667", "ISSN" : "1945-7197", "PMID" : "23150676", "abstract" : "CONTEXT Babies of obese women are often large at birth, which is associated with perinatal complications and metabolic syndrome later in life. The mechanisms linking maternal obesity to fetal overgrowth are largely unknown. OBJECTIVE We tested the hypothesis that placental insulin/IGF-I and mammalian target of rapamycin (mTOR) signaling is activated and amino acid transporter activity is increased in large babies of obese women. DESIGN AND SETTING Pregnant women were recruited prospectively for collection of placental tissue at a university hospital and academic biomedical center. PATIENTS OR OTHER PARTICIPANTS Twenty-three Swedish pregnant women with first trimester body mass index ranging from 18.5 to 44.9 kg/m(2) and with uncomplicated pregnancies participated in the study. INTERVENTIONS There were no interventions. MAIN OUTCOME MEASURES We determined the phosphorylation of key signaling molecules (including Akt, IRS-1, S6K1, 4EBP-1, RPS6, and AMPK) in the placental insulin/IGF-I, AMPK, and mTOR signaling pathways. The activity and protein expression of the amino acid transporter systems A and L were measured in syncytiotrophoblast microvillous plasma membranes. RESULTS Birth weights (range, 3025-4235 g) were positively correlated to maternal body mass index (P &lt; 0.05). The activity of placental insulin/IGF-I and mTOR signaling was positively correlated (P &lt; 0.001), whereas AMPK phosphorylation was inversely (P &lt; 0.05) correlated to birth weight. Microvillous plasma membrane system A, but not system L, activity and protein expression of the system A isoform SNAT2 were positively correlated to birth weight (P &lt; 0.001). CONCLUSIONS Up-regulation of specific placental amino acid transporter isoforms may contribute to fetal overgrowth in maternal obesity. This effect may be mediated by activation of insulin/IGF-I and mTOR signaling pathways, which are positive regulators of placental amino acid transporters.", "author" : [ { "dropping-particle" : "", "family" : "Jansson", "given" : "Nina", "non-dropping-particle" : "", "parse-names" : false, "suffix" : "" }, { "dropping-particle" : "", "family" : "Rosario", "given" : "Fredrick J", "non-dropping-particle" : "", "parse-names" : false, "suffix" : "" }, { "dropping-particle" : "", "family" : "Gaccioli", "given" : "Francesca", "non-dropping-particle" : "", "parse-names" : false, "suffix" : "" }, { "dropping-particle" : "", "family" : "Lager", "given" : "Susanne", "non-dropping-particle" : "", "parse-names" : false, "suffix" : "" }, { "dropping-particle" : "", "family" : "Jones", "given" : "Helen N", "non-dropping-particle" : "", "parse-names" : false, "suffix" : "" }, { "dropping-particle" : "", "family" : "Roos", "given" : "Sara", "non-dropping-particle" : "", "parse-names" : false, "suffix" : "" }, { "dropping-particle" : "", "family" : "Jansson", "given" : "Thomas", "non-dropping-particle" : "", "parse-names" : false, "suffix" : "" }, { "dropping-particle" : "", "family" : "Powell", "given" : "Theresa L", "non-dropping-particle" : "", "parse-names" : false, "suffix" : "" } ], "container-title" : "The Journal of clinical endocrinology and metabolism", "id" : "ITEM-1", "issue" : "1", "issued" : { "date-parts" : [ [ "2013", "1" ] ] }, "page" : "105-13", "title" : "Activation of placental mTOR signaling and amino acid transporters in obese women giving birth to large babies.", "type" : "article-journal", "volume" : "98" }, "uris" : [ "http://www.mendeley.com/documents/?uuid=75d13ec3-27b5-3f30-ad13-ba100ae24e27" ] } ], "mendeley" : { "formattedCitation" : "[19]", "plainTextFormattedCitation" : "[19]", "previouslyFormattedCitation" : "[19]" }, "properties" : { "noteIndex" : 0 }, "schema" : "https://github.com/citation-style-language/schema/raw/master/csl-citation.json" }</w:instrText>
      </w:r>
      <w:r w:rsidR="000B14E4" w:rsidRPr="004B61EA">
        <w:rPr>
          <w:rFonts w:ascii="Arial" w:hAnsi="Arial" w:cs="Arial"/>
          <w:sz w:val="24"/>
          <w:szCs w:val="24"/>
          <w:lang w:val="en-US"/>
        </w:rPr>
        <w:fldChar w:fldCharType="separate"/>
      </w:r>
      <w:r w:rsidR="0023362E" w:rsidRPr="004B61EA">
        <w:rPr>
          <w:rFonts w:ascii="Arial" w:hAnsi="Arial" w:cs="Arial"/>
          <w:noProof/>
          <w:sz w:val="24"/>
          <w:szCs w:val="24"/>
          <w:lang w:val="en-US"/>
        </w:rPr>
        <w:t>[19]</w:t>
      </w:r>
      <w:r w:rsidR="000B14E4" w:rsidRPr="004B61EA">
        <w:rPr>
          <w:rFonts w:ascii="Arial" w:hAnsi="Arial" w:cs="Arial"/>
          <w:sz w:val="24"/>
          <w:szCs w:val="24"/>
          <w:lang w:val="en-US"/>
        </w:rPr>
        <w:fldChar w:fldCharType="end"/>
      </w:r>
      <w:r w:rsidR="0087417E" w:rsidRPr="004B61EA">
        <w:rPr>
          <w:rFonts w:ascii="Arial" w:hAnsi="Arial" w:cs="Arial"/>
          <w:sz w:val="24"/>
          <w:szCs w:val="24"/>
          <w:lang w:val="en-US"/>
        </w:rPr>
        <w:t>.</w:t>
      </w:r>
      <w:r w:rsidR="004104D8" w:rsidRPr="004B61EA">
        <w:rPr>
          <w:rFonts w:ascii="Arial" w:hAnsi="Arial" w:cs="Arial"/>
          <w:sz w:val="24"/>
          <w:szCs w:val="24"/>
          <w:lang w:val="en-US"/>
        </w:rPr>
        <w:t xml:space="preserve"> There are also extensive previous studies which have demonstrated that birth weight is greater </w:t>
      </w:r>
      <w:r w:rsidR="000C6C15" w:rsidRPr="004B61EA">
        <w:rPr>
          <w:rFonts w:ascii="Arial" w:hAnsi="Arial" w:cs="Arial"/>
          <w:sz w:val="24"/>
          <w:szCs w:val="24"/>
          <w:lang w:val="en-US"/>
        </w:rPr>
        <w:t xml:space="preserve">in the infants of </w:t>
      </w:r>
      <w:r w:rsidR="004104D8" w:rsidRPr="004B61EA">
        <w:rPr>
          <w:rFonts w:ascii="Arial" w:hAnsi="Arial" w:cs="Arial"/>
          <w:sz w:val="24"/>
          <w:szCs w:val="24"/>
          <w:lang w:val="en-US"/>
        </w:rPr>
        <w:t>obese women</w:t>
      </w:r>
      <w:r w:rsidR="004E1D60" w:rsidRPr="004B61EA">
        <w:rPr>
          <w:rFonts w:ascii="Arial" w:hAnsi="Arial" w:cs="Arial"/>
          <w:sz w:val="24"/>
          <w:szCs w:val="24"/>
          <w:lang w:val="en-US"/>
        </w:rPr>
        <w:fldChar w:fldCharType="begin" w:fldLock="1"/>
      </w:r>
      <w:r w:rsidR="0023362E" w:rsidRPr="004B61EA">
        <w:rPr>
          <w:rFonts w:ascii="Arial" w:hAnsi="Arial" w:cs="Arial"/>
          <w:sz w:val="24"/>
          <w:szCs w:val="24"/>
          <w:lang w:val="en-US"/>
        </w:rPr>
        <w:instrText>ADDIN CSL_CITATION { "citationItems" : [ { "id" : "ITEM-1", "itemData" : { "ISSN" : "1756-1833", "PMID" : "28179267", "abstract" : "Obesity is the most common medical condition in women of reproductive age. Obesity during pregnancy has short term and long term adverse consequences for both mother and child. Obesity causes problems with infertility, and in early gestation it causes spontaneous pregnancy loss and congenital anomalies. Metabolically, obese women have increased insulin resistance in early pregnancy, which becomes manifest clinically in late gestation as glucose intolerance and fetal overgrowth. At term, the risk of cesarean delivery and wound complications is increased. Postpartum, obese women have an increased risk of venous thromboembolism, depression, and difficulty with breast feeding. Because 50-60% of overweight or obese women gain more than recommended by Institute of Medicine gestational weight guidelines, postpartum weight retention increases future cardiometabolic risks and prepregnancy obesity in subsequent pregnancies. Neonates of obese women have increased body fat at birth, which increases the risk of childhood obesity. Although there is no unifying mechanism responsible for the adverse perinatal outcomes associated with maternal obesity, on the basis of the available data, increased prepregnancy maternal insulin resistance and accompanying hyperinsulinemia, inflammation, and oxidative stress seem to contribute to early placental and fetal dysfunction. We will review the pathophysiology underlying these data and try to shed light on the specific underlying mechanisms.", "author" : [ { "dropping-particle" : "", "family" : "Catalano", "given" : "Patrick M", "non-dropping-particle" : "", "parse-names" : false, "suffix" : "" }, { "dropping-particle" : "", "family" : "Shankar", "given" : "Kartik", "non-dropping-particle" : "", "parse-names" : false, "suffix" : "" } ], "container-title" : "BMJ (Clinical research ed.)", "id" : "ITEM-1", "issued" : { "date-parts" : [ [ "2017", "2", "8" ] ] }, "page" : "j1", "title" : "Obesity and pregnancy: mechanisms of short term and long term adverse consequences for mother and child.", "type" : "article-journal", "volume" : "356" }, "uris" : [ "http://www.mendeley.com/documents/?uuid=2f563eb0-1b25-35e2-9b58-d262c397f99e" ] }, { "id" : "ITEM-2", "itemData" : { "DOI" : "10.2337/dc08-2077", "ISSN" : "0149-5992", "author" : [ { "dropping-particle" : "", "family" : "Catalano", "given" : "P. M.", "non-dropping-particle" : "", "parse-names" : false, "suffix" : "" }, { "dropping-particle" : "", "family" : "Presley", "given" : "L.", "non-dropping-particle" : "", "parse-names" : false, "suffix" : "" }, { "dropping-particle" : "", "family" : "Minium", "given" : "J.", "non-dropping-particle" : "", "parse-names" : false, "suffix" : "" }, { "dropping-particle" : "", "family" : "Hauguel-de Mouzon", "given" : "S.", "non-dropping-particle" : "", "parse-names" : false, "suffix" : "" } ], "container-title" : "Diabetes Care", "id" : "ITEM-2", "issue" : "6", "issued" : { "date-parts" : [ [ "2009", "6", "1" ] ] }, "page" : "1076-1080", "title" : "Fetuses of Obese Mothers Develop Insulin Resistance in Utero", "type" : "article-journal", "volume" : "32" }, "uris" : [ "http://www.mendeley.com/documents/?uuid=d7817d24-4aa7-32c9-bb5d-e06437021ed2" ] } ], "mendeley" : { "formattedCitation" : "[15,17]", "plainTextFormattedCitation" : "[15,17]", "previouslyFormattedCitation" : "[15,17]" }, "properties" : { "noteIndex" : 0 }, "schema" : "https://github.com/citation-style-language/schema/raw/master/csl-citation.json" }</w:instrText>
      </w:r>
      <w:r w:rsidR="004E1D60" w:rsidRPr="004B61EA">
        <w:rPr>
          <w:rFonts w:ascii="Arial" w:hAnsi="Arial" w:cs="Arial"/>
          <w:sz w:val="24"/>
          <w:szCs w:val="24"/>
          <w:lang w:val="en-US"/>
        </w:rPr>
        <w:fldChar w:fldCharType="separate"/>
      </w:r>
      <w:r w:rsidR="00CD04E5" w:rsidRPr="004B61EA">
        <w:rPr>
          <w:rFonts w:ascii="Arial" w:hAnsi="Arial" w:cs="Arial"/>
          <w:noProof/>
          <w:sz w:val="24"/>
          <w:szCs w:val="24"/>
          <w:lang w:val="en-US"/>
        </w:rPr>
        <w:t>[15,17]</w:t>
      </w:r>
      <w:r w:rsidR="004E1D60" w:rsidRPr="004B61EA">
        <w:rPr>
          <w:rFonts w:ascii="Arial" w:hAnsi="Arial" w:cs="Arial"/>
          <w:sz w:val="24"/>
          <w:szCs w:val="24"/>
          <w:lang w:val="en-US"/>
        </w:rPr>
        <w:fldChar w:fldCharType="end"/>
      </w:r>
      <w:r w:rsidR="004104D8" w:rsidRPr="004B61EA">
        <w:rPr>
          <w:rFonts w:ascii="Arial" w:hAnsi="Arial" w:cs="Arial"/>
          <w:sz w:val="24"/>
          <w:szCs w:val="24"/>
          <w:lang w:val="en-US"/>
        </w:rPr>
        <w:t>.</w:t>
      </w:r>
      <w:r w:rsidR="00207B63" w:rsidRPr="004B61EA">
        <w:rPr>
          <w:rFonts w:ascii="Arial" w:hAnsi="Arial" w:cs="Arial"/>
          <w:sz w:val="24"/>
          <w:szCs w:val="24"/>
          <w:lang w:val="en-US"/>
        </w:rPr>
        <w:t xml:space="preserve"> In addition, a recent study of a cohort of women with gestational diabetes </w:t>
      </w:r>
      <w:r w:rsidR="002D18D6" w:rsidRPr="004B61EA">
        <w:rPr>
          <w:rFonts w:ascii="Arial" w:hAnsi="Arial" w:cs="Arial"/>
          <w:sz w:val="24"/>
          <w:szCs w:val="24"/>
          <w:lang w:val="en-US"/>
        </w:rPr>
        <w:t xml:space="preserve">found </w:t>
      </w:r>
      <w:r w:rsidR="00207B63" w:rsidRPr="004B61EA">
        <w:rPr>
          <w:rFonts w:ascii="Arial" w:hAnsi="Arial" w:cs="Arial"/>
          <w:sz w:val="24"/>
          <w:szCs w:val="24"/>
          <w:lang w:val="en-US"/>
        </w:rPr>
        <w:t xml:space="preserve">that diabetes related factors were associated with both BW and PW, with a larger effect on PW </w:t>
      </w:r>
      <w:r w:rsidR="00207B63" w:rsidRPr="004B61EA">
        <w:rPr>
          <w:rFonts w:ascii="Arial" w:hAnsi="Arial" w:cs="Arial"/>
          <w:sz w:val="24"/>
          <w:szCs w:val="24"/>
          <w:lang w:val="en-US"/>
        </w:rPr>
        <w:fldChar w:fldCharType="begin" w:fldLock="1"/>
      </w:r>
      <w:r w:rsidR="00B159EE" w:rsidRPr="004B61EA">
        <w:rPr>
          <w:rFonts w:ascii="Arial" w:hAnsi="Arial" w:cs="Arial"/>
          <w:sz w:val="24"/>
          <w:szCs w:val="24"/>
          <w:lang w:val="en-US"/>
        </w:rPr>
        <w:instrText>ADDIN CSL_CITATION { "citationItems" : [ { "id" : "ITEM-1", "itemData" : { "DOI" : "10.1016/j.ejogrb.2016.04.022", "ISSN" : "1872-7654", "PMID" : "27180270", "abstract" : "BACKGROUND AND AIMS Excessive fetal and placental growth are very common in diabetic pregnancy. We aimed to analyze in women with gestational diabetes mellitus (GDM) the association with birth weight (BW), placental weight (PW) and placental-to-birth weight (PWBW) ratio of acknowledged BW predictors. MATERIAL AND METHODS We performed a retrospective analysis of a prospective cohort database from a tertiary hospital. Inclusion criteria were singleton pregnancy, diagnosis of GDM, delivery between 1982 and 2011 and gestational age at birth \u226523 weeks. Multiple regression analysis was performed using as dependent variables BW, PW and PWBW ratio and as independent ones maternal characteristics at baseline, metabolic characteristics (GDM diagnosis, treatment, control), pregnancy-induced hypertension, gestational age at delivery and fetal sex. Two sensitivity analyses were performed. RESULTS We evaluated 2547 women, PW being available in 85.3%. BW was 3260g (2976, 3575), PW 620g (540, 720) and PWBW ratio 19.27 (17.20, 21.47). Among the 24 analyzed variables, there was an important overlap among those associated with BW, PW and PWBW ratio. For most characteristics associated with both BW and PW, the magnitude of the association was greater for the latter, both when promoting growth (i.e. prepregnancy body mass index, 3h plasma glucose at diagnosis) and when restricting it (insulin treatment). CONCLUSION We conclude that in women with GDM and singleton pregnancies, variables associated with BW, PW and PWBW ratio overlap. The latter is the result of disproportionate associations with BW and PW, usually larger with PW.", "author" : [ { "dropping-particle" : "", "family" : "Ramos", "given" : "A", "non-dropping-particle" : "", "parse-names" : false, "suffix" : "" }, { "dropping-particle" : "", "family" : "Caimari", "given" : "F", "non-dropping-particle" : "", "parse-names" : false, "suffix" : "" }, { "dropping-particle" : "", "family" : "Pujol", "given" : "I M", "non-dropping-particle" : "", "parse-names" : false, "suffix" : "" }, { "dropping-particle" : "", "family" : "Garc\u00eda-Patterson", "given" : "A", "non-dropping-particle" : "", "parse-names" : false, "suffix" : "" }, { "dropping-particle" : "", "family" : "Ginovart", "given" : "G", "non-dropping-particle" : "", "parse-names" : false, "suffix" : "" }, { "dropping-particle" : "", "family" : "Adelantado", "given" : "J M", "non-dropping-particle" : "", "parse-names" : false, "suffix" : "" }, { "dropping-particle" : "", "family" : "Corcoy", "given" : "R", "non-dropping-particle" : "", "parse-names" : false, "suffix" : "" } ], "container-title" : "European journal of obstetrics, gynecology, and reproductive biology", "id" : "ITEM-1", "issued" : { "date-parts" : [ [ "2016", "7" ] ] }, "page" : "60-5", "title" : "In women with gestational diabetes mellitus factors influencing growth have a larger effect on placental weight than on birth weight.", "type" : "article-journal", "volume" : "202" }, "uris" : [ "http://www.mendeley.com/documents/?uuid=7790c093-896a-35c7-a6b2-5072263d32aa" ] } ], "mendeley" : { "formattedCitation" : "[20]", "plainTextFormattedCitation" : "[20]", "previouslyFormattedCitation" : "[20]" }, "properties" : { "noteIndex" : 0 }, "schema" : "https://github.com/citation-style-language/schema/raw/master/csl-citation.json" }</w:instrText>
      </w:r>
      <w:r w:rsidR="00207B63" w:rsidRPr="004B61EA">
        <w:rPr>
          <w:rFonts w:ascii="Arial" w:hAnsi="Arial" w:cs="Arial"/>
          <w:sz w:val="24"/>
          <w:szCs w:val="24"/>
          <w:lang w:val="en-US"/>
        </w:rPr>
        <w:fldChar w:fldCharType="separate"/>
      </w:r>
      <w:r w:rsidR="0023362E" w:rsidRPr="004B61EA">
        <w:rPr>
          <w:rFonts w:ascii="Arial" w:hAnsi="Arial" w:cs="Arial"/>
          <w:noProof/>
          <w:sz w:val="24"/>
          <w:szCs w:val="24"/>
          <w:lang w:val="en-US"/>
        </w:rPr>
        <w:t>[20]</w:t>
      </w:r>
      <w:r w:rsidR="00207B63" w:rsidRPr="004B61EA">
        <w:rPr>
          <w:rFonts w:ascii="Arial" w:hAnsi="Arial" w:cs="Arial"/>
          <w:sz w:val="24"/>
          <w:szCs w:val="24"/>
          <w:lang w:val="en-US"/>
        </w:rPr>
        <w:fldChar w:fldCharType="end"/>
      </w:r>
      <w:r w:rsidR="00207B63" w:rsidRPr="004B61EA">
        <w:rPr>
          <w:rFonts w:ascii="Arial" w:hAnsi="Arial" w:cs="Arial"/>
          <w:sz w:val="24"/>
          <w:szCs w:val="24"/>
          <w:lang w:val="en-US"/>
        </w:rPr>
        <w:t xml:space="preserve">. This is </w:t>
      </w:r>
      <w:r w:rsidR="002D18D6" w:rsidRPr="004B61EA">
        <w:rPr>
          <w:rFonts w:ascii="Arial" w:hAnsi="Arial" w:cs="Arial"/>
          <w:sz w:val="24"/>
          <w:szCs w:val="24"/>
          <w:lang w:val="en-US"/>
        </w:rPr>
        <w:t>consistent with</w:t>
      </w:r>
      <w:r w:rsidR="00207B63" w:rsidRPr="004B61EA">
        <w:rPr>
          <w:rFonts w:ascii="Arial" w:hAnsi="Arial" w:cs="Arial"/>
          <w:sz w:val="24"/>
          <w:szCs w:val="24"/>
          <w:lang w:val="en-US"/>
        </w:rPr>
        <w:t xml:space="preserve"> the results</w:t>
      </w:r>
      <w:r w:rsidR="004104D8" w:rsidRPr="004B61EA">
        <w:rPr>
          <w:rFonts w:ascii="Arial" w:hAnsi="Arial" w:cs="Arial"/>
          <w:sz w:val="24"/>
          <w:szCs w:val="24"/>
          <w:lang w:val="en-US"/>
        </w:rPr>
        <w:t xml:space="preserve"> </w:t>
      </w:r>
      <w:r w:rsidR="00207B63" w:rsidRPr="004B61EA">
        <w:rPr>
          <w:rFonts w:ascii="Arial" w:hAnsi="Arial" w:cs="Arial"/>
          <w:sz w:val="24"/>
          <w:szCs w:val="24"/>
          <w:lang w:val="en-US"/>
        </w:rPr>
        <w:t>of t</w:t>
      </w:r>
      <w:r w:rsidR="004104D8" w:rsidRPr="004B61EA">
        <w:rPr>
          <w:rFonts w:ascii="Arial" w:hAnsi="Arial" w:cs="Arial"/>
          <w:sz w:val="24"/>
          <w:szCs w:val="24"/>
          <w:lang w:val="en-US"/>
        </w:rPr>
        <w:t>he present study that</w:t>
      </w:r>
      <w:r w:rsidR="00DD7E63" w:rsidRPr="004B61EA">
        <w:rPr>
          <w:rFonts w:ascii="Arial" w:hAnsi="Arial" w:cs="Arial"/>
          <w:sz w:val="24"/>
          <w:szCs w:val="24"/>
          <w:lang w:val="en-US"/>
        </w:rPr>
        <w:t>,</w:t>
      </w:r>
      <w:r w:rsidR="004104D8" w:rsidRPr="004B61EA">
        <w:rPr>
          <w:rFonts w:ascii="Arial" w:hAnsi="Arial" w:cs="Arial"/>
          <w:sz w:val="24"/>
          <w:szCs w:val="24"/>
          <w:lang w:val="en-US"/>
        </w:rPr>
        <w:t xml:space="preserve"> </w:t>
      </w:r>
      <w:r w:rsidR="00C72E33" w:rsidRPr="004B61EA">
        <w:rPr>
          <w:rFonts w:ascii="Arial" w:hAnsi="Arial" w:cs="Arial"/>
          <w:sz w:val="24"/>
          <w:szCs w:val="24"/>
          <w:lang w:val="en-US"/>
        </w:rPr>
        <w:t>in the presence of maternal obesity</w:t>
      </w:r>
      <w:r w:rsidR="00DD7E63" w:rsidRPr="004B61EA">
        <w:rPr>
          <w:rFonts w:ascii="Arial" w:hAnsi="Arial" w:cs="Arial"/>
          <w:sz w:val="24"/>
          <w:szCs w:val="24"/>
          <w:lang w:val="en-US"/>
        </w:rPr>
        <w:t>,</w:t>
      </w:r>
      <w:r w:rsidR="0087417E" w:rsidRPr="004B61EA">
        <w:rPr>
          <w:rFonts w:ascii="Arial" w:hAnsi="Arial" w:cs="Arial"/>
          <w:sz w:val="24"/>
          <w:szCs w:val="24"/>
          <w:lang w:val="en-US"/>
        </w:rPr>
        <w:t xml:space="preserve"> </w:t>
      </w:r>
      <w:r w:rsidR="005448EE" w:rsidRPr="004B61EA">
        <w:rPr>
          <w:rFonts w:ascii="Arial" w:hAnsi="Arial" w:cs="Arial"/>
          <w:sz w:val="24"/>
          <w:szCs w:val="24"/>
          <w:lang w:val="en-US"/>
        </w:rPr>
        <w:t>the placenta</w:t>
      </w:r>
      <w:r w:rsidR="00932904" w:rsidRPr="004B61EA">
        <w:rPr>
          <w:rFonts w:ascii="Arial" w:hAnsi="Arial" w:cs="Arial"/>
          <w:sz w:val="24"/>
          <w:szCs w:val="24"/>
          <w:lang w:val="en-US"/>
        </w:rPr>
        <w:t xml:space="preserve"> </w:t>
      </w:r>
      <w:r w:rsidR="00AE22CA" w:rsidRPr="004B61EA">
        <w:rPr>
          <w:rFonts w:ascii="Arial" w:hAnsi="Arial" w:cs="Arial"/>
          <w:sz w:val="24"/>
          <w:szCs w:val="24"/>
          <w:lang w:val="en-US"/>
        </w:rPr>
        <w:t xml:space="preserve">is proportionally larger in size compared to </w:t>
      </w:r>
      <w:r w:rsidR="00932904" w:rsidRPr="004B61EA">
        <w:rPr>
          <w:rFonts w:ascii="Arial" w:hAnsi="Arial" w:cs="Arial"/>
          <w:sz w:val="24"/>
          <w:szCs w:val="24"/>
          <w:lang w:val="en-US"/>
        </w:rPr>
        <w:t xml:space="preserve">the size of the fetus </w:t>
      </w:r>
      <w:r w:rsidR="00D528DC" w:rsidRPr="004B61EA">
        <w:rPr>
          <w:rFonts w:ascii="Arial" w:hAnsi="Arial" w:cs="Arial"/>
          <w:sz w:val="24"/>
          <w:szCs w:val="24"/>
          <w:lang w:val="en-US"/>
        </w:rPr>
        <w:t>(</w:t>
      </w:r>
      <w:r w:rsidR="00A91549" w:rsidRPr="004B61EA">
        <w:rPr>
          <w:rFonts w:ascii="Arial" w:hAnsi="Arial" w:cs="Arial"/>
          <w:sz w:val="24"/>
          <w:szCs w:val="24"/>
          <w:lang w:val="en-US"/>
        </w:rPr>
        <w:t xml:space="preserve">a </w:t>
      </w:r>
      <w:r w:rsidR="00D528DC" w:rsidRPr="004B61EA">
        <w:rPr>
          <w:rFonts w:ascii="Arial" w:hAnsi="Arial" w:cs="Arial"/>
          <w:sz w:val="24"/>
          <w:szCs w:val="24"/>
          <w:lang w:val="en-US"/>
        </w:rPr>
        <w:t>relative</w:t>
      </w:r>
      <w:r w:rsidR="00A91549" w:rsidRPr="004B61EA">
        <w:rPr>
          <w:rFonts w:ascii="Arial" w:hAnsi="Arial" w:cs="Arial"/>
          <w:sz w:val="24"/>
          <w:szCs w:val="24"/>
          <w:lang w:val="en-US"/>
        </w:rPr>
        <w:t>ly larger</w:t>
      </w:r>
      <w:r w:rsidR="00D528DC" w:rsidRPr="004B61EA">
        <w:rPr>
          <w:rFonts w:ascii="Arial" w:hAnsi="Arial" w:cs="Arial"/>
          <w:sz w:val="24"/>
          <w:szCs w:val="24"/>
          <w:lang w:val="en-US"/>
        </w:rPr>
        <w:t xml:space="preserve"> placenta)</w:t>
      </w:r>
      <w:r w:rsidR="00AE22CA" w:rsidRPr="004B61EA">
        <w:rPr>
          <w:rFonts w:ascii="Arial" w:hAnsi="Arial" w:cs="Arial"/>
          <w:sz w:val="24"/>
          <w:szCs w:val="24"/>
          <w:lang w:val="en-US"/>
        </w:rPr>
        <w:t xml:space="preserve">. This </w:t>
      </w:r>
      <w:r w:rsidR="00780ED6" w:rsidRPr="004B61EA">
        <w:rPr>
          <w:rFonts w:ascii="Arial" w:hAnsi="Arial" w:cs="Arial"/>
          <w:sz w:val="24"/>
          <w:szCs w:val="24"/>
          <w:lang w:val="en-US"/>
        </w:rPr>
        <w:t>could either be due to</w:t>
      </w:r>
      <w:r w:rsidR="00D97AE3" w:rsidRPr="004B61EA">
        <w:rPr>
          <w:rFonts w:ascii="Arial" w:hAnsi="Arial" w:cs="Arial"/>
          <w:sz w:val="24"/>
          <w:szCs w:val="24"/>
          <w:lang w:val="en-US"/>
        </w:rPr>
        <w:t xml:space="preserve"> placenta</w:t>
      </w:r>
      <w:r w:rsidR="00932904" w:rsidRPr="004B61EA">
        <w:rPr>
          <w:rFonts w:ascii="Arial" w:hAnsi="Arial" w:cs="Arial"/>
          <w:sz w:val="24"/>
          <w:szCs w:val="24"/>
          <w:lang w:val="en-US"/>
        </w:rPr>
        <w:t>s</w:t>
      </w:r>
      <w:r w:rsidR="00D97AE3" w:rsidRPr="004B61EA">
        <w:rPr>
          <w:rFonts w:ascii="Arial" w:hAnsi="Arial" w:cs="Arial"/>
          <w:sz w:val="24"/>
          <w:szCs w:val="24"/>
          <w:lang w:val="en-US"/>
        </w:rPr>
        <w:t xml:space="preserve"> </w:t>
      </w:r>
      <w:r w:rsidR="00780ED6" w:rsidRPr="004B61EA">
        <w:rPr>
          <w:rFonts w:ascii="Arial" w:hAnsi="Arial" w:cs="Arial"/>
          <w:sz w:val="24"/>
          <w:szCs w:val="24"/>
          <w:lang w:val="en-US"/>
        </w:rPr>
        <w:t>f</w:t>
      </w:r>
      <w:r w:rsidR="00D97AE3" w:rsidRPr="004B61EA">
        <w:rPr>
          <w:rFonts w:ascii="Arial" w:hAnsi="Arial" w:cs="Arial"/>
          <w:sz w:val="24"/>
          <w:szCs w:val="24"/>
          <w:lang w:val="en-US"/>
        </w:rPr>
        <w:t>a</w:t>
      </w:r>
      <w:r w:rsidR="00E02965" w:rsidRPr="004B61EA">
        <w:rPr>
          <w:rFonts w:ascii="Arial" w:hAnsi="Arial" w:cs="Arial"/>
          <w:sz w:val="24"/>
          <w:szCs w:val="24"/>
          <w:lang w:val="en-US"/>
        </w:rPr>
        <w:t>iling to adapt placenta</w:t>
      </w:r>
      <w:r w:rsidR="0062487D" w:rsidRPr="004B61EA">
        <w:rPr>
          <w:rFonts w:ascii="Arial" w:hAnsi="Arial" w:cs="Arial"/>
          <w:sz w:val="24"/>
          <w:szCs w:val="24"/>
          <w:lang w:val="en-US"/>
        </w:rPr>
        <w:t>l</w:t>
      </w:r>
      <w:r w:rsidR="00E02965" w:rsidRPr="004B61EA">
        <w:rPr>
          <w:rFonts w:ascii="Arial" w:hAnsi="Arial" w:cs="Arial"/>
          <w:sz w:val="24"/>
          <w:szCs w:val="24"/>
          <w:lang w:val="en-US"/>
        </w:rPr>
        <w:t xml:space="preserve"> nutrient transfer according to fetal demand</w:t>
      </w:r>
      <w:r w:rsidR="00780ED6" w:rsidRPr="004B61EA">
        <w:rPr>
          <w:rFonts w:ascii="Arial" w:hAnsi="Arial" w:cs="Arial"/>
          <w:sz w:val="24"/>
          <w:szCs w:val="24"/>
          <w:lang w:val="en-US"/>
        </w:rPr>
        <w:t xml:space="preserve">, or that in </w:t>
      </w:r>
      <w:r w:rsidR="002D18D6" w:rsidRPr="004B61EA">
        <w:rPr>
          <w:rFonts w:ascii="Arial" w:hAnsi="Arial" w:cs="Arial"/>
          <w:sz w:val="24"/>
          <w:szCs w:val="24"/>
          <w:lang w:val="en-US"/>
        </w:rPr>
        <w:t xml:space="preserve">obese </w:t>
      </w:r>
      <w:r w:rsidR="00780ED6" w:rsidRPr="004B61EA">
        <w:rPr>
          <w:rFonts w:ascii="Arial" w:hAnsi="Arial" w:cs="Arial"/>
          <w:sz w:val="24"/>
          <w:szCs w:val="24"/>
          <w:lang w:val="en-US"/>
        </w:rPr>
        <w:t xml:space="preserve">women growth factors (e.g. IGF-1) are driving </w:t>
      </w:r>
      <w:r w:rsidR="002D18D6" w:rsidRPr="004B61EA">
        <w:rPr>
          <w:rFonts w:ascii="Arial" w:hAnsi="Arial" w:cs="Arial"/>
          <w:sz w:val="24"/>
          <w:szCs w:val="24"/>
          <w:lang w:val="en-US"/>
        </w:rPr>
        <w:t xml:space="preserve">excessive </w:t>
      </w:r>
      <w:r w:rsidR="00780ED6" w:rsidRPr="004B61EA">
        <w:rPr>
          <w:rFonts w:ascii="Arial" w:hAnsi="Arial" w:cs="Arial"/>
          <w:sz w:val="24"/>
          <w:szCs w:val="24"/>
          <w:lang w:val="en-US"/>
        </w:rPr>
        <w:t>placental growth</w:t>
      </w:r>
      <w:r w:rsidR="00A050B7" w:rsidRPr="004B61EA">
        <w:rPr>
          <w:rFonts w:ascii="Arial" w:hAnsi="Arial" w:cs="Arial"/>
          <w:sz w:val="24"/>
          <w:szCs w:val="24"/>
          <w:lang w:val="en-US"/>
        </w:rPr>
        <w:t xml:space="preserve"> </w:t>
      </w:r>
      <w:r w:rsidR="00780ED6" w:rsidRPr="004B61EA">
        <w:rPr>
          <w:rFonts w:ascii="Arial" w:hAnsi="Arial" w:cs="Arial"/>
          <w:sz w:val="24"/>
          <w:szCs w:val="24"/>
          <w:lang w:val="en-US"/>
        </w:rPr>
        <w:fldChar w:fldCharType="begin" w:fldLock="1"/>
      </w:r>
      <w:r w:rsidR="00B159EE" w:rsidRPr="004B61EA">
        <w:rPr>
          <w:rFonts w:ascii="Arial" w:hAnsi="Arial" w:cs="Arial"/>
          <w:sz w:val="24"/>
          <w:szCs w:val="24"/>
          <w:lang w:val="en-US"/>
        </w:rPr>
        <w:instrText>ADDIN CSL_CITATION { "citationItems" : [ { "id" : "ITEM-1", "itemData" : { "DOI" : "10.1210/jc.2012-2667", "ISSN" : "1945-7197", "PMID" : "23150676", "abstract" : "CONTEXT Babies of obese women are often large at birth, which is associated with perinatal complications and metabolic syndrome later in life. The mechanisms linking maternal obesity to fetal overgrowth are largely unknown. OBJECTIVE We tested the hypothesis that placental insulin/IGF-I and mammalian target of rapamycin (mTOR) signaling is activated and amino acid transporter activity is increased in large babies of obese women. DESIGN AND SETTING Pregnant women were recruited prospectively for collection of placental tissue at a university hospital and academic biomedical center. PATIENTS OR OTHER PARTICIPANTS Twenty-three Swedish pregnant women with first trimester body mass index ranging from 18.5 to 44.9 kg/m(2) and with uncomplicated pregnancies participated in the study. INTERVENTIONS There were no interventions. MAIN OUTCOME MEASURES We determined the phosphorylation of key signaling molecules (including Akt, IRS-1, S6K1, 4EBP-1, RPS6, and AMPK) in the placental insulin/IGF-I, AMPK, and mTOR signaling pathways. The activity and protein expression of the amino acid transporter systems A and L were measured in syncytiotrophoblast microvillous plasma membranes. RESULTS Birth weights (range, 3025-4235 g) were positively correlated to maternal body mass index (P &lt; 0.05). The activity of placental insulin/IGF-I and mTOR signaling was positively correlated (P &lt; 0.001), whereas AMPK phosphorylation was inversely (P &lt; 0.05) correlated to birth weight. Microvillous plasma membrane system A, but not system L, activity and protein expression of the system A isoform SNAT2 were positively correlated to birth weight (P &lt; 0.001). CONCLUSIONS Up-regulation of specific placental amino acid transporter isoforms may contribute to fetal overgrowth in maternal obesity. This effect may be mediated by activation of insulin/IGF-I and mTOR signaling pathways, which are positive regulators of placental amino acid transporters.", "author" : [ { "dropping-particle" : "", "family" : "Jansson", "given" : "Nina", "non-dropping-particle" : "", "parse-names" : false, "suffix" : "" }, { "dropping-particle" : "", "family" : "Rosario", "given" : "Fredrick J", "non-dropping-particle" : "", "parse-names" : false, "suffix" : "" }, { "dropping-particle" : "", "family" : "Gaccioli", "given" : "Francesca", "non-dropping-particle" : "", "parse-names" : false, "suffix" : "" }, { "dropping-particle" : "", "family" : "Lager", "given" : "Susanne", "non-dropping-particle" : "", "parse-names" : false, "suffix" : "" }, { "dropping-particle" : "", "family" : "Jones", "given" : "Helen N", "non-dropping-particle" : "", "parse-names" : false, "suffix" : "" }, { "dropping-particle" : "", "family" : "Roos", "given" : "Sara", "non-dropping-particle" : "", "parse-names" : false, "suffix" : "" }, { "dropping-particle" : "", "family" : "Jansson", "given" : "Thomas", "non-dropping-particle" : "", "parse-names" : false, "suffix" : "" }, { "dropping-particle" : "", "family" : "Powell", "given" : "Theresa L", "non-dropping-particle" : "", "parse-names" : false, "suffix" : "" } ], "container-title" : "The Journal of clinical endocrinology and metabolism", "id" : "ITEM-1", "issue" : "1", "issued" : { "date-parts" : [ [ "2013", "1" ] ] }, "page" : "105-13", "title" : "Activation of placental mTOR signaling and amino acid transporters in obese women giving birth to large babies.", "type" : "article-journal", "volume" : "98" }, "uris" : [ "http://www.mendeley.com/documents/?uuid=75d13ec3-27b5-3f30-ad13-ba100ae24e27" ] } ], "mendeley" : { "formattedCitation" : "[19]", "plainTextFormattedCitation" : "[19]", "previouslyFormattedCitation" : "[19]" }, "properties" : { "noteIndex" : 0 }, "schema" : "https://github.com/citation-style-language/schema/raw/master/csl-citation.json" }</w:instrText>
      </w:r>
      <w:r w:rsidR="00780ED6" w:rsidRPr="004B61EA">
        <w:rPr>
          <w:rFonts w:ascii="Arial" w:hAnsi="Arial" w:cs="Arial"/>
          <w:sz w:val="24"/>
          <w:szCs w:val="24"/>
          <w:lang w:val="en-US"/>
        </w:rPr>
        <w:fldChar w:fldCharType="separate"/>
      </w:r>
      <w:r w:rsidR="0023362E" w:rsidRPr="004B61EA">
        <w:rPr>
          <w:rFonts w:ascii="Arial" w:hAnsi="Arial" w:cs="Arial"/>
          <w:noProof/>
          <w:sz w:val="24"/>
          <w:szCs w:val="24"/>
          <w:lang w:val="en-US"/>
        </w:rPr>
        <w:t>[19]</w:t>
      </w:r>
      <w:r w:rsidR="00780ED6" w:rsidRPr="004B61EA">
        <w:rPr>
          <w:rFonts w:ascii="Arial" w:hAnsi="Arial" w:cs="Arial"/>
          <w:sz w:val="24"/>
          <w:szCs w:val="24"/>
          <w:lang w:val="en-US"/>
        </w:rPr>
        <w:fldChar w:fldCharType="end"/>
      </w:r>
      <w:r w:rsidR="00780ED6" w:rsidRPr="004B61EA">
        <w:rPr>
          <w:rFonts w:ascii="Arial" w:hAnsi="Arial" w:cs="Arial"/>
          <w:sz w:val="24"/>
          <w:szCs w:val="24"/>
          <w:lang w:val="en-US"/>
        </w:rPr>
        <w:t xml:space="preserve">. </w:t>
      </w:r>
      <w:r w:rsidR="00C72E33" w:rsidRPr="004B61EA">
        <w:rPr>
          <w:rFonts w:ascii="Arial" w:hAnsi="Arial" w:cs="Arial"/>
          <w:sz w:val="24"/>
          <w:szCs w:val="24"/>
          <w:lang w:val="en-US"/>
        </w:rPr>
        <w:t xml:space="preserve"> </w:t>
      </w:r>
    </w:p>
    <w:p w14:paraId="36B55013" w14:textId="26141474" w:rsidR="000B14E4" w:rsidRPr="004B61EA" w:rsidRDefault="00C72E33" w:rsidP="008840E6">
      <w:pPr>
        <w:spacing w:after="0" w:line="480" w:lineRule="auto"/>
        <w:rPr>
          <w:rFonts w:ascii="Arial" w:hAnsi="Arial" w:cs="Arial"/>
          <w:sz w:val="24"/>
          <w:szCs w:val="24"/>
          <w:lang w:val="en-US"/>
        </w:rPr>
      </w:pPr>
      <w:r w:rsidRPr="004B61EA">
        <w:rPr>
          <w:rFonts w:ascii="Arial" w:hAnsi="Arial" w:cs="Arial"/>
          <w:sz w:val="24"/>
          <w:szCs w:val="24"/>
          <w:lang w:val="en-US"/>
        </w:rPr>
        <w:t>Interestingly, one of the placental histopathological findings which is associated with both maternal obesity and maternal diabetes is</w:t>
      </w:r>
      <w:r w:rsidR="00E37BE6" w:rsidRPr="004B61EA">
        <w:rPr>
          <w:rFonts w:ascii="Arial" w:hAnsi="Arial" w:cs="Arial"/>
          <w:sz w:val="24"/>
          <w:szCs w:val="24"/>
          <w:lang w:val="en-US"/>
        </w:rPr>
        <w:t xml:space="preserve"> </w:t>
      </w:r>
      <w:r w:rsidR="005448EE" w:rsidRPr="004B61EA">
        <w:rPr>
          <w:rFonts w:ascii="Arial" w:hAnsi="Arial" w:cs="Arial"/>
          <w:sz w:val="24"/>
          <w:szCs w:val="24"/>
          <w:lang w:val="en-US"/>
        </w:rPr>
        <w:t>vi</w:t>
      </w:r>
      <w:r w:rsidR="0062487D" w:rsidRPr="004B61EA">
        <w:rPr>
          <w:rFonts w:ascii="Arial" w:hAnsi="Arial" w:cs="Arial"/>
          <w:sz w:val="24"/>
          <w:szCs w:val="24"/>
          <w:lang w:val="en-US"/>
        </w:rPr>
        <w:t>llous immaturity</w:t>
      </w:r>
      <w:r w:rsidR="00320378" w:rsidRPr="004B61EA">
        <w:rPr>
          <w:rFonts w:ascii="Arial" w:hAnsi="Arial" w:cs="Arial"/>
          <w:sz w:val="24"/>
          <w:szCs w:val="24"/>
          <w:lang w:val="en-US"/>
        </w:rPr>
        <w:t xml:space="preserve"> </w:t>
      </w:r>
      <w:r w:rsidR="00320378" w:rsidRPr="004B61EA">
        <w:rPr>
          <w:rFonts w:ascii="Arial" w:hAnsi="Arial" w:cs="Arial"/>
          <w:sz w:val="24"/>
          <w:szCs w:val="24"/>
          <w:lang w:val="en-US"/>
        </w:rPr>
        <w:fldChar w:fldCharType="begin" w:fldLock="1"/>
      </w:r>
      <w:r w:rsidR="00B159EE" w:rsidRPr="004B61EA">
        <w:rPr>
          <w:rFonts w:ascii="Arial" w:hAnsi="Arial" w:cs="Arial"/>
          <w:sz w:val="24"/>
          <w:szCs w:val="24"/>
          <w:lang w:val="en-US"/>
        </w:rPr>
        <w:instrText>ADDIN CSL_CITATION { "citationItems" : [ { "id" : "ITEM-1", "itemData" : { "DOI" : "10.1016/j.placenta.2014.11.021", "ISSN" : "01434004", "PMID" : "25524060", "abstract" : "INTRODUCTION During a pregnancy complicated by diabetes, the human placenta undergoes a number of functional and structural pathologic changes, such as increased placental weight and increased incidence of placental lesions including villous maturational defects and fibrinoid necrosis. The pathologic findings reported have differed among studies, potentially reflecting differences in type of diabetes, study methodology, or glycemic control of study participants. Alternatively, these discrepancies may represent different biologic adaptations to distinct metabolic diseases. METHODS We conducted a comprehensive review of English language citations in Pubmed and Embase using the keywords \"diabetes\", \"placenta\", AND \"pathology\". Abstracts were reviewed for relevance then full-text articles were reviewed in order to extract a comprehensive summary of current pathological findings associated with pregestational and gestational diabetes mellitus, as well as an understanding of the impact of glycemic control on placental pathology. RESULTS Placental abnormalities most consistently associated with maternal diabetes are an increased incidence of villous immaturity, increased measures of angiogenesis, and increased placental weight. CONCLUSIONS The literature suggests that, despite similarities in placental abnormalities, differences in placental pathology may reflect differences in pathophysiology among different types of diabetes. Consequently, standardization of terminology used to define placental lesions is warranted. Moreover, further research is needed to investigate the impact of pathophysiology, glycemic control and clinical factors, such as infant sex, weight and race, on placental structure and function.", "author" : [ { "dropping-particle" : "", "family" : "Huynh", "given" : "J.", "non-dropping-particle" : "", "parse-names" : false, "suffix" : "" }, { "dropping-particle" : "", "family" : "Dawson", "given" : "D.", "non-dropping-particle" : "", "parse-names" : false, "suffix" : "" }, { "dropping-particle" : "", "family" : "Roberts", "given" : "D.", "non-dropping-particle" : "", "parse-names" : false, "suffix" : "" }, { "dropping-particle" : "", "family" : "Bentley-Lewis", "given" : "R.", "non-dropping-particle" : "", "parse-names" : false, "suffix" : "" } ], "container-title" : "Placenta", "id" : "ITEM-1", "issue" : "2", "issued" : { "date-parts" : [ [ "2015", "2" ] ] }, "page" : "101-114", "title" : "A systematic review of placental pathology in maternal diabetes mellitus", "type" : "article-journal", "volume" : "36" }, "uris" : [ "http://www.mendeley.com/documents/?uuid=9b0c75a7-e555-3a5b-8bb6-41fce94639a9" ] } ], "mendeley" : { "formattedCitation" : "[21]", "plainTextFormattedCitation" : "[21]", "previouslyFormattedCitation" : "[21]" }, "properties" : { "noteIndex" : 0 }, "schema" : "https://github.com/citation-style-language/schema/raw/master/csl-citation.json" }</w:instrText>
      </w:r>
      <w:r w:rsidR="00320378" w:rsidRPr="004B61EA">
        <w:rPr>
          <w:rFonts w:ascii="Arial" w:hAnsi="Arial" w:cs="Arial"/>
          <w:sz w:val="24"/>
          <w:szCs w:val="24"/>
          <w:lang w:val="en-US"/>
        </w:rPr>
        <w:fldChar w:fldCharType="separate"/>
      </w:r>
      <w:r w:rsidR="0023362E" w:rsidRPr="004B61EA">
        <w:rPr>
          <w:rFonts w:ascii="Arial" w:hAnsi="Arial" w:cs="Arial"/>
          <w:noProof/>
          <w:sz w:val="24"/>
          <w:szCs w:val="24"/>
          <w:lang w:val="en-US"/>
        </w:rPr>
        <w:t>[21]</w:t>
      </w:r>
      <w:r w:rsidR="00320378" w:rsidRPr="004B61EA">
        <w:rPr>
          <w:rFonts w:ascii="Arial" w:hAnsi="Arial" w:cs="Arial"/>
          <w:sz w:val="24"/>
          <w:szCs w:val="24"/>
          <w:lang w:val="en-US"/>
        </w:rPr>
        <w:fldChar w:fldCharType="end"/>
      </w:r>
      <w:r w:rsidR="00320378" w:rsidRPr="004B61EA">
        <w:rPr>
          <w:rFonts w:ascii="Arial" w:hAnsi="Arial" w:cs="Arial"/>
          <w:sz w:val="24"/>
          <w:szCs w:val="24"/>
          <w:lang w:val="en-US"/>
        </w:rPr>
        <w:t xml:space="preserve">. </w:t>
      </w:r>
      <w:r w:rsidR="00932904" w:rsidRPr="004B61EA">
        <w:rPr>
          <w:rFonts w:ascii="Arial" w:hAnsi="Arial" w:cs="Arial"/>
          <w:sz w:val="24"/>
          <w:szCs w:val="24"/>
          <w:lang w:val="en-US"/>
        </w:rPr>
        <w:t xml:space="preserve">Immature chorionic villi are larger and have </w:t>
      </w:r>
      <w:r w:rsidR="00E37BE6" w:rsidRPr="004B61EA">
        <w:rPr>
          <w:rFonts w:ascii="Arial" w:hAnsi="Arial" w:cs="Arial"/>
          <w:sz w:val="24"/>
          <w:szCs w:val="24"/>
          <w:lang w:val="en-US"/>
        </w:rPr>
        <w:t>mo</w:t>
      </w:r>
      <w:r w:rsidR="000B14E4" w:rsidRPr="004B61EA">
        <w:rPr>
          <w:rFonts w:ascii="Arial" w:hAnsi="Arial" w:cs="Arial"/>
          <w:sz w:val="24"/>
          <w:szCs w:val="24"/>
          <w:lang w:val="en-US"/>
        </w:rPr>
        <w:t>re central blood vessels and thu</w:t>
      </w:r>
      <w:r w:rsidR="00E37BE6" w:rsidRPr="004B61EA">
        <w:rPr>
          <w:rFonts w:ascii="Arial" w:hAnsi="Arial" w:cs="Arial"/>
          <w:sz w:val="24"/>
          <w:szCs w:val="24"/>
          <w:lang w:val="en-US"/>
        </w:rPr>
        <w:t xml:space="preserve">s a larger diffusion distance for gas and nutrient exchange. </w:t>
      </w:r>
      <w:r w:rsidRPr="004B61EA">
        <w:rPr>
          <w:rFonts w:ascii="Arial" w:hAnsi="Arial" w:cs="Arial"/>
          <w:sz w:val="24"/>
          <w:szCs w:val="24"/>
          <w:lang w:val="en-US"/>
        </w:rPr>
        <w:t xml:space="preserve">Our findings suggest that abnormal growth and development of the placenta in obese women may explain some of the epidemiological associations of maternal obesity, such as increased risks of stillbirth and preeclampsia. This interpretation is supported by </w:t>
      </w:r>
      <w:r w:rsidR="009E0E05" w:rsidRPr="004B61EA">
        <w:rPr>
          <w:rFonts w:ascii="Arial" w:hAnsi="Arial" w:cs="Arial"/>
          <w:sz w:val="24"/>
          <w:szCs w:val="24"/>
          <w:lang w:val="en-US"/>
        </w:rPr>
        <w:t>the observation that a low BWPW-</w:t>
      </w:r>
      <w:r w:rsidRPr="004B61EA">
        <w:rPr>
          <w:rFonts w:ascii="Arial" w:hAnsi="Arial" w:cs="Arial"/>
          <w:sz w:val="24"/>
          <w:szCs w:val="24"/>
          <w:lang w:val="en-US"/>
        </w:rPr>
        <w:t xml:space="preserve">ratio was associated with an increased risk of neonatal morbidity, even after adjusting for the associations with maternal diabetes and obesity. These observations were also consistent with </w:t>
      </w:r>
      <w:r w:rsidR="003A7625" w:rsidRPr="004B61EA">
        <w:rPr>
          <w:rFonts w:ascii="Arial" w:hAnsi="Arial" w:cs="Arial"/>
          <w:sz w:val="24"/>
          <w:szCs w:val="24"/>
          <w:lang w:val="en-US"/>
        </w:rPr>
        <w:t xml:space="preserve">a </w:t>
      </w:r>
      <w:r w:rsidRPr="004B61EA">
        <w:rPr>
          <w:rFonts w:ascii="Arial" w:hAnsi="Arial" w:cs="Arial"/>
          <w:sz w:val="24"/>
          <w:szCs w:val="24"/>
          <w:lang w:val="en-US"/>
        </w:rPr>
        <w:t>previous stud</w:t>
      </w:r>
      <w:r w:rsidR="003A7625" w:rsidRPr="004B61EA">
        <w:rPr>
          <w:rFonts w:ascii="Arial" w:hAnsi="Arial" w:cs="Arial"/>
          <w:sz w:val="24"/>
          <w:szCs w:val="24"/>
          <w:lang w:val="en-US"/>
        </w:rPr>
        <w:t>y</w:t>
      </w:r>
      <w:r w:rsidR="006573DC" w:rsidRPr="004B61EA">
        <w:rPr>
          <w:rFonts w:ascii="Arial" w:hAnsi="Arial" w:cs="Arial"/>
          <w:sz w:val="24"/>
          <w:szCs w:val="24"/>
          <w:lang w:val="en-US"/>
        </w:rPr>
        <w:t xml:space="preserve"> </w:t>
      </w:r>
      <w:r w:rsidR="006573DC" w:rsidRPr="004B61EA">
        <w:rPr>
          <w:rFonts w:ascii="Arial" w:hAnsi="Arial" w:cs="Arial"/>
          <w:sz w:val="24"/>
          <w:szCs w:val="24"/>
          <w:lang w:val="en-US"/>
        </w:rPr>
        <w:fldChar w:fldCharType="begin" w:fldLock="1"/>
      </w:r>
      <w:r w:rsidR="00B159EE" w:rsidRPr="004B61EA">
        <w:rPr>
          <w:rFonts w:ascii="Arial" w:hAnsi="Arial" w:cs="Arial"/>
          <w:sz w:val="24"/>
          <w:szCs w:val="24"/>
          <w:lang w:val="en-US"/>
        </w:rPr>
        <w:instrText>ADDIN CSL_CITATION { "citationItems" : [ { "id" : "ITEM-1", "itemData" : { "DOI" : "10.1111/j.1471-0528.2011.02892.x", "ISBN" : "1471-0528 (Electronic)\\r1470-0328 (Linking)", "ISSN" : "14700328", "PMID" : "21332633", "abstract" : "The placenta weight/birthweight (PW/BW) ratio has been shown to be associated with certain long-term fetal outcomes; however, its association with short-term outcomes has not received much attention. Our aim was to assess the correlation between the PW/BW ratio and short-term adverse obstetrics outcomes in full-term, appropriate-for-gestational-age (AGA) newborns.", "author" : [ { "dropping-particle" : "", "family" : "Shehata", "given" : "F", "non-dropping-particle" : "", "parse-names" : false, "suffix" : "" }, { "dropping-particle" : "", "family" : "Levin", "given" : "I", "non-dropping-particle" : "", "parse-names" : false, "suffix" : "" }, { "dropping-particle" : "", "family" : "Shrim", "given" : "A", "non-dropping-particle" : "", "parse-names" : false, "suffix" : "" }, { "dropping-particle" : "", "family" : "Ata", "given" : "B", "non-dropping-particle" : "", "parse-names" : false, "suffix" : "" }, { "dropping-particle" : "", "family" : "Weisz", "given" : "B", "non-dropping-particle" : "", "parse-names" : false, "suffix" : "" }, { "dropping-particle" : "", "family" : "Gamzu", "given" : "R", "non-dropping-particle" : "", "parse-names" : false, "suffix" : "" }, { "dropping-particle" : "", "family" : "Almog", "given" : "B", "non-dropping-particle" : "", "parse-names" : false, "suffix" : "" } ], "container-title" : "BJOG: An International Journal of Obstetrics and Gynaecology", "id" : "ITEM-1", "issue" : "6", "issued" : { "date-parts" : [ [ "2011", "5" ] ] }, "page" : "741-747", "publisher" : "Blackwell Publishing Ltd", "title" : "Placenta/birthweight ratio and perinatal outcome: A retrospective cohort analysis", "type" : "article-journal", "volume" : "118" }, "uris" : [ "http://www.mendeley.com/documents/?uuid=688e0880-0183-3e36-8b1d-4e0549a3c907" ] } ], "mendeley" : { "formattedCitation" : "[22]", "plainTextFormattedCitation" : "[22]", "previouslyFormattedCitation" : "[22]" }, "properties" : { "noteIndex" : 0 }, "schema" : "https://github.com/citation-style-language/schema/raw/master/csl-citation.json" }</w:instrText>
      </w:r>
      <w:r w:rsidR="006573DC" w:rsidRPr="004B61EA">
        <w:rPr>
          <w:rFonts w:ascii="Arial" w:hAnsi="Arial" w:cs="Arial"/>
          <w:sz w:val="24"/>
          <w:szCs w:val="24"/>
          <w:lang w:val="en-US"/>
        </w:rPr>
        <w:fldChar w:fldCharType="separate"/>
      </w:r>
      <w:r w:rsidR="0023362E" w:rsidRPr="004B61EA">
        <w:rPr>
          <w:rFonts w:ascii="Arial" w:hAnsi="Arial" w:cs="Arial"/>
          <w:noProof/>
          <w:sz w:val="24"/>
          <w:szCs w:val="24"/>
          <w:lang w:val="en-US"/>
        </w:rPr>
        <w:t>[22]</w:t>
      </w:r>
      <w:r w:rsidR="006573DC" w:rsidRPr="004B61EA">
        <w:rPr>
          <w:rFonts w:ascii="Arial" w:hAnsi="Arial" w:cs="Arial"/>
          <w:sz w:val="24"/>
          <w:szCs w:val="24"/>
          <w:lang w:val="en-US"/>
        </w:rPr>
        <w:fldChar w:fldCharType="end"/>
      </w:r>
      <w:r w:rsidR="006573DC" w:rsidRPr="004B61EA">
        <w:rPr>
          <w:rFonts w:ascii="Arial" w:hAnsi="Arial" w:cs="Arial"/>
          <w:sz w:val="24"/>
          <w:szCs w:val="24"/>
          <w:lang w:val="en-US"/>
        </w:rPr>
        <w:t>.</w:t>
      </w:r>
      <w:r w:rsidRPr="004B61EA">
        <w:rPr>
          <w:rFonts w:ascii="Arial" w:hAnsi="Arial" w:cs="Arial"/>
          <w:sz w:val="24"/>
          <w:szCs w:val="24"/>
          <w:lang w:val="en-US"/>
        </w:rPr>
        <w:t xml:space="preserve"> </w:t>
      </w:r>
      <w:r w:rsidR="0062487D" w:rsidRPr="004B61EA">
        <w:rPr>
          <w:rFonts w:ascii="Arial" w:hAnsi="Arial" w:cs="Arial"/>
          <w:sz w:val="24"/>
          <w:szCs w:val="24"/>
          <w:lang w:val="en-US"/>
        </w:rPr>
        <w:t>Finally, maternal smoking was</w:t>
      </w:r>
      <w:r w:rsidR="00DC3ADB" w:rsidRPr="004B61EA">
        <w:rPr>
          <w:rFonts w:ascii="Arial" w:hAnsi="Arial" w:cs="Arial"/>
          <w:sz w:val="24"/>
          <w:szCs w:val="24"/>
          <w:lang w:val="en-US"/>
        </w:rPr>
        <w:t xml:space="preserve"> significantly associated with lower BWPW-ratio, again consistent with previous studies </w:t>
      </w:r>
      <w:r w:rsidR="00DC3ADB" w:rsidRPr="004B61EA">
        <w:rPr>
          <w:rFonts w:ascii="Arial" w:hAnsi="Arial" w:cs="Arial"/>
          <w:sz w:val="24"/>
          <w:szCs w:val="24"/>
          <w:lang w:val="en-US"/>
        </w:rPr>
        <w:fldChar w:fldCharType="begin" w:fldLock="1"/>
      </w:r>
      <w:r w:rsidR="00B159EE" w:rsidRPr="004B61EA">
        <w:rPr>
          <w:rFonts w:ascii="Arial" w:hAnsi="Arial" w:cs="Arial"/>
          <w:sz w:val="24"/>
          <w:szCs w:val="24"/>
          <w:lang w:val="en-US"/>
        </w:rPr>
        <w:instrText>ADDIN CSL_CITATION { "citationItems" : [ { "id" : "ITEM-1", "itemData" : { "DOI" : "10.1016/j.placenta.2014.04.006", "ISSN" : "1532-3102", "PMID" : "24816479", "abstract" : "BACKGROUND Maternal influence on fetal growth is mediated through the placenta and this influence may have an implication for the offspring's long-term health. The placenta-to-birth weight ratio has been regarded as an indicator of placental function. However, few studies have examined the effect of maternal lifestyle exposures on the placenta-to-birth weight ratio. This study aims to examine the associations of maternal prenatal smoking and alcohol consumption with the placenta-to-birth weight ratio. METHODS Data for 7945 term singletons, gestation\u226537 weeks, were selected from the Tasmanian Infant Health Survey; a 1988-1995 Australian cohort study. Placenta and birth weight were extracted from birth notification records. RESULTS Maternal smoking during pregnancy was strongly associated with a 6.77\u00a0g/kg higher (95% CI 4.83-8.71) placenta-to-birth weight ratio when compared to non-smoking mothers. Maternal prenatal smoking was associated with lower placental (\u03b2\u00a0=\u00a0-15.37\u00a0g; 95% CI\u00a0-23.43 to\u00a0-7.31) and birth weights (\u03b2\u00a0=\u00a0-205.49\u00a0g; 95% CI\u00a0-232.91 to\u00a0-178.08). Mothers who consumed alcohol during pregnancy had a lower placenta-to-birth weight ratio (\u03b2\u00a0=\u00a0-2.07\u00a0g/kg; 95% CI\u00a0-4.01 to\u00a0-0.12) than mothers who did not consume alcohol. The associations of maternal alcohol consumption during pregnancy with placental and birth weight did not reach statistical significance. DISCUSSION Maternal prenatal smoking and alcohol consumption may influence fetal growth by either directly or indirectly altering the function of the placenta. CONCLUSIONS The alteration of the in utero environment induced by smoking and alcohol consumption appears to affect placental and fetal growth in differing ways. Further studies are needed to elucidate the mechanism.", "author" : [ { "dropping-particle" : "", "family" : "Wang", "given" : "N", "non-dropping-particle" : "", "parse-names" : false, "suffix" : "" }, { "dropping-particle" : "", "family" : "Tikellis", "given" : "G", "non-dropping-particle" : "", "parse-names" : false, "suffix" : "" }, { "dropping-particle" : "", "family" : "Sun", "given" : "C", "non-dropping-particle" : "", "parse-names" : false, "suffix" : "" }, { "dropping-particle" : "", "family" : "Pezic", "given" : "A", "non-dropping-particle" : "", "parse-names" : false, "suffix" : "" }, { "dropping-particle" : "", "family" : "Wang", "given" : "L", "non-dropping-particle" : "", "parse-names" : false, "suffix" : "" }, { "dropping-particle" : "", "family" : "Wells", "given" : "J C K", "non-dropping-particle" : "", "parse-names" : false, "suffix" : "" }, { "dropping-particle" : "", "family" : "Cochrane", "given" : "J", "non-dropping-particle" : "", "parse-names" : false, "suffix" : "" }, { "dropping-particle" : "", "family" : "Ponsonby", "given" : "A-L", "non-dropping-particle" : "", "parse-names" : false, "suffix" : "" }, { "dropping-particle" : "", "family" : "Dwyer", "given" : "T", "non-dropping-particle" : "", "parse-names" : false, "suffix" : "" } ], "container-title" : "Placenta", "id" : "ITEM-1", "issue" : "7", "issued" : { "date-parts" : [ [ "2014", "7" ] ] }, "page" : "437-41", "publisher" : "NIH Public Access", "title" : "The effect of maternal prenatal smoking and alcohol consumption on the placenta-to-birth weight ratio.", "type" : "article-journal", "volume" : "35" }, "uris" : [ "http://www.mendeley.com/documents/?uuid=57213bfa-7352-3877-ad1f-cebbfb7ce038" ] } ], "mendeley" : { "formattedCitation" : "[23]", "plainTextFormattedCitation" : "[23]", "previouslyFormattedCitation" : "[23]" }, "properties" : { "noteIndex" : 0 }, "schema" : "https://github.com/citation-style-language/schema/raw/master/csl-citation.json" }</w:instrText>
      </w:r>
      <w:r w:rsidR="00DC3ADB" w:rsidRPr="004B61EA">
        <w:rPr>
          <w:rFonts w:ascii="Arial" w:hAnsi="Arial" w:cs="Arial"/>
          <w:sz w:val="24"/>
          <w:szCs w:val="24"/>
          <w:lang w:val="en-US"/>
        </w:rPr>
        <w:fldChar w:fldCharType="separate"/>
      </w:r>
      <w:r w:rsidR="0023362E" w:rsidRPr="004B61EA">
        <w:rPr>
          <w:rFonts w:ascii="Arial" w:hAnsi="Arial" w:cs="Arial"/>
          <w:noProof/>
          <w:sz w:val="24"/>
          <w:szCs w:val="24"/>
          <w:lang w:val="en-US"/>
        </w:rPr>
        <w:t>[23]</w:t>
      </w:r>
      <w:r w:rsidR="00DC3ADB" w:rsidRPr="004B61EA">
        <w:rPr>
          <w:rFonts w:ascii="Arial" w:hAnsi="Arial" w:cs="Arial"/>
          <w:sz w:val="24"/>
          <w:szCs w:val="24"/>
          <w:lang w:val="en-US"/>
        </w:rPr>
        <w:fldChar w:fldCharType="end"/>
      </w:r>
      <w:r w:rsidR="00DC3ADB" w:rsidRPr="004B61EA">
        <w:rPr>
          <w:rFonts w:ascii="Arial" w:hAnsi="Arial" w:cs="Arial"/>
          <w:sz w:val="24"/>
          <w:szCs w:val="24"/>
          <w:lang w:val="en-US"/>
        </w:rPr>
        <w:t>. Smoking is also a major risk factor for stillbirth, and there is a large body of evidence supporting associations between stillbirth and placental dysfunction</w:t>
      </w:r>
      <w:r w:rsidR="00CB5A1E" w:rsidRPr="004B61EA">
        <w:rPr>
          <w:rFonts w:ascii="Arial" w:hAnsi="Arial" w:cs="Arial"/>
          <w:sz w:val="24"/>
          <w:szCs w:val="24"/>
          <w:lang w:val="en-US"/>
        </w:rPr>
        <w:t xml:space="preserve"> </w:t>
      </w:r>
      <w:r w:rsidR="00CB5A1E" w:rsidRPr="004B61EA">
        <w:rPr>
          <w:rFonts w:ascii="Arial" w:hAnsi="Arial" w:cs="Arial"/>
          <w:sz w:val="24"/>
          <w:szCs w:val="24"/>
          <w:lang w:val="en-US"/>
        </w:rPr>
        <w:fldChar w:fldCharType="begin" w:fldLock="1"/>
      </w:r>
      <w:r w:rsidR="00B159EE" w:rsidRPr="004B61EA">
        <w:rPr>
          <w:rFonts w:ascii="Arial" w:hAnsi="Arial" w:cs="Arial"/>
          <w:sz w:val="24"/>
          <w:szCs w:val="24"/>
          <w:lang w:val="en-US"/>
        </w:rPr>
        <w:instrText>ADDIN CSL_CITATION { "citationItems" : [ { "id" : "ITEM-1", "itemData" : { "DOI" : "10.1016/S0140-6736(07)61723-1", "ISSN" : "1474-547X", "PMID" : "18022035", "abstract" : "In the UK, about one in 200 infants is stillborn, and rates of stillbirth have recently slightly increased. This recent rise might reflect increasing frequency of some important maternal risk factors for stillbirth, including nulliparity, advanced age, and obesity. Most stillbirths are related to placental dysfunction, which in many women is evident from the first half of pregnancy and is associated with fetal growth restriction. There is no effective screening test that has clearly shown a reduction in stillbirth rates in the general population. However, assessments of novel screening methods have generally failed to distinguish between effective identification of high-risk women and successful intervention for such women. Future research into stillbirth will probably focus on understanding the pathophysiology of impaired placentation to establish screening tests for stillbirth, and assessment of interventions to prevent stillbirth in women who screen positive.", "author" : [ { "dropping-particle" : "", "family" : "Smith", "given" : "Gordon C S", "non-dropping-particle" : "", "parse-names" : false, "suffix" : "" }, { "dropping-particle" : "", "family" : "Fretts", "given" : "Ruth C", "non-dropping-particle" : "", "parse-names" : false, "suffix" : "" } ], "container-title" : "Lancet (London, England)", "id" : "ITEM-1", "issue" : "9600", "issued" : { "date-parts" : [ [ "2007", "11", "17" ] ] }, "page" : "1715-25", "title" : "Stillbirth.", "type" : "article-journal", "volume" : "370" }, "uris" : [ "http://www.mendeley.com/documents/?uuid=77f37527-69e7-31db-bd00-4b5d0a4ccb79" ] } ], "mendeley" : { "formattedCitation" : "[24]", "plainTextFormattedCitation" : "[24]", "previouslyFormattedCitation" : "[24]" }, "properties" : { "noteIndex" : 0 }, "schema" : "https://github.com/citation-style-language/schema/raw/master/csl-citation.json" }</w:instrText>
      </w:r>
      <w:r w:rsidR="00CB5A1E" w:rsidRPr="004B61EA">
        <w:rPr>
          <w:rFonts w:ascii="Arial" w:hAnsi="Arial" w:cs="Arial"/>
          <w:sz w:val="24"/>
          <w:szCs w:val="24"/>
          <w:lang w:val="en-US"/>
        </w:rPr>
        <w:fldChar w:fldCharType="separate"/>
      </w:r>
      <w:r w:rsidR="0023362E" w:rsidRPr="004B61EA">
        <w:rPr>
          <w:rFonts w:ascii="Arial" w:hAnsi="Arial" w:cs="Arial"/>
          <w:noProof/>
          <w:sz w:val="24"/>
          <w:szCs w:val="24"/>
          <w:lang w:val="en-US"/>
        </w:rPr>
        <w:t>[24]</w:t>
      </w:r>
      <w:r w:rsidR="00CB5A1E" w:rsidRPr="004B61EA">
        <w:rPr>
          <w:rFonts w:ascii="Arial" w:hAnsi="Arial" w:cs="Arial"/>
          <w:sz w:val="24"/>
          <w:szCs w:val="24"/>
          <w:lang w:val="en-US"/>
        </w:rPr>
        <w:fldChar w:fldCharType="end"/>
      </w:r>
      <w:r w:rsidR="00DC3ADB" w:rsidRPr="004B61EA">
        <w:rPr>
          <w:rFonts w:ascii="Arial" w:hAnsi="Arial" w:cs="Arial"/>
          <w:sz w:val="24"/>
          <w:szCs w:val="24"/>
          <w:lang w:val="en-US"/>
        </w:rPr>
        <w:t>.</w:t>
      </w:r>
    </w:p>
    <w:p w14:paraId="0AB2BB9D" w14:textId="6D84CE31" w:rsidR="00B159EE" w:rsidRPr="004B61EA" w:rsidRDefault="00EA1AF2" w:rsidP="00A91549">
      <w:pPr>
        <w:spacing w:after="0" w:line="480" w:lineRule="auto"/>
        <w:rPr>
          <w:rFonts w:ascii="Arial" w:hAnsi="Arial" w:cs="Arial"/>
          <w:sz w:val="24"/>
          <w:szCs w:val="24"/>
          <w:lang w:val="en-US"/>
        </w:rPr>
      </w:pPr>
      <w:r w:rsidRPr="004B61EA">
        <w:rPr>
          <w:rFonts w:ascii="Arial" w:hAnsi="Arial" w:cs="Arial"/>
          <w:sz w:val="24"/>
          <w:szCs w:val="24"/>
          <w:lang w:val="en-US"/>
        </w:rPr>
        <w:t>We also made a series</w:t>
      </w:r>
      <w:r w:rsidR="00C72E33" w:rsidRPr="004B61EA">
        <w:rPr>
          <w:rFonts w:ascii="Arial" w:hAnsi="Arial" w:cs="Arial"/>
          <w:sz w:val="24"/>
          <w:szCs w:val="24"/>
          <w:lang w:val="en-US"/>
        </w:rPr>
        <w:t xml:space="preserve"> of observations regarding</w:t>
      </w:r>
      <w:r w:rsidR="00DD5102" w:rsidRPr="004B61EA">
        <w:rPr>
          <w:rFonts w:ascii="Arial" w:hAnsi="Arial" w:cs="Arial"/>
          <w:sz w:val="24"/>
          <w:szCs w:val="24"/>
          <w:lang w:val="en-US"/>
        </w:rPr>
        <w:t xml:space="preserve"> </w:t>
      </w:r>
      <w:r w:rsidR="00D528DC" w:rsidRPr="004B61EA">
        <w:rPr>
          <w:rFonts w:ascii="Arial" w:hAnsi="Arial" w:cs="Arial"/>
          <w:sz w:val="24"/>
          <w:szCs w:val="24"/>
          <w:lang w:val="en-US"/>
        </w:rPr>
        <w:t>high</w:t>
      </w:r>
      <w:r w:rsidR="006420A1" w:rsidRPr="004B61EA">
        <w:rPr>
          <w:rFonts w:ascii="Arial" w:hAnsi="Arial" w:cs="Arial"/>
          <w:sz w:val="24"/>
          <w:szCs w:val="24"/>
          <w:lang w:val="en-US"/>
        </w:rPr>
        <w:t xml:space="preserve"> BWPW-ratio</w:t>
      </w:r>
      <w:r w:rsidR="00320378" w:rsidRPr="004B61EA">
        <w:rPr>
          <w:rFonts w:ascii="Arial" w:hAnsi="Arial" w:cs="Arial"/>
          <w:sz w:val="24"/>
          <w:szCs w:val="24"/>
          <w:lang w:val="en-US"/>
        </w:rPr>
        <w:t>. First, we found</w:t>
      </w:r>
      <w:r w:rsidR="00A91549" w:rsidRPr="004B61EA">
        <w:rPr>
          <w:rFonts w:ascii="Arial" w:hAnsi="Arial" w:cs="Arial"/>
          <w:sz w:val="24"/>
          <w:szCs w:val="24"/>
          <w:lang w:val="en-US"/>
        </w:rPr>
        <w:t xml:space="preserve"> </w:t>
      </w:r>
      <w:r w:rsidR="00C72E33" w:rsidRPr="004B61EA">
        <w:rPr>
          <w:rFonts w:ascii="Arial" w:hAnsi="Arial" w:cs="Arial"/>
          <w:sz w:val="24"/>
          <w:szCs w:val="24"/>
          <w:lang w:val="en-US"/>
        </w:rPr>
        <w:t>that it</w:t>
      </w:r>
      <w:r w:rsidR="006420A1" w:rsidRPr="004B61EA">
        <w:rPr>
          <w:rFonts w:ascii="Arial" w:hAnsi="Arial" w:cs="Arial"/>
          <w:sz w:val="24"/>
          <w:szCs w:val="24"/>
          <w:lang w:val="en-US"/>
        </w:rPr>
        <w:t xml:space="preserve"> </w:t>
      </w:r>
      <w:r w:rsidR="00C72E33" w:rsidRPr="004B61EA">
        <w:rPr>
          <w:rFonts w:ascii="Arial" w:hAnsi="Arial" w:cs="Arial"/>
          <w:sz w:val="24"/>
          <w:szCs w:val="24"/>
          <w:lang w:val="en-US"/>
        </w:rPr>
        <w:t xml:space="preserve">was associated with </w:t>
      </w:r>
      <w:r w:rsidR="004C4987" w:rsidRPr="004B61EA">
        <w:rPr>
          <w:rFonts w:ascii="Arial" w:hAnsi="Arial" w:cs="Arial"/>
          <w:sz w:val="24"/>
          <w:szCs w:val="24"/>
          <w:lang w:val="en-US"/>
        </w:rPr>
        <w:t xml:space="preserve">a higher </w:t>
      </w:r>
      <w:r w:rsidR="000F4CE8" w:rsidRPr="004B61EA">
        <w:rPr>
          <w:rFonts w:ascii="Arial" w:hAnsi="Arial" w:cs="Arial"/>
          <w:sz w:val="24"/>
          <w:szCs w:val="24"/>
          <w:lang w:val="en-US"/>
        </w:rPr>
        <w:t xml:space="preserve">UmA </w:t>
      </w:r>
      <w:r w:rsidR="004C4987" w:rsidRPr="004B61EA">
        <w:rPr>
          <w:rFonts w:ascii="Arial" w:hAnsi="Arial" w:cs="Arial"/>
          <w:sz w:val="24"/>
          <w:szCs w:val="24"/>
          <w:lang w:val="en-US"/>
        </w:rPr>
        <w:t>PI and there</w:t>
      </w:r>
      <w:r w:rsidR="00FA5890" w:rsidRPr="004B61EA">
        <w:rPr>
          <w:rFonts w:ascii="Arial" w:hAnsi="Arial" w:cs="Arial"/>
          <w:sz w:val="24"/>
          <w:szCs w:val="24"/>
          <w:lang w:val="en-US"/>
        </w:rPr>
        <w:t xml:space="preserve"> </w:t>
      </w:r>
      <w:r w:rsidR="004C4987" w:rsidRPr="004B61EA">
        <w:rPr>
          <w:rFonts w:ascii="Arial" w:hAnsi="Arial" w:cs="Arial"/>
          <w:sz w:val="24"/>
          <w:szCs w:val="24"/>
          <w:lang w:val="en-US"/>
        </w:rPr>
        <w:t>was</w:t>
      </w:r>
      <w:r w:rsidR="00FA5890" w:rsidRPr="004B61EA">
        <w:rPr>
          <w:rFonts w:ascii="Arial" w:hAnsi="Arial" w:cs="Arial"/>
          <w:sz w:val="24"/>
          <w:szCs w:val="24"/>
          <w:lang w:val="en-US"/>
        </w:rPr>
        <w:t xml:space="preserve"> a</w:t>
      </w:r>
      <w:r w:rsidR="004C4987" w:rsidRPr="004B61EA">
        <w:rPr>
          <w:rFonts w:ascii="Arial" w:hAnsi="Arial" w:cs="Arial"/>
          <w:sz w:val="24"/>
          <w:szCs w:val="24"/>
          <w:lang w:val="en-US"/>
        </w:rPr>
        <w:t xml:space="preserve"> similar but weaker association with UtA PI</w:t>
      </w:r>
      <w:r w:rsidR="00291997" w:rsidRPr="004B61EA">
        <w:rPr>
          <w:rFonts w:ascii="Arial" w:hAnsi="Arial" w:cs="Arial"/>
          <w:sz w:val="24"/>
          <w:szCs w:val="24"/>
          <w:lang w:val="en-US"/>
        </w:rPr>
        <w:t>.</w:t>
      </w:r>
      <w:r w:rsidR="00320378" w:rsidRPr="004B61EA">
        <w:rPr>
          <w:rFonts w:ascii="Arial" w:hAnsi="Arial" w:cs="Arial"/>
          <w:sz w:val="24"/>
          <w:szCs w:val="24"/>
          <w:lang w:val="en-US"/>
        </w:rPr>
        <w:t xml:space="preserve"> In a previous</w:t>
      </w:r>
      <w:r w:rsidR="00A91549" w:rsidRPr="004B61EA">
        <w:rPr>
          <w:rFonts w:ascii="Arial" w:hAnsi="Arial" w:cs="Arial"/>
          <w:sz w:val="24"/>
          <w:szCs w:val="24"/>
          <w:lang w:val="en-US"/>
        </w:rPr>
        <w:t xml:space="preserve"> </w:t>
      </w:r>
      <w:r w:rsidR="00D528DC" w:rsidRPr="004B61EA">
        <w:rPr>
          <w:rFonts w:ascii="Arial" w:hAnsi="Arial" w:cs="Arial"/>
          <w:sz w:val="24"/>
          <w:szCs w:val="24"/>
          <w:lang w:val="en-US"/>
        </w:rPr>
        <w:t>study</w:t>
      </w:r>
      <w:r w:rsidR="004C4987" w:rsidRPr="004B61EA">
        <w:rPr>
          <w:rFonts w:ascii="Arial" w:hAnsi="Arial" w:cs="Arial"/>
          <w:sz w:val="24"/>
          <w:szCs w:val="24"/>
          <w:lang w:val="en-US"/>
        </w:rPr>
        <w:t xml:space="preserve"> on the same cohort</w:t>
      </w:r>
      <w:r w:rsidR="006420A1" w:rsidRPr="004B61EA">
        <w:rPr>
          <w:rFonts w:ascii="Arial" w:hAnsi="Arial" w:cs="Arial"/>
          <w:sz w:val="24"/>
          <w:szCs w:val="24"/>
          <w:lang w:val="en-US"/>
        </w:rPr>
        <w:t>,</w:t>
      </w:r>
      <w:r w:rsidR="00D528DC" w:rsidRPr="004B61EA">
        <w:rPr>
          <w:rFonts w:ascii="Arial" w:hAnsi="Arial" w:cs="Arial"/>
          <w:sz w:val="24"/>
          <w:szCs w:val="24"/>
          <w:lang w:val="en-US"/>
        </w:rPr>
        <w:t xml:space="preserve"> we </w:t>
      </w:r>
      <w:r w:rsidR="0014682B" w:rsidRPr="004B61EA">
        <w:rPr>
          <w:rFonts w:ascii="Arial" w:hAnsi="Arial" w:cs="Arial"/>
          <w:sz w:val="24"/>
          <w:szCs w:val="24"/>
          <w:lang w:val="en-US"/>
        </w:rPr>
        <w:t xml:space="preserve">found that low placenta weight was associated with </w:t>
      </w:r>
      <w:r w:rsidR="000C6C15" w:rsidRPr="004B61EA">
        <w:rPr>
          <w:rFonts w:ascii="Arial" w:hAnsi="Arial" w:cs="Arial"/>
          <w:sz w:val="24"/>
          <w:szCs w:val="24"/>
          <w:lang w:val="en-US"/>
        </w:rPr>
        <w:t xml:space="preserve">higher </w:t>
      </w:r>
      <w:r w:rsidR="004C4987" w:rsidRPr="004B61EA">
        <w:rPr>
          <w:rFonts w:ascii="Arial" w:hAnsi="Arial" w:cs="Arial"/>
          <w:sz w:val="24"/>
          <w:szCs w:val="24"/>
          <w:lang w:val="en-US"/>
        </w:rPr>
        <w:t xml:space="preserve">UmA </w:t>
      </w:r>
      <w:r w:rsidR="0014682B" w:rsidRPr="004B61EA">
        <w:rPr>
          <w:rFonts w:ascii="Arial" w:hAnsi="Arial" w:cs="Arial"/>
          <w:sz w:val="24"/>
          <w:szCs w:val="24"/>
          <w:lang w:val="en-US"/>
        </w:rPr>
        <w:t xml:space="preserve">PI and </w:t>
      </w:r>
      <w:r w:rsidR="000C6C15" w:rsidRPr="004B61EA">
        <w:rPr>
          <w:rFonts w:ascii="Arial" w:hAnsi="Arial" w:cs="Arial"/>
          <w:sz w:val="24"/>
          <w:szCs w:val="24"/>
          <w:lang w:val="en-US"/>
        </w:rPr>
        <w:t xml:space="preserve">higher </w:t>
      </w:r>
      <w:r w:rsidR="004C4987" w:rsidRPr="004B61EA">
        <w:rPr>
          <w:rFonts w:ascii="Arial" w:hAnsi="Arial" w:cs="Arial"/>
          <w:sz w:val="24"/>
          <w:szCs w:val="24"/>
          <w:lang w:val="en-US"/>
        </w:rPr>
        <w:t xml:space="preserve">UtA </w:t>
      </w:r>
      <w:r w:rsidR="0014682B" w:rsidRPr="004B61EA">
        <w:rPr>
          <w:rFonts w:ascii="Arial" w:hAnsi="Arial" w:cs="Arial"/>
          <w:sz w:val="24"/>
          <w:szCs w:val="24"/>
          <w:lang w:val="en-US"/>
        </w:rPr>
        <w:t>PI</w:t>
      </w:r>
      <w:r w:rsidR="000B14E4" w:rsidRPr="004B61EA">
        <w:rPr>
          <w:rFonts w:ascii="Arial" w:hAnsi="Arial" w:cs="Arial"/>
          <w:sz w:val="24"/>
          <w:szCs w:val="24"/>
          <w:lang w:val="en-US"/>
        </w:rPr>
        <w:t xml:space="preserve"> </w:t>
      </w:r>
      <w:r w:rsidR="000B14E4" w:rsidRPr="004B61EA">
        <w:rPr>
          <w:rFonts w:ascii="Arial" w:hAnsi="Arial" w:cs="Arial"/>
          <w:sz w:val="24"/>
          <w:szCs w:val="24"/>
          <w:lang w:val="en-US"/>
        </w:rPr>
        <w:fldChar w:fldCharType="begin" w:fldLock="1"/>
      </w:r>
      <w:r w:rsidR="00B159EE" w:rsidRPr="004B61EA">
        <w:rPr>
          <w:rFonts w:ascii="Arial" w:hAnsi="Arial" w:cs="Arial"/>
          <w:sz w:val="24"/>
          <w:szCs w:val="24"/>
          <w:lang w:val="en-US"/>
        </w:rPr>
        <w:instrText>ADDIN CSL_CITATION { "citationItems" : [ { "id" : "ITEM-1", "itemData" : { "DOI" : "10.1016/j.placenta.2015.12.003", "ISSN" : "1532-3102", "PMID" : "26907381", "abstract" : "INTRODUCTION: Ultrasonic fetal biometry and arterial Doppler flow velocimetry are widely used to assess the risk of pregnancy complications. There is an extensive literature on the relationship between pregnancy outcomes and the size and shape of the placenta. However, ultrasonic fetal biometry and arterial Doppler flow velocimetry have not previously been studied in relation to postnatal placental morphometry in detail.\n\nMETHODS: We conducted a prospective cohort study of nulliparous women in The Rosie Hospital, Cambridge (UK). We studied a group of 2120 women who had complete data on uterine and umbilical Doppler velocimetry and fetal biometry at 20, 28 and 36 weeks' gestational age, digital images of the placenta available, and delivered a liveborn infant at term. Associations were expressed as the difference in the standard deviation (SD) score of the gestational age adjusted ultrasound measurement (z-score) comparing the lowest and highest decile of the given placental morphometric measurement.\n\nRESULTS: The lowest decile of placental surface area was associated with 0.87 SD higher uterine artery Doppler mean pulsatility index (PI) at 20 weeks (95% CI: 0.68 to 1.07, P\u00a0&lt;\u00a00.001). The lowest decile of placental weight was associated with 0.73 SD higher umbilical artery Doppler PI at 36 weeks (95% CI: 0.54 to 0.93, P\u00a0&lt;\u00a00.001). The lowest decile of both placental weight and placental area were associated with reduced growth velocity of the fetal abdominal circumference between 20 and 36 weeks (both P\u00a0&lt;\u00a00.001).\n\nCONCLUSION: Placental area and weight are associated with uterine and umbilical blood flow, respectively, and both are associated with fetal growth rate.", "author" : [ { "dropping-particle" : "", "family" : "Salavati", "given" : "N", "non-dropping-particle" : "", "parse-names" : false, "suffix" : "" }, { "dropping-particle" : "", "family" : "Sovio", "given" : "U", "non-dropping-particle" : "", "parse-names" : false, "suffix" : "" }, { "dropping-particle" : "", "family" : "Mayo", "given" : "R Plitman", "non-dropping-particle" : "", "parse-names" : false, "suffix" : "" }, { "dropping-particle" : "", "family" : "Charnock-Jones", "given" : "D S", "non-dropping-particle" : "", "parse-names" : false, "suffix" : "" }, { "dropping-particle" : "", "family" : "Smith", "given" : "G C S", "non-dropping-particle" : "", "parse-names" : false, "suffix" : "" } ], "container-title" : "Placenta", "id" : "ITEM-1", "issued" : { "date-parts" : [ [ "2016", "2" ] ] }, "page" : "41-8", "title" : "The relationship between human placental morphometry and ultrasonic measurements of utero-placental blood flow and fetal growth.", "type" : "article-journal", "volume" : "38" }, "uris" : [ "http://www.mendeley.com/documents/?uuid=5b8f873a-9df8-471b-9f91-0cc4750271b0" ] } ], "mendeley" : { "formattedCitation" : "[25]", "plainTextFormattedCitation" : "[25]", "previouslyFormattedCitation" : "[25]" }, "properties" : { "noteIndex" : 0 }, "schema" : "https://github.com/citation-style-language/schema/raw/master/csl-citation.json" }</w:instrText>
      </w:r>
      <w:r w:rsidR="000B14E4" w:rsidRPr="004B61EA">
        <w:rPr>
          <w:rFonts w:ascii="Arial" w:hAnsi="Arial" w:cs="Arial"/>
          <w:sz w:val="24"/>
          <w:szCs w:val="24"/>
          <w:lang w:val="en-US"/>
        </w:rPr>
        <w:fldChar w:fldCharType="separate"/>
      </w:r>
      <w:r w:rsidR="0023362E" w:rsidRPr="004B61EA">
        <w:rPr>
          <w:rFonts w:ascii="Arial" w:hAnsi="Arial" w:cs="Arial"/>
          <w:noProof/>
          <w:sz w:val="24"/>
          <w:szCs w:val="24"/>
          <w:lang w:val="en-US"/>
        </w:rPr>
        <w:t>[25]</w:t>
      </w:r>
      <w:r w:rsidR="000B14E4" w:rsidRPr="004B61EA">
        <w:rPr>
          <w:rFonts w:ascii="Arial" w:hAnsi="Arial" w:cs="Arial"/>
          <w:sz w:val="24"/>
          <w:szCs w:val="24"/>
          <w:lang w:val="en-US"/>
        </w:rPr>
        <w:fldChar w:fldCharType="end"/>
      </w:r>
      <w:r w:rsidR="0014682B" w:rsidRPr="004B61EA">
        <w:rPr>
          <w:rFonts w:ascii="Arial" w:hAnsi="Arial" w:cs="Arial"/>
          <w:sz w:val="24"/>
          <w:szCs w:val="24"/>
          <w:lang w:val="en-US"/>
        </w:rPr>
        <w:t>.</w:t>
      </w:r>
      <w:r w:rsidR="00A91549" w:rsidRPr="004B61EA">
        <w:rPr>
          <w:rFonts w:ascii="Arial" w:hAnsi="Arial" w:cs="Arial"/>
          <w:sz w:val="24"/>
          <w:szCs w:val="24"/>
          <w:lang w:val="en-US"/>
        </w:rPr>
        <w:t xml:space="preserve"> </w:t>
      </w:r>
      <w:r w:rsidR="004C4987" w:rsidRPr="004B61EA">
        <w:rPr>
          <w:rFonts w:ascii="Arial" w:hAnsi="Arial" w:cs="Arial"/>
          <w:sz w:val="24"/>
          <w:szCs w:val="24"/>
          <w:lang w:val="en-US"/>
        </w:rPr>
        <w:t xml:space="preserve">The present </w:t>
      </w:r>
      <w:r w:rsidR="00D528DC" w:rsidRPr="004B61EA">
        <w:rPr>
          <w:rFonts w:ascii="Arial" w:hAnsi="Arial" w:cs="Arial"/>
          <w:sz w:val="24"/>
          <w:szCs w:val="24"/>
          <w:lang w:val="en-US"/>
        </w:rPr>
        <w:t>study indicates that not only absolute placenta</w:t>
      </w:r>
      <w:r w:rsidR="0014682B" w:rsidRPr="004B61EA">
        <w:rPr>
          <w:rFonts w:ascii="Arial" w:hAnsi="Arial" w:cs="Arial"/>
          <w:sz w:val="24"/>
          <w:szCs w:val="24"/>
          <w:lang w:val="en-US"/>
        </w:rPr>
        <w:t xml:space="preserve"> </w:t>
      </w:r>
      <w:r w:rsidR="00A91549" w:rsidRPr="004B61EA">
        <w:rPr>
          <w:rFonts w:ascii="Arial" w:hAnsi="Arial" w:cs="Arial"/>
          <w:sz w:val="24"/>
          <w:szCs w:val="24"/>
          <w:lang w:val="en-US"/>
        </w:rPr>
        <w:t>size</w:t>
      </w:r>
      <w:r w:rsidR="00320378" w:rsidRPr="004B61EA">
        <w:rPr>
          <w:rFonts w:ascii="Arial" w:hAnsi="Arial" w:cs="Arial"/>
          <w:sz w:val="24"/>
          <w:szCs w:val="24"/>
          <w:lang w:val="en-US"/>
        </w:rPr>
        <w:t>, but also</w:t>
      </w:r>
      <w:r w:rsidR="00A91549" w:rsidRPr="004B61EA">
        <w:rPr>
          <w:rFonts w:ascii="Arial" w:hAnsi="Arial" w:cs="Arial"/>
          <w:sz w:val="24"/>
          <w:szCs w:val="24"/>
          <w:lang w:val="en-US"/>
        </w:rPr>
        <w:t xml:space="preserve"> a reduced </w:t>
      </w:r>
      <w:r w:rsidR="00D528DC" w:rsidRPr="004B61EA">
        <w:rPr>
          <w:rFonts w:ascii="Arial" w:hAnsi="Arial" w:cs="Arial"/>
          <w:sz w:val="24"/>
          <w:szCs w:val="24"/>
          <w:lang w:val="en-US"/>
        </w:rPr>
        <w:t xml:space="preserve">relative placenta </w:t>
      </w:r>
      <w:r w:rsidR="00A91549" w:rsidRPr="004B61EA">
        <w:rPr>
          <w:rFonts w:ascii="Arial" w:hAnsi="Arial" w:cs="Arial"/>
          <w:sz w:val="24"/>
          <w:szCs w:val="24"/>
          <w:lang w:val="en-US"/>
        </w:rPr>
        <w:t xml:space="preserve">size </w:t>
      </w:r>
      <w:r w:rsidR="00D528DC" w:rsidRPr="004B61EA">
        <w:rPr>
          <w:rFonts w:ascii="Arial" w:hAnsi="Arial" w:cs="Arial"/>
          <w:sz w:val="24"/>
          <w:szCs w:val="24"/>
          <w:lang w:val="en-US"/>
        </w:rPr>
        <w:t>is associated with higher resistance in the vascular</w:t>
      </w:r>
      <w:r w:rsidR="00A91549" w:rsidRPr="004B61EA">
        <w:rPr>
          <w:rFonts w:ascii="Arial" w:hAnsi="Arial" w:cs="Arial"/>
          <w:sz w:val="24"/>
          <w:szCs w:val="24"/>
          <w:lang w:val="en-US"/>
        </w:rPr>
        <w:t xml:space="preserve"> </w:t>
      </w:r>
      <w:r w:rsidR="00D528DC" w:rsidRPr="004B61EA">
        <w:rPr>
          <w:rFonts w:ascii="Arial" w:hAnsi="Arial" w:cs="Arial"/>
          <w:sz w:val="24"/>
          <w:szCs w:val="24"/>
          <w:lang w:val="en-US"/>
        </w:rPr>
        <w:t>bed, reflected by higher values of UtA and UmA Doppler</w:t>
      </w:r>
      <w:r w:rsidR="00320378" w:rsidRPr="004B61EA">
        <w:rPr>
          <w:rFonts w:ascii="Arial" w:hAnsi="Arial" w:cs="Arial"/>
          <w:sz w:val="24"/>
          <w:szCs w:val="24"/>
          <w:lang w:val="en-US"/>
        </w:rPr>
        <w:t xml:space="preserve"> flow velocity waveforms by</w:t>
      </w:r>
      <w:r w:rsidR="00A91549" w:rsidRPr="004B61EA">
        <w:rPr>
          <w:rFonts w:ascii="Arial" w:hAnsi="Arial" w:cs="Arial"/>
          <w:sz w:val="24"/>
          <w:szCs w:val="24"/>
          <w:lang w:val="en-US"/>
        </w:rPr>
        <w:t xml:space="preserve"> </w:t>
      </w:r>
      <w:r w:rsidR="0014682B" w:rsidRPr="004B61EA">
        <w:rPr>
          <w:rFonts w:ascii="Arial" w:hAnsi="Arial" w:cs="Arial"/>
          <w:sz w:val="24"/>
          <w:szCs w:val="24"/>
          <w:lang w:val="en-US"/>
        </w:rPr>
        <w:t>the PI</w:t>
      </w:r>
      <w:r w:rsidR="000B14E4" w:rsidRPr="004B61EA">
        <w:rPr>
          <w:rFonts w:ascii="Arial" w:hAnsi="Arial" w:cs="Arial"/>
          <w:sz w:val="24"/>
          <w:szCs w:val="24"/>
          <w:lang w:val="en-US"/>
        </w:rPr>
        <w:t xml:space="preserve"> </w:t>
      </w:r>
      <w:r w:rsidR="000B14E4" w:rsidRPr="004B61EA">
        <w:rPr>
          <w:rFonts w:ascii="Arial" w:hAnsi="Arial" w:cs="Arial"/>
          <w:sz w:val="24"/>
          <w:szCs w:val="24"/>
          <w:lang w:val="en-US"/>
        </w:rPr>
        <w:fldChar w:fldCharType="begin" w:fldLock="1"/>
      </w:r>
      <w:r w:rsidR="0023362E" w:rsidRPr="004B61EA">
        <w:rPr>
          <w:rFonts w:ascii="Arial" w:hAnsi="Arial" w:cs="Arial"/>
          <w:sz w:val="24"/>
          <w:szCs w:val="24"/>
          <w:lang w:val="en-US"/>
        </w:rPr>
        <w:instrText>ADDIN CSL_CITATION { "citationItems" : [ { "id" : "ITEM-1", "itemData" : { "DOI" : "10.1002/uog.12371", "ISSN" : "1469-0705", "PMID" : "23371348", "author" : [ { "dropping-particle" : "", "family" : "Bhide", "given" : "A", "non-dropping-particle" : "", "parse-names" : false, "suffix" : "" }, { "dropping-particle" : "", "family" : "Acharya", "given" : "G", "non-dropping-particle" : "", "parse-names" : false, "suffix" : "" }, { "dropping-particle" : "", "family" : "Bilardo", "given" : "C M", "non-dropping-particle" : "", "parse-names" : false, "suffix" : "" }, { "dropping-particle" : "", "family" : "Brezinka", "given" : "C", "non-dropping-particle" : "", "parse-names" : false, "suffix" : "" }, { "dropping-particle" : "", "family" : "Cafici", "given" : "D", "non-dropping-particle" : "", "parse-names" : false, "suffix" : "" }, { "dropping-particle" : "", "family" : "Hernandez-Andrade", "given" : "E", "non-dropping-particle" : "", "parse-names" : false, "suffix" : "" }, { "dropping-particle" : "", "family" : "Kalache", "given" : "K", "non-dropping-particle" : "", "parse-names" : false, "suffix" : "" }, { "dropping-particle" : "", "family" : "Kingdom", "given" : "J", "non-dropping-particle" : "", "parse-names" : false, "suffix" : "" }, { "dropping-particle" : "", "family" : "Kiserud", "given" : "T", "non-dropping-particle" : "", "parse-names" : false, "suffix" : "" }, { "dropping-particle" : "", "family" : "Lee", "given" : "W", "non-dropping-particle" : "", "parse-names" : false, "suffix" : "" }, { "dropping-particle" : "", "family" : "Lees", "given" : "C", "non-dropping-particle" : "", "parse-names" : false, "suffix" : "" }, { "dropping-particle" : "", "family" : "Leung", "given" : "K Y", "non-dropping-particle" : "", "parse-names" : false, "suffix" : "" }, { "dropping-particle" : "", "family" : "Malinger", "given" : "G", "non-dropping-particle" : "", "parse-names" : false, "suffix" : "" }, { "dropping-particle" : "", "family" : "Mari", "given" : "G", "non-dropping-particle" : "", "parse-names" : false, "suffix" : "" }, { "dropping-particle" : "", "family" : "Prefumo", "given" : "F", "non-dropping-particle" : "", "parse-names" : false, "suffix" : "" }, { "dropping-particle" : "", "family" : "Sepulveda", "given" : "W", "non-dropping-particle" : "", "parse-names" : false, "suffix" : "" }, { "dropping-particle" : "", "family" : "Trudinger", "given" : "B", "non-dropping-particle" : "", "parse-names" : false, "suffix" : "" } ], "container-title" : "Ultrasound in obstetrics &amp; gynecology : the official journal of the International Society of Ultrasound in Obstetrics and Gynecology", "id" : "ITEM-1", "issue" : "2", "issued" : { "date-parts" : [ [ "2013", "2" ] ] }, "page" : "233-39", "title" : "ISUOG practice guidelines: use of Doppler ultrasonography in obstetrics.", "type" : "article-journal", "volume" : "41" }, "uris" : [ "http://www.mendeley.com/documents/?uuid=c9835baa-ccb2-443b-8ad7-92bca3707bfb" ] } ], "mendeley" : { "formattedCitation" : "[11]", "plainTextFormattedCitation" : "[11]", "previouslyFormattedCitation" : "[11]" }, "properties" : { "noteIndex" : 0 }, "schema" : "https://github.com/citation-style-language/schema/raw/master/csl-citation.json" }</w:instrText>
      </w:r>
      <w:r w:rsidR="000B14E4" w:rsidRPr="004B61EA">
        <w:rPr>
          <w:rFonts w:ascii="Arial" w:hAnsi="Arial" w:cs="Arial"/>
          <w:sz w:val="24"/>
          <w:szCs w:val="24"/>
          <w:lang w:val="en-US"/>
        </w:rPr>
        <w:fldChar w:fldCharType="separate"/>
      </w:r>
      <w:r w:rsidR="00CD04E5" w:rsidRPr="004B61EA">
        <w:rPr>
          <w:rFonts w:ascii="Arial" w:hAnsi="Arial" w:cs="Arial"/>
          <w:noProof/>
          <w:sz w:val="24"/>
          <w:szCs w:val="24"/>
          <w:lang w:val="en-US"/>
        </w:rPr>
        <w:t>[11]</w:t>
      </w:r>
      <w:r w:rsidR="000B14E4" w:rsidRPr="004B61EA">
        <w:rPr>
          <w:rFonts w:ascii="Arial" w:hAnsi="Arial" w:cs="Arial"/>
          <w:sz w:val="24"/>
          <w:szCs w:val="24"/>
          <w:lang w:val="en-US"/>
        </w:rPr>
        <w:fldChar w:fldCharType="end"/>
      </w:r>
      <w:r w:rsidR="00044DAC" w:rsidRPr="004B61EA">
        <w:rPr>
          <w:rFonts w:ascii="Arial" w:hAnsi="Arial" w:cs="Arial"/>
          <w:sz w:val="24"/>
          <w:szCs w:val="24"/>
          <w:lang w:val="en-US"/>
        </w:rPr>
        <w:t xml:space="preserve">. </w:t>
      </w:r>
      <w:r w:rsidR="00B159EE" w:rsidRPr="004B61EA">
        <w:rPr>
          <w:rFonts w:ascii="Arial" w:hAnsi="Arial" w:cs="Arial"/>
          <w:sz w:val="24"/>
          <w:szCs w:val="24"/>
          <w:lang w:val="en-US"/>
        </w:rPr>
        <w:t xml:space="preserve">Edwards et al. also focused on the relation between feto-placental Dopplers and BWPW-ratio </w:t>
      </w:r>
      <w:r w:rsidR="00B159EE" w:rsidRPr="004B61EA">
        <w:rPr>
          <w:rFonts w:ascii="Arial" w:hAnsi="Arial" w:cs="Arial"/>
          <w:sz w:val="24"/>
          <w:szCs w:val="24"/>
          <w:lang w:val="en-US"/>
        </w:rPr>
        <w:fldChar w:fldCharType="begin" w:fldLock="1"/>
      </w:r>
      <w:r w:rsidR="00DC004E" w:rsidRPr="004B61EA">
        <w:rPr>
          <w:rFonts w:ascii="Arial" w:hAnsi="Arial" w:cs="Arial"/>
          <w:sz w:val="24"/>
          <w:szCs w:val="24"/>
          <w:lang w:val="en-US"/>
        </w:rPr>
        <w:instrText>ADDIN CSL_CITATION { "citationItems" : [ { "id" : "ITEM-1", "itemData" : { "DOI" : "10.1016/S0140-6736(99)05061-8", "ISSN" : "01406736", "author" : [ { "dropping-particle" : "", "family" : "Edwards", "given" : "Andrew", "non-dropping-particle" : "", "parse-names" : false, "suffix" : "" }, { "dropping-particle" : "", "family" : "Megens", "given" : "Amanda", "non-dropping-particle" : "", "parse-names" : false, "suffix" : "" }, { "dropping-particle" : "", "family" : "Peek", "given" : "Michael", "non-dropping-particle" : "", "parse-names" : false, "suffix" : "" }, { "dropping-particle" : "", "family" : "Wallace", "given" : "Euan M", "non-dropping-particle" : "", "parse-names" : false, "suffix" : "" } ], "container-title" : "The Lancet", "id" : "ITEM-1", "issue" : "9199", "issued" : { "date-parts" : [ [ "2000", "1" ] ] }, "page" : "203-204", "title" : "Sexual origins of placental dysfunction", "type" : "article-journal", "volume" : "355" }, "uris" : [ "http://www.mendeley.com/documents/?uuid=0b6df5e7-425e-3bc3-8fac-71cf72876bcf" ] } ], "mendeley" : { "formattedCitation" : "[26]", "plainTextFormattedCitation" : "[26]", "previouslyFormattedCitation" : "[26]" }, "properties" : { "noteIndex" : 0 }, "schema" : "https://github.com/citation-style-language/schema/raw/master/csl-citation.json" }</w:instrText>
      </w:r>
      <w:r w:rsidR="00B159EE" w:rsidRPr="004B61EA">
        <w:rPr>
          <w:rFonts w:ascii="Arial" w:hAnsi="Arial" w:cs="Arial"/>
          <w:sz w:val="24"/>
          <w:szCs w:val="24"/>
          <w:lang w:val="en-US"/>
        </w:rPr>
        <w:fldChar w:fldCharType="separate"/>
      </w:r>
      <w:r w:rsidR="00B159EE" w:rsidRPr="004B61EA">
        <w:rPr>
          <w:rFonts w:ascii="Arial" w:hAnsi="Arial" w:cs="Arial"/>
          <w:noProof/>
          <w:sz w:val="24"/>
          <w:szCs w:val="24"/>
          <w:lang w:val="en-US"/>
        </w:rPr>
        <w:t>[26]</w:t>
      </w:r>
      <w:r w:rsidR="00B159EE" w:rsidRPr="004B61EA">
        <w:rPr>
          <w:rFonts w:ascii="Arial" w:hAnsi="Arial" w:cs="Arial"/>
          <w:sz w:val="24"/>
          <w:szCs w:val="24"/>
          <w:lang w:val="en-US"/>
        </w:rPr>
        <w:fldChar w:fldCharType="end"/>
      </w:r>
      <w:r w:rsidR="00B159EE" w:rsidRPr="004B61EA">
        <w:rPr>
          <w:rFonts w:ascii="Arial" w:hAnsi="Arial" w:cs="Arial"/>
          <w:sz w:val="24"/>
          <w:szCs w:val="24"/>
          <w:lang w:val="en-US"/>
        </w:rPr>
        <w:t xml:space="preserve">. They compared  the BWPW-ratio in 87 fetuses with absent or reversed end diastolic (AREDF) flow in the umbilical artery </w:t>
      </w:r>
      <w:r w:rsidR="002D18D6" w:rsidRPr="004B61EA">
        <w:rPr>
          <w:rFonts w:ascii="Arial" w:hAnsi="Arial" w:cs="Arial"/>
          <w:sz w:val="24"/>
          <w:szCs w:val="24"/>
          <w:lang w:val="en-US"/>
        </w:rPr>
        <w:t xml:space="preserve">with </w:t>
      </w:r>
      <w:r w:rsidR="00B159EE" w:rsidRPr="004B61EA">
        <w:rPr>
          <w:rFonts w:ascii="Arial" w:hAnsi="Arial" w:cs="Arial"/>
          <w:sz w:val="24"/>
          <w:szCs w:val="24"/>
          <w:lang w:val="en-US"/>
        </w:rPr>
        <w:t>normal singleton deliveries. However, these groups are not dir</w:t>
      </w:r>
      <w:r w:rsidR="00044DAC" w:rsidRPr="004B61EA">
        <w:rPr>
          <w:rFonts w:ascii="Arial" w:hAnsi="Arial" w:cs="Arial"/>
          <w:sz w:val="24"/>
          <w:szCs w:val="24"/>
          <w:lang w:val="en-US"/>
        </w:rPr>
        <w:t xml:space="preserve">ectly comparable with our </w:t>
      </w:r>
      <w:r w:rsidR="00B159EE" w:rsidRPr="004B61EA">
        <w:rPr>
          <w:rFonts w:ascii="Arial" w:hAnsi="Arial" w:cs="Arial"/>
          <w:sz w:val="24"/>
          <w:szCs w:val="24"/>
          <w:lang w:val="en-US"/>
        </w:rPr>
        <w:t>cohort as</w:t>
      </w:r>
      <w:r w:rsidR="00193E0B" w:rsidRPr="004B61EA">
        <w:rPr>
          <w:rFonts w:ascii="Arial" w:hAnsi="Arial" w:cs="Arial"/>
          <w:sz w:val="24"/>
          <w:szCs w:val="24"/>
          <w:lang w:val="en-US"/>
        </w:rPr>
        <w:t>,</w:t>
      </w:r>
      <w:r w:rsidR="00B159EE" w:rsidRPr="004B61EA">
        <w:rPr>
          <w:rFonts w:ascii="Arial" w:hAnsi="Arial" w:cs="Arial"/>
          <w:sz w:val="24"/>
          <w:szCs w:val="24"/>
          <w:lang w:val="en-US"/>
        </w:rPr>
        <w:t xml:space="preserve"> for example</w:t>
      </w:r>
      <w:r w:rsidR="00193E0B" w:rsidRPr="004B61EA">
        <w:rPr>
          <w:rFonts w:ascii="Arial" w:hAnsi="Arial" w:cs="Arial"/>
          <w:sz w:val="24"/>
          <w:szCs w:val="24"/>
          <w:lang w:val="en-US"/>
        </w:rPr>
        <w:t>,</w:t>
      </w:r>
      <w:r w:rsidR="00B159EE" w:rsidRPr="004B61EA">
        <w:rPr>
          <w:rFonts w:ascii="Arial" w:hAnsi="Arial" w:cs="Arial"/>
          <w:sz w:val="24"/>
          <w:szCs w:val="24"/>
          <w:lang w:val="en-US"/>
        </w:rPr>
        <w:t xml:space="preserve"> 85 out of 87 fetuses with AREDF delivered </w:t>
      </w:r>
      <w:r w:rsidR="002D18D6" w:rsidRPr="004B61EA">
        <w:rPr>
          <w:rFonts w:ascii="Arial" w:hAnsi="Arial" w:cs="Arial"/>
          <w:sz w:val="24"/>
          <w:szCs w:val="24"/>
          <w:lang w:val="en-US"/>
        </w:rPr>
        <w:t>pre</w:t>
      </w:r>
      <w:r w:rsidR="00B159EE" w:rsidRPr="004B61EA">
        <w:rPr>
          <w:rFonts w:ascii="Arial" w:hAnsi="Arial" w:cs="Arial"/>
          <w:sz w:val="24"/>
          <w:szCs w:val="24"/>
          <w:lang w:val="en-US"/>
        </w:rPr>
        <w:t>term.</w:t>
      </w:r>
    </w:p>
    <w:p w14:paraId="275BAC15" w14:textId="4D862027" w:rsidR="00A91549" w:rsidRPr="004B61EA" w:rsidRDefault="00C72E33" w:rsidP="00A91549">
      <w:pPr>
        <w:spacing w:after="0" w:line="480" w:lineRule="auto"/>
        <w:rPr>
          <w:rFonts w:ascii="Arial" w:hAnsi="Arial" w:cs="Arial"/>
          <w:sz w:val="24"/>
          <w:szCs w:val="24"/>
          <w:lang w:val="en-US"/>
        </w:rPr>
      </w:pPr>
      <w:r w:rsidRPr="004B61EA">
        <w:rPr>
          <w:rFonts w:ascii="Arial" w:hAnsi="Arial" w:cs="Arial"/>
          <w:sz w:val="24"/>
          <w:szCs w:val="24"/>
          <w:lang w:val="en-US"/>
        </w:rPr>
        <w:t xml:space="preserve">We also found that </w:t>
      </w:r>
      <w:r w:rsidR="00C32F41" w:rsidRPr="004B61EA">
        <w:rPr>
          <w:rFonts w:ascii="Arial" w:hAnsi="Arial" w:cs="Arial"/>
          <w:sz w:val="24"/>
          <w:szCs w:val="24"/>
          <w:lang w:val="en-US"/>
        </w:rPr>
        <w:t xml:space="preserve">BWPW-ratio </w:t>
      </w:r>
      <w:r w:rsidRPr="004B61EA">
        <w:rPr>
          <w:rFonts w:ascii="Arial" w:hAnsi="Arial" w:cs="Arial"/>
          <w:sz w:val="24"/>
          <w:szCs w:val="24"/>
          <w:lang w:val="en-US"/>
        </w:rPr>
        <w:t xml:space="preserve">was higher </w:t>
      </w:r>
      <w:r w:rsidR="00C32F41" w:rsidRPr="004B61EA">
        <w:rPr>
          <w:rFonts w:ascii="Arial" w:hAnsi="Arial" w:cs="Arial"/>
          <w:sz w:val="24"/>
          <w:szCs w:val="24"/>
          <w:lang w:val="en-US"/>
        </w:rPr>
        <w:t xml:space="preserve">in male infants compared to female infants, suggesting a </w:t>
      </w:r>
      <w:r w:rsidR="00BF5697" w:rsidRPr="004B61EA">
        <w:rPr>
          <w:rFonts w:ascii="Arial" w:hAnsi="Arial" w:cs="Arial"/>
          <w:sz w:val="24"/>
          <w:szCs w:val="24"/>
          <w:lang w:val="en-US"/>
        </w:rPr>
        <w:t xml:space="preserve">higher nutrient transfer per gram </w:t>
      </w:r>
      <w:r w:rsidR="002D18D6" w:rsidRPr="004B61EA">
        <w:rPr>
          <w:rFonts w:ascii="Arial" w:hAnsi="Arial" w:cs="Arial"/>
          <w:sz w:val="24"/>
          <w:szCs w:val="24"/>
          <w:lang w:val="en-US"/>
        </w:rPr>
        <w:t xml:space="preserve">of </w:t>
      </w:r>
      <w:r w:rsidR="00BF5697" w:rsidRPr="004B61EA">
        <w:rPr>
          <w:rFonts w:ascii="Arial" w:hAnsi="Arial" w:cs="Arial"/>
          <w:sz w:val="24"/>
          <w:szCs w:val="24"/>
          <w:lang w:val="en-US"/>
        </w:rPr>
        <w:t>placenta in male infants</w:t>
      </w:r>
      <w:r w:rsidR="00C32F41" w:rsidRPr="004B61EA">
        <w:rPr>
          <w:rFonts w:ascii="Arial" w:hAnsi="Arial" w:cs="Arial"/>
          <w:sz w:val="24"/>
          <w:szCs w:val="24"/>
          <w:lang w:val="en-US"/>
        </w:rPr>
        <w:t>. This has also been described by other studies</w:t>
      </w:r>
      <w:r w:rsidR="00C76836" w:rsidRPr="004B61EA">
        <w:rPr>
          <w:rFonts w:ascii="Arial" w:hAnsi="Arial" w:cs="Arial"/>
          <w:sz w:val="24"/>
          <w:szCs w:val="24"/>
          <w:lang w:val="en-US"/>
        </w:rPr>
        <w:t xml:space="preserve"> where it was </w:t>
      </w:r>
      <w:r w:rsidRPr="004B61EA">
        <w:rPr>
          <w:rFonts w:ascii="Arial" w:hAnsi="Arial" w:cs="Arial"/>
          <w:sz w:val="24"/>
          <w:szCs w:val="24"/>
          <w:lang w:val="en-US"/>
        </w:rPr>
        <w:t xml:space="preserve">hypothesized </w:t>
      </w:r>
      <w:r w:rsidR="00C76836" w:rsidRPr="004B61EA">
        <w:rPr>
          <w:rFonts w:ascii="Arial" w:hAnsi="Arial" w:cs="Arial"/>
          <w:sz w:val="24"/>
          <w:szCs w:val="24"/>
          <w:lang w:val="en-US"/>
        </w:rPr>
        <w:t>that</w:t>
      </w:r>
      <w:r w:rsidR="00333138" w:rsidRPr="004B61EA">
        <w:rPr>
          <w:rFonts w:ascii="Arial" w:hAnsi="Arial" w:cs="Arial"/>
          <w:sz w:val="24"/>
          <w:szCs w:val="24"/>
          <w:lang w:val="en-US"/>
        </w:rPr>
        <w:t xml:space="preserve"> males prioritize body growth and invest less in placental growth, </w:t>
      </w:r>
      <w:r w:rsidR="00C76836" w:rsidRPr="004B61EA">
        <w:rPr>
          <w:rFonts w:ascii="Arial" w:hAnsi="Arial" w:cs="Arial"/>
          <w:sz w:val="24"/>
          <w:szCs w:val="24"/>
          <w:lang w:val="en-US"/>
        </w:rPr>
        <w:t>thereby making them more vulnera</w:t>
      </w:r>
      <w:r w:rsidR="00333138" w:rsidRPr="004B61EA">
        <w:rPr>
          <w:rFonts w:ascii="Arial" w:hAnsi="Arial" w:cs="Arial"/>
          <w:sz w:val="24"/>
          <w:szCs w:val="24"/>
          <w:lang w:val="en-US"/>
        </w:rPr>
        <w:t xml:space="preserve">ble </w:t>
      </w:r>
      <w:r w:rsidR="002D18D6" w:rsidRPr="004B61EA">
        <w:rPr>
          <w:rFonts w:ascii="Arial" w:hAnsi="Arial" w:cs="Arial"/>
          <w:sz w:val="24"/>
          <w:szCs w:val="24"/>
          <w:lang w:val="en-US"/>
        </w:rPr>
        <w:t xml:space="preserve">to </w:t>
      </w:r>
      <w:r w:rsidR="0000119D" w:rsidRPr="004B61EA">
        <w:rPr>
          <w:rFonts w:ascii="Arial" w:hAnsi="Arial" w:cs="Arial"/>
          <w:sz w:val="24"/>
          <w:szCs w:val="24"/>
          <w:lang w:val="en-US"/>
        </w:rPr>
        <w:t>become</w:t>
      </w:r>
      <w:r w:rsidR="00333138" w:rsidRPr="004B61EA">
        <w:rPr>
          <w:rFonts w:ascii="Arial" w:hAnsi="Arial" w:cs="Arial"/>
          <w:sz w:val="24"/>
          <w:szCs w:val="24"/>
          <w:lang w:val="en-US"/>
        </w:rPr>
        <w:t xml:space="preserve"> undernourished</w:t>
      </w:r>
      <w:r w:rsidR="00D264B6" w:rsidRPr="004B61EA">
        <w:rPr>
          <w:rFonts w:ascii="Arial" w:hAnsi="Arial" w:cs="Arial"/>
          <w:sz w:val="24"/>
          <w:szCs w:val="24"/>
          <w:lang w:val="en-US"/>
        </w:rPr>
        <w:t xml:space="preserve"> </w:t>
      </w:r>
      <w:r w:rsidR="00274D81" w:rsidRPr="004B61EA">
        <w:rPr>
          <w:rFonts w:ascii="Arial" w:hAnsi="Arial" w:cs="Arial"/>
          <w:sz w:val="24"/>
          <w:szCs w:val="24"/>
          <w:lang w:val="en-US"/>
        </w:rPr>
        <w:fldChar w:fldCharType="begin" w:fldLock="1"/>
      </w:r>
      <w:r w:rsidR="00077729" w:rsidRPr="004B61EA">
        <w:rPr>
          <w:rFonts w:ascii="Arial" w:hAnsi="Arial" w:cs="Arial"/>
          <w:sz w:val="24"/>
          <w:szCs w:val="24"/>
          <w:lang w:val="en-US"/>
        </w:rPr>
        <w:instrText>ADDIN CSL_CITATION { "citationItems" : [ { "id" : "ITEM-1", "itemData" : { "DOI" : "10.1002/ajhb.20995", "ISSN" : "1520-6300", "PMID" : "19844898", "abstract" : "The growth of every human fetus is constrained by the limited capacity of the mother and placenta to deliver nutrients to it. At birth, boys tend to be longer than girls at any placental weight. Boy's placentas may therefore be more efficient than girls, but may have less reserve capacity. In the womb boys grow faster than girls and are therefore at greater risk of becoming undernourished. Fetal undernutrition leads to small size at birth and cardiovascular disorders, including hypertension, in later life. We studied 2003 men and women aged around 62 years who were born in Helsinki, Finland, of whom 644 had hypertension: we examined their body and placental size at birth. In both sexes, hypertension was associated with low birth weight. In men, hypertension was also associated with a long minor diameter of the placental surface. The dangerous growth strategy of boys may be compounded by the costs of compensatory placental enlargement in late gestation. In women, hypertension was associated with a small placental area, which may reduce nutrient delivery to the fetus. In men, hypertension was linked to the mothers' socioeconomic status, an indicator of their diets: in women it was linked to the mothers' heights, an indicator of their protein metabolism. Boys' greater dependence on their mothers' diets may enable them to capitalize on an improving food supply, but it makes them vulnerable to food shortages. The ultimate manifestation of their dangerous strategies may be that men have higher blood pressures and shorter lives than women.", "author" : [ { "dropping-particle" : "", "family" : "Eriksson", "given" : "Johan G", "non-dropping-particle" : "", "parse-names" : false, "suffix" : "" }, { "dropping-particle" : "", "family" : "Kajantie", "given" : "Eero", "non-dropping-particle" : "", "parse-names" : false, "suffix" : "" }, { "dropping-particle" : "", "family" : "Osmond", "given" : "Clive", "non-dropping-particle" : "", "parse-names" : false, "suffix" : "" }, { "dropping-particle" : "", "family" : "Thornburg", "given" : "Kent", "non-dropping-particle" : "", "parse-names" : false, "suffix" : "" }, { "dropping-particle" : "", "family" : "Barker", "given" : "David J P", "non-dropping-particle" : "", "parse-names" : false, "suffix" : "" } ], "container-title" : "American journal of human biology : the official journal of the Human Biology Council", "id" : "ITEM-1", "issue" : "3", "issued" : { "date-parts" : [ [ "2010" ] ] }, "page" : "330-5", "publisher" : "NIH Public Access", "title" : "Boys live dangerously in the womb.", "type" : "article-journal", "volume" : "22" }, "uris" : [ "http://www.mendeley.com/documents/?uuid=e0077924-a837-3dab-ba16-0fdbb4de675c" ] }, { "id" : "ITEM-2", "itemData" : { "DOI" : "10.1016/j.placenta.2012.12.007", "ISSN" : "01434004", "author" : [ { "dropping-particle" : "", "family" : "Wallace", "given" : "J.M.", "non-dropping-particle" : "", "parse-names" : false, "suffix" : "" }, { "dropping-particle" : "", "family" : "Bhattacharya", "given" : "S.", "non-dropping-particle" : "", "parse-names" : false, "suffix" : "" }, { "dropping-particle" : "", "family" : "Horgan", "given" : "G.W.", "non-dropping-particle" : "", "parse-names" : false, "suffix" : "" } ], "container-title" : "Placenta", "id" : "ITEM-2", "issue" : "3", "issued" : { "date-parts" : [ [ "2013", "3" ] ] }, "page" : "269-274", "title" : "Gestational age, gender and parity specific centile charts for placental weight for singleton deliveries in Aberdeen, UK", "type" : "article-journal", "volume" : "34" }, "uris" : [ "http://www.mendeley.com/documents/?uuid=32086818-7981-3ba1-a42d-fa2ea8f977a6" ] }, { "id" : "ITEM-3", "itemData" : { "DOI" : "10.1016/j.placenta.2015.12.008", "ISSN" : "1532-3102", "PMID" : "26907375", "abstract" : "INTRODUCTION Placental biometry at birth has been shown to predict chronic disease in later life. We hypothesized that maternal overweight/obesity, a state of low-grade inflammation and risk factor for adverse pregnancy outcome, could negatively influence placental development and that differences would be sex-specific. METHODS 696 women (537 normal-weight, NW; 112 overweight, OW; 47 obese, OB) with singleton uncomplicated pregnancies were prospectively enrolled at term delivery. Gestational age, maternal (age, height, pre-pregnancy BMI, gestational weight gain -GWG, hemoglobin, hematocrit and glycemia), fetal (weight, length, ponderal index, cranial circumference) and placental (weight, diameters) data were collected. Placental area, thickness and efficiency (fetal/placental weight ratio, F/P) were calculated. RESULTS GWG was within standard recommendations in OB, while OW exceeded it. Placental weight was significantly higher in OW versus NW, but not in OB, leading to significantly higher placental thickness and lower F/P in this group. In the total population, a significant interaction effect between maternal BMI and fetal sex on placental weight and efficiency was found. Indeed, differences in placental parameters were present only in female offspring. DISCUSSION In our population of OW and OB uncomplicated pregnancies only OW women, presenting GWG over standard recommendations, had thicker and less efficient placentas. We also reported different placental adaptation depending on fetal sex, with significant changes only in female fetuses. This may be part of a female-specific strategy aiming to ensure survival if another adverse event occurs. Customized counseling according to maternal BMI and fetal sex should be evaluated in clinical care.", "author" : [ { "dropping-particle" : "", "family" : "Mand\u00f2", "given" : "Chiara", "non-dropping-particle" : "", "parse-names" : false, "suffix" : "" }, { "dropping-particle" : "", "family" : "Calabrese", "given" : "Stefania", "non-dropping-particle" : "", "parse-names" : false, "suffix" : "" }, { "dropping-particle" : "", "family" : "Mazzocco", "given" : "Martina Ilaria", "non-dropping-particle" : "", "parse-names" : false, "suffix" : "" }, { "dropping-particle" : "", "family" : "Novielli", "given" : "Chiara", "non-dropping-particle" : "", "parse-names" : false, "suffix" : "" }, { "dropping-particle" : "", "family" : "Anelli", "given" : "Gaia Maria", "non-dropping-particle" : "", "parse-names" : false, "suffix" : "" }, { "dropping-particle" : "", "family" : "Antonazzo", "given" : "Patrizio", "non-dropping-particle" : "", "parse-names" : false, "suffix" : "" }, { "dropping-particle" : "", "family" : "Cetin", "given" : "Irene", "non-dropping-particle" : "", "parse-names" : false, "suffix" : "" } ], "container-title" : "Placenta", "id" : "ITEM-3", "issued" : { "date-parts" : [ [ "2016", "2" ] ] }, "page" : "1-7", "title" : "Sex specific adaptations in placental biometry of overweight and obese women.", "type" : "article-journal", "volume" : "38" }, "uris" : [ "http://www.mendeley.com/documents/?uuid=f711ee95-ff6c-33d4-9d75-07373a452d8d" ] }, { "id" : "ITEM-4", "itemData" : { "DOI" : "10.1016/S0140-6736(99)05061-8", "ISSN" : "01406736", "author" : [ { "dropping-particle" : "", "family" : "Edwards", "given" : "Andrew", "non-dropping-particle" : "", "parse-names" : false, "suffix" : "" }, { "dropping-particle" : "", "family" : "Megens", "given" : "Amanda", "non-dropping-particle" : "", "parse-names" : false, "suffix" : "" }, { "dropping-particle" : "", "family" : "Peek", "given" : "Michael", "non-dropping-particle" : "", "parse-names" : false, "suffix" : "" }, { "dropping-particle" : "", "family" : "Wallace", "given" : "Euan M", "non-dropping-particle" : "", "parse-names" : false, "suffix" : "" } ], "container-title" : "The Lancet", "id" : "ITEM-4", "issue" : "9199", "issued" : { "date-parts" : [ [ "2000", "1" ] ] }, "page" : "203-204", "title" : "Sexual origins of placental dysfunction", "type" : "article-journal", "volume" : "355" }, "uris" : [ "http://www.mendeley.com/documents/?uuid=0b6df5e7-425e-3bc3-8fac-71cf72876bcf" ] }, { "id" : "ITEM-5", "itemData" : { "ISSN" : "0022-3204", "PMID" : "5386828", "author" : [ { "dropping-particle" : "", "family" : "Thomson", "given" : "A M", "non-dropping-particle" : "", "parse-names" : false, "suffix" : "" }, { "dropping-particle" : "", "family" : "Billewicz", "given" : "W Z", "non-dropping-particle" : "", "parse-names" : false, "suffix" : "" }, { "dropping-particle" : "", "family" : "Hytten", "given" : "F E", "non-dropping-particle" : "", "parse-names" : false, "suffix" : "" } ], "container-title" : "The Journal of obstetrics and gynaecology of the British Commonwealth", "id" : "ITEM-5", "issue" : "10", "issued" : { "date-parts" : [ [ "1969", "10" ] ] }, "page" : "865-72", "title" : "The weight of the placenta in relation to birthweight.", "type" : "article-journal", "volume" : "76" }, "uris" : [ "http://www.mendeley.com/documents/?uuid=b80961f4-7b8b-3732-a05f-2d6ecf05fc14" ] } ], "mendeley" : { "formattedCitation" : "[26\u201330]", "plainTextFormattedCitation" : "[26\u201330]", "previouslyFormattedCitation" : "[26\u201330]" }, "properties" : { "noteIndex" : 0 }, "schema" : "https://github.com/citation-style-language/schema/raw/master/csl-citation.json" }</w:instrText>
      </w:r>
      <w:r w:rsidR="00274D81" w:rsidRPr="004B61EA">
        <w:rPr>
          <w:rFonts w:ascii="Arial" w:hAnsi="Arial" w:cs="Arial"/>
          <w:sz w:val="24"/>
          <w:szCs w:val="24"/>
          <w:lang w:val="en-US"/>
        </w:rPr>
        <w:fldChar w:fldCharType="separate"/>
      </w:r>
      <w:r w:rsidR="008036B6" w:rsidRPr="004B61EA">
        <w:rPr>
          <w:rFonts w:ascii="Arial" w:hAnsi="Arial" w:cs="Arial"/>
          <w:noProof/>
          <w:sz w:val="24"/>
          <w:szCs w:val="24"/>
          <w:lang w:val="en-US"/>
        </w:rPr>
        <w:t>[26–30]</w:t>
      </w:r>
      <w:r w:rsidR="00274D81" w:rsidRPr="004B61EA">
        <w:rPr>
          <w:rFonts w:ascii="Arial" w:hAnsi="Arial" w:cs="Arial"/>
          <w:sz w:val="24"/>
          <w:szCs w:val="24"/>
          <w:lang w:val="en-US"/>
        </w:rPr>
        <w:fldChar w:fldCharType="end"/>
      </w:r>
      <w:r w:rsidR="009F58FA" w:rsidRPr="004B61EA">
        <w:rPr>
          <w:rFonts w:ascii="Arial" w:hAnsi="Arial" w:cs="Arial"/>
          <w:sz w:val="24"/>
          <w:szCs w:val="24"/>
          <w:lang w:val="en-US"/>
        </w:rPr>
        <w:t xml:space="preserve">. </w:t>
      </w:r>
      <w:r w:rsidR="00D264B6" w:rsidRPr="004B61EA">
        <w:rPr>
          <w:rFonts w:ascii="Arial" w:hAnsi="Arial" w:cs="Arial"/>
          <w:sz w:val="24"/>
          <w:szCs w:val="24"/>
          <w:lang w:val="en-US"/>
        </w:rPr>
        <w:t xml:space="preserve"> </w:t>
      </w:r>
      <w:r w:rsidR="003B41DB" w:rsidRPr="004B61EA">
        <w:rPr>
          <w:rFonts w:ascii="Arial" w:hAnsi="Arial" w:cs="Arial"/>
          <w:sz w:val="24"/>
          <w:szCs w:val="24"/>
          <w:lang w:val="en-US"/>
        </w:rPr>
        <w:t>I</w:t>
      </w:r>
      <w:r w:rsidR="00333138" w:rsidRPr="004B61EA">
        <w:rPr>
          <w:rFonts w:ascii="Arial" w:hAnsi="Arial" w:cs="Arial"/>
          <w:sz w:val="24"/>
          <w:szCs w:val="24"/>
          <w:lang w:val="en-US"/>
        </w:rPr>
        <w:t xml:space="preserve">n addition, our results showed that there was no difference in birth weight and </w:t>
      </w:r>
      <w:r w:rsidR="00193E0B" w:rsidRPr="004B61EA">
        <w:rPr>
          <w:rFonts w:ascii="Arial" w:hAnsi="Arial" w:cs="Arial"/>
          <w:sz w:val="24"/>
          <w:szCs w:val="24"/>
          <w:lang w:val="en-US"/>
        </w:rPr>
        <w:t xml:space="preserve">the proportion </w:t>
      </w:r>
      <w:r w:rsidR="00333138" w:rsidRPr="004B61EA">
        <w:rPr>
          <w:rFonts w:ascii="Arial" w:hAnsi="Arial" w:cs="Arial"/>
          <w:sz w:val="24"/>
          <w:szCs w:val="24"/>
          <w:lang w:val="en-US"/>
        </w:rPr>
        <w:t>of SGA, AGA and LGA infants across the</w:t>
      </w:r>
      <w:r w:rsidR="00E56228" w:rsidRPr="004B61EA">
        <w:rPr>
          <w:rFonts w:ascii="Arial" w:hAnsi="Arial" w:cs="Arial"/>
          <w:sz w:val="24"/>
          <w:szCs w:val="24"/>
          <w:lang w:val="en-US"/>
        </w:rPr>
        <w:t xml:space="preserve"> groups</w:t>
      </w:r>
      <w:r w:rsidR="00A63C49" w:rsidRPr="004B61EA">
        <w:rPr>
          <w:rFonts w:ascii="Arial" w:hAnsi="Arial" w:cs="Arial"/>
          <w:sz w:val="24"/>
          <w:szCs w:val="24"/>
          <w:lang w:val="en-US"/>
        </w:rPr>
        <w:t xml:space="preserve"> of</w:t>
      </w:r>
      <w:r w:rsidR="00E56228" w:rsidRPr="004B61EA">
        <w:rPr>
          <w:rFonts w:ascii="Arial" w:hAnsi="Arial" w:cs="Arial"/>
          <w:sz w:val="24"/>
          <w:szCs w:val="24"/>
          <w:lang w:val="en-US"/>
        </w:rPr>
        <w:t xml:space="preserve"> low, normal and high</w:t>
      </w:r>
      <w:r w:rsidR="00333138" w:rsidRPr="004B61EA">
        <w:rPr>
          <w:rFonts w:ascii="Arial" w:hAnsi="Arial" w:cs="Arial"/>
          <w:sz w:val="24"/>
          <w:szCs w:val="24"/>
          <w:lang w:val="en-US"/>
        </w:rPr>
        <w:t xml:space="preserve"> BWPW-ratio </w:t>
      </w:r>
      <w:r w:rsidR="00E56228" w:rsidRPr="004B61EA">
        <w:rPr>
          <w:rFonts w:ascii="Arial" w:hAnsi="Arial" w:cs="Arial"/>
          <w:sz w:val="24"/>
          <w:szCs w:val="24"/>
          <w:lang w:val="en-US"/>
        </w:rPr>
        <w:t>(quintiles Q1, Q2-Q4 and Q5)</w:t>
      </w:r>
      <w:r w:rsidR="006420A1" w:rsidRPr="004B61EA">
        <w:rPr>
          <w:rFonts w:ascii="Arial" w:hAnsi="Arial" w:cs="Arial"/>
          <w:sz w:val="24"/>
          <w:szCs w:val="24"/>
          <w:lang w:val="en-US"/>
        </w:rPr>
        <w:t>.</w:t>
      </w:r>
      <w:r w:rsidR="00E56228" w:rsidRPr="004B61EA">
        <w:rPr>
          <w:rFonts w:ascii="Arial" w:hAnsi="Arial" w:cs="Arial"/>
          <w:sz w:val="24"/>
          <w:szCs w:val="24"/>
          <w:lang w:val="en-US"/>
        </w:rPr>
        <w:t xml:space="preserve"> Since placental weight was significantly different among the</w:t>
      </w:r>
      <w:r w:rsidR="00245026" w:rsidRPr="004B61EA">
        <w:rPr>
          <w:rFonts w:ascii="Arial" w:hAnsi="Arial" w:cs="Arial"/>
          <w:sz w:val="24"/>
          <w:szCs w:val="24"/>
          <w:lang w:val="en-US"/>
        </w:rPr>
        <w:t xml:space="preserve"> groups, this indicates that </w:t>
      </w:r>
      <w:r w:rsidR="00DD7E63" w:rsidRPr="004B61EA">
        <w:rPr>
          <w:rFonts w:ascii="Arial" w:hAnsi="Arial" w:cs="Arial"/>
          <w:sz w:val="24"/>
          <w:szCs w:val="24"/>
          <w:lang w:val="en-US"/>
        </w:rPr>
        <w:t xml:space="preserve">variation in </w:t>
      </w:r>
      <w:r w:rsidR="00245026" w:rsidRPr="004B61EA">
        <w:rPr>
          <w:rFonts w:ascii="Arial" w:hAnsi="Arial" w:cs="Arial"/>
          <w:sz w:val="24"/>
          <w:szCs w:val="24"/>
          <w:lang w:val="en-US"/>
        </w:rPr>
        <w:t>the placental weight determin</w:t>
      </w:r>
      <w:r w:rsidR="002D18D6" w:rsidRPr="004B61EA">
        <w:rPr>
          <w:rFonts w:ascii="Arial" w:hAnsi="Arial" w:cs="Arial"/>
          <w:sz w:val="24"/>
          <w:szCs w:val="24"/>
          <w:lang w:val="en-US"/>
        </w:rPr>
        <w:t>ed</w:t>
      </w:r>
      <w:r w:rsidR="00245026" w:rsidRPr="004B61EA">
        <w:rPr>
          <w:rFonts w:ascii="Arial" w:hAnsi="Arial" w:cs="Arial"/>
          <w:sz w:val="24"/>
          <w:szCs w:val="24"/>
          <w:lang w:val="en-US"/>
        </w:rPr>
        <w:t xml:space="preserve"> whether the</w:t>
      </w:r>
      <w:r w:rsidR="002D18D6" w:rsidRPr="004B61EA">
        <w:rPr>
          <w:rFonts w:ascii="Arial" w:hAnsi="Arial" w:cs="Arial"/>
          <w:sz w:val="24"/>
          <w:szCs w:val="24"/>
          <w:lang w:val="en-US"/>
        </w:rPr>
        <w:t>re</w:t>
      </w:r>
      <w:r w:rsidR="00245026" w:rsidRPr="004B61EA">
        <w:rPr>
          <w:rFonts w:ascii="Arial" w:hAnsi="Arial" w:cs="Arial"/>
          <w:sz w:val="24"/>
          <w:szCs w:val="24"/>
          <w:lang w:val="en-US"/>
        </w:rPr>
        <w:t xml:space="preserve"> </w:t>
      </w:r>
      <w:r w:rsidR="002D18D6" w:rsidRPr="004B61EA">
        <w:rPr>
          <w:rFonts w:ascii="Arial" w:hAnsi="Arial" w:cs="Arial"/>
          <w:sz w:val="24"/>
          <w:szCs w:val="24"/>
          <w:lang w:val="en-US"/>
        </w:rPr>
        <w:t>was</w:t>
      </w:r>
      <w:r w:rsidR="00245026" w:rsidRPr="004B61EA">
        <w:rPr>
          <w:rFonts w:ascii="Arial" w:hAnsi="Arial" w:cs="Arial"/>
          <w:sz w:val="24"/>
          <w:szCs w:val="24"/>
          <w:lang w:val="en-US"/>
        </w:rPr>
        <w:t xml:space="preserve"> low, normal or high BWPW-ratio.</w:t>
      </w:r>
      <w:r w:rsidR="00333138" w:rsidRPr="004B61EA">
        <w:rPr>
          <w:rFonts w:ascii="Arial" w:hAnsi="Arial" w:cs="Arial"/>
          <w:sz w:val="24"/>
          <w:szCs w:val="24"/>
          <w:lang w:val="en-US"/>
        </w:rPr>
        <w:t xml:space="preserve"> </w:t>
      </w:r>
    </w:p>
    <w:p w14:paraId="4828A365" w14:textId="630CA85E" w:rsidR="00A506D9" w:rsidRPr="004B61EA" w:rsidRDefault="003D2FC1" w:rsidP="00A91549">
      <w:pPr>
        <w:spacing w:after="0" w:line="480" w:lineRule="auto"/>
        <w:rPr>
          <w:rFonts w:ascii="Arial" w:hAnsi="Arial" w:cs="Arial"/>
          <w:sz w:val="24"/>
          <w:szCs w:val="24"/>
          <w:lang w:val="en-US"/>
        </w:rPr>
      </w:pPr>
      <w:r w:rsidRPr="004B61EA">
        <w:rPr>
          <w:rFonts w:ascii="Arial" w:hAnsi="Arial" w:cs="Arial"/>
          <w:sz w:val="24"/>
          <w:szCs w:val="24"/>
          <w:lang w:val="en-US"/>
        </w:rPr>
        <w:t>O</w:t>
      </w:r>
      <w:r w:rsidR="00E44552" w:rsidRPr="004B61EA">
        <w:rPr>
          <w:rFonts w:ascii="Arial" w:hAnsi="Arial" w:cs="Arial"/>
          <w:sz w:val="24"/>
          <w:szCs w:val="24"/>
          <w:lang w:val="en-US"/>
        </w:rPr>
        <w:t>ur results</w:t>
      </w:r>
      <w:r w:rsidRPr="004B61EA">
        <w:rPr>
          <w:rFonts w:ascii="Arial" w:hAnsi="Arial" w:cs="Arial"/>
          <w:sz w:val="24"/>
          <w:szCs w:val="24"/>
          <w:lang w:val="en-US"/>
        </w:rPr>
        <w:t xml:space="preserve"> show</w:t>
      </w:r>
      <w:r w:rsidR="00E44552" w:rsidRPr="004B61EA">
        <w:rPr>
          <w:rFonts w:ascii="Arial" w:hAnsi="Arial" w:cs="Arial"/>
          <w:sz w:val="24"/>
          <w:szCs w:val="24"/>
          <w:lang w:val="en-US"/>
        </w:rPr>
        <w:t xml:space="preserve"> that high BWPW-ratio </w:t>
      </w:r>
      <w:r w:rsidR="00463BBE" w:rsidRPr="004B61EA">
        <w:rPr>
          <w:rFonts w:ascii="Arial" w:hAnsi="Arial" w:cs="Arial"/>
          <w:sz w:val="24"/>
          <w:szCs w:val="24"/>
          <w:lang w:val="en-US"/>
        </w:rPr>
        <w:t>w</w:t>
      </w:r>
      <w:r w:rsidR="00E44552" w:rsidRPr="004B61EA">
        <w:rPr>
          <w:rFonts w:ascii="Arial" w:hAnsi="Arial" w:cs="Arial"/>
          <w:sz w:val="24"/>
          <w:szCs w:val="24"/>
          <w:lang w:val="en-US"/>
        </w:rPr>
        <w:t xml:space="preserve">as associated with lower risk of pre-eclampsia, </w:t>
      </w:r>
      <w:r w:rsidR="00463BBE" w:rsidRPr="004B61EA">
        <w:rPr>
          <w:rFonts w:ascii="Arial" w:hAnsi="Arial" w:cs="Arial"/>
          <w:sz w:val="24"/>
          <w:szCs w:val="24"/>
          <w:lang w:val="en-US"/>
        </w:rPr>
        <w:t xml:space="preserve">as well as </w:t>
      </w:r>
      <w:r w:rsidR="00E44552" w:rsidRPr="004B61EA">
        <w:rPr>
          <w:rFonts w:ascii="Arial" w:hAnsi="Arial" w:cs="Arial"/>
          <w:sz w:val="24"/>
          <w:szCs w:val="24"/>
          <w:lang w:val="en-US"/>
        </w:rPr>
        <w:t>with higher UtA and UmA Doppler flow velocity waveforms by the PI. This seems paradoxical since higher UtA PI is expected to predict pre-eclampsia</w:t>
      </w:r>
      <w:r w:rsidRPr="004B61EA">
        <w:rPr>
          <w:rFonts w:ascii="Arial" w:hAnsi="Arial" w:cs="Arial"/>
          <w:sz w:val="24"/>
          <w:szCs w:val="24"/>
          <w:lang w:val="en-US"/>
        </w:rPr>
        <w:t>. We have previously shown that a smaller placental surface area is associated with higher UtA PI. We interpreted this as indicating that the number of maternal resistance vessels invaded by the trophoblast may be a determinant of the reduction in resistance in the uterine circulation, as well as the depth of the invasion. Hence, a smaller placental weight (relative to birth weight) could also be associated with higher UtA PI</w:t>
      </w:r>
      <w:r w:rsidR="00463BBE" w:rsidRPr="004B61EA">
        <w:rPr>
          <w:rFonts w:ascii="Arial" w:hAnsi="Arial" w:cs="Arial"/>
          <w:sz w:val="24"/>
          <w:szCs w:val="24"/>
          <w:lang w:val="en-US"/>
        </w:rPr>
        <w:t>. In relation to UmA Doppler, the cardiac output of the fetus will vary according to its weight. With higher BWPW-ratios, it is plausible that there will be a greater fetal blood flow per unit of placental weight and this could lead to alteration in the flow velocity waveform.</w:t>
      </w:r>
      <w:r w:rsidR="00265814" w:rsidRPr="004B61EA">
        <w:rPr>
          <w:rFonts w:ascii="Arial" w:hAnsi="Arial" w:cs="Arial"/>
          <w:sz w:val="24"/>
          <w:szCs w:val="24"/>
          <w:lang w:val="en-US"/>
        </w:rPr>
        <w:t xml:space="preserve"> </w:t>
      </w:r>
      <w:r w:rsidR="00193E0B" w:rsidRPr="004B61EA">
        <w:rPr>
          <w:rFonts w:ascii="Arial" w:hAnsi="Arial" w:cs="Arial"/>
          <w:sz w:val="24"/>
          <w:szCs w:val="24"/>
          <w:lang w:val="en-US"/>
        </w:rPr>
        <w:t>More</w:t>
      </w:r>
      <w:r w:rsidR="0043665B" w:rsidRPr="004B61EA">
        <w:rPr>
          <w:rFonts w:ascii="Arial" w:hAnsi="Arial" w:cs="Arial"/>
          <w:sz w:val="24"/>
          <w:szCs w:val="24"/>
          <w:lang w:val="en-US"/>
        </w:rPr>
        <w:t>o</w:t>
      </w:r>
      <w:r w:rsidR="00193E0B" w:rsidRPr="004B61EA">
        <w:rPr>
          <w:rFonts w:ascii="Arial" w:hAnsi="Arial" w:cs="Arial"/>
          <w:sz w:val="24"/>
          <w:szCs w:val="24"/>
          <w:lang w:val="en-US"/>
        </w:rPr>
        <w:t>ver</w:t>
      </w:r>
      <w:r w:rsidR="00265814" w:rsidRPr="004B61EA">
        <w:rPr>
          <w:rFonts w:ascii="Arial" w:hAnsi="Arial" w:cs="Arial"/>
          <w:sz w:val="24"/>
          <w:szCs w:val="24"/>
          <w:lang w:val="en-US"/>
        </w:rPr>
        <w:t>, release of factors from the placenta, including soluble fms-like tyrosine kinase 1, has a key role in the etiology of preeclampsia. Consistent with this, clinical conditions associated with a greater mass of placental tissue, such as multiple pregnancy</w:t>
      </w:r>
      <w:r w:rsidR="00193E0B" w:rsidRPr="004B61EA">
        <w:rPr>
          <w:rFonts w:ascii="Arial" w:hAnsi="Arial" w:cs="Arial"/>
          <w:sz w:val="24"/>
          <w:szCs w:val="24"/>
          <w:lang w:val="en-US"/>
        </w:rPr>
        <w:t>,</w:t>
      </w:r>
      <w:r w:rsidR="00265814" w:rsidRPr="004B61EA">
        <w:rPr>
          <w:rFonts w:ascii="Arial" w:hAnsi="Arial" w:cs="Arial"/>
          <w:sz w:val="24"/>
          <w:szCs w:val="24"/>
          <w:lang w:val="en-US"/>
        </w:rPr>
        <w:t xml:space="preserve"> are associated with an increased risk of preeclampsia. The apparent protective effective of high BWPW ratio for preeclampsia could be related to smaller placental size.</w:t>
      </w:r>
      <w:r w:rsidR="00BC09DC" w:rsidRPr="004B61EA">
        <w:rPr>
          <w:rFonts w:ascii="Arial" w:hAnsi="Arial" w:cs="Arial"/>
          <w:sz w:val="24"/>
          <w:szCs w:val="24"/>
          <w:lang w:val="en-US"/>
        </w:rPr>
        <w:t xml:space="preserve"> </w:t>
      </w:r>
      <w:r w:rsidR="00A112DB" w:rsidRPr="004B61EA">
        <w:rPr>
          <w:rFonts w:ascii="Arial" w:hAnsi="Arial" w:cs="Arial"/>
          <w:sz w:val="24"/>
          <w:szCs w:val="24"/>
          <w:lang w:val="en-US"/>
        </w:rPr>
        <w:t>Finally, although the BWPW ratio is a relatively easy measurement which provides some information about placental function, it has to be acknowledged that the determinants of any given placental function are highly complex and either increased or decreased ratios could vary with these factors in multiple ways. For example, considering placental oxygen transfer, determinants include uterine blood flow, maternal and fetal hemoglobin (concentration and affinity), matching and mismatching of maternal and fetal placental perfusion, the diffusion capacity of the placental surface, including the extent and thickness of the vasculo-syncytial membranes</w:t>
      </w:r>
      <w:r w:rsidR="00F1675F" w:rsidRPr="004B61EA">
        <w:rPr>
          <w:rFonts w:ascii="Arial" w:hAnsi="Arial" w:cs="Arial"/>
          <w:sz w:val="24"/>
          <w:szCs w:val="24"/>
          <w:lang w:val="en-US"/>
        </w:rPr>
        <w:t>, and the oxygen utilization of the placenta itself (see Carter 2015</w:t>
      </w:r>
      <w:r w:rsidR="00077729" w:rsidRPr="004B61EA">
        <w:rPr>
          <w:rFonts w:ascii="Arial" w:hAnsi="Arial" w:cs="Arial"/>
          <w:sz w:val="24"/>
          <w:szCs w:val="24"/>
          <w:lang w:val="en-US"/>
        </w:rPr>
        <w:t xml:space="preserve"> </w:t>
      </w:r>
      <w:r w:rsidR="00077729" w:rsidRPr="004B61EA">
        <w:rPr>
          <w:rFonts w:ascii="Arial" w:hAnsi="Arial" w:cs="Arial"/>
          <w:sz w:val="24"/>
          <w:szCs w:val="24"/>
          <w:lang w:val="en-US"/>
        </w:rPr>
        <w:fldChar w:fldCharType="begin" w:fldLock="1"/>
      </w:r>
      <w:r w:rsidR="00077729" w:rsidRPr="004B61EA">
        <w:rPr>
          <w:rFonts w:ascii="Arial" w:hAnsi="Arial" w:cs="Arial"/>
          <w:sz w:val="24"/>
          <w:szCs w:val="24"/>
          <w:lang w:val="en-US"/>
        </w:rPr>
        <w:instrText>ADDIN CSL_CITATION { "citationItems" : [ { "id" : "ITEM-1", "itemData" : { "DOI" : "10.1002/cphy.c140073", "ISSN" : "2040-4603", "PMID" : "26140722", "abstract" : "The oxygen supply of the fetus depends on the blood oxygen content and flow rate in the uterine and umbilical arteries and the diffusing capacity of the placenta. Oxygen consumption by the placenta is a significant factor and a potential limitation on availability to the fetus. The relevance of these several factors as well as responses to acute or sustained hypoxia has been explored in the sheep model. In addition, much has been learned in the context of hypobaric hypoxia by studying human populations that have resided at high altitude for varying periods of time. Embryonic development occurs under anaerobic conditions and even the fetus is adapted to a low oxygen environment. Nevertheless, there is a reserve capacity, and during acute hypoxia the fetus can counter a 50% reduction in oxygen delivery by increasing fractional extraction. During sustained hypoxia, on the other hand, fetal growth is slowed, although oxygen consumption is unaltered when corrected for fetal mass. Similarly, birth weight is reduced in humans living at high altitude even if the effect is tempered in those with a long highland ancestry. Placental mass changes little during sustained hypoxia in sheep or humans at high altitude. This conceals the fact that there are structural changes and that placental oxygen consumption is reduced. The underlying mechanisms are a current focus of research. One intriguing possibility is that increased anaerobic metabolism of glucose in the placenta spares oxygen for the fetus but reduces its supply of substrate and thereby limits fetal growth.", "author" : [ { "dropping-particle" : "", "family" : "Carter", "given" : "Anthony M", "non-dropping-particle" : "", "parse-names" : false, "suffix" : "" } ], "container-title" : "Comprehensive Physiology", "id" : "ITEM-1", "issue" : "3", "issued" : { "date-parts" : [ [ "2015", "7", "1" ] ] }, "page" : "1381-403", "publisher" : "John Wiley &amp; Sons, Inc.", "publisher-place" : "Hoboken, NJ, USA", "title" : "Placental Gas Exchange and the Oxygen Supply to the Fetus.", "type" : "article-journal", "volume" : "5" }, "uris" : [ "http://www.mendeley.com/documents/?uuid=5140459d-91b0-3235-b507-76aebccf171f" ] } ], "mendeley" : { "formattedCitation" : "[31]", "plainTextFormattedCitation" : "[31]", "previouslyFormattedCitation" : "[31]" }, "properties" : { "noteIndex" : 0 }, "schema" : "https://github.com/citation-style-language/schema/raw/master/csl-citation.json" }</w:instrText>
      </w:r>
      <w:r w:rsidR="00077729" w:rsidRPr="004B61EA">
        <w:rPr>
          <w:rFonts w:ascii="Arial" w:hAnsi="Arial" w:cs="Arial"/>
          <w:sz w:val="24"/>
          <w:szCs w:val="24"/>
          <w:lang w:val="en-US"/>
        </w:rPr>
        <w:fldChar w:fldCharType="separate"/>
      </w:r>
      <w:r w:rsidR="00077729" w:rsidRPr="004B61EA">
        <w:rPr>
          <w:rFonts w:ascii="Arial" w:hAnsi="Arial" w:cs="Arial"/>
          <w:noProof/>
          <w:sz w:val="24"/>
          <w:szCs w:val="24"/>
          <w:lang w:val="en-US"/>
        </w:rPr>
        <w:t>[31]</w:t>
      </w:r>
      <w:r w:rsidR="00077729" w:rsidRPr="004B61EA">
        <w:rPr>
          <w:rFonts w:ascii="Arial" w:hAnsi="Arial" w:cs="Arial"/>
          <w:sz w:val="24"/>
          <w:szCs w:val="24"/>
          <w:lang w:val="en-US"/>
        </w:rPr>
        <w:fldChar w:fldCharType="end"/>
      </w:r>
      <w:r w:rsidR="00077729" w:rsidRPr="004B61EA">
        <w:rPr>
          <w:rFonts w:ascii="Arial" w:hAnsi="Arial" w:cs="Arial"/>
          <w:sz w:val="24"/>
          <w:szCs w:val="24"/>
          <w:lang w:val="en-US"/>
        </w:rPr>
        <w:t xml:space="preserve"> </w:t>
      </w:r>
      <w:r w:rsidR="00F1675F" w:rsidRPr="004B61EA">
        <w:rPr>
          <w:rFonts w:ascii="Arial" w:hAnsi="Arial" w:cs="Arial"/>
          <w:sz w:val="24"/>
          <w:szCs w:val="24"/>
          <w:lang w:val="en-US"/>
        </w:rPr>
        <w:t>for review). Given the underlying complexity of the function of the organ and the relatively crude nature of the BWPW ratio, it is unsurprising that associations are complex</w:t>
      </w:r>
      <w:r w:rsidR="00A419FD" w:rsidRPr="004B61EA">
        <w:rPr>
          <w:rFonts w:ascii="Arial" w:hAnsi="Arial" w:cs="Arial"/>
          <w:sz w:val="24"/>
          <w:szCs w:val="24"/>
          <w:lang w:val="en-US"/>
        </w:rPr>
        <w:t xml:space="preserve"> </w:t>
      </w:r>
      <w:r w:rsidR="00077729" w:rsidRPr="004B61EA">
        <w:rPr>
          <w:rFonts w:ascii="Arial" w:hAnsi="Arial" w:cs="Arial"/>
          <w:sz w:val="24"/>
          <w:szCs w:val="24"/>
          <w:lang w:val="en-US"/>
        </w:rPr>
        <w:fldChar w:fldCharType="begin" w:fldLock="1"/>
      </w:r>
      <w:r w:rsidR="00207B7C" w:rsidRPr="004B61EA">
        <w:rPr>
          <w:rFonts w:ascii="Arial" w:hAnsi="Arial" w:cs="Arial"/>
          <w:sz w:val="24"/>
          <w:szCs w:val="24"/>
          <w:lang w:val="en-US"/>
        </w:rPr>
        <w:instrText>ADDIN CSL_CITATION { "citationItems" : [ { "id" : "ITEM-1", "itemData" : { "DOI" : "10.1101/cshperspect.a023473", "ISSN" : "2157-1422", "author" : [ { "dropping-particle" : "", "family" : "Hod", "given" : "Tammy", "non-dropping-particle" : "", "parse-names" : false, "suffix" : "" }, { "dropping-particle" : "", "family" : "Cerdeira", "given" : "Ana Sofia", "non-dropping-particle" : "", "parse-names" : false, "suffix" : "" }, { "dropping-particle" : "", "family" : "Karumanchi", "given" : "S. Ananth", "non-dropping-particle" : "", "parse-names" : false, "suffix" : "" } ], "container-title" : "Cold Spring Harbor Perspectives in Medicine", "id" : "ITEM-1", "issue" : "10", "issued" : { "date-parts" : [ [ "2015", "10" ] ] }, "page" : "a023473", "title" : "Molecular Mechanisms of Preeclampsia", "type" : "article-journal", "volume" : "5" }, "uris" : [ "http://www.mendeley.com/documents/?uuid=f6bc081c-5759-334b-bb31-c07b17c20af9" ] }, { "id" : "ITEM-2", "itemData" : { "DOI" : "10.1055/s-0037-1607297", "ISSN" : "0735-1631", "PMID" : "29020697", "abstract" : "&lt;p&gt;Objective\u2003Our primary objective was to compare the differential contribution of fetal number and maternal age to the risk of hypertensive disorders of pregnancy (HDP).&lt;/p&gt;", "author" : [ { "dropping-particle" : "", "family" : "Smith", "given" : "Devin", "non-dropping-particle" : "", "parse-names" : false, "suffix" : "" }, { "dropping-particle" : "", "family" : "Merriam", "given" : "Audrey", "non-dropping-particle" : "", "parse-names" : false, "suffix" : "" }, { "dropping-particle" : "", "family" : "Jung", "given" : "Julley", "non-dropping-particle" : "", "parse-names" : false, "suffix" : "" }, { "dropping-particle" : "", "family" : "Gyamfi-Bannerman", "given" : "Cynthia", "non-dropping-particle" : "", "parse-names" : false, "suffix" : "" } ], "container-title" : "American Journal of Perinatology", "id" : "ITEM-2", "issued" : { "date-parts" : [ [ "2017", "10", "11" ] ] }, "title" : "Effect of Maternal Age and Fetal Number on the Risk of Hypertensive Disorders of Pregnancy", "type" : "article-journal" }, "uris" : [ "http://www.mendeley.com/documents/?uuid=0cc94cdc-58f2-35a0-9886-d66676b23a85" ] } ], "mendeley" : { "formattedCitation" : "[32,33]", "plainTextFormattedCitation" : "[32,33]", "previouslyFormattedCitation" : "[32]" }, "properties" : { "noteIndex" : 0 }, "schema" : "https://github.com/citation-style-language/schema/raw/master/csl-citation.json" }</w:instrText>
      </w:r>
      <w:r w:rsidR="00077729" w:rsidRPr="004B61EA">
        <w:rPr>
          <w:rFonts w:ascii="Arial" w:hAnsi="Arial" w:cs="Arial"/>
          <w:sz w:val="24"/>
          <w:szCs w:val="24"/>
          <w:lang w:val="en-US"/>
        </w:rPr>
        <w:fldChar w:fldCharType="separate"/>
      </w:r>
      <w:r w:rsidR="00207B7C" w:rsidRPr="004B61EA">
        <w:rPr>
          <w:rFonts w:ascii="Arial" w:hAnsi="Arial" w:cs="Arial"/>
          <w:noProof/>
          <w:sz w:val="24"/>
          <w:szCs w:val="24"/>
          <w:lang w:val="en-US"/>
        </w:rPr>
        <w:t>[32,33]</w:t>
      </w:r>
      <w:r w:rsidR="00077729" w:rsidRPr="004B61EA">
        <w:rPr>
          <w:rFonts w:ascii="Arial" w:hAnsi="Arial" w:cs="Arial"/>
          <w:sz w:val="24"/>
          <w:szCs w:val="24"/>
          <w:lang w:val="en-US"/>
        </w:rPr>
        <w:fldChar w:fldCharType="end"/>
      </w:r>
      <w:r w:rsidR="00F1675F" w:rsidRPr="004B61EA">
        <w:rPr>
          <w:rFonts w:ascii="Arial" w:hAnsi="Arial" w:cs="Arial"/>
          <w:sz w:val="24"/>
          <w:szCs w:val="24"/>
          <w:lang w:val="en-US"/>
        </w:rPr>
        <w:t>.</w:t>
      </w:r>
    </w:p>
    <w:p w14:paraId="7126EF53" w14:textId="35B15363" w:rsidR="00DD7E63" w:rsidRPr="004B61EA" w:rsidRDefault="0098017A" w:rsidP="008840E6">
      <w:pPr>
        <w:spacing w:after="0" w:line="480" w:lineRule="auto"/>
        <w:rPr>
          <w:rFonts w:ascii="Arial" w:hAnsi="Arial" w:cs="Arial"/>
          <w:sz w:val="24"/>
          <w:szCs w:val="24"/>
          <w:lang w:val="en-US"/>
        </w:rPr>
      </w:pPr>
      <w:r w:rsidRPr="004B61EA">
        <w:rPr>
          <w:rFonts w:ascii="Arial" w:hAnsi="Arial" w:cs="Arial"/>
          <w:sz w:val="24"/>
          <w:szCs w:val="24"/>
          <w:lang w:val="en-US"/>
        </w:rPr>
        <w:t xml:space="preserve">Our study has strengths and weaknesses. </w:t>
      </w:r>
      <w:r w:rsidR="00E02965" w:rsidRPr="004B61EA">
        <w:rPr>
          <w:rFonts w:ascii="Arial" w:hAnsi="Arial" w:cs="Arial"/>
          <w:sz w:val="24"/>
          <w:szCs w:val="24"/>
          <w:lang w:val="en-US"/>
        </w:rPr>
        <w:t>One of the strengths of this study is that it includes blinded ultrasonographic assessment in a large cohort through all trimesters of pregnancy. The strength of this approach is that disclosure of the scan results could have led to differential treatment of the women based on the information of the scans, which could have biased the re</w:t>
      </w:r>
      <w:r w:rsidR="00826D21" w:rsidRPr="004B61EA">
        <w:rPr>
          <w:rFonts w:ascii="Arial" w:hAnsi="Arial" w:cs="Arial"/>
          <w:sz w:val="24"/>
          <w:szCs w:val="24"/>
          <w:lang w:val="en-US"/>
        </w:rPr>
        <w:t>s</w:t>
      </w:r>
      <w:r w:rsidR="00E02965" w:rsidRPr="004B61EA">
        <w:rPr>
          <w:rFonts w:ascii="Arial" w:hAnsi="Arial" w:cs="Arial"/>
          <w:sz w:val="24"/>
          <w:szCs w:val="24"/>
          <w:lang w:val="en-US"/>
        </w:rPr>
        <w:t xml:space="preserve">ults. </w:t>
      </w:r>
      <w:r w:rsidR="00FD32F6" w:rsidRPr="004B61EA">
        <w:rPr>
          <w:rFonts w:ascii="Arial" w:hAnsi="Arial" w:cs="Arial"/>
          <w:sz w:val="24"/>
          <w:szCs w:val="24"/>
          <w:lang w:val="en-US"/>
        </w:rPr>
        <w:t>Another key feature of our study is that we wrote a prospective analysis plan</w:t>
      </w:r>
      <w:r w:rsidR="00365F18" w:rsidRPr="004B61EA">
        <w:rPr>
          <w:rFonts w:ascii="Arial" w:hAnsi="Arial" w:cs="Arial"/>
          <w:sz w:val="24"/>
          <w:szCs w:val="24"/>
          <w:lang w:val="en-US"/>
        </w:rPr>
        <w:t xml:space="preserve"> (available from authors by request)</w:t>
      </w:r>
      <w:r w:rsidR="00FD32F6" w:rsidRPr="004B61EA">
        <w:rPr>
          <w:rFonts w:ascii="Arial" w:hAnsi="Arial" w:cs="Arial"/>
          <w:sz w:val="24"/>
          <w:szCs w:val="24"/>
          <w:lang w:val="en-US"/>
        </w:rPr>
        <w:t>, where we pre-specified the primary hypotheses and the analytic approach before we approached the resource of data available. Many of the previous studies addressing BWPW-ratio have lacked this rigo</w:t>
      </w:r>
      <w:r w:rsidR="004A1F49" w:rsidRPr="004B61EA">
        <w:rPr>
          <w:rFonts w:ascii="Arial" w:hAnsi="Arial" w:cs="Arial"/>
          <w:sz w:val="24"/>
          <w:szCs w:val="24"/>
          <w:lang w:val="en-US"/>
        </w:rPr>
        <w:t xml:space="preserve">r. </w:t>
      </w:r>
      <w:r w:rsidR="00231DAC" w:rsidRPr="004B61EA">
        <w:rPr>
          <w:rFonts w:ascii="Arial" w:hAnsi="Arial" w:cs="Arial"/>
          <w:sz w:val="24"/>
          <w:szCs w:val="24"/>
          <w:lang w:val="en-US"/>
        </w:rPr>
        <w:t xml:space="preserve">The only addition we have made to our initial analysis plan is that we have included the data on preeclampsia. </w:t>
      </w:r>
      <w:r w:rsidR="005E2B5C" w:rsidRPr="004B61EA">
        <w:rPr>
          <w:rFonts w:ascii="Arial" w:hAnsi="Arial" w:cs="Arial"/>
          <w:sz w:val="24"/>
          <w:szCs w:val="24"/>
          <w:lang w:val="en-US"/>
        </w:rPr>
        <w:t xml:space="preserve">Furthermore, </w:t>
      </w:r>
      <w:r w:rsidR="000B3562" w:rsidRPr="004B61EA">
        <w:rPr>
          <w:rFonts w:ascii="Arial" w:hAnsi="Arial" w:cs="Arial"/>
          <w:sz w:val="24"/>
          <w:szCs w:val="24"/>
          <w:lang w:val="en-US"/>
        </w:rPr>
        <w:t>other</w:t>
      </w:r>
      <w:r w:rsidR="005E2B5C" w:rsidRPr="004B61EA">
        <w:rPr>
          <w:rFonts w:ascii="Arial" w:hAnsi="Arial" w:cs="Arial"/>
          <w:sz w:val="24"/>
          <w:szCs w:val="24"/>
          <w:lang w:val="en-US"/>
        </w:rPr>
        <w:t xml:space="preserve"> </w:t>
      </w:r>
      <w:r w:rsidR="000B3562" w:rsidRPr="004B61EA">
        <w:rPr>
          <w:rFonts w:ascii="Arial" w:hAnsi="Arial" w:cs="Arial"/>
          <w:sz w:val="24"/>
          <w:szCs w:val="24"/>
          <w:lang w:val="en-US"/>
        </w:rPr>
        <w:t>additional analyses</w:t>
      </w:r>
      <w:r w:rsidR="005E2B5C" w:rsidRPr="004B61EA">
        <w:rPr>
          <w:rFonts w:ascii="Arial" w:hAnsi="Arial" w:cs="Arial"/>
          <w:sz w:val="24"/>
          <w:szCs w:val="24"/>
          <w:lang w:val="en-US"/>
        </w:rPr>
        <w:t xml:space="preserve"> </w:t>
      </w:r>
      <w:r w:rsidR="00F93EF4" w:rsidRPr="004B61EA">
        <w:rPr>
          <w:rFonts w:ascii="Arial" w:hAnsi="Arial" w:cs="Arial"/>
          <w:sz w:val="24"/>
          <w:szCs w:val="24"/>
          <w:lang w:val="en-US"/>
        </w:rPr>
        <w:t xml:space="preserve">were </w:t>
      </w:r>
      <w:r w:rsidR="000B3562" w:rsidRPr="004B61EA">
        <w:rPr>
          <w:rFonts w:ascii="Arial" w:hAnsi="Arial" w:cs="Arial"/>
          <w:sz w:val="24"/>
          <w:szCs w:val="24"/>
          <w:lang w:val="en-US"/>
        </w:rPr>
        <w:t xml:space="preserve">performed </w:t>
      </w:r>
      <w:r w:rsidR="00F93EF4" w:rsidRPr="004B61EA">
        <w:rPr>
          <w:rFonts w:ascii="Arial" w:hAnsi="Arial" w:cs="Arial"/>
          <w:sz w:val="24"/>
          <w:szCs w:val="24"/>
          <w:lang w:val="en-US"/>
        </w:rPr>
        <w:t>as requested by reviewers</w:t>
      </w:r>
      <w:r w:rsidR="004A1F49" w:rsidRPr="004B61EA">
        <w:rPr>
          <w:rFonts w:ascii="Arial" w:hAnsi="Arial" w:cs="Arial"/>
          <w:sz w:val="24"/>
          <w:szCs w:val="24"/>
          <w:lang w:val="en-US"/>
        </w:rPr>
        <w:t>.</w:t>
      </w:r>
      <w:r w:rsidR="00E02965" w:rsidRPr="004B61EA">
        <w:rPr>
          <w:rFonts w:ascii="Arial" w:hAnsi="Arial" w:cs="Arial"/>
          <w:sz w:val="24"/>
          <w:szCs w:val="24"/>
          <w:lang w:val="en-US"/>
        </w:rPr>
        <w:t xml:space="preserve"> </w:t>
      </w:r>
      <w:r w:rsidR="004A1F49" w:rsidRPr="004B61EA">
        <w:rPr>
          <w:rFonts w:ascii="Arial" w:hAnsi="Arial" w:cs="Arial"/>
          <w:sz w:val="24"/>
          <w:szCs w:val="24"/>
          <w:lang w:val="en-US"/>
        </w:rPr>
        <w:t xml:space="preserve">A </w:t>
      </w:r>
      <w:r w:rsidR="00E02965" w:rsidRPr="004B61EA">
        <w:rPr>
          <w:rFonts w:ascii="Arial" w:hAnsi="Arial" w:cs="Arial"/>
          <w:sz w:val="24"/>
          <w:szCs w:val="24"/>
          <w:lang w:val="en-US"/>
        </w:rPr>
        <w:t>limitati</w:t>
      </w:r>
      <w:r w:rsidR="00826D21" w:rsidRPr="004B61EA">
        <w:rPr>
          <w:rFonts w:ascii="Arial" w:hAnsi="Arial" w:cs="Arial"/>
          <w:sz w:val="24"/>
          <w:szCs w:val="24"/>
          <w:lang w:val="en-US"/>
        </w:rPr>
        <w:t xml:space="preserve">on of this </w:t>
      </w:r>
      <w:r w:rsidR="002D18D6" w:rsidRPr="004B61EA">
        <w:rPr>
          <w:rFonts w:ascii="Arial" w:hAnsi="Arial" w:cs="Arial"/>
          <w:sz w:val="24"/>
          <w:szCs w:val="24"/>
          <w:lang w:val="en-US"/>
        </w:rPr>
        <w:t xml:space="preserve">report </w:t>
      </w:r>
      <w:r w:rsidR="00826D21" w:rsidRPr="004B61EA">
        <w:rPr>
          <w:rFonts w:ascii="Arial" w:hAnsi="Arial" w:cs="Arial"/>
          <w:sz w:val="24"/>
          <w:szCs w:val="24"/>
          <w:lang w:val="en-US"/>
        </w:rPr>
        <w:t>is the</w:t>
      </w:r>
      <w:r w:rsidR="00E02965" w:rsidRPr="004B61EA">
        <w:rPr>
          <w:rFonts w:ascii="Arial" w:hAnsi="Arial" w:cs="Arial"/>
          <w:sz w:val="24"/>
          <w:szCs w:val="24"/>
          <w:lang w:val="en-US"/>
        </w:rPr>
        <w:t xml:space="preserve"> fact that this study was confi</w:t>
      </w:r>
      <w:r w:rsidR="00826D21" w:rsidRPr="004B61EA">
        <w:rPr>
          <w:rFonts w:ascii="Arial" w:hAnsi="Arial" w:cs="Arial"/>
          <w:sz w:val="24"/>
          <w:szCs w:val="24"/>
          <w:lang w:val="en-US"/>
        </w:rPr>
        <w:t>n</w:t>
      </w:r>
      <w:r w:rsidR="00E02965" w:rsidRPr="004B61EA">
        <w:rPr>
          <w:rFonts w:ascii="Arial" w:hAnsi="Arial" w:cs="Arial"/>
          <w:sz w:val="24"/>
          <w:szCs w:val="24"/>
          <w:lang w:val="en-US"/>
        </w:rPr>
        <w:t xml:space="preserve">ed to nulliparous women who were largely of white ethnicity. This </w:t>
      </w:r>
      <w:r w:rsidR="00DD08E1" w:rsidRPr="004B61EA">
        <w:rPr>
          <w:rFonts w:ascii="Arial" w:hAnsi="Arial" w:cs="Arial"/>
          <w:sz w:val="24"/>
          <w:szCs w:val="24"/>
          <w:lang w:val="en-US"/>
        </w:rPr>
        <w:t>constrains extrapolation of</w:t>
      </w:r>
      <w:r w:rsidR="00E02965" w:rsidRPr="004B61EA">
        <w:rPr>
          <w:rFonts w:ascii="Arial" w:hAnsi="Arial" w:cs="Arial"/>
          <w:sz w:val="24"/>
          <w:szCs w:val="24"/>
          <w:lang w:val="en-US"/>
        </w:rPr>
        <w:t xml:space="preserve"> the results to other ethnicities. However, the homogeneity of the study population makes the risk of possible confounding less likely</w:t>
      </w:r>
      <w:r w:rsidR="00B159EE" w:rsidRPr="004B61EA">
        <w:rPr>
          <w:rFonts w:ascii="Arial" w:hAnsi="Arial" w:cs="Arial"/>
          <w:sz w:val="24"/>
          <w:szCs w:val="24"/>
          <w:lang w:val="en-US"/>
        </w:rPr>
        <w:t>. The</w:t>
      </w:r>
      <w:r w:rsidR="00C13D4F" w:rsidRPr="004B61EA">
        <w:rPr>
          <w:rFonts w:ascii="Arial" w:hAnsi="Arial" w:cs="Arial"/>
          <w:sz w:val="24"/>
          <w:szCs w:val="24"/>
          <w:lang w:val="en-US"/>
        </w:rPr>
        <w:t xml:space="preserve"> number of</w:t>
      </w:r>
      <w:r w:rsidR="000C6C15" w:rsidRPr="004B61EA">
        <w:rPr>
          <w:rFonts w:ascii="Arial" w:hAnsi="Arial" w:cs="Arial"/>
          <w:sz w:val="24"/>
          <w:szCs w:val="24"/>
          <w:lang w:val="en-US"/>
        </w:rPr>
        <w:t xml:space="preserve"> stillbirths in this cohort was</w:t>
      </w:r>
      <w:r w:rsidR="00C13D4F" w:rsidRPr="004B61EA">
        <w:rPr>
          <w:rFonts w:ascii="Arial" w:hAnsi="Arial" w:cs="Arial"/>
          <w:sz w:val="24"/>
          <w:szCs w:val="24"/>
          <w:lang w:val="en-US"/>
        </w:rPr>
        <w:t xml:space="preserve"> too small to study</w:t>
      </w:r>
      <w:r w:rsidR="000C6C15" w:rsidRPr="004B61EA">
        <w:rPr>
          <w:rFonts w:ascii="Arial" w:hAnsi="Arial" w:cs="Arial"/>
          <w:sz w:val="24"/>
          <w:szCs w:val="24"/>
          <w:lang w:val="en-US"/>
        </w:rPr>
        <w:t xml:space="preserve"> it as an outcome. S</w:t>
      </w:r>
      <w:r w:rsidR="00C13D4F" w:rsidRPr="004B61EA">
        <w:rPr>
          <w:rFonts w:ascii="Arial" w:hAnsi="Arial" w:cs="Arial"/>
          <w:sz w:val="24"/>
          <w:szCs w:val="24"/>
          <w:lang w:val="en-US"/>
        </w:rPr>
        <w:t xml:space="preserve">tillbirths were excluded </w:t>
      </w:r>
      <w:r w:rsidR="000C6C15" w:rsidRPr="004B61EA">
        <w:rPr>
          <w:rFonts w:ascii="Arial" w:hAnsi="Arial" w:cs="Arial"/>
          <w:sz w:val="24"/>
          <w:szCs w:val="24"/>
          <w:lang w:val="en-US"/>
        </w:rPr>
        <w:t>from the analyses as there is</w:t>
      </w:r>
      <w:r w:rsidR="00C13D4F" w:rsidRPr="004B61EA">
        <w:rPr>
          <w:rFonts w:ascii="Arial" w:hAnsi="Arial" w:cs="Arial"/>
          <w:sz w:val="24"/>
          <w:szCs w:val="24"/>
          <w:lang w:val="en-US"/>
        </w:rPr>
        <w:t xml:space="preserve"> uncertainty about post mortem weight changes in both the placenta and fetus</w:t>
      </w:r>
      <w:r w:rsidR="00320378" w:rsidRPr="004B61EA">
        <w:rPr>
          <w:rFonts w:ascii="Arial" w:hAnsi="Arial" w:cs="Arial"/>
          <w:sz w:val="24"/>
          <w:szCs w:val="24"/>
          <w:lang w:val="en-US"/>
        </w:rPr>
        <w:t xml:space="preserve"> </w:t>
      </w:r>
      <w:r w:rsidR="00320378" w:rsidRPr="004B61EA">
        <w:rPr>
          <w:rFonts w:ascii="Arial" w:hAnsi="Arial" w:cs="Arial"/>
          <w:sz w:val="24"/>
          <w:szCs w:val="24"/>
          <w:lang w:val="en-US"/>
        </w:rPr>
        <w:fldChar w:fldCharType="begin" w:fldLock="1"/>
      </w:r>
      <w:r w:rsidR="00207B7C" w:rsidRPr="004B61EA">
        <w:rPr>
          <w:rFonts w:ascii="Arial" w:hAnsi="Arial" w:cs="Arial"/>
          <w:sz w:val="24"/>
          <w:szCs w:val="24"/>
          <w:lang w:val="en-US"/>
        </w:rPr>
        <w:instrText>ADDIN CSL_CITATION { "citationItems" : [ { "id" : "ITEM-1", "itemData" : { "DOI" : "10.1002/uog.16019", "ISSN" : "09607692", "PMID" : "27781319", "abstract" : "OBJECTIVES Placental abnormalities are a common cause of death in stillbirth, ranking second only to unexplained deaths, though there is wide variation in the proportion attributed to placental disease. In clinical practice, interpretation of the significance of placental findings is difficult, since many placental features in stillbirths overlap with those in live births. Our aim was to examine objectively classified placental findings from a series of &gt; 1000 autopsies following intrauterine death in order to evaluate the role of placental histological examination in determining the cause of death. METHODS As part of a larger study evaluating several aspects of autopsy findings in intrauterine death, a dedicated database was used to collate antenatal and postmortem examination details for all cases examined between 2005 and 2013 at two tertiary specialist centers in London, UK. Histological findings for placentas were evaluated in relation to the final cause of death. RESULTS Among 1064 intrauterine deaths, 946 (89%) cases had the placenta submitted for examination as part of the autopsy. Of these, 307 (32%) cases had the cause of death assigned to abnormalities of the placenta, cord or membranes. Around one third of stillbirths (\u2265 24 weeks) had some isolated placental histological abnormality identified, many of uncertain significance, a significantly greater proportion than in cases of second-trimester intrauterine fetal demise (P &lt; 0.0001). The cause of death was ascending infection in 176/946 (19%) cases, peaking at 22 weeks' gestation, with significantly more black mothers having ascending infection compared with other ethnicities (P &lt; 0.0001). Maternal vascular malperfusion was the largest category of placental abnormalities in stillbirth, with peak prevalence in the early third trimester. There were 18 (2%) cases with specific histological abnormalities, including chronic histiocytic intervillositis and massive perivillous fibrin deposition. CONCLUSIONS Placental pathologies represent the largest category of cause of intrauterine death. Placental histological examination is the single most useful component of the autopsy process in this clinical setting. A minority of cases are associated with specific placental pathologies, often with high recurrence rates, that can be diagnosed only on microscopic examination of the placenta. Many deaths remain unexplained, although placental histological lesions may be present which are of uncertain significa\u2026", "author" : [ { "dropping-particle" : "", "family" : "Man", "given" : "J.", "non-dropping-particle" : "", "parse-names" : false, "suffix" : "" }, { "dropping-particle" : "", "family" : "Hutchinson", "given" : "J. C.", "non-dropping-particle" : "", "parse-names" : false, "suffix" : "" }, { "dropping-particle" : "", "family" : "Heazell", "given" : "A. E.", "non-dropping-particle" : "", "parse-names" : false, "suffix" : "" }, { "dropping-particle" : "", "family" : "Ashworth", "given" : "M.", "non-dropping-particle" : "", "parse-names" : false, "suffix" : "" }, { "dropping-particle" : "", "family" : "Jeffrey", "given" : "I.", "non-dropping-particle" : "", "parse-names" : false, "suffix" : "" }, { "dropping-particle" : "", "family" : "Sebire", "given" : "N. J.", "non-dropping-particle" : "", "parse-names" : false, "suffix" : "" } ], "container-title" : "Ultrasound in Obstetrics &amp; Gynecology", "id" : "ITEM-1", "issue" : "5", "issued" : { "date-parts" : [ [ "2016", "11" ] ] }, "page" : "579-584", "title" : "Stillbirth and intrauterine fetal death: role of routine histopathological placental findings to determine cause of death", "type" : "article-journal", "volume" : "48" }, "uris" : [ "http://www.mendeley.com/documents/?uuid=f3915791-0587-3cac-92fc-70924ff87f44" ] } ], "mendeley" : { "formattedCitation" : "[34]", "plainTextFormattedCitation" : "[34]", "previouslyFormattedCitation" : "[33]" }, "properties" : { "noteIndex" : 0 }, "schema" : "https://github.com/citation-style-language/schema/raw/master/csl-citation.json" }</w:instrText>
      </w:r>
      <w:r w:rsidR="00320378" w:rsidRPr="004B61EA">
        <w:rPr>
          <w:rFonts w:ascii="Arial" w:hAnsi="Arial" w:cs="Arial"/>
          <w:sz w:val="24"/>
          <w:szCs w:val="24"/>
          <w:lang w:val="en-US"/>
        </w:rPr>
        <w:fldChar w:fldCharType="separate"/>
      </w:r>
      <w:r w:rsidR="00207B7C" w:rsidRPr="004B61EA">
        <w:rPr>
          <w:rFonts w:ascii="Arial" w:hAnsi="Arial" w:cs="Arial"/>
          <w:noProof/>
          <w:sz w:val="24"/>
          <w:szCs w:val="24"/>
          <w:lang w:val="en-US"/>
        </w:rPr>
        <w:t>[34]</w:t>
      </w:r>
      <w:r w:rsidR="00320378" w:rsidRPr="004B61EA">
        <w:rPr>
          <w:rFonts w:ascii="Arial" w:hAnsi="Arial" w:cs="Arial"/>
          <w:sz w:val="24"/>
          <w:szCs w:val="24"/>
          <w:lang w:val="en-US"/>
        </w:rPr>
        <w:fldChar w:fldCharType="end"/>
      </w:r>
      <w:r w:rsidR="00C13D4F" w:rsidRPr="004B61EA">
        <w:rPr>
          <w:rFonts w:ascii="Arial" w:hAnsi="Arial" w:cs="Arial"/>
          <w:sz w:val="24"/>
          <w:szCs w:val="24"/>
          <w:lang w:val="en-US"/>
        </w:rPr>
        <w:t>.</w:t>
      </w:r>
      <w:r w:rsidR="00B159EE" w:rsidRPr="004B61EA">
        <w:rPr>
          <w:rFonts w:ascii="Arial" w:hAnsi="Arial" w:cs="Arial"/>
          <w:sz w:val="24"/>
          <w:szCs w:val="24"/>
          <w:lang w:val="en-US"/>
        </w:rPr>
        <w:t xml:space="preserve"> </w:t>
      </w:r>
    </w:p>
    <w:p w14:paraId="73D68808" w14:textId="69DE93B9" w:rsidR="00B16EAD" w:rsidRPr="004B61EA" w:rsidRDefault="00C36964" w:rsidP="008840E6">
      <w:pPr>
        <w:spacing w:after="0" w:line="480" w:lineRule="auto"/>
        <w:rPr>
          <w:rFonts w:ascii="Arial" w:hAnsi="Arial" w:cs="Arial"/>
          <w:sz w:val="24"/>
          <w:szCs w:val="24"/>
          <w:lang w:val="en-US"/>
        </w:rPr>
      </w:pPr>
      <w:r w:rsidRPr="004B61EA">
        <w:rPr>
          <w:rFonts w:ascii="Arial" w:hAnsi="Arial" w:cs="Arial"/>
          <w:sz w:val="24"/>
          <w:szCs w:val="24"/>
          <w:lang w:val="en-US"/>
        </w:rPr>
        <w:br/>
      </w:r>
      <w:r w:rsidR="00A81E01" w:rsidRPr="004B61EA">
        <w:rPr>
          <w:rFonts w:ascii="Arial" w:hAnsi="Arial" w:cs="Arial"/>
          <w:sz w:val="24"/>
          <w:szCs w:val="24"/>
          <w:lang w:val="en-US"/>
        </w:rPr>
        <w:t>One of the possible limitations is that r</w:t>
      </w:r>
      <w:r w:rsidRPr="004B61EA">
        <w:rPr>
          <w:rFonts w:ascii="Arial" w:hAnsi="Arial" w:cs="Arial"/>
          <w:sz w:val="24"/>
          <w:szCs w:val="24"/>
          <w:lang w:val="en-US"/>
        </w:rPr>
        <w:t>eference values for</w:t>
      </w:r>
      <w:r w:rsidR="00245026" w:rsidRPr="004B61EA">
        <w:rPr>
          <w:rFonts w:ascii="Arial" w:hAnsi="Arial" w:cs="Arial"/>
          <w:sz w:val="24"/>
          <w:szCs w:val="24"/>
          <w:lang w:val="en-US"/>
        </w:rPr>
        <w:t xml:space="preserve"> low and </w:t>
      </w:r>
      <w:r w:rsidR="00A81E01" w:rsidRPr="004B61EA">
        <w:rPr>
          <w:rFonts w:ascii="Arial" w:hAnsi="Arial" w:cs="Arial"/>
          <w:sz w:val="24"/>
          <w:szCs w:val="24"/>
          <w:lang w:val="en-US"/>
        </w:rPr>
        <w:t>high</w:t>
      </w:r>
      <w:r w:rsidRPr="004B61EA">
        <w:rPr>
          <w:rFonts w:ascii="Arial" w:hAnsi="Arial" w:cs="Arial"/>
          <w:sz w:val="24"/>
          <w:szCs w:val="24"/>
          <w:lang w:val="en-US"/>
        </w:rPr>
        <w:t xml:space="preserve"> BWPW-ratio were created within this cohort</w:t>
      </w:r>
      <w:r w:rsidR="00984D7C" w:rsidRPr="004B61EA">
        <w:rPr>
          <w:rFonts w:ascii="Arial" w:hAnsi="Arial" w:cs="Arial"/>
          <w:sz w:val="24"/>
          <w:szCs w:val="24"/>
          <w:lang w:val="en-US"/>
        </w:rPr>
        <w:t xml:space="preserve"> (quintiles</w:t>
      </w:r>
      <w:r w:rsidR="006420A1" w:rsidRPr="004B61EA">
        <w:rPr>
          <w:rFonts w:ascii="Arial" w:hAnsi="Arial" w:cs="Arial"/>
          <w:sz w:val="24"/>
          <w:szCs w:val="24"/>
          <w:lang w:val="en-US"/>
        </w:rPr>
        <w:t>)</w:t>
      </w:r>
      <w:r w:rsidR="00A81E01" w:rsidRPr="004B61EA">
        <w:rPr>
          <w:rFonts w:ascii="Arial" w:hAnsi="Arial" w:cs="Arial"/>
          <w:sz w:val="24"/>
          <w:szCs w:val="24"/>
          <w:lang w:val="en-US"/>
        </w:rPr>
        <w:t xml:space="preserve">. Although </w:t>
      </w:r>
      <w:r w:rsidR="000C6C15" w:rsidRPr="004B61EA">
        <w:rPr>
          <w:rFonts w:ascii="Arial" w:hAnsi="Arial" w:cs="Arial"/>
          <w:sz w:val="24"/>
          <w:szCs w:val="24"/>
          <w:lang w:val="en-US"/>
        </w:rPr>
        <w:t>the</w:t>
      </w:r>
      <w:r w:rsidR="00984D7C" w:rsidRPr="004B61EA">
        <w:rPr>
          <w:rFonts w:ascii="Arial" w:hAnsi="Arial" w:cs="Arial"/>
          <w:sz w:val="24"/>
          <w:szCs w:val="24"/>
          <w:lang w:val="en-US"/>
        </w:rPr>
        <w:t xml:space="preserve"> cohort</w:t>
      </w:r>
      <w:r w:rsidR="0051303F" w:rsidRPr="004B61EA">
        <w:rPr>
          <w:rFonts w:ascii="Arial" w:hAnsi="Arial" w:cs="Arial"/>
          <w:sz w:val="24"/>
          <w:szCs w:val="24"/>
          <w:lang w:val="en-US"/>
        </w:rPr>
        <w:t xml:space="preserve"> is unselect</w:t>
      </w:r>
      <w:r w:rsidR="000C6C15" w:rsidRPr="004B61EA">
        <w:rPr>
          <w:rFonts w:ascii="Arial" w:hAnsi="Arial" w:cs="Arial"/>
          <w:sz w:val="24"/>
          <w:szCs w:val="24"/>
          <w:lang w:val="en-US"/>
        </w:rPr>
        <w:t xml:space="preserve">ed and </w:t>
      </w:r>
      <w:r w:rsidR="00984D7C" w:rsidRPr="004B61EA">
        <w:rPr>
          <w:rFonts w:ascii="Arial" w:hAnsi="Arial" w:cs="Arial"/>
          <w:sz w:val="24"/>
          <w:szCs w:val="24"/>
          <w:lang w:val="en-US"/>
        </w:rPr>
        <w:t>large in size, in future</w:t>
      </w:r>
      <w:r w:rsidR="000C6C15" w:rsidRPr="004B61EA">
        <w:rPr>
          <w:rFonts w:ascii="Arial" w:hAnsi="Arial" w:cs="Arial"/>
          <w:sz w:val="24"/>
          <w:szCs w:val="24"/>
          <w:lang w:val="en-US"/>
        </w:rPr>
        <w:t>,</w:t>
      </w:r>
      <w:r w:rsidR="00984D7C" w:rsidRPr="004B61EA">
        <w:rPr>
          <w:rFonts w:ascii="Arial" w:hAnsi="Arial" w:cs="Arial"/>
          <w:sz w:val="24"/>
          <w:szCs w:val="24"/>
          <w:lang w:val="en-US"/>
        </w:rPr>
        <w:t xml:space="preserve"> </w:t>
      </w:r>
      <w:r w:rsidR="000C6C15" w:rsidRPr="004B61EA">
        <w:rPr>
          <w:rFonts w:ascii="Arial" w:hAnsi="Arial" w:cs="Arial"/>
          <w:sz w:val="24"/>
          <w:szCs w:val="24"/>
          <w:lang w:val="en-US"/>
        </w:rPr>
        <w:t xml:space="preserve">general applicable </w:t>
      </w:r>
      <w:r w:rsidR="00A81E01" w:rsidRPr="004B61EA">
        <w:rPr>
          <w:rFonts w:ascii="Arial" w:hAnsi="Arial" w:cs="Arial"/>
          <w:sz w:val="24"/>
          <w:szCs w:val="24"/>
          <w:lang w:val="en-US"/>
        </w:rPr>
        <w:t>cut-off</w:t>
      </w:r>
      <w:r w:rsidR="00984D7C" w:rsidRPr="004B61EA">
        <w:rPr>
          <w:rFonts w:ascii="Arial" w:hAnsi="Arial" w:cs="Arial"/>
          <w:sz w:val="24"/>
          <w:szCs w:val="24"/>
          <w:lang w:val="en-US"/>
        </w:rPr>
        <w:t xml:space="preserve"> values for pathological BWPW-ratio (both low and high) need to be determined</w:t>
      </w:r>
      <w:r w:rsidR="00DD08E1" w:rsidRPr="004B61EA">
        <w:rPr>
          <w:rFonts w:ascii="Arial" w:hAnsi="Arial" w:cs="Arial"/>
          <w:sz w:val="24"/>
          <w:szCs w:val="24"/>
          <w:lang w:val="en-US"/>
        </w:rPr>
        <w:t xml:space="preserve"> to facilitate application</w:t>
      </w:r>
      <w:r w:rsidR="00984D7C" w:rsidRPr="004B61EA">
        <w:rPr>
          <w:rFonts w:ascii="Arial" w:hAnsi="Arial" w:cs="Arial"/>
          <w:sz w:val="24"/>
          <w:szCs w:val="24"/>
          <w:lang w:val="en-US"/>
        </w:rPr>
        <w:t xml:space="preserve"> in clinic.</w:t>
      </w:r>
      <w:r w:rsidR="00245026" w:rsidRPr="004B61EA">
        <w:rPr>
          <w:rFonts w:ascii="Arial" w:hAnsi="Arial" w:cs="Arial"/>
          <w:sz w:val="24"/>
          <w:szCs w:val="24"/>
          <w:lang w:val="en-US"/>
        </w:rPr>
        <w:t xml:space="preserve"> Furthermore, in future studies</w:t>
      </w:r>
      <w:r w:rsidR="00257DC6" w:rsidRPr="004B61EA">
        <w:rPr>
          <w:rFonts w:ascii="Arial" w:hAnsi="Arial" w:cs="Arial"/>
          <w:sz w:val="24"/>
          <w:szCs w:val="24"/>
          <w:lang w:val="en-US"/>
        </w:rPr>
        <w:t xml:space="preserve"> larger sample sizes are needed </w:t>
      </w:r>
      <w:r w:rsidR="000F4CE8" w:rsidRPr="004B61EA">
        <w:rPr>
          <w:rFonts w:ascii="Arial" w:hAnsi="Arial" w:cs="Arial"/>
          <w:sz w:val="24"/>
          <w:szCs w:val="24"/>
          <w:lang w:val="en-US"/>
        </w:rPr>
        <w:t xml:space="preserve">to show </w:t>
      </w:r>
      <w:r w:rsidR="00245026" w:rsidRPr="004B61EA">
        <w:rPr>
          <w:rFonts w:ascii="Arial" w:hAnsi="Arial" w:cs="Arial"/>
          <w:sz w:val="24"/>
          <w:szCs w:val="24"/>
          <w:lang w:val="en-US"/>
        </w:rPr>
        <w:t xml:space="preserve">possible </w:t>
      </w:r>
      <w:r w:rsidR="000F4CE8" w:rsidRPr="004B61EA">
        <w:rPr>
          <w:rFonts w:ascii="Arial" w:hAnsi="Arial" w:cs="Arial"/>
          <w:sz w:val="24"/>
          <w:szCs w:val="24"/>
          <w:lang w:val="en-US"/>
        </w:rPr>
        <w:t>differences in the association between BWPW-ratio and outcomes within the groups of SGA, AGA and LGA.</w:t>
      </w:r>
      <w:r w:rsidR="006F6755" w:rsidRPr="004B61EA">
        <w:rPr>
          <w:rFonts w:ascii="Arial" w:hAnsi="Arial" w:cs="Arial"/>
          <w:sz w:val="24"/>
          <w:szCs w:val="24"/>
          <w:lang w:val="en-US"/>
        </w:rPr>
        <w:t xml:space="preserve"> Finally, the current analysis is based on measurements (birth weight and placental weight) which can only be measured following birth. Identifying clinical markers in the antenatal period which predict abnormal BWPW ratio may help in antenatal risk assessment. </w:t>
      </w:r>
    </w:p>
    <w:p w14:paraId="15308FDE" w14:textId="77777777" w:rsidR="00DD7E63" w:rsidRPr="004B61EA" w:rsidRDefault="00DD7E63" w:rsidP="008840E6">
      <w:pPr>
        <w:spacing w:after="0" w:line="480" w:lineRule="auto"/>
        <w:rPr>
          <w:rFonts w:ascii="Arial" w:hAnsi="Arial" w:cs="Arial"/>
          <w:sz w:val="24"/>
          <w:szCs w:val="24"/>
          <w:lang w:val="en-US"/>
        </w:rPr>
      </w:pPr>
    </w:p>
    <w:p w14:paraId="588D53F4" w14:textId="46B0CE49" w:rsidR="000F4CE8" w:rsidRPr="004B61EA" w:rsidRDefault="0098017A" w:rsidP="008840E6">
      <w:pPr>
        <w:spacing w:after="0" w:line="480" w:lineRule="auto"/>
        <w:rPr>
          <w:rFonts w:ascii="Arial" w:hAnsi="Arial" w:cs="Arial"/>
          <w:sz w:val="24"/>
          <w:szCs w:val="24"/>
          <w:lang w:val="en-US"/>
        </w:rPr>
      </w:pPr>
      <w:r w:rsidRPr="004B61EA">
        <w:rPr>
          <w:rFonts w:ascii="Arial" w:hAnsi="Arial" w:cs="Arial"/>
          <w:sz w:val="24"/>
          <w:szCs w:val="24"/>
          <w:lang w:val="en-US"/>
        </w:rPr>
        <w:t>In conclusion, we showed that BWPW-ratio</w:t>
      </w:r>
      <w:r w:rsidR="00245026" w:rsidRPr="004B61EA">
        <w:rPr>
          <w:rFonts w:ascii="Arial" w:hAnsi="Arial" w:cs="Arial"/>
          <w:sz w:val="24"/>
          <w:szCs w:val="24"/>
          <w:lang w:val="en-US"/>
        </w:rPr>
        <w:t xml:space="preserve"> </w:t>
      </w:r>
      <w:r w:rsidRPr="004B61EA">
        <w:rPr>
          <w:rFonts w:ascii="Arial" w:hAnsi="Arial" w:cs="Arial"/>
          <w:sz w:val="24"/>
          <w:szCs w:val="24"/>
          <w:lang w:val="en-US"/>
        </w:rPr>
        <w:t>is related to ultrasonic measurements and both neonatal and maternal morbidity.</w:t>
      </w:r>
      <w:r w:rsidR="00117D15" w:rsidRPr="004B61EA">
        <w:rPr>
          <w:rFonts w:ascii="Arial" w:hAnsi="Arial" w:cs="Arial"/>
          <w:sz w:val="24"/>
          <w:szCs w:val="24"/>
          <w:lang w:val="en-US"/>
        </w:rPr>
        <w:t xml:space="preserve"> This study indicates that a smaller placenta relative to fetal size </w:t>
      </w:r>
      <w:r w:rsidR="00A81E01" w:rsidRPr="004B61EA">
        <w:rPr>
          <w:rFonts w:ascii="Arial" w:hAnsi="Arial" w:cs="Arial"/>
          <w:sz w:val="24"/>
          <w:szCs w:val="24"/>
          <w:lang w:val="en-US"/>
        </w:rPr>
        <w:t xml:space="preserve">is </w:t>
      </w:r>
      <w:r w:rsidR="00117D15" w:rsidRPr="004B61EA">
        <w:rPr>
          <w:rFonts w:ascii="Arial" w:hAnsi="Arial" w:cs="Arial"/>
          <w:sz w:val="24"/>
          <w:szCs w:val="24"/>
          <w:lang w:val="en-US"/>
        </w:rPr>
        <w:t xml:space="preserve">related to higher values of UtA and UmA Doppler flow velocity waveforms PI. Furthermore, a larger placenta relative to fetal size is a risk factor for maternal and neonatal morbidity. </w:t>
      </w:r>
      <w:r w:rsidR="00932904" w:rsidRPr="004B61EA">
        <w:rPr>
          <w:rFonts w:ascii="Arial" w:hAnsi="Arial" w:cs="Arial"/>
          <w:sz w:val="24"/>
          <w:szCs w:val="24"/>
          <w:lang w:val="en-US"/>
        </w:rPr>
        <w:t>Our study suggests that BWPW-ratio may be an indicative</w:t>
      </w:r>
      <w:r w:rsidR="00A81E01" w:rsidRPr="004B61EA">
        <w:rPr>
          <w:rFonts w:ascii="Arial" w:hAnsi="Arial" w:cs="Arial"/>
          <w:sz w:val="24"/>
          <w:szCs w:val="24"/>
          <w:lang w:val="en-US"/>
        </w:rPr>
        <w:t xml:space="preserve"> marker</w:t>
      </w:r>
      <w:r w:rsidR="00932904" w:rsidRPr="004B61EA">
        <w:rPr>
          <w:rFonts w:ascii="Arial" w:hAnsi="Arial" w:cs="Arial"/>
          <w:sz w:val="24"/>
          <w:szCs w:val="24"/>
          <w:lang w:val="en-US"/>
        </w:rPr>
        <w:t xml:space="preserve"> of immediate and longer term health risks for an individual.</w:t>
      </w:r>
      <w:r w:rsidR="008B5AB2" w:rsidRPr="004B61EA">
        <w:rPr>
          <w:rFonts w:ascii="Arial" w:hAnsi="Arial" w:cs="Arial"/>
          <w:sz w:val="24"/>
          <w:szCs w:val="24"/>
          <w:u w:val="single"/>
          <w:lang w:val="en-US"/>
        </w:rPr>
        <w:t xml:space="preserve"> </w:t>
      </w:r>
      <w:r w:rsidR="00DD1DBA" w:rsidRPr="004B61EA">
        <w:rPr>
          <w:rFonts w:ascii="Arial" w:hAnsi="Arial" w:cs="Arial"/>
          <w:sz w:val="24"/>
          <w:szCs w:val="24"/>
          <w:u w:val="single"/>
          <w:lang w:val="en-US"/>
        </w:rPr>
        <w:br w:type="page"/>
      </w:r>
    </w:p>
    <w:p w14:paraId="40DA929B" w14:textId="77777777" w:rsidR="004955FF" w:rsidRPr="004B61EA" w:rsidRDefault="00246B25" w:rsidP="0045605B">
      <w:pPr>
        <w:spacing w:line="360" w:lineRule="auto"/>
        <w:outlineLvl w:val="0"/>
        <w:rPr>
          <w:rFonts w:ascii="Arial" w:hAnsi="Arial" w:cs="Arial"/>
          <w:b/>
          <w:sz w:val="24"/>
          <w:szCs w:val="24"/>
          <w:lang w:val="en-US"/>
        </w:rPr>
      </w:pPr>
      <w:r w:rsidRPr="004B61EA">
        <w:rPr>
          <w:rFonts w:ascii="Arial" w:hAnsi="Arial" w:cs="Arial"/>
          <w:b/>
          <w:sz w:val="24"/>
          <w:szCs w:val="24"/>
          <w:lang w:val="en-US"/>
        </w:rPr>
        <w:t>References</w:t>
      </w:r>
    </w:p>
    <w:p w14:paraId="4D14350F" w14:textId="7A6367A1" w:rsidR="00207B7C" w:rsidRPr="004B61EA" w:rsidRDefault="00A5195E" w:rsidP="00207B7C">
      <w:pPr>
        <w:widowControl w:val="0"/>
        <w:autoSpaceDE w:val="0"/>
        <w:autoSpaceDN w:val="0"/>
        <w:adjustRightInd w:val="0"/>
        <w:spacing w:after="0" w:line="360" w:lineRule="auto"/>
        <w:ind w:left="640" w:hanging="640"/>
        <w:rPr>
          <w:rFonts w:ascii="Arial" w:eastAsia="Times New Roman" w:hAnsi="Arial" w:cs="Arial"/>
          <w:noProof/>
          <w:sz w:val="24"/>
        </w:rPr>
      </w:pPr>
      <w:r w:rsidRPr="004B61EA">
        <w:rPr>
          <w:rFonts w:ascii="Arial" w:hAnsi="Arial" w:cs="Arial"/>
          <w:sz w:val="24"/>
          <w:szCs w:val="24"/>
          <w:u w:val="single"/>
          <w:lang w:val="en-US"/>
        </w:rPr>
        <w:fldChar w:fldCharType="begin" w:fldLock="1"/>
      </w:r>
      <w:r w:rsidR="004955FF" w:rsidRPr="004B61EA">
        <w:rPr>
          <w:rFonts w:ascii="Arial" w:hAnsi="Arial" w:cs="Arial"/>
          <w:sz w:val="24"/>
          <w:szCs w:val="24"/>
          <w:u w:val="single"/>
          <w:lang w:val="en-US"/>
        </w:rPr>
        <w:instrText xml:space="preserve">ADDIN Mendeley Bibliography CSL_BIBLIOGRAPHY </w:instrText>
      </w:r>
      <w:r w:rsidRPr="004B61EA">
        <w:rPr>
          <w:rFonts w:ascii="Arial" w:hAnsi="Arial" w:cs="Arial"/>
          <w:sz w:val="24"/>
          <w:szCs w:val="24"/>
          <w:u w:val="single"/>
          <w:lang w:val="en-US"/>
        </w:rPr>
        <w:fldChar w:fldCharType="separate"/>
      </w:r>
      <w:r w:rsidR="00207B7C" w:rsidRPr="004B61EA">
        <w:rPr>
          <w:rFonts w:ascii="Arial" w:eastAsia="Times New Roman" w:hAnsi="Arial" w:cs="Arial"/>
          <w:noProof/>
          <w:sz w:val="24"/>
        </w:rPr>
        <w:t>[1]</w:t>
      </w:r>
      <w:r w:rsidR="00207B7C" w:rsidRPr="004B61EA">
        <w:rPr>
          <w:rFonts w:ascii="Arial" w:eastAsia="Times New Roman" w:hAnsi="Arial" w:cs="Arial"/>
          <w:noProof/>
          <w:sz w:val="24"/>
        </w:rPr>
        <w:tab/>
        <w:t>M.E. Wilson, S.P. Ford, Comparative aspects of placental efficiency., Reprod. Suppl. 58 (2001) 223–32. http://www.ncbi.nlm.nih.gov/pubmed/11980192 (accessed January 17, 2017).</w:t>
      </w:r>
    </w:p>
    <w:p w14:paraId="1B4464C8" w14:textId="77777777" w:rsidR="00207B7C" w:rsidRPr="004B61EA" w:rsidRDefault="00207B7C" w:rsidP="00207B7C">
      <w:pPr>
        <w:widowControl w:val="0"/>
        <w:autoSpaceDE w:val="0"/>
        <w:autoSpaceDN w:val="0"/>
        <w:adjustRightInd w:val="0"/>
        <w:spacing w:after="0" w:line="360" w:lineRule="auto"/>
        <w:ind w:left="640" w:hanging="640"/>
        <w:rPr>
          <w:rFonts w:ascii="Arial" w:eastAsia="Times New Roman" w:hAnsi="Arial" w:cs="Arial"/>
          <w:noProof/>
          <w:sz w:val="24"/>
        </w:rPr>
      </w:pPr>
      <w:r w:rsidRPr="004B61EA">
        <w:rPr>
          <w:rFonts w:ascii="Arial" w:eastAsia="Times New Roman" w:hAnsi="Arial" w:cs="Arial"/>
          <w:noProof/>
          <w:sz w:val="24"/>
        </w:rPr>
        <w:t>[2]</w:t>
      </w:r>
      <w:r w:rsidRPr="004B61EA">
        <w:rPr>
          <w:rFonts w:ascii="Arial" w:eastAsia="Times New Roman" w:hAnsi="Arial" w:cs="Arial"/>
          <w:noProof/>
          <w:sz w:val="24"/>
        </w:rPr>
        <w:tab/>
        <w:t>A.L. Fowden, A.N. Sferruzzi-Perri, P.M. Coan, M. Constancia, G.J. Burton, Placental efficiency and adaptation: endocrine regulation., J. Physiol. 587 (2009) 3459–72. doi:10.1113/jphysiol.2009.173013.</w:t>
      </w:r>
    </w:p>
    <w:p w14:paraId="29DB0873" w14:textId="77777777" w:rsidR="00207B7C" w:rsidRPr="004B61EA" w:rsidRDefault="00207B7C" w:rsidP="00207B7C">
      <w:pPr>
        <w:widowControl w:val="0"/>
        <w:autoSpaceDE w:val="0"/>
        <w:autoSpaceDN w:val="0"/>
        <w:adjustRightInd w:val="0"/>
        <w:spacing w:after="0" w:line="360" w:lineRule="auto"/>
        <w:ind w:left="640" w:hanging="640"/>
        <w:rPr>
          <w:rFonts w:ascii="Arial" w:eastAsia="Times New Roman" w:hAnsi="Arial" w:cs="Arial"/>
          <w:noProof/>
          <w:sz w:val="24"/>
        </w:rPr>
      </w:pPr>
      <w:r w:rsidRPr="004B61EA">
        <w:rPr>
          <w:rFonts w:ascii="Arial" w:eastAsia="Times New Roman" w:hAnsi="Arial" w:cs="Arial"/>
          <w:noProof/>
          <w:sz w:val="24"/>
        </w:rPr>
        <w:t>[3]</w:t>
      </w:r>
      <w:r w:rsidRPr="004B61EA">
        <w:rPr>
          <w:rFonts w:ascii="Arial" w:eastAsia="Times New Roman" w:hAnsi="Arial" w:cs="Arial"/>
          <w:noProof/>
          <w:sz w:val="24"/>
        </w:rPr>
        <w:tab/>
        <w:t>M.A. Luque-Fernandez, C. V Ananth, V.W. V Jaddoe, R. Gaillard, P.S. Albert, M. Schomaker, P. McElduff, D.A. Enquobahrie, B. Gelaye, M.A. Williams, Is the fetoplacental ratio a differential marker of fetal growth restriction in small for gestational age infants?, Eur. J. Epidemiol. 30 (2015) 331–41. doi:10.1007/s10654-015-9993-9.</w:t>
      </w:r>
    </w:p>
    <w:p w14:paraId="52DFFBAB" w14:textId="77777777" w:rsidR="00207B7C" w:rsidRPr="004B61EA" w:rsidRDefault="00207B7C" w:rsidP="00207B7C">
      <w:pPr>
        <w:widowControl w:val="0"/>
        <w:autoSpaceDE w:val="0"/>
        <w:autoSpaceDN w:val="0"/>
        <w:adjustRightInd w:val="0"/>
        <w:spacing w:after="0" w:line="360" w:lineRule="auto"/>
        <w:ind w:left="640" w:hanging="640"/>
        <w:rPr>
          <w:rFonts w:ascii="Arial" w:eastAsia="Times New Roman" w:hAnsi="Arial" w:cs="Arial"/>
          <w:noProof/>
          <w:sz w:val="24"/>
        </w:rPr>
      </w:pPr>
      <w:r w:rsidRPr="004B61EA">
        <w:rPr>
          <w:rFonts w:ascii="Arial" w:eastAsia="Times New Roman" w:hAnsi="Arial" w:cs="Arial"/>
          <w:noProof/>
          <w:sz w:val="24"/>
        </w:rPr>
        <w:t>[4]</w:t>
      </w:r>
      <w:r w:rsidRPr="004B61EA">
        <w:rPr>
          <w:rFonts w:ascii="Arial" w:eastAsia="Times New Roman" w:hAnsi="Arial" w:cs="Arial"/>
          <w:noProof/>
          <w:sz w:val="24"/>
        </w:rPr>
        <w:tab/>
        <w:t>J.D. Glazier, I. Cetin, G. Perugino, S. Ronzoni, A.M. Grey, D. Mahendran, A.M. Marconi, G. Pardi, C.P. Sibley, Association between the Activity of the System A Amino Acid Transporter in the Microvillous Plasma Membrane of the Human Placenta and Severity of Fetal Compromise in Intrauterine Growth Restriction, Pediatr. Res. 42 (1997) 514–519. doi:10.1203/00006450-199710000-00016.</w:t>
      </w:r>
    </w:p>
    <w:p w14:paraId="75C6AB6E" w14:textId="77777777" w:rsidR="00207B7C" w:rsidRPr="004B61EA" w:rsidRDefault="00207B7C" w:rsidP="00207B7C">
      <w:pPr>
        <w:widowControl w:val="0"/>
        <w:autoSpaceDE w:val="0"/>
        <w:autoSpaceDN w:val="0"/>
        <w:adjustRightInd w:val="0"/>
        <w:spacing w:after="0" w:line="360" w:lineRule="auto"/>
        <w:ind w:left="640" w:hanging="640"/>
        <w:rPr>
          <w:rFonts w:ascii="Arial" w:eastAsia="Times New Roman" w:hAnsi="Arial" w:cs="Arial"/>
          <w:noProof/>
          <w:sz w:val="24"/>
        </w:rPr>
      </w:pPr>
      <w:r w:rsidRPr="004B61EA">
        <w:rPr>
          <w:rFonts w:ascii="Arial" w:eastAsia="Times New Roman" w:hAnsi="Arial" w:cs="Arial"/>
          <w:noProof/>
          <w:sz w:val="24"/>
        </w:rPr>
        <w:t>[5]</w:t>
      </w:r>
      <w:r w:rsidRPr="004B61EA">
        <w:rPr>
          <w:rFonts w:ascii="Arial" w:eastAsia="Times New Roman" w:hAnsi="Arial" w:cs="Arial"/>
          <w:noProof/>
          <w:sz w:val="24"/>
        </w:rPr>
        <w:tab/>
        <w:t>B.J. Voskamp, D.H. Beemsterboer, C.J.M. Verhoeven, K. Oude Rengerink, A.C.J. Ravelli, J.J.H. Bakker, B.W.J. Mol, E. Pajkrt, Potential improvement of pregnancy outcome through prenatal small for gestational age detection. [correction]., Am. J. Perinatol. 31 (2014) 1093–104. doi:10.1055/s-0034-1371360.</w:t>
      </w:r>
    </w:p>
    <w:p w14:paraId="61AB92C5" w14:textId="77777777" w:rsidR="00207B7C" w:rsidRPr="004B61EA" w:rsidRDefault="00207B7C" w:rsidP="00207B7C">
      <w:pPr>
        <w:widowControl w:val="0"/>
        <w:autoSpaceDE w:val="0"/>
        <w:autoSpaceDN w:val="0"/>
        <w:adjustRightInd w:val="0"/>
        <w:spacing w:after="0" w:line="360" w:lineRule="auto"/>
        <w:ind w:left="640" w:hanging="640"/>
        <w:rPr>
          <w:rFonts w:ascii="Arial" w:eastAsia="Times New Roman" w:hAnsi="Arial" w:cs="Arial"/>
          <w:noProof/>
          <w:sz w:val="24"/>
        </w:rPr>
      </w:pPr>
      <w:r w:rsidRPr="004B61EA">
        <w:rPr>
          <w:rFonts w:ascii="Arial" w:eastAsia="Times New Roman" w:hAnsi="Arial" w:cs="Arial"/>
          <w:noProof/>
          <w:sz w:val="24"/>
        </w:rPr>
        <w:t>[6]</w:t>
      </w:r>
      <w:r w:rsidRPr="004B61EA">
        <w:rPr>
          <w:rFonts w:ascii="Arial" w:eastAsia="Times New Roman" w:hAnsi="Arial" w:cs="Arial"/>
          <w:noProof/>
          <w:sz w:val="24"/>
        </w:rPr>
        <w:tab/>
        <w:t>D. Pasupathy, A. Dacey, E. Cook, D.S. Charnock-Jones, I.R. White, G.C.S. Smith, Study protocol. A prospective cohort study of unselected primiparous women: the pregnancy outcome prediction study., BMC Pregnancy Childbirth. 8 (2008) 51. doi:10.1186/1471-2393-8-51.</w:t>
      </w:r>
    </w:p>
    <w:p w14:paraId="0E2A7A7E" w14:textId="77777777" w:rsidR="00207B7C" w:rsidRPr="004B61EA" w:rsidRDefault="00207B7C" w:rsidP="00207B7C">
      <w:pPr>
        <w:widowControl w:val="0"/>
        <w:autoSpaceDE w:val="0"/>
        <w:autoSpaceDN w:val="0"/>
        <w:adjustRightInd w:val="0"/>
        <w:spacing w:after="0" w:line="360" w:lineRule="auto"/>
        <w:ind w:left="640" w:hanging="640"/>
        <w:rPr>
          <w:rFonts w:ascii="Arial" w:eastAsia="Times New Roman" w:hAnsi="Arial" w:cs="Arial"/>
          <w:noProof/>
          <w:sz w:val="24"/>
        </w:rPr>
      </w:pPr>
      <w:r w:rsidRPr="004B61EA">
        <w:rPr>
          <w:rFonts w:ascii="Arial" w:eastAsia="Times New Roman" w:hAnsi="Arial" w:cs="Arial"/>
          <w:noProof/>
          <w:sz w:val="24"/>
        </w:rPr>
        <w:t>[7]</w:t>
      </w:r>
      <w:r w:rsidRPr="004B61EA">
        <w:rPr>
          <w:rFonts w:ascii="Arial" w:eastAsia="Times New Roman" w:hAnsi="Arial" w:cs="Arial"/>
          <w:noProof/>
          <w:sz w:val="24"/>
        </w:rPr>
        <w:tab/>
        <w:t>U. Sovio, I.R. White, A. Dacey, D. Pasupathy, G.C.S. Smith, Screening for fetal growth restriction with universal third trimester ultrasonography in nulliparous women in the Pregnancy Outcome Prediction (POP) study: a prospective cohort study., Lancet (London, England). 386 (2015) 2089–97. doi:10.1016/S0140-6736(15)00131-2.</w:t>
      </w:r>
    </w:p>
    <w:p w14:paraId="0EA9EEF8" w14:textId="77777777" w:rsidR="00207B7C" w:rsidRPr="004B61EA" w:rsidRDefault="00207B7C" w:rsidP="00207B7C">
      <w:pPr>
        <w:widowControl w:val="0"/>
        <w:autoSpaceDE w:val="0"/>
        <w:autoSpaceDN w:val="0"/>
        <w:adjustRightInd w:val="0"/>
        <w:spacing w:after="0" w:line="360" w:lineRule="auto"/>
        <w:ind w:left="640" w:hanging="640"/>
        <w:rPr>
          <w:rFonts w:ascii="Arial" w:eastAsia="Times New Roman" w:hAnsi="Arial" w:cs="Arial"/>
          <w:noProof/>
          <w:sz w:val="24"/>
        </w:rPr>
      </w:pPr>
      <w:r w:rsidRPr="004B61EA">
        <w:rPr>
          <w:rFonts w:ascii="Arial" w:eastAsia="Times New Roman" w:hAnsi="Arial" w:cs="Arial"/>
          <w:noProof/>
          <w:sz w:val="24"/>
        </w:rPr>
        <w:t>[8]</w:t>
      </w:r>
      <w:r w:rsidRPr="004B61EA">
        <w:rPr>
          <w:rFonts w:ascii="Arial" w:eastAsia="Times New Roman" w:hAnsi="Arial" w:cs="Arial"/>
          <w:noProof/>
          <w:sz w:val="24"/>
        </w:rPr>
        <w:tab/>
        <w:t>F. Gaccioli, S. Lager, U. Sovio, D.S. Charnock-Jones, G.C.S. Smith, M. Sennstrom, M. Olovsson, S.P. Brennecke, H. Stepan, D. Allegranza, P. Dilba, M. Schoedl, M. Hund, S. Verlohren, M.S. Esplin, M.A. Elovitz, T. Foroud, A.M. Peaceman, G.R. Saade, M. Willinger, U.M. Reddy, M. b. s. NuMo, C. Ravaldi, A. Vannacci, J. Cassidy, P. Cassidy, C. Farquhar, E. Wallace, D. Siassakos, A.E. Heazell, C. Storey, L. Sadler, S. Petersen, J.F. Froen, R.L. Goldenberg, The pregnancy outcome prediction (POP) study: Investigating the relationship between serial prenatal ultrasonography, biomarkers, placental phenotype and adverse pregnancy outcomes, Placenta. 374 (2016) 13–22. doi:10.1016/j.placenta.2016.10.011.</w:t>
      </w:r>
    </w:p>
    <w:p w14:paraId="2841669A" w14:textId="77777777" w:rsidR="00207B7C" w:rsidRPr="004B61EA" w:rsidRDefault="00207B7C" w:rsidP="00207B7C">
      <w:pPr>
        <w:widowControl w:val="0"/>
        <w:autoSpaceDE w:val="0"/>
        <w:autoSpaceDN w:val="0"/>
        <w:adjustRightInd w:val="0"/>
        <w:spacing w:after="0" w:line="360" w:lineRule="auto"/>
        <w:ind w:left="640" w:hanging="640"/>
        <w:rPr>
          <w:rFonts w:ascii="Arial" w:eastAsia="Times New Roman" w:hAnsi="Arial" w:cs="Arial"/>
          <w:noProof/>
          <w:sz w:val="24"/>
        </w:rPr>
      </w:pPr>
      <w:r w:rsidRPr="004B61EA">
        <w:rPr>
          <w:rFonts w:ascii="Arial" w:eastAsia="Times New Roman" w:hAnsi="Arial" w:cs="Arial"/>
          <w:noProof/>
          <w:sz w:val="24"/>
        </w:rPr>
        <w:t>[9]</w:t>
      </w:r>
      <w:r w:rsidRPr="004B61EA">
        <w:rPr>
          <w:rFonts w:ascii="Arial" w:eastAsia="Times New Roman" w:hAnsi="Arial" w:cs="Arial"/>
          <w:noProof/>
          <w:sz w:val="24"/>
        </w:rPr>
        <w:tab/>
        <w:t>J. V Freeman, T.J. Cole, S. Chinn, P.R. Jones, E.M. White, M.A. Preece, Cross sectional stature and weight reference curves for the UK, 1990., Arch. Dis. Child. 73 (1995) 17–24. http://www.pubmedcentral.nih.gov/articlerender.fcgi?artid=1511167&amp;tool=pmcentrez&amp;rendertype=abstract (accessed January 17, 2017).</w:t>
      </w:r>
    </w:p>
    <w:p w14:paraId="7009F8DC" w14:textId="77777777" w:rsidR="00207B7C" w:rsidRPr="004B61EA" w:rsidRDefault="00207B7C" w:rsidP="00207B7C">
      <w:pPr>
        <w:widowControl w:val="0"/>
        <w:autoSpaceDE w:val="0"/>
        <w:autoSpaceDN w:val="0"/>
        <w:adjustRightInd w:val="0"/>
        <w:spacing w:after="0" w:line="360" w:lineRule="auto"/>
        <w:ind w:left="640" w:hanging="640"/>
        <w:rPr>
          <w:rFonts w:ascii="Arial" w:eastAsia="Times New Roman" w:hAnsi="Arial" w:cs="Arial"/>
          <w:noProof/>
          <w:sz w:val="24"/>
        </w:rPr>
      </w:pPr>
      <w:r w:rsidRPr="004B61EA">
        <w:rPr>
          <w:rFonts w:ascii="Arial" w:eastAsia="Times New Roman" w:hAnsi="Arial" w:cs="Arial"/>
          <w:noProof/>
          <w:sz w:val="24"/>
        </w:rPr>
        <w:t>[10]</w:t>
      </w:r>
      <w:r w:rsidRPr="004B61EA">
        <w:rPr>
          <w:rFonts w:ascii="Arial" w:eastAsia="Times New Roman" w:hAnsi="Arial" w:cs="Arial"/>
          <w:noProof/>
          <w:sz w:val="24"/>
        </w:rPr>
        <w:tab/>
        <w:t>G.L. Malin, R.K. Morris, K.S. Khan, Strength of association between umbilical cord pH and perinatal and long term outcomes: systematic review and meta-analysis., BMJ. 340 (2010) c1471. doi:10.1136/bmj.c1471.</w:t>
      </w:r>
    </w:p>
    <w:p w14:paraId="499D04BC" w14:textId="77777777" w:rsidR="00207B7C" w:rsidRPr="004B61EA" w:rsidRDefault="00207B7C" w:rsidP="00207B7C">
      <w:pPr>
        <w:widowControl w:val="0"/>
        <w:autoSpaceDE w:val="0"/>
        <w:autoSpaceDN w:val="0"/>
        <w:adjustRightInd w:val="0"/>
        <w:spacing w:after="0" w:line="360" w:lineRule="auto"/>
        <w:ind w:left="640" w:hanging="640"/>
        <w:rPr>
          <w:rFonts w:ascii="Arial" w:eastAsia="Times New Roman" w:hAnsi="Arial" w:cs="Arial"/>
          <w:noProof/>
          <w:sz w:val="24"/>
        </w:rPr>
      </w:pPr>
      <w:r w:rsidRPr="004B61EA">
        <w:rPr>
          <w:rFonts w:ascii="Arial" w:eastAsia="Times New Roman" w:hAnsi="Arial" w:cs="Arial"/>
          <w:noProof/>
          <w:sz w:val="24"/>
        </w:rPr>
        <w:t>[11]</w:t>
      </w:r>
      <w:r w:rsidRPr="004B61EA">
        <w:rPr>
          <w:rFonts w:ascii="Arial" w:eastAsia="Times New Roman" w:hAnsi="Arial" w:cs="Arial"/>
          <w:noProof/>
          <w:sz w:val="24"/>
        </w:rPr>
        <w:tab/>
        <w:t>A. Bhide, G. Acharya, C.M. Bilardo, C. Brezinka, D. Cafici, E. Hernandez-Andrade, K. Kalache, J. Kingdom, T. Kiserud, W. Lee, C. Lees, K.Y. Leung, G. Malinger, G. Mari, F. Prefumo, W. Sepulveda, B. Trudinger, ISUOG practice guidelines: use of Doppler ultrasonography in obstetrics., Ultrasound Obstet. Gynecol. 41 (2013) 233–39. doi:10.1002/uog.12371.</w:t>
      </w:r>
    </w:p>
    <w:p w14:paraId="27CB8108" w14:textId="77777777" w:rsidR="00207B7C" w:rsidRPr="004B61EA" w:rsidRDefault="00207B7C" w:rsidP="00207B7C">
      <w:pPr>
        <w:widowControl w:val="0"/>
        <w:autoSpaceDE w:val="0"/>
        <w:autoSpaceDN w:val="0"/>
        <w:adjustRightInd w:val="0"/>
        <w:spacing w:after="0" w:line="360" w:lineRule="auto"/>
        <w:ind w:left="640" w:hanging="640"/>
        <w:rPr>
          <w:rFonts w:ascii="Arial" w:eastAsia="Times New Roman" w:hAnsi="Arial" w:cs="Arial"/>
          <w:noProof/>
          <w:sz w:val="24"/>
        </w:rPr>
      </w:pPr>
      <w:r w:rsidRPr="004B61EA">
        <w:rPr>
          <w:rFonts w:ascii="Arial" w:eastAsia="Times New Roman" w:hAnsi="Arial" w:cs="Arial"/>
          <w:noProof/>
          <w:sz w:val="24"/>
        </w:rPr>
        <w:t>[12]</w:t>
      </w:r>
      <w:r w:rsidRPr="004B61EA">
        <w:rPr>
          <w:rFonts w:ascii="Arial" w:eastAsia="Times New Roman" w:hAnsi="Arial" w:cs="Arial"/>
          <w:noProof/>
          <w:sz w:val="24"/>
        </w:rPr>
        <w:tab/>
        <w:t>U. Sovio, H.R. Murphy, G.C.S. Smith, Accelerated Fetal Growth Prior to Diagnosis of Gestational Diabetes Mellitus: A Prospective Cohort Study of Nulliparous Women., Diabetes Care. 39 (2016) 982–7. doi:10.2337/dc16-0160.</w:t>
      </w:r>
    </w:p>
    <w:p w14:paraId="4521D67D" w14:textId="77777777" w:rsidR="00207B7C" w:rsidRPr="004B61EA" w:rsidRDefault="00207B7C" w:rsidP="00207B7C">
      <w:pPr>
        <w:widowControl w:val="0"/>
        <w:autoSpaceDE w:val="0"/>
        <w:autoSpaceDN w:val="0"/>
        <w:adjustRightInd w:val="0"/>
        <w:spacing w:after="0" w:line="360" w:lineRule="auto"/>
        <w:ind w:left="640" w:hanging="640"/>
        <w:rPr>
          <w:rFonts w:ascii="Arial" w:eastAsia="Times New Roman" w:hAnsi="Arial" w:cs="Arial"/>
          <w:noProof/>
          <w:sz w:val="24"/>
        </w:rPr>
      </w:pPr>
      <w:r w:rsidRPr="004B61EA">
        <w:rPr>
          <w:rFonts w:ascii="Arial" w:eastAsia="Times New Roman" w:hAnsi="Arial" w:cs="Arial"/>
          <w:noProof/>
          <w:sz w:val="24"/>
        </w:rPr>
        <w:t>[13]</w:t>
      </w:r>
      <w:r w:rsidRPr="004B61EA">
        <w:rPr>
          <w:rFonts w:ascii="Arial" w:eastAsia="Times New Roman" w:hAnsi="Arial" w:cs="Arial"/>
          <w:noProof/>
          <w:sz w:val="24"/>
        </w:rPr>
        <w:tab/>
        <w:t>American College of Obstetricians and Gynecologists, Task Force on Hypertension in Pregnancy, Hypertension in Pregnancy, Obstet. Gynecol. 122 (2013) 1122–1131. doi:10.1097/01.AOG.0000437382.03963.88.</w:t>
      </w:r>
    </w:p>
    <w:p w14:paraId="3E2E574C" w14:textId="77777777" w:rsidR="00207B7C" w:rsidRPr="004B61EA" w:rsidRDefault="00207B7C" w:rsidP="00207B7C">
      <w:pPr>
        <w:widowControl w:val="0"/>
        <w:autoSpaceDE w:val="0"/>
        <w:autoSpaceDN w:val="0"/>
        <w:adjustRightInd w:val="0"/>
        <w:spacing w:after="0" w:line="360" w:lineRule="auto"/>
        <w:ind w:left="640" w:hanging="640"/>
        <w:rPr>
          <w:rFonts w:ascii="Arial" w:eastAsia="Times New Roman" w:hAnsi="Arial" w:cs="Arial"/>
          <w:noProof/>
          <w:sz w:val="24"/>
        </w:rPr>
      </w:pPr>
      <w:r w:rsidRPr="004B61EA">
        <w:rPr>
          <w:rFonts w:ascii="Arial" w:eastAsia="Times New Roman" w:hAnsi="Arial" w:cs="Arial"/>
          <w:noProof/>
          <w:sz w:val="24"/>
        </w:rPr>
        <w:t>[14]</w:t>
      </w:r>
      <w:r w:rsidRPr="004B61EA">
        <w:rPr>
          <w:rFonts w:ascii="Arial" w:eastAsia="Times New Roman" w:hAnsi="Arial" w:cs="Arial"/>
          <w:noProof/>
          <w:sz w:val="24"/>
        </w:rPr>
        <w:tab/>
        <w:t>U. Sovio, F. Gaccioli, E. Cook, M. Hund, D.S. Charnock-Jones, G.C.S. Smith, Prediction of Preeclampsia Using the Soluble fms-Like Tyrosine Kinase 1 to Placental Growth Factor RatioNovelty and Significance, Hypertension. 69 (2017) 731–738. doi:10.1161/HYPERTENSIONAHA.116.08620.</w:t>
      </w:r>
    </w:p>
    <w:p w14:paraId="12D7C8F1" w14:textId="77777777" w:rsidR="00207B7C" w:rsidRPr="004B61EA" w:rsidRDefault="00207B7C" w:rsidP="00207B7C">
      <w:pPr>
        <w:widowControl w:val="0"/>
        <w:autoSpaceDE w:val="0"/>
        <w:autoSpaceDN w:val="0"/>
        <w:adjustRightInd w:val="0"/>
        <w:spacing w:after="0" w:line="360" w:lineRule="auto"/>
        <w:ind w:left="640" w:hanging="640"/>
        <w:rPr>
          <w:rFonts w:ascii="Arial" w:eastAsia="Times New Roman" w:hAnsi="Arial" w:cs="Arial"/>
          <w:noProof/>
          <w:sz w:val="24"/>
        </w:rPr>
      </w:pPr>
      <w:r w:rsidRPr="004B61EA">
        <w:rPr>
          <w:rFonts w:ascii="Arial" w:eastAsia="Times New Roman" w:hAnsi="Arial" w:cs="Arial"/>
          <w:noProof/>
          <w:sz w:val="24"/>
        </w:rPr>
        <w:t>[15]</w:t>
      </w:r>
      <w:r w:rsidRPr="004B61EA">
        <w:rPr>
          <w:rFonts w:ascii="Arial" w:eastAsia="Times New Roman" w:hAnsi="Arial" w:cs="Arial"/>
          <w:noProof/>
          <w:sz w:val="24"/>
        </w:rPr>
        <w:tab/>
        <w:t>P.M. Catalano, K. Shankar, Obesity and pregnancy: mechanisms of short term and long term adverse consequences for mother and child., BMJ. 356 (2017) j1. http://www.ncbi.nlm.nih.gov/pubmed/28179267 (accessed March 15, 2017).</w:t>
      </w:r>
    </w:p>
    <w:p w14:paraId="7B448037" w14:textId="77777777" w:rsidR="00207B7C" w:rsidRPr="004B61EA" w:rsidRDefault="00207B7C" w:rsidP="00207B7C">
      <w:pPr>
        <w:widowControl w:val="0"/>
        <w:autoSpaceDE w:val="0"/>
        <w:autoSpaceDN w:val="0"/>
        <w:adjustRightInd w:val="0"/>
        <w:spacing w:after="0" w:line="360" w:lineRule="auto"/>
        <w:ind w:left="640" w:hanging="640"/>
        <w:rPr>
          <w:rFonts w:ascii="Arial" w:eastAsia="Times New Roman" w:hAnsi="Arial" w:cs="Arial"/>
          <w:noProof/>
          <w:sz w:val="24"/>
        </w:rPr>
      </w:pPr>
      <w:r w:rsidRPr="004B61EA">
        <w:rPr>
          <w:rFonts w:ascii="Arial" w:eastAsia="Times New Roman" w:hAnsi="Arial" w:cs="Arial"/>
          <w:noProof/>
          <w:sz w:val="24"/>
        </w:rPr>
        <w:t>[16]</w:t>
      </w:r>
      <w:r w:rsidRPr="004B61EA">
        <w:rPr>
          <w:rFonts w:ascii="Arial" w:eastAsia="Times New Roman" w:hAnsi="Arial" w:cs="Arial"/>
          <w:noProof/>
          <w:sz w:val="24"/>
        </w:rPr>
        <w:tab/>
        <w:t>K.M. Flegal, M.D. Carroll, B.K. Kit, C.L. Ogden, Prevalence of Obesity and Trends in the Distribution of Body Mass Index Among US Adults, 1999-2010, JAMA. 307 (2012) 491. doi:10.1001/jama.2012.39.</w:t>
      </w:r>
    </w:p>
    <w:p w14:paraId="0DF7C6CE" w14:textId="77777777" w:rsidR="00207B7C" w:rsidRPr="004B61EA" w:rsidRDefault="00207B7C" w:rsidP="00207B7C">
      <w:pPr>
        <w:widowControl w:val="0"/>
        <w:autoSpaceDE w:val="0"/>
        <w:autoSpaceDN w:val="0"/>
        <w:adjustRightInd w:val="0"/>
        <w:spacing w:after="0" w:line="360" w:lineRule="auto"/>
        <w:ind w:left="640" w:hanging="640"/>
        <w:rPr>
          <w:rFonts w:ascii="Arial" w:eastAsia="Times New Roman" w:hAnsi="Arial" w:cs="Arial"/>
          <w:noProof/>
          <w:sz w:val="24"/>
        </w:rPr>
      </w:pPr>
      <w:r w:rsidRPr="004B61EA">
        <w:rPr>
          <w:rFonts w:ascii="Arial" w:eastAsia="Times New Roman" w:hAnsi="Arial" w:cs="Arial"/>
          <w:noProof/>
          <w:sz w:val="24"/>
        </w:rPr>
        <w:t>[17]</w:t>
      </w:r>
      <w:r w:rsidRPr="004B61EA">
        <w:rPr>
          <w:rFonts w:ascii="Arial" w:eastAsia="Times New Roman" w:hAnsi="Arial" w:cs="Arial"/>
          <w:noProof/>
          <w:sz w:val="24"/>
        </w:rPr>
        <w:tab/>
        <w:t>P.M. Catalano, L. Presley, J. Minium, S. Hauguel-de Mouzon, Fetuses of Obese Mothers Develop Insulin Resistance in Utero, Diabetes Care. 32 (2009) 1076–1080. doi:10.2337/dc08-2077.</w:t>
      </w:r>
    </w:p>
    <w:p w14:paraId="75927405" w14:textId="77777777" w:rsidR="00207B7C" w:rsidRPr="004B61EA" w:rsidRDefault="00207B7C" w:rsidP="00207B7C">
      <w:pPr>
        <w:widowControl w:val="0"/>
        <w:autoSpaceDE w:val="0"/>
        <w:autoSpaceDN w:val="0"/>
        <w:adjustRightInd w:val="0"/>
        <w:spacing w:after="0" w:line="360" w:lineRule="auto"/>
        <w:ind w:left="640" w:hanging="640"/>
        <w:rPr>
          <w:rFonts w:ascii="Arial" w:eastAsia="Times New Roman" w:hAnsi="Arial" w:cs="Arial"/>
          <w:noProof/>
          <w:sz w:val="24"/>
        </w:rPr>
      </w:pPr>
      <w:r w:rsidRPr="004B61EA">
        <w:rPr>
          <w:rFonts w:ascii="Arial" w:eastAsia="Times New Roman" w:hAnsi="Arial" w:cs="Arial"/>
          <w:noProof/>
          <w:sz w:val="24"/>
        </w:rPr>
        <w:t>[18]</w:t>
      </w:r>
      <w:r w:rsidRPr="004B61EA">
        <w:rPr>
          <w:rFonts w:ascii="Arial" w:eastAsia="Times New Roman" w:hAnsi="Arial" w:cs="Arial"/>
          <w:noProof/>
          <w:sz w:val="24"/>
        </w:rPr>
        <w:tab/>
        <w:t>S.M. Leon-Garcia, H.A. Roeder, K.K. Nelson, X. Liao, D.P. Pizzo, L.C. Laurent, M.M. Parast, D.Y. LaCoursiere, Maternal obesity and sex-specific differences in placental pathology, Placenta. 38 (2016) 33–40. doi:10.1016/j.placenta.2015.12.006.</w:t>
      </w:r>
    </w:p>
    <w:p w14:paraId="0E79E3F2" w14:textId="77777777" w:rsidR="00207B7C" w:rsidRPr="004B61EA" w:rsidRDefault="00207B7C" w:rsidP="00207B7C">
      <w:pPr>
        <w:widowControl w:val="0"/>
        <w:autoSpaceDE w:val="0"/>
        <w:autoSpaceDN w:val="0"/>
        <w:adjustRightInd w:val="0"/>
        <w:spacing w:after="0" w:line="360" w:lineRule="auto"/>
        <w:ind w:left="640" w:hanging="640"/>
        <w:rPr>
          <w:rFonts w:ascii="Arial" w:eastAsia="Times New Roman" w:hAnsi="Arial" w:cs="Arial"/>
          <w:noProof/>
          <w:sz w:val="24"/>
        </w:rPr>
      </w:pPr>
      <w:r w:rsidRPr="004B61EA">
        <w:rPr>
          <w:rFonts w:ascii="Arial" w:eastAsia="Times New Roman" w:hAnsi="Arial" w:cs="Arial"/>
          <w:noProof/>
          <w:sz w:val="24"/>
        </w:rPr>
        <w:t>[19]</w:t>
      </w:r>
      <w:r w:rsidRPr="004B61EA">
        <w:rPr>
          <w:rFonts w:ascii="Arial" w:eastAsia="Times New Roman" w:hAnsi="Arial" w:cs="Arial"/>
          <w:noProof/>
          <w:sz w:val="24"/>
        </w:rPr>
        <w:tab/>
        <w:t>N. Jansson, F.J. Rosario, F. Gaccioli, S. Lager, H.N. Jones, S. Roos, T. Jansson, T.L. Powell, Activation of placental mTOR signaling and amino acid transporters in obese women giving birth to large babies., J. Clin. Endocrinol. Metab. 98 (2013) 105–13. doi:10.1210/jc.2012-2667.</w:t>
      </w:r>
    </w:p>
    <w:p w14:paraId="752A85C4" w14:textId="77777777" w:rsidR="00207B7C" w:rsidRPr="004B61EA" w:rsidRDefault="00207B7C" w:rsidP="00207B7C">
      <w:pPr>
        <w:widowControl w:val="0"/>
        <w:autoSpaceDE w:val="0"/>
        <w:autoSpaceDN w:val="0"/>
        <w:adjustRightInd w:val="0"/>
        <w:spacing w:after="0" w:line="360" w:lineRule="auto"/>
        <w:ind w:left="640" w:hanging="640"/>
        <w:rPr>
          <w:rFonts w:ascii="Arial" w:eastAsia="Times New Roman" w:hAnsi="Arial" w:cs="Arial"/>
          <w:noProof/>
          <w:sz w:val="24"/>
        </w:rPr>
      </w:pPr>
      <w:r w:rsidRPr="004B61EA">
        <w:rPr>
          <w:rFonts w:ascii="Arial" w:eastAsia="Times New Roman" w:hAnsi="Arial" w:cs="Arial"/>
          <w:noProof/>
          <w:sz w:val="24"/>
        </w:rPr>
        <w:t>[20]</w:t>
      </w:r>
      <w:r w:rsidRPr="004B61EA">
        <w:rPr>
          <w:rFonts w:ascii="Arial" w:eastAsia="Times New Roman" w:hAnsi="Arial" w:cs="Arial"/>
          <w:noProof/>
          <w:sz w:val="24"/>
        </w:rPr>
        <w:tab/>
        <w:t>A. Ramos, F. Caimari, I.M. Pujol, A. García-Patterson, G. Ginovart, J.M. Adelantado, R. Corcoy, In women with gestational diabetes mellitus factors influencing growth have a larger effect on placental weight than on birth weight., Eur. J. Obstet. Gynecol. Reprod. Biol. 202 (2016) 60–5. doi:10.1016/j.ejogrb.2016.04.022.</w:t>
      </w:r>
    </w:p>
    <w:p w14:paraId="7B5A9BA6" w14:textId="77777777" w:rsidR="00207B7C" w:rsidRPr="004B61EA" w:rsidRDefault="00207B7C" w:rsidP="00207B7C">
      <w:pPr>
        <w:widowControl w:val="0"/>
        <w:autoSpaceDE w:val="0"/>
        <w:autoSpaceDN w:val="0"/>
        <w:adjustRightInd w:val="0"/>
        <w:spacing w:after="0" w:line="360" w:lineRule="auto"/>
        <w:ind w:left="640" w:hanging="640"/>
        <w:rPr>
          <w:rFonts w:ascii="Arial" w:eastAsia="Times New Roman" w:hAnsi="Arial" w:cs="Arial"/>
          <w:noProof/>
          <w:sz w:val="24"/>
        </w:rPr>
      </w:pPr>
      <w:r w:rsidRPr="004B61EA">
        <w:rPr>
          <w:rFonts w:ascii="Arial" w:eastAsia="Times New Roman" w:hAnsi="Arial" w:cs="Arial"/>
          <w:noProof/>
          <w:sz w:val="24"/>
        </w:rPr>
        <w:t>[21]</w:t>
      </w:r>
      <w:r w:rsidRPr="004B61EA">
        <w:rPr>
          <w:rFonts w:ascii="Arial" w:eastAsia="Times New Roman" w:hAnsi="Arial" w:cs="Arial"/>
          <w:noProof/>
          <w:sz w:val="24"/>
        </w:rPr>
        <w:tab/>
        <w:t>J. Huynh, D. Dawson, D. Roberts, R. Bentley-Lewis, A systematic review of placental pathology in maternal diabetes mellitus, Placenta. 36 (2015) 101–114. doi:10.1016/j.placenta.2014.11.021.</w:t>
      </w:r>
    </w:p>
    <w:p w14:paraId="5E121B6D" w14:textId="77777777" w:rsidR="00207B7C" w:rsidRPr="004B61EA" w:rsidRDefault="00207B7C" w:rsidP="00207B7C">
      <w:pPr>
        <w:widowControl w:val="0"/>
        <w:autoSpaceDE w:val="0"/>
        <w:autoSpaceDN w:val="0"/>
        <w:adjustRightInd w:val="0"/>
        <w:spacing w:after="0" w:line="360" w:lineRule="auto"/>
        <w:ind w:left="640" w:hanging="640"/>
        <w:rPr>
          <w:rFonts w:ascii="Arial" w:eastAsia="Times New Roman" w:hAnsi="Arial" w:cs="Arial"/>
          <w:noProof/>
          <w:sz w:val="24"/>
        </w:rPr>
      </w:pPr>
      <w:r w:rsidRPr="004B61EA">
        <w:rPr>
          <w:rFonts w:ascii="Arial" w:eastAsia="Times New Roman" w:hAnsi="Arial" w:cs="Arial"/>
          <w:noProof/>
          <w:sz w:val="24"/>
        </w:rPr>
        <w:t>[22]</w:t>
      </w:r>
      <w:r w:rsidRPr="004B61EA">
        <w:rPr>
          <w:rFonts w:ascii="Arial" w:eastAsia="Times New Roman" w:hAnsi="Arial" w:cs="Arial"/>
          <w:noProof/>
          <w:sz w:val="24"/>
        </w:rPr>
        <w:tab/>
        <w:t>F. Shehata, I. Levin, A. Shrim, B. Ata, B. Weisz, R. Gamzu, B. Almog, Placenta/birthweight ratio and perinatal outcome: A retrospective cohort analysis, BJOG An Int. J. Obstet. Gynaecol. 118 (2011) 741–747. doi:10.1111/j.1471-0528.2011.02892.x.</w:t>
      </w:r>
    </w:p>
    <w:p w14:paraId="77B302A1" w14:textId="77777777" w:rsidR="00207B7C" w:rsidRPr="004B61EA" w:rsidRDefault="00207B7C" w:rsidP="00207B7C">
      <w:pPr>
        <w:widowControl w:val="0"/>
        <w:autoSpaceDE w:val="0"/>
        <w:autoSpaceDN w:val="0"/>
        <w:adjustRightInd w:val="0"/>
        <w:spacing w:after="0" w:line="360" w:lineRule="auto"/>
        <w:ind w:left="640" w:hanging="640"/>
        <w:rPr>
          <w:rFonts w:ascii="Arial" w:eastAsia="Times New Roman" w:hAnsi="Arial" w:cs="Arial"/>
          <w:noProof/>
          <w:sz w:val="24"/>
        </w:rPr>
      </w:pPr>
      <w:r w:rsidRPr="004B61EA">
        <w:rPr>
          <w:rFonts w:ascii="Arial" w:eastAsia="Times New Roman" w:hAnsi="Arial" w:cs="Arial"/>
          <w:noProof/>
          <w:sz w:val="24"/>
        </w:rPr>
        <w:t>[23]</w:t>
      </w:r>
      <w:r w:rsidRPr="004B61EA">
        <w:rPr>
          <w:rFonts w:ascii="Arial" w:eastAsia="Times New Roman" w:hAnsi="Arial" w:cs="Arial"/>
          <w:noProof/>
          <w:sz w:val="24"/>
        </w:rPr>
        <w:tab/>
        <w:t>N. Wang, G. Tikellis, C. Sun, A. Pezic, L. Wang, J.C.K. Wells, J. Cochrane, A.-L. Ponsonby, T. Dwyer, The effect of maternal prenatal smoking and alcohol consumption on the placenta-to-birth weight ratio., Placenta. 35 (2014) 437–41. doi:10.1016/j.placenta.2014.04.006.</w:t>
      </w:r>
    </w:p>
    <w:p w14:paraId="2978D91E" w14:textId="77777777" w:rsidR="00207B7C" w:rsidRPr="004B61EA" w:rsidRDefault="00207B7C" w:rsidP="00207B7C">
      <w:pPr>
        <w:widowControl w:val="0"/>
        <w:autoSpaceDE w:val="0"/>
        <w:autoSpaceDN w:val="0"/>
        <w:adjustRightInd w:val="0"/>
        <w:spacing w:after="0" w:line="360" w:lineRule="auto"/>
        <w:ind w:left="640" w:hanging="640"/>
        <w:rPr>
          <w:rFonts w:ascii="Arial" w:eastAsia="Times New Roman" w:hAnsi="Arial" w:cs="Arial"/>
          <w:noProof/>
          <w:sz w:val="24"/>
        </w:rPr>
      </w:pPr>
      <w:r w:rsidRPr="004B61EA">
        <w:rPr>
          <w:rFonts w:ascii="Arial" w:eastAsia="Times New Roman" w:hAnsi="Arial" w:cs="Arial"/>
          <w:noProof/>
          <w:sz w:val="24"/>
        </w:rPr>
        <w:t>[24]</w:t>
      </w:r>
      <w:r w:rsidRPr="004B61EA">
        <w:rPr>
          <w:rFonts w:ascii="Arial" w:eastAsia="Times New Roman" w:hAnsi="Arial" w:cs="Arial"/>
          <w:noProof/>
          <w:sz w:val="24"/>
        </w:rPr>
        <w:tab/>
        <w:t>G.C.S. Smith, R.C. Fretts, Stillbirth., Lancet (London, England). 370 (2007) 1715–25. doi:10.1016/S0140-6736(07)61723-1.</w:t>
      </w:r>
    </w:p>
    <w:p w14:paraId="1C2E2CD7" w14:textId="77777777" w:rsidR="00207B7C" w:rsidRPr="004B61EA" w:rsidRDefault="00207B7C" w:rsidP="00207B7C">
      <w:pPr>
        <w:widowControl w:val="0"/>
        <w:autoSpaceDE w:val="0"/>
        <w:autoSpaceDN w:val="0"/>
        <w:adjustRightInd w:val="0"/>
        <w:spacing w:after="0" w:line="360" w:lineRule="auto"/>
        <w:ind w:left="640" w:hanging="640"/>
        <w:rPr>
          <w:rFonts w:ascii="Arial" w:eastAsia="Times New Roman" w:hAnsi="Arial" w:cs="Arial"/>
          <w:noProof/>
          <w:sz w:val="24"/>
        </w:rPr>
      </w:pPr>
      <w:r w:rsidRPr="004B61EA">
        <w:rPr>
          <w:rFonts w:ascii="Arial" w:eastAsia="Times New Roman" w:hAnsi="Arial" w:cs="Arial"/>
          <w:noProof/>
          <w:sz w:val="24"/>
        </w:rPr>
        <w:t>[25]</w:t>
      </w:r>
      <w:r w:rsidRPr="004B61EA">
        <w:rPr>
          <w:rFonts w:ascii="Arial" w:eastAsia="Times New Roman" w:hAnsi="Arial" w:cs="Arial"/>
          <w:noProof/>
          <w:sz w:val="24"/>
        </w:rPr>
        <w:tab/>
        <w:t>N. Salavati, U. Sovio, R.P. Mayo, D.S. Charnock-Jones, G.C.S. Smith, The relationship between human placental morphometry and ultrasonic measurements of utero-placental blood flow and fetal growth., Placenta. 38 (2016) 41–8. doi:10.1016/j.placenta.2015.12.003.</w:t>
      </w:r>
    </w:p>
    <w:p w14:paraId="327AFEE3" w14:textId="77777777" w:rsidR="00207B7C" w:rsidRPr="004B61EA" w:rsidRDefault="00207B7C" w:rsidP="00207B7C">
      <w:pPr>
        <w:widowControl w:val="0"/>
        <w:autoSpaceDE w:val="0"/>
        <w:autoSpaceDN w:val="0"/>
        <w:adjustRightInd w:val="0"/>
        <w:spacing w:after="0" w:line="360" w:lineRule="auto"/>
        <w:ind w:left="640" w:hanging="640"/>
        <w:rPr>
          <w:rFonts w:ascii="Arial" w:eastAsia="Times New Roman" w:hAnsi="Arial" w:cs="Arial"/>
          <w:noProof/>
          <w:sz w:val="24"/>
        </w:rPr>
      </w:pPr>
      <w:r w:rsidRPr="004B61EA">
        <w:rPr>
          <w:rFonts w:ascii="Arial" w:eastAsia="Times New Roman" w:hAnsi="Arial" w:cs="Arial"/>
          <w:noProof/>
          <w:sz w:val="24"/>
        </w:rPr>
        <w:t>[26]</w:t>
      </w:r>
      <w:r w:rsidRPr="004B61EA">
        <w:rPr>
          <w:rFonts w:ascii="Arial" w:eastAsia="Times New Roman" w:hAnsi="Arial" w:cs="Arial"/>
          <w:noProof/>
          <w:sz w:val="24"/>
        </w:rPr>
        <w:tab/>
        <w:t>A. Edwards, A. Megens, M. Peek, E.M. Wallace, Sexual origins of placental dysfunction, Lancet. 355 (2000) 203–204. doi:10.1016/S0140-6736(99)05061-8.</w:t>
      </w:r>
    </w:p>
    <w:p w14:paraId="33910895" w14:textId="77777777" w:rsidR="00207B7C" w:rsidRPr="004B61EA" w:rsidRDefault="00207B7C" w:rsidP="00207B7C">
      <w:pPr>
        <w:widowControl w:val="0"/>
        <w:autoSpaceDE w:val="0"/>
        <w:autoSpaceDN w:val="0"/>
        <w:adjustRightInd w:val="0"/>
        <w:spacing w:after="0" w:line="360" w:lineRule="auto"/>
        <w:ind w:left="640" w:hanging="640"/>
        <w:rPr>
          <w:rFonts w:ascii="Arial" w:eastAsia="Times New Roman" w:hAnsi="Arial" w:cs="Arial"/>
          <w:noProof/>
          <w:sz w:val="24"/>
        </w:rPr>
      </w:pPr>
      <w:r w:rsidRPr="004B61EA">
        <w:rPr>
          <w:rFonts w:ascii="Arial" w:eastAsia="Times New Roman" w:hAnsi="Arial" w:cs="Arial"/>
          <w:noProof/>
          <w:sz w:val="24"/>
        </w:rPr>
        <w:t>[27]</w:t>
      </w:r>
      <w:r w:rsidRPr="004B61EA">
        <w:rPr>
          <w:rFonts w:ascii="Arial" w:eastAsia="Times New Roman" w:hAnsi="Arial" w:cs="Arial"/>
          <w:noProof/>
          <w:sz w:val="24"/>
        </w:rPr>
        <w:tab/>
        <w:t>J.G. Eriksson, E. Kajantie, C. Osmond, K. Thornburg, D.J.P. Barker, Boys live dangerously in the womb., Am. J. Hum. Biol. 22 (2010) 330–5. doi:10.1002/ajhb.20995.</w:t>
      </w:r>
    </w:p>
    <w:p w14:paraId="5E0305DB" w14:textId="77777777" w:rsidR="00207B7C" w:rsidRPr="004B61EA" w:rsidRDefault="00207B7C" w:rsidP="00207B7C">
      <w:pPr>
        <w:widowControl w:val="0"/>
        <w:autoSpaceDE w:val="0"/>
        <w:autoSpaceDN w:val="0"/>
        <w:adjustRightInd w:val="0"/>
        <w:spacing w:after="0" w:line="360" w:lineRule="auto"/>
        <w:ind w:left="640" w:hanging="640"/>
        <w:rPr>
          <w:rFonts w:ascii="Arial" w:eastAsia="Times New Roman" w:hAnsi="Arial" w:cs="Arial"/>
          <w:noProof/>
          <w:sz w:val="24"/>
        </w:rPr>
      </w:pPr>
      <w:r w:rsidRPr="004B61EA">
        <w:rPr>
          <w:rFonts w:ascii="Arial" w:eastAsia="Times New Roman" w:hAnsi="Arial" w:cs="Arial"/>
          <w:noProof/>
          <w:sz w:val="24"/>
        </w:rPr>
        <w:t>[28]</w:t>
      </w:r>
      <w:r w:rsidRPr="004B61EA">
        <w:rPr>
          <w:rFonts w:ascii="Arial" w:eastAsia="Times New Roman" w:hAnsi="Arial" w:cs="Arial"/>
          <w:noProof/>
          <w:sz w:val="24"/>
        </w:rPr>
        <w:tab/>
        <w:t>J.M. Wallace, S. Bhattacharya, G.W. Horgan, Gestational age, gender and parity specific centile charts for placental weight for singleton deliveries in Aberdeen, UK, Placenta. 34 (2013) 269–274. doi:10.1016/j.placenta.2012.12.007.</w:t>
      </w:r>
    </w:p>
    <w:p w14:paraId="35049892" w14:textId="77777777" w:rsidR="00207B7C" w:rsidRPr="004B61EA" w:rsidRDefault="00207B7C" w:rsidP="00207B7C">
      <w:pPr>
        <w:widowControl w:val="0"/>
        <w:autoSpaceDE w:val="0"/>
        <w:autoSpaceDN w:val="0"/>
        <w:adjustRightInd w:val="0"/>
        <w:spacing w:after="0" w:line="360" w:lineRule="auto"/>
        <w:ind w:left="640" w:hanging="640"/>
        <w:rPr>
          <w:rFonts w:ascii="Arial" w:eastAsia="Times New Roman" w:hAnsi="Arial" w:cs="Arial"/>
          <w:noProof/>
          <w:sz w:val="24"/>
        </w:rPr>
      </w:pPr>
      <w:r w:rsidRPr="004B61EA">
        <w:rPr>
          <w:rFonts w:ascii="Arial" w:eastAsia="Times New Roman" w:hAnsi="Arial" w:cs="Arial"/>
          <w:noProof/>
          <w:sz w:val="24"/>
        </w:rPr>
        <w:t>[29]</w:t>
      </w:r>
      <w:r w:rsidRPr="004B61EA">
        <w:rPr>
          <w:rFonts w:ascii="Arial" w:eastAsia="Times New Roman" w:hAnsi="Arial" w:cs="Arial"/>
          <w:noProof/>
          <w:sz w:val="24"/>
        </w:rPr>
        <w:tab/>
        <w:t>C. Mandò, S. Calabrese, M.I. Mazzocco, C. Novielli, G.M. Anelli, P. Antonazzo, I. Cetin, Sex specific adaptations in placental biometry of overweight and obese women., Placenta. 38 (2016) 1–7. doi:10.1016/j.placenta.2015.12.008.</w:t>
      </w:r>
    </w:p>
    <w:p w14:paraId="0C5DF61A" w14:textId="77777777" w:rsidR="00207B7C" w:rsidRPr="004B61EA" w:rsidRDefault="00207B7C" w:rsidP="00207B7C">
      <w:pPr>
        <w:widowControl w:val="0"/>
        <w:autoSpaceDE w:val="0"/>
        <w:autoSpaceDN w:val="0"/>
        <w:adjustRightInd w:val="0"/>
        <w:spacing w:after="0" w:line="360" w:lineRule="auto"/>
        <w:ind w:left="640" w:hanging="640"/>
        <w:rPr>
          <w:rFonts w:ascii="Arial" w:eastAsia="Times New Roman" w:hAnsi="Arial" w:cs="Arial"/>
          <w:noProof/>
          <w:sz w:val="24"/>
        </w:rPr>
      </w:pPr>
      <w:r w:rsidRPr="004B61EA">
        <w:rPr>
          <w:rFonts w:ascii="Arial" w:eastAsia="Times New Roman" w:hAnsi="Arial" w:cs="Arial"/>
          <w:noProof/>
          <w:sz w:val="24"/>
        </w:rPr>
        <w:t>[30]</w:t>
      </w:r>
      <w:r w:rsidRPr="004B61EA">
        <w:rPr>
          <w:rFonts w:ascii="Arial" w:eastAsia="Times New Roman" w:hAnsi="Arial" w:cs="Arial"/>
          <w:noProof/>
          <w:sz w:val="24"/>
        </w:rPr>
        <w:tab/>
        <w:t>A.M. Thomson, W.Z. Billewicz, F.E. Hytten, The weight of the placenta in relation to birthweight., J. Obstet. Gynaecol. Br. Commonw. 76 (1969) 865–72. http://www.ncbi.nlm.nih.gov/pubmed/5386828 (accessed July 31, 2017).</w:t>
      </w:r>
    </w:p>
    <w:p w14:paraId="0BB70DDA" w14:textId="77777777" w:rsidR="00207B7C" w:rsidRPr="004B61EA" w:rsidRDefault="00207B7C" w:rsidP="00207B7C">
      <w:pPr>
        <w:widowControl w:val="0"/>
        <w:autoSpaceDE w:val="0"/>
        <w:autoSpaceDN w:val="0"/>
        <w:adjustRightInd w:val="0"/>
        <w:spacing w:after="0" w:line="360" w:lineRule="auto"/>
        <w:ind w:left="640" w:hanging="640"/>
        <w:rPr>
          <w:rFonts w:ascii="Arial" w:eastAsia="Times New Roman" w:hAnsi="Arial" w:cs="Arial"/>
          <w:noProof/>
          <w:sz w:val="24"/>
        </w:rPr>
      </w:pPr>
      <w:r w:rsidRPr="004B61EA">
        <w:rPr>
          <w:rFonts w:ascii="Arial" w:eastAsia="Times New Roman" w:hAnsi="Arial" w:cs="Arial"/>
          <w:noProof/>
          <w:sz w:val="24"/>
        </w:rPr>
        <w:t>[31]</w:t>
      </w:r>
      <w:r w:rsidRPr="004B61EA">
        <w:rPr>
          <w:rFonts w:ascii="Arial" w:eastAsia="Times New Roman" w:hAnsi="Arial" w:cs="Arial"/>
          <w:noProof/>
          <w:sz w:val="24"/>
        </w:rPr>
        <w:tab/>
        <w:t>A.M. Carter, Placental Gas Exchange and the Oxygen Supply to the Fetus., Compr. Physiol. 5 (2015) 1381–403. doi:10.1002/cphy.c140073.</w:t>
      </w:r>
    </w:p>
    <w:p w14:paraId="089B25D6" w14:textId="77777777" w:rsidR="00207B7C" w:rsidRPr="004B61EA" w:rsidRDefault="00207B7C" w:rsidP="00207B7C">
      <w:pPr>
        <w:widowControl w:val="0"/>
        <w:autoSpaceDE w:val="0"/>
        <w:autoSpaceDN w:val="0"/>
        <w:adjustRightInd w:val="0"/>
        <w:spacing w:after="0" w:line="360" w:lineRule="auto"/>
        <w:ind w:left="640" w:hanging="640"/>
        <w:rPr>
          <w:rFonts w:ascii="Arial" w:eastAsia="Times New Roman" w:hAnsi="Arial" w:cs="Arial"/>
          <w:noProof/>
          <w:sz w:val="24"/>
        </w:rPr>
      </w:pPr>
      <w:r w:rsidRPr="004B61EA">
        <w:rPr>
          <w:rFonts w:ascii="Arial" w:eastAsia="Times New Roman" w:hAnsi="Arial" w:cs="Arial"/>
          <w:noProof/>
          <w:sz w:val="24"/>
        </w:rPr>
        <w:t>[32]</w:t>
      </w:r>
      <w:r w:rsidRPr="004B61EA">
        <w:rPr>
          <w:rFonts w:ascii="Arial" w:eastAsia="Times New Roman" w:hAnsi="Arial" w:cs="Arial"/>
          <w:noProof/>
          <w:sz w:val="24"/>
        </w:rPr>
        <w:tab/>
        <w:t>T. Hod, A.S. Cerdeira, S.A. Karumanchi, Molecular Mechanisms of Preeclampsia, Cold Spring Harb. Perspect. Med. 5 (2015) a023473. doi:10.1101/cshperspect.a023473.</w:t>
      </w:r>
    </w:p>
    <w:p w14:paraId="43073AB7" w14:textId="77777777" w:rsidR="00207B7C" w:rsidRPr="004B61EA" w:rsidRDefault="00207B7C" w:rsidP="00207B7C">
      <w:pPr>
        <w:widowControl w:val="0"/>
        <w:autoSpaceDE w:val="0"/>
        <w:autoSpaceDN w:val="0"/>
        <w:adjustRightInd w:val="0"/>
        <w:spacing w:after="0" w:line="360" w:lineRule="auto"/>
        <w:ind w:left="640" w:hanging="640"/>
        <w:rPr>
          <w:rFonts w:ascii="Arial" w:eastAsia="Times New Roman" w:hAnsi="Arial" w:cs="Arial"/>
          <w:noProof/>
          <w:sz w:val="24"/>
        </w:rPr>
      </w:pPr>
      <w:r w:rsidRPr="004B61EA">
        <w:rPr>
          <w:rFonts w:ascii="Arial" w:eastAsia="Times New Roman" w:hAnsi="Arial" w:cs="Arial"/>
          <w:noProof/>
          <w:sz w:val="24"/>
        </w:rPr>
        <w:t>[33]</w:t>
      </w:r>
      <w:r w:rsidRPr="004B61EA">
        <w:rPr>
          <w:rFonts w:ascii="Arial" w:eastAsia="Times New Roman" w:hAnsi="Arial" w:cs="Arial"/>
          <w:noProof/>
          <w:sz w:val="24"/>
        </w:rPr>
        <w:tab/>
        <w:t>D. Smith, A. Merriam, J. Jung, C. Gyamfi-Bannerman, Effect of Maternal Age and Fetal Number on the Risk of Hypertensive Disorders of Pregnancy, Am. J. Perinatol. (2017). doi:10.1055/s-0037-1607297.</w:t>
      </w:r>
    </w:p>
    <w:p w14:paraId="07644C43" w14:textId="77777777" w:rsidR="00207B7C" w:rsidRPr="004B61EA" w:rsidRDefault="00207B7C" w:rsidP="00207B7C">
      <w:pPr>
        <w:widowControl w:val="0"/>
        <w:autoSpaceDE w:val="0"/>
        <w:autoSpaceDN w:val="0"/>
        <w:adjustRightInd w:val="0"/>
        <w:spacing w:after="0" w:line="360" w:lineRule="auto"/>
        <w:ind w:left="640" w:hanging="640"/>
        <w:rPr>
          <w:rFonts w:ascii="Arial" w:eastAsia="Times New Roman" w:hAnsi="Arial" w:cs="Arial"/>
          <w:noProof/>
          <w:sz w:val="24"/>
        </w:rPr>
      </w:pPr>
      <w:r w:rsidRPr="004B61EA">
        <w:rPr>
          <w:rFonts w:ascii="Arial" w:eastAsia="Times New Roman" w:hAnsi="Arial" w:cs="Arial"/>
          <w:noProof/>
          <w:sz w:val="24"/>
        </w:rPr>
        <w:t>[34]</w:t>
      </w:r>
      <w:r w:rsidRPr="004B61EA">
        <w:rPr>
          <w:rFonts w:ascii="Arial" w:eastAsia="Times New Roman" w:hAnsi="Arial" w:cs="Arial"/>
          <w:noProof/>
          <w:sz w:val="24"/>
        </w:rPr>
        <w:tab/>
        <w:t>J. Man, J.C. Hutchinson, A.E. Heazell, M. Ashworth, I. Jeffrey, N.J. Sebire, Stillbirth and intrauterine fetal death: role of routine histopathological placental findings to determine cause of death, Ultrasound Obstet. Gynecol. 48 (2016) 579–584. doi:10.1002/uog.16019.</w:t>
      </w:r>
    </w:p>
    <w:p w14:paraId="2DCE4849" w14:textId="77777777" w:rsidR="00207B7C" w:rsidRPr="004B61EA" w:rsidRDefault="00207B7C" w:rsidP="00207B7C">
      <w:pPr>
        <w:widowControl w:val="0"/>
        <w:autoSpaceDE w:val="0"/>
        <w:autoSpaceDN w:val="0"/>
        <w:adjustRightInd w:val="0"/>
        <w:spacing w:after="0" w:line="360" w:lineRule="auto"/>
        <w:ind w:left="640" w:hanging="640"/>
        <w:rPr>
          <w:rFonts w:ascii="Arial" w:hAnsi="Arial" w:cs="Arial"/>
          <w:noProof/>
          <w:sz w:val="24"/>
        </w:rPr>
      </w:pPr>
      <w:r w:rsidRPr="004B61EA">
        <w:rPr>
          <w:rFonts w:ascii="Arial" w:eastAsia="Times New Roman" w:hAnsi="Arial" w:cs="Arial"/>
          <w:noProof/>
          <w:sz w:val="24"/>
        </w:rPr>
        <w:t>[35]</w:t>
      </w:r>
      <w:r w:rsidRPr="004B61EA">
        <w:rPr>
          <w:rFonts w:ascii="Arial" w:eastAsia="Times New Roman" w:hAnsi="Arial" w:cs="Arial"/>
          <w:noProof/>
          <w:sz w:val="24"/>
        </w:rPr>
        <w:tab/>
        <w:t>J. Cuzick, A Wilcoxon-type test for trend., Stat. Med. 4 (n.d.) 87–90. http://www.ncbi.nlm.nih.gov/pubmed/3992076 (accessed August 31, 2017).</w:t>
      </w:r>
    </w:p>
    <w:p w14:paraId="7A3DCCB1" w14:textId="7A74B87F" w:rsidR="009D4733" w:rsidRPr="004B61EA" w:rsidRDefault="00A5195E" w:rsidP="00207B7C">
      <w:pPr>
        <w:widowControl w:val="0"/>
        <w:autoSpaceDE w:val="0"/>
        <w:autoSpaceDN w:val="0"/>
        <w:adjustRightInd w:val="0"/>
        <w:spacing w:after="0" w:line="360" w:lineRule="auto"/>
        <w:ind w:left="640" w:hanging="640"/>
        <w:rPr>
          <w:rFonts w:ascii="Arial" w:hAnsi="Arial" w:cs="Arial"/>
          <w:sz w:val="24"/>
          <w:szCs w:val="24"/>
          <w:u w:val="single"/>
          <w:lang w:val="en-US"/>
        </w:rPr>
      </w:pPr>
      <w:r w:rsidRPr="004B61EA">
        <w:rPr>
          <w:rFonts w:ascii="Arial" w:hAnsi="Arial" w:cs="Arial"/>
          <w:sz w:val="24"/>
          <w:szCs w:val="24"/>
          <w:u w:val="single"/>
          <w:lang w:val="en-US"/>
        </w:rPr>
        <w:fldChar w:fldCharType="end"/>
      </w:r>
    </w:p>
    <w:p w14:paraId="54CC49D0" w14:textId="77777777" w:rsidR="009D4733" w:rsidRPr="004B61EA" w:rsidRDefault="009D4733">
      <w:pPr>
        <w:rPr>
          <w:rFonts w:ascii="Arial" w:hAnsi="Arial" w:cs="Arial"/>
          <w:sz w:val="24"/>
          <w:szCs w:val="24"/>
          <w:u w:val="single"/>
          <w:lang w:val="en-US"/>
        </w:rPr>
      </w:pPr>
      <w:r w:rsidRPr="004B61EA">
        <w:rPr>
          <w:rFonts w:ascii="Arial" w:hAnsi="Arial" w:cs="Arial"/>
          <w:sz w:val="24"/>
          <w:szCs w:val="24"/>
          <w:u w:val="single"/>
          <w:lang w:val="en-US"/>
        </w:rPr>
        <w:br w:type="page"/>
      </w:r>
    </w:p>
    <w:p w14:paraId="2E5D7550" w14:textId="7F204142" w:rsidR="004955FF" w:rsidRPr="004B61EA" w:rsidRDefault="009D4733" w:rsidP="0045605B">
      <w:pPr>
        <w:widowControl w:val="0"/>
        <w:autoSpaceDE w:val="0"/>
        <w:autoSpaceDN w:val="0"/>
        <w:adjustRightInd w:val="0"/>
        <w:spacing w:after="0" w:line="360" w:lineRule="auto"/>
        <w:ind w:left="480" w:hanging="480"/>
        <w:outlineLvl w:val="0"/>
        <w:rPr>
          <w:rFonts w:ascii="Arial" w:hAnsi="Arial" w:cs="Arial"/>
          <w:b/>
          <w:sz w:val="24"/>
          <w:szCs w:val="24"/>
          <w:lang w:val="en-US"/>
        </w:rPr>
      </w:pPr>
      <w:r w:rsidRPr="004B61EA">
        <w:rPr>
          <w:rFonts w:ascii="Arial" w:hAnsi="Arial" w:cs="Arial"/>
          <w:b/>
          <w:sz w:val="24"/>
          <w:szCs w:val="24"/>
          <w:lang w:val="en-US"/>
        </w:rPr>
        <w:t>Additional Information</w:t>
      </w:r>
    </w:p>
    <w:p w14:paraId="2A89AF8B" w14:textId="77777777" w:rsidR="009D4733" w:rsidRPr="004B61EA" w:rsidRDefault="009D4733" w:rsidP="006A0A49">
      <w:pPr>
        <w:widowControl w:val="0"/>
        <w:autoSpaceDE w:val="0"/>
        <w:autoSpaceDN w:val="0"/>
        <w:adjustRightInd w:val="0"/>
        <w:spacing w:after="0" w:line="360" w:lineRule="auto"/>
        <w:ind w:left="480" w:hanging="480"/>
        <w:rPr>
          <w:rFonts w:ascii="Arial" w:hAnsi="Arial" w:cs="Arial"/>
          <w:b/>
          <w:sz w:val="24"/>
          <w:szCs w:val="24"/>
          <w:lang w:val="en-US"/>
        </w:rPr>
      </w:pPr>
    </w:p>
    <w:p w14:paraId="637241F2" w14:textId="18DC52FB" w:rsidR="009D4733" w:rsidRPr="004B61EA" w:rsidRDefault="009D4733" w:rsidP="0045605B">
      <w:pPr>
        <w:widowControl w:val="0"/>
        <w:autoSpaceDE w:val="0"/>
        <w:autoSpaceDN w:val="0"/>
        <w:adjustRightInd w:val="0"/>
        <w:spacing w:after="0" w:line="360" w:lineRule="auto"/>
        <w:ind w:left="480" w:hanging="480"/>
        <w:outlineLvl w:val="0"/>
        <w:rPr>
          <w:rFonts w:ascii="Arial" w:hAnsi="Arial" w:cs="Arial"/>
          <w:sz w:val="24"/>
          <w:szCs w:val="24"/>
          <w:lang w:val="en-US"/>
        </w:rPr>
      </w:pPr>
      <w:r w:rsidRPr="004B61EA">
        <w:rPr>
          <w:rFonts w:ascii="Arial" w:hAnsi="Arial" w:cs="Arial"/>
          <w:b/>
          <w:sz w:val="24"/>
          <w:szCs w:val="24"/>
          <w:lang w:val="en-US"/>
        </w:rPr>
        <w:t>Competing interests.</w:t>
      </w:r>
      <w:r w:rsidRPr="004B61EA">
        <w:rPr>
          <w:rFonts w:ascii="Arial" w:hAnsi="Arial" w:cs="Arial"/>
          <w:sz w:val="24"/>
          <w:szCs w:val="24"/>
          <w:lang w:val="en-US"/>
        </w:rPr>
        <w:t xml:space="preserve"> The authors have no competing interests.</w:t>
      </w:r>
    </w:p>
    <w:p w14:paraId="1144D642" w14:textId="77777777" w:rsidR="009D4733" w:rsidRPr="004B61EA" w:rsidRDefault="009D4733" w:rsidP="006A0A49">
      <w:pPr>
        <w:widowControl w:val="0"/>
        <w:autoSpaceDE w:val="0"/>
        <w:autoSpaceDN w:val="0"/>
        <w:adjustRightInd w:val="0"/>
        <w:spacing w:after="0" w:line="360" w:lineRule="auto"/>
        <w:ind w:left="480" w:hanging="480"/>
        <w:rPr>
          <w:rFonts w:ascii="Arial" w:hAnsi="Arial" w:cs="Arial"/>
          <w:sz w:val="24"/>
          <w:szCs w:val="24"/>
          <w:lang w:val="en-US"/>
        </w:rPr>
      </w:pPr>
    </w:p>
    <w:p w14:paraId="4667691B" w14:textId="77777777" w:rsidR="00540232" w:rsidRPr="004B61EA" w:rsidRDefault="007D6D97" w:rsidP="0045605B">
      <w:pPr>
        <w:widowControl w:val="0"/>
        <w:autoSpaceDE w:val="0"/>
        <w:autoSpaceDN w:val="0"/>
        <w:adjustRightInd w:val="0"/>
        <w:spacing w:after="0" w:line="360" w:lineRule="auto"/>
        <w:ind w:left="480" w:hanging="480"/>
        <w:outlineLvl w:val="0"/>
        <w:rPr>
          <w:rFonts w:ascii="Arial" w:hAnsi="Arial" w:cs="Arial"/>
          <w:sz w:val="24"/>
          <w:szCs w:val="24"/>
          <w:lang w:val="en-US"/>
        </w:rPr>
      </w:pPr>
      <w:r w:rsidRPr="004B61EA">
        <w:rPr>
          <w:rFonts w:ascii="Arial" w:hAnsi="Arial" w:cs="Arial"/>
          <w:b/>
          <w:sz w:val="24"/>
          <w:szCs w:val="24"/>
          <w:lang w:val="en-US"/>
        </w:rPr>
        <w:t>Acknowledgements</w:t>
      </w:r>
      <w:r w:rsidR="00540232" w:rsidRPr="004B61EA">
        <w:rPr>
          <w:rFonts w:ascii="Arial" w:hAnsi="Arial" w:cs="Arial"/>
          <w:sz w:val="24"/>
          <w:szCs w:val="24"/>
          <w:lang w:val="en-US"/>
        </w:rPr>
        <w:t xml:space="preserve"> GE donated two ultrasound machines for use in the project. We</w:t>
      </w:r>
    </w:p>
    <w:p w14:paraId="26B876C1" w14:textId="77777777" w:rsidR="00540232" w:rsidRPr="004B61EA" w:rsidRDefault="00540232" w:rsidP="006A0A49">
      <w:pPr>
        <w:widowControl w:val="0"/>
        <w:autoSpaceDE w:val="0"/>
        <w:autoSpaceDN w:val="0"/>
        <w:adjustRightInd w:val="0"/>
        <w:spacing w:after="0" w:line="360" w:lineRule="auto"/>
        <w:ind w:left="480" w:hanging="480"/>
        <w:rPr>
          <w:rFonts w:ascii="Arial" w:hAnsi="Arial" w:cs="Arial"/>
          <w:sz w:val="24"/>
          <w:szCs w:val="24"/>
          <w:lang w:val="en-US"/>
        </w:rPr>
      </w:pPr>
      <w:r w:rsidRPr="004B61EA">
        <w:rPr>
          <w:rFonts w:ascii="Arial" w:hAnsi="Arial" w:cs="Arial"/>
          <w:sz w:val="24"/>
          <w:szCs w:val="24"/>
          <w:lang w:val="en-US"/>
        </w:rPr>
        <w:t>are extremely grateful to all the women who participated in the study, and to all the</w:t>
      </w:r>
    </w:p>
    <w:p w14:paraId="0B0A6146" w14:textId="77777777" w:rsidR="00540232" w:rsidRPr="004B61EA" w:rsidRDefault="00540232" w:rsidP="006A0A49">
      <w:pPr>
        <w:widowControl w:val="0"/>
        <w:autoSpaceDE w:val="0"/>
        <w:autoSpaceDN w:val="0"/>
        <w:adjustRightInd w:val="0"/>
        <w:spacing w:after="0" w:line="360" w:lineRule="auto"/>
        <w:ind w:left="480" w:hanging="480"/>
        <w:rPr>
          <w:rFonts w:ascii="Arial" w:hAnsi="Arial" w:cs="Arial"/>
          <w:sz w:val="24"/>
          <w:szCs w:val="24"/>
          <w:lang w:val="en-US"/>
        </w:rPr>
      </w:pPr>
      <w:r w:rsidRPr="004B61EA">
        <w:rPr>
          <w:rFonts w:ascii="Arial" w:hAnsi="Arial" w:cs="Arial"/>
          <w:sz w:val="24"/>
          <w:szCs w:val="24"/>
          <w:lang w:val="en-US"/>
        </w:rPr>
        <w:t>staff in the Rosie Hospital and NIHR Cambridge Clinical Research Facility who</w:t>
      </w:r>
    </w:p>
    <w:p w14:paraId="30C92F5F" w14:textId="77777777" w:rsidR="00540232" w:rsidRPr="004B61EA" w:rsidRDefault="00540232" w:rsidP="006A0A49">
      <w:pPr>
        <w:widowControl w:val="0"/>
        <w:autoSpaceDE w:val="0"/>
        <w:autoSpaceDN w:val="0"/>
        <w:adjustRightInd w:val="0"/>
        <w:spacing w:after="0" w:line="360" w:lineRule="auto"/>
        <w:ind w:left="480" w:hanging="480"/>
        <w:rPr>
          <w:rFonts w:ascii="Arial" w:hAnsi="Arial" w:cs="Arial"/>
          <w:sz w:val="24"/>
          <w:szCs w:val="24"/>
          <w:lang w:val="en-US"/>
        </w:rPr>
      </w:pPr>
      <w:r w:rsidRPr="004B61EA">
        <w:rPr>
          <w:rFonts w:ascii="Arial" w:hAnsi="Arial" w:cs="Arial"/>
          <w:sz w:val="24"/>
          <w:szCs w:val="24"/>
          <w:lang w:val="en-US"/>
        </w:rPr>
        <w:t>provided assistance for the study by hosting all research visits for the cohort</w:t>
      </w:r>
    </w:p>
    <w:p w14:paraId="6603D83E" w14:textId="77777777" w:rsidR="00540232" w:rsidRPr="004B61EA" w:rsidRDefault="00540232" w:rsidP="006A0A49">
      <w:pPr>
        <w:widowControl w:val="0"/>
        <w:autoSpaceDE w:val="0"/>
        <w:autoSpaceDN w:val="0"/>
        <w:adjustRightInd w:val="0"/>
        <w:spacing w:after="0" w:line="360" w:lineRule="auto"/>
        <w:ind w:left="480" w:hanging="480"/>
        <w:rPr>
          <w:rFonts w:ascii="Arial" w:hAnsi="Arial" w:cs="Arial"/>
          <w:sz w:val="24"/>
          <w:szCs w:val="24"/>
          <w:lang w:val="en-US"/>
        </w:rPr>
      </w:pPr>
      <w:r w:rsidRPr="004B61EA">
        <w:rPr>
          <w:rFonts w:ascii="Arial" w:hAnsi="Arial" w:cs="Arial"/>
          <w:sz w:val="24"/>
          <w:szCs w:val="24"/>
          <w:lang w:val="en-US"/>
        </w:rPr>
        <w:t>members. None of the bodies providing direct or indirect support for the project was</w:t>
      </w:r>
    </w:p>
    <w:p w14:paraId="5AB1B5CA" w14:textId="3C8BC20D" w:rsidR="007D6D97" w:rsidRPr="004B61EA" w:rsidRDefault="00540232" w:rsidP="006A0A49">
      <w:pPr>
        <w:widowControl w:val="0"/>
        <w:autoSpaceDE w:val="0"/>
        <w:autoSpaceDN w:val="0"/>
        <w:adjustRightInd w:val="0"/>
        <w:spacing w:after="0" w:line="360" w:lineRule="auto"/>
        <w:ind w:left="480" w:hanging="480"/>
        <w:rPr>
          <w:rFonts w:ascii="Arial" w:hAnsi="Arial" w:cs="Arial"/>
          <w:b/>
          <w:sz w:val="24"/>
          <w:szCs w:val="24"/>
          <w:lang w:val="en-US"/>
        </w:rPr>
      </w:pPr>
      <w:r w:rsidRPr="004B61EA">
        <w:rPr>
          <w:rFonts w:ascii="Arial" w:hAnsi="Arial" w:cs="Arial"/>
          <w:sz w:val="24"/>
          <w:szCs w:val="24"/>
          <w:lang w:val="en-US"/>
        </w:rPr>
        <w:t>involved in any aspect of preparation of this work for publication.</w:t>
      </w:r>
    </w:p>
    <w:p w14:paraId="6474674D" w14:textId="77777777" w:rsidR="007D6D97" w:rsidRPr="004B61EA" w:rsidRDefault="007D6D97" w:rsidP="006A0A49">
      <w:pPr>
        <w:widowControl w:val="0"/>
        <w:autoSpaceDE w:val="0"/>
        <w:autoSpaceDN w:val="0"/>
        <w:adjustRightInd w:val="0"/>
        <w:spacing w:after="0" w:line="360" w:lineRule="auto"/>
        <w:ind w:left="480" w:hanging="480"/>
        <w:rPr>
          <w:rFonts w:ascii="Arial" w:hAnsi="Arial" w:cs="Arial"/>
          <w:sz w:val="24"/>
          <w:szCs w:val="24"/>
          <w:lang w:val="en-US"/>
        </w:rPr>
      </w:pPr>
    </w:p>
    <w:p w14:paraId="26579352" w14:textId="28665A0F" w:rsidR="009D4733" w:rsidRPr="004B61EA" w:rsidRDefault="009D4733" w:rsidP="006A0A49">
      <w:pPr>
        <w:pStyle w:val="NoSpacing"/>
        <w:spacing w:line="360" w:lineRule="auto"/>
        <w:rPr>
          <w:rFonts w:ascii="Arial" w:hAnsi="Arial" w:cs="Arial"/>
          <w:sz w:val="24"/>
          <w:szCs w:val="24"/>
          <w:lang w:val="en-US"/>
        </w:rPr>
      </w:pPr>
      <w:r w:rsidRPr="004B61EA">
        <w:rPr>
          <w:rFonts w:ascii="Arial" w:hAnsi="Arial" w:cs="Arial"/>
          <w:b/>
          <w:sz w:val="24"/>
          <w:szCs w:val="24"/>
          <w:lang w:val="en-US"/>
        </w:rPr>
        <w:t xml:space="preserve">Funding. </w:t>
      </w:r>
      <w:r w:rsidRPr="004B61EA">
        <w:rPr>
          <w:rFonts w:ascii="Arial" w:hAnsi="Arial" w:cs="Arial"/>
          <w:sz w:val="24"/>
          <w:szCs w:val="24"/>
          <w:lang w:val="en-US"/>
        </w:rPr>
        <w:t>This study was funded by the NIHR Cambridge Comprehensive Biomedical Research Centre</w:t>
      </w:r>
      <w:r w:rsidR="00E3105B" w:rsidRPr="004B61EA">
        <w:rPr>
          <w:rFonts w:ascii="Arial" w:hAnsi="Arial" w:cs="Arial"/>
          <w:sz w:val="24"/>
          <w:szCs w:val="24"/>
          <w:lang w:val="en-US"/>
        </w:rPr>
        <w:t xml:space="preserve"> (Women’s Health theme)</w:t>
      </w:r>
      <w:r w:rsidRPr="004B61EA">
        <w:rPr>
          <w:rFonts w:ascii="Arial" w:hAnsi="Arial" w:cs="Arial"/>
          <w:sz w:val="24"/>
          <w:szCs w:val="24"/>
          <w:lang w:val="en-US"/>
        </w:rPr>
        <w:t xml:space="preserve"> and Stillbirth and Neonatal Death Society (SANDS). </w:t>
      </w:r>
    </w:p>
    <w:p w14:paraId="7E70051A" w14:textId="77777777" w:rsidR="00E3105B" w:rsidRPr="004B61EA" w:rsidRDefault="00E3105B" w:rsidP="001E19F2">
      <w:pPr>
        <w:widowControl w:val="0"/>
        <w:autoSpaceDE w:val="0"/>
        <w:autoSpaceDN w:val="0"/>
        <w:adjustRightInd w:val="0"/>
        <w:spacing w:after="0" w:line="360" w:lineRule="auto"/>
        <w:ind w:left="480" w:hanging="480"/>
        <w:rPr>
          <w:rFonts w:ascii="Arial" w:hAnsi="Arial" w:cs="Arial"/>
          <w:b/>
          <w:sz w:val="24"/>
          <w:szCs w:val="24"/>
          <w:lang w:val="en-US"/>
        </w:rPr>
      </w:pPr>
    </w:p>
    <w:p w14:paraId="7B76051A" w14:textId="73E81ACE" w:rsidR="001E19F2" w:rsidRPr="004B61EA" w:rsidRDefault="001E19F2" w:rsidP="00FB5019">
      <w:pPr>
        <w:widowControl w:val="0"/>
        <w:autoSpaceDE w:val="0"/>
        <w:autoSpaceDN w:val="0"/>
        <w:adjustRightInd w:val="0"/>
        <w:spacing w:after="0" w:line="360" w:lineRule="auto"/>
        <w:rPr>
          <w:rFonts w:ascii="Arial" w:hAnsi="Arial" w:cs="Arial"/>
          <w:sz w:val="24"/>
          <w:szCs w:val="24"/>
          <w:lang w:val="en-US"/>
        </w:rPr>
      </w:pPr>
      <w:r w:rsidRPr="004B61EA">
        <w:rPr>
          <w:rFonts w:ascii="Arial" w:hAnsi="Arial" w:cs="Arial"/>
          <w:b/>
          <w:sz w:val="24"/>
          <w:szCs w:val="24"/>
          <w:lang w:val="en-US"/>
        </w:rPr>
        <w:t xml:space="preserve">Author contributions. </w:t>
      </w:r>
      <w:r w:rsidRPr="004B61EA">
        <w:rPr>
          <w:rFonts w:ascii="Arial" w:hAnsi="Arial" w:cs="Arial"/>
          <w:sz w:val="24"/>
          <w:szCs w:val="24"/>
          <w:lang w:val="en-US"/>
        </w:rPr>
        <w:t>GCSS and DSCJ designed the study and managed the</w:t>
      </w:r>
      <w:r w:rsidR="00FD1BC8" w:rsidRPr="004B61EA">
        <w:rPr>
          <w:rFonts w:ascii="Arial" w:hAnsi="Arial" w:cs="Arial"/>
          <w:sz w:val="24"/>
          <w:szCs w:val="24"/>
          <w:lang w:val="en-US"/>
        </w:rPr>
        <w:t xml:space="preserve"> </w:t>
      </w:r>
      <w:r w:rsidRPr="004B61EA">
        <w:rPr>
          <w:rFonts w:ascii="Arial" w:hAnsi="Arial" w:cs="Arial"/>
          <w:sz w:val="24"/>
          <w:szCs w:val="24"/>
          <w:lang w:val="en-US"/>
        </w:rPr>
        <w:t xml:space="preserve">teams who collected the data. RH and AG </w:t>
      </w:r>
      <w:r w:rsidR="00D03083" w:rsidRPr="004B61EA">
        <w:rPr>
          <w:rFonts w:ascii="Arial" w:hAnsi="Arial" w:cs="Arial"/>
          <w:sz w:val="24"/>
          <w:szCs w:val="24"/>
          <w:lang w:val="en-US"/>
        </w:rPr>
        <w:t xml:space="preserve">assisted with </w:t>
      </w:r>
      <w:r w:rsidRPr="004B61EA">
        <w:rPr>
          <w:rFonts w:ascii="Arial" w:hAnsi="Arial" w:cs="Arial"/>
          <w:sz w:val="24"/>
          <w:szCs w:val="24"/>
          <w:lang w:val="en-US"/>
        </w:rPr>
        <w:t>the data</w:t>
      </w:r>
      <w:r w:rsidR="00D03083" w:rsidRPr="004B61EA">
        <w:rPr>
          <w:rFonts w:ascii="Arial" w:hAnsi="Arial" w:cs="Arial"/>
          <w:sz w:val="24"/>
          <w:szCs w:val="24"/>
          <w:lang w:val="en-US"/>
        </w:rPr>
        <w:t xml:space="preserve"> collection </w:t>
      </w:r>
      <w:r w:rsidR="00FB5019" w:rsidRPr="004B61EA">
        <w:rPr>
          <w:rFonts w:ascii="Arial" w:hAnsi="Arial" w:cs="Arial"/>
          <w:sz w:val="24"/>
          <w:szCs w:val="24"/>
          <w:lang w:val="en-US"/>
        </w:rPr>
        <w:t>and reviewed the</w:t>
      </w:r>
      <w:r w:rsidR="00FC1A94" w:rsidRPr="004B61EA">
        <w:rPr>
          <w:rFonts w:ascii="Arial" w:hAnsi="Arial" w:cs="Arial"/>
          <w:sz w:val="24"/>
          <w:szCs w:val="24"/>
          <w:lang w:val="en-US"/>
        </w:rPr>
        <w:t xml:space="preserve"> </w:t>
      </w:r>
      <w:r w:rsidR="00D03083" w:rsidRPr="004B61EA">
        <w:rPr>
          <w:rFonts w:ascii="Arial" w:hAnsi="Arial" w:cs="Arial"/>
          <w:sz w:val="24"/>
          <w:szCs w:val="24"/>
          <w:lang w:val="en-US"/>
        </w:rPr>
        <w:t>preeclampsia clinical case records</w:t>
      </w:r>
      <w:r w:rsidRPr="004B61EA">
        <w:rPr>
          <w:rFonts w:ascii="Arial" w:hAnsi="Arial" w:cs="Arial"/>
          <w:sz w:val="24"/>
          <w:szCs w:val="24"/>
          <w:lang w:val="en-US"/>
        </w:rPr>
        <w:t>. NS and US analysed</w:t>
      </w:r>
      <w:r w:rsidR="00FC1A94" w:rsidRPr="004B61EA">
        <w:rPr>
          <w:rFonts w:ascii="Arial" w:hAnsi="Arial" w:cs="Arial"/>
          <w:sz w:val="24"/>
          <w:szCs w:val="24"/>
          <w:lang w:val="en-US"/>
        </w:rPr>
        <w:t xml:space="preserve"> </w:t>
      </w:r>
      <w:r w:rsidRPr="004B61EA">
        <w:rPr>
          <w:rFonts w:ascii="Arial" w:hAnsi="Arial" w:cs="Arial"/>
          <w:sz w:val="24"/>
          <w:szCs w:val="24"/>
          <w:lang w:val="en-US"/>
        </w:rPr>
        <w:t>the</w:t>
      </w:r>
      <w:r w:rsidR="00FB5019" w:rsidRPr="004B61EA">
        <w:rPr>
          <w:rFonts w:ascii="Arial" w:hAnsi="Arial" w:cs="Arial"/>
          <w:sz w:val="24"/>
          <w:szCs w:val="24"/>
          <w:lang w:val="en-US"/>
        </w:rPr>
        <w:t xml:space="preserve"> </w:t>
      </w:r>
      <w:r w:rsidRPr="004B61EA">
        <w:rPr>
          <w:rFonts w:ascii="Arial" w:hAnsi="Arial" w:cs="Arial"/>
          <w:sz w:val="24"/>
          <w:szCs w:val="24"/>
          <w:lang w:val="en-US"/>
        </w:rPr>
        <w:t>data and NS, SJG, US, SAS, GCSS contributed to the interpretation of the data.</w:t>
      </w:r>
    </w:p>
    <w:p w14:paraId="0CDB0443" w14:textId="02E4B830" w:rsidR="007232E5" w:rsidRPr="004B61EA" w:rsidRDefault="001E19F2" w:rsidP="003820DD">
      <w:pPr>
        <w:spacing w:line="360" w:lineRule="auto"/>
        <w:rPr>
          <w:rFonts w:ascii="Arial" w:hAnsi="Arial" w:cs="Arial"/>
          <w:sz w:val="24"/>
          <w:szCs w:val="24"/>
          <w:lang w:val="en-US"/>
        </w:rPr>
      </w:pPr>
      <w:r w:rsidRPr="004B61EA">
        <w:rPr>
          <w:rFonts w:ascii="Arial" w:hAnsi="Arial" w:cs="Arial"/>
          <w:sz w:val="24"/>
          <w:szCs w:val="24"/>
          <w:lang w:val="en-US"/>
        </w:rPr>
        <w:t xml:space="preserve">NS, SJG and GCSS drafted the manuscript and </w:t>
      </w:r>
      <w:r w:rsidR="00FB5019" w:rsidRPr="004B61EA">
        <w:rPr>
          <w:rFonts w:ascii="Arial" w:hAnsi="Arial" w:cs="Arial"/>
          <w:sz w:val="24"/>
          <w:szCs w:val="24"/>
          <w:lang w:val="en-US"/>
        </w:rPr>
        <w:t xml:space="preserve">which </w:t>
      </w:r>
      <w:r w:rsidRPr="004B61EA">
        <w:rPr>
          <w:rFonts w:ascii="Arial" w:hAnsi="Arial" w:cs="Arial"/>
          <w:sz w:val="24"/>
          <w:szCs w:val="24"/>
          <w:lang w:val="en-US"/>
        </w:rPr>
        <w:t xml:space="preserve">all authors revised critically. All authors approved the final version of the manuscript. </w:t>
      </w:r>
      <w:r w:rsidRPr="004B61EA">
        <w:rPr>
          <w:rFonts w:ascii="Arial" w:hAnsi="Arial" w:cs="Arial"/>
          <w:color w:val="000000"/>
          <w:sz w:val="24"/>
          <w:szCs w:val="24"/>
          <w:lang w:val="en-US"/>
        </w:rPr>
        <w:t>We confirm that all persons designated as authors qualify for authorship and that all persons who qualify for authorship are listed as authors.</w:t>
      </w:r>
      <w:r w:rsidR="007232E5" w:rsidRPr="004B61EA">
        <w:rPr>
          <w:rFonts w:ascii="Arial" w:hAnsi="Arial" w:cs="Arial"/>
          <w:sz w:val="24"/>
          <w:szCs w:val="24"/>
          <w:lang w:val="en-US"/>
        </w:rPr>
        <w:br w:type="page"/>
      </w:r>
    </w:p>
    <w:p w14:paraId="3D239953" w14:textId="77777777" w:rsidR="007232E5" w:rsidRPr="004B61EA" w:rsidRDefault="007232E5" w:rsidP="0045605B">
      <w:pPr>
        <w:pStyle w:val="NoSpacing"/>
        <w:spacing w:line="360" w:lineRule="auto"/>
        <w:jc w:val="both"/>
        <w:outlineLvl w:val="0"/>
        <w:rPr>
          <w:rFonts w:ascii="Arial" w:hAnsi="Arial" w:cs="Arial"/>
          <w:b/>
          <w:sz w:val="24"/>
          <w:szCs w:val="24"/>
          <w:lang w:val="en-US"/>
        </w:rPr>
      </w:pPr>
      <w:r w:rsidRPr="004B61EA">
        <w:rPr>
          <w:rFonts w:ascii="Arial" w:hAnsi="Arial" w:cs="Arial"/>
          <w:b/>
          <w:sz w:val="24"/>
          <w:szCs w:val="24"/>
          <w:lang w:val="en-US"/>
        </w:rPr>
        <w:t>Legends for Figures</w:t>
      </w:r>
    </w:p>
    <w:p w14:paraId="48BB0E42" w14:textId="77777777" w:rsidR="001E087E" w:rsidRPr="004B61EA" w:rsidRDefault="001E087E" w:rsidP="001E087E">
      <w:pPr>
        <w:pStyle w:val="NoSpacing"/>
        <w:spacing w:line="360" w:lineRule="auto"/>
        <w:jc w:val="both"/>
        <w:rPr>
          <w:rFonts w:ascii="Arial" w:hAnsi="Arial" w:cs="Arial"/>
          <w:b/>
          <w:sz w:val="24"/>
          <w:szCs w:val="24"/>
          <w:lang w:val="en-US"/>
        </w:rPr>
      </w:pPr>
    </w:p>
    <w:p w14:paraId="6BB71A9C" w14:textId="77777777" w:rsidR="001E087E" w:rsidRPr="004B61EA" w:rsidRDefault="001E087E" w:rsidP="001E087E">
      <w:pPr>
        <w:pStyle w:val="NoSpacing"/>
        <w:spacing w:line="360" w:lineRule="auto"/>
        <w:rPr>
          <w:rFonts w:ascii="Arial" w:hAnsi="Arial" w:cs="Arial"/>
          <w:sz w:val="24"/>
          <w:szCs w:val="24"/>
          <w:lang w:val="en-US"/>
        </w:rPr>
      </w:pPr>
      <w:r w:rsidRPr="004B61EA">
        <w:rPr>
          <w:rFonts w:ascii="Arial" w:hAnsi="Arial" w:cs="Arial"/>
          <w:b/>
          <w:sz w:val="24"/>
          <w:szCs w:val="24"/>
          <w:lang w:val="en-US"/>
        </w:rPr>
        <w:t xml:space="preserve">Figure 1. </w:t>
      </w:r>
      <w:r w:rsidRPr="004B61EA">
        <w:rPr>
          <w:rFonts w:ascii="Arial" w:hAnsi="Arial" w:cs="Arial"/>
          <w:sz w:val="24"/>
          <w:szCs w:val="24"/>
          <w:lang w:val="en-US"/>
        </w:rPr>
        <w:t xml:space="preserve">Relative risks for high BWPW-ratio (Q5 vs. Q2-Q4).  </w:t>
      </w:r>
    </w:p>
    <w:p w14:paraId="19BDD3FB" w14:textId="7BC92D05" w:rsidR="007232E5" w:rsidRPr="004B61EA" w:rsidRDefault="001E087E" w:rsidP="001E087E">
      <w:pPr>
        <w:pStyle w:val="NoSpacing"/>
        <w:spacing w:line="360" w:lineRule="auto"/>
        <w:rPr>
          <w:rFonts w:ascii="Arial" w:hAnsi="Arial" w:cs="Arial"/>
          <w:sz w:val="24"/>
          <w:szCs w:val="24"/>
          <w:lang w:val="en-US"/>
        </w:rPr>
      </w:pPr>
      <w:r w:rsidRPr="004B61EA">
        <w:rPr>
          <w:rFonts w:ascii="Arial" w:hAnsi="Arial" w:cs="Arial"/>
          <w:sz w:val="24"/>
          <w:szCs w:val="24"/>
          <w:lang w:val="en-US"/>
        </w:rPr>
        <w:t xml:space="preserve">UtA denotes uterine artery (20 weeks), UmA denotes umbilical artery (36 weeks), PI denotes pulsatility index, ACGV denotes abdominal circumference growth velocity (20-36 weeks). </w:t>
      </w:r>
      <w:r w:rsidR="002D5614" w:rsidRPr="004B61EA">
        <w:rPr>
          <w:rFonts w:ascii="Arial" w:hAnsi="Arial" w:cs="Arial"/>
          <w:sz w:val="24"/>
          <w:szCs w:val="24"/>
          <w:lang w:val="en-US"/>
        </w:rPr>
        <w:t>Points are relative risks with 95% confidence intervals.</w:t>
      </w:r>
    </w:p>
    <w:p w14:paraId="2AB80781" w14:textId="77777777" w:rsidR="001E087E" w:rsidRPr="004B61EA" w:rsidRDefault="001E087E" w:rsidP="001E087E">
      <w:pPr>
        <w:pStyle w:val="NoSpacing"/>
        <w:spacing w:line="360" w:lineRule="auto"/>
        <w:rPr>
          <w:rFonts w:ascii="Arial" w:hAnsi="Arial" w:cs="Arial"/>
          <w:b/>
          <w:sz w:val="24"/>
          <w:szCs w:val="24"/>
          <w:lang w:val="en-US"/>
        </w:rPr>
      </w:pPr>
    </w:p>
    <w:p w14:paraId="7165535A" w14:textId="77777777" w:rsidR="001E087E" w:rsidRPr="004B61EA" w:rsidRDefault="001E087E" w:rsidP="001E087E">
      <w:pPr>
        <w:pStyle w:val="NoSpacing"/>
        <w:spacing w:line="360" w:lineRule="auto"/>
        <w:rPr>
          <w:rFonts w:ascii="Arial" w:hAnsi="Arial" w:cs="Arial"/>
          <w:b/>
          <w:sz w:val="24"/>
          <w:szCs w:val="24"/>
          <w:lang w:val="en-US"/>
        </w:rPr>
      </w:pPr>
      <w:r w:rsidRPr="004B61EA">
        <w:rPr>
          <w:rFonts w:ascii="Arial" w:hAnsi="Arial" w:cs="Arial"/>
          <w:b/>
          <w:sz w:val="24"/>
          <w:szCs w:val="24"/>
          <w:lang w:val="en-US"/>
        </w:rPr>
        <w:t xml:space="preserve">Figure 2. </w:t>
      </w:r>
      <w:r w:rsidRPr="004B61EA">
        <w:rPr>
          <w:rFonts w:ascii="Arial" w:hAnsi="Arial" w:cs="Arial"/>
          <w:sz w:val="24"/>
          <w:szCs w:val="24"/>
          <w:lang w:val="en-US"/>
        </w:rPr>
        <w:t>Relative risks for low BWPW-ratio (Q1 vs. Q2-Q4).</w:t>
      </w:r>
      <w:r w:rsidRPr="004B61EA">
        <w:rPr>
          <w:rFonts w:ascii="Arial" w:hAnsi="Arial" w:cs="Arial"/>
          <w:b/>
          <w:sz w:val="24"/>
          <w:szCs w:val="24"/>
          <w:lang w:val="en-US"/>
        </w:rPr>
        <w:t xml:space="preserve">  </w:t>
      </w:r>
    </w:p>
    <w:p w14:paraId="61D7E121" w14:textId="021B173D" w:rsidR="002D5614" w:rsidRPr="004B61EA" w:rsidRDefault="001E087E" w:rsidP="00AB28E6">
      <w:pPr>
        <w:pStyle w:val="NoSpacing"/>
        <w:spacing w:line="360" w:lineRule="auto"/>
        <w:rPr>
          <w:rFonts w:ascii="Arial" w:hAnsi="Arial" w:cs="Arial"/>
          <w:sz w:val="24"/>
          <w:szCs w:val="24"/>
          <w:lang w:val="en-US"/>
        </w:rPr>
      </w:pPr>
      <w:r w:rsidRPr="004B61EA">
        <w:rPr>
          <w:rFonts w:ascii="Arial" w:hAnsi="Arial" w:cs="Arial"/>
          <w:sz w:val="24"/>
          <w:szCs w:val="24"/>
          <w:lang w:val="en-US"/>
        </w:rPr>
        <w:t>UtA denotes uterine artery (20 weeks), UmA denotes umbilical artery (36 weeks), PI denotes pulsatility index, ACGV denotes abdominal circumference</w:t>
      </w:r>
      <w:r w:rsidR="00DD08E1" w:rsidRPr="004B61EA">
        <w:rPr>
          <w:rFonts w:ascii="Arial" w:hAnsi="Arial" w:cs="Arial"/>
          <w:sz w:val="24"/>
          <w:szCs w:val="24"/>
          <w:lang w:val="en-US"/>
        </w:rPr>
        <w:t xml:space="preserve"> growth velocity (20-36 weeks). </w:t>
      </w:r>
      <w:r w:rsidR="002D5614" w:rsidRPr="004B61EA">
        <w:rPr>
          <w:rFonts w:ascii="Arial" w:hAnsi="Arial" w:cs="Arial"/>
          <w:sz w:val="24"/>
          <w:szCs w:val="24"/>
          <w:lang w:val="en-US"/>
        </w:rPr>
        <w:t>Points are relative risks with 95% confidence intervals.</w:t>
      </w:r>
    </w:p>
    <w:p w14:paraId="384E72BC" w14:textId="77777777" w:rsidR="00AB28E6" w:rsidRPr="004B61EA" w:rsidRDefault="00AB28E6" w:rsidP="00AB28E6">
      <w:pPr>
        <w:pStyle w:val="NoSpacing"/>
        <w:spacing w:line="360" w:lineRule="auto"/>
        <w:rPr>
          <w:rFonts w:ascii="Arial" w:hAnsi="Arial" w:cs="Arial"/>
          <w:b/>
          <w:sz w:val="24"/>
          <w:szCs w:val="24"/>
          <w:lang w:val="en-US"/>
        </w:rPr>
      </w:pPr>
    </w:p>
    <w:p w14:paraId="71FFFCEC" w14:textId="7AD913CF" w:rsidR="00AB28E6" w:rsidRPr="004B61EA" w:rsidRDefault="00AB28E6" w:rsidP="00AB28E6">
      <w:pPr>
        <w:pStyle w:val="NoSpacing"/>
        <w:spacing w:line="360" w:lineRule="auto"/>
        <w:rPr>
          <w:rFonts w:ascii="Arial" w:hAnsi="Arial" w:cs="Arial"/>
          <w:sz w:val="24"/>
          <w:szCs w:val="24"/>
          <w:lang w:val="en-US"/>
        </w:rPr>
      </w:pPr>
      <w:r w:rsidRPr="004B61EA">
        <w:rPr>
          <w:rFonts w:ascii="Arial" w:hAnsi="Arial" w:cs="Arial"/>
          <w:b/>
          <w:sz w:val="24"/>
          <w:szCs w:val="24"/>
          <w:lang w:val="en-US"/>
        </w:rPr>
        <w:t xml:space="preserve">Figure 3. </w:t>
      </w:r>
      <w:r w:rsidRPr="004B61EA">
        <w:rPr>
          <w:rFonts w:ascii="Arial" w:hAnsi="Arial" w:cs="Arial"/>
          <w:sz w:val="24"/>
          <w:szCs w:val="24"/>
          <w:lang w:val="en-US"/>
        </w:rPr>
        <w:t>Ultrasonic measurements in quintiles of birth weight placenta weight (BWPW)-ratio (</w:t>
      </w:r>
      <w:r w:rsidR="00DD08E1" w:rsidRPr="004B61EA">
        <w:rPr>
          <w:rFonts w:ascii="Arial" w:hAnsi="Arial" w:cs="Arial"/>
          <w:sz w:val="24"/>
          <w:szCs w:val="24"/>
          <w:lang w:val="en-US"/>
        </w:rPr>
        <w:t>mean z scores with 95% confidence intervals)</w:t>
      </w:r>
      <w:r w:rsidRPr="004B61EA">
        <w:rPr>
          <w:rFonts w:ascii="Arial" w:hAnsi="Arial" w:cs="Arial"/>
          <w:sz w:val="24"/>
          <w:szCs w:val="24"/>
          <w:lang w:val="en-US"/>
        </w:rPr>
        <w:t>:</w:t>
      </w:r>
      <w:r w:rsidR="00DD08E1" w:rsidRPr="004B61EA">
        <w:rPr>
          <w:rFonts w:ascii="Arial" w:hAnsi="Arial" w:cs="Arial"/>
          <w:sz w:val="24"/>
          <w:szCs w:val="24"/>
          <w:lang w:val="en-US"/>
        </w:rPr>
        <w:t xml:space="preserve"> A. </w:t>
      </w:r>
      <w:r w:rsidRPr="004B61EA">
        <w:rPr>
          <w:rFonts w:ascii="Arial" w:hAnsi="Arial" w:cs="Arial"/>
          <w:sz w:val="24"/>
          <w:szCs w:val="24"/>
          <w:lang w:val="en-US"/>
        </w:rPr>
        <w:t>Abdominal Circumference Growth Velocit</w:t>
      </w:r>
      <w:r w:rsidR="00DD08E1" w:rsidRPr="004B61EA">
        <w:rPr>
          <w:rFonts w:ascii="Arial" w:hAnsi="Arial" w:cs="Arial"/>
          <w:sz w:val="24"/>
          <w:szCs w:val="24"/>
          <w:lang w:val="en-US"/>
        </w:rPr>
        <w:t xml:space="preserve">y (ACGV) (20-36 weeks), B. </w:t>
      </w:r>
      <w:r w:rsidRPr="004B61EA">
        <w:rPr>
          <w:rFonts w:ascii="Arial" w:hAnsi="Arial" w:cs="Arial"/>
          <w:sz w:val="24"/>
          <w:szCs w:val="24"/>
          <w:lang w:val="en-US"/>
        </w:rPr>
        <w:t>Umbilical Ar</w:t>
      </w:r>
      <w:r w:rsidR="00DD08E1" w:rsidRPr="004B61EA">
        <w:rPr>
          <w:rFonts w:ascii="Arial" w:hAnsi="Arial" w:cs="Arial"/>
          <w:sz w:val="24"/>
          <w:szCs w:val="24"/>
          <w:lang w:val="en-US"/>
        </w:rPr>
        <w:t xml:space="preserve">tery Doppler PI (36 weeks), C. </w:t>
      </w:r>
      <w:r w:rsidRPr="004B61EA">
        <w:rPr>
          <w:rFonts w:ascii="Arial" w:hAnsi="Arial" w:cs="Arial"/>
          <w:sz w:val="24"/>
          <w:szCs w:val="24"/>
          <w:lang w:val="en-US"/>
        </w:rPr>
        <w:t>Uterine Artery Doppler PI (20 weeks).</w:t>
      </w:r>
      <w:r w:rsidR="00A3315D" w:rsidRPr="004B61EA">
        <w:rPr>
          <w:rFonts w:ascii="Arial" w:hAnsi="Arial" w:cs="Arial"/>
          <w:sz w:val="24"/>
          <w:szCs w:val="24"/>
          <w:lang w:val="en-US"/>
        </w:rPr>
        <w:t xml:space="preserve"> </w:t>
      </w:r>
      <w:r w:rsidR="00A3315D" w:rsidRPr="004B61EA">
        <w:rPr>
          <w:rFonts w:ascii="Arial" w:hAnsi="Arial" w:cs="Arial"/>
          <w:sz w:val="24"/>
          <w:szCs w:val="24"/>
          <w:lang w:val="fr-FR"/>
        </w:rPr>
        <w:t>Q1=lowest quintile, Q2-Q4=’normal’ quintiles, Q5=highest quintile.</w:t>
      </w:r>
      <w:r w:rsidRPr="004B61EA">
        <w:rPr>
          <w:rFonts w:ascii="Arial" w:hAnsi="Arial" w:cs="Arial"/>
          <w:sz w:val="24"/>
          <w:szCs w:val="24"/>
          <w:lang w:val="fr-FR"/>
        </w:rPr>
        <w:t xml:space="preserve"> </w:t>
      </w:r>
      <w:r w:rsidRPr="004B61EA">
        <w:rPr>
          <w:rFonts w:ascii="Arial" w:hAnsi="Arial" w:cs="Arial"/>
          <w:sz w:val="24"/>
          <w:szCs w:val="24"/>
          <w:lang w:val="en-US"/>
        </w:rPr>
        <w:t>See Table 2 for statistical analysis.</w:t>
      </w:r>
    </w:p>
    <w:p w14:paraId="6A5B0D5F" w14:textId="2300C502" w:rsidR="001E087E" w:rsidRPr="004B61EA" w:rsidRDefault="001E087E" w:rsidP="001E087E">
      <w:pPr>
        <w:spacing w:line="360" w:lineRule="auto"/>
        <w:rPr>
          <w:rFonts w:ascii="Arial" w:hAnsi="Arial" w:cs="Arial"/>
          <w:sz w:val="24"/>
          <w:szCs w:val="24"/>
          <w:lang w:val="en-US"/>
        </w:rPr>
      </w:pPr>
      <w:r w:rsidRPr="004B61EA">
        <w:rPr>
          <w:rFonts w:ascii="Arial" w:eastAsia="MS Gothic" w:hAnsi="Arial" w:cs="Arial"/>
          <w:b/>
          <w:sz w:val="24"/>
          <w:szCs w:val="24"/>
          <w:lang w:val="en-US"/>
        </w:rPr>
        <w:br w:type="page"/>
      </w:r>
    </w:p>
    <w:p w14:paraId="360FEA56" w14:textId="014A8A8B" w:rsidR="007232E5" w:rsidRPr="004B61EA" w:rsidRDefault="007232E5" w:rsidP="0045605B">
      <w:pPr>
        <w:widowControl w:val="0"/>
        <w:autoSpaceDE w:val="0"/>
        <w:autoSpaceDN w:val="0"/>
        <w:adjustRightInd w:val="0"/>
        <w:spacing w:after="0" w:line="360" w:lineRule="auto"/>
        <w:outlineLvl w:val="0"/>
        <w:rPr>
          <w:rFonts w:ascii="Arial" w:eastAsia="MS Gothic" w:hAnsi="Arial" w:cs="Arial"/>
          <w:b/>
          <w:sz w:val="24"/>
          <w:szCs w:val="24"/>
          <w:lang w:val="en-US"/>
        </w:rPr>
      </w:pPr>
      <w:r w:rsidRPr="004B61EA">
        <w:rPr>
          <w:rFonts w:ascii="Arial" w:eastAsia="MS Gothic" w:hAnsi="Arial" w:cs="Arial"/>
          <w:b/>
          <w:sz w:val="24"/>
          <w:szCs w:val="24"/>
          <w:lang w:val="en-US"/>
        </w:rPr>
        <w:t>Figure 1.</w:t>
      </w:r>
    </w:p>
    <w:p w14:paraId="6E706980" w14:textId="0BF6A8EA" w:rsidR="00B531A1" w:rsidRPr="004B61EA" w:rsidRDefault="00B531A1" w:rsidP="00AB28E6">
      <w:pPr>
        <w:widowControl w:val="0"/>
        <w:autoSpaceDE w:val="0"/>
        <w:autoSpaceDN w:val="0"/>
        <w:adjustRightInd w:val="0"/>
        <w:spacing w:after="0" w:line="360" w:lineRule="auto"/>
        <w:rPr>
          <w:rFonts w:ascii="Arial" w:eastAsia="MS Gothic" w:hAnsi="Arial" w:cs="Arial"/>
          <w:b/>
          <w:sz w:val="24"/>
          <w:szCs w:val="24"/>
          <w:lang w:val="en-US"/>
        </w:rPr>
      </w:pPr>
      <w:r w:rsidRPr="004B61EA">
        <w:rPr>
          <w:rFonts w:ascii="Arial" w:eastAsia="MS Gothic" w:hAnsi="Arial" w:cs="Arial"/>
          <w:b/>
          <w:noProof/>
          <w:sz w:val="24"/>
          <w:szCs w:val="24"/>
          <w:lang w:val="en-GB" w:eastAsia="en-GB"/>
        </w:rPr>
        <w:drawing>
          <wp:inline distT="0" distB="0" distL="0" distR="0" wp14:anchorId="10BAD6AD" wp14:editId="655B28D6">
            <wp:extent cx="5759450" cy="4402455"/>
            <wp:effectExtent l="0" t="0" r="6350" b="0"/>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5 vs Q2-Q4-correct.jpg"/>
                    <pic:cNvPicPr/>
                  </pic:nvPicPr>
                  <pic:blipFill>
                    <a:blip r:embed="rId17">
                      <a:extLst>
                        <a:ext uri="{28A0092B-C50C-407E-A947-70E740481C1C}">
                          <a14:useLocalDpi xmlns:a14="http://schemas.microsoft.com/office/drawing/2010/main" val="0"/>
                        </a:ext>
                      </a:extLst>
                    </a:blip>
                    <a:stretch>
                      <a:fillRect/>
                    </a:stretch>
                  </pic:blipFill>
                  <pic:spPr>
                    <a:xfrm>
                      <a:off x="0" y="0"/>
                      <a:ext cx="5759450" cy="4402455"/>
                    </a:xfrm>
                    <a:prstGeom prst="rect">
                      <a:avLst/>
                    </a:prstGeom>
                  </pic:spPr>
                </pic:pic>
              </a:graphicData>
            </a:graphic>
          </wp:inline>
        </w:drawing>
      </w:r>
    </w:p>
    <w:p w14:paraId="41BB72D3" w14:textId="16718C32" w:rsidR="001E087E" w:rsidRPr="004B61EA" w:rsidRDefault="001E087E" w:rsidP="001E087E">
      <w:pPr>
        <w:spacing w:line="360" w:lineRule="auto"/>
        <w:rPr>
          <w:rFonts w:ascii="Arial" w:hAnsi="Arial" w:cs="Arial"/>
          <w:sz w:val="24"/>
          <w:szCs w:val="24"/>
          <w:lang w:val="en-US"/>
        </w:rPr>
      </w:pPr>
    </w:p>
    <w:p w14:paraId="26D85125" w14:textId="77777777" w:rsidR="00AB28E6" w:rsidRPr="004B61EA" w:rsidRDefault="007232E5" w:rsidP="001E087E">
      <w:pPr>
        <w:rPr>
          <w:rFonts w:ascii="Arial" w:eastAsia="MS Gothic" w:hAnsi="Arial" w:cs="Arial"/>
          <w:b/>
          <w:sz w:val="24"/>
          <w:szCs w:val="24"/>
          <w:lang w:val="en-US"/>
        </w:rPr>
      </w:pPr>
      <w:r w:rsidRPr="004B61EA">
        <w:rPr>
          <w:rFonts w:ascii="Arial" w:eastAsia="MS Gothic" w:hAnsi="Arial" w:cs="Arial"/>
          <w:b/>
          <w:sz w:val="24"/>
          <w:szCs w:val="24"/>
          <w:lang w:val="en-US"/>
        </w:rPr>
        <w:br w:type="page"/>
      </w:r>
    </w:p>
    <w:p w14:paraId="67384D23" w14:textId="53EB724D" w:rsidR="00AB28E6" w:rsidRPr="004B61EA" w:rsidRDefault="00AB28E6" w:rsidP="0045605B">
      <w:pPr>
        <w:outlineLvl w:val="0"/>
        <w:rPr>
          <w:rFonts w:ascii="Arial" w:eastAsia="MS Gothic" w:hAnsi="Arial" w:cs="Arial"/>
          <w:b/>
          <w:sz w:val="24"/>
          <w:szCs w:val="24"/>
          <w:lang w:val="en-US"/>
        </w:rPr>
      </w:pPr>
      <w:r w:rsidRPr="004B61EA">
        <w:rPr>
          <w:rFonts w:ascii="Arial" w:eastAsia="MS Gothic" w:hAnsi="Arial" w:cs="Arial"/>
          <w:b/>
          <w:sz w:val="24"/>
          <w:szCs w:val="24"/>
          <w:lang w:val="en-US"/>
        </w:rPr>
        <w:t>Figure 2.</w:t>
      </w:r>
    </w:p>
    <w:p w14:paraId="69E0D22A" w14:textId="6354B1CC" w:rsidR="007232E5" w:rsidRPr="004B61EA" w:rsidRDefault="00B531A1" w:rsidP="001E087E">
      <w:pPr>
        <w:rPr>
          <w:rFonts w:ascii="Arial" w:eastAsia="MS Gothic" w:hAnsi="Arial" w:cs="Arial"/>
          <w:b/>
          <w:sz w:val="24"/>
          <w:szCs w:val="24"/>
          <w:lang w:val="en-US"/>
        </w:rPr>
      </w:pPr>
      <w:r w:rsidRPr="004B61EA">
        <w:rPr>
          <w:rFonts w:ascii="Arial" w:hAnsi="Arial" w:cs="Arial"/>
          <w:noProof/>
          <w:sz w:val="24"/>
          <w:szCs w:val="24"/>
          <w:lang w:val="en-GB" w:eastAsia="en-GB"/>
        </w:rPr>
        <w:drawing>
          <wp:inline distT="0" distB="0" distL="0" distR="0" wp14:anchorId="5AF314FD" wp14:editId="0C095798">
            <wp:extent cx="5759450" cy="4378325"/>
            <wp:effectExtent l="0" t="0" r="6350" b="0"/>
            <wp:docPr id="4"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1 vs Q2-Q4-correct.jpg"/>
                    <pic:cNvPicPr/>
                  </pic:nvPicPr>
                  <pic:blipFill>
                    <a:blip r:embed="rId18">
                      <a:extLst>
                        <a:ext uri="{28A0092B-C50C-407E-A947-70E740481C1C}">
                          <a14:useLocalDpi xmlns:a14="http://schemas.microsoft.com/office/drawing/2010/main" val="0"/>
                        </a:ext>
                      </a:extLst>
                    </a:blip>
                    <a:stretch>
                      <a:fillRect/>
                    </a:stretch>
                  </pic:blipFill>
                  <pic:spPr>
                    <a:xfrm>
                      <a:off x="0" y="0"/>
                      <a:ext cx="5759450" cy="4378325"/>
                    </a:xfrm>
                    <a:prstGeom prst="rect">
                      <a:avLst/>
                    </a:prstGeom>
                  </pic:spPr>
                </pic:pic>
              </a:graphicData>
            </a:graphic>
          </wp:inline>
        </w:drawing>
      </w:r>
    </w:p>
    <w:p w14:paraId="37B536AD" w14:textId="77777777" w:rsidR="00AB28E6" w:rsidRPr="004B61EA" w:rsidRDefault="00AB28E6">
      <w:pPr>
        <w:rPr>
          <w:rFonts w:ascii="Arial" w:hAnsi="Arial" w:cs="Arial"/>
          <w:b/>
          <w:sz w:val="24"/>
          <w:szCs w:val="24"/>
          <w:lang w:val="en-US"/>
        </w:rPr>
      </w:pPr>
      <w:r w:rsidRPr="004B61EA">
        <w:rPr>
          <w:rFonts w:ascii="Arial" w:hAnsi="Arial" w:cs="Arial"/>
          <w:b/>
          <w:sz w:val="24"/>
          <w:szCs w:val="24"/>
          <w:lang w:val="en-US"/>
        </w:rPr>
        <w:br w:type="page"/>
      </w:r>
    </w:p>
    <w:p w14:paraId="02720177" w14:textId="046FF9F4" w:rsidR="00AB28E6" w:rsidRPr="004B61EA" w:rsidRDefault="00AB28E6" w:rsidP="0045605B">
      <w:pPr>
        <w:pStyle w:val="NoSpacing"/>
        <w:outlineLvl w:val="0"/>
        <w:rPr>
          <w:rFonts w:ascii="Arial" w:hAnsi="Arial" w:cs="Arial"/>
          <w:b/>
          <w:sz w:val="24"/>
          <w:szCs w:val="24"/>
          <w:lang w:val="en-US"/>
        </w:rPr>
      </w:pPr>
      <w:r w:rsidRPr="004B61EA">
        <w:rPr>
          <w:rFonts w:ascii="Arial" w:hAnsi="Arial" w:cs="Arial"/>
          <w:b/>
          <w:sz w:val="24"/>
          <w:szCs w:val="24"/>
          <w:lang w:val="en-US"/>
        </w:rPr>
        <w:t>Figure 3.</w:t>
      </w:r>
    </w:p>
    <w:p w14:paraId="0BF7DA4F" w14:textId="72E8AD11" w:rsidR="00AB28E6" w:rsidRPr="004B61EA" w:rsidRDefault="00AB28E6" w:rsidP="00AB28E6">
      <w:pPr>
        <w:pStyle w:val="NoSpacing"/>
        <w:rPr>
          <w:rFonts w:ascii="Arial" w:hAnsi="Arial" w:cs="Arial"/>
          <w:sz w:val="24"/>
          <w:szCs w:val="24"/>
          <w:lang w:val="en-US"/>
        </w:rPr>
      </w:pPr>
    </w:p>
    <w:p w14:paraId="3B4E78C4" w14:textId="2A545A75" w:rsidR="00AB28E6" w:rsidRPr="004B61EA" w:rsidRDefault="001924E3">
      <w:pPr>
        <w:rPr>
          <w:rFonts w:ascii="Arial" w:hAnsi="Arial" w:cs="Arial"/>
          <w:b/>
          <w:sz w:val="24"/>
          <w:szCs w:val="24"/>
          <w:lang w:val="en-US"/>
        </w:rPr>
      </w:pPr>
      <w:r w:rsidRPr="004B61EA">
        <w:rPr>
          <w:rFonts w:ascii="Arial" w:hAnsi="Arial" w:cs="Arial"/>
          <w:b/>
          <w:noProof/>
          <w:sz w:val="24"/>
          <w:szCs w:val="24"/>
          <w:lang w:val="en-GB" w:eastAsia="en-GB"/>
        </w:rPr>
        <w:drawing>
          <wp:inline distT="0" distB="0" distL="0" distR="0" wp14:anchorId="011EFD92" wp14:editId="1B4ABF36">
            <wp:extent cx="5759450" cy="4522470"/>
            <wp:effectExtent l="0" t="0" r="0" b="0"/>
            <wp:docPr id="5"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ltrasonic measurements.jpg"/>
                    <pic:cNvPicPr/>
                  </pic:nvPicPr>
                  <pic:blipFill>
                    <a:blip r:embed="rId19">
                      <a:extLst>
                        <a:ext uri="{28A0092B-C50C-407E-A947-70E740481C1C}">
                          <a14:useLocalDpi xmlns:a14="http://schemas.microsoft.com/office/drawing/2010/main" val="0"/>
                        </a:ext>
                      </a:extLst>
                    </a:blip>
                    <a:stretch>
                      <a:fillRect/>
                    </a:stretch>
                  </pic:blipFill>
                  <pic:spPr>
                    <a:xfrm>
                      <a:off x="0" y="0"/>
                      <a:ext cx="5759450" cy="4522470"/>
                    </a:xfrm>
                    <a:prstGeom prst="rect">
                      <a:avLst/>
                    </a:prstGeom>
                  </pic:spPr>
                </pic:pic>
              </a:graphicData>
            </a:graphic>
          </wp:inline>
        </w:drawing>
      </w:r>
      <w:r w:rsidR="00AB28E6" w:rsidRPr="004B61EA">
        <w:rPr>
          <w:rFonts w:ascii="Arial" w:hAnsi="Arial" w:cs="Arial"/>
          <w:b/>
          <w:sz w:val="24"/>
          <w:szCs w:val="24"/>
          <w:lang w:val="en-US"/>
        </w:rPr>
        <w:br w:type="page"/>
      </w:r>
    </w:p>
    <w:p w14:paraId="481C2264" w14:textId="77777777" w:rsidR="00C52D4C" w:rsidRPr="004B61EA" w:rsidRDefault="00C52D4C" w:rsidP="007232E5">
      <w:pPr>
        <w:pStyle w:val="NoSpacing"/>
        <w:rPr>
          <w:rFonts w:ascii="Arial" w:hAnsi="Arial" w:cs="Arial"/>
          <w:b/>
          <w:sz w:val="24"/>
          <w:szCs w:val="24"/>
          <w:lang w:val="en-US"/>
        </w:rPr>
        <w:sectPr w:rsidR="00C52D4C" w:rsidRPr="004B61EA" w:rsidSect="005C509F">
          <w:footerReference w:type="default" r:id="rId20"/>
          <w:pgSz w:w="11906" w:h="16838"/>
          <w:pgMar w:top="1418" w:right="1418" w:bottom="1418" w:left="1418" w:header="709" w:footer="709" w:gutter="0"/>
          <w:lnNumType w:countBy="1" w:restart="continuous"/>
          <w:cols w:space="708"/>
          <w:docGrid w:linePitch="360"/>
        </w:sectPr>
      </w:pPr>
    </w:p>
    <w:p w14:paraId="2E1774BA" w14:textId="4A1F9510" w:rsidR="007232E5" w:rsidRPr="004B61EA" w:rsidRDefault="007232E5" w:rsidP="007232E5">
      <w:pPr>
        <w:pStyle w:val="NoSpacing"/>
        <w:rPr>
          <w:rFonts w:ascii="Arial" w:hAnsi="Arial" w:cs="Arial"/>
          <w:sz w:val="24"/>
          <w:szCs w:val="24"/>
          <w:lang w:val="en-US"/>
        </w:rPr>
      </w:pPr>
      <w:r w:rsidRPr="004B61EA">
        <w:rPr>
          <w:rFonts w:ascii="Arial" w:hAnsi="Arial" w:cs="Arial"/>
          <w:b/>
          <w:sz w:val="24"/>
          <w:szCs w:val="24"/>
          <w:lang w:val="en-US"/>
        </w:rPr>
        <w:t xml:space="preserve">Table 1. </w:t>
      </w:r>
      <w:r w:rsidRPr="004B61EA">
        <w:rPr>
          <w:rFonts w:ascii="Arial" w:hAnsi="Arial" w:cs="Arial"/>
          <w:sz w:val="24"/>
          <w:szCs w:val="24"/>
          <w:lang w:val="en-US"/>
        </w:rPr>
        <w:t>Characteristics of the cohort according to the quintile of</w:t>
      </w:r>
      <w:r w:rsidR="00276AF3" w:rsidRPr="004B61EA">
        <w:rPr>
          <w:rFonts w:ascii="Arial" w:hAnsi="Arial" w:cs="Arial"/>
          <w:sz w:val="24"/>
          <w:szCs w:val="24"/>
          <w:lang w:val="en-US"/>
        </w:rPr>
        <w:t xml:space="preserve"> birth weight to placenta weight (BWPW) ratio</w:t>
      </w:r>
      <w:r w:rsidRPr="004B61EA">
        <w:rPr>
          <w:rFonts w:ascii="Arial" w:hAnsi="Arial" w:cs="Arial"/>
          <w:sz w:val="24"/>
          <w:szCs w:val="24"/>
          <w:lang w:val="en-US"/>
        </w:rPr>
        <w:t>.</w:t>
      </w:r>
    </w:p>
    <w:p w14:paraId="77DAC3A7" w14:textId="77777777" w:rsidR="00B54741" w:rsidRPr="004B61EA" w:rsidRDefault="00B54741" w:rsidP="007232E5">
      <w:pPr>
        <w:pStyle w:val="NoSpacing"/>
        <w:rPr>
          <w:rFonts w:ascii="Arial" w:hAnsi="Arial" w:cs="Arial"/>
          <w:b/>
          <w:sz w:val="24"/>
          <w:szCs w:val="24"/>
          <w:lang w:val="en-US"/>
        </w:rPr>
      </w:pPr>
    </w:p>
    <w:tbl>
      <w:tblPr>
        <w:tblStyle w:val="TableGrid"/>
        <w:tblW w:w="0" w:type="auto"/>
        <w:tblLook w:val="04A0" w:firstRow="1" w:lastRow="0" w:firstColumn="1" w:lastColumn="0" w:noHBand="0" w:noVBand="1"/>
      </w:tblPr>
      <w:tblGrid>
        <w:gridCol w:w="1951"/>
        <w:gridCol w:w="2552"/>
        <w:gridCol w:w="2551"/>
        <w:gridCol w:w="2410"/>
        <w:gridCol w:w="1559"/>
        <w:gridCol w:w="2126"/>
      </w:tblGrid>
      <w:tr w:rsidR="00C52D4C" w:rsidRPr="004B61EA" w14:paraId="41A4DCDB" w14:textId="77777777" w:rsidTr="0022618D">
        <w:tc>
          <w:tcPr>
            <w:tcW w:w="1951" w:type="dxa"/>
          </w:tcPr>
          <w:p w14:paraId="54E5D8C3" w14:textId="77777777" w:rsidR="007232E5" w:rsidRPr="004B61EA" w:rsidRDefault="007232E5" w:rsidP="001E087E">
            <w:pPr>
              <w:pStyle w:val="NoSpacing"/>
              <w:rPr>
                <w:rFonts w:ascii="Arial" w:hAnsi="Arial" w:cs="Arial"/>
                <w:b/>
                <w:sz w:val="24"/>
                <w:szCs w:val="24"/>
                <w:lang w:val="en-US"/>
              </w:rPr>
            </w:pPr>
            <w:r w:rsidRPr="004B61EA">
              <w:rPr>
                <w:rFonts w:ascii="Arial" w:hAnsi="Arial" w:cs="Arial"/>
                <w:b/>
                <w:sz w:val="24"/>
                <w:szCs w:val="24"/>
                <w:lang w:val="en-US"/>
              </w:rPr>
              <w:t>Characteristics</w:t>
            </w:r>
          </w:p>
        </w:tc>
        <w:tc>
          <w:tcPr>
            <w:tcW w:w="2552" w:type="dxa"/>
          </w:tcPr>
          <w:p w14:paraId="10B99ED6" w14:textId="77777777" w:rsidR="007232E5" w:rsidRPr="004B61EA" w:rsidRDefault="007232E5" w:rsidP="001E087E">
            <w:pPr>
              <w:pStyle w:val="NoSpacing"/>
              <w:rPr>
                <w:rFonts w:ascii="Arial" w:hAnsi="Arial" w:cs="Arial"/>
                <w:b/>
                <w:sz w:val="24"/>
                <w:szCs w:val="24"/>
                <w:lang w:val="en-US"/>
              </w:rPr>
            </w:pPr>
            <w:r w:rsidRPr="004B61EA">
              <w:rPr>
                <w:rFonts w:ascii="Arial" w:hAnsi="Arial" w:cs="Arial"/>
                <w:b/>
                <w:sz w:val="24"/>
                <w:szCs w:val="24"/>
                <w:lang w:val="en-US"/>
              </w:rPr>
              <w:t>Low BWPW-ratio (Q1)</w:t>
            </w:r>
          </w:p>
          <w:p w14:paraId="3C0F4418" w14:textId="77777777" w:rsidR="007232E5" w:rsidRPr="004B61EA" w:rsidRDefault="007232E5" w:rsidP="001E087E">
            <w:pPr>
              <w:pStyle w:val="NoSpacing"/>
              <w:rPr>
                <w:rFonts w:ascii="Arial" w:hAnsi="Arial" w:cs="Arial"/>
                <w:b/>
                <w:sz w:val="24"/>
                <w:szCs w:val="24"/>
                <w:lang w:val="en-US"/>
              </w:rPr>
            </w:pPr>
            <w:r w:rsidRPr="004B61EA">
              <w:rPr>
                <w:rFonts w:ascii="Arial" w:hAnsi="Arial" w:cs="Arial"/>
                <w:b/>
                <w:sz w:val="24"/>
                <w:szCs w:val="24"/>
                <w:lang w:val="en-US"/>
              </w:rPr>
              <w:t>N=663 (100%)</w:t>
            </w:r>
          </w:p>
        </w:tc>
        <w:tc>
          <w:tcPr>
            <w:tcW w:w="2551" w:type="dxa"/>
          </w:tcPr>
          <w:p w14:paraId="30B42A15" w14:textId="77777777" w:rsidR="007232E5" w:rsidRPr="004B61EA" w:rsidRDefault="007232E5" w:rsidP="001E087E">
            <w:pPr>
              <w:pStyle w:val="NoSpacing"/>
              <w:rPr>
                <w:rFonts w:ascii="Arial" w:hAnsi="Arial" w:cs="Arial"/>
                <w:b/>
                <w:sz w:val="24"/>
                <w:szCs w:val="24"/>
                <w:lang w:val="en-US"/>
              </w:rPr>
            </w:pPr>
            <w:r w:rsidRPr="004B61EA">
              <w:rPr>
                <w:rFonts w:ascii="Arial" w:hAnsi="Arial" w:cs="Arial"/>
                <w:b/>
                <w:sz w:val="24"/>
                <w:szCs w:val="24"/>
                <w:lang w:val="en-US"/>
              </w:rPr>
              <w:t>Normal BWPW-ratio (Q2-Q4)</w:t>
            </w:r>
          </w:p>
          <w:p w14:paraId="0ABF278C" w14:textId="77777777" w:rsidR="007232E5" w:rsidRPr="004B61EA" w:rsidRDefault="007232E5" w:rsidP="001E087E">
            <w:pPr>
              <w:pStyle w:val="NoSpacing"/>
              <w:rPr>
                <w:rFonts w:ascii="Arial" w:hAnsi="Arial" w:cs="Arial"/>
                <w:b/>
                <w:sz w:val="24"/>
                <w:szCs w:val="24"/>
              </w:rPr>
            </w:pPr>
            <w:r w:rsidRPr="004B61EA">
              <w:rPr>
                <w:rFonts w:ascii="Arial" w:hAnsi="Arial" w:cs="Arial"/>
                <w:b/>
                <w:sz w:val="24"/>
                <w:szCs w:val="24"/>
              </w:rPr>
              <w:t>N=1986</w:t>
            </w:r>
          </w:p>
          <w:p w14:paraId="625CD703" w14:textId="77777777" w:rsidR="007232E5" w:rsidRPr="004B61EA" w:rsidRDefault="007232E5" w:rsidP="001E087E">
            <w:pPr>
              <w:pStyle w:val="NoSpacing"/>
              <w:rPr>
                <w:rFonts w:ascii="Arial" w:hAnsi="Arial" w:cs="Arial"/>
                <w:b/>
                <w:sz w:val="24"/>
                <w:szCs w:val="24"/>
              </w:rPr>
            </w:pPr>
            <w:r w:rsidRPr="004B61EA">
              <w:rPr>
                <w:rFonts w:ascii="Arial" w:hAnsi="Arial" w:cs="Arial"/>
                <w:b/>
                <w:sz w:val="24"/>
                <w:szCs w:val="24"/>
              </w:rPr>
              <w:t>(100%)</w:t>
            </w:r>
          </w:p>
        </w:tc>
        <w:tc>
          <w:tcPr>
            <w:tcW w:w="2410" w:type="dxa"/>
            <w:tcBorders>
              <w:right w:val="single" w:sz="36" w:space="0" w:color="auto"/>
            </w:tcBorders>
          </w:tcPr>
          <w:p w14:paraId="1EB16DED" w14:textId="77777777" w:rsidR="007232E5" w:rsidRPr="004B61EA" w:rsidRDefault="007232E5" w:rsidP="001E087E">
            <w:pPr>
              <w:pStyle w:val="NoSpacing"/>
              <w:rPr>
                <w:rFonts w:ascii="Arial" w:hAnsi="Arial" w:cs="Arial"/>
                <w:b/>
                <w:sz w:val="24"/>
                <w:szCs w:val="24"/>
                <w:lang w:val="en-US"/>
              </w:rPr>
            </w:pPr>
            <w:r w:rsidRPr="004B61EA">
              <w:rPr>
                <w:rFonts w:ascii="Arial" w:hAnsi="Arial" w:cs="Arial"/>
                <w:b/>
                <w:sz w:val="24"/>
                <w:szCs w:val="24"/>
                <w:lang w:val="en-US"/>
              </w:rPr>
              <w:t>High BWPW-ratio (Q5)</w:t>
            </w:r>
          </w:p>
          <w:p w14:paraId="17D2DCCA" w14:textId="77777777" w:rsidR="007232E5" w:rsidRPr="004B61EA" w:rsidRDefault="007232E5" w:rsidP="001E087E">
            <w:pPr>
              <w:pStyle w:val="NoSpacing"/>
              <w:rPr>
                <w:rFonts w:ascii="Arial" w:hAnsi="Arial" w:cs="Arial"/>
                <w:b/>
                <w:sz w:val="24"/>
                <w:szCs w:val="24"/>
                <w:lang w:val="en-US"/>
              </w:rPr>
            </w:pPr>
            <w:r w:rsidRPr="004B61EA">
              <w:rPr>
                <w:rFonts w:ascii="Arial" w:hAnsi="Arial" w:cs="Arial"/>
                <w:b/>
                <w:sz w:val="24"/>
                <w:szCs w:val="24"/>
                <w:lang w:val="en-US"/>
              </w:rPr>
              <w:t>N=662 (100%)</w:t>
            </w:r>
          </w:p>
        </w:tc>
        <w:tc>
          <w:tcPr>
            <w:tcW w:w="1559" w:type="dxa"/>
            <w:tcBorders>
              <w:right w:val="single" w:sz="36" w:space="0" w:color="auto"/>
            </w:tcBorders>
          </w:tcPr>
          <w:p w14:paraId="0F6CF3FF" w14:textId="13061A9B" w:rsidR="007232E5" w:rsidRPr="004B61EA" w:rsidRDefault="00B41EBA" w:rsidP="001E087E">
            <w:pPr>
              <w:pStyle w:val="NoSpacing"/>
              <w:rPr>
                <w:rFonts w:ascii="Arial" w:hAnsi="Arial" w:cs="Arial"/>
                <w:b/>
                <w:sz w:val="24"/>
                <w:szCs w:val="24"/>
              </w:rPr>
            </w:pPr>
            <w:r w:rsidRPr="004B61EA">
              <w:rPr>
                <w:rFonts w:ascii="Arial" w:hAnsi="Arial" w:cs="Arial"/>
                <w:b/>
                <w:sz w:val="24"/>
                <w:szCs w:val="24"/>
              </w:rPr>
              <w:t>P</w:t>
            </w:r>
            <w:r w:rsidR="007232E5" w:rsidRPr="004B61EA">
              <w:rPr>
                <w:rFonts w:ascii="Arial" w:hAnsi="Arial" w:cs="Arial"/>
                <w:b/>
                <w:sz w:val="24"/>
                <w:szCs w:val="24"/>
              </w:rPr>
              <w:t xml:space="preserve">* </w:t>
            </w:r>
          </w:p>
        </w:tc>
        <w:tc>
          <w:tcPr>
            <w:tcW w:w="2126" w:type="dxa"/>
            <w:tcBorders>
              <w:top w:val="single" w:sz="12" w:space="0" w:color="auto"/>
              <w:left w:val="single" w:sz="36" w:space="0" w:color="auto"/>
              <w:bottom w:val="single" w:sz="12" w:space="0" w:color="auto"/>
              <w:right w:val="single" w:sz="12" w:space="0" w:color="auto"/>
            </w:tcBorders>
          </w:tcPr>
          <w:p w14:paraId="61D94378" w14:textId="77777777" w:rsidR="007232E5" w:rsidRPr="004B61EA" w:rsidRDefault="007232E5" w:rsidP="001E087E">
            <w:pPr>
              <w:pStyle w:val="NoSpacing"/>
              <w:rPr>
                <w:rFonts w:ascii="Arial" w:hAnsi="Arial" w:cs="Arial"/>
                <w:b/>
                <w:sz w:val="24"/>
                <w:szCs w:val="24"/>
              </w:rPr>
            </w:pPr>
            <w:r w:rsidRPr="004B61EA">
              <w:rPr>
                <w:rFonts w:ascii="Arial" w:hAnsi="Arial" w:cs="Arial"/>
                <w:b/>
                <w:sz w:val="24"/>
                <w:szCs w:val="24"/>
              </w:rPr>
              <w:t>Overall baseline characteristics (n=3311)</w:t>
            </w:r>
          </w:p>
          <w:p w14:paraId="66FE3785" w14:textId="77777777" w:rsidR="007232E5" w:rsidRPr="004B61EA" w:rsidRDefault="007232E5" w:rsidP="001E087E">
            <w:pPr>
              <w:pStyle w:val="NoSpacing"/>
              <w:rPr>
                <w:rFonts w:ascii="Arial" w:hAnsi="Arial" w:cs="Arial"/>
                <w:b/>
                <w:sz w:val="24"/>
                <w:szCs w:val="24"/>
              </w:rPr>
            </w:pPr>
            <w:r w:rsidRPr="004B61EA">
              <w:rPr>
                <w:rFonts w:ascii="Arial" w:hAnsi="Arial" w:cs="Arial"/>
                <w:b/>
                <w:sz w:val="24"/>
                <w:szCs w:val="24"/>
              </w:rPr>
              <w:t>(100%)</w:t>
            </w:r>
          </w:p>
        </w:tc>
      </w:tr>
      <w:tr w:rsidR="00C52D4C" w:rsidRPr="004B61EA" w14:paraId="7F3B0C3D" w14:textId="77777777" w:rsidTr="0022618D">
        <w:tc>
          <w:tcPr>
            <w:tcW w:w="1951" w:type="dxa"/>
          </w:tcPr>
          <w:p w14:paraId="6CB99AD8" w14:textId="77777777" w:rsidR="007232E5" w:rsidRPr="004B61EA" w:rsidRDefault="007232E5" w:rsidP="001E087E">
            <w:pPr>
              <w:pStyle w:val="NoSpacing"/>
              <w:rPr>
                <w:rFonts w:ascii="Arial" w:hAnsi="Arial" w:cs="Arial"/>
                <w:b/>
                <w:sz w:val="24"/>
                <w:szCs w:val="24"/>
              </w:rPr>
            </w:pPr>
          </w:p>
        </w:tc>
        <w:tc>
          <w:tcPr>
            <w:tcW w:w="2552" w:type="dxa"/>
          </w:tcPr>
          <w:p w14:paraId="27762FC8" w14:textId="77777777" w:rsidR="007232E5" w:rsidRPr="004B61EA" w:rsidRDefault="007232E5" w:rsidP="001E087E">
            <w:pPr>
              <w:pStyle w:val="NoSpacing"/>
              <w:rPr>
                <w:rFonts w:ascii="Arial" w:hAnsi="Arial" w:cs="Arial"/>
                <w:b/>
                <w:sz w:val="24"/>
                <w:szCs w:val="24"/>
              </w:rPr>
            </w:pPr>
          </w:p>
        </w:tc>
        <w:tc>
          <w:tcPr>
            <w:tcW w:w="2551" w:type="dxa"/>
          </w:tcPr>
          <w:p w14:paraId="7C13C0ED" w14:textId="77777777" w:rsidR="007232E5" w:rsidRPr="004B61EA" w:rsidRDefault="007232E5" w:rsidP="001E087E">
            <w:pPr>
              <w:pStyle w:val="NoSpacing"/>
              <w:rPr>
                <w:rFonts w:ascii="Arial" w:hAnsi="Arial" w:cs="Arial"/>
                <w:b/>
                <w:sz w:val="24"/>
                <w:szCs w:val="24"/>
              </w:rPr>
            </w:pPr>
          </w:p>
        </w:tc>
        <w:tc>
          <w:tcPr>
            <w:tcW w:w="2410" w:type="dxa"/>
            <w:tcBorders>
              <w:right w:val="single" w:sz="36" w:space="0" w:color="auto"/>
            </w:tcBorders>
          </w:tcPr>
          <w:p w14:paraId="1CDD49EC" w14:textId="77777777" w:rsidR="007232E5" w:rsidRPr="004B61EA" w:rsidRDefault="007232E5" w:rsidP="001E087E">
            <w:pPr>
              <w:pStyle w:val="NoSpacing"/>
              <w:rPr>
                <w:rFonts w:ascii="Arial" w:hAnsi="Arial" w:cs="Arial"/>
                <w:b/>
                <w:sz w:val="24"/>
                <w:szCs w:val="24"/>
              </w:rPr>
            </w:pPr>
          </w:p>
        </w:tc>
        <w:tc>
          <w:tcPr>
            <w:tcW w:w="1559" w:type="dxa"/>
            <w:tcBorders>
              <w:right w:val="single" w:sz="36" w:space="0" w:color="auto"/>
            </w:tcBorders>
          </w:tcPr>
          <w:p w14:paraId="7069A618" w14:textId="77777777" w:rsidR="007232E5" w:rsidRPr="004B61EA" w:rsidRDefault="007232E5" w:rsidP="001E087E">
            <w:pPr>
              <w:pStyle w:val="NoSpacing"/>
              <w:rPr>
                <w:rFonts w:ascii="Arial" w:hAnsi="Arial" w:cs="Arial"/>
                <w:b/>
                <w:sz w:val="24"/>
                <w:szCs w:val="24"/>
              </w:rPr>
            </w:pPr>
          </w:p>
        </w:tc>
        <w:tc>
          <w:tcPr>
            <w:tcW w:w="2126" w:type="dxa"/>
            <w:tcBorders>
              <w:top w:val="single" w:sz="12" w:space="0" w:color="auto"/>
              <w:left w:val="single" w:sz="36" w:space="0" w:color="auto"/>
              <w:bottom w:val="single" w:sz="12" w:space="0" w:color="auto"/>
              <w:right w:val="single" w:sz="12" w:space="0" w:color="auto"/>
            </w:tcBorders>
          </w:tcPr>
          <w:p w14:paraId="2015CBE0" w14:textId="77777777" w:rsidR="007232E5" w:rsidRPr="004B61EA" w:rsidRDefault="007232E5" w:rsidP="001E087E">
            <w:pPr>
              <w:pStyle w:val="NoSpacing"/>
              <w:rPr>
                <w:rFonts w:ascii="Arial" w:hAnsi="Arial" w:cs="Arial"/>
                <w:b/>
                <w:sz w:val="24"/>
                <w:szCs w:val="24"/>
              </w:rPr>
            </w:pPr>
          </w:p>
        </w:tc>
      </w:tr>
      <w:tr w:rsidR="00C52D4C" w:rsidRPr="004B61EA" w14:paraId="3E9FF17D" w14:textId="77777777" w:rsidTr="0022618D">
        <w:tc>
          <w:tcPr>
            <w:tcW w:w="1951" w:type="dxa"/>
          </w:tcPr>
          <w:p w14:paraId="17518563" w14:textId="77777777" w:rsidR="007232E5" w:rsidRPr="004B61EA" w:rsidRDefault="007232E5" w:rsidP="001E087E">
            <w:pPr>
              <w:pStyle w:val="NoSpacing"/>
              <w:rPr>
                <w:rFonts w:ascii="Arial" w:hAnsi="Arial" w:cs="Arial"/>
                <w:b/>
                <w:sz w:val="24"/>
                <w:szCs w:val="24"/>
              </w:rPr>
            </w:pPr>
            <w:r w:rsidRPr="004B61EA">
              <w:rPr>
                <w:rFonts w:ascii="Arial" w:hAnsi="Arial" w:cs="Arial"/>
                <w:b/>
                <w:sz w:val="24"/>
                <w:szCs w:val="24"/>
              </w:rPr>
              <w:t>Maternal</w:t>
            </w:r>
          </w:p>
        </w:tc>
        <w:tc>
          <w:tcPr>
            <w:tcW w:w="2552" w:type="dxa"/>
          </w:tcPr>
          <w:p w14:paraId="2D76D8F2" w14:textId="77777777" w:rsidR="007232E5" w:rsidRPr="004B61EA" w:rsidRDefault="007232E5" w:rsidP="001E087E">
            <w:pPr>
              <w:pStyle w:val="NoSpacing"/>
              <w:rPr>
                <w:rFonts w:ascii="Arial" w:hAnsi="Arial" w:cs="Arial"/>
                <w:sz w:val="24"/>
                <w:szCs w:val="24"/>
              </w:rPr>
            </w:pPr>
          </w:p>
        </w:tc>
        <w:tc>
          <w:tcPr>
            <w:tcW w:w="2551" w:type="dxa"/>
          </w:tcPr>
          <w:p w14:paraId="436D754F" w14:textId="77777777" w:rsidR="007232E5" w:rsidRPr="004B61EA" w:rsidRDefault="007232E5" w:rsidP="001E087E">
            <w:pPr>
              <w:pStyle w:val="NoSpacing"/>
              <w:rPr>
                <w:rFonts w:ascii="Arial" w:hAnsi="Arial" w:cs="Arial"/>
                <w:sz w:val="24"/>
                <w:szCs w:val="24"/>
              </w:rPr>
            </w:pPr>
          </w:p>
        </w:tc>
        <w:tc>
          <w:tcPr>
            <w:tcW w:w="2410" w:type="dxa"/>
            <w:tcBorders>
              <w:right w:val="single" w:sz="36" w:space="0" w:color="auto"/>
            </w:tcBorders>
          </w:tcPr>
          <w:p w14:paraId="593A36C8" w14:textId="77777777" w:rsidR="007232E5" w:rsidRPr="004B61EA" w:rsidRDefault="007232E5" w:rsidP="001E087E">
            <w:pPr>
              <w:pStyle w:val="NoSpacing"/>
              <w:rPr>
                <w:rFonts w:ascii="Arial" w:hAnsi="Arial" w:cs="Arial"/>
                <w:sz w:val="24"/>
                <w:szCs w:val="24"/>
              </w:rPr>
            </w:pPr>
          </w:p>
        </w:tc>
        <w:tc>
          <w:tcPr>
            <w:tcW w:w="1559" w:type="dxa"/>
            <w:tcBorders>
              <w:right w:val="single" w:sz="36" w:space="0" w:color="auto"/>
            </w:tcBorders>
          </w:tcPr>
          <w:p w14:paraId="295483C1" w14:textId="77777777" w:rsidR="007232E5" w:rsidRPr="004B61EA" w:rsidRDefault="007232E5" w:rsidP="001E087E">
            <w:pPr>
              <w:pStyle w:val="NoSpacing"/>
              <w:rPr>
                <w:rFonts w:ascii="Arial" w:hAnsi="Arial" w:cs="Arial"/>
                <w:sz w:val="24"/>
                <w:szCs w:val="24"/>
              </w:rPr>
            </w:pPr>
          </w:p>
        </w:tc>
        <w:tc>
          <w:tcPr>
            <w:tcW w:w="2126" w:type="dxa"/>
            <w:tcBorders>
              <w:top w:val="single" w:sz="12" w:space="0" w:color="auto"/>
              <w:left w:val="single" w:sz="36" w:space="0" w:color="auto"/>
              <w:bottom w:val="single" w:sz="12" w:space="0" w:color="auto"/>
              <w:right w:val="single" w:sz="12" w:space="0" w:color="auto"/>
            </w:tcBorders>
          </w:tcPr>
          <w:p w14:paraId="2A4F4893" w14:textId="77777777" w:rsidR="007232E5" w:rsidRPr="004B61EA" w:rsidRDefault="007232E5" w:rsidP="001E087E">
            <w:pPr>
              <w:pStyle w:val="NoSpacing"/>
              <w:rPr>
                <w:rFonts w:ascii="Arial" w:hAnsi="Arial" w:cs="Arial"/>
                <w:sz w:val="24"/>
                <w:szCs w:val="24"/>
              </w:rPr>
            </w:pPr>
          </w:p>
        </w:tc>
      </w:tr>
      <w:tr w:rsidR="00C52D4C" w:rsidRPr="004B61EA" w14:paraId="7A81F0DD" w14:textId="77777777" w:rsidTr="0022618D">
        <w:tc>
          <w:tcPr>
            <w:tcW w:w="1951" w:type="dxa"/>
          </w:tcPr>
          <w:p w14:paraId="19002A32"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 xml:space="preserve">   Age (years)</w:t>
            </w:r>
          </w:p>
        </w:tc>
        <w:tc>
          <w:tcPr>
            <w:tcW w:w="2552" w:type="dxa"/>
          </w:tcPr>
          <w:p w14:paraId="365F7537"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30 (26-34)</w:t>
            </w:r>
          </w:p>
        </w:tc>
        <w:tc>
          <w:tcPr>
            <w:tcW w:w="2551" w:type="dxa"/>
          </w:tcPr>
          <w:p w14:paraId="0720898A"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30 (27-33)</w:t>
            </w:r>
          </w:p>
        </w:tc>
        <w:tc>
          <w:tcPr>
            <w:tcW w:w="2410" w:type="dxa"/>
            <w:tcBorders>
              <w:right w:val="single" w:sz="36" w:space="0" w:color="auto"/>
            </w:tcBorders>
          </w:tcPr>
          <w:p w14:paraId="06491C59"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31 (28-34)</w:t>
            </w:r>
          </w:p>
        </w:tc>
        <w:tc>
          <w:tcPr>
            <w:tcW w:w="1559" w:type="dxa"/>
            <w:tcBorders>
              <w:right w:val="single" w:sz="36" w:space="0" w:color="auto"/>
            </w:tcBorders>
          </w:tcPr>
          <w:p w14:paraId="3DD13210" w14:textId="07CC1DB1" w:rsidR="007232E5" w:rsidRPr="004B61EA" w:rsidRDefault="007232E5" w:rsidP="001E087E">
            <w:pPr>
              <w:pStyle w:val="NoSpacing"/>
              <w:rPr>
                <w:rFonts w:ascii="Arial" w:hAnsi="Arial" w:cs="Arial"/>
                <w:sz w:val="24"/>
                <w:szCs w:val="24"/>
              </w:rPr>
            </w:pPr>
            <w:r w:rsidRPr="004B61EA">
              <w:rPr>
                <w:rFonts w:ascii="Arial" w:hAnsi="Arial" w:cs="Arial"/>
                <w:sz w:val="24"/>
                <w:szCs w:val="24"/>
              </w:rPr>
              <w:t>0.0</w:t>
            </w:r>
            <w:r w:rsidR="00D8536F" w:rsidRPr="004B61EA">
              <w:rPr>
                <w:rFonts w:ascii="Arial" w:hAnsi="Arial" w:cs="Arial"/>
                <w:sz w:val="24"/>
                <w:szCs w:val="24"/>
              </w:rPr>
              <w:t>2</w:t>
            </w:r>
          </w:p>
        </w:tc>
        <w:tc>
          <w:tcPr>
            <w:tcW w:w="2126" w:type="dxa"/>
            <w:tcBorders>
              <w:top w:val="single" w:sz="12" w:space="0" w:color="auto"/>
              <w:left w:val="single" w:sz="36" w:space="0" w:color="auto"/>
              <w:bottom w:val="single" w:sz="12" w:space="0" w:color="auto"/>
              <w:right w:val="single" w:sz="12" w:space="0" w:color="auto"/>
            </w:tcBorders>
          </w:tcPr>
          <w:p w14:paraId="1D7A5E57"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30 (27-33)</w:t>
            </w:r>
          </w:p>
        </w:tc>
      </w:tr>
      <w:tr w:rsidR="00C52D4C" w:rsidRPr="004B61EA" w14:paraId="23080F61" w14:textId="77777777" w:rsidTr="0022618D">
        <w:tc>
          <w:tcPr>
            <w:tcW w:w="1951" w:type="dxa"/>
          </w:tcPr>
          <w:p w14:paraId="6A5A8FE1" w14:textId="77777777" w:rsidR="007232E5" w:rsidRPr="004B61EA" w:rsidRDefault="007232E5" w:rsidP="001E087E">
            <w:pPr>
              <w:pStyle w:val="NoSpacing"/>
              <w:rPr>
                <w:rFonts w:ascii="Arial" w:hAnsi="Arial" w:cs="Arial"/>
                <w:sz w:val="24"/>
                <w:szCs w:val="24"/>
              </w:rPr>
            </w:pPr>
          </w:p>
        </w:tc>
        <w:tc>
          <w:tcPr>
            <w:tcW w:w="2552" w:type="dxa"/>
          </w:tcPr>
          <w:p w14:paraId="2F4E95BD" w14:textId="77777777" w:rsidR="007232E5" w:rsidRPr="004B61EA" w:rsidRDefault="007232E5" w:rsidP="001E087E">
            <w:pPr>
              <w:pStyle w:val="NoSpacing"/>
              <w:rPr>
                <w:rFonts w:ascii="Arial" w:hAnsi="Arial" w:cs="Arial"/>
                <w:sz w:val="24"/>
                <w:szCs w:val="24"/>
              </w:rPr>
            </w:pPr>
          </w:p>
        </w:tc>
        <w:tc>
          <w:tcPr>
            <w:tcW w:w="2551" w:type="dxa"/>
          </w:tcPr>
          <w:p w14:paraId="74D335D2" w14:textId="77777777" w:rsidR="007232E5" w:rsidRPr="004B61EA" w:rsidRDefault="007232E5" w:rsidP="001E087E">
            <w:pPr>
              <w:pStyle w:val="NoSpacing"/>
              <w:rPr>
                <w:rFonts w:ascii="Arial" w:hAnsi="Arial" w:cs="Arial"/>
                <w:sz w:val="24"/>
                <w:szCs w:val="24"/>
              </w:rPr>
            </w:pPr>
          </w:p>
        </w:tc>
        <w:tc>
          <w:tcPr>
            <w:tcW w:w="2410" w:type="dxa"/>
            <w:tcBorders>
              <w:right w:val="single" w:sz="36" w:space="0" w:color="auto"/>
            </w:tcBorders>
          </w:tcPr>
          <w:p w14:paraId="65C4A209" w14:textId="77777777" w:rsidR="007232E5" w:rsidRPr="004B61EA" w:rsidRDefault="007232E5" w:rsidP="001E087E">
            <w:pPr>
              <w:pStyle w:val="NoSpacing"/>
              <w:rPr>
                <w:rFonts w:ascii="Arial" w:hAnsi="Arial" w:cs="Arial"/>
                <w:sz w:val="24"/>
                <w:szCs w:val="24"/>
              </w:rPr>
            </w:pPr>
          </w:p>
        </w:tc>
        <w:tc>
          <w:tcPr>
            <w:tcW w:w="1559" w:type="dxa"/>
            <w:tcBorders>
              <w:right w:val="single" w:sz="36" w:space="0" w:color="auto"/>
            </w:tcBorders>
          </w:tcPr>
          <w:p w14:paraId="43893113" w14:textId="77777777" w:rsidR="007232E5" w:rsidRPr="004B61EA" w:rsidRDefault="007232E5" w:rsidP="001E087E">
            <w:pPr>
              <w:pStyle w:val="NoSpacing"/>
              <w:rPr>
                <w:rFonts w:ascii="Arial" w:hAnsi="Arial" w:cs="Arial"/>
                <w:sz w:val="24"/>
                <w:szCs w:val="24"/>
              </w:rPr>
            </w:pPr>
          </w:p>
        </w:tc>
        <w:tc>
          <w:tcPr>
            <w:tcW w:w="2126" w:type="dxa"/>
            <w:tcBorders>
              <w:top w:val="single" w:sz="12" w:space="0" w:color="auto"/>
              <w:left w:val="single" w:sz="36" w:space="0" w:color="auto"/>
              <w:bottom w:val="single" w:sz="12" w:space="0" w:color="auto"/>
              <w:right w:val="single" w:sz="12" w:space="0" w:color="auto"/>
            </w:tcBorders>
          </w:tcPr>
          <w:p w14:paraId="012C7EC5" w14:textId="77777777" w:rsidR="007232E5" w:rsidRPr="004B61EA" w:rsidRDefault="007232E5" w:rsidP="001E087E">
            <w:pPr>
              <w:pStyle w:val="NoSpacing"/>
              <w:rPr>
                <w:rFonts w:ascii="Arial" w:hAnsi="Arial" w:cs="Arial"/>
                <w:sz w:val="24"/>
                <w:szCs w:val="24"/>
              </w:rPr>
            </w:pPr>
          </w:p>
        </w:tc>
      </w:tr>
      <w:tr w:rsidR="00C52D4C" w:rsidRPr="004B61EA" w14:paraId="059A12A2" w14:textId="77777777" w:rsidTr="0022618D">
        <w:tc>
          <w:tcPr>
            <w:tcW w:w="1951" w:type="dxa"/>
          </w:tcPr>
          <w:p w14:paraId="0742BE7B"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 xml:space="preserve">   Age stopped FTE (years)</w:t>
            </w:r>
          </w:p>
        </w:tc>
        <w:tc>
          <w:tcPr>
            <w:tcW w:w="2552" w:type="dxa"/>
          </w:tcPr>
          <w:p w14:paraId="2692232E"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21 (18-23)</w:t>
            </w:r>
          </w:p>
        </w:tc>
        <w:tc>
          <w:tcPr>
            <w:tcW w:w="2551" w:type="dxa"/>
          </w:tcPr>
          <w:p w14:paraId="4F5C572A"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21 (18-23)</w:t>
            </w:r>
          </w:p>
        </w:tc>
        <w:tc>
          <w:tcPr>
            <w:tcW w:w="2410" w:type="dxa"/>
            <w:tcBorders>
              <w:right w:val="single" w:sz="36" w:space="0" w:color="auto"/>
            </w:tcBorders>
          </w:tcPr>
          <w:p w14:paraId="2488D857"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21 (18-23)</w:t>
            </w:r>
          </w:p>
        </w:tc>
        <w:tc>
          <w:tcPr>
            <w:tcW w:w="1559" w:type="dxa"/>
            <w:tcBorders>
              <w:right w:val="single" w:sz="36" w:space="0" w:color="auto"/>
            </w:tcBorders>
          </w:tcPr>
          <w:p w14:paraId="30E036F5" w14:textId="60240ABF" w:rsidR="007232E5" w:rsidRPr="004B61EA" w:rsidRDefault="007232E5" w:rsidP="001E087E">
            <w:pPr>
              <w:pStyle w:val="NoSpacing"/>
              <w:rPr>
                <w:rFonts w:ascii="Arial" w:hAnsi="Arial" w:cs="Arial"/>
                <w:sz w:val="24"/>
                <w:szCs w:val="24"/>
              </w:rPr>
            </w:pPr>
            <w:r w:rsidRPr="004B61EA">
              <w:rPr>
                <w:rFonts w:ascii="Arial" w:hAnsi="Arial" w:cs="Arial"/>
                <w:sz w:val="24"/>
                <w:szCs w:val="24"/>
              </w:rPr>
              <w:t>0.7</w:t>
            </w:r>
            <w:r w:rsidR="00C405D1" w:rsidRPr="004B61EA">
              <w:rPr>
                <w:rFonts w:ascii="Arial" w:hAnsi="Arial" w:cs="Arial"/>
                <w:sz w:val="24"/>
                <w:szCs w:val="24"/>
              </w:rPr>
              <w:t>6</w:t>
            </w:r>
          </w:p>
        </w:tc>
        <w:tc>
          <w:tcPr>
            <w:tcW w:w="2126" w:type="dxa"/>
            <w:tcBorders>
              <w:top w:val="single" w:sz="12" w:space="0" w:color="auto"/>
              <w:left w:val="single" w:sz="36" w:space="0" w:color="auto"/>
              <w:bottom w:val="single" w:sz="12" w:space="0" w:color="auto"/>
              <w:right w:val="single" w:sz="12" w:space="0" w:color="auto"/>
            </w:tcBorders>
          </w:tcPr>
          <w:p w14:paraId="24A91512"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21 (18-23)</w:t>
            </w:r>
          </w:p>
        </w:tc>
      </w:tr>
      <w:tr w:rsidR="00C52D4C" w:rsidRPr="004B61EA" w14:paraId="6AFAEC54" w14:textId="77777777" w:rsidTr="0022618D">
        <w:tc>
          <w:tcPr>
            <w:tcW w:w="1951" w:type="dxa"/>
          </w:tcPr>
          <w:p w14:paraId="02C98215"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 xml:space="preserve">   Age stopped FTE (years)</w:t>
            </w:r>
          </w:p>
        </w:tc>
        <w:tc>
          <w:tcPr>
            <w:tcW w:w="2552" w:type="dxa"/>
          </w:tcPr>
          <w:p w14:paraId="07902012" w14:textId="77777777" w:rsidR="007232E5" w:rsidRPr="004B61EA" w:rsidRDefault="007232E5" w:rsidP="001E087E">
            <w:pPr>
              <w:pStyle w:val="NoSpacing"/>
              <w:rPr>
                <w:rFonts w:ascii="Arial" w:hAnsi="Arial" w:cs="Arial"/>
                <w:sz w:val="24"/>
                <w:szCs w:val="24"/>
              </w:rPr>
            </w:pPr>
          </w:p>
        </w:tc>
        <w:tc>
          <w:tcPr>
            <w:tcW w:w="2551" w:type="dxa"/>
          </w:tcPr>
          <w:p w14:paraId="3F2B0E1C" w14:textId="77777777" w:rsidR="007232E5" w:rsidRPr="004B61EA" w:rsidRDefault="007232E5" w:rsidP="001E087E">
            <w:pPr>
              <w:pStyle w:val="NoSpacing"/>
              <w:rPr>
                <w:rFonts w:ascii="Arial" w:hAnsi="Arial" w:cs="Arial"/>
                <w:sz w:val="24"/>
                <w:szCs w:val="24"/>
              </w:rPr>
            </w:pPr>
          </w:p>
        </w:tc>
        <w:tc>
          <w:tcPr>
            <w:tcW w:w="2410" w:type="dxa"/>
            <w:tcBorders>
              <w:right w:val="single" w:sz="36" w:space="0" w:color="auto"/>
            </w:tcBorders>
          </w:tcPr>
          <w:p w14:paraId="71C92226" w14:textId="77777777" w:rsidR="007232E5" w:rsidRPr="004B61EA" w:rsidRDefault="007232E5" w:rsidP="001E087E">
            <w:pPr>
              <w:pStyle w:val="NoSpacing"/>
              <w:rPr>
                <w:rFonts w:ascii="Arial" w:hAnsi="Arial" w:cs="Arial"/>
                <w:sz w:val="24"/>
                <w:szCs w:val="24"/>
              </w:rPr>
            </w:pPr>
          </w:p>
        </w:tc>
        <w:tc>
          <w:tcPr>
            <w:tcW w:w="1559" w:type="dxa"/>
            <w:tcBorders>
              <w:right w:val="single" w:sz="36" w:space="0" w:color="auto"/>
            </w:tcBorders>
          </w:tcPr>
          <w:p w14:paraId="4C30027E"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0.98</w:t>
            </w:r>
          </w:p>
        </w:tc>
        <w:tc>
          <w:tcPr>
            <w:tcW w:w="2126" w:type="dxa"/>
            <w:tcBorders>
              <w:top w:val="single" w:sz="12" w:space="0" w:color="auto"/>
              <w:left w:val="single" w:sz="36" w:space="0" w:color="auto"/>
              <w:bottom w:val="single" w:sz="12" w:space="0" w:color="auto"/>
              <w:right w:val="single" w:sz="12" w:space="0" w:color="auto"/>
            </w:tcBorders>
          </w:tcPr>
          <w:p w14:paraId="68DC6AD2" w14:textId="77777777" w:rsidR="007232E5" w:rsidRPr="004B61EA" w:rsidRDefault="007232E5" w:rsidP="001E087E">
            <w:pPr>
              <w:pStyle w:val="NoSpacing"/>
              <w:rPr>
                <w:rFonts w:ascii="Arial" w:hAnsi="Arial" w:cs="Arial"/>
                <w:sz w:val="24"/>
                <w:szCs w:val="24"/>
              </w:rPr>
            </w:pPr>
          </w:p>
        </w:tc>
      </w:tr>
      <w:tr w:rsidR="00C52D4C" w:rsidRPr="004B61EA" w14:paraId="4CED9E12" w14:textId="77777777" w:rsidTr="0022618D">
        <w:tc>
          <w:tcPr>
            <w:tcW w:w="1951" w:type="dxa"/>
          </w:tcPr>
          <w:p w14:paraId="37493DE4"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 xml:space="preserve">      &lt;19</w:t>
            </w:r>
          </w:p>
        </w:tc>
        <w:tc>
          <w:tcPr>
            <w:tcW w:w="2552" w:type="dxa"/>
          </w:tcPr>
          <w:p w14:paraId="0FD8128C"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234 (35.29)</w:t>
            </w:r>
          </w:p>
        </w:tc>
        <w:tc>
          <w:tcPr>
            <w:tcW w:w="2551" w:type="dxa"/>
          </w:tcPr>
          <w:p w14:paraId="6F4C399B"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663 (33.38)</w:t>
            </w:r>
          </w:p>
        </w:tc>
        <w:tc>
          <w:tcPr>
            <w:tcW w:w="2410" w:type="dxa"/>
            <w:tcBorders>
              <w:right w:val="single" w:sz="36" w:space="0" w:color="auto"/>
            </w:tcBorders>
          </w:tcPr>
          <w:p w14:paraId="5A4AEAB7"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227 (34.29)</w:t>
            </w:r>
          </w:p>
        </w:tc>
        <w:tc>
          <w:tcPr>
            <w:tcW w:w="1559" w:type="dxa"/>
            <w:tcBorders>
              <w:right w:val="single" w:sz="36" w:space="0" w:color="auto"/>
            </w:tcBorders>
          </w:tcPr>
          <w:p w14:paraId="071B4E9E" w14:textId="77777777" w:rsidR="007232E5" w:rsidRPr="004B61EA" w:rsidRDefault="007232E5" w:rsidP="001E087E">
            <w:pPr>
              <w:pStyle w:val="NoSpacing"/>
              <w:rPr>
                <w:rFonts w:ascii="Arial" w:hAnsi="Arial" w:cs="Arial"/>
                <w:sz w:val="24"/>
                <w:szCs w:val="24"/>
              </w:rPr>
            </w:pPr>
          </w:p>
        </w:tc>
        <w:tc>
          <w:tcPr>
            <w:tcW w:w="2126" w:type="dxa"/>
            <w:tcBorders>
              <w:top w:val="single" w:sz="12" w:space="0" w:color="auto"/>
              <w:left w:val="single" w:sz="36" w:space="0" w:color="auto"/>
              <w:bottom w:val="single" w:sz="12" w:space="0" w:color="auto"/>
              <w:right w:val="single" w:sz="12" w:space="0" w:color="auto"/>
            </w:tcBorders>
          </w:tcPr>
          <w:p w14:paraId="3DA3B899"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1124 (33.95)</w:t>
            </w:r>
          </w:p>
        </w:tc>
      </w:tr>
      <w:tr w:rsidR="00C52D4C" w:rsidRPr="004B61EA" w14:paraId="3F1F0D0E" w14:textId="77777777" w:rsidTr="0022618D">
        <w:tc>
          <w:tcPr>
            <w:tcW w:w="1951" w:type="dxa"/>
          </w:tcPr>
          <w:p w14:paraId="52D6063C"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 xml:space="preserve">      19-22</w:t>
            </w:r>
          </w:p>
        </w:tc>
        <w:tc>
          <w:tcPr>
            <w:tcW w:w="2552" w:type="dxa"/>
          </w:tcPr>
          <w:p w14:paraId="77BA02A3"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226 (34.09)</w:t>
            </w:r>
          </w:p>
        </w:tc>
        <w:tc>
          <w:tcPr>
            <w:tcW w:w="2551" w:type="dxa"/>
          </w:tcPr>
          <w:p w14:paraId="36041510"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719 (36.20)</w:t>
            </w:r>
          </w:p>
        </w:tc>
        <w:tc>
          <w:tcPr>
            <w:tcW w:w="2410" w:type="dxa"/>
            <w:tcBorders>
              <w:right w:val="single" w:sz="36" w:space="0" w:color="auto"/>
            </w:tcBorders>
          </w:tcPr>
          <w:p w14:paraId="55A8C560"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240 (36.25)</w:t>
            </w:r>
          </w:p>
        </w:tc>
        <w:tc>
          <w:tcPr>
            <w:tcW w:w="1559" w:type="dxa"/>
            <w:tcBorders>
              <w:right w:val="single" w:sz="36" w:space="0" w:color="auto"/>
            </w:tcBorders>
          </w:tcPr>
          <w:p w14:paraId="46A8E76A" w14:textId="77777777" w:rsidR="007232E5" w:rsidRPr="004B61EA" w:rsidRDefault="007232E5" w:rsidP="001E087E">
            <w:pPr>
              <w:pStyle w:val="NoSpacing"/>
              <w:rPr>
                <w:rFonts w:ascii="Arial" w:hAnsi="Arial" w:cs="Arial"/>
                <w:sz w:val="24"/>
                <w:szCs w:val="24"/>
              </w:rPr>
            </w:pPr>
          </w:p>
        </w:tc>
        <w:tc>
          <w:tcPr>
            <w:tcW w:w="2126" w:type="dxa"/>
            <w:tcBorders>
              <w:top w:val="single" w:sz="12" w:space="0" w:color="auto"/>
              <w:left w:val="single" w:sz="36" w:space="0" w:color="auto"/>
              <w:bottom w:val="single" w:sz="12" w:space="0" w:color="auto"/>
              <w:right w:val="single" w:sz="12" w:space="0" w:color="auto"/>
            </w:tcBorders>
          </w:tcPr>
          <w:p w14:paraId="58C2AACB"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1185 (35.79)</w:t>
            </w:r>
          </w:p>
        </w:tc>
      </w:tr>
      <w:tr w:rsidR="00C52D4C" w:rsidRPr="004B61EA" w14:paraId="534B663F" w14:textId="77777777" w:rsidTr="0022618D">
        <w:tc>
          <w:tcPr>
            <w:tcW w:w="1951" w:type="dxa"/>
          </w:tcPr>
          <w:p w14:paraId="2544ADBA"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 xml:space="preserve">      ≥23</w:t>
            </w:r>
          </w:p>
        </w:tc>
        <w:tc>
          <w:tcPr>
            <w:tcW w:w="2552" w:type="dxa"/>
          </w:tcPr>
          <w:p w14:paraId="56C971AA"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203 (30.62)</w:t>
            </w:r>
          </w:p>
        </w:tc>
        <w:tc>
          <w:tcPr>
            <w:tcW w:w="2551" w:type="dxa"/>
          </w:tcPr>
          <w:p w14:paraId="091A7056"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604 (30.41)</w:t>
            </w:r>
          </w:p>
        </w:tc>
        <w:tc>
          <w:tcPr>
            <w:tcW w:w="2410" w:type="dxa"/>
            <w:tcBorders>
              <w:right w:val="single" w:sz="36" w:space="0" w:color="auto"/>
            </w:tcBorders>
          </w:tcPr>
          <w:p w14:paraId="56544418"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195 (29.46)</w:t>
            </w:r>
          </w:p>
        </w:tc>
        <w:tc>
          <w:tcPr>
            <w:tcW w:w="1559" w:type="dxa"/>
            <w:tcBorders>
              <w:right w:val="single" w:sz="36" w:space="0" w:color="auto"/>
            </w:tcBorders>
          </w:tcPr>
          <w:p w14:paraId="79C5370A" w14:textId="77777777" w:rsidR="007232E5" w:rsidRPr="004B61EA" w:rsidRDefault="007232E5" w:rsidP="001E087E">
            <w:pPr>
              <w:pStyle w:val="NoSpacing"/>
              <w:rPr>
                <w:rFonts w:ascii="Arial" w:hAnsi="Arial" w:cs="Arial"/>
                <w:sz w:val="24"/>
                <w:szCs w:val="24"/>
              </w:rPr>
            </w:pPr>
          </w:p>
        </w:tc>
        <w:tc>
          <w:tcPr>
            <w:tcW w:w="2126" w:type="dxa"/>
            <w:tcBorders>
              <w:top w:val="single" w:sz="12" w:space="0" w:color="auto"/>
              <w:left w:val="single" w:sz="36" w:space="0" w:color="auto"/>
              <w:bottom w:val="single" w:sz="12" w:space="0" w:color="auto"/>
              <w:right w:val="single" w:sz="12" w:space="0" w:color="auto"/>
            </w:tcBorders>
          </w:tcPr>
          <w:p w14:paraId="1DDD712C"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1002 (30.26)</w:t>
            </w:r>
          </w:p>
        </w:tc>
      </w:tr>
      <w:tr w:rsidR="00C52D4C" w:rsidRPr="004B61EA" w14:paraId="3EB0453D" w14:textId="77777777" w:rsidTr="0022618D">
        <w:tc>
          <w:tcPr>
            <w:tcW w:w="1951" w:type="dxa"/>
          </w:tcPr>
          <w:p w14:paraId="70DF0161" w14:textId="77777777" w:rsidR="007232E5" w:rsidRPr="004B61EA" w:rsidRDefault="007232E5" w:rsidP="001E087E">
            <w:pPr>
              <w:pStyle w:val="NoSpacing"/>
              <w:rPr>
                <w:rFonts w:ascii="Arial" w:hAnsi="Arial" w:cs="Arial"/>
                <w:sz w:val="24"/>
                <w:szCs w:val="24"/>
              </w:rPr>
            </w:pPr>
          </w:p>
        </w:tc>
        <w:tc>
          <w:tcPr>
            <w:tcW w:w="2552" w:type="dxa"/>
          </w:tcPr>
          <w:p w14:paraId="3644D788" w14:textId="77777777" w:rsidR="007232E5" w:rsidRPr="004B61EA" w:rsidRDefault="007232E5" w:rsidP="001E087E">
            <w:pPr>
              <w:pStyle w:val="NoSpacing"/>
              <w:rPr>
                <w:rFonts w:ascii="Arial" w:hAnsi="Arial" w:cs="Arial"/>
                <w:sz w:val="24"/>
                <w:szCs w:val="24"/>
              </w:rPr>
            </w:pPr>
          </w:p>
        </w:tc>
        <w:tc>
          <w:tcPr>
            <w:tcW w:w="2551" w:type="dxa"/>
          </w:tcPr>
          <w:p w14:paraId="0A0D4876" w14:textId="77777777" w:rsidR="007232E5" w:rsidRPr="004B61EA" w:rsidRDefault="007232E5" w:rsidP="001E087E">
            <w:pPr>
              <w:pStyle w:val="NoSpacing"/>
              <w:rPr>
                <w:rFonts w:ascii="Arial" w:hAnsi="Arial" w:cs="Arial"/>
                <w:sz w:val="24"/>
                <w:szCs w:val="24"/>
              </w:rPr>
            </w:pPr>
          </w:p>
        </w:tc>
        <w:tc>
          <w:tcPr>
            <w:tcW w:w="2410" w:type="dxa"/>
            <w:tcBorders>
              <w:right w:val="single" w:sz="36" w:space="0" w:color="auto"/>
            </w:tcBorders>
          </w:tcPr>
          <w:p w14:paraId="3AA1985B" w14:textId="77777777" w:rsidR="007232E5" w:rsidRPr="004B61EA" w:rsidRDefault="007232E5" w:rsidP="001E087E">
            <w:pPr>
              <w:pStyle w:val="NoSpacing"/>
              <w:rPr>
                <w:rFonts w:ascii="Arial" w:hAnsi="Arial" w:cs="Arial"/>
                <w:sz w:val="24"/>
                <w:szCs w:val="24"/>
              </w:rPr>
            </w:pPr>
          </w:p>
        </w:tc>
        <w:tc>
          <w:tcPr>
            <w:tcW w:w="1559" w:type="dxa"/>
            <w:tcBorders>
              <w:right w:val="single" w:sz="36" w:space="0" w:color="auto"/>
            </w:tcBorders>
          </w:tcPr>
          <w:p w14:paraId="645EAB74" w14:textId="77777777" w:rsidR="007232E5" w:rsidRPr="004B61EA" w:rsidRDefault="007232E5" w:rsidP="001E087E">
            <w:pPr>
              <w:pStyle w:val="NoSpacing"/>
              <w:rPr>
                <w:rFonts w:ascii="Arial" w:hAnsi="Arial" w:cs="Arial"/>
                <w:sz w:val="24"/>
                <w:szCs w:val="24"/>
              </w:rPr>
            </w:pPr>
          </w:p>
        </w:tc>
        <w:tc>
          <w:tcPr>
            <w:tcW w:w="2126" w:type="dxa"/>
            <w:tcBorders>
              <w:top w:val="single" w:sz="12" w:space="0" w:color="auto"/>
              <w:left w:val="single" w:sz="36" w:space="0" w:color="auto"/>
              <w:bottom w:val="single" w:sz="12" w:space="0" w:color="auto"/>
              <w:right w:val="single" w:sz="12" w:space="0" w:color="auto"/>
            </w:tcBorders>
          </w:tcPr>
          <w:p w14:paraId="1EE47D86" w14:textId="77777777" w:rsidR="007232E5" w:rsidRPr="004B61EA" w:rsidRDefault="007232E5" w:rsidP="001E087E">
            <w:pPr>
              <w:pStyle w:val="NoSpacing"/>
              <w:rPr>
                <w:rFonts w:ascii="Arial" w:hAnsi="Arial" w:cs="Arial"/>
                <w:sz w:val="24"/>
                <w:szCs w:val="24"/>
              </w:rPr>
            </w:pPr>
          </w:p>
        </w:tc>
      </w:tr>
      <w:tr w:rsidR="00C52D4C" w:rsidRPr="004B61EA" w14:paraId="6DF89514" w14:textId="77777777" w:rsidTr="0022618D">
        <w:tc>
          <w:tcPr>
            <w:tcW w:w="1951" w:type="dxa"/>
          </w:tcPr>
          <w:p w14:paraId="0B5CFA8C"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BMI, kg/m</w:t>
            </w:r>
            <w:r w:rsidRPr="004B61EA">
              <w:rPr>
                <w:rFonts w:ascii="Arial" w:hAnsi="Arial" w:cs="Arial"/>
                <w:sz w:val="24"/>
                <w:szCs w:val="24"/>
                <w:vertAlign w:val="superscript"/>
              </w:rPr>
              <w:t>2</w:t>
            </w:r>
          </w:p>
        </w:tc>
        <w:tc>
          <w:tcPr>
            <w:tcW w:w="2552" w:type="dxa"/>
          </w:tcPr>
          <w:p w14:paraId="090487FB"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24.7 (22.1-28.0)</w:t>
            </w:r>
          </w:p>
        </w:tc>
        <w:tc>
          <w:tcPr>
            <w:tcW w:w="2551" w:type="dxa"/>
          </w:tcPr>
          <w:p w14:paraId="0DE167BA"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24.0 (21.9-27.3)</w:t>
            </w:r>
          </w:p>
        </w:tc>
        <w:tc>
          <w:tcPr>
            <w:tcW w:w="2410" w:type="dxa"/>
            <w:tcBorders>
              <w:right w:val="single" w:sz="36" w:space="0" w:color="auto"/>
            </w:tcBorders>
          </w:tcPr>
          <w:p w14:paraId="1B54FF3F"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23.5 (21.3-26.3)</w:t>
            </w:r>
          </w:p>
        </w:tc>
        <w:tc>
          <w:tcPr>
            <w:tcW w:w="1559" w:type="dxa"/>
            <w:tcBorders>
              <w:right w:val="single" w:sz="36" w:space="0" w:color="auto"/>
            </w:tcBorders>
          </w:tcPr>
          <w:p w14:paraId="26D0E1F7" w14:textId="08623777" w:rsidR="007232E5" w:rsidRPr="004B61EA" w:rsidRDefault="00C405D1" w:rsidP="001E087E">
            <w:pPr>
              <w:pStyle w:val="NoSpacing"/>
              <w:rPr>
                <w:rFonts w:ascii="Arial" w:hAnsi="Arial" w:cs="Arial"/>
                <w:sz w:val="24"/>
                <w:szCs w:val="24"/>
                <w:lang w:val="en-US"/>
              </w:rPr>
            </w:pPr>
            <w:r w:rsidRPr="004B61EA">
              <w:rPr>
                <w:rFonts w:ascii="Arial" w:hAnsi="Arial" w:cs="Arial"/>
                <w:sz w:val="24"/>
                <w:szCs w:val="24"/>
                <w:lang w:val="en-US"/>
              </w:rPr>
              <w:t>&lt;</w:t>
            </w:r>
            <w:r w:rsidR="007232E5" w:rsidRPr="004B61EA">
              <w:rPr>
                <w:rFonts w:ascii="Arial" w:hAnsi="Arial" w:cs="Arial"/>
                <w:sz w:val="24"/>
                <w:szCs w:val="24"/>
                <w:lang w:val="en-US"/>
              </w:rPr>
              <w:t>0.0001</w:t>
            </w:r>
          </w:p>
        </w:tc>
        <w:tc>
          <w:tcPr>
            <w:tcW w:w="2126" w:type="dxa"/>
            <w:tcBorders>
              <w:top w:val="single" w:sz="12" w:space="0" w:color="auto"/>
              <w:left w:val="single" w:sz="36" w:space="0" w:color="auto"/>
              <w:bottom w:val="single" w:sz="12" w:space="0" w:color="auto"/>
              <w:right w:val="single" w:sz="12" w:space="0" w:color="auto"/>
            </w:tcBorders>
          </w:tcPr>
          <w:p w14:paraId="36797E8C" w14:textId="77777777" w:rsidR="007232E5" w:rsidRPr="004B61EA" w:rsidRDefault="007232E5" w:rsidP="001E087E">
            <w:pPr>
              <w:pStyle w:val="NoSpacing"/>
              <w:rPr>
                <w:rFonts w:ascii="Arial" w:hAnsi="Arial" w:cs="Arial"/>
                <w:sz w:val="24"/>
                <w:szCs w:val="24"/>
                <w:lang w:val="en-US"/>
              </w:rPr>
            </w:pPr>
            <w:r w:rsidRPr="004B61EA">
              <w:rPr>
                <w:rFonts w:ascii="Arial" w:hAnsi="Arial" w:cs="Arial"/>
                <w:sz w:val="24"/>
                <w:szCs w:val="24"/>
                <w:lang w:val="en-US"/>
              </w:rPr>
              <w:t>24.0 (21.8-27.2)</w:t>
            </w:r>
          </w:p>
        </w:tc>
      </w:tr>
      <w:tr w:rsidR="00C52D4C" w:rsidRPr="004B61EA" w14:paraId="6D018C21" w14:textId="77777777" w:rsidTr="0022618D">
        <w:tc>
          <w:tcPr>
            <w:tcW w:w="1951" w:type="dxa"/>
          </w:tcPr>
          <w:p w14:paraId="747C0065"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BMI WHO classification</w:t>
            </w:r>
          </w:p>
        </w:tc>
        <w:tc>
          <w:tcPr>
            <w:tcW w:w="2552" w:type="dxa"/>
          </w:tcPr>
          <w:p w14:paraId="542824B1" w14:textId="77777777" w:rsidR="007232E5" w:rsidRPr="004B61EA" w:rsidRDefault="007232E5" w:rsidP="001E087E">
            <w:pPr>
              <w:pStyle w:val="NoSpacing"/>
              <w:rPr>
                <w:rFonts w:ascii="Arial" w:hAnsi="Arial" w:cs="Arial"/>
                <w:sz w:val="24"/>
                <w:szCs w:val="24"/>
              </w:rPr>
            </w:pPr>
          </w:p>
        </w:tc>
        <w:tc>
          <w:tcPr>
            <w:tcW w:w="2551" w:type="dxa"/>
          </w:tcPr>
          <w:p w14:paraId="231479D6" w14:textId="77777777" w:rsidR="007232E5" w:rsidRPr="004B61EA" w:rsidRDefault="007232E5" w:rsidP="001E087E">
            <w:pPr>
              <w:pStyle w:val="NoSpacing"/>
              <w:rPr>
                <w:rFonts w:ascii="Arial" w:hAnsi="Arial" w:cs="Arial"/>
                <w:sz w:val="24"/>
                <w:szCs w:val="24"/>
              </w:rPr>
            </w:pPr>
          </w:p>
        </w:tc>
        <w:tc>
          <w:tcPr>
            <w:tcW w:w="2410" w:type="dxa"/>
            <w:tcBorders>
              <w:right w:val="single" w:sz="36" w:space="0" w:color="auto"/>
            </w:tcBorders>
          </w:tcPr>
          <w:p w14:paraId="6392D0EB" w14:textId="77777777" w:rsidR="007232E5" w:rsidRPr="004B61EA" w:rsidRDefault="007232E5" w:rsidP="001E087E">
            <w:pPr>
              <w:pStyle w:val="NoSpacing"/>
              <w:rPr>
                <w:rFonts w:ascii="Arial" w:hAnsi="Arial" w:cs="Arial"/>
                <w:sz w:val="24"/>
                <w:szCs w:val="24"/>
              </w:rPr>
            </w:pPr>
          </w:p>
        </w:tc>
        <w:tc>
          <w:tcPr>
            <w:tcW w:w="1559" w:type="dxa"/>
            <w:tcBorders>
              <w:right w:val="single" w:sz="36" w:space="0" w:color="auto"/>
            </w:tcBorders>
          </w:tcPr>
          <w:p w14:paraId="1265C0D5" w14:textId="77777777" w:rsidR="007232E5" w:rsidRPr="004B61EA" w:rsidRDefault="007232E5" w:rsidP="001E087E">
            <w:pPr>
              <w:pStyle w:val="NoSpacing"/>
              <w:rPr>
                <w:rFonts w:ascii="Arial" w:hAnsi="Arial" w:cs="Arial"/>
                <w:sz w:val="24"/>
                <w:szCs w:val="24"/>
                <w:lang w:val="en-US"/>
              </w:rPr>
            </w:pPr>
            <w:r w:rsidRPr="004B61EA">
              <w:rPr>
                <w:rFonts w:ascii="Arial" w:hAnsi="Arial" w:cs="Arial"/>
                <w:sz w:val="24"/>
                <w:szCs w:val="24"/>
                <w:lang w:val="en-US"/>
              </w:rPr>
              <w:t>&lt;0.001</w:t>
            </w:r>
          </w:p>
        </w:tc>
        <w:tc>
          <w:tcPr>
            <w:tcW w:w="2126" w:type="dxa"/>
            <w:tcBorders>
              <w:top w:val="single" w:sz="12" w:space="0" w:color="auto"/>
              <w:left w:val="single" w:sz="36" w:space="0" w:color="auto"/>
              <w:bottom w:val="single" w:sz="12" w:space="0" w:color="auto"/>
              <w:right w:val="single" w:sz="12" w:space="0" w:color="auto"/>
            </w:tcBorders>
          </w:tcPr>
          <w:p w14:paraId="64A36FB6" w14:textId="77777777" w:rsidR="007232E5" w:rsidRPr="004B61EA" w:rsidRDefault="007232E5" w:rsidP="001E087E">
            <w:pPr>
              <w:pStyle w:val="NoSpacing"/>
              <w:rPr>
                <w:rFonts w:ascii="Arial" w:hAnsi="Arial" w:cs="Arial"/>
                <w:sz w:val="24"/>
                <w:szCs w:val="24"/>
                <w:lang w:val="en-US"/>
              </w:rPr>
            </w:pPr>
          </w:p>
        </w:tc>
      </w:tr>
      <w:tr w:rsidR="00C52D4C" w:rsidRPr="004B61EA" w14:paraId="110889DA" w14:textId="77777777" w:rsidTr="0022618D">
        <w:tc>
          <w:tcPr>
            <w:tcW w:w="1951" w:type="dxa"/>
          </w:tcPr>
          <w:p w14:paraId="6F69C738"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 xml:space="preserve">   &lt;18.5</w:t>
            </w:r>
          </w:p>
        </w:tc>
        <w:tc>
          <w:tcPr>
            <w:tcW w:w="2552" w:type="dxa"/>
          </w:tcPr>
          <w:p w14:paraId="480CABA6"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7 (1.06)</w:t>
            </w:r>
          </w:p>
        </w:tc>
        <w:tc>
          <w:tcPr>
            <w:tcW w:w="2551" w:type="dxa"/>
          </w:tcPr>
          <w:p w14:paraId="2921E655"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28 (1.41)</w:t>
            </w:r>
          </w:p>
        </w:tc>
        <w:tc>
          <w:tcPr>
            <w:tcW w:w="2410" w:type="dxa"/>
            <w:tcBorders>
              <w:right w:val="single" w:sz="36" w:space="0" w:color="auto"/>
            </w:tcBorders>
          </w:tcPr>
          <w:p w14:paraId="148E1B5B"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18 (2.72)</w:t>
            </w:r>
          </w:p>
        </w:tc>
        <w:tc>
          <w:tcPr>
            <w:tcW w:w="1559" w:type="dxa"/>
            <w:tcBorders>
              <w:right w:val="single" w:sz="36" w:space="0" w:color="auto"/>
            </w:tcBorders>
          </w:tcPr>
          <w:p w14:paraId="2ABC28AF" w14:textId="77777777" w:rsidR="007232E5" w:rsidRPr="004B61EA" w:rsidRDefault="007232E5" w:rsidP="001E087E">
            <w:pPr>
              <w:pStyle w:val="NoSpacing"/>
              <w:rPr>
                <w:rFonts w:ascii="Arial" w:hAnsi="Arial" w:cs="Arial"/>
                <w:sz w:val="24"/>
                <w:szCs w:val="24"/>
                <w:lang w:val="en-US"/>
              </w:rPr>
            </w:pPr>
          </w:p>
        </w:tc>
        <w:tc>
          <w:tcPr>
            <w:tcW w:w="2126" w:type="dxa"/>
            <w:tcBorders>
              <w:top w:val="single" w:sz="12" w:space="0" w:color="auto"/>
              <w:left w:val="single" w:sz="36" w:space="0" w:color="auto"/>
              <w:bottom w:val="single" w:sz="12" w:space="0" w:color="auto"/>
              <w:right w:val="single" w:sz="12" w:space="0" w:color="auto"/>
            </w:tcBorders>
          </w:tcPr>
          <w:p w14:paraId="0F718503" w14:textId="77777777" w:rsidR="007232E5" w:rsidRPr="004B61EA" w:rsidRDefault="007232E5" w:rsidP="001E087E">
            <w:pPr>
              <w:pStyle w:val="NoSpacing"/>
              <w:rPr>
                <w:rFonts w:ascii="Arial" w:hAnsi="Arial" w:cs="Arial"/>
                <w:sz w:val="24"/>
                <w:szCs w:val="24"/>
                <w:lang w:val="en-US"/>
              </w:rPr>
            </w:pPr>
            <w:r w:rsidRPr="004B61EA">
              <w:rPr>
                <w:rFonts w:ascii="Arial" w:hAnsi="Arial" w:cs="Arial"/>
                <w:sz w:val="24"/>
                <w:szCs w:val="24"/>
                <w:lang w:val="en-US"/>
              </w:rPr>
              <w:t>53 (1.60)</w:t>
            </w:r>
          </w:p>
        </w:tc>
      </w:tr>
      <w:tr w:rsidR="00C52D4C" w:rsidRPr="004B61EA" w14:paraId="68F88C9C" w14:textId="77777777" w:rsidTr="0022618D">
        <w:tc>
          <w:tcPr>
            <w:tcW w:w="1951" w:type="dxa"/>
          </w:tcPr>
          <w:p w14:paraId="0F9D27CC"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 xml:space="preserve">   18.5-&lt;25</w:t>
            </w:r>
          </w:p>
        </w:tc>
        <w:tc>
          <w:tcPr>
            <w:tcW w:w="2552" w:type="dxa"/>
          </w:tcPr>
          <w:p w14:paraId="1B0C680C"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342 (51.58)</w:t>
            </w:r>
          </w:p>
        </w:tc>
        <w:tc>
          <w:tcPr>
            <w:tcW w:w="2551" w:type="dxa"/>
          </w:tcPr>
          <w:p w14:paraId="46004AE8"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1155 (58.16)</w:t>
            </w:r>
          </w:p>
        </w:tc>
        <w:tc>
          <w:tcPr>
            <w:tcW w:w="2410" w:type="dxa"/>
            <w:tcBorders>
              <w:right w:val="single" w:sz="36" w:space="0" w:color="auto"/>
            </w:tcBorders>
          </w:tcPr>
          <w:p w14:paraId="1446891D"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414 (62.54)</w:t>
            </w:r>
          </w:p>
        </w:tc>
        <w:tc>
          <w:tcPr>
            <w:tcW w:w="1559" w:type="dxa"/>
            <w:tcBorders>
              <w:right w:val="single" w:sz="36" w:space="0" w:color="auto"/>
            </w:tcBorders>
          </w:tcPr>
          <w:p w14:paraId="7106E769" w14:textId="77777777" w:rsidR="007232E5" w:rsidRPr="004B61EA" w:rsidRDefault="007232E5" w:rsidP="001E087E">
            <w:pPr>
              <w:pStyle w:val="NoSpacing"/>
              <w:rPr>
                <w:rFonts w:ascii="Arial" w:hAnsi="Arial" w:cs="Arial"/>
                <w:sz w:val="24"/>
                <w:szCs w:val="24"/>
                <w:lang w:val="en-US"/>
              </w:rPr>
            </w:pPr>
          </w:p>
        </w:tc>
        <w:tc>
          <w:tcPr>
            <w:tcW w:w="2126" w:type="dxa"/>
            <w:tcBorders>
              <w:top w:val="single" w:sz="12" w:space="0" w:color="auto"/>
              <w:left w:val="single" w:sz="36" w:space="0" w:color="auto"/>
              <w:bottom w:val="single" w:sz="12" w:space="0" w:color="auto"/>
              <w:right w:val="single" w:sz="12" w:space="0" w:color="auto"/>
            </w:tcBorders>
          </w:tcPr>
          <w:p w14:paraId="30E8AB18" w14:textId="77777777" w:rsidR="007232E5" w:rsidRPr="004B61EA" w:rsidRDefault="007232E5" w:rsidP="001E087E">
            <w:pPr>
              <w:pStyle w:val="NoSpacing"/>
              <w:rPr>
                <w:rFonts w:ascii="Arial" w:hAnsi="Arial" w:cs="Arial"/>
                <w:sz w:val="24"/>
                <w:szCs w:val="24"/>
                <w:lang w:val="en-US"/>
              </w:rPr>
            </w:pPr>
            <w:r w:rsidRPr="004B61EA">
              <w:rPr>
                <w:rFonts w:ascii="Arial" w:hAnsi="Arial" w:cs="Arial"/>
                <w:sz w:val="24"/>
                <w:szCs w:val="24"/>
                <w:lang w:val="en-US"/>
              </w:rPr>
              <w:t>1911 (57.72)</w:t>
            </w:r>
          </w:p>
        </w:tc>
      </w:tr>
      <w:tr w:rsidR="00C52D4C" w:rsidRPr="004B61EA" w14:paraId="7FB4C136" w14:textId="77777777" w:rsidTr="0022618D">
        <w:tc>
          <w:tcPr>
            <w:tcW w:w="1951" w:type="dxa"/>
          </w:tcPr>
          <w:p w14:paraId="22373529"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 xml:space="preserve">   25-&lt;30</w:t>
            </w:r>
          </w:p>
        </w:tc>
        <w:tc>
          <w:tcPr>
            <w:tcW w:w="2552" w:type="dxa"/>
          </w:tcPr>
          <w:p w14:paraId="3AFF1C5E"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204 (30.77)</w:t>
            </w:r>
          </w:p>
        </w:tc>
        <w:tc>
          <w:tcPr>
            <w:tcW w:w="2551" w:type="dxa"/>
          </w:tcPr>
          <w:p w14:paraId="67F01E02"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542 (27.29)</w:t>
            </w:r>
          </w:p>
        </w:tc>
        <w:tc>
          <w:tcPr>
            <w:tcW w:w="2410" w:type="dxa"/>
            <w:tcBorders>
              <w:right w:val="single" w:sz="36" w:space="0" w:color="auto"/>
            </w:tcBorders>
          </w:tcPr>
          <w:p w14:paraId="01BC2718"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167 (25.23)</w:t>
            </w:r>
          </w:p>
        </w:tc>
        <w:tc>
          <w:tcPr>
            <w:tcW w:w="1559" w:type="dxa"/>
            <w:tcBorders>
              <w:right w:val="single" w:sz="36" w:space="0" w:color="auto"/>
            </w:tcBorders>
          </w:tcPr>
          <w:p w14:paraId="2A347A91" w14:textId="77777777" w:rsidR="007232E5" w:rsidRPr="004B61EA" w:rsidRDefault="007232E5" w:rsidP="001E087E">
            <w:pPr>
              <w:pStyle w:val="NoSpacing"/>
              <w:rPr>
                <w:rFonts w:ascii="Arial" w:hAnsi="Arial" w:cs="Arial"/>
                <w:sz w:val="24"/>
                <w:szCs w:val="24"/>
                <w:lang w:val="en-US"/>
              </w:rPr>
            </w:pPr>
          </w:p>
        </w:tc>
        <w:tc>
          <w:tcPr>
            <w:tcW w:w="2126" w:type="dxa"/>
            <w:tcBorders>
              <w:top w:val="single" w:sz="12" w:space="0" w:color="auto"/>
              <w:left w:val="single" w:sz="36" w:space="0" w:color="auto"/>
              <w:bottom w:val="single" w:sz="12" w:space="0" w:color="auto"/>
              <w:right w:val="single" w:sz="12" w:space="0" w:color="auto"/>
            </w:tcBorders>
          </w:tcPr>
          <w:p w14:paraId="3A4EE505" w14:textId="77777777" w:rsidR="007232E5" w:rsidRPr="004B61EA" w:rsidRDefault="007232E5" w:rsidP="001E087E">
            <w:pPr>
              <w:pStyle w:val="NoSpacing"/>
              <w:rPr>
                <w:rFonts w:ascii="Arial" w:hAnsi="Arial" w:cs="Arial"/>
                <w:sz w:val="24"/>
                <w:szCs w:val="24"/>
                <w:lang w:val="en-US"/>
              </w:rPr>
            </w:pPr>
            <w:r w:rsidRPr="004B61EA">
              <w:rPr>
                <w:rFonts w:ascii="Arial" w:hAnsi="Arial" w:cs="Arial"/>
                <w:sz w:val="24"/>
                <w:szCs w:val="24"/>
                <w:lang w:val="en-US"/>
              </w:rPr>
              <w:t>913 (27.57)</w:t>
            </w:r>
          </w:p>
        </w:tc>
      </w:tr>
      <w:tr w:rsidR="00C52D4C" w:rsidRPr="004B61EA" w14:paraId="689788E0" w14:textId="77777777" w:rsidTr="0022618D">
        <w:tc>
          <w:tcPr>
            <w:tcW w:w="1951" w:type="dxa"/>
          </w:tcPr>
          <w:p w14:paraId="546530FF"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 xml:space="preserve">   ≥ 30</w:t>
            </w:r>
          </w:p>
        </w:tc>
        <w:tc>
          <w:tcPr>
            <w:tcW w:w="2552" w:type="dxa"/>
          </w:tcPr>
          <w:p w14:paraId="4915948E"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110 (16.59)</w:t>
            </w:r>
          </w:p>
        </w:tc>
        <w:tc>
          <w:tcPr>
            <w:tcW w:w="2551" w:type="dxa"/>
          </w:tcPr>
          <w:p w14:paraId="5BF0F755"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261 (13.14)</w:t>
            </w:r>
          </w:p>
        </w:tc>
        <w:tc>
          <w:tcPr>
            <w:tcW w:w="2410" w:type="dxa"/>
            <w:tcBorders>
              <w:right w:val="single" w:sz="36" w:space="0" w:color="auto"/>
            </w:tcBorders>
          </w:tcPr>
          <w:p w14:paraId="464D595C"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63 (9.52)</w:t>
            </w:r>
          </w:p>
        </w:tc>
        <w:tc>
          <w:tcPr>
            <w:tcW w:w="1559" w:type="dxa"/>
            <w:tcBorders>
              <w:right w:val="single" w:sz="36" w:space="0" w:color="auto"/>
            </w:tcBorders>
          </w:tcPr>
          <w:p w14:paraId="206A0454" w14:textId="77777777" w:rsidR="007232E5" w:rsidRPr="004B61EA" w:rsidRDefault="007232E5" w:rsidP="001E087E">
            <w:pPr>
              <w:pStyle w:val="NoSpacing"/>
              <w:rPr>
                <w:rFonts w:ascii="Arial" w:hAnsi="Arial" w:cs="Arial"/>
                <w:sz w:val="24"/>
                <w:szCs w:val="24"/>
                <w:lang w:val="en-US"/>
              </w:rPr>
            </w:pPr>
          </w:p>
        </w:tc>
        <w:tc>
          <w:tcPr>
            <w:tcW w:w="2126" w:type="dxa"/>
            <w:tcBorders>
              <w:top w:val="single" w:sz="12" w:space="0" w:color="auto"/>
              <w:left w:val="single" w:sz="36" w:space="0" w:color="auto"/>
              <w:bottom w:val="single" w:sz="12" w:space="0" w:color="auto"/>
              <w:right w:val="single" w:sz="12" w:space="0" w:color="auto"/>
            </w:tcBorders>
          </w:tcPr>
          <w:p w14:paraId="1E34BF31" w14:textId="77777777" w:rsidR="007232E5" w:rsidRPr="004B61EA" w:rsidRDefault="007232E5" w:rsidP="001E087E">
            <w:pPr>
              <w:pStyle w:val="NoSpacing"/>
              <w:rPr>
                <w:rFonts w:ascii="Arial" w:hAnsi="Arial" w:cs="Arial"/>
                <w:sz w:val="24"/>
                <w:szCs w:val="24"/>
                <w:lang w:val="en-US"/>
              </w:rPr>
            </w:pPr>
            <w:r w:rsidRPr="004B61EA">
              <w:rPr>
                <w:rFonts w:ascii="Arial" w:hAnsi="Arial" w:cs="Arial"/>
                <w:sz w:val="24"/>
                <w:szCs w:val="24"/>
                <w:lang w:val="en-US"/>
              </w:rPr>
              <w:t>434 (13.11)</w:t>
            </w:r>
          </w:p>
        </w:tc>
      </w:tr>
      <w:tr w:rsidR="00C52D4C" w:rsidRPr="004B61EA" w14:paraId="18D6B71D" w14:textId="77777777" w:rsidTr="0022618D">
        <w:tc>
          <w:tcPr>
            <w:tcW w:w="1951" w:type="dxa"/>
          </w:tcPr>
          <w:p w14:paraId="396D51C9" w14:textId="77777777" w:rsidR="007232E5" w:rsidRPr="004B61EA" w:rsidRDefault="007232E5" w:rsidP="001E087E">
            <w:pPr>
              <w:pStyle w:val="NoSpacing"/>
              <w:rPr>
                <w:rFonts w:ascii="Arial" w:hAnsi="Arial" w:cs="Arial"/>
                <w:sz w:val="24"/>
                <w:szCs w:val="24"/>
              </w:rPr>
            </w:pPr>
          </w:p>
        </w:tc>
        <w:tc>
          <w:tcPr>
            <w:tcW w:w="2552" w:type="dxa"/>
          </w:tcPr>
          <w:p w14:paraId="31E770B9" w14:textId="77777777" w:rsidR="007232E5" w:rsidRPr="004B61EA" w:rsidRDefault="007232E5" w:rsidP="001E087E">
            <w:pPr>
              <w:pStyle w:val="NoSpacing"/>
              <w:rPr>
                <w:rFonts w:ascii="Arial" w:hAnsi="Arial" w:cs="Arial"/>
                <w:sz w:val="24"/>
                <w:szCs w:val="24"/>
                <w:lang w:val="en-US"/>
              </w:rPr>
            </w:pPr>
          </w:p>
        </w:tc>
        <w:tc>
          <w:tcPr>
            <w:tcW w:w="2551" w:type="dxa"/>
          </w:tcPr>
          <w:p w14:paraId="16DC47D8" w14:textId="77777777" w:rsidR="007232E5" w:rsidRPr="004B61EA" w:rsidRDefault="007232E5" w:rsidP="001E087E">
            <w:pPr>
              <w:pStyle w:val="NoSpacing"/>
              <w:rPr>
                <w:rFonts w:ascii="Arial" w:hAnsi="Arial" w:cs="Arial"/>
                <w:sz w:val="24"/>
                <w:szCs w:val="24"/>
                <w:lang w:val="en-US"/>
              </w:rPr>
            </w:pPr>
          </w:p>
        </w:tc>
        <w:tc>
          <w:tcPr>
            <w:tcW w:w="2410" w:type="dxa"/>
            <w:tcBorders>
              <w:right w:val="single" w:sz="36" w:space="0" w:color="auto"/>
            </w:tcBorders>
          </w:tcPr>
          <w:p w14:paraId="1BBCECC2" w14:textId="77777777" w:rsidR="007232E5" w:rsidRPr="004B61EA" w:rsidRDefault="007232E5" w:rsidP="001E087E">
            <w:pPr>
              <w:pStyle w:val="NoSpacing"/>
              <w:rPr>
                <w:rFonts w:ascii="Arial" w:hAnsi="Arial" w:cs="Arial"/>
                <w:sz w:val="24"/>
                <w:szCs w:val="24"/>
                <w:lang w:val="en-US"/>
              </w:rPr>
            </w:pPr>
          </w:p>
        </w:tc>
        <w:tc>
          <w:tcPr>
            <w:tcW w:w="1559" w:type="dxa"/>
            <w:tcBorders>
              <w:right w:val="single" w:sz="36" w:space="0" w:color="auto"/>
            </w:tcBorders>
          </w:tcPr>
          <w:p w14:paraId="39D3864D" w14:textId="77777777" w:rsidR="007232E5" w:rsidRPr="004B61EA" w:rsidRDefault="007232E5" w:rsidP="001E087E">
            <w:pPr>
              <w:pStyle w:val="NoSpacing"/>
              <w:rPr>
                <w:rFonts w:ascii="Arial" w:hAnsi="Arial" w:cs="Arial"/>
                <w:sz w:val="24"/>
                <w:szCs w:val="24"/>
                <w:lang w:val="en-US"/>
              </w:rPr>
            </w:pPr>
          </w:p>
        </w:tc>
        <w:tc>
          <w:tcPr>
            <w:tcW w:w="2126" w:type="dxa"/>
            <w:tcBorders>
              <w:top w:val="single" w:sz="12" w:space="0" w:color="auto"/>
              <w:left w:val="single" w:sz="36" w:space="0" w:color="auto"/>
              <w:bottom w:val="single" w:sz="12" w:space="0" w:color="auto"/>
              <w:right w:val="single" w:sz="12" w:space="0" w:color="auto"/>
            </w:tcBorders>
          </w:tcPr>
          <w:p w14:paraId="02D3F7D1" w14:textId="77777777" w:rsidR="007232E5" w:rsidRPr="004B61EA" w:rsidRDefault="007232E5" w:rsidP="001E087E">
            <w:pPr>
              <w:pStyle w:val="NoSpacing"/>
              <w:rPr>
                <w:rFonts w:ascii="Arial" w:hAnsi="Arial" w:cs="Arial"/>
                <w:sz w:val="24"/>
                <w:szCs w:val="24"/>
                <w:lang w:val="en-US"/>
              </w:rPr>
            </w:pPr>
          </w:p>
        </w:tc>
      </w:tr>
      <w:tr w:rsidR="00C52D4C" w:rsidRPr="004B61EA" w14:paraId="2E7D41A6" w14:textId="77777777" w:rsidTr="0022618D">
        <w:tc>
          <w:tcPr>
            <w:tcW w:w="1951" w:type="dxa"/>
          </w:tcPr>
          <w:p w14:paraId="003B9122"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Smoker</w:t>
            </w:r>
          </w:p>
        </w:tc>
        <w:tc>
          <w:tcPr>
            <w:tcW w:w="2552" w:type="dxa"/>
          </w:tcPr>
          <w:p w14:paraId="083B754F"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50 (7.54)</w:t>
            </w:r>
          </w:p>
        </w:tc>
        <w:tc>
          <w:tcPr>
            <w:tcW w:w="2551" w:type="dxa"/>
          </w:tcPr>
          <w:p w14:paraId="6C1014C4"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74 (3.73)</w:t>
            </w:r>
          </w:p>
        </w:tc>
        <w:tc>
          <w:tcPr>
            <w:tcW w:w="2410" w:type="dxa"/>
            <w:tcBorders>
              <w:right w:val="single" w:sz="36" w:space="0" w:color="auto"/>
            </w:tcBorders>
          </w:tcPr>
          <w:p w14:paraId="3FF98CD8"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17 (2.57)</w:t>
            </w:r>
          </w:p>
        </w:tc>
        <w:tc>
          <w:tcPr>
            <w:tcW w:w="1559" w:type="dxa"/>
            <w:tcBorders>
              <w:right w:val="single" w:sz="36" w:space="0" w:color="auto"/>
            </w:tcBorders>
          </w:tcPr>
          <w:p w14:paraId="639D0984" w14:textId="6C133CD2" w:rsidR="007232E5" w:rsidRPr="004B61EA" w:rsidRDefault="007232E5" w:rsidP="001E087E">
            <w:pPr>
              <w:pStyle w:val="NoSpacing"/>
              <w:rPr>
                <w:rFonts w:ascii="Arial" w:hAnsi="Arial" w:cs="Arial"/>
                <w:sz w:val="24"/>
                <w:szCs w:val="24"/>
              </w:rPr>
            </w:pPr>
            <w:r w:rsidRPr="004B61EA">
              <w:rPr>
                <w:rFonts w:ascii="Arial" w:hAnsi="Arial" w:cs="Arial"/>
                <w:sz w:val="24"/>
                <w:szCs w:val="24"/>
              </w:rPr>
              <w:t>&lt;0.0</w:t>
            </w:r>
            <w:r w:rsidR="004946E4" w:rsidRPr="004B61EA">
              <w:rPr>
                <w:rFonts w:ascii="Arial" w:hAnsi="Arial" w:cs="Arial"/>
                <w:sz w:val="24"/>
                <w:szCs w:val="24"/>
              </w:rPr>
              <w:t>0</w:t>
            </w:r>
            <w:r w:rsidRPr="004B61EA">
              <w:rPr>
                <w:rFonts w:ascii="Arial" w:hAnsi="Arial" w:cs="Arial"/>
                <w:sz w:val="24"/>
                <w:szCs w:val="24"/>
              </w:rPr>
              <w:t>1</w:t>
            </w:r>
          </w:p>
        </w:tc>
        <w:tc>
          <w:tcPr>
            <w:tcW w:w="2126" w:type="dxa"/>
            <w:tcBorders>
              <w:top w:val="single" w:sz="12" w:space="0" w:color="auto"/>
              <w:left w:val="single" w:sz="36" w:space="0" w:color="auto"/>
              <w:bottom w:val="single" w:sz="12" w:space="0" w:color="auto"/>
              <w:right w:val="single" w:sz="12" w:space="0" w:color="auto"/>
            </w:tcBorders>
          </w:tcPr>
          <w:p w14:paraId="1A82FEFF"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141 (4.26)</w:t>
            </w:r>
          </w:p>
        </w:tc>
      </w:tr>
      <w:tr w:rsidR="00C52D4C" w:rsidRPr="004B61EA" w14:paraId="6CACD430" w14:textId="77777777" w:rsidTr="0022618D">
        <w:tc>
          <w:tcPr>
            <w:tcW w:w="1951" w:type="dxa"/>
          </w:tcPr>
          <w:p w14:paraId="4D5D8B5B" w14:textId="77777777" w:rsidR="007232E5" w:rsidRPr="004B61EA" w:rsidRDefault="007232E5" w:rsidP="001E087E">
            <w:pPr>
              <w:pStyle w:val="NoSpacing"/>
              <w:rPr>
                <w:rFonts w:ascii="Arial" w:hAnsi="Arial" w:cs="Arial"/>
                <w:sz w:val="24"/>
                <w:szCs w:val="24"/>
              </w:rPr>
            </w:pPr>
          </w:p>
        </w:tc>
        <w:tc>
          <w:tcPr>
            <w:tcW w:w="2552" w:type="dxa"/>
          </w:tcPr>
          <w:p w14:paraId="18B7F216" w14:textId="77777777" w:rsidR="007232E5" w:rsidRPr="004B61EA" w:rsidRDefault="007232E5" w:rsidP="001E087E">
            <w:pPr>
              <w:pStyle w:val="NoSpacing"/>
              <w:rPr>
                <w:rFonts w:ascii="Arial" w:hAnsi="Arial" w:cs="Arial"/>
                <w:sz w:val="24"/>
                <w:szCs w:val="24"/>
              </w:rPr>
            </w:pPr>
          </w:p>
        </w:tc>
        <w:tc>
          <w:tcPr>
            <w:tcW w:w="2551" w:type="dxa"/>
          </w:tcPr>
          <w:p w14:paraId="63CEE92B" w14:textId="77777777" w:rsidR="007232E5" w:rsidRPr="004B61EA" w:rsidRDefault="007232E5" w:rsidP="001E087E">
            <w:pPr>
              <w:pStyle w:val="NoSpacing"/>
              <w:rPr>
                <w:rFonts w:ascii="Arial" w:hAnsi="Arial" w:cs="Arial"/>
                <w:sz w:val="24"/>
                <w:szCs w:val="24"/>
              </w:rPr>
            </w:pPr>
          </w:p>
        </w:tc>
        <w:tc>
          <w:tcPr>
            <w:tcW w:w="2410" w:type="dxa"/>
            <w:tcBorders>
              <w:right w:val="single" w:sz="36" w:space="0" w:color="auto"/>
            </w:tcBorders>
          </w:tcPr>
          <w:p w14:paraId="13D3F2C9" w14:textId="77777777" w:rsidR="007232E5" w:rsidRPr="004B61EA" w:rsidRDefault="007232E5" w:rsidP="001E087E">
            <w:pPr>
              <w:pStyle w:val="NoSpacing"/>
              <w:rPr>
                <w:rFonts w:ascii="Arial" w:hAnsi="Arial" w:cs="Arial"/>
                <w:sz w:val="24"/>
                <w:szCs w:val="24"/>
              </w:rPr>
            </w:pPr>
          </w:p>
        </w:tc>
        <w:tc>
          <w:tcPr>
            <w:tcW w:w="1559" w:type="dxa"/>
            <w:tcBorders>
              <w:right w:val="single" w:sz="36" w:space="0" w:color="auto"/>
            </w:tcBorders>
          </w:tcPr>
          <w:p w14:paraId="4515CC88" w14:textId="77777777" w:rsidR="007232E5" w:rsidRPr="004B61EA" w:rsidRDefault="007232E5" w:rsidP="001E087E">
            <w:pPr>
              <w:pStyle w:val="NoSpacing"/>
              <w:rPr>
                <w:rFonts w:ascii="Arial" w:hAnsi="Arial" w:cs="Arial"/>
                <w:sz w:val="24"/>
                <w:szCs w:val="24"/>
              </w:rPr>
            </w:pPr>
          </w:p>
        </w:tc>
        <w:tc>
          <w:tcPr>
            <w:tcW w:w="2126" w:type="dxa"/>
            <w:tcBorders>
              <w:top w:val="single" w:sz="12" w:space="0" w:color="auto"/>
              <w:left w:val="single" w:sz="36" w:space="0" w:color="auto"/>
              <w:bottom w:val="single" w:sz="12" w:space="0" w:color="auto"/>
              <w:right w:val="single" w:sz="12" w:space="0" w:color="auto"/>
            </w:tcBorders>
          </w:tcPr>
          <w:p w14:paraId="70544A21" w14:textId="77777777" w:rsidR="007232E5" w:rsidRPr="004B61EA" w:rsidRDefault="007232E5" w:rsidP="001E087E">
            <w:pPr>
              <w:pStyle w:val="NoSpacing"/>
              <w:rPr>
                <w:rFonts w:ascii="Arial" w:hAnsi="Arial" w:cs="Arial"/>
                <w:sz w:val="24"/>
                <w:szCs w:val="24"/>
              </w:rPr>
            </w:pPr>
          </w:p>
        </w:tc>
      </w:tr>
      <w:tr w:rsidR="00C52D4C" w:rsidRPr="004B61EA" w14:paraId="4E93B77C" w14:textId="77777777" w:rsidTr="0022618D">
        <w:tc>
          <w:tcPr>
            <w:tcW w:w="1951" w:type="dxa"/>
          </w:tcPr>
          <w:p w14:paraId="3D552D8C"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Any alcohol consumption</w:t>
            </w:r>
          </w:p>
        </w:tc>
        <w:tc>
          <w:tcPr>
            <w:tcW w:w="2552" w:type="dxa"/>
          </w:tcPr>
          <w:p w14:paraId="07C1344C"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40 (6.03)</w:t>
            </w:r>
          </w:p>
        </w:tc>
        <w:tc>
          <w:tcPr>
            <w:tcW w:w="2551" w:type="dxa"/>
          </w:tcPr>
          <w:p w14:paraId="19FFF252"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89 (4.48)</w:t>
            </w:r>
          </w:p>
        </w:tc>
        <w:tc>
          <w:tcPr>
            <w:tcW w:w="2410" w:type="dxa"/>
            <w:tcBorders>
              <w:right w:val="single" w:sz="36" w:space="0" w:color="auto"/>
            </w:tcBorders>
          </w:tcPr>
          <w:p w14:paraId="0AFFFBCC"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23 (3.47)</w:t>
            </w:r>
          </w:p>
        </w:tc>
        <w:tc>
          <w:tcPr>
            <w:tcW w:w="1559" w:type="dxa"/>
            <w:tcBorders>
              <w:right w:val="single" w:sz="36" w:space="0" w:color="auto"/>
            </w:tcBorders>
          </w:tcPr>
          <w:p w14:paraId="196B89F1"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0.03</w:t>
            </w:r>
          </w:p>
        </w:tc>
        <w:tc>
          <w:tcPr>
            <w:tcW w:w="2126" w:type="dxa"/>
            <w:tcBorders>
              <w:top w:val="single" w:sz="12" w:space="0" w:color="auto"/>
              <w:left w:val="single" w:sz="36" w:space="0" w:color="auto"/>
              <w:bottom w:val="single" w:sz="12" w:space="0" w:color="auto"/>
              <w:right w:val="single" w:sz="12" w:space="0" w:color="auto"/>
            </w:tcBorders>
          </w:tcPr>
          <w:p w14:paraId="4D97AB4E"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152 (4.59)</w:t>
            </w:r>
          </w:p>
        </w:tc>
      </w:tr>
      <w:tr w:rsidR="00C52D4C" w:rsidRPr="004B61EA" w14:paraId="63C0C8EC" w14:textId="77777777" w:rsidTr="0022618D">
        <w:tc>
          <w:tcPr>
            <w:tcW w:w="1951" w:type="dxa"/>
          </w:tcPr>
          <w:p w14:paraId="673E4C59" w14:textId="77777777" w:rsidR="007232E5" w:rsidRPr="004B61EA" w:rsidRDefault="007232E5" w:rsidP="001E087E">
            <w:pPr>
              <w:pStyle w:val="NoSpacing"/>
              <w:rPr>
                <w:rFonts w:ascii="Arial" w:hAnsi="Arial" w:cs="Arial"/>
                <w:sz w:val="24"/>
                <w:szCs w:val="24"/>
              </w:rPr>
            </w:pPr>
          </w:p>
        </w:tc>
        <w:tc>
          <w:tcPr>
            <w:tcW w:w="2552" w:type="dxa"/>
          </w:tcPr>
          <w:p w14:paraId="5C03E33F" w14:textId="77777777" w:rsidR="007232E5" w:rsidRPr="004B61EA" w:rsidRDefault="007232E5" w:rsidP="001E087E">
            <w:pPr>
              <w:pStyle w:val="NoSpacing"/>
              <w:rPr>
                <w:rFonts w:ascii="Arial" w:hAnsi="Arial" w:cs="Arial"/>
                <w:sz w:val="24"/>
                <w:szCs w:val="24"/>
              </w:rPr>
            </w:pPr>
          </w:p>
        </w:tc>
        <w:tc>
          <w:tcPr>
            <w:tcW w:w="2551" w:type="dxa"/>
          </w:tcPr>
          <w:p w14:paraId="1C31DDD4" w14:textId="77777777" w:rsidR="007232E5" w:rsidRPr="004B61EA" w:rsidRDefault="007232E5" w:rsidP="001E087E">
            <w:pPr>
              <w:pStyle w:val="NoSpacing"/>
              <w:rPr>
                <w:rFonts w:ascii="Arial" w:hAnsi="Arial" w:cs="Arial"/>
                <w:sz w:val="24"/>
                <w:szCs w:val="24"/>
              </w:rPr>
            </w:pPr>
          </w:p>
        </w:tc>
        <w:tc>
          <w:tcPr>
            <w:tcW w:w="2410" w:type="dxa"/>
            <w:tcBorders>
              <w:right w:val="single" w:sz="36" w:space="0" w:color="auto"/>
            </w:tcBorders>
          </w:tcPr>
          <w:p w14:paraId="4017BDBF" w14:textId="77777777" w:rsidR="007232E5" w:rsidRPr="004B61EA" w:rsidRDefault="007232E5" w:rsidP="001E087E">
            <w:pPr>
              <w:pStyle w:val="NoSpacing"/>
              <w:rPr>
                <w:rFonts w:ascii="Arial" w:hAnsi="Arial" w:cs="Arial"/>
                <w:sz w:val="24"/>
                <w:szCs w:val="24"/>
              </w:rPr>
            </w:pPr>
          </w:p>
        </w:tc>
        <w:tc>
          <w:tcPr>
            <w:tcW w:w="1559" w:type="dxa"/>
            <w:tcBorders>
              <w:right w:val="single" w:sz="36" w:space="0" w:color="auto"/>
            </w:tcBorders>
          </w:tcPr>
          <w:p w14:paraId="69D716E9" w14:textId="77777777" w:rsidR="007232E5" w:rsidRPr="004B61EA" w:rsidRDefault="007232E5" w:rsidP="001E087E">
            <w:pPr>
              <w:pStyle w:val="NoSpacing"/>
              <w:rPr>
                <w:rFonts w:ascii="Arial" w:hAnsi="Arial" w:cs="Arial"/>
                <w:sz w:val="24"/>
                <w:szCs w:val="24"/>
              </w:rPr>
            </w:pPr>
          </w:p>
        </w:tc>
        <w:tc>
          <w:tcPr>
            <w:tcW w:w="2126" w:type="dxa"/>
            <w:tcBorders>
              <w:top w:val="single" w:sz="12" w:space="0" w:color="auto"/>
              <w:left w:val="single" w:sz="36" w:space="0" w:color="auto"/>
              <w:bottom w:val="single" w:sz="12" w:space="0" w:color="auto"/>
              <w:right w:val="single" w:sz="12" w:space="0" w:color="auto"/>
            </w:tcBorders>
          </w:tcPr>
          <w:p w14:paraId="7B96D044" w14:textId="77777777" w:rsidR="007232E5" w:rsidRPr="004B61EA" w:rsidRDefault="007232E5" w:rsidP="001E087E">
            <w:pPr>
              <w:pStyle w:val="NoSpacing"/>
              <w:rPr>
                <w:rFonts w:ascii="Arial" w:hAnsi="Arial" w:cs="Arial"/>
                <w:sz w:val="24"/>
                <w:szCs w:val="24"/>
              </w:rPr>
            </w:pPr>
          </w:p>
        </w:tc>
      </w:tr>
      <w:tr w:rsidR="00C52D4C" w:rsidRPr="004B61EA" w14:paraId="2FF77495" w14:textId="77777777" w:rsidTr="0022618D">
        <w:tc>
          <w:tcPr>
            <w:tcW w:w="1951" w:type="dxa"/>
          </w:tcPr>
          <w:p w14:paraId="75E8E843"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White ethnicity</w:t>
            </w:r>
          </w:p>
        </w:tc>
        <w:tc>
          <w:tcPr>
            <w:tcW w:w="2552" w:type="dxa"/>
          </w:tcPr>
          <w:p w14:paraId="03234D14"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606 (93.66)</w:t>
            </w:r>
          </w:p>
        </w:tc>
        <w:tc>
          <w:tcPr>
            <w:tcW w:w="2551" w:type="dxa"/>
          </w:tcPr>
          <w:p w14:paraId="7C5099C1"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1855 (94.59)</w:t>
            </w:r>
          </w:p>
        </w:tc>
        <w:tc>
          <w:tcPr>
            <w:tcW w:w="2410" w:type="dxa"/>
            <w:tcBorders>
              <w:right w:val="single" w:sz="36" w:space="0" w:color="auto"/>
            </w:tcBorders>
          </w:tcPr>
          <w:p w14:paraId="3B2788BD"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631 (96.48)</w:t>
            </w:r>
          </w:p>
        </w:tc>
        <w:tc>
          <w:tcPr>
            <w:tcW w:w="1559" w:type="dxa"/>
            <w:tcBorders>
              <w:right w:val="single" w:sz="36" w:space="0" w:color="auto"/>
            </w:tcBorders>
          </w:tcPr>
          <w:p w14:paraId="76B57C5F"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0.02</w:t>
            </w:r>
          </w:p>
        </w:tc>
        <w:tc>
          <w:tcPr>
            <w:tcW w:w="2126" w:type="dxa"/>
            <w:tcBorders>
              <w:top w:val="single" w:sz="12" w:space="0" w:color="auto"/>
              <w:left w:val="single" w:sz="36" w:space="0" w:color="auto"/>
              <w:bottom w:val="single" w:sz="12" w:space="0" w:color="auto"/>
              <w:right w:val="single" w:sz="12" w:space="0" w:color="auto"/>
            </w:tcBorders>
          </w:tcPr>
          <w:p w14:paraId="2B712DD1"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3092 (94.79)</w:t>
            </w:r>
          </w:p>
        </w:tc>
      </w:tr>
      <w:tr w:rsidR="00C52D4C" w:rsidRPr="004B61EA" w14:paraId="0A431023" w14:textId="77777777" w:rsidTr="0022618D">
        <w:tc>
          <w:tcPr>
            <w:tcW w:w="1951" w:type="dxa"/>
          </w:tcPr>
          <w:p w14:paraId="434040CF"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Other</w:t>
            </w:r>
          </w:p>
        </w:tc>
        <w:tc>
          <w:tcPr>
            <w:tcW w:w="2552" w:type="dxa"/>
          </w:tcPr>
          <w:p w14:paraId="13032662"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41 (6.34)</w:t>
            </w:r>
          </w:p>
        </w:tc>
        <w:tc>
          <w:tcPr>
            <w:tcW w:w="2551" w:type="dxa"/>
          </w:tcPr>
          <w:p w14:paraId="7AE447A1"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106 (5.41)</w:t>
            </w:r>
          </w:p>
        </w:tc>
        <w:tc>
          <w:tcPr>
            <w:tcW w:w="2410" w:type="dxa"/>
            <w:tcBorders>
              <w:right w:val="single" w:sz="36" w:space="0" w:color="auto"/>
            </w:tcBorders>
          </w:tcPr>
          <w:p w14:paraId="229CD703"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23 (3.52)</w:t>
            </w:r>
          </w:p>
        </w:tc>
        <w:tc>
          <w:tcPr>
            <w:tcW w:w="1559" w:type="dxa"/>
            <w:tcBorders>
              <w:right w:val="single" w:sz="36" w:space="0" w:color="auto"/>
            </w:tcBorders>
          </w:tcPr>
          <w:p w14:paraId="75F15ABD" w14:textId="77777777" w:rsidR="007232E5" w:rsidRPr="004B61EA" w:rsidRDefault="007232E5" w:rsidP="001E087E">
            <w:pPr>
              <w:pStyle w:val="NoSpacing"/>
              <w:rPr>
                <w:rFonts w:ascii="Arial" w:hAnsi="Arial" w:cs="Arial"/>
                <w:sz w:val="24"/>
                <w:szCs w:val="24"/>
              </w:rPr>
            </w:pPr>
          </w:p>
        </w:tc>
        <w:tc>
          <w:tcPr>
            <w:tcW w:w="2126" w:type="dxa"/>
            <w:tcBorders>
              <w:top w:val="single" w:sz="12" w:space="0" w:color="auto"/>
              <w:left w:val="single" w:sz="36" w:space="0" w:color="auto"/>
              <w:bottom w:val="single" w:sz="12" w:space="0" w:color="auto"/>
              <w:right w:val="single" w:sz="12" w:space="0" w:color="auto"/>
            </w:tcBorders>
          </w:tcPr>
          <w:p w14:paraId="4732FDE5"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170</w:t>
            </w:r>
          </w:p>
        </w:tc>
      </w:tr>
      <w:tr w:rsidR="00C52D4C" w:rsidRPr="004B61EA" w14:paraId="71702A0F" w14:textId="77777777" w:rsidTr="0022618D">
        <w:tc>
          <w:tcPr>
            <w:tcW w:w="1951" w:type="dxa"/>
          </w:tcPr>
          <w:p w14:paraId="49CECF4E"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 xml:space="preserve">   Missing</w:t>
            </w:r>
          </w:p>
        </w:tc>
        <w:tc>
          <w:tcPr>
            <w:tcW w:w="2552" w:type="dxa"/>
          </w:tcPr>
          <w:p w14:paraId="1DF3ACD8"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16</w:t>
            </w:r>
          </w:p>
        </w:tc>
        <w:tc>
          <w:tcPr>
            <w:tcW w:w="2551" w:type="dxa"/>
          </w:tcPr>
          <w:p w14:paraId="283A9537"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25</w:t>
            </w:r>
          </w:p>
        </w:tc>
        <w:tc>
          <w:tcPr>
            <w:tcW w:w="2410" w:type="dxa"/>
            <w:tcBorders>
              <w:right w:val="single" w:sz="36" w:space="0" w:color="auto"/>
            </w:tcBorders>
          </w:tcPr>
          <w:p w14:paraId="6A7B220A"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8</w:t>
            </w:r>
          </w:p>
        </w:tc>
        <w:tc>
          <w:tcPr>
            <w:tcW w:w="1559" w:type="dxa"/>
            <w:tcBorders>
              <w:right w:val="single" w:sz="36" w:space="0" w:color="auto"/>
            </w:tcBorders>
          </w:tcPr>
          <w:p w14:paraId="10D5C947" w14:textId="77777777" w:rsidR="007232E5" w:rsidRPr="004B61EA" w:rsidRDefault="007232E5" w:rsidP="001E087E">
            <w:pPr>
              <w:pStyle w:val="NoSpacing"/>
              <w:rPr>
                <w:rFonts w:ascii="Arial" w:hAnsi="Arial" w:cs="Arial"/>
                <w:sz w:val="24"/>
                <w:szCs w:val="24"/>
              </w:rPr>
            </w:pPr>
          </w:p>
        </w:tc>
        <w:tc>
          <w:tcPr>
            <w:tcW w:w="2126" w:type="dxa"/>
            <w:tcBorders>
              <w:top w:val="single" w:sz="12" w:space="0" w:color="auto"/>
              <w:left w:val="single" w:sz="36" w:space="0" w:color="auto"/>
              <w:bottom w:val="single" w:sz="12" w:space="0" w:color="auto"/>
              <w:right w:val="single" w:sz="12" w:space="0" w:color="auto"/>
            </w:tcBorders>
          </w:tcPr>
          <w:p w14:paraId="749774FE"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49</w:t>
            </w:r>
          </w:p>
        </w:tc>
      </w:tr>
      <w:tr w:rsidR="00C52D4C" w:rsidRPr="004B61EA" w14:paraId="1CDD3740" w14:textId="77777777" w:rsidTr="0022618D">
        <w:tc>
          <w:tcPr>
            <w:tcW w:w="1951" w:type="dxa"/>
          </w:tcPr>
          <w:p w14:paraId="770A6FF7" w14:textId="77777777" w:rsidR="007232E5" w:rsidRPr="004B61EA" w:rsidRDefault="007232E5" w:rsidP="001E087E">
            <w:pPr>
              <w:pStyle w:val="NoSpacing"/>
              <w:rPr>
                <w:rFonts w:ascii="Arial" w:hAnsi="Arial" w:cs="Arial"/>
                <w:sz w:val="24"/>
                <w:szCs w:val="24"/>
              </w:rPr>
            </w:pPr>
          </w:p>
        </w:tc>
        <w:tc>
          <w:tcPr>
            <w:tcW w:w="2552" w:type="dxa"/>
          </w:tcPr>
          <w:p w14:paraId="667653EF" w14:textId="77777777" w:rsidR="007232E5" w:rsidRPr="004B61EA" w:rsidRDefault="007232E5" w:rsidP="001E087E">
            <w:pPr>
              <w:pStyle w:val="NoSpacing"/>
              <w:rPr>
                <w:rFonts w:ascii="Arial" w:hAnsi="Arial" w:cs="Arial"/>
                <w:sz w:val="24"/>
                <w:szCs w:val="24"/>
              </w:rPr>
            </w:pPr>
          </w:p>
        </w:tc>
        <w:tc>
          <w:tcPr>
            <w:tcW w:w="2551" w:type="dxa"/>
          </w:tcPr>
          <w:p w14:paraId="647EE5BE" w14:textId="77777777" w:rsidR="007232E5" w:rsidRPr="004B61EA" w:rsidRDefault="007232E5" w:rsidP="001E087E">
            <w:pPr>
              <w:pStyle w:val="NoSpacing"/>
              <w:rPr>
                <w:rFonts w:ascii="Arial" w:hAnsi="Arial" w:cs="Arial"/>
                <w:sz w:val="24"/>
                <w:szCs w:val="24"/>
              </w:rPr>
            </w:pPr>
          </w:p>
        </w:tc>
        <w:tc>
          <w:tcPr>
            <w:tcW w:w="2410" w:type="dxa"/>
            <w:tcBorders>
              <w:right w:val="single" w:sz="36" w:space="0" w:color="auto"/>
            </w:tcBorders>
          </w:tcPr>
          <w:p w14:paraId="734095C4" w14:textId="77777777" w:rsidR="007232E5" w:rsidRPr="004B61EA" w:rsidRDefault="007232E5" w:rsidP="001E087E">
            <w:pPr>
              <w:pStyle w:val="NoSpacing"/>
              <w:rPr>
                <w:rFonts w:ascii="Arial" w:hAnsi="Arial" w:cs="Arial"/>
                <w:sz w:val="24"/>
                <w:szCs w:val="24"/>
              </w:rPr>
            </w:pPr>
          </w:p>
        </w:tc>
        <w:tc>
          <w:tcPr>
            <w:tcW w:w="1559" w:type="dxa"/>
            <w:tcBorders>
              <w:right w:val="single" w:sz="36" w:space="0" w:color="auto"/>
            </w:tcBorders>
          </w:tcPr>
          <w:p w14:paraId="0FBE880D" w14:textId="77777777" w:rsidR="007232E5" w:rsidRPr="004B61EA" w:rsidRDefault="007232E5" w:rsidP="001E087E">
            <w:pPr>
              <w:pStyle w:val="NoSpacing"/>
              <w:rPr>
                <w:rFonts w:ascii="Arial" w:hAnsi="Arial" w:cs="Arial"/>
                <w:sz w:val="24"/>
                <w:szCs w:val="24"/>
              </w:rPr>
            </w:pPr>
          </w:p>
        </w:tc>
        <w:tc>
          <w:tcPr>
            <w:tcW w:w="2126" w:type="dxa"/>
            <w:tcBorders>
              <w:top w:val="single" w:sz="12" w:space="0" w:color="auto"/>
              <w:left w:val="single" w:sz="36" w:space="0" w:color="auto"/>
              <w:bottom w:val="single" w:sz="12" w:space="0" w:color="auto"/>
              <w:right w:val="single" w:sz="12" w:space="0" w:color="auto"/>
            </w:tcBorders>
          </w:tcPr>
          <w:p w14:paraId="1B761A57" w14:textId="77777777" w:rsidR="007232E5" w:rsidRPr="004B61EA" w:rsidRDefault="007232E5" w:rsidP="001E087E">
            <w:pPr>
              <w:pStyle w:val="NoSpacing"/>
              <w:rPr>
                <w:rFonts w:ascii="Arial" w:hAnsi="Arial" w:cs="Arial"/>
                <w:sz w:val="24"/>
                <w:szCs w:val="24"/>
              </w:rPr>
            </w:pPr>
          </w:p>
        </w:tc>
      </w:tr>
      <w:tr w:rsidR="00C52D4C" w:rsidRPr="004B61EA" w14:paraId="4CD0C682" w14:textId="77777777" w:rsidTr="0022618D">
        <w:tc>
          <w:tcPr>
            <w:tcW w:w="1951" w:type="dxa"/>
          </w:tcPr>
          <w:p w14:paraId="4C00AD47" w14:textId="77777777" w:rsidR="007232E5" w:rsidRPr="004B61EA" w:rsidRDefault="007232E5" w:rsidP="001E087E">
            <w:pPr>
              <w:pStyle w:val="NoSpacing"/>
              <w:rPr>
                <w:rFonts w:ascii="Arial" w:hAnsi="Arial" w:cs="Arial"/>
                <w:b/>
                <w:sz w:val="24"/>
                <w:szCs w:val="24"/>
              </w:rPr>
            </w:pPr>
            <w:r w:rsidRPr="004B61EA">
              <w:rPr>
                <w:rFonts w:ascii="Arial" w:hAnsi="Arial" w:cs="Arial"/>
                <w:b/>
                <w:sz w:val="24"/>
                <w:szCs w:val="24"/>
              </w:rPr>
              <w:t>Fetal or neonatal</w:t>
            </w:r>
          </w:p>
        </w:tc>
        <w:tc>
          <w:tcPr>
            <w:tcW w:w="2552" w:type="dxa"/>
          </w:tcPr>
          <w:p w14:paraId="51046325" w14:textId="77777777" w:rsidR="007232E5" w:rsidRPr="004B61EA" w:rsidRDefault="007232E5" w:rsidP="001E087E">
            <w:pPr>
              <w:pStyle w:val="NoSpacing"/>
              <w:rPr>
                <w:rFonts w:ascii="Arial" w:hAnsi="Arial" w:cs="Arial"/>
                <w:sz w:val="24"/>
                <w:szCs w:val="24"/>
              </w:rPr>
            </w:pPr>
          </w:p>
        </w:tc>
        <w:tc>
          <w:tcPr>
            <w:tcW w:w="2551" w:type="dxa"/>
          </w:tcPr>
          <w:p w14:paraId="305C60ED" w14:textId="77777777" w:rsidR="007232E5" w:rsidRPr="004B61EA" w:rsidRDefault="007232E5" w:rsidP="001E087E">
            <w:pPr>
              <w:pStyle w:val="NoSpacing"/>
              <w:rPr>
                <w:rFonts w:ascii="Arial" w:hAnsi="Arial" w:cs="Arial"/>
                <w:sz w:val="24"/>
                <w:szCs w:val="24"/>
              </w:rPr>
            </w:pPr>
          </w:p>
        </w:tc>
        <w:tc>
          <w:tcPr>
            <w:tcW w:w="2410" w:type="dxa"/>
            <w:tcBorders>
              <w:right w:val="single" w:sz="36" w:space="0" w:color="auto"/>
            </w:tcBorders>
          </w:tcPr>
          <w:p w14:paraId="62FF3FCF" w14:textId="77777777" w:rsidR="007232E5" w:rsidRPr="004B61EA" w:rsidRDefault="007232E5" w:rsidP="001E087E">
            <w:pPr>
              <w:pStyle w:val="NoSpacing"/>
              <w:rPr>
                <w:rFonts w:ascii="Arial" w:hAnsi="Arial" w:cs="Arial"/>
                <w:sz w:val="24"/>
                <w:szCs w:val="24"/>
              </w:rPr>
            </w:pPr>
          </w:p>
        </w:tc>
        <w:tc>
          <w:tcPr>
            <w:tcW w:w="1559" w:type="dxa"/>
            <w:tcBorders>
              <w:right w:val="single" w:sz="36" w:space="0" w:color="auto"/>
            </w:tcBorders>
          </w:tcPr>
          <w:p w14:paraId="753FCEA0" w14:textId="77777777" w:rsidR="007232E5" w:rsidRPr="004B61EA" w:rsidRDefault="007232E5" w:rsidP="001E087E">
            <w:pPr>
              <w:pStyle w:val="NoSpacing"/>
              <w:rPr>
                <w:rFonts w:ascii="Arial" w:hAnsi="Arial" w:cs="Arial"/>
                <w:sz w:val="24"/>
                <w:szCs w:val="24"/>
              </w:rPr>
            </w:pPr>
          </w:p>
        </w:tc>
        <w:tc>
          <w:tcPr>
            <w:tcW w:w="2126" w:type="dxa"/>
            <w:tcBorders>
              <w:top w:val="single" w:sz="12" w:space="0" w:color="auto"/>
              <w:left w:val="single" w:sz="36" w:space="0" w:color="auto"/>
              <w:bottom w:val="single" w:sz="12" w:space="0" w:color="auto"/>
              <w:right w:val="single" w:sz="12" w:space="0" w:color="auto"/>
            </w:tcBorders>
          </w:tcPr>
          <w:p w14:paraId="2BE6B594" w14:textId="77777777" w:rsidR="007232E5" w:rsidRPr="004B61EA" w:rsidRDefault="007232E5" w:rsidP="001E087E">
            <w:pPr>
              <w:pStyle w:val="NoSpacing"/>
              <w:rPr>
                <w:rFonts w:ascii="Arial" w:hAnsi="Arial" w:cs="Arial"/>
                <w:sz w:val="24"/>
                <w:szCs w:val="24"/>
              </w:rPr>
            </w:pPr>
          </w:p>
        </w:tc>
      </w:tr>
      <w:tr w:rsidR="00C52D4C" w:rsidRPr="004B61EA" w14:paraId="78FDB434" w14:textId="77777777" w:rsidTr="0022618D">
        <w:tc>
          <w:tcPr>
            <w:tcW w:w="1951" w:type="dxa"/>
          </w:tcPr>
          <w:p w14:paraId="005C379B"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 xml:space="preserve">   Sex of infant</w:t>
            </w:r>
          </w:p>
        </w:tc>
        <w:tc>
          <w:tcPr>
            <w:tcW w:w="2552" w:type="dxa"/>
          </w:tcPr>
          <w:p w14:paraId="6CCDE8A2" w14:textId="77777777" w:rsidR="007232E5" w:rsidRPr="004B61EA" w:rsidRDefault="007232E5" w:rsidP="001E087E">
            <w:pPr>
              <w:pStyle w:val="NoSpacing"/>
              <w:rPr>
                <w:rFonts w:ascii="Arial" w:hAnsi="Arial" w:cs="Arial"/>
                <w:sz w:val="24"/>
                <w:szCs w:val="24"/>
              </w:rPr>
            </w:pPr>
          </w:p>
        </w:tc>
        <w:tc>
          <w:tcPr>
            <w:tcW w:w="2551" w:type="dxa"/>
          </w:tcPr>
          <w:p w14:paraId="326278F4" w14:textId="77777777" w:rsidR="007232E5" w:rsidRPr="004B61EA" w:rsidRDefault="007232E5" w:rsidP="001E087E">
            <w:pPr>
              <w:pStyle w:val="NoSpacing"/>
              <w:rPr>
                <w:rFonts w:ascii="Arial" w:hAnsi="Arial" w:cs="Arial"/>
                <w:sz w:val="24"/>
                <w:szCs w:val="24"/>
              </w:rPr>
            </w:pPr>
          </w:p>
        </w:tc>
        <w:tc>
          <w:tcPr>
            <w:tcW w:w="2410" w:type="dxa"/>
            <w:tcBorders>
              <w:right w:val="single" w:sz="36" w:space="0" w:color="auto"/>
            </w:tcBorders>
          </w:tcPr>
          <w:p w14:paraId="06C6F24D" w14:textId="77777777" w:rsidR="007232E5" w:rsidRPr="004B61EA" w:rsidRDefault="007232E5" w:rsidP="001E087E">
            <w:pPr>
              <w:pStyle w:val="NoSpacing"/>
              <w:rPr>
                <w:rFonts w:ascii="Arial" w:hAnsi="Arial" w:cs="Arial"/>
                <w:sz w:val="24"/>
                <w:szCs w:val="24"/>
              </w:rPr>
            </w:pPr>
          </w:p>
        </w:tc>
        <w:tc>
          <w:tcPr>
            <w:tcW w:w="1559" w:type="dxa"/>
            <w:tcBorders>
              <w:right w:val="single" w:sz="36" w:space="0" w:color="auto"/>
            </w:tcBorders>
          </w:tcPr>
          <w:p w14:paraId="194A164B" w14:textId="589E1053" w:rsidR="007232E5" w:rsidRPr="004B61EA" w:rsidRDefault="007232E5" w:rsidP="001E087E">
            <w:pPr>
              <w:pStyle w:val="NoSpacing"/>
              <w:rPr>
                <w:rFonts w:ascii="Arial" w:hAnsi="Arial" w:cs="Arial"/>
                <w:sz w:val="24"/>
                <w:szCs w:val="24"/>
              </w:rPr>
            </w:pPr>
            <w:r w:rsidRPr="004B61EA">
              <w:rPr>
                <w:rFonts w:ascii="Arial" w:hAnsi="Arial" w:cs="Arial"/>
                <w:sz w:val="24"/>
                <w:szCs w:val="24"/>
              </w:rPr>
              <w:t>&lt;</w:t>
            </w:r>
            <w:r w:rsidR="004946E4" w:rsidRPr="004B61EA">
              <w:rPr>
                <w:rFonts w:ascii="Arial" w:hAnsi="Arial" w:cs="Arial"/>
                <w:sz w:val="24"/>
                <w:szCs w:val="24"/>
              </w:rPr>
              <w:t>0.00</w:t>
            </w:r>
            <w:r w:rsidRPr="004B61EA">
              <w:rPr>
                <w:rFonts w:ascii="Arial" w:hAnsi="Arial" w:cs="Arial"/>
                <w:sz w:val="24"/>
                <w:szCs w:val="24"/>
              </w:rPr>
              <w:t>1</w:t>
            </w:r>
          </w:p>
        </w:tc>
        <w:tc>
          <w:tcPr>
            <w:tcW w:w="2126" w:type="dxa"/>
            <w:tcBorders>
              <w:top w:val="single" w:sz="12" w:space="0" w:color="auto"/>
              <w:left w:val="single" w:sz="36" w:space="0" w:color="auto"/>
              <w:bottom w:val="single" w:sz="12" w:space="0" w:color="auto"/>
              <w:right w:val="single" w:sz="12" w:space="0" w:color="auto"/>
            </w:tcBorders>
          </w:tcPr>
          <w:p w14:paraId="4A45F611" w14:textId="77777777" w:rsidR="007232E5" w:rsidRPr="004B61EA" w:rsidRDefault="007232E5" w:rsidP="001E087E">
            <w:pPr>
              <w:pStyle w:val="NoSpacing"/>
              <w:rPr>
                <w:rFonts w:ascii="Arial" w:hAnsi="Arial" w:cs="Arial"/>
                <w:sz w:val="24"/>
                <w:szCs w:val="24"/>
              </w:rPr>
            </w:pPr>
          </w:p>
        </w:tc>
      </w:tr>
      <w:tr w:rsidR="00C52D4C" w:rsidRPr="004B61EA" w14:paraId="14FFA3C2" w14:textId="77777777" w:rsidTr="0022618D">
        <w:tc>
          <w:tcPr>
            <w:tcW w:w="1951" w:type="dxa"/>
          </w:tcPr>
          <w:p w14:paraId="37F71A6A"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 xml:space="preserve">      Male</w:t>
            </w:r>
          </w:p>
        </w:tc>
        <w:tc>
          <w:tcPr>
            <w:tcW w:w="2552" w:type="dxa"/>
          </w:tcPr>
          <w:p w14:paraId="1DBD2129"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300 (45.25)</w:t>
            </w:r>
          </w:p>
        </w:tc>
        <w:tc>
          <w:tcPr>
            <w:tcW w:w="2551" w:type="dxa"/>
          </w:tcPr>
          <w:p w14:paraId="7BADF4C3"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960 (48.34)</w:t>
            </w:r>
          </w:p>
        </w:tc>
        <w:tc>
          <w:tcPr>
            <w:tcW w:w="2410" w:type="dxa"/>
            <w:tcBorders>
              <w:right w:val="single" w:sz="36" w:space="0" w:color="auto"/>
            </w:tcBorders>
          </w:tcPr>
          <w:p w14:paraId="5B93D8FF"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391 (59.06)</w:t>
            </w:r>
          </w:p>
        </w:tc>
        <w:tc>
          <w:tcPr>
            <w:tcW w:w="1559" w:type="dxa"/>
            <w:tcBorders>
              <w:right w:val="single" w:sz="36" w:space="0" w:color="auto"/>
            </w:tcBorders>
          </w:tcPr>
          <w:p w14:paraId="51F887BA" w14:textId="77777777" w:rsidR="007232E5" w:rsidRPr="004B61EA" w:rsidRDefault="007232E5" w:rsidP="001E087E">
            <w:pPr>
              <w:pStyle w:val="NoSpacing"/>
              <w:rPr>
                <w:rFonts w:ascii="Arial" w:hAnsi="Arial" w:cs="Arial"/>
                <w:sz w:val="24"/>
                <w:szCs w:val="24"/>
              </w:rPr>
            </w:pPr>
          </w:p>
        </w:tc>
        <w:tc>
          <w:tcPr>
            <w:tcW w:w="2126" w:type="dxa"/>
            <w:tcBorders>
              <w:top w:val="single" w:sz="12" w:space="0" w:color="auto"/>
              <w:left w:val="single" w:sz="36" w:space="0" w:color="auto"/>
              <w:bottom w:val="single" w:sz="12" w:space="0" w:color="auto"/>
              <w:right w:val="single" w:sz="12" w:space="0" w:color="auto"/>
            </w:tcBorders>
          </w:tcPr>
          <w:p w14:paraId="467BC349"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1651 (49.86)</w:t>
            </w:r>
          </w:p>
        </w:tc>
      </w:tr>
      <w:tr w:rsidR="00C52D4C" w:rsidRPr="004B61EA" w14:paraId="41AF2B3C" w14:textId="77777777" w:rsidTr="0022618D">
        <w:tc>
          <w:tcPr>
            <w:tcW w:w="1951" w:type="dxa"/>
          </w:tcPr>
          <w:p w14:paraId="2E3A13F5"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 xml:space="preserve">      Female</w:t>
            </w:r>
          </w:p>
        </w:tc>
        <w:tc>
          <w:tcPr>
            <w:tcW w:w="2552" w:type="dxa"/>
          </w:tcPr>
          <w:p w14:paraId="051C669D"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363 (54.75)</w:t>
            </w:r>
          </w:p>
        </w:tc>
        <w:tc>
          <w:tcPr>
            <w:tcW w:w="2551" w:type="dxa"/>
          </w:tcPr>
          <w:p w14:paraId="2D9948E3"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1026 (51.66)</w:t>
            </w:r>
          </w:p>
        </w:tc>
        <w:tc>
          <w:tcPr>
            <w:tcW w:w="2410" w:type="dxa"/>
            <w:tcBorders>
              <w:right w:val="single" w:sz="36" w:space="0" w:color="auto"/>
            </w:tcBorders>
          </w:tcPr>
          <w:p w14:paraId="6C8DFA9D"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271 (40.94)</w:t>
            </w:r>
          </w:p>
        </w:tc>
        <w:tc>
          <w:tcPr>
            <w:tcW w:w="1559" w:type="dxa"/>
            <w:tcBorders>
              <w:right w:val="single" w:sz="36" w:space="0" w:color="auto"/>
            </w:tcBorders>
          </w:tcPr>
          <w:p w14:paraId="1DD4442F" w14:textId="77777777" w:rsidR="007232E5" w:rsidRPr="004B61EA" w:rsidRDefault="007232E5" w:rsidP="001E087E">
            <w:pPr>
              <w:pStyle w:val="NoSpacing"/>
              <w:rPr>
                <w:rFonts w:ascii="Arial" w:hAnsi="Arial" w:cs="Arial"/>
                <w:sz w:val="24"/>
                <w:szCs w:val="24"/>
              </w:rPr>
            </w:pPr>
          </w:p>
        </w:tc>
        <w:tc>
          <w:tcPr>
            <w:tcW w:w="2126" w:type="dxa"/>
            <w:tcBorders>
              <w:top w:val="single" w:sz="12" w:space="0" w:color="auto"/>
              <w:left w:val="single" w:sz="36" w:space="0" w:color="auto"/>
              <w:bottom w:val="single" w:sz="12" w:space="0" w:color="auto"/>
              <w:right w:val="single" w:sz="12" w:space="0" w:color="auto"/>
            </w:tcBorders>
          </w:tcPr>
          <w:p w14:paraId="73488F52"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1660 (50.14)</w:t>
            </w:r>
          </w:p>
        </w:tc>
      </w:tr>
      <w:tr w:rsidR="00C52D4C" w:rsidRPr="004B61EA" w14:paraId="077D20D0" w14:textId="77777777" w:rsidTr="0022618D">
        <w:tc>
          <w:tcPr>
            <w:tcW w:w="1951" w:type="dxa"/>
          </w:tcPr>
          <w:p w14:paraId="781A6CBE" w14:textId="77777777" w:rsidR="007232E5" w:rsidRPr="004B61EA" w:rsidRDefault="007232E5" w:rsidP="001E087E">
            <w:pPr>
              <w:pStyle w:val="NoSpacing"/>
              <w:rPr>
                <w:rFonts w:ascii="Arial" w:hAnsi="Arial" w:cs="Arial"/>
                <w:sz w:val="24"/>
                <w:szCs w:val="24"/>
              </w:rPr>
            </w:pPr>
          </w:p>
        </w:tc>
        <w:tc>
          <w:tcPr>
            <w:tcW w:w="2552" w:type="dxa"/>
          </w:tcPr>
          <w:p w14:paraId="28CAADF6" w14:textId="77777777" w:rsidR="007232E5" w:rsidRPr="004B61EA" w:rsidRDefault="007232E5" w:rsidP="001E087E">
            <w:pPr>
              <w:pStyle w:val="NoSpacing"/>
              <w:rPr>
                <w:rFonts w:ascii="Arial" w:hAnsi="Arial" w:cs="Arial"/>
                <w:sz w:val="24"/>
                <w:szCs w:val="24"/>
              </w:rPr>
            </w:pPr>
          </w:p>
        </w:tc>
        <w:tc>
          <w:tcPr>
            <w:tcW w:w="2551" w:type="dxa"/>
          </w:tcPr>
          <w:p w14:paraId="02807071" w14:textId="77777777" w:rsidR="007232E5" w:rsidRPr="004B61EA" w:rsidRDefault="007232E5" w:rsidP="001E087E">
            <w:pPr>
              <w:pStyle w:val="NoSpacing"/>
              <w:rPr>
                <w:rFonts w:ascii="Arial" w:hAnsi="Arial" w:cs="Arial"/>
                <w:sz w:val="24"/>
                <w:szCs w:val="24"/>
              </w:rPr>
            </w:pPr>
          </w:p>
        </w:tc>
        <w:tc>
          <w:tcPr>
            <w:tcW w:w="2410" w:type="dxa"/>
            <w:tcBorders>
              <w:right w:val="single" w:sz="36" w:space="0" w:color="auto"/>
            </w:tcBorders>
          </w:tcPr>
          <w:p w14:paraId="146649C3" w14:textId="77777777" w:rsidR="007232E5" w:rsidRPr="004B61EA" w:rsidRDefault="007232E5" w:rsidP="001E087E">
            <w:pPr>
              <w:pStyle w:val="NoSpacing"/>
              <w:rPr>
                <w:rFonts w:ascii="Arial" w:hAnsi="Arial" w:cs="Arial"/>
                <w:sz w:val="24"/>
                <w:szCs w:val="24"/>
              </w:rPr>
            </w:pPr>
          </w:p>
        </w:tc>
        <w:tc>
          <w:tcPr>
            <w:tcW w:w="1559" w:type="dxa"/>
            <w:tcBorders>
              <w:right w:val="single" w:sz="36" w:space="0" w:color="auto"/>
            </w:tcBorders>
          </w:tcPr>
          <w:p w14:paraId="332885D9" w14:textId="77777777" w:rsidR="007232E5" w:rsidRPr="004B61EA" w:rsidRDefault="007232E5" w:rsidP="001E087E">
            <w:pPr>
              <w:pStyle w:val="NoSpacing"/>
              <w:rPr>
                <w:rFonts w:ascii="Arial" w:hAnsi="Arial" w:cs="Arial"/>
                <w:sz w:val="24"/>
                <w:szCs w:val="24"/>
              </w:rPr>
            </w:pPr>
          </w:p>
        </w:tc>
        <w:tc>
          <w:tcPr>
            <w:tcW w:w="2126" w:type="dxa"/>
            <w:tcBorders>
              <w:top w:val="single" w:sz="12" w:space="0" w:color="auto"/>
              <w:left w:val="single" w:sz="36" w:space="0" w:color="auto"/>
              <w:bottom w:val="single" w:sz="12" w:space="0" w:color="auto"/>
              <w:right w:val="single" w:sz="12" w:space="0" w:color="auto"/>
            </w:tcBorders>
          </w:tcPr>
          <w:p w14:paraId="34A3B5AB" w14:textId="77777777" w:rsidR="007232E5" w:rsidRPr="004B61EA" w:rsidRDefault="007232E5" w:rsidP="001E087E">
            <w:pPr>
              <w:pStyle w:val="NoSpacing"/>
              <w:rPr>
                <w:rFonts w:ascii="Arial" w:hAnsi="Arial" w:cs="Arial"/>
                <w:sz w:val="24"/>
                <w:szCs w:val="24"/>
              </w:rPr>
            </w:pPr>
          </w:p>
        </w:tc>
      </w:tr>
      <w:tr w:rsidR="00C52D4C" w:rsidRPr="004B61EA" w14:paraId="05960EB6" w14:textId="77777777" w:rsidTr="0022618D">
        <w:tc>
          <w:tcPr>
            <w:tcW w:w="1951" w:type="dxa"/>
          </w:tcPr>
          <w:p w14:paraId="66608E2C"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 xml:space="preserve">   Birth weight (grams)</w:t>
            </w:r>
          </w:p>
        </w:tc>
        <w:tc>
          <w:tcPr>
            <w:tcW w:w="2552" w:type="dxa"/>
          </w:tcPr>
          <w:p w14:paraId="213B1A2F"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3460 (3170-3770)</w:t>
            </w:r>
          </w:p>
        </w:tc>
        <w:tc>
          <w:tcPr>
            <w:tcW w:w="2551" w:type="dxa"/>
          </w:tcPr>
          <w:p w14:paraId="73683BA3"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3450 (3160-3750)</w:t>
            </w:r>
          </w:p>
        </w:tc>
        <w:tc>
          <w:tcPr>
            <w:tcW w:w="2410" w:type="dxa"/>
            <w:tcBorders>
              <w:right w:val="single" w:sz="36" w:space="0" w:color="auto"/>
            </w:tcBorders>
          </w:tcPr>
          <w:p w14:paraId="00C4CFC2"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3428 (3115-3740)</w:t>
            </w:r>
          </w:p>
        </w:tc>
        <w:tc>
          <w:tcPr>
            <w:tcW w:w="1559" w:type="dxa"/>
            <w:tcBorders>
              <w:right w:val="single" w:sz="36" w:space="0" w:color="auto"/>
            </w:tcBorders>
          </w:tcPr>
          <w:p w14:paraId="1962FC8D" w14:textId="0813AD0B" w:rsidR="007232E5" w:rsidRPr="004B61EA" w:rsidRDefault="007232E5" w:rsidP="001E087E">
            <w:pPr>
              <w:pStyle w:val="NoSpacing"/>
              <w:rPr>
                <w:rFonts w:ascii="Arial" w:hAnsi="Arial" w:cs="Arial"/>
                <w:sz w:val="24"/>
                <w:szCs w:val="24"/>
              </w:rPr>
            </w:pPr>
            <w:r w:rsidRPr="004B61EA">
              <w:rPr>
                <w:rFonts w:ascii="Arial" w:hAnsi="Arial" w:cs="Arial"/>
                <w:sz w:val="24"/>
                <w:szCs w:val="24"/>
              </w:rPr>
              <w:t>0.</w:t>
            </w:r>
            <w:r w:rsidR="008F0610" w:rsidRPr="004B61EA">
              <w:rPr>
                <w:rFonts w:ascii="Arial" w:hAnsi="Arial" w:cs="Arial"/>
                <w:sz w:val="24"/>
                <w:szCs w:val="24"/>
              </w:rPr>
              <w:t>1</w:t>
            </w:r>
            <w:r w:rsidRPr="004B61EA">
              <w:rPr>
                <w:rFonts w:ascii="Arial" w:hAnsi="Arial" w:cs="Arial"/>
                <w:sz w:val="24"/>
                <w:szCs w:val="24"/>
              </w:rPr>
              <w:t>9</w:t>
            </w:r>
          </w:p>
        </w:tc>
        <w:tc>
          <w:tcPr>
            <w:tcW w:w="2126" w:type="dxa"/>
            <w:tcBorders>
              <w:top w:val="single" w:sz="12" w:space="0" w:color="auto"/>
              <w:left w:val="single" w:sz="36" w:space="0" w:color="auto"/>
              <w:bottom w:val="single" w:sz="12" w:space="0" w:color="auto"/>
              <w:right w:val="single" w:sz="12" w:space="0" w:color="auto"/>
            </w:tcBorders>
          </w:tcPr>
          <w:p w14:paraId="057F741C"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3450 (3150-3725)</w:t>
            </w:r>
          </w:p>
        </w:tc>
      </w:tr>
      <w:tr w:rsidR="004358EA" w:rsidRPr="004B61EA" w14:paraId="2B1AA355" w14:textId="77777777" w:rsidTr="0022618D">
        <w:tc>
          <w:tcPr>
            <w:tcW w:w="1951" w:type="dxa"/>
          </w:tcPr>
          <w:p w14:paraId="119EA79F" w14:textId="77777777" w:rsidR="004358EA" w:rsidRPr="004B61EA" w:rsidRDefault="004358EA" w:rsidP="001E087E">
            <w:pPr>
              <w:pStyle w:val="NoSpacing"/>
              <w:rPr>
                <w:rFonts w:ascii="Arial" w:hAnsi="Arial" w:cs="Arial"/>
                <w:sz w:val="24"/>
                <w:szCs w:val="24"/>
              </w:rPr>
            </w:pPr>
          </w:p>
        </w:tc>
        <w:tc>
          <w:tcPr>
            <w:tcW w:w="2552" w:type="dxa"/>
          </w:tcPr>
          <w:p w14:paraId="0E91365D" w14:textId="77777777" w:rsidR="004358EA" w:rsidRPr="004B61EA" w:rsidRDefault="004358EA" w:rsidP="001E087E">
            <w:pPr>
              <w:pStyle w:val="NoSpacing"/>
              <w:rPr>
                <w:rFonts w:ascii="Arial" w:hAnsi="Arial" w:cs="Arial"/>
                <w:sz w:val="24"/>
                <w:szCs w:val="24"/>
              </w:rPr>
            </w:pPr>
          </w:p>
        </w:tc>
        <w:tc>
          <w:tcPr>
            <w:tcW w:w="2551" w:type="dxa"/>
          </w:tcPr>
          <w:p w14:paraId="73DF38B7" w14:textId="77777777" w:rsidR="004358EA" w:rsidRPr="004B61EA" w:rsidRDefault="004358EA" w:rsidP="001E087E">
            <w:pPr>
              <w:pStyle w:val="NoSpacing"/>
              <w:rPr>
                <w:rFonts w:ascii="Arial" w:hAnsi="Arial" w:cs="Arial"/>
                <w:sz w:val="24"/>
                <w:szCs w:val="24"/>
              </w:rPr>
            </w:pPr>
          </w:p>
        </w:tc>
        <w:tc>
          <w:tcPr>
            <w:tcW w:w="2410" w:type="dxa"/>
            <w:tcBorders>
              <w:right w:val="single" w:sz="36" w:space="0" w:color="auto"/>
            </w:tcBorders>
          </w:tcPr>
          <w:p w14:paraId="558FC7C1" w14:textId="77777777" w:rsidR="004358EA" w:rsidRPr="004B61EA" w:rsidRDefault="004358EA" w:rsidP="001E087E">
            <w:pPr>
              <w:pStyle w:val="NoSpacing"/>
              <w:rPr>
                <w:rFonts w:ascii="Arial" w:hAnsi="Arial" w:cs="Arial"/>
                <w:sz w:val="24"/>
                <w:szCs w:val="24"/>
              </w:rPr>
            </w:pPr>
          </w:p>
        </w:tc>
        <w:tc>
          <w:tcPr>
            <w:tcW w:w="1559" w:type="dxa"/>
            <w:tcBorders>
              <w:right w:val="single" w:sz="36" w:space="0" w:color="auto"/>
            </w:tcBorders>
          </w:tcPr>
          <w:p w14:paraId="07EF19F3" w14:textId="77777777" w:rsidR="004358EA" w:rsidRPr="004B61EA" w:rsidRDefault="004358EA" w:rsidP="001E087E">
            <w:pPr>
              <w:pStyle w:val="NoSpacing"/>
              <w:rPr>
                <w:rFonts w:ascii="Arial" w:hAnsi="Arial" w:cs="Arial"/>
                <w:sz w:val="24"/>
                <w:szCs w:val="24"/>
              </w:rPr>
            </w:pPr>
          </w:p>
        </w:tc>
        <w:tc>
          <w:tcPr>
            <w:tcW w:w="2126" w:type="dxa"/>
            <w:tcBorders>
              <w:top w:val="single" w:sz="12" w:space="0" w:color="auto"/>
              <w:left w:val="single" w:sz="36" w:space="0" w:color="auto"/>
              <w:bottom w:val="single" w:sz="12" w:space="0" w:color="auto"/>
              <w:right w:val="single" w:sz="12" w:space="0" w:color="auto"/>
            </w:tcBorders>
          </w:tcPr>
          <w:p w14:paraId="7AC322CA" w14:textId="77777777" w:rsidR="004358EA" w:rsidRPr="004B61EA" w:rsidRDefault="004358EA" w:rsidP="001E087E">
            <w:pPr>
              <w:pStyle w:val="NoSpacing"/>
              <w:rPr>
                <w:rFonts w:ascii="Arial" w:hAnsi="Arial" w:cs="Arial"/>
                <w:sz w:val="24"/>
                <w:szCs w:val="24"/>
              </w:rPr>
            </w:pPr>
          </w:p>
        </w:tc>
      </w:tr>
      <w:tr w:rsidR="004358EA" w:rsidRPr="004B61EA" w14:paraId="6792529F" w14:textId="77777777" w:rsidTr="0022618D">
        <w:tc>
          <w:tcPr>
            <w:tcW w:w="1951" w:type="dxa"/>
          </w:tcPr>
          <w:p w14:paraId="16951DB3" w14:textId="7D259029" w:rsidR="004358EA" w:rsidRPr="004B61EA" w:rsidRDefault="004358EA" w:rsidP="001E087E">
            <w:pPr>
              <w:pStyle w:val="NoSpacing"/>
              <w:rPr>
                <w:rFonts w:ascii="Arial" w:hAnsi="Arial" w:cs="Arial"/>
                <w:sz w:val="24"/>
                <w:szCs w:val="24"/>
              </w:rPr>
            </w:pPr>
            <w:r w:rsidRPr="004B61EA">
              <w:rPr>
                <w:rFonts w:ascii="Arial" w:hAnsi="Arial" w:cs="Arial"/>
                <w:sz w:val="24"/>
                <w:szCs w:val="24"/>
              </w:rPr>
              <w:t xml:space="preserve">   Mode of delivery</w:t>
            </w:r>
          </w:p>
        </w:tc>
        <w:tc>
          <w:tcPr>
            <w:tcW w:w="2552" w:type="dxa"/>
          </w:tcPr>
          <w:p w14:paraId="71A11785" w14:textId="77777777" w:rsidR="004358EA" w:rsidRPr="004B61EA" w:rsidRDefault="004358EA" w:rsidP="001E087E">
            <w:pPr>
              <w:pStyle w:val="NoSpacing"/>
              <w:rPr>
                <w:rFonts w:ascii="Arial" w:hAnsi="Arial" w:cs="Arial"/>
                <w:sz w:val="24"/>
                <w:szCs w:val="24"/>
              </w:rPr>
            </w:pPr>
          </w:p>
        </w:tc>
        <w:tc>
          <w:tcPr>
            <w:tcW w:w="2551" w:type="dxa"/>
          </w:tcPr>
          <w:p w14:paraId="4C102BB2" w14:textId="77777777" w:rsidR="004358EA" w:rsidRPr="004B61EA" w:rsidRDefault="004358EA" w:rsidP="001E087E">
            <w:pPr>
              <w:pStyle w:val="NoSpacing"/>
              <w:rPr>
                <w:rFonts w:ascii="Arial" w:hAnsi="Arial" w:cs="Arial"/>
                <w:sz w:val="24"/>
                <w:szCs w:val="24"/>
              </w:rPr>
            </w:pPr>
          </w:p>
        </w:tc>
        <w:tc>
          <w:tcPr>
            <w:tcW w:w="2410" w:type="dxa"/>
            <w:tcBorders>
              <w:right w:val="single" w:sz="36" w:space="0" w:color="auto"/>
            </w:tcBorders>
          </w:tcPr>
          <w:p w14:paraId="23693889" w14:textId="77777777" w:rsidR="004358EA" w:rsidRPr="004B61EA" w:rsidRDefault="004358EA" w:rsidP="001E087E">
            <w:pPr>
              <w:pStyle w:val="NoSpacing"/>
              <w:rPr>
                <w:rFonts w:ascii="Arial" w:hAnsi="Arial" w:cs="Arial"/>
                <w:sz w:val="24"/>
                <w:szCs w:val="24"/>
              </w:rPr>
            </w:pPr>
          </w:p>
        </w:tc>
        <w:tc>
          <w:tcPr>
            <w:tcW w:w="1559" w:type="dxa"/>
            <w:tcBorders>
              <w:right w:val="single" w:sz="36" w:space="0" w:color="auto"/>
            </w:tcBorders>
          </w:tcPr>
          <w:p w14:paraId="16AAB6B0" w14:textId="059AACED" w:rsidR="004358EA" w:rsidRPr="004B61EA" w:rsidRDefault="004358EA" w:rsidP="001E087E">
            <w:pPr>
              <w:pStyle w:val="NoSpacing"/>
              <w:rPr>
                <w:rFonts w:ascii="Arial" w:hAnsi="Arial" w:cs="Arial"/>
                <w:sz w:val="24"/>
                <w:szCs w:val="24"/>
              </w:rPr>
            </w:pPr>
            <w:r w:rsidRPr="004B61EA">
              <w:rPr>
                <w:rFonts w:ascii="Arial" w:hAnsi="Arial" w:cs="Arial"/>
                <w:sz w:val="24"/>
                <w:szCs w:val="24"/>
              </w:rPr>
              <w:t>0.03</w:t>
            </w:r>
          </w:p>
        </w:tc>
        <w:tc>
          <w:tcPr>
            <w:tcW w:w="2126" w:type="dxa"/>
            <w:tcBorders>
              <w:top w:val="single" w:sz="12" w:space="0" w:color="auto"/>
              <w:left w:val="single" w:sz="36" w:space="0" w:color="auto"/>
              <w:bottom w:val="single" w:sz="12" w:space="0" w:color="auto"/>
              <w:right w:val="single" w:sz="12" w:space="0" w:color="auto"/>
            </w:tcBorders>
          </w:tcPr>
          <w:p w14:paraId="2E2F4C64" w14:textId="77777777" w:rsidR="004358EA" w:rsidRPr="004B61EA" w:rsidRDefault="004358EA" w:rsidP="001E087E">
            <w:pPr>
              <w:pStyle w:val="NoSpacing"/>
              <w:rPr>
                <w:rFonts w:ascii="Arial" w:hAnsi="Arial" w:cs="Arial"/>
                <w:sz w:val="24"/>
                <w:szCs w:val="24"/>
              </w:rPr>
            </w:pPr>
          </w:p>
        </w:tc>
      </w:tr>
      <w:tr w:rsidR="00C52D4C" w:rsidRPr="004B61EA" w14:paraId="43D2D143" w14:textId="77777777" w:rsidTr="0022618D">
        <w:tc>
          <w:tcPr>
            <w:tcW w:w="1951" w:type="dxa"/>
          </w:tcPr>
          <w:p w14:paraId="68BEFE3F" w14:textId="25EA97CA" w:rsidR="007232E5" w:rsidRPr="004B61EA" w:rsidRDefault="004358EA" w:rsidP="001E087E">
            <w:pPr>
              <w:pStyle w:val="NoSpacing"/>
              <w:rPr>
                <w:rFonts w:ascii="Arial" w:hAnsi="Arial" w:cs="Arial"/>
                <w:sz w:val="24"/>
                <w:szCs w:val="24"/>
              </w:rPr>
            </w:pPr>
            <w:r w:rsidRPr="004B61EA">
              <w:rPr>
                <w:rFonts w:ascii="Arial" w:hAnsi="Arial" w:cs="Arial"/>
                <w:sz w:val="24"/>
                <w:szCs w:val="24"/>
              </w:rPr>
              <w:t xml:space="preserve">      Vaginal</w:t>
            </w:r>
          </w:p>
        </w:tc>
        <w:tc>
          <w:tcPr>
            <w:tcW w:w="2552" w:type="dxa"/>
          </w:tcPr>
          <w:p w14:paraId="022C99D5" w14:textId="387F8609" w:rsidR="007232E5" w:rsidRPr="004B61EA" w:rsidRDefault="004358EA" w:rsidP="001E087E">
            <w:pPr>
              <w:pStyle w:val="NoSpacing"/>
              <w:rPr>
                <w:rFonts w:ascii="Arial" w:hAnsi="Arial" w:cs="Arial"/>
                <w:sz w:val="24"/>
                <w:szCs w:val="24"/>
              </w:rPr>
            </w:pPr>
            <w:r w:rsidRPr="004B61EA">
              <w:rPr>
                <w:rFonts w:ascii="Arial" w:hAnsi="Arial" w:cs="Arial"/>
                <w:sz w:val="24"/>
                <w:szCs w:val="24"/>
              </w:rPr>
              <w:t>309 (46.68)</w:t>
            </w:r>
          </w:p>
        </w:tc>
        <w:tc>
          <w:tcPr>
            <w:tcW w:w="2551" w:type="dxa"/>
          </w:tcPr>
          <w:p w14:paraId="04164192" w14:textId="15459825" w:rsidR="007232E5" w:rsidRPr="004B61EA" w:rsidRDefault="004358EA" w:rsidP="001E087E">
            <w:pPr>
              <w:pStyle w:val="NoSpacing"/>
              <w:rPr>
                <w:rFonts w:ascii="Arial" w:hAnsi="Arial" w:cs="Arial"/>
                <w:sz w:val="24"/>
                <w:szCs w:val="24"/>
              </w:rPr>
            </w:pPr>
            <w:r w:rsidRPr="004B61EA">
              <w:rPr>
                <w:rFonts w:ascii="Arial" w:hAnsi="Arial" w:cs="Arial"/>
                <w:sz w:val="24"/>
                <w:szCs w:val="24"/>
              </w:rPr>
              <w:t>948 (47.85)</w:t>
            </w:r>
          </w:p>
        </w:tc>
        <w:tc>
          <w:tcPr>
            <w:tcW w:w="2410" w:type="dxa"/>
            <w:tcBorders>
              <w:right w:val="single" w:sz="36" w:space="0" w:color="auto"/>
            </w:tcBorders>
          </w:tcPr>
          <w:p w14:paraId="64DE3290" w14:textId="5BEF4493" w:rsidR="007232E5" w:rsidRPr="004B61EA" w:rsidRDefault="004358EA" w:rsidP="001E087E">
            <w:pPr>
              <w:pStyle w:val="NoSpacing"/>
              <w:rPr>
                <w:rFonts w:ascii="Arial" w:hAnsi="Arial" w:cs="Arial"/>
                <w:sz w:val="24"/>
                <w:szCs w:val="24"/>
              </w:rPr>
            </w:pPr>
            <w:r w:rsidRPr="004B61EA">
              <w:rPr>
                <w:rFonts w:ascii="Arial" w:hAnsi="Arial" w:cs="Arial"/>
                <w:sz w:val="24"/>
                <w:szCs w:val="24"/>
              </w:rPr>
              <w:t>351 (53.18)</w:t>
            </w:r>
          </w:p>
        </w:tc>
        <w:tc>
          <w:tcPr>
            <w:tcW w:w="1559" w:type="dxa"/>
            <w:tcBorders>
              <w:right w:val="single" w:sz="36" w:space="0" w:color="auto"/>
            </w:tcBorders>
          </w:tcPr>
          <w:p w14:paraId="3B46BBCF" w14:textId="77777777" w:rsidR="007232E5" w:rsidRPr="004B61EA" w:rsidRDefault="007232E5" w:rsidP="001E087E">
            <w:pPr>
              <w:pStyle w:val="NoSpacing"/>
              <w:rPr>
                <w:rFonts w:ascii="Arial" w:hAnsi="Arial" w:cs="Arial"/>
                <w:sz w:val="24"/>
                <w:szCs w:val="24"/>
              </w:rPr>
            </w:pPr>
          </w:p>
        </w:tc>
        <w:tc>
          <w:tcPr>
            <w:tcW w:w="2126" w:type="dxa"/>
            <w:tcBorders>
              <w:top w:val="single" w:sz="12" w:space="0" w:color="auto"/>
              <w:left w:val="single" w:sz="36" w:space="0" w:color="auto"/>
              <w:bottom w:val="single" w:sz="12" w:space="0" w:color="auto"/>
              <w:right w:val="single" w:sz="12" w:space="0" w:color="auto"/>
            </w:tcBorders>
          </w:tcPr>
          <w:p w14:paraId="239FC845" w14:textId="2700954B" w:rsidR="007232E5" w:rsidRPr="004B61EA" w:rsidRDefault="004358FE" w:rsidP="001E087E">
            <w:pPr>
              <w:pStyle w:val="NoSpacing"/>
              <w:rPr>
                <w:rFonts w:ascii="Arial" w:hAnsi="Arial" w:cs="Arial"/>
                <w:sz w:val="24"/>
                <w:szCs w:val="24"/>
              </w:rPr>
            </w:pPr>
            <w:r w:rsidRPr="004B61EA">
              <w:rPr>
                <w:rFonts w:ascii="Arial" w:hAnsi="Arial" w:cs="Arial"/>
                <w:sz w:val="24"/>
                <w:szCs w:val="24"/>
              </w:rPr>
              <w:t>1608</w:t>
            </w:r>
            <w:r w:rsidR="00B27AAE" w:rsidRPr="004B61EA">
              <w:rPr>
                <w:rFonts w:ascii="Arial" w:hAnsi="Arial" w:cs="Arial"/>
                <w:sz w:val="24"/>
                <w:szCs w:val="24"/>
              </w:rPr>
              <w:t xml:space="preserve"> (48.57)</w:t>
            </w:r>
          </w:p>
        </w:tc>
      </w:tr>
      <w:tr w:rsidR="004358EA" w:rsidRPr="004B61EA" w14:paraId="7560DFC4" w14:textId="77777777" w:rsidTr="004358EA">
        <w:tc>
          <w:tcPr>
            <w:tcW w:w="1951" w:type="dxa"/>
          </w:tcPr>
          <w:p w14:paraId="5E035BB1" w14:textId="17D3D4E1" w:rsidR="004358EA" w:rsidRPr="004B61EA" w:rsidRDefault="004358EA" w:rsidP="001E087E">
            <w:pPr>
              <w:pStyle w:val="NoSpacing"/>
              <w:rPr>
                <w:rFonts w:ascii="Arial" w:hAnsi="Arial" w:cs="Arial"/>
                <w:sz w:val="24"/>
                <w:szCs w:val="24"/>
              </w:rPr>
            </w:pPr>
            <w:r w:rsidRPr="004B61EA">
              <w:rPr>
                <w:rFonts w:ascii="Arial" w:hAnsi="Arial" w:cs="Arial"/>
                <w:sz w:val="24"/>
                <w:szCs w:val="24"/>
              </w:rPr>
              <w:t xml:space="preserve">      Assisted   vaginal</w:t>
            </w:r>
          </w:p>
        </w:tc>
        <w:tc>
          <w:tcPr>
            <w:tcW w:w="2552" w:type="dxa"/>
          </w:tcPr>
          <w:p w14:paraId="41E186D1" w14:textId="1FE36DAD" w:rsidR="004358EA" w:rsidRPr="004B61EA" w:rsidRDefault="004358EA" w:rsidP="001E087E">
            <w:pPr>
              <w:pStyle w:val="NoSpacing"/>
              <w:rPr>
                <w:rFonts w:ascii="Arial" w:hAnsi="Arial" w:cs="Arial"/>
                <w:sz w:val="24"/>
                <w:szCs w:val="24"/>
              </w:rPr>
            </w:pPr>
            <w:r w:rsidRPr="004B61EA">
              <w:rPr>
                <w:rFonts w:ascii="Arial" w:hAnsi="Arial" w:cs="Arial"/>
                <w:sz w:val="24"/>
                <w:szCs w:val="24"/>
              </w:rPr>
              <w:t>155 (23.41)</w:t>
            </w:r>
          </w:p>
        </w:tc>
        <w:tc>
          <w:tcPr>
            <w:tcW w:w="2551" w:type="dxa"/>
          </w:tcPr>
          <w:p w14:paraId="03FDE0E3" w14:textId="00DBABDC" w:rsidR="004358EA" w:rsidRPr="004B61EA" w:rsidRDefault="004358EA" w:rsidP="001E087E">
            <w:pPr>
              <w:pStyle w:val="NoSpacing"/>
              <w:rPr>
                <w:rFonts w:ascii="Arial" w:hAnsi="Arial" w:cs="Arial"/>
                <w:sz w:val="24"/>
                <w:szCs w:val="24"/>
              </w:rPr>
            </w:pPr>
            <w:r w:rsidRPr="004B61EA">
              <w:rPr>
                <w:rFonts w:ascii="Arial" w:hAnsi="Arial" w:cs="Arial"/>
                <w:sz w:val="24"/>
                <w:szCs w:val="24"/>
              </w:rPr>
              <w:t>494 (24.94)</w:t>
            </w:r>
          </w:p>
        </w:tc>
        <w:tc>
          <w:tcPr>
            <w:tcW w:w="2410" w:type="dxa"/>
            <w:tcBorders>
              <w:right w:val="single" w:sz="36" w:space="0" w:color="auto"/>
            </w:tcBorders>
          </w:tcPr>
          <w:p w14:paraId="3DA91997" w14:textId="1B8825B8" w:rsidR="004358EA" w:rsidRPr="004B61EA" w:rsidRDefault="004358EA" w:rsidP="001E087E">
            <w:pPr>
              <w:pStyle w:val="NoSpacing"/>
              <w:rPr>
                <w:rFonts w:ascii="Arial" w:hAnsi="Arial" w:cs="Arial"/>
                <w:sz w:val="24"/>
                <w:szCs w:val="24"/>
              </w:rPr>
            </w:pPr>
            <w:r w:rsidRPr="004B61EA">
              <w:rPr>
                <w:rFonts w:ascii="Arial" w:hAnsi="Arial" w:cs="Arial"/>
                <w:sz w:val="24"/>
                <w:szCs w:val="24"/>
              </w:rPr>
              <w:t>153 (23.18)</w:t>
            </w:r>
          </w:p>
        </w:tc>
        <w:tc>
          <w:tcPr>
            <w:tcW w:w="1559" w:type="dxa"/>
            <w:tcBorders>
              <w:right w:val="single" w:sz="36" w:space="0" w:color="auto"/>
            </w:tcBorders>
          </w:tcPr>
          <w:p w14:paraId="1B478761" w14:textId="77777777" w:rsidR="004358EA" w:rsidRPr="004B61EA" w:rsidRDefault="004358EA" w:rsidP="001E087E">
            <w:pPr>
              <w:pStyle w:val="NoSpacing"/>
              <w:rPr>
                <w:rFonts w:ascii="Arial" w:hAnsi="Arial" w:cs="Arial"/>
                <w:sz w:val="24"/>
                <w:szCs w:val="24"/>
              </w:rPr>
            </w:pPr>
          </w:p>
        </w:tc>
        <w:tc>
          <w:tcPr>
            <w:tcW w:w="2126" w:type="dxa"/>
            <w:tcBorders>
              <w:top w:val="single" w:sz="12" w:space="0" w:color="auto"/>
              <w:left w:val="single" w:sz="36" w:space="0" w:color="auto"/>
              <w:bottom w:val="single" w:sz="12" w:space="0" w:color="auto"/>
              <w:right w:val="single" w:sz="12" w:space="0" w:color="auto"/>
            </w:tcBorders>
          </w:tcPr>
          <w:p w14:paraId="22215FB1" w14:textId="3A04BACF" w:rsidR="004358EA" w:rsidRPr="004B61EA" w:rsidRDefault="00B27AAE" w:rsidP="001E087E">
            <w:pPr>
              <w:pStyle w:val="NoSpacing"/>
              <w:rPr>
                <w:rFonts w:ascii="Arial" w:hAnsi="Arial" w:cs="Arial"/>
                <w:sz w:val="24"/>
                <w:szCs w:val="24"/>
              </w:rPr>
            </w:pPr>
            <w:r w:rsidRPr="004B61EA">
              <w:rPr>
                <w:rFonts w:ascii="Arial" w:hAnsi="Arial" w:cs="Arial"/>
                <w:sz w:val="24"/>
                <w:szCs w:val="24"/>
              </w:rPr>
              <w:t>802 (24.22)</w:t>
            </w:r>
          </w:p>
        </w:tc>
      </w:tr>
      <w:tr w:rsidR="004358EA" w:rsidRPr="004B61EA" w14:paraId="374D0914" w14:textId="77777777" w:rsidTr="004358EA">
        <w:tc>
          <w:tcPr>
            <w:tcW w:w="1951" w:type="dxa"/>
          </w:tcPr>
          <w:p w14:paraId="12C34BD5" w14:textId="2E774D9D" w:rsidR="004358EA" w:rsidRPr="004B61EA" w:rsidRDefault="004358EA" w:rsidP="001E087E">
            <w:pPr>
              <w:pStyle w:val="NoSpacing"/>
              <w:rPr>
                <w:rFonts w:ascii="Arial" w:hAnsi="Arial" w:cs="Arial"/>
                <w:sz w:val="24"/>
                <w:szCs w:val="24"/>
              </w:rPr>
            </w:pPr>
            <w:r w:rsidRPr="004B61EA">
              <w:rPr>
                <w:rFonts w:ascii="Arial" w:hAnsi="Arial" w:cs="Arial"/>
                <w:sz w:val="24"/>
                <w:szCs w:val="24"/>
              </w:rPr>
              <w:t xml:space="preserve">      Intrapartum caesarean</w:t>
            </w:r>
          </w:p>
        </w:tc>
        <w:tc>
          <w:tcPr>
            <w:tcW w:w="2552" w:type="dxa"/>
          </w:tcPr>
          <w:p w14:paraId="6940E306" w14:textId="6CE723F8" w:rsidR="004358EA" w:rsidRPr="004B61EA" w:rsidRDefault="004358EA" w:rsidP="001E087E">
            <w:pPr>
              <w:pStyle w:val="NoSpacing"/>
              <w:rPr>
                <w:rFonts w:ascii="Arial" w:hAnsi="Arial" w:cs="Arial"/>
                <w:sz w:val="24"/>
                <w:szCs w:val="24"/>
              </w:rPr>
            </w:pPr>
            <w:r w:rsidRPr="004B61EA">
              <w:rPr>
                <w:rFonts w:ascii="Arial" w:hAnsi="Arial" w:cs="Arial"/>
                <w:sz w:val="24"/>
                <w:szCs w:val="24"/>
              </w:rPr>
              <w:t>154 (23.26)</w:t>
            </w:r>
          </w:p>
        </w:tc>
        <w:tc>
          <w:tcPr>
            <w:tcW w:w="2551" w:type="dxa"/>
          </w:tcPr>
          <w:p w14:paraId="7952434E" w14:textId="3C2BD08D" w:rsidR="004358EA" w:rsidRPr="004B61EA" w:rsidRDefault="004358EA" w:rsidP="001E087E">
            <w:pPr>
              <w:pStyle w:val="NoSpacing"/>
              <w:rPr>
                <w:rFonts w:ascii="Arial" w:hAnsi="Arial" w:cs="Arial"/>
                <w:sz w:val="24"/>
                <w:szCs w:val="24"/>
              </w:rPr>
            </w:pPr>
            <w:r w:rsidRPr="004B61EA">
              <w:rPr>
                <w:rFonts w:ascii="Arial" w:hAnsi="Arial" w:cs="Arial"/>
                <w:sz w:val="24"/>
                <w:szCs w:val="24"/>
              </w:rPr>
              <w:t>359 (18.12)</w:t>
            </w:r>
          </w:p>
        </w:tc>
        <w:tc>
          <w:tcPr>
            <w:tcW w:w="2410" w:type="dxa"/>
            <w:tcBorders>
              <w:right w:val="single" w:sz="36" w:space="0" w:color="auto"/>
            </w:tcBorders>
          </w:tcPr>
          <w:p w14:paraId="63ECF747" w14:textId="52167D83" w:rsidR="004358EA" w:rsidRPr="004B61EA" w:rsidRDefault="004358EA" w:rsidP="001E087E">
            <w:pPr>
              <w:pStyle w:val="NoSpacing"/>
              <w:rPr>
                <w:rFonts w:ascii="Arial" w:hAnsi="Arial" w:cs="Arial"/>
                <w:sz w:val="24"/>
                <w:szCs w:val="24"/>
              </w:rPr>
            </w:pPr>
            <w:r w:rsidRPr="004B61EA">
              <w:rPr>
                <w:rFonts w:ascii="Arial" w:hAnsi="Arial" w:cs="Arial"/>
                <w:sz w:val="24"/>
                <w:szCs w:val="24"/>
              </w:rPr>
              <w:t>91 (13.79)</w:t>
            </w:r>
          </w:p>
        </w:tc>
        <w:tc>
          <w:tcPr>
            <w:tcW w:w="1559" w:type="dxa"/>
            <w:tcBorders>
              <w:right w:val="single" w:sz="36" w:space="0" w:color="auto"/>
            </w:tcBorders>
          </w:tcPr>
          <w:p w14:paraId="14D74705" w14:textId="77777777" w:rsidR="004358EA" w:rsidRPr="004B61EA" w:rsidRDefault="004358EA" w:rsidP="001E087E">
            <w:pPr>
              <w:pStyle w:val="NoSpacing"/>
              <w:rPr>
                <w:rFonts w:ascii="Arial" w:hAnsi="Arial" w:cs="Arial"/>
                <w:sz w:val="24"/>
                <w:szCs w:val="24"/>
              </w:rPr>
            </w:pPr>
          </w:p>
        </w:tc>
        <w:tc>
          <w:tcPr>
            <w:tcW w:w="2126" w:type="dxa"/>
            <w:tcBorders>
              <w:top w:val="single" w:sz="12" w:space="0" w:color="auto"/>
              <w:left w:val="single" w:sz="36" w:space="0" w:color="auto"/>
              <w:bottom w:val="single" w:sz="12" w:space="0" w:color="auto"/>
              <w:right w:val="single" w:sz="12" w:space="0" w:color="auto"/>
            </w:tcBorders>
          </w:tcPr>
          <w:p w14:paraId="21CC57B2" w14:textId="7F5DAA9F" w:rsidR="004358EA" w:rsidRPr="004B61EA" w:rsidRDefault="00B27AAE" w:rsidP="001E087E">
            <w:pPr>
              <w:pStyle w:val="NoSpacing"/>
              <w:rPr>
                <w:rFonts w:ascii="Arial" w:hAnsi="Arial" w:cs="Arial"/>
                <w:sz w:val="24"/>
                <w:szCs w:val="24"/>
              </w:rPr>
            </w:pPr>
            <w:r w:rsidRPr="004B61EA">
              <w:rPr>
                <w:rFonts w:ascii="Arial" w:hAnsi="Arial" w:cs="Arial"/>
                <w:sz w:val="24"/>
                <w:szCs w:val="24"/>
              </w:rPr>
              <w:t>604 (18.24)</w:t>
            </w:r>
          </w:p>
        </w:tc>
      </w:tr>
      <w:tr w:rsidR="004358EA" w:rsidRPr="004B61EA" w14:paraId="7FA7A8ED" w14:textId="77777777" w:rsidTr="004358EA">
        <w:tc>
          <w:tcPr>
            <w:tcW w:w="1951" w:type="dxa"/>
          </w:tcPr>
          <w:p w14:paraId="79BDAC7F" w14:textId="5B4D2C38" w:rsidR="004358EA" w:rsidRPr="004B61EA" w:rsidRDefault="004358EA" w:rsidP="001E087E">
            <w:pPr>
              <w:pStyle w:val="NoSpacing"/>
              <w:rPr>
                <w:rFonts w:ascii="Arial" w:hAnsi="Arial" w:cs="Arial"/>
                <w:sz w:val="24"/>
                <w:szCs w:val="24"/>
              </w:rPr>
            </w:pPr>
            <w:r w:rsidRPr="004B61EA">
              <w:rPr>
                <w:rFonts w:ascii="Arial" w:hAnsi="Arial" w:cs="Arial"/>
                <w:sz w:val="24"/>
                <w:szCs w:val="24"/>
              </w:rPr>
              <w:t xml:space="preserve">      Pre-labour caesarean</w:t>
            </w:r>
          </w:p>
        </w:tc>
        <w:tc>
          <w:tcPr>
            <w:tcW w:w="2552" w:type="dxa"/>
          </w:tcPr>
          <w:p w14:paraId="7C8F6ADC" w14:textId="4C6AB9AA" w:rsidR="004358EA" w:rsidRPr="004B61EA" w:rsidRDefault="004358EA" w:rsidP="001E087E">
            <w:pPr>
              <w:pStyle w:val="NoSpacing"/>
              <w:rPr>
                <w:rFonts w:ascii="Arial" w:hAnsi="Arial" w:cs="Arial"/>
                <w:sz w:val="24"/>
                <w:szCs w:val="24"/>
              </w:rPr>
            </w:pPr>
            <w:r w:rsidRPr="004B61EA">
              <w:rPr>
                <w:rFonts w:ascii="Arial" w:hAnsi="Arial" w:cs="Arial"/>
                <w:sz w:val="24"/>
                <w:szCs w:val="24"/>
              </w:rPr>
              <w:t>44 (6.65)</w:t>
            </w:r>
          </w:p>
        </w:tc>
        <w:tc>
          <w:tcPr>
            <w:tcW w:w="2551" w:type="dxa"/>
          </w:tcPr>
          <w:p w14:paraId="25037B53" w14:textId="4613565E" w:rsidR="004358EA" w:rsidRPr="004B61EA" w:rsidRDefault="004358EA" w:rsidP="001E087E">
            <w:pPr>
              <w:pStyle w:val="NoSpacing"/>
              <w:rPr>
                <w:rFonts w:ascii="Arial" w:hAnsi="Arial" w:cs="Arial"/>
                <w:sz w:val="24"/>
                <w:szCs w:val="24"/>
              </w:rPr>
            </w:pPr>
            <w:r w:rsidRPr="004B61EA">
              <w:rPr>
                <w:rFonts w:ascii="Arial" w:hAnsi="Arial" w:cs="Arial"/>
                <w:sz w:val="24"/>
                <w:szCs w:val="24"/>
              </w:rPr>
              <w:t>180 (9.09)</w:t>
            </w:r>
          </w:p>
        </w:tc>
        <w:tc>
          <w:tcPr>
            <w:tcW w:w="2410" w:type="dxa"/>
            <w:tcBorders>
              <w:right w:val="single" w:sz="36" w:space="0" w:color="auto"/>
            </w:tcBorders>
          </w:tcPr>
          <w:p w14:paraId="119EED4E" w14:textId="68437C16" w:rsidR="004358EA" w:rsidRPr="004B61EA" w:rsidRDefault="004358EA" w:rsidP="001E087E">
            <w:pPr>
              <w:pStyle w:val="NoSpacing"/>
              <w:rPr>
                <w:rFonts w:ascii="Arial" w:hAnsi="Arial" w:cs="Arial"/>
                <w:sz w:val="24"/>
                <w:szCs w:val="24"/>
              </w:rPr>
            </w:pPr>
            <w:r w:rsidRPr="004B61EA">
              <w:rPr>
                <w:rFonts w:ascii="Arial" w:hAnsi="Arial" w:cs="Arial"/>
                <w:sz w:val="24"/>
                <w:szCs w:val="24"/>
              </w:rPr>
              <w:t>65 (9.85)</w:t>
            </w:r>
          </w:p>
        </w:tc>
        <w:tc>
          <w:tcPr>
            <w:tcW w:w="1559" w:type="dxa"/>
            <w:tcBorders>
              <w:right w:val="single" w:sz="36" w:space="0" w:color="auto"/>
            </w:tcBorders>
          </w:tcPr>
          <w:p w14:paraId="19028E1F" w14:textId="77777777" w:rsidR="004358EA" w:rsidRPr="004B61EA" w:rsidRDefault="004358EA" w:rsidP="001E087E">
            <w:pPr>
              <w:pStyle w:val="NoSpacing"/>
              <w:rPr>
                <w:rFonts w:ascii="Arial" w:hAnsi="Arial" w:cs="Arial"/>
                <w:sz w:val="24"/>
                <w:szCs w:val="24"/>
              </w:rPr>
            </w:pPr>
          </w:p>
        </w:tc>
        <w:tc>
          <w:tcPr>
            <w:tcW w:w="2126" w:type="dxa"/>
            <w:tcBorders>
              <w:top w:val="single" w:sz="12" w:space="0" w:color="auto"/>
              <w:left w:val="single" w:sz="36" w:space="0" w:color="auto"/>
              <w:bottom w:val="single" w:sz="12" w:space="0" w:color="auto"/>
              <w:right w:val="single" w:sz="12" w:space="0" w:color="auto"/>
            </w:tcBorders>
          </w:tcPr>
          <w:p w14:paraId="12130B5D" w14:textId="73AE544A" w:rsidR="004358EA" w:rsidRPr="004B61EA" w:rsidRDefault="00B27AAE" w:rsidP="001E087E">
            <w:pPr>
              <w:pStyle w:val="NoSpacing"/>
              <w:rPr>
                <w:rFonts w:ascii="Arial" w:hAnsi="Arial" w:cs="Arial"/>
                <w:sz w:val="24"/>
                <w:szCs w:val="24"/>
              </w:rPr>
            </w:pPr>
            <w:r w:rsidRPr="004B61EA">
              <w:rPr>
                <w:rFonts w:ascii="Arial" w:hAnsi="Arial" w:cs="Arial"/>
                <w:sz w:val="24"/>
                <w:szCs w:val="24"/>
              </w:rPr>
              <w:t>289 (8.73)</w:t>
            </w:r>
          </w:p>
        </w:tc>
      </w:tr>
      <w:tr w:rsidR="004358EA" w:rsidRPr="004B61EA" w14:paraId="73C6F386" w14:textId="77777777" w:rsidTr="004358EA">
        <w:tc>
          <w:tcPr>
            <w:tcW w:w="1951" w:type="dxa"/>
          </w:tcPr>
          <w:p w14:paraId="7F3BD8A1" w14:textId="20A4DF1E" w:rsidR="004358EA" w:rsidRPr="004B61EA" w:rsidRDefault="004358EA" w:rsidP="001E087E">
            <w:pPr>
              <w:pStyle w:val="NoSpacing"/>
              <w:rPr>
                <w:rFonts w:ascii="Arial" w:hAnsi="Arial" w:cs="Arial"/>
                <w:sz w:val="24"/>
                <w:szCs w:val="24"/>
              </w:rPr>
            </w:pPr>
            <w:r w:rsidRPr="004B61EA">
              <w:rPr>
                <w:rFonts w:ascii="Arial" w:hAnsi="Arial" w:cs="Arial"/>
                <w:sz w:val="24"/>
                <w:szCs w:val="24"/>
              </w:rPr>
              <w:t>Missing</w:t>
            </w:r>
          </w:p>
        </w:tc>
        <w:tc>
          <w:tcPr>
            <w:tcW w:w="2552" w:type="dxa"/>
          </w:tcPr>
          <w:p w14:paraId="35F28656" w14:textId="21DF4CBF" w:rsidR="004358EA" w:rsidRPr="004B61EA" w:rsidRDefault="004358EA" w:rsidP="001E087E">
            <w:pPr>
              <w:pStyle w:val="NoSpacing"/>
              <w:rPr>
                <w:rFonts w:ascii="Arial" w:hAnsi="Arial" w:cs="Arial"/>
                <w:sz w:val="24"/>
                <w:szCs w:val="24"/>
              </w:rPr>
            </w:pPr>
            <w:r w:rsidRPr="004B61EA">
              <w:rPr>
                <w:rFonts w:ascii="Arial" w:hAnsi="Arial" w:cs="Arial"/>
                <w:sz w:val="24"/>
                <w:szCs w:val="24"/>
              </w:rPr>
              <w:t>1</w:t>
            </w:r>
          </w:p>
        </w:tc>
        <w:tc>
          <w:tcPr>
            <w:tcW w:w="2551" w:type="dxa"/>
          </w:tcPr>
          <w:p w14:paraId="34184FCF" w14:textId="169F8E5F" w:rsidR="004358EA" w:rsidRPr="004B61EA" w:rsidRDefault="004358EA" w:rsidP="001E087E">
            <w:pPr>
              <w:pStyle w:val="NoSpacing"/>
              <w:rPr>
                <w:rFonts w:ascii="Arial" w:hAnsi="Arial" w:cs="Arial"/>
                <w:sz w:val="24"/>
                <w:szCs w:val="24"/>
              </w:rPr>
            </w:pPr>
            <w:r w:rsidRPr="004B61EA">
              <w:rPr>
                <w:rFonts w:ascii="Arial" w:hAnsi="Arial" w:cs="Arial"/>
                <w:sz w:val="24"/>
                <w:szCs w:val="24"/>
              </w:rPr>
              <w:t>5</w:t>
            </w:r>
          </w:p>
        </w:tc>
        <w:tc>
          <w:tcPr>
            <w:tcW w:w="2410" w:type="dxa"/>
            <w:tcBorders>
              <w:right w:val="single" w:sz="36" w:space="0" w:color="auto"/>
            </w:tcBorders>
          </w:tcPr>
          <w:p w14:paraId="23BA8561" w14:textId="6A9810B2" w:rsidR="004358EA" w:rsidRPr="004B61EA" w:rsidRDefault="004358EA" w:rsidP="001E087E">
            <w:pPr>
              <w:pStyle w:val="NoSpacing"/>
              <w:rPr>
                <w:rFonts w:ascii="Arial" w:hAnsi="Arial" w:cs="Arial"/>
                <w:sz w:val="24"/>
                <w:szCs w:val="24"/>
              </w:rPr>
            </w:pPr>
            <w:r w:rsidRPr="004B61EA">
              <w:rPr>
                <w:rFonts w:ascii="Arial" w:hAnsi="Arial" w:cs="Arial"/>
                <w:sz w:val="24"/>
                <w:szCs w:val="24"/>
              </w:rPr>
              <w:t>2</w:t>
            </w:r>
          </w:p>
        </w:tc>
        <w:tc>
          <w:tcPr>
            <w:tcW w:w="1559" w:type="dxa"/>
            <w:tcBorders>
              <w:right w:val="single" w:sz="36" w:space="0" w:color="auto"/>
            </w:tcBorders>
          </w:tcPr>
          <w:p w14:paraId="459B9129" w14:textId="77777777" w:rsidR="004358EA" w:rsidRPr="004B61EA" w:rsidRDefault="004358EA" w:rsidP="001E087E">
            <w:pPr>
              <w:pStyle w:val="NoSpacing"/>
              <w:rPr>
                <w:rFonts w:ascii="Arial" w:hAnsi="Arial" w:cs="Arial"/>
                <w:sz w:val="24"/>
                <w:szCs w:val="24"/>
              </w:rPr>
            </w:pPr>
          </w:p>
        </w:tc>
        <w:tc>
          <w:tcPr>
            <w:tcW w:w="2126" w:type="dxa"/>
            <w:tcBorders>
              <w:top w:val="single" w:sz="12" w:space="0" w:color="auto"/>
              <w:left w:val="single" w:sz="36" w:space="0" w:color="auto"/>
              <w:bottom w:val="single" w:sz="12" w:space="0" w:color="auto"/>
              <w:right w:val="single" w:sz="12" w:space="0" w:color="auto"/>
            </w:tcBorders>
          </w:tcPr>
          <w:p w14:paraId="7C1CB133" w14:textId="313967F0" w:rsidR="004358EA" w:rsidRPr="004B61EA" w:rsidRDefault="004358FE" w:rsidP="001E087E">
            <w:pPr>
              <w:pStyle w:val="NoSpacing"/>
              <w:rPr>
                <w:rFonts w:ascii="Arial" w:hAnsi="Arial" w:cs="Arial"/>
                <w:sz w:val="24"/>
                <w:szCs w:val="24"/>
              </w:rPr>
            </w:pPr>
            <w:r w:rsidRPr="004B61EA">
              <w:rPr>
                <w:rFonts w:ascii="Arial" w:hAnsi="Arial" w:cs="Arial"/>
                <w:sz w:val="24"/>
                <w:szCs w:val="24"/>
              </w:rPr>
              <w:t>8</w:t>
            </w:r>
          </w:p>
        </w:tc>
      </w:tr>
      <w:tr w:rsidR="004358EA" w:rsidRPr="004B61EA" w14:paraId="37180AC0" w14:textId="77777777" w:rsidTr="004358EA">
        <w:tc>
          <w:tcPr>
            <w:tcW w:w="1951" w:type="dxa"/>
          </w:tcPr>
          <w:p w14:paraId="4F9D4E9D" w14:textId="77777777" w:rsidR="004358EA" w:rsidRPr="004B61EA" w:rsidRDefault="004358EA" w:rsidP="001E087E">
            <w:pPr>
              <w:pStyle w:val="NoSpacing"/>
              <w:rPr>
                <w:rFonts w:ascii="Arial" w:hAnsi="Arial" w:cs="Arial"/>
                <w:sz w:val="24"/>
                <w:szCs w:val="24"/>
              </w:rPr>
            </w:pPr>
          </w:p>
        </w:tc>
        <w:tc>
          <w:tcPr>
            <w:tcW w:w="2552" w:type="dxa"/>
          </w:tcPr>
          <w:p w14:paraId="60DDC0FD" w14:textId="77777777" w:rsidR="004358EA" w:rsidRPr="004B61EA" w:rsidRDefault="004358EA" w:rsidP="001E087E">
            <w:pPr>
              <w:pStyle w:val="NoSpacing"/>
              <w:rPr>
                <w:rFonts w:ascii="Arial" w:hAnsi="Arial" w:cs="Arial"/>
                <w:sz w:val="24"/>
                <w:szCs w:val="24"/>
              </w:rPr>
            </w:pPr>
          </w:p>
        </w:tc>
        <w:tc>
          <w:tcPr>
            <w:tcW w:w="2551" w:type="dxa"/>
          </w:tcPr>
          <w:p w14:paraId="36418F97" w14:textId="77777777" w:rsidR="004358EA" w:rsidRPr="004B61EA" w:rsidRDefault="004358EA" w:rsidP="001E087E">
            <w:pPr>
              <w:pStyle w:val="NoSpacing"/>
              <w:rPr>
                <w:rFonts w:ascii="Arial" w:hAnsi="Arial" w:cs="Arial"/>
                <w:sz w:val="24"/>
                <w:szCs w:val="24"/>
              </w:rPr>
            </w:pPr>
          </w:p>
        </w:tc>
        <w:tc>
          <w:tcPr>
            <w:tcW w:w="2410" w:type="dxa"/>
            <w:tcBorders>
              <w:right w:val="single" w:sz="36" w:space="0" w:color="auto"/>
            </w:tcBorders>
          </w:tcPr>
          <w:p w14:paraId="0C2E59FE" w14:textId="77777777" w:rsidR="004358EA" w:rsidRPr="004B61EA" w:rsidRDefault="004358EA" w:rsidP="001E087E">
            <w:pPr>
              <w:pStyle w:val="NoSpacing"/>
              <w:rPr>
                <w:rFonts w:ascii="Arial" w:hAnsi="Arial" w:cs="Arial"/>
                <w:sz w:val="24"/>
                <w:szCs w:val="24"/>
              </w:rPr>
            </w:pPr>
          </w:p>
        </w:tc>
        <w:tc>
          <w:tcPr>
            <w:tcW w:w="1559" w:type="dxa"/>
            <w:tcBorders>
              <w:right w:val="single" w:sz="36" w:space="0" w:color="auto"/>
            </w:tcBorders>
          </w:tcPr>
          <w:p w14:paraId="693F1959" w14:textId="77777777" w:rsidR="004358EA" w:rsidRPr="004B61EA" w:rsidRDefault="004358EA" w:rsidP="001E087E">
            <w:pPr>
              <w:pStyle w:val="NoSpacing"/>
              <w:rPr>
                <w:rFonts w:ascii="Arial" w:hAnsi="Arial" w:cs="Arial"/>
                <w:sz w:val="24"/>
                <w:szCs w:val="24"/>
              </w:rPr>
            </w:pPr>
          </w:p>
        </w:tc>
        <w:tc>
          <w:tcPr>
            <w:tcW w:w="2126" w:type="dxa"/>
            <w:tcBorders>
              <w:top w:val="single" w:sz="12" w:space="0" w:color="auto"/>
              <w:left w:val="single" w:sz="36" w:space="0" w:color="auto"/>
              <w:bottom w:val="single" w:sz="12" w:space="0" w:color="auto"/>
              <w:right w:val="single" w:sz="12" w:space="0" w:color="auto"/>
            </w:tcBorders>
          </w:tcPr>
          <w:p w14:paraId="34BC4E63" w14:textId="77777777" w:rsidR="004358EA" w:rsidRPr="004B61EA" w:rsidRDefault="004358EA" w:rsidP="001E087E">
            <w:pPr>
              <w:pStyle w:val="NoSpacing"/>
              <w:rPr>
                <w:rFonts w:ascii="Arial" w:hAnsi="Arial" w:cs="Arial"/>
                <w:sz w:val="24"/>
                <w:szCs w:val="24"/>
              </w:rPr>
            </w:pPr>
          </w:p>
        </w:tc>
      </w:tr>
      <w:tr w:rsidR="00C52D4C" w:rsidRPr="004B61EA" w14:paraId="2EECB5E5" w14:textId="77777777" w:rsidTr="00F21394">
        <w:tc>
          <w:tcPr>
            <w:tcW w:w="1951" w:type="dxa"/>
          </w:tcPr>
          <w:p w14:paraId="09B2DB26" w14:textId="67C7B99F" w:rsidR="007232E5" w:rsidRPr="004B61EA" w:rsidRDefault="007232E5" w:rsidP="001E087E">
            <w:pPr>
              <w:pStyle w:val="NoSpacing"/>
              <w:rPr>
                <w:rFonts w:ascii="Arial" w:hAnsi="Arial" w:cs="Arial"/>
                <w:sz w:val="24"/>
                <w:szCs w:val="24"/>
                <w:lang w:val="en-US"/>
              </w:rPr>
            </w:pPr>
            <w:r w:rsidRPr="004B61EA">
              <w:rPr>
                <w:rFonts w:ascii="Arial" w:hAnsi="Arial" w:cs="Arial"/>
                <w:sz w:val="24"/>
                <w:szCs w:val="24"/>
                <w:lang w:val="en-US"/>
              </w:rPr>
              <w:t xml:space="preserve">    </w:t>
            </w:r>
            <w:r w:rsidR="00E83641" w:rsidRPr="004B61EA">
              <w:rPr>
                <w:rFonts w:ascii="Arial" w:hAnsi="Arial" w:cs="Arial"/>
                <w:sz w:val="24"/>
                <w:szCs w:val="24"/>
                <w:lang w:val="en-US"/>
              </w:rPr>
              <w:t>SGA (birth weight &lt;</w:t>
            </w:r>
            <w:r w:rsidR="00C05309" w:rsidRPr="004B61EA">
              <w:rPr>
                <w:rFonts w:ascii="Arial" w:hAnsi="Arial" w:cs="Arial"/>
                <w:sz w:val="24"/>
                <w:szCs w:val="24"/>
                <w:lang w:val="en-US"/>
              </w:rPr>
              <w:t>10</w:t>
            </w:r>
            <w:r w:rsidR="00C05309" w:rsidRPr="004B61EA">
              <w:rPr>
                <w:rFonts w:ascii="Arial" w:hAnsi="Arial" w:cs="Arial"/>
                <w:sz w:val="24"/>
                <w:szCs w:val="24"/>
                <w:vertAlign w:val="superscript"/>
                <w:lang w:val="en-US"/>
              </w:rPr>
              <w:t>th</w:t>
            </w:r>
            <w:r w:rsidR="00C05309" w:rsidRPr="004B61EA">
              <w:rPr>
                <w:rFonts w:ascii="Arial" w:hAnsi="Arial" w:cs="Arial"/>
                <w:sz w:val="24"/>
                <w:szCs w:val="24"/>
                <w:lang w:val="en-US"/>
              </w:rPr>
              <w:t xml:space="preserve"> pe</w:t>
            </w:r>
            <w:r w:rsidR="003C13CD" w:rsidRPr="004B61EA">
              <w:rPr>
                <w:rFonts w:ascii="Arial" w:hAnsi="Arial" w:cs="Arial"/>
                <w:sz w:val="24"/>
                <w:szCs w:val="24"/>
                <w:lang w:val="en-US"/>
              </w:rPr>
              <w:t>r</w:t>
            </w:r>
            <w:r w:rsidR="00C05309" w:rsidRPr="004B61EA">
              <w:rPr>
                <w:rFonts w:ascii="Arial" w:hAnsi="Arial" w:cs="Arial"/>
                <w:sz w:val="24"/>
                <w:szCs w:val="24"/>
                <w:lang w:val="en-US"/>
              </w:rPr>
              <w:t>centile</w:t>
            </w:r>
            <w:r w:rsidRPr="004B61EA">
              <w:rPr>
                <w:rFonts w:ascii="Arial" w:hAnsi="Arial" w:cs="Arial"/>
                <w:sz w:val="24"/>
                <w:szCs w:val="24"/>
                <w:lang w:val="en-US"/>
              </w:rPr>
              <w:t>)</w:t>
            </w:r>
          </w:p>
        </w:tc>
        <w:tc>
          <w:tcPr>
            <w:tcW w:w="2552" w:type="dxa"/>
          </w:tcPr>
          <w:p w14:paraId="2D8DF22F"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58 (8.75)</w:t>
            </w:r>
          </w:p>
        </w:tc>
        <w:tc>
          <w:tcPr>
            <w:tcW w:w="2551" w:type="dxa"/>
          </w:tcPr>
          <w:p w14:paraId="3990C373"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169 (8.51)</w:t>
            </w:r>
          </w:p>
        </w:tc>
        <w:tc>
          <w:tcPr>
            <w:tcW w:w="2410" w:type="dxa"/>
            <w:tcBorders>
              <w:right w:val="single" w:sz="36" w:space="0" w:color="auto"/>
            </w:tcBorders>
          </w:tcPr>
          <w:p w14:paraId="01A6EC78"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62 (9.37)</w:t>
            </w:r>
          </w:p>
        </w:tc>
        <w:tc>
          <w:tcPr>
            <w:tcW w:w="1559" w:type="dxa"/>
            <w:tcBorders>
              <w:right w:val="single" w:sz="36" w:space="0" w:color="auto"/>
            </w:tcBorders>
          </w:tcPr>
          <w:p w14:paraId="7BCA7B53"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0.69</w:t>
            </w:r>
          </w:p>
        </w:tc>
        <w:tc>
          <w:tcPr>
            <w:tcW w:w="2126" w:type="dxa"/>
            <w:tcBorders>
              <w:top w:val="single" w:sz="12" w:space="0" w:color="auto"/>
              <w:left w:val="single" w:sz="36" w:space="0" w:color="auto"/>
              <w:bottom w:val="single" w:sz="12" w:space="0" w:color="auto"/>
              <w:right w:val="single" w:sz="12" w:space="0" w:color="auto"/>
            </w:tcBorders>
          </w:tcPr>
          <w:p w14:paraId="21EA2727" w14:textId="77777777" w:rsidR="007232E5" w:rsidRPr="004B61EA" w:rsidRDefault="007232E5" w:rsidP="001E087E">
            <w:pPr>
              <w:pStyle w:val="NoSpacing"/>
              <w:rPr>
                <w:rFonts w:ascii="Arial" w:hAnsi="Arial" w:cs="Arial"/>
                <w:sz w:val="24"/>
                <w:szCs w:val="24"/>
              </w:rPr>
            </w:pPr>
          </w:p>
        </w:tc>
      </w:tr>
      <w:tr w:rsidR="00C52D4C" w:rsidRPr="004B61EA" w14:paraId="109B52B7" w14:textId="77777777" w:rsidTr="00F21394">
        <w:tc>
          <w:tcPr>
            <w:tcW w:w="1951" w:type="dxa"/>
          </w:tcPr>
          <w:p w14:paraId="4A0AEAE8" w14:textId="267CCC2C" w:rsidR="007232E5" w:rsidRPr="004B61EA" w:rsidRDefault="007232E5" w:rsidP="001E087E">
            <w:pPr>
              <w:pStyle w:val="NoSpacing"/>
              <w:rPr>
                <w:rFonts w:ascii="Arial" w:hAnsi="Arial" w:cs="Arial"/>
                <w:sz w:val="24"/>
                <w:szCs w:val="24"/>
                <w:lang w:val="en-US"/>
              </w:rPr>
            </w:pPr>
            <w:r w:rsidRPr="004B61EA">
              <w:rPr>
                <w:rFonts w:ascii="Arial" w:hAnsi="Arial" w:cs="Arial"/>
                <w:sz w:val="24"/>
                <w:szCs w:val="24"/>
                <w:lang w:val="en-US"/>
              </w:rPr>
              <w:t xml:space="preserve">    </w:t>
            </w:r>
            <w:r w:rsidR="00C05309" w:rsidRPr="004B61EA">
              <w:rPr>
                <w:rFonts w:ascii="Arial" w:hAnsi="Arial" w:cs="Arial"/>
                <w:sz w:val="24"/>
                <w:szCs w:val="24"/>
                <w:lang w:val="en-US"/>
              </w:rPr>
              <w:t>LGA (birth weight &gt;90</w:t>
            </w:r>
            <w:r w:rsidR="00E83641" w:rsidRPr="004B61EA">
              <w:rPr>
                <w:rFonts w:ascii="Arial" w:hAnsi="Arial" w:cs="Arial"/>
                <w:sz w:val="24"/>
                <w:szCs w:val="24"/>
                <w:vertAlign w:val="superscript"/>
                <w:lang w:val="en-US"/>
              </w:rPr>
              <w:t>th</w:t>
            </w:r>
            <w:r w:rsidR="00E83641" w:rsidRPr="004B61EA">
              <w:rPr>
                <w:rFonts w:ascii="Arial" w:hAnsi="Arial" w:cs="Arial"/>
                <w:sz w:val="24"/>
                <w:szCs w:val="24"/>
                <w:lang w:val="en-US"/>
              </w:rPr>
              <w:t xml:space="preserve"> percentile</w:t>
            </w:r>
            <w:r w:rsidRPr="004B61EA">
              <w:rPr>
                <w:rFonts w:ascii="Arial" w:hAnsi="Arial" w:cs="Arial"/>
                <w:sz w:val="24"/>
                <w:szCs w:val="24"/>
                <w:lang w:val="en-US"/>
              </w:rPr>
              <w:t>)</w:t>
            </w:r>
          </w:p>
        </w:tc>
        <w:tc>
          <w:tcPr>
            <w:tcW w:w="2552" w:type="dxa"/>
          </w:tcPr>
          <w:p w14:paraId="1FE2A285"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39 (5.88)</w:t>
            </w:r>
          </w:p>
        </w:tc>
        <w:tc>
          <w:tcPr>
            <w:tcW w:w="2551" w:type="dxa"/>
          </w:tcPr>
          <w:p w14:paraId="548192CB"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87 (4.38)</w:t>
            </w:r>
          </w:p>
        </w:tc>
        <w:tc>
          <w:tcPr>
            <w:tcW w:w="2410" w:type="dxa"/>
            <w:tcBorders>
              <w:right w:val="single" w:sz="36" w:space="0" w:color="auto"/>
            </w:tcBorders>
          </w:tcPr>
          <w:p w14:paraId="09E964B8"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26 (3.93)</w:t>
            </w:r>
          </w:p>
        </w:tc>
        <w:tc>
          <w:tcPr>
            <w:tcW w:w="1559" w:type="dxa"/>
            <w:tcBorders>
              <w:right w:val="single" w:sz="36" w:space="0" w:color="auto"/>
            </w:tcBorders>
          </w:tcPr>
          <w:p w14:paraId="59C99AB1"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0.09</w:t>
            </w:r>
          </w:p>
        </w:tc>
        <w:tc>
          <w:tcPr>
            <w:tcW w:w="2126" w:type="dxa"/>
            <w:tcBorders>
              <w:top w:val="single" w:sz="12" w:space="0" w:color="auto"/>
              <w:left w:val="single" w:sz="36" w:space="0" w:color="auto"/>
              <w:bottom w:val="single" w:sz="12" w:space="0" w:color="auto"/>
              <w:right w:val="single" w:sz="12" w:space="0" w:color="auto"/>
            </w:tcBorders>
          </w:tcPr>
          <w:p w14:paraId="26406CD1" w14:textId="77777777" w:rsidR="007232E5" w:rsidRPr="004B61EA" w:rsidRDefault="007232E5" w:rsidP="001E087E">
            <w:pPr>
              <w:pStyle w:val="NoSpacing"/>
              <w:rPr>
                <w:rFonts w:ascii="Arial" w:hAnsi="Arial" w:cs="Arial"/>
                <w:sz w:val="24"/>
                <w:szCs w:val="24"/>
              </w:rPr>
            </w:pPr>
          </w:p>
        </w:tc>
      </w:tr>
      <w:tr w:rsidR="00C52D4C" w:rsidRPr="004B61EA" w14:paraId="0D805D18" w14:textId="77777777" w:rsidTr="00F21394">
        <w:tc>
          <w:tcPr>
            <w:tcW w:w="1951" w:type="dxa"/>
          </w:tcPr>
          <w:p w14:paraId="31C0E037" w14:textId="77777777" w:rsidR="007232E5" w:rsidRPr="004B61EA" w:rsidRDefault="007232E5" w:rsidP="001E087E">
            <w:pPr>
              <w:pStyle w:val="NoSpacing"/>
              <w:rPr>
                <w:rFonts w:ascii="Arial" w:hAnsi="Arial" w:cs="Arial"/>
                <w:sz w:val="24"/>
                <w:szCs w:val="24"/>
              </w:rPr>
            </w:pPr>
          </w:p>
        </w:tc>
        <w:tc>
          <w:tcPr>
            <w:tcW w:w="2552" w:type="dxa"/>
          </w:tcPr>
          <w:p w14:paraId="4F667E7D" w14:textId="77777777" w:rsidR="007232E5" w:rsidRPr="004B61EA" w:rsidRDefault="007232E5" w:rsidP="001E087E">
            <w:pPr>
              <w:pStyle w:val="NoSpacing"/>
              <w:rPr>
                <w:rFonts w:ascii="Arial" w:hAnsi="Arial" w:cs="Arial"/>
                <w:sz w:val="24"/>
                <w:szCs w:val="24"/>
              </w:rPr>
            </w:pPr>
          </w:p>
        </w:tc>
        <w:tc>
          <w:tcPr>
            <w:tcW w:w="2551" w:type="dxa"/>
          </w:tcPr>
          <w:p w14:paraId="2A0F5974" w14:textId="77777777" w:rsidR="007232E5" w:rsidRPr="004B61EA" w:rsidRDefault="007232E5" w:rsidP="001E087E">
            <w:pPr>
              <w:pStyle w:val="NoSpacing"/>
              <w:rPr>
                <w:rFonts w:ascii="Arial" w:hAnsi="Arial" w:cs="Arial"/>
                <w:sz w:val="24"/>
                <w:szCs w:val="24"/>
              </w:rPr>
            </w:pPr>
          </w:p>
        </w:tc>
        <w:tc>
          <w:tcPr>
            <w:tcW w:w="2410" w:type="dxa"/>
            <w:tcBorders>
              <w:right w:val="single" w:sz="36" w:space="0" w:color="auto"/>
            </w:tcBorders>
          </w:tcPr>
          <w:p w14:paraId="29E77B07" w14:textId="77777777" w:rsidR="007232E5" w:rsidRPr="004B61EA" w:rsidRDefault="007232E5" w:rsidP="001E087E">
            <w:pPr>
              <w:pStyle w:val="NoSpacing"/>
              <w:rPr>
                <w:rFonts w:ascii="Arial" w:hAnsi="Arial" w:cs="Arial"/>
                <w:sz w:val="24"/>
                <w:szCs w:val="24"/>
              </w:rPr>
            </w:pPr>
          </w:p>
        </w:tc>
        <w:tc>
          <w:tcPr>
            <w:tcW w:w="1559" w:type="dxa"/>
            <w:tcBorders>
              <w:right w:val="single" w:sz="36" w:space="0" w:color="auto"/>
            </w:tcBorders>
          </w:tcPr>
          <w:p w14:paraId="306784C0" w14:textId="77777777" w:rsidR="007232E5" w:rsidRPr="004B61EA" w:rsidRDefault="007232E5" w:rsidP="001E087E">
            <w:pPr>
              <w:pStyle w:val="NoSpacing"/>
              <w:rPr>
                <w:rFonts w:ascii="Arial" w:hAnsi="Arial" w:cs="Arial"/>
                <w:sz w:val="24"/>
                <w:szCs w:val="24"/>
              </w:rPr>
            </w:pPr>
          </w:p>
        </w:tc>
        <w:tc>
          <w:tcPr>
            <w:tcW w:w="2126" w:type="dxa"/>
            <w:tcBorders>
              <w:top w:val="single" w:sz="12" w:space="0" w:color="auto"/>
              <w:left w:val="single" w:sz="36" w:space="0" w:color="auto"/>
              <w:bottom w:val="single" w:sz="12" w:space="0" w:color="auto"/>
              <w:right w:val="single" w:sz="12" w:space="0" w:color="auto"/>
            </w:tcBorders>
          </w:tcPr>
          <w:p w14:paraId="0E5C7EFD" w14:textId="77777777" w:rsidR="007232E5" w:rsidRPr="004B61EA" w:rsidRDefault="007232E5" w:rsidP="001E087E">
            <w:pPr>
              <w:pStyle w:val="NoSpacing"/>
              <w:rPr>
                <w:rFonts w:ascii="Arial" w:hAnsi="Arial" w:cs="Arial"/>
                <w:sz w:val="24"/>
                <w:szCs w:val="24"/>
              </w:rPr>
            </w:pPr>
          </w:p>
        </w:tc>
      </w:tr>
      <w:tr w:rsidR="00C52D4C" w:rsidRPr="004B61EA" w14:paraId="7F7F23FC" w14:textId="77777777" w:rsidTr="00F21394">
        <w:tc>
          <w:tcPr>
            <w:tcW w:w="1951" w:type="dxa"/>
          </w:tcPr>
          <w:p w14:paraId="10802981"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 xml:space="preserve">   Placental weight (grams)</w:t>
            </w:r>
          </w:p>
        </w:tc>
        <w:tc>
          <w:tcPr>
            <w:tcW w:w="2552" w:type="dxa"/>
          </w:tcPr>
          <w:p w14:paraId="1FC4EDCA"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576 (518-629)</w:t>
            </w:r>
          </w:p>
        </w:tc>
        <w:tc>
          <w:tcPr>
            <w:tcW w:w="2551" w:type="dxa"/>
          </w:tcPr>
          <w:p w14:paraId="60E33380"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458 (416-505)</w:t>
            </w:r>
          </w:p>
        </w:tc>
        <w:tc>
          <w:tcPr>
            <w:tcW w:w="2410" w:type="dxa"/>
            <w:tcBorders>
              <w:right w:val="single" w:sz="36" w:space="0" w:color="auto"/>
            </w:tcBorders>
          </w:tcPr>
          <w:p w14:paraId="073B9C88"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366 (327-399)</w:t>
            </w:r>
          </w:p>
        </w:tc>
        <w:tc>
          <w:tcPr>
            <w:tcW w:w="1559" w:type="dxa"/>
            <w:tcBorders>
              <w:right w:val="single" w:sz="36" w:space="0" w:color="auto"/>
            </w:tcBorders>
          </w:tcPr>
          <w:p w14:paraId="14F0B785" w14:textId="2079D57F" w:rsidR="007232E5" w:rsidRPr="004B61EA" w:rsidRDefault="007A6D66" w:rsidP="001E087E">
            <w:pPr>
              <w:pStyle w:val="NoSpacing"/>
              <w:rPr>
                <w:rFonts w:ascii="Arial" w:hAnsi="Arial" w:cs="Arial"/>
                <w:sz w:val="24"/>
                <w:szCs w:val="24"/>
              </w:rPr>
            </w:pPr>
            <w:r w:rsidRPr="004B61EA">
              <w:rPr>
                <w:rFonts w:ascii="Arial" w:hAnsi="Arial" w:cs="Arial"/>
                <w:sz w:val="24"/>
                <w:szCs w:val="24"/>
              </w:rPr>
              <w:t>&lt;</w:t>
            </w:r>
            <w:r w:rsidR="007232E5" w:rsidRPr="004B61EA">
              <w:rPr>
                <w:rFonts w:ascii="Arial" w:hAnsi="Arial" w:cs="Arial"/>
                <w:sz w:val="24"/>
                <w:szCs w:val="24"/>
              </w:rPr>
              <w:t>0.0001</w:t>
            </w:r>
          </w:p>
        </w:tc>
        <w:tc>
          <w:tcPr>
            <w:tcW w:w="2126" w:type="dxa"/>
            <w:tcBorders>
              <w:top w:val="single" w:sz="12" w:space="0" w:color="auto"/>
              <w:left w:val="single" w:sz="36" w:space="0" w:color="auto"/>
              <w:bottom w:val="single" w:sz="12" w:space="0" w:color="auto"/>
              <w:right w:val="single" w:sz="12" w:space="0" w:color="auto"/>
            </w:tcBorders>
          </w:tcPr>
          <w:p w14:paraId="71BD1FF0"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458 (399-525)</w:t>
            </w:r>
          </w:p>
        </w:tc>
      </w:tr>
      <w:tr w:rsidR="00C52D4C" w:rsidRPr="004B61EA" w14:paraId="657C1E81" w14:textId="77777777" w:rsidTr="00F21394">
        <w:tc>
          <w:tcPr>
            <w:tcW w:w="1951" w:type="dxa"/>
          </w:tcPr>
          <w:p w14:paraId="4B9466AB" w14:textId="77777777" w:rsidR="007232E5" w:rsidRPr="004B61EA" w:rsidRDefault="007232E5" w:rsidP="001E087E">
            <w:pPr>
              <w:pStyle w:val="NoSpacing"/>
              <w:rPr>
                <w:rFonts w:ascii="Arial" w:hAnsi="Arial" w:cs="Arial"/>
                <w:sz w:val="24"/>
                <w:szCs w:val="24"/>
              </w:rPr>
            </w:pPr>
          </w:p>
        </w:tc>
        <w:tc>
          <w:tcPr>
            <w:tcW w:w="2552" w:type="dxa"/>
          </w:tcPr>
          <w:p w14:paraId="17338C29" w14:textId="77777777" w:rsidR="007232E5" w:rsidRPr="004B61EA" w:rsidRDefault="007232E5" w:rsidP="001E087E">
            <w:pPr>
              <w:pStyle w:val="NoSpacing"/>
              <w:rPr>
                <w:rFonts w:ascii="Arial" w:hAnsi="Arial" w:cs="Arial"/>
                <w:sz w:val="24"/>
                <w:szCs w:val="24"/>
              </w:rPr>
            </w:pPr>
          </w:p>
        </w:tc>
        <w:tc>
          <w:tcPr>
            <w:tcW w:w="2551" w:type="dxa"/>
          </w:tcPr>
          <w:p w14:paraId="2F94B2CC" w14:textId="77777777" w:rsidR="007232E5" w:rsidRPr="004B61EA" w:rsidRDefault="007232E5" w:rsidP="001E087E">
            <w:pPr>
              <w:pStyle w:val="NoSpacing"/>
              <w:rPr>
                <w:rFonts w:ascii="Arial" w:hAnsi="Arial" w:cs="Arial"/>
                <w:sz w:val="24"/>
                <w:szCs w:val="24"/>
              </w:rPr>
            </w:pPr>
          </w:p>
        </w:tc>
        <w:tc>
          <w:tcPr>
            <w:tcW w:w="2410" w:type="dxa"/>
            <w:tcBorders>
              <w:right w:val="single" w:sz="36" w:space="0" w:color="auto"/>
            </w:tcBorders>
          </w:tcPr>
          <w:p w14:paraId="769C14E5" w14:textId="77777777" w:rsidR="007232E5" w:rsidRPr="004B61EA" w:rsidRDefault="007232E5" w:rsidP="001E087E">
            <w:pPr>
              <w:pStyle w:val="NoSpacing"/>
              <w:rPr>
                <w:rFonts w:ascii="Arial" w:hAnsi="Arial" w:cs="Arial"/>
                <w:sz w:val="24"/>
                <w:szCs w:val="24"/>
              </w:rPr>
            </w:pPr>
          </w:p>
        </w:tc>
        <w:tc>
          <w:tcPr>
            <w:tcW w:w="1559" w:type="dxa"/>
            <w:tcBorders>
              <w:right w:val="single" w:sz="36" w:space="0" w:color="auto"/>
            </w:tcBorders>
          </w:tcPr>
          <w:p w14:paraId="5CDA9EC2" w14:textId="77777777" w:rsidR="007232E5" w:rsidRPr="004B61EA" w:rsidRDefault="007232E5" w:rsidP="001E087E">
            <w:pPr>
              <w:pStyle w:val="NoSpacing"/>
              <w:rPr>
                <w:rFonts w:ascii="Arial" w:hAnsi="Arial" w:cs="Arial"/>
                <w:sz w:val="24"/>
                <w:szCs w:val="24"/>
              </w:rPr>
            </w:pPr>
          </w:p>
        </w:tc>
        <w:tc>
          <w:tcPr>
            <w:tcW w:w="2126" w:type="dxa"/>
            <w:tcBorders>
              <w:top w:val="single" w:sz="12" w:space="0" w:color="auto"/>
              <w:left w:val="single" w:sz="36" w:space="0" w:color="auto"/>
              <w:bottom w:val="single" w:sz="12" w:space="0" w:color="auto"/>
              <w:right w:val="single" w:sz="12" w:space="0" w:color="auto"/>
            </w:tcBorders>
          </w:tcPr>
          <w:p w14:paraId="4A096532" w14:textId="77777777" w:rsidR="007232E5" w:rsidRPr="004B61EA" w:rsidRDefault="007232E5" w:rsidP="001E087E">
            <w:pPr>
              <w:pStyle w:val="NoSpacing"/>
              <w:rPr>
                <w:rFonts w:ascii="Arial" w:hAnsi="Arial" w:cs="Arial"/>
                <w:sz w:val="24"/>
                <w:szCs w:val="24"/>
              </w:rPr>
            </w:pPr>
          </w:p>
        </w:tc>
      </w:tr>
      <w:tr w:rsidR="00C52D4C" w:rsidRPr="004B61EA" w14:paraId="091B024A" w14:textId="77777777" w:rsidTr="00F21394">
        <w:tc>
          <w:tcPr>
            <w:tcW w:w="1951" w:type="dxa"/>
          </w:tcPr>
          <w:p w14:paraId="7FC79D44" w14:textId="77777777" w:rsidR="007232E5" w:rsidRPr="004B61EA" w:rsidRDefault="007232E5" w:rsidP="001E087E">
            <w:pPr>
              <w:pStyle w:val="NoSpacing"/>
              <w:rPr>
                <w:rFonts w:ascii="Arial" w:hAnsi="Arial" w:cs="Arial"/>
                <w:sz w:val="24"/>
                <w:szCs w:val="24"/>
                <w:lang w:val="en-US"/>
              </w:rPr>
            </w:pPr>
          </w:p>
        </w:tc>
        <w:tc>
          <w:tcPr>
            <w:tcW w:w="2552" w:type="dxa"/>
          </w:tcPr>
          <w:p w14:paraId="27E93B68" w14:textId="77777777" w:rsidR="007232E5" w:rsidRPr="004B61EA" w:rsidRDefault="007232E5" w:rsidP="001E087E">
            <w:pPr>
              <w:pStyle w:val="NoSpacing"/>
              <w:rPr>
                <w:rFonts w:ascii="Arial" w:hAnsi="Arial" w:cs="Arial"/>
                <w:sz w:val="24"/>
                <w:szCs w:val="24"/>
                <w:lang w:val="en-US"/>
              </w:rPr>
            </w:pPr>
          </w:p>
        </w:tc>
        <w:tc>
          <w:tcPr>
            <w:tcW w:w="2551" w:type="dxa"/>
          </w:tcPr>
          <w:p w14:paraId="3998C871" w14:textId="77777777" w:rsidR="007232E5" w:rsidRPr="004B61EA" w:rsidRDefault="007232E5" w:rsidP="001E087E">
            <w:pPr>
              <w:pStyle w:val="NoSpacing"/>
              <w:rPr>
                <w:rFonts w:ascii="Arial" w:hAnsi="Arial" w:cs="Arial"/>
                <w:sz w:val="24"/>
                <w:szCs w:val="24"/>
                <w:lang w:val="en-US"/>
              </w:rPr>
            </w:pPr>
          </w:p>
        </w:tc>
        <w:tc>
          <w:tcPr>
            <w:tcW w:w="2410" w:type="dxa"/>
            <w:tcBorders>
              <w:right w:val="single" w:sz="36" w:space="0" w:color="auto"/>
            </w:tcBorders>
          </w:tcPr>
          <w:p w14:paraId="354E71B7" w14:textId="77777777" w:rsidR="007232E5" w:rsidRPr="004B61EA" w:rsidRDefault="007232E5" w:rsidP="001E087E">
            <w:pPr>
              <w:pStyle w:val="NoSpacing"/>
              <w:rPr>
                <w:rFonts w:ascii="Arial" w:hAnsi="Arial" w:cs="Arial"/>
                <w:sz w:val="24"/>
                <w:szCs w:val="24"/>
                <w:lang w:val="en-US"/>
              </w:rPr>
            </w:pPr>
          </w:p>
        </w:tc>
        <w:tc>
          <w:tcPr>
            <w:tcW w:w="1559" w:type="dxa"/>
            <w:tcBorders>
              <w:right w:val="single" w:sz="36" w:space="0" w:color="auto"/>
            </w:tcBorders>
          </w:tcPr>
          <w:p w14:paraId="1D6D4B14" w14:textId="77777777" w:rsidR="007232E5" w:rsidRPr="004B61EA" w:rsidRDefault="007232E5" w:rsidP="001E087E">
            <w:pPr>
              <w:pStyle w:val="NoSpacing"/>
              <w:rPr>
                <w:rFonts w:ascii="Arial" w:hAnsi="Arial" w:cs="Arial"/>
                <w:sz w:val="24"/>
                <w:szCs w:val="24"/>
                <w:lang w:val="en-US"/>
              </w:rPr>
            </w:pPr>
          </w:p>
        </w:tc>
        <w:tc>
          <w:tcPr>
            <w:tcW w:w="2126" w:type="dxa"/>
            <w:tcBorders>
              <w:top w:val="single" w:sz="12" w:space="0" w:color="auto"/>
              <w:left w:val="single" w:sz="36" w:space="0" w:color="auto"/>
              <w:bottom w:val="single" w:sz="12" w:space="0" w:color="auto"/>
              <w:right w:val="single" w:sz="12" w:space="0" w:color="auto"/>
            </w:tcBorders>
          </w:tcPr>
          <w:p w14:paraId="04E610B1" w14:textId="77777777" w:rsidR="007232E5" w:rsidRPr="004B61EA" w:rsidRDefault="007232E5" w:rsidP="001E087E">
            <w:pPr>
              <w:pStyle w:val="NoSpacing"/>
              <w:rPr>
                <w:rFonts w:ascii="Arial" w:hAnsi="Arial" w:cs="Arial"/>
                <w:sz w:val="24"/>
                <w:szCs w:val="24"/>
                <w:lang w:val="en-US"/>
              </w:rPr>
            </w:pPr>
          </w:p>
        </w:tc>
      </w:tr>
      <w:tr w:rsidR="00AE3BF0" w:rsidRPr="004B61EA" w14:paraId="705E1B41" w14:textId="77777777" w:rsidTr="004358EA">
        <w:tc>
          <w:tcPr>
            <w:tcW w:w="1951" w:type="dxa"/>
          </w:tcPr>
          <w:p w14:paraId="54DE306E" w14:textId="16A97FF4" w:rsidR="00AE3BF0" w:rsidRPr="004B61EA" w:rsidRDefault="00AE3BF0" w:rsidP="001E087E">
            <w:pPr>
              <w:pStyle w:val="NoSpacing"/>
              <w:rPr>
                <w:rFonts w:ascii="Arial" w:hAnsi="Arial" w:cs="Arial"/>
                <w:b/>
                <w:sz w:val="24"/>
                <w:szCs w:val="24"/>
                <w:lang w:val="en-US"/>
              </w:rPr>
            </w:pPr>
            <w:r w:rsidRPr="004B61EA">
              <w:rPr>
                <w:rFonts w:ascii="Arial" w:hAnsi="Arial" w:cs="Arial"/>
                <w:b/>
                <w:sz w:val="24"/>
                <w:szCs w:val="24"/>
                <w:lang w:val="en-US"/>
              </w:rPr>
              <w:t>Adverse outcomes</w:t>
            </w:r>
          </w:p>
        </w:tc>
        <w:tc>
          <w:tcPr>
            <w:tcW w:w="2552" w:type="dxa"/>
          </w:tcPr>
          <w:p w14:paraId="6AF4D276" w14:textId="77777777" w:rsidR="00AE3BF0" w:rsidRPr="004B61EA" w:rsidRDefault="00AE3BF0" w:rsidP="001E087E">
            <w:pPr>
              <w:pStyle w:val="NoSpacing"/>
              <w:rPr>
                <w:rFonts w:ascii="Arial" w:hAnsi="Arial" w:cs="Arial"/>
                <w:sz w:val="24"/>
                <w:szCs w:val="24"/>
                <w:lang w:val="en-US"/>
              </w:rPr>
            </w:pPr>
          </w:p>
        </w:tc>
        <w:tc>
          <w:tcPr>
            <w:tcW w:w="2551" w:type="dxa"/>
          </w:tcPr>
          <w:p w14:paraId="4D3AE54A" w14:textId="77777777" w:rsidR="00AE3BF0" w:rsidRPr="004B61EA" w:rsidRDefault="00AE3BF0" w:rsidP="001E087E">
            <w:pPr>
              <w:pStyle w:val="NoSpacing"/>
              <w:rPr>
                <w:rFonts w:ascii="Arial" w:hAnsi="Arial" w:cs="Arial"/>
                <w:sz w:val="24"/>
                <w:szCs w:val="24"/>
                <w:lang w:val="en-US"/>
              </w:rPr>
            </w:pPr>
          </w:p>
        </w:tc>
        <w:tc>
          <w:tcPr>
            <w:tcW w:w="2410" w:type="dxa"/>
            <w:tcBorders>
              <w:right w:val="single" w:sz="36" w:space="0" w:color="auto"/>
            </w:tcBorders>
          </w:tcPr>
          <w:p w14:paraId="677B1B6D" w14:textId="77777777" w:rsidR="00AE3BF0" w:rsidRPr="004B61EA" w:rsidRDefault="00AE3BF0" w:rsidP="001E087E">
            <w:pPr>
              <w:pStyle w:val="NoSpacing"/>
              <w:rPr>
                <w:rFonts w:ascii="Arial" w:hAnsi="Arial" w:cs="Arial"/>
                <w:sz w:val="24"/>
                <w:szCs w:val="24"/>
                <w:lang w:val="en-US"/>
              </w:rPr>
            </w:pPr>
          </w:p>
        </w:tc>
        <w:tc>
          <w:tcPr>
            <w:tcW w:w="1559" w:type="dxa"/>
            <w:tcBorders>
              <w:right w:val="single" w:sz="36" w:space="0" w:color="auto"/>
            </w:tcBorders>
          </w:tcPr>
          <w:p w14:paraId="78D812BD" w14:textId="77777777" w:rsidR="00AE3BF0" w:rsidRPr="004B61EA" w:rsidRDefault="00AE3BF0" w:rsidP="001E087E">
            <w:pPr>
              <w:pStyle w:val="NoSpacing"/>
              <w:rPr>
                <w:rFonts w:ascii="Arial" w:hAnsi="Arial" w:cs="Arial"/>
                <w:sz w:val="24"/>
                <w:szCs w:val="24"/>
                <w:lang w:val="en-US"/>
              </w:rPr>
            </w:pPr>
          </w:p>
        </w:tc>
        <w:tc>
          <w:tcPr>
            <w:tcW w:w="2126" w:type="dxa"/>
            <w:tcBorders>
              <w:top w:val="single" w:sz="12" w:space="0" w:color="auto"/>
              <w:left w:val="single" w:sz="36" w:space="0" w:color="auto"/>
              <w:bottom w:val="single" w:sz="12" w:space="0" w:color="auto"/>
              <w:right w:val="single" w:sz="12" w:space="0" w:color="auto"/>
            </w:tcBorders>
          </w:tcPr>
          <w:p w14:paraId="1453DD51" w14:textId="77777777" w:rsidR="00AE3BF0" w:rsidRPr="004B61EA" w:rsidRDefault="00AE3BF0" w:rsidP="001E087E">
            <w:pPr>
              <w:pStyle w:val="NoSpacing"/>
              <w:rPr>
                <w:rFonts w:ascii="Arial" w:hAnsi="Arial" w:cs="Arial"/>
                <w:sz w:val="24"/>
                <w:szCs w:val="24"/>
                <w:lang w:val="en-US"/>
              </w:rPr>
            </w:pPr>
          </w:p>
        </w:tc>
      </w:tr>
      <w:tr w:rsidR="00AE3BF0" w:rsidRPr="004B61EA" w14:paraId="31CE580D" w14:textId="77777777" w:rsidTr="004358EA">
        <w:tc>
          <w:tcPr>
            <w:tcW w:w="1951" w:type="dxa"/>
          </w:tcPr>
          <w:p w14:paraId="0BF388B2" w14:textId="08049309" w:rsidR="00AE3BF0" w:rsidRPr="004B61EA" w:rsidRDefault="00AE3BF0" w:rsidP="00AE3BF0">
            <w:pPr>
              <w:pStyle w:val="NoSpacing"/>
              <w:rPr>
                <w:rFonts w:ascii="Arial" w:hAnsi="Arial" w:cs="Arial"/>
                <w:sz w:val="24"/>
                <w:szCs w:val="24"/>
                <w:lang w:val="en-US"/>
              </w:rPr>
            </w:pPr>
            <w:r w:rsidRPr="004B61EA">
              <w:rPr>
                <w:rFonts w:ascii="Arial" w:hAnsi="Arial" w:cs="Arial"/>
                <w:sz w:val="24"/>
                <w:szCs w:val="24"/>
                <w:lang w:val="en-US"/>
              </w:rPr>
              <w:t xml:space="preserve">   Neonatal morbidity</w:t>
            </w:r>
          </w:p>
        </w:tc>
        <w:tc>
          <w:tcPr>
            <w:tcW w:w="2552" w:type="dxa"/>
          </w:tcPr>
          <w:p w14:paraId="18CFCD16" w14:textId="6C0047C1" w:rsidR="00AE3BF0" w:rsidRPr="004B61EA" w:rsidRDefault="00F64AA3" w:rsidP="001E087E">
            <w:pPr>
              <w:pStyle w:val="NoSpacing"/>
              <w:rPr>
                <w:rFonts w:ascii="Arial" w:hAnsi="Arial" w:cs="Arial"/>
                <w:sz w:val="24"/>
                <w:szCs w:val="24"/>
                <w:lang w:val="en-US"/>
              </w:rPr>
            </w:pPr>
            <w:r w:rsidRPr="004B61EA">
              <w:rPr>
                <w:rFonts w:ascii="Arial" w:hAnsi="Arial" w:cs="Arial"/>
                <w:sz w:val="24"/>
                <w:szCs w:val="24"/>
                <w:lang w:val="en-US"/>
              </w:rPr>
              <w:t>63 (</w:t>
            </w:r>
            <w:r w:rsidR="00B27AAE" w:rsidRPr="004B61EA">
              <w:rPr>
                <w:rFonts w:ascii="Arial" w:hAnsi="Arial" w:cs="Arial"/>
                <w:sz w:val="24"/>
                <w:szCs w:val="24"/>
                <w:lang w:val="en-US"/>
              </w:rPr>
              <w:t>9.50</w:t>
            </w:r>
            <w:r w:rsidRPr="004B61EA">
              <w:rPr>
                <w:rFonts w:ascii="Arial" w:hAnsi="Arial" w:cs="Arial"/>
                <w:sz w:val="24"/>
                <w:szCs w:val="24"/>
                <w:lang w:val="en-US"/>
              </w:rPr>
              <w:t>)</w:t>
            </w:r>
          </w:p>
        </w:tc>
        <w:tc>
          <w:tcPr>
            <w:tcW w:w="2551" w:type="dxa"/>
          </w:tcPr>
          <w:p w14:paraId="76FB9636" w14:textId="1A7D0C4D" w:rsidR="00AE3BF0" w:rsidRPr="004B61EA" w:rsidRDefault="00F64AA3" w:rsidP="001E087E">
            <w:pPr>
              <w:pStyle w:val="NoSpacing"/>
              <w:rPr>
                <w:rFonts w:ascii="Arial" w:hAnsi="Arial" w:cs="Arial"/>
                <w:sz w:val="24"/>
                <w:szCs w:val="24"/>
                <w:lang w:val="en-US"/>
              </w:rPr>
            </w:pPr>
            <w:r w:rsidRPr="004B61EA">
              <w:rPr>
                <w:rFonts w:ascii="Arial" w:hAnsi="Arial" w:cs="Arial"/>
                <w:sz w:val="24"/>
                <w:szCs w:val="24"/>
                <w:lang w:val="en-US"/>
              </w:rPr>
              <w:t>121 (</w:t>
            </w:r>
            <w:r w:rsidR="00B27AAE" w:rsidRPr="004B61EA">
              <w:rPr>
                <w:rFonts w:ascii="Arial" w:hAnsi="Arial" w:cs="Arial"/>
                <w:sz w:val="24"/>
                <w:szCs w:val="24"/>
                <w:lang w:val="en-US"/>
              </w:rPr>
              <w:t>6.09</w:t>
            </w:r>
            <w:r w:rsidRPr="004B61EA">
              <w:rPr>
                <w:rFonts w:ascii="Arial" w:hAnsi="Arial" w:cs="Arial"/>
                <w:sz w:val="24"/>
                <w:szCs w:val="24"/>
                <w:lang w:val="en-US"/>
              </w:rPr>
              <w:t>)</w:t>
            </w:r>
          </w:p>
        </w:tc>
        <w:tc>
          <w:tcPr>
            <w:tcW w:w="2410" w:type="dxa"/>
            <w:tcBorders>
              <w:right w:val="single" w:sz="36" w:space="0" w:color="auto"/>
            </w:tcBorders>
          </w:tcPr>
          <w:p w14:paraId="2CBE91ED" w14:textId="0E7E5C76" w:rsidR="00AE3BF0" w:rsidRPr="004B61EA" w:rsidRDefault="00F64AA3" w:rsidP="001E087E">
            <w:pPr>
              <w:pStyle w:val="NoSpacing"/>
              <w:rPr>
                <w:rFonts w:ascii="Arial" w:hAnsi="Arial" w:cs="Arial"/>
                <w:sz w:val="24"/>
                <w:szCs w:val="24"/>
                <w:lang w:val="en-US"/>
              </w:rPr>
            </w:pPr>
            <w:r w:rsidRPr="004B61EA">
              <w:rPr>
                <w:rFonts w:ascii="Arial" w:hAnsi="Arial" w:cs="Arial"/>
                <w:sz w:val="24"/>
                <w:szCs w:val="24"/>
                <w:lang w:val="en-US"/>
              </w:rPr>
              <w:t>45 (</w:t>
            </w:r>
            <w:r w:rsidR="00B27AAE" w:rsidRPr="004B61EA">
              <w:rPr>
                <w:rFonts w:ascii="Arial" w:hAnsi="Arial" w:cs="Arial"/>
                <w:sz w:val="24"/>
                <w:szCs w:val="24"/>
                <w:lang w:val="en-US"/>
              </w:rPr>
              <w:t>6.80</w:t>
            </w:r>
            <w:r w:rsidRPr="004B61EA">
              <w:rPr>
                <w:rFonts w:ascii="Arial" w:hAnsi="Arial" w:cs="Arial"/>
                <w:sz w:val="24"/>
                <w:szCs w:val="24"/>
                <w:lang w:val="en-US"/>
              </w:rPr>
              <w:t>)</w:t>
            </w:r>
          </w:p>
        </w:tc>
        <w:tc>
          <w:tcPr>
            <w:tcW w:w="1559" w:type="dxa"/>
            <w:tcBorders>
              <w:right w:val="single" w:sz="36" w:space="0" w:color="auto"/>
            </w:tcBorders>
          </w:tcPr>
          <w:p w14:paraId="25F0F1C3" w14:textId="39B343EB" w:rsidR="00AE3BF0" w:rsidRPr="004B61EA" w:rsidRDefault="003C75A5" w:rsidP="001E087E">
            <w:pPr>
              <w:pStyle w:val="NoSpacing"/>
              <w:rPr>
                <w:rFonts w:ascii="Arial" w:hAnsi="Arial" w:cs="Arial"/>
                <w:sz w:val="24"/>
                <w:szCs w:val="24"/>
                <w:lang w:val="en-US"/>
              </w:rPr>
            </w:pPr>
            <w:r w:rsidRPr="004B61EA">
              <w:rPr>
                <w:rFonts w:ascii="Arial" w:hAnsi="Arial" w:cs="Arial"/>
                <w:sz w:val="24"/>
                <w:szCs w:val="24"/>
                <w:lang w:val="en-US"/>
              </w:rPr>
              <w:t>0.05</w:t>
            </w:r>
          </w:p>
        </w:tc>
        <w:tc>
          <w:tcPr>
            <w:tcW w:w="2126" w:type="dxa"/>
            <w:tcBorders>
              <w:top w:val="single" w:sz="12" w:space="0" w:color="auto"/>
              <w:left w:val="single" w:sz="36" w:space="0" w:color="auto"/>
              <w:bottom w:val="single" w:sz="12" w:space="0" w:color="auto"/>
              <w:right w:val="single" w:sz="12" w:space="0" w:color="auto"/>
            </w:tcBorders>
          </w:tcPr>
          <w:p w14:paraId="27779651" w14:textId="1428B0B0" w:rsidR="00AE3BF0" w:rsidRPr="004B61EA" w:rsidRDefault="00B27AAE" w:rsidP="001E087E">
            <w:pPr>
              <w:pStyle w:val="NoSpacing"/>
              <w:rPr>
                <w:rFonts w:ascii="Arial" w:hAnsi="Arial" w:cs="Arial"/>
                <w:sz w:val="24"/>
                <w:szCs w:val="24"/>
                <w:lang w:val="en-US"/>
              </w:rPr>
            </w:pPr>
            <w:r w:rsidRPr="004B61EA">
              <w:rPr>
                <w:rFonts w:ascii="Arial" w:hAnsi="Arial" w:cs="Arial"/>
                <w:sz w:val="24"/>
                <w:szCs w:val="24"/>
                <w:lang w:val="en-US"/>
              </w:rPr>
              <w:t xml:space="preserve">229 </w:t>
            </w:r>
            <w:r w:rsidR="00F64AA3" w:rsidRPr="004B61EA">
              <w:rPr>
                <w:rFonts w:ascii="Arial" w:hAnsi="Arial" w:cs="Arial"/>
                <w:sz w:val="24"/>
                <w:szCs w:val="24"/>
                <w:lang w:val="en-US"/>
              </w:rPr>
              <w:t>(</w:t>
            </w:r>
            <w:r w:rsidRPr="004B61EA">
              <w:rPr>
                <w:rFonts w:ascii="Arial" w:hAnsi="Arial" w:cs="Arial"/>
                <w:sz w:val="24"/>
                <w:szCs w:val="24"/>
                <w:lang w:val="en-US"/>
              </w:rPr>
              <w:t>6.92</w:t>
            </w:r>
            <w:r w:rsidR="00F64AA3" w:rsidRPr="004B61EA">
              <w:rPr>
                <w:rFonts w:ascii="Arial" w:hAnsi="Arial" w:cs="Arial"/>
                <w:sz w:val="24"/>
                <w:szCs w:val="24"/>
                <w:lang w:val="en-US"/>
              </w:rPr>
              <w:t>)</w:t>
            </w:r>
          </w:p>
        </w:tc>
      </w:tr>
      <w:tr w:rsidR="00AE3BF0" w:rsidRPr="004B61EA" w14:paraId="13C312A7" w14:textId="77777777" w:rsidTr="004358EA">
        <w:tc>
          <w:tcPr>
            <w:tcW w:w="1951" w:type="dxa"/>
          </w:tcPr>
          <w:p w14:paraId="79E68D9B" w14:textId="581233FB" w:rsidR="00AE3BF0" w:rsidRPr="004B61EA" w:rsidRDefault="00AE3BF0" w:rsidP="00AE3BF0">
            <w:pPr>
              <w:pStyle w:val="NoSpacing"/>
              <w:rPr>
                <w:rFonts w:ascii="Arial" w:hAnsi="Arial" w:cs="Arial"/>
                <w:sz w:val="24"/>
                <w:szCs w:val="24"/>
                <w:lang w:val="en-US"/>
              </w:rPr>
            </w:pPr>
            <w:r w:rsidRPr="004B61EA">
              <w:rPr>
                <w:rFonts w:ascii="Arial" w:hAnsi="Arial" w:cs="Arial"/>
                <w:sz w:val="24"/>
                <w:szCs w:val="24"/>
                <w:lang w:val="en-US"/>
              </w:rPr>
              <w:t xml:space="preserve">   </w:t>
            </w:r>
            <w:r w:rsidR="00DD6EEF" w:rsidRPr="004B61EA">
              <w:rPr>
                <w:rFonts w:ascii="Arial" w:hAnsi="Arial" w:cs="Arial"/>
                <w:sz w:val="24"/>
                <w:szCs w:val="24"/>
                <w:lang w:val="en-US"/>
              </w:rPr>
              <w:t>Diabetes (pre-gestational or gestational)</w:t>
            </w:r>
          </w:p>
        </w:tc>
        <w:tc>
          <w:tcPr>
            <w:tcW w:w="2552" w:type="dxa"/>
          </w:tcPr>
          <w:p w14:paraId="1CD377A2" w14:textId="6B8F0D8D" w:rsidR="00AE3BF0" w:rsidRPr="004B61EA" w:rsidRDefault="00F64AA3" w:rsidP="001E087E">
            <w:pPr>
              <w:pStyle w:val="NoSpacing"/>
              <w:rPr>
                <w:rFonts w:ascii="Arial" w:hAnsi="Arial" w:cs="Arial"/>
                <w:sz w:val="24"/>
                <w:szCs w:val="24"/>
                <w:lang w:val="en-US"/>
              </w:rPr>
            </w:pPr>
            <w:r w:rsidRPr="004B61EA">
              <w:rPr>
                <w:rFonts w:ascii="Arial" w:hAnsi="Arial" w:cs="Arial"/>
                <w:sz w:val="24"/>
                <w:szCs w:val="24"/>
                <w:lang w:val="en-US"/>
              </w:rPr>
              <w:t>44 (</w:t>
            </w:r>
            <w:r w:rsidR="00B27AAE" w:rsidRPr="004B61EA">
              <w:rPr>
                <w:rFonts w:ascii="Arial" w:hAnsi="Arial" w:cs="Arial"/>
                <w:sz w:val="24"/>
                <w:szCs w:val="24"/>
                <w:lang w:val="en-US"/>
              </w:rPr>
              <w:t>6.64</w:t>
            </w:r>
            <w:r w:rsidRPr="004B61EA">
              <w:rPr>
                <w:rFonts w:ascii="Arial" w:hAnsi="Arial" w:cs="Arial"/>
                <w:sz w:val="24"/>
                <w:szCs w:val="24"/>
                <w:lang w:val="en-US"/>
              </w:rPr>
              <w:t>)</w:t>
            </w:r>
          </w:p>
        </w:tc>
        <w:tc>
          <w:tcPr>
            <w:tcW w:w="2551" w:type="dxa"/>
          </w:tcPr>
          <w:p w14:paraId="77A1534C" w14:textId="2BA7D152" w:rsidR="00AE3BF0" w:rsidRPr="004B61EA" w:rsidRDefault="00F64AA3" w:rsidP="001E087E">
            <w:pPr>
              <w:pStyle w:val="NoSpacing"/>
              <w:rPr>
                <w:rFonts w:ascii="Arial" w:hAnsi="Arial" w:cs="Arial"/>
                <w:sz w:val="24"/>
                <w:szCs w:val="24"/>
                <w:lang w:val="en-US"/>
              </w:rPr>
            </w:pPr>
            <w:r w:rsidRPr="004B61EA">
              <w:rPr>
                <w:rFonts w:ascii="Arial" w:hAnsi="Arial" w:cs="Arial"/>
                <w:sz w:val="24"/>
                <w:szCs w:val="24"/>
                <w:lang w:val="en-US"/>
              </w:rPr>
              <w:t>77 (</w:t>
            </w:r>
            <w:r w:rsidR="00B27AAE" w:rsidRPr="004B61EA">
              <w:rPr>
                <w:rFonts w:ascii="Arial" w:hAnsi="Arial" w:cs="Arial"/>
                <w:sz w:val="24"/>
                <w:szCs w:val="24"/>
                <w:lang w:val="en-US"/>
              </w:rPr>
              <w:t>3.88</w:t>
            </w:r>
            <w:r w:rsidRPr="004B61EA">
              <w:rPr>
                <w:rFonts w:ascii="Arial" w:hAnsi="Arial" w:cs="Arial"/>
                <w:sz w:val="24"/>
                <w:szCs w:val="24"/>
                <w:lang w:val="en-US"/>
              </w:rPr>
              <w:t>)</w:t>
            </w:r>
          </w:p>
        </w:tc>
        <w:tc>
          <w:tcPr>
            <w:tcW w:w="2410" w:type="dxa"/>
            <w:tcBorders>
              <w:right w:val="single" w:sz="36" w:space="0" w:color="auto"/>
            </w:tcBorders>
          </w:tcPr>
          <w:p w14:paraId="03057576" w14:textId="4EFEC8D6" w:rsidR="00AE3BF0" w:rsidRPr="004B61EA" w:rsidRDefault="00F64AA3" w:rsidP="001E087E">
            <w:pPr>
              <w:pStyle w:val="NoSpacing"/>
              <w:rPr>
                <w:rFonts w:ascii="Arial" w:hAnsi="Arial" w:cs="Arial"/>
                <w:sz w:val="24"/>
                <w:szCs w:val="24"/>
                <w:lang w:val="en-US"/>
              </w:rPr>
            </w:pPr>
            <w:r w:rsidRPr="004B61EA">
              <w:rPr>
                <w:rFonts w:ascii="Arial" w:hAnsi="Arial" w:cs="Arial"/>
                <w:sz w:val="24"/>
                <w:szCs w:val="24"/>
                <w:lang w:val="en-US"/>
              </w:rPr>
              <w:t>17 (</w:t>
            </w:r>
            <w:r w:rsidR="00B27AAE" w:rsidRPr="004B61EA">
              <w:rPr>
                <w:rFonts w:ascii="Arial" w:hAnsi="Arial" w:cs="Arial"/>
                <w:sz w:val="24"/>
                <w:szCs w:val="24"/>
                <w:lang w:val="en-US"/>
              </w:rPr>
              <w:t>2.57</w:t>
            </w:r>
            <w:r w:rsidRPr="004B61EA">
              <w:rPr>
                <w:rFonts w:ascii="Arial" w:hAnsi="Arial" w:cs="Arial"/>
                <w:sz w:val="24"/>
                <w:szCs w:val="24"/>
                <w:lang w:val="en-US"/>
              </w:rPr>
              <w:t>)</w:t>
            </w:r>
          </w:p>
        </w:tc>
        <w:tc>
          <w:tcPr>
            <w:tcW w:w="1559" w:type="dxa"/>
            <w:tcBorders>
              <w:right w:val="single" w:sz="36" w:space="0" w:color="auto"/>
            </w:tcBorders>
          </w:tcPr>
          <w:p w14:paraId="0377E43F" w14:textId="574BB938" w:rsidR="00AE3BF0" w:rsidRPr="004B61EA" w:rsidRDefault="003C75A5" w:rsidP="001E087E">
            <w:pPr>
              <w:pStyle w:val="NoSpacing"/>
              <w:rPr>
                <w:rFonts w:ascii="Arial" w:hAnsi="Arial" w:cs="Arial"/>
                <w:sz w:val="24"/>
                <w:szCs w:val="24"/>
                <w:lang w:val="en-US"/>
              </w:rPr>
            </w:pPr>
            <w:r w:rsidRPr="004B61EA">
              <w:rPr>
                <w:rFonts w:ascii="Arial" w:hAnsi="Arial" w:cs="Arial"/>
                <w:sz w:val="24"/>
                <w:szCs w:val="24"/>
                <w:lang w:val="en-US"/>
              </w:rPr>
              <w:t>&lt;0.001</w:t>
            </w:r>
          </w:p>
        </w:tc>
        <w:tc>
          <w:tcPr>
            <w:tcW w:w="2126" w:type="dxa"/>
            <w:tcBorders>
              <w:top w:val="single" w:sz="12" w:space="0" w:color="auto"/>
              <w:left w:val="single" w:sz="36" w:space="0" w:color="auto"/>
              <w:bottom w:val="single" w:sz="12" w:space="0" w:color="auto"/>
              <w:right w:val="single" w:sz="12" w:space="0" w:color="auto"/>
            </w:tcBorders>
          </w:tcPr>
          <w:p w14:paraId="297BF718" w14:textId="4B9F3B01" w:rsidR="00AE3BF0" w:rsidRPr="004B61EA" w:rsidRDefault="00B27AAE" w:rsidP="001E087E">
            <w:pPr>
              <w:pStyle w:val="NoSpacing"/>
              <w:rPr>
                <w:rFonts w:ascii="Arial" w:hAnsi="Arial" w:cs="Arial"/>
                <w:sz w:val="24"/>
                <w:szCs w:val="24"/>
                <w:lang w:val="en-US"/>
              </w:rPr>
            </w:pPr>
            <w:r w:rsidRPr="004B61EA">
              <w:rPr>
                <w:rFonts w:ascii="Arial" w:hAnsi="Arial" w:cs="Arial"/>
                <w:sz w:val="24"/>
                <w:szCs w:val="24"/>
                <w:lang w:val="en-US"/>
              </w:rPr>
              <w:t xml:space="preserve">138 </w:t>
            </w:r>
            <w:r w:rsidR="00F64AA3" w:rsidRPr="004B61EA">
              <w:rPr>
                <w:rFonts w:ascii="Arial" w:hAnsi="Arial" w:cs="Arial"/>
                <w:sz w:val="24"/>
                <w:szCs w:val="24"/>
                <w:lang w:val="en-US"/>
              </w:rPr>
              <w:t>(</w:t>
            </w:r>
            <w:r w:rsidRPr="004B61EA">
              <w:rPr>
                <w:rFonts w:ascii="Arial" w:hAnsi="Arial" w:cs="Arial"/>
                <w:sz w:val="24"/>
                <w:szCs w:val="24"/>
                <w:lang w:val="en-US"/>
              </w:rPr>
              <w:t>4.17</w:t>
            </w:r>
            <w:r w:rsidR="00F64AA3" w:rsidRPr="004B61EA">
              <w:rPr>
                <w:rFonts w:ascii="Arial" w:hAnsi="Arial" w:cs="Arial"/>
                <w:sz w:val="24"/>
                <w:szCs w:val="24"/>
                <w:lang w:val="en-US"/>
              </w:rPr>
              <w:t>)</w:t>
            </w:r>
          </w:p>
        </w:tc>
      </w:tr>
      <w:tr w:rsidR="00DD6EEF" w:rsidRPr="004B61EA" w14:paraId="69C37DA3" w14:textId="77777777" w:rsidTr="004358EA">
        <w:tc>
          <w:tcPr>
            <w:tcW w:w="1951" w:type="dxa"/>
          </w:tcPr>
          <w:p w14:paraId="01E1A909" w14:textId="700A2A18" w:rsidR="00DD6EEF" w:rsidRPr="004B61EA" w:rsidRDefault="00DD6EEF" w:rsidP="00AE3BF0">
            <w:pPr>
              <w:pStyle w:val="NoSpacing"/>
              <w:rPr>
                <w:rFonts w:ascii="Arial" w:hAnsi="Arial" w:cs="Arial"/>
                <w:sz w:val="24"/>
                <w:szCs w:val="24"/>
                <w:lang w:val="en-US"/>
              </w:rPr>
            </w:pPr>
            <w:r w:rsidRPr="004B61EA">
              <w:rPr>
                <w:rFonts w:ascii="Arial" w:hAnsi="Arial" w:cs="Arial"/>
                <w:sz w:val="24"/>
                <w:szCs w:val="24"/>
                <w:lang w:val="en-US"/>
              </w:rPr>
              <w:t xml:space="preserve">   Preeclampsia (all)</w:t>
            </w:r>
          </w:p>
        </w:tc>
        <w:tc>
          <w:tcPr>
            <w:tcW w:w="2552" w:type="dxa"/>
          </w:tcPr>
          <w:p w14:paraId="491E7890" w14:textId="20394D7C" w:rsidR="00DD6EEF" w:rsidRPr="004B61EA" w:rsidRDefault="00F64AA3" w:rsidP="001E087E">
            <w:pPr>
              <w:pStyle w:val="NoSpacing"/>
              <w:rPr>
                <w:rFonts w:ascii="Arial" w:hAnsi="Arial" w:cs="Arial"/>
                <w:sz w:val="24"/>
                <w:szCs w:val="24"/>
                <w:lang w:val="en-US"/>
              </w:rPr>
            </w:pPr>
            <w:r w:rsidRPr="004B61EA">
              <w:rPr>
                <w:rFonts w:ascii="Arial" w:hAnsi="Arial" w:cs="Arial"/>
                <w:sz w:val="24"/>
                <w:szCs w:val="24"/>
                <w:lang w:val="en-US"/>
              </w:rPr>
              <w:t>54 (</w:t>
            </w:r>
            <w:r w:rsidR="00B27AAE" w:rsidRPr="004B61EA">
              <w:rPr>
                <w:rFonts w:ascii="Arial" w:hAnsi="Arial" w:cs="Arial"/>
                <w:sz w:val="24"/>
                <w:szCs w:val="24"/>
                <w:lang w:val="en-US"/>
              </w:rPr>
              <w:t>8.14</w:t>
            </w:r>
            <w:r w:rsidRPr="004B61EA">
              <w:rPr>
                <w:rFonts w:ascii="Arial" w:hAnsi="Arial" w:cs="Arial"/>
                <w:sz w:val="24"/>
                <w:szCs w:val="24"/>
                <w:lang w:val="en-US"/>
              </w:rPr>
              <w:t>)</w:t>
            </w:r>
          </w:p>
        </w:tc>
        <w:tc>
          <w:tcPr>
            <w:tcW w:w="2551" w:type="dxa"/>
          </w:tcPr>
          <w:p w14:paraId="3104124B" w14:textId="22C83BAF" w:rsidR="00DD6EEF" w:rsidRPr="004B61EA" w:rsidRDefault="00F64AA3" w:rsidP="001E087E">
            <w:pPr>
              <w:pStyle w:val="NoSpacing"/>
              <w:rPr>
                <w:rFonts w:ascii="Arial" w:hAnsi="Arial" w:cs="Arial"/>
                <w:sz w:val="24"/>
                <w:szCs w:val="24"/>
                <w:lang w:val="en-US"/>
              </w:rPr>
            </w:pPr>
            <w:r w:rsidRPr="004B61EA">
              <w:rPr>
                <w:rFonts w:ascii="Arial" w:hAnsi="Arial" w:cs="Arial"/>
                <w:sz w:val="24"/>
                <w:szCs w:val="24"/>
                <w:lang w:val="en-US"/>
              </w:rPr>
              <w:t>120 (</w:t>
            </w:r>
            <w:r w:rsidR="00B27AAE" w:rsidRPr="004B61EA">
              <w:rPr>
                <w:rFonts w:ascii="Arial" w:hAnsi="Arial" w:cs="Arial"/>
                <w:sz w:val="24"/>
                <w:szCs w:val="24"/>
                <w:lang w:val="en-US"/>
              </w:rPr>
              <w:t>6.04</w:t>
            </w:r>
            <w:r w:rsidRPr="004B61EA">
              <w:rPr>
                <w:rFonts w:ascii="Arial" w:hAnsi="Arial" w:cs="Arial"/>
                <w:sz w:val="24"/>
                <w:szCs w:val="24"/>
                <w:lang w:val="en-US"/>
              </w:rPr>
              <w:t>)</w:t>
            </w:r>
          </w:p>
        </w:tc>
        <w:tc>
          <w:tcPr>
            <w:tcW w:w="2410" w:type="dxa"/>
            <w:tcBorders>
              <w:right w:val="single" w:sz="36" w:space="0" w:color="auto"/>
            </w:tcBorders>
          </w:tcPr>
          <w:p w14:paraId="043E99E5" w14:textId="413CF7BD" w:rsidR="00DD6EEF" w:rsidRPr="004B61EA" w:rsidRDefault="00F64AA3" w:rsidP="001E087E">
            <w:pPr>
              <w:pStyle w:val="NoSpacing"/>
              <w:rPr>
                <w:rFonts w:ascii="Arial" w:hAnsi="Arial" w:cs="Arial"/>
                <w:sz w:val="24"/>
                <w:szCs w:val="24"/>
                <w:lang w:val="en-US"/>
              </w:rPr>
            </w:pPr>
            <w:r w:rsidRPr="004B61EA">
              <w:rPr>
                <w:rFonts w:ascii="Arial" w:hAnsi="Arial" w:cs="Arial"/>
                <w:sz w:val="24"/>
                <w:szCs w:val="24"/>
                <w:lang w:val="en-US"/>
              </w:rPr>
              <w:t>20 (</w:t>
            </w:r>
            <w:r w:rsidR="00B27AAE" w:rsidRPr="004B61EA">
              <w:rPr>
                <w:rFonts w:ascii="Arial" w:hAnsi="Arial" w:cs="Arial"/>
                <w:sz w:val="24"/>
                <w:szCs w:val="24"/>
                <w:lang w:val="en-US"/>
              </w:rPr>
              <w:t>3.02</w:t>
            </w:r>
            <w:r w:rsidRPr="004B61EA">
              <w:rPr>
                <w:rFonts w:ascii="Arial" w:hAnsi="Arial" w:cs="Arial"/>
                <w:sz w:val="24"/>
                <w:szCs w:val="24"/>
                <w:lang w:val="en-US"/>
              </w:rPr>
              <w:t>)</w:t>
            </w:r>
          </w:p>
        </w:tc>
        <w:tc>
          <w:tcPr>
            <w:tcW w:w="1559" w:type="dxa"/>
            <w:tcBorders>
              <w:right w:val="single" w:sz="36" w:space="0" w:color="auto"/>
            </w:tcBorders>
          </w:tcPr>
          <w:p w14:paraId="70A2A714" w14:textId="40765C9F" w:rsidR="00DD6EEF" w:rsidRPr="004B61EA" w:rsidRDefault="009428D3" w:rsidP="001E087E">
            <w:pPr>
              <w:pStyle w:val="NoSpacing"/>
              <w:rPr>
                <w:rFonts w:ascii="Arial" w:hAnsi="Arial" w:cs="Arial"/>
                <w:sz w:val="24"/>
                <w:szCs w:val="24"/>
                <w:lang w:val="en-US"/>
              </w:rPr>
            </w:pPr>
            <w:r w:rsidRPr="004B61EA">
              <w:rPr>
                <w:rFonts w:ascii="Arial" w:hAnsi="Arial" w:cs="Arial"/>
                <w:sz w:val="24"/>
                <w:szCs w:val="24"/>
                <w:lang w:val="en-US"/>
              </w:rPr>
              <w:t>&lt;0.001</w:t>
            </w:r>
          </w:p>
        </w:tc>
        <w:tc>
          <w:tcPr>
            <w:tcW w:w="2126" w:type="dxa"/>
            <w:tcBorders>
              <w:top w:val="single" w:sz="12" w:space="0" w:color="auto"/>
              <w:left w:val="single" w:sz="36" w:space="0" w:color="auto"/>
              <w:bottom w:val="single" w:sz="12" w:space="0" w:color="auto"/>
              <w:right w:val="single" w:sz="12" w:space="0" w:color="auto"/>
            </w:tcBorders>
          </w:tcPr>
          <w:p w14:paraId="2AF08FA5" w14:textId="0D96ECBA" w:rsidR="00DD6EEF" w:rsidRPr="004B61EA" w:rsidRDefault="00B27AAE" w:rsidP="001E087E">
            <w:pPr>
              <w:pStyle w:val="NoSpacing"/>
              <w:rPr>
                <w:rFonts w:ascii="Arial" w:hAnsi="Arial" w:cs="Arial"/>
                <w:sz w:val="24"/>
                <w:szCs w:val="24"/>
                <w:lang w:val="en-US"/>
              </w:rPr>
            </w:pPr>
            <w:r w:rsidRPr="004B61EA">
              <w:rPr>
                <w:rFonts w:ascii="Arial" w:hAnsi="Arial" w:cs="Arial"/>
                <w:sz w:val="24"/>
                <w:szCs w:val="24"/>
                <w:lang w:val="en-US"/>
              </w:rPr>
              <w:t xml:space="preserve">194 </w:t>
            </w:r>
            <w:r w:rsidR="00F64AA3" w:rsidRPr="004B61EA">
              <w:rPr>
                <w:rFonts w:ascii="Arial" w:hAnsi="Arial" w:cs="Arial"/>
                <w:sz w:val="24"/>
                <w:szCs w:val="24"/>
                <w:lang w:val="en-US"/>
              </w:rPr>
              <w:t>(</w:t>
            </w:r>
            <w:r w:rsidRPr="004B61EA">
              <w:rPr>
                <w:rFonts w:ascii="Arial" w:hAnsi="Arial" w:cs="Arial"/>
                <w:sz w:val="24"/>
                <w:szCs w:val="24"/>
                <w:lang w:val="en-US"/>
              </w:rPr>
              <w:t>5.86</w:t>
            </w:r>
            <w:r w:rsidR="00F64AA3" w:rsidRPr="004B61EA">
              <w:rPr>
                <w:rFonts w:ascii="Arial" w:hAnsi="Arial" w:cs="Arial"/>
                <w:sz w:val="24"/>
                <w:szCs w:val="24"/>
                <w:lang w:val="en-US"/>
              </w:rPr>
              <w:t>)</w:t>
            </w:r>
          </w:p>
        </w:tc>
      </w:tr>
      <w:tr w:rsidR="00DD6EEF" w:rsidRPr="004B61EA" w14:paraId="2DDBF735" w14:textId="77777777" w:rsidTr="004358EA">
        <w:tc>
          <w:tcPr>
            <w:tcW w:w="1951" w:type="dxa"/>
          </w:tcPr>
          <w:p w14:paraId="644C6928" w14:textId="12A3084F" w:rsidR="00DD6EEF" w:rsidRPr="004B61EA" w:rsidRDefault="00DD6EEF" w:rsidP="00AE3BF0">
            <w:pPr>
              <w:pStyle w:val="NoSpacing"/>
              <w:rPr>
                <w:rFonts w:ascii="Arial" w:hAnsi="Arial" w:cs="Arial"/>
                <w:sz w:val="24"/>
                <w:szCs w:val="24"/>
                <w:lang w:val="en-US"/>
              </w:rPr>
            </w:pPr>
            <w:r w:rsidRPr="004B61EA">
              <w:rPr>
                <w:rFonts w:ascii="Arial" w:hAnsi="Arial" w:cs="Arial"/>
                <w:sz w:val="24"/>
                <w:szCs w:val="24"/>
                <w:lang w:val="en-US"/>
              </w:rPr>
              <w:t xml:space="preserve">   Severe, non-superimposed preeclampsia</w:t>
            </w:r>
          </w:p>
        </w:tc>
        <w:tc>
          <w:tcPr>
            <w:tcW w:w="2552" w:type="dxa"/>
          </w:tcPr>
          <w:p w14:paraId="626B1A97" w14:textId="113A0A45" w:rsidR="00DD6EEF" w:rsidRPr="004B61EA" w:rsidRDefault="00F64AA3" w:rsidP="001E087E">
            <w:pPr>
              <w:pStyle w:val="NoSpacing"/>
              <w:rPr>
                <w:rFonts w:ascii="Arial" w:hAnsi="Arial" w:cs="Arial"/>
                <w:sz w:val="24"/>
                <w:szCs w:val="24"/>
                <w:lang w:val="en-US"/>
              </w:rPr>
            </w:pPr>
            <w:r w:rsidRPr="004B61EA">
              <w:rPr>
                <w:rFonts w:ascii="Arial" w:hAnsi="Arial" w:cs="Arial"/>
                <w:sz w:val="24"/>
                <w:szCs w:val="24"/>
                <w:lang w:val="en-US"/>
              </w:rPr>
              <w:t>18 (</w:t>
            </w:r>
            <w:r w:rsidR="00B27AAE" w:rsidRPr="004B61EA">
              <w:rPr>
                <w:rFonts w:ascii="Arial" w:hAnsi="Arial" w:cs="Arial"/>
                <w:sz w:val="24"/>
                <w:szCs w:val="24"/>
                <w:lang w:val="en-US"/>
              </w:rPr>
              <w:t>2.71</w:t>
            </w:r>
            <w:r w:rsidRPr="004B61EA">
              <w:rPr>
                <w:rFonts w:ascii="Arial" w:hAnsi="Arial" w:cs="Arial"/>
                <w:sz w:val="24"/>
                <w:szCs w:val="24"/>
                <w:lang w:val="en-US"/>
              </w:rPr>
              <w:t>)</w:t>
            </w:r>
          </w:p>
        </w:tc>
        <w:tc>
          <w:tcPr>
            <w:tcW w:w="2551" w:type="dxa"/>
          </w:tcPr>
          <w:p w14:paraId="41E804BF" w14:textId="1FAF1F87" w:rsidR="00DD6EEF" w:rsidRPr="004B61EA" w:rsidRDefault="00F64AA3" w:rsidP="001E087E">
            <w:pPr>
              <w:pStyle w:val="NoSpacing"/>
              <w:rPr>
                <w:rFonts w:ascii="Arial" w:hAnsi="Arial" w:cs="Arial"/>
                <w:sz w:val="24"/>
                <w:szCs w:val="24"/>
                <w:lang w:val="en-US"/>
              </w:rPr>
            </w:pPr>
            <w:r w:rsidRPr="004B61EA">
              <w:rPr>
                <w:rFonts w:ascii="Arial" w:hAnsi="Arial" w:cs="Arial"/>
                <w:sz w:val="24"/>
                <w:szCs w:val="24"/>
                <w:lang w:val="en-US"/>
              </w:rPr>
              <w:t>39 (</w:t>
            </w:r>
            <w:r w:rsidR="00B27AAE" w:rsidRPr="004B61EA">
              <w:rPr>
                <w:rFonts w:ascii="Arial" w:hAnsi="Arial" w:cs="Arial"/>
                <w:sz w:val="24"/>
                <w:szCs w:val="24"/>
                <w:lang w:val="en-US"/>
              </w:rPr>
              <w:t>1.96</w:t>
            </w:r>
            <w:r w:rsidRPr="004B61EA">
              <w:rPr>
                <w:rFonts w:ascii="Arial" w:hAnsi="Arial" w:cs="Arial"/>
                <w:sz w:val="24"/>
                <w:szCs w:val="24"/>
                <w:lang w:val="en-US"/>
              </w:rPr>
              <w:t>)</w:t>
            </w:r>
          </w:p>
        </w:tc>
        <w:tc>
          <w:tcPr>
            <w:tcW w:w="2410" w:type="dxa"/>
            <w:tcBorders>
              <w:right w:val="single" w:sz="36" w:space="0" w:color="auto"/>
            </w:tcBorders>
          </w:tcPr>
          <w:p w14:paraId="7D0AF0D2" w14:textId="57C01707" w:rsidR="00DD6EEF" w:rsidRPr="004B61EA" w:rsidRDefault="00F64AA3" w:rsidP="001E087E">
            <w:pPr>
              <w:pStyle w:val="NoSpacing"/>
              <w:rPr>
                <w:rFonts w:ascii="Arial" w:hAnsi="Arial" w:cs="Arial"/>
                <w:sz w:val="24"/>
                <w:szCs w:val="24"/>
                <w:lang w:val="en-US"/>
              </w:rPr>
            </w:pPr>
            <w:r w:rsidRPr="004B61EA">
              <w:rPr>
                <w:rFonts w:ascii="Arial" w:hAnsi="Arial" w:cs="Arial"/>
                <w:sz w:val="24"/>
                <w:szCs w:val="24"/>
                <w:lang w:val="en-US"/>
              </w:rPr>
              <w:t>8 (</w:t>
            </w:r>
            <w:r w:rsidR="00B27AAE" w:rsidRPr="004B61EA">
              <w:rPr>
                <w:rFonts w:ascii="Arial" w:hAnsi="Arial" w:cs="Arial"/>
                <w:sz w:val="24"/>
                <w:szCs w:val="24"/>
                <w:lang w:val="en-US"/>
              </w:rPr>
              <w:t>1.21</w:t>
            </w:r>
            <w:r w:rsidRPr="004B61EA">
              <w:rPr>
                <w:rFonts w:ascii="Arial" w:hAnsi="Arial" w:cs="Arial"/>
                <w:sz w:val="24"/>
                <w:szCs w:val="24"/>
                <w:lang w:val="en-US"/>
              </w:rPr>
              <w:t>)</w:t>
            </w:r>
          </w:p>
        </w:tc>
        <w:tc>
          <w:tcPr>
            <w:tcW w:w="1559" w:type="dxa"/>
            <w:tcBorders>
              <w:right w:val="single" w:sz="36" w:space="0" w:color="auto"/>
            </w:tcBorders>
          </w:tcPr>
          <w:p w14:paraId="27C59589" w14:textId="1FAB22A9" w:rsidR="00DD6EEF" w:rsidRPr="004B61EA" w:rsidRDefault="009428D3" w:rsidP="001E087E">
            <w:pPr>
              <w:pStyle w:val="NoSpacing"/>
              <w:rPr>
                <w:rFonts w:ascii="Arial" w:hAnsi="Arial" w:cs="Arial"/>
                <w:sz w:val="24"/>
                <w:szCs w:val="24"/>
                <w:lang w:val="en-US"/>
              </w:rPr>
            </w:pPr>
            <w:r w:rsidRPr="004B61EA">
              <w:rPr>
                <w:rFonts w:ascii="Arial" w:hAnsi="Arial" w:cs="Arial"/>
                <w:sz w:val="24"/>
                <w:szCs w:val="24"/>
                <w:lang w:val="en-US"/>
              </w:rPr>
              <w:t>0.05</w:t>
            </w:r>
          </w:p>
        </w:tc>
        <w:tc>
          <w:tcPr>
            <w:tcW w:w="2126" w:type="dxa"/>
            <w:tcBorders>
              <w:top w:val="single" w:sz="12" w:space="0" w:color="auto"/>
              <w:left w:val="single" w:sz="36" w:space="0" w:color="auto"/>
              <w:bottom w:val="single" w:sz="12" w:space="0" w:color="auto"/>
              <w:right w:val="single" w:sz="12" w:space="0" w:color="auto"/>
            </w:tcBorders>
          </w:tcPr>
          <w:p w14:paraId="62067C50" w14:textId="129ECF34" w:rsidR="00DD6EEF" w:rsidRPr="004B61EA" w:rsidRDefault="00B27AAE" w:rsidP="001E087E">
            <w:pPr>
              <w:pStyle w:val="NoSpacing"/>
              <w:rPr>
                <w:rFonts w:ascii="Arial" w:hAnsi="Arial" w:cs="Arial"/>
                <w:sz w:val="24"/>
                <w:szCs w:val="24"/>
                <w:lang w:val="en-US"/>
              </w:rPr>
            </w:pPr>
            <w:r w:rsidRPr="004B61EA">
              <w:rPr>
                <w:rFonts w:ascii="Arial" w:hAnsi="Arial" w:cs="Arial"/>
                <w:sz w:val="24"/>
                <w:szCs w:val="24"/>
                <w:lang w:val="en-US"/>
              </w:rPr>
              <w:t xml:space="preserve">65 </w:t>
            </w:r>
            <w:r w:rsidR="00F64AA3" w:rsidRPr="004B61EA">
              <w:rPr>
                <w:rFonts w:ascii="Arial" w:hAnsi="Arial" w:cs="Arial"/>
                <w:sz w:val="24"/>
                <w:szCs w:val="24"/>
                <w:lang w:val="en-US"/>
              </w:rPr>
              <w:t>(</w:t>
            </w:r>
            <w:r w:rsidRPr="004B61EA">
              <w:rPr>
                <w:rFonts w:ascii="Arial" w:hAnsi="Arial" w:cs="Arial"/>
                <w:sz w:val="24"/>
                <w:szCs w:val="24"/>
                <w:lang w:val="en-US"/>
              </w:rPr>
              <w:t>1.96</w:t>
            </w:r>
            <w:r w:rsidR="00F64AA3" w:rsidRPr="004B61EA">
              <w:rPr>
                <w:rFonts w:ascii="Arial" w:hAnsi="Arial" w:cs="Arial"/>
                <w:sz w:val="24"/>
                <w:szCs w:val="24"/>
                <w:lang w:val="en-US"/>
              </w:rPr>
              <w:t>)</w:t>
            </w:r>
          </w:p>
        </w:tc>
      </w:tr>
    </w:tbl>
    <w:p w14:paraId="6C3375E5" w14:textId="486F989A" w:rsidR="007232E5" w:rsidRPr="004B61EA" w:rsidRDefault="007232E5" w:rsidP="007232E5">
      <w:pPr>
        <w:pStyle w:val="NoSpacing"/>
        <w:rPr>
          <w:rFonts w:ascii="Arial" w:hAnsi="Arial" w:cs="Arial"/>
          <w:sz w:val="24"/>
          <w:szCs w:val="24"/>
          <w:lang w:val="en-US"/>
        </w:rPr>
      </w:pPr>
      <w:r w:rsidRPr="004B61EA">
        <w:rPr>
          <w:rFonts w:ascii="Arial" w:hAnsi="Arial" w:cs="Arial"/>
          <w:sz w:val="24"/>
          <w:szCs w:val="24"/>
          <w:lang w:val="en-US"/>
        </w:rPr>
        <w:t xml:space="preserve">Data are median (IQR) or n(%). FTE= full time education, BMI=body mass index. Maternal age was defined as age at recruitment. All other maternal characteristics were defined by self-report at 20 weeks questionnaire, from examination of the clinical case cord, or linkage to the hospital’s electronic databases. </w:t>
      </w:r>
      <w:r w:rsidR="00DD6EEF" w:rsidRPr="004B61EA">
        <w:rPr>
          <w:rFonts w:ascii="Arial" w:hAnsi="Arial" w:cs="Arial"/>
          <w:sz w:val="24"/>
          <w:szCs w:val="24"/>
          <w:lang w:val="en-US"/>
        </w:rPr>
        <w:t xml:space="preserve">Neonatal morbidity was defined as one or more of the following criteria: a 5 min Apgar score of less than 7, delivery with metabolic acidosis (defined as cord blood pH &lt;7.1 and base deficit &gt;10 mml/L), or admission to the neonatal unit at term (defined as admission &lt;48h after birth at ≥ 37 weeks’ gestational age and discharge ≥48 h after admission). Preeclampsia and severe, non-superimposed, preeclampsia were defined according to the ACOG Guideline 2013 </w:t>
      </w:r>
      <w:r w:rsidR="00DD6EEF" w:rsidRPr="004B61EA">
        <w:rPr>
          <w:rFonts w:ascii="Arial" w:hAnsi="Arial" w:cs="Arial"/>
          <w:sz w:val="24"/>
          <w:szCs w:val="24"/>
          <w:lang w:val="en-US"/>
        </w:rPr>
        <w:fldChar w:fldCharType="begin" w:fldLock="1"/>
      </w:r>
      <w:r w:rsidR="0023362E" w:rsidRPr="004B61EA">
        <w:rPr>
          <w:rFonts w:ascii="Arial" w:hAnsi="Arial" w:cs="Arial"/>
          <w:sz w:val="24"/>
          <w:szCs w:val="24"/>
          <w:lang w:val="en-US"/>
        </w:rPr>
        <w:instrText>ADDIN CSL_CITATION { "citationItems" : [ { "id" : "ITEM-1", "itemData" : { "DOI" : "10.1097/01.AOG.0000437382.03963.88", "ISSN" : "0029-7844", "PMID" : "24150027", "author" : [ { "dropping-particle" : "", "family" : "American College of Obstetricians and Gynecologists", "given" : "", "non-dropping-particle" : "", "parse-names" : false, "suffix" : "" }, { "dropping-particle" : "", "family" : "Task Force on Hypertension in Pregnancy", "given" : "", "non-dropping-particle" : "", "parse-names" : false, "suffix" : "" } ], "container-title" : "Obstetrics &amp; Gynecology", "id" : "ITEM-1", "issue" : "5", "issued" : { "date-parts" : [ [ "2013", "11" ] ] }, "page" : "1122-1131", "title" : "Hypertension in Pregnancy", "type" : "article-journal", "volume" : "122" }, "uris" : [ "http://www.mendeley.com/documents/?uuid=efd66b80-1826-3ee2-8840-e9fda9ddbe02" ] } ], "mendeley" : { "formattedCitation" : "[13]", "plainTextFormattedCitation" : "[13]", "previouslyFormattedCitation" : "[13]" }, "properties" : { "noteIndex" : 0 }, "schema" : "https://github.com/citation-style-language/schema/raw/master/csl-citation.json" }</w:instrText>
      </w:r>
      <w:r w:rsidR="00DD6EEF" w:rsidRPr="004B61EA">
        <w:rPr>
          <w:rFonts w:ascii="Arial" w:hAnsi="Arial" w:cs="Arial"/>
          <w:sz w:val="24"/>
          <w:szCs w:val="24"/>
          <w:lang w:val="en-US"/>
        </w:rPr>
        <w:fldChar w:fldCharType="separate"/>
      </w:r>
      <w:r w:rsidR="00CD04E5" w:rsidRPr="004B61EA">
        <w:rPr>
          <w:rFonts w:ascii="Arial" w:hAnsi="Arial" w:cs="Arial"/>
          <w:noProof/>
          <w:sz w:val="24"/>
          <w:szCs w:val="24"/>
          <w:lang w:val="en-US"/>
        </w:rPr>
        <w:t>[13]</w:t>
      </w:r>
      <w:r w:rsidR="00DD6EEF" w:rsidRPr="004B61EA">
        <w:rPr>
          <w:rFonts w:ascii="Arial" w:hAnsi="Arial" w:cs="Arial"/>
          <w:sz w:val="24"/>
          <w:szCs w:val="24"/>
          <w:lang w:val="en-US"/>
        </w:rPr>
        <w:fldChar w:fldCharType="end"/>
      </w:r>
      <w:r w:rsidR="00DD6EEF" w:rsidRPr="004B61EA">
        <w:rPr>
          <w:rFonts w:ascii="Arial" w:hAnsi="Arial" w:cs="Arial"/>
          <w:sz w:val="24"/>
          <w:szCs w:val="24"/>
          <w:lang w:val="en-US"/>
        </w:rPr>
        <w:t>.</w:t>
      </w:r>
    </w:p>
    <w:p w14:paraId="0D3EC80F" w14:textId="77777777" w:rsidR="007232E5" w:rsidRPr="004B61EA" w:rsidRDefault="007232E5" w:rsidP="007232E5">
      <w:pPr>
        <w:pStyle w:val="NoSpacing"/>
        <w:rPr>
          <w:rFonts w:ascii="Arial" w:hAnsi="Arial" w:cs="Arial"/>
          <w:sz w:val="24"/>
          <w:szCs w:val="24"/>
          <w:lang w:val="en-US"/>
        </w:rPr>
      </w:pPr>
      <w:r w:rsidRPr="004B61EA">
        <w:rPr>
          <w:rFonts w:ascii="Arial" w:hAnsi="Arial" w:cs="Arial"/>
          <w:sz w:val="24"/>
          <w:szCs w:val="24"/>
          <w:lang w:val="en-US"/>
        </w:rPr>
        <w:t>Data were complete where there is no missing row presented.</w:t>
      </w:r>
    </w:p>
    <w:p w14:paraId="3C8D9049" w14:textId="51A51063" w:rsidR="007232E5" w:rsidRPr="004B61EA" w:rsidRDefault="007232E5" w:rsidP="007232E5">
      <w:pPr>
        <w:pStyle w:val="NoSpacing"/>
        <w:rPr>
          <w:rFonts w:ascii="Arial" w:hAnsi="Arial" w:cs="Arial"/>
          <w:sz w:val="24"/>
          <w:szCs w:val="24"/>
          <w:lang w:val="en-US"/>
        </w:rPr>
      </w:pPr>
      <w:r w:rsidRPr="004B61EA">
        <w:rPr>
          <w:rFonts w:ascii="Arial" w:hAnsi="Arial" w:cs="Arial"/>
          <w:sz w:val="24"/>
          <w:szCs w:val="24"/>
          <w:lang w:val="en-US"/>
        </w:rPr>
        <w:t>* Tw</w:t>
      </w:r>
      <w:r w:rsidR="00F3151D" w:rsidRPr="004B61EA">
        <w:rPr>
          <w:rFonts w:ascii="Arial" w:hAnsi="Arial" w:cs="Arial"/>
          <w:sz w:val="24"/>
          <w:szCs w:val="24"/>
          <w:lang w:val="en-US"/>
        </w:rPr>
        <w:t xml:space="preserve">o sided p value; </w:t>
      </w:r>
      <w:r w:rsidR="00C3069A" w:rsidRPr="004B61EA">
        <w:rPr>
          <w:rFonts w:ascii="Arial" w:hAnsi="Arial" w:cs="Arial"/>
          <w:sz w:val="24"/>
          <w:szCs w:val="24"/>
          <w:lang w:val="en-US"/>
        </w:rPr>
        <w:t>Kendall’s tau</w:t>
      </w:r>
      <w:r w:rsidR="00463B33" w:rsidRPr="004B61EA">
        <w:rPr>
          <w:rFonts w:ascii="Arial" w:hAnsi="Arial" w:cs="Arial"/>
          <w:sz w:val="24"/>
          <w:szCs w:val="24"/>
          <w:lang w:val="en-US"/>
        </w:rPr>
        <w:t xml:space="preserve"> </w:t>
      </w:r>
      <w:r w:rsidR="00C3069A" w:rsidRPr="004B61EA">
        <w:rPr>
          <w:rFonts w:ascii="Arial" w:hAnsi="Arial" w:cs="Arial"/>
          <w:sz w:val="24"/>
          <w:szCs w:val="24"/>
          <w:lang w:val="en-US"/>
        </w:rPr>
        <w:t xml:space="preserve">rank correlation test </w:t>
      </w:r>
      <w:r w:rsidR="005866CB" w:rsidRPr="004B61EA">
        <w:rPr>
          <w:rFonts w:ascii="Arial" w:hAnsi="Arial" w:cs="Arial"/>
          <w:sz w:val="24"/>
          <w:szCs w:val="24"/>
          <w:lang w:val="en-US"/>
        </w:rPr>
        <w:t>for continuous characteristics</w:t>
      </w:r>
      <w:r w:rsidR="00F3151D" w:rsidRPr="004B61EA">
        <w:rPr>
          <w:rFonts w:ascii="Arial" w:hAnsi="Arial" w:cs="Arial"/>
          <w:sz w:val="24"/>
          <w:szCs w:val="24"/>
          <w:lang w:val="en-US"/>
        </w:rPr>
        <w:t xml:space="preserve"> </w:t>
      </w:r>
      <w:r w:rsidR="00B07315" w:rsidRPr="004B61EA">
        <w:rPr>
          <w:rFonts w:ascii="Arial" w:hAnsi="Arial" w:cs="Arial"/>
          <w:sz w:val="24"/>
          <w:szCs w:val="24"/>
          <w:lang w:val="en-US"/>
        </w:rPr>
        <w:t xml:space="preserve">or </w:t>
      </w:r>
      <w:r w:rsidR="00C90228" w:rsidRPr="004B61EA">
        <w:rPr>
          <w:rFonts w:ascii="Arial" w:hAnsi="Arial" w:cs="Arial"/>
          <w:sz w:val="24"/>
          <w:szCs w:val="24"/>
          <w:lang w:val="en-US"/>
        </w:rPr>
        <w:t>Wilcoxon</w:t>
      </w:r>
      <w:r w:rsidR="00B07315" w:rsidRPr="004B61EA">
        <w:rPr>
          <w:rFonts w:ascii="Arial" w:hAnsi="Arial" w:cs="Arial"/>
          <w:sz w:val="24"/>
          <w:szCs w:val="24"/>
          <w:lang w:val="en-US"/>
        </w:rPr>
        <w:t>-type test for trend</w:t>
      </w:r>
      <w:r w:rsidR="00863780" w:rsidRPr="004B61EA">
        <w:rPr>
          <w:rFonts w:ascii="Arial" w:hAnsi="Arial" w:cs="Arial"/>
          <w:sz w:val="24"/>
          <w:szCs w:val="24"/>
          <w:lang w:val="en-US"/>
        </w:rPr>
        <w:t xml:space="preserve"> for categorical characteristics </w:t>
      </w:r>
      <w:r w:rsidR="00863780" w:rsidRPr="004B61EA">
        <w:rPr>
          <w:rFonts w:ascii="Arial" w:hAnsi="Arial" w:cs="Arial"/>
          <w:sz w:val="24"/>
          <w:szCs w:val="24"/>
          <w:lang w:val="en-US"/>
        </w:rPr>
        <w:fldChar w:fldCharType="begin" w:fldLock="1"/>
      </w:r>
      <w:r w:rsidR="00207B7C" w:rsidRPr="004B61EA">
        <w:rPr>
          <w:rFonts w:ascii="Arial" w:hAnsi="Arial" w:cs="Arial"/>
          <w:sz w:val="24"/>
          <w:szCs w:val="24"/>
          <w:lang w:val="en-US"/>
        </w:rPr>
        <w:instrText>ADDIN CSL_CITATION { "citationItems" : [ { "id" : "ITEM-1", "itemData" : { "ISSN" : "0277-6715", "PMID" : "3992076", "abstract" : "An extension of the Wilcoxon rank-sum test is developed to handle the situation in which a variable is measured for individuals in three or more (ordered) groups and a non-parametric test for trend across these groups is desired. The uses of the test are illustrated by two examples from cancer research.", "author" : [ { "dropping-particle" : "", "family" : "Cuzick", "given" : "J", "non-dropping-particle" : "", "parse-names" : false, "suffix" : "" } ], "container-title" : "Statistics in medicine", "id" : "ITEM-1", "issue" : "1", "issued" : { "date-parts" : [ [ "0" ] ] }, "page" : "87-90", "title" : "A Wilcoxon-type test for trend.", "type" : "article-journal", "volume" : "4" }, "uris" : [ "http://www.mendeley.com/documents/?uuid=0cb7ef0a-f70b-3b13-904a-54c23a831e3b" ] } ], "mendeley" : { "formattedCitation" : "[35]", "plainTextFormattedCitation" : "[35]", "previouslyFormattedCitation" : "[34]" }, "properties" : { "noteIndex" : 0 }, "schema" : "https://github.com/citation-style-language/schema/raw/master/csl-citation.json" }</w:instrText>
      </w:r>
      <w:r w:rsidR="00863780" w:rsidRPr="004B61EA">
        <w:rPr>
          <w:rFonts w:ascii="Arial" w:hAnsi="Arial" w:cs="Arial"/>
          <w:sz w:val="24"/>
          <w:szCs w:val="24"/>
          <w:lang w:val="en-US"/>
        </w:rPr>
        <w:fldChar w:fldCharType="separate"/>
      </w:r>
      <w:r w:rsidR="00207B7C" w:rsidRPr="004B61EA">
        <w:rPr>
          <w:rFonts w:ascii="Arial" w:hAnsi="Arial" w:cs="Arial"/>
          <w:noProof/>
          <w:sz w:val="24"/>
          <w:szCs w:val="24"/>
          <w:lang w:val="en-US"/>
        </w:rPr>
        <w:t>[35]</w:t>
      </w:r>
      <w:r w:rsidR="00863780" w:rsidRPr="004B61EA">
        <w:rPr>
          <w:rFonts w:ascii="Arial" w:hAnsi="Arial" w:cs="Arial"/>
          <w:sz w:val="24"/>
          <w:szCs w:val="24"/>
          <w:lang w:val="en-US"/>
        </w:rPr>
        <w:fldChar w:fldCharType="end"/>
      </w:r>
      <w:r w:rsidR="00863780" w:rsidRPr="004B61EA">
        <w:rPr>
          <w:rFonts w:ascii="Arial" w:hAnsi="Arial" w:cs="Arial"/>
          <w:sz w:val="24"/>
          <w:szCs w:val="24"/>
          <w:lang w:val="en-US"/>
        </w:rPr>
        <w:t>.</w:t>
      </w:r>
    </w:p>
    <w:p w14:paraId="6268AFF2" w14:textId="22422705" w:rsidR="007232E5" w:rsidRPr="004B61EA" w:rsidRDefault="007232E5">
      <w:pPr>
        <w:rPr>
          <w:rFonts w:ascii="Arial" w:hAnsi="Arial" w:cs="Arial"/>
          <w:sz w:val="24"/>
          <w:szCs w:val="24"/>
          <w:lang w:val="en-US"/>
        </w:rPr>
      </w:pPr>
      <w:r w:rsidRPr="004B61EA">
        <w:rPr>
          <w:rFonts w:ascii="Arial" w:hAnsi="Arial" w:cs="Arial"/>
          <w:sz w:val="24"/>
          <w:szCs w:val="24"/>
          <w:lang w:val="en-US"/>
        </w:rPr>
        <w:br w:type="page"/>
      </w:r>
    </w:p>
    <w:p w14:paraId="29831841" w14:textId="717243C5" w:rsidR="007232E5" w:rsidRPr="004B61EA" w:rsidRDefault="007232E5" w:rsidP="007232E5">
      <w:pPr>
        <w:pStyle w:val="NoSpacing"/>
        <w:rPr>
          <w:rFonts w:ascii="Arial" w:hAnsi="Arial" w:cs="Arial"/>
          <w:b/>
          <w:sz w:val="24"/>
          <w:szCs w:val="24"/>
          <w:lang w:val="en-US"/>
        </w:rPr>
      </w:pPr>
      <w:r w:rsidRPr="004B61EA">
        <w:rPr>
          <w:rFonts w:ascii="Arial" w:hAnsi="Arial" w:cs="Arial"/>
          <w:b/>
          <w:sz w:val="24"/>
          <w:szCs w:val="24"/>
          <w:lang w:val="en-US"/>
        </w:rPr>
        <w:t>Table 2.</w:t>
      </w:r>
      <w:r w:rsidRPr="004B61EA">
        <w:rPr>
          <w:rFonts w:ascii="Arial" w:hAnsi="Arial" w:cs="Arial"/>
          <w:sz w:val="24"/>
          <w:szCs w:val="24"/>
          <w:lang w:val="en-US"/>
        </w:rPr>
        <w:t xml:space="preserve"> Linear regression analysis of birth weight to placenta weight ratio </w:t>
      </w:r>
      <w:r w:rsidR="00F3151D" w:rsidRPr="004B61EA">
        <w:rPr>
          <w:rFonts w:ascii="Arial" w:hAnsi="Arial" w:cs="Arial"/>
          <w:sz w:val="24"/>
          <w:szCs w:val="24"/>
          <w:lang w:val="en-US"/>
        </w:rPr>
        <w:t xml:space="preserve">(BWPW) </w:t>
      </w:r>
      <w:r w:rsidRPr="004B61EA">
        <w:rPr>
          <w:rFonts w:ascii="Arial" w:hAnsi="Arial" w:cs="Arial"/>
          <w:sz w:val="24"/>
          <w:szCs w:val="24"/>
          <w:lang w:val="en-US"/>
        </w:rPr>
        <w:t>in relation to abdominal circumference growth velocity, umbilical artery Doppler PI and uterine artery Doppler PI.</w:t>
      </w:r>
    </w:p>
    <w:p w14:paraId="25464258" w14:textId="77777777" w:rsidR="007232E5" w:rsidRPr="004B61EA" w:rsidRDefault="007232E5" w:rsidP="007232E5">
      <w:pPr>
        <w:pStyle w:val="NoSpacing"/>
        <w:rPr>
          <w:rFonts w:ascii="Arial" w:hAnsi="Arial" w:cs="Arial"/>
          <w:sz w:val="24"/>
          <w:szCs w:val="24"/>
          <w:lang w:val="en-US"/>
        </w:rPr>
      </w:pPr>
    </w:p>
    <w:tbl>
      <w:tblPr>
        <w:tblStyle w:val="TableGrid"/>
        <w:tblW w:w="0" w:type="auto"/>
        <w:tblLayout w:type="fixed"/>
        <w:tblLook w:val="04A0" w:firstRow="1" w:lastRow="0" w:firstColumn="1" w:lastColumn="0" w:noHBand="0" w:noVBand="1"/>
      </w:tblPr>
      <w:tblGrid>
        <w:gridCol w:w="3312"/>
        <w:gridCol w:w="750"/>
        <w:gridCol w:w="2567"/>
        <w:gridCol w:w="992"/>
        <w:gridCol w:w="3119"/>
        <w:gridCol w:w="992"/>
      </w:tblGrid>
      <w:tr w:rsidR="007232E5" w:rsidRPr="004B61EA" w14:paraId="78BCF6C4" w14:textId="77777777" w:rsidTr="00C52D4C">
        <w:tc>
          <w:tcPr>
            <w:tcW w:w="3312" w:type="dxa"/>
          </w:tcPr>
          <w:p w14:paraId="136BDD73" w14:textId="77777777" w:rsidR="007232E5" w:rsidRPr="004B61EA" w:rsidRDefault="007232E5" w:rsidP="001E087E">
            <w:pPr>
              <w:pStyle w:val="NoSpacing"/>
              <w:rPr>
                <w:rFonts w:ascii="Arial" w:hAnsi="Arial" w:cs="Arial"/>
                <w:sz w:val="24"/>
                <w:szCs w:val="24"/>
                <w:lang w:val="en-US"/>
              </w:rPr>
            </w:pPr>
          </w:p>
        </w:tc>
        <w:tc>
          <w:tcPr>
            <w:tcW w:w="750" w:type="dxa"/>
          </w:tcPr>
          <w:p w14:paraId="2C1B3016" w14:textId="77777777" w:rsidR="007232E5" w:rsidRPr="004B61EA" w:rsidRDefault="007232E5" w:rsidP="001E087E">
            <w:pPr>
              <w:pStyle w:val="NoSpacing"/>
              <w:rPr>
                <w:rFonts w:ascii="Arial" w:hAnsi="Arial" w:cs="Arial"/>
                <w:sz w:val="24"/>
                <w:szCs w:val="24"/>
                <w:lang w:val="en-US"/>
              </w:rPr>
            </w:pPr>
          </w:p>
        </w:tc>
        <w:tc>
          <w:tcPr>
            <w:tcW w:w="3559" w:type="dxa"/>
            <w:gridSpan w:val="2"/>
          </w:tcPr>
          <w:p w14:paraId="2A109562"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Unadjusted analysis</w:t>
            </w:r>
          </w:p>
        </w:tc>
        <w:tc>
          <w:tcPr>
            <w:tcW w:w="4111" w:type="dxa"/>
            <w:gridSpan w:val="2"/>
          </w:tcPr>
          <w:p w14:paraId="593F9ED3" w14:textId="6481E10A" w:rsidR="007232E5" w:rsidRPr="004B61EA" w:rsidRDefault="007232E5" w:rsidP="00541EB1">
            <w:pPr>
              <w:pStyle w:val="NoSpacing"/>
              <w:rPr>
                <w:rFonts w:ascii="Arial" w:hAnsi="Arial" w:cs="Arial"/>
                <w:sz w:val="24"/>
                <w:szCs w:val="24"/>
                <w:lang w:val="en-US"/>
              </w:rPr>
            </w:pPr>
            <w:r w:rsidRPr="004B61EA">
              <w:rPr>
                <w:rFonts w:ascii="Arial" w:hAnsi="Arial" w:cs="Arial"/>
                <w:sz w:val="24"/>
                <w:szCs w:val="24"/>
                <w:lang w:val="en-US"/>
              </w:rPr>
              <w:t>Adjusted</w:t>
            </w:r>
            <w:r w:rsidR="00541EB1" w:rsidRPr="004B61EA">
              <w:rPr>
                <w:rFonts w:ascii="Arial" w:hAnsi="Arial" w:cs="Arial"/>
                <w:sz w:val="24"/>
                <w:szCs w:val="24"/>
                <w:lang w:val="en-US"/>
              </w:rPr>
              <w:t xml:space="preserve"> analysis*</w:t>
            </w:r>
            <w:r w:rsidRPr="004B61EA">
              <w:rPr>
                <w:rFonts w:ascii="Arial" w:hAnsi="Arial" w:cs="Arial"/>
                <w:sz w:val="24"/>
                <w:szCs w:val="24"/>
                <w:lang w:val="en-US"/>
              </w:rPr>
              <w:t xml:space="preserve"> </w:t>
            </w:r>
          </w:p>
        </w:tc>
      </w:tr>
      <w:tr w:rsidR="007232E5" w:rsidRPr="004B61EA" w14:paraId="07BAB0A5" w14:textId="77777777" w:rsidTr="00C52D4C">
        <w:tc>
          <w:tcPr>
            <w:tcW w:w="3312" w:type="dxa"/>
          </w:tcPr>
          <w:p w14:paraId="0453AF8C"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Analysis</w:t>
            </w:r>
          </w:p>
        </w:tc>
        <w:tc>
          <w:tcPr>
            <w:tcW w:w="750" w:type="dxa"/>
          </w:tcPr>
          <w:p w14:paraId="19824888"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N</w:t>
            </w:r>
          </w:p>
        </w:tc>
        <w:tc>
          <w:tcPr>
            <w:tcW w:w="2567" w:type="dxa"/>
          </w:tcPr>
          <w:p w14:paraId="36254580" w14:textId="031235E9" w:rsidR="007232E5" w:rsidRPr="004B61EA" w:rsidRDefault="007232E5" w:rsidP="001E087E">
            <w:pPr>
              <w:pStyle w:val="NoSpacing"/>
              <w:rPr>
                <w:rFonts w:ascii="Arial" w:hAnsi="Arial" w:cs="Arial"/>
                <w:sz w:val="24"/>
                <w:szCs w:val="24"/>
              </w:rPr>
            </w:pPr>
            <w:r w:rsidRPr="004B61EA">
              <w:rPr>
                <w:rFonts w:ascii="Arial" w:hAnsi="Arial" w:cs="Arial"/>
                <w:sz w:val="24"/>
                <w:szCs w:val="24"/>
              </w:rPr>
              <w:t>Coeff (95% CI)*</w:t>
            </w:r>
            <w:r w:rsidR="00541EB1" w:rsidRPr="004B61EA">
              <w:rPr>
                <w:rFonts w:ascii="Arial" w:hAnsi="Arial" w:cs="Arial"/>
                <w:sz w:val="24"/>
                <w:szCs w:val="24"/>
              </w:rPr>
              <w:t>*</w:t>
            </w:r>
          </w:p>
        </w:tc>
        <w:tc>
          <w:tcPr>
            <w:tcW w:w="992" w:type="dxa"/>
          </w:tcPr>
          <w:p w14:paraId="4EE80CE6"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P</w:t>
            </w:r>
          </w:p>
        </w:tc>
        <w:tc>
          <w:tcPr>
            <w:tcW w:w="3119" w:type="dxa"/>
          </w:tcPr>
          <w:p w14:paraId="3743C5BF" w14:textId="1200C2CC" w:rsidR="007232E5" w:rsidRPr="004B61EA" w:rsidRDefault="007232E5" w:rsidP="001E087E">
            <w:pPr>
              <w:pStyle w:val="NoSpacing"/>
              <w:rPr>
                <w:rFonts w:ascii="Arial" w:hAnsi="Arial" w:cs="Arial"/>
                <w:sz w:val="24"/>
                <w:szCs w:val="24"/>
              </w:rPr>
            </w:pPr>
            <w:r w:rsidRPr="004B61EA">
              <w:rPr>
                <w:rFonts w:ascii="Arial" w:hAnsi="Arial" w:cs="Arial"/>
                <w:sz w:val="24"/>
                <w:szCs w:val="24"/>
              </w:rPr>
              <w:t>Coeff (95% CI)*</w:t>
            </w:r>
            <w:r w:rsidR="00541EB1" w:rsidRPr="004B61EA">
              <w:rPr>
                <w:rFonts w:ascii="Arial" w:hAnsi="Arial" w:cs="Arial"/>
                <w:sz w:val="24"/>
                <w:szCs w:val="24"/>
              </w:rPr>
              <w:t>*</w:t>
            </w:r>
          </w:p>
        </w:tc>
        <w:tc>
          <w:tcPr>
            <w:tcW w:w="992" w:type="dxa"/>
          </w:tcPr>
          <w:p w14:paraId="3E060355"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P</w:t>
            </w:r>
          </w:p>
        </w:tc>
      </w:tr>
      <w:tr w:rsidR="007232E5" w:rsidRPr="004B61EA" w14:paraId="5B3F8D80" w14:textId="77777777" w:rsidTr="00C52D4C">
        <w:tc>
          <w:tcPr>
            <w:tcW w:w="3312" w:type="dxa"/>
          </w:tcPr>
          <w:p w14:paraId="20175879" w14:textId="77777777" w:rsidR="007232E5" w:rsidRPr="004B61EA" w:rsidRDefault="007232E5" w:rsidP="001E087E">
            <w:pPr>
              <w:pStyle w:val="NoSpacing"/>
              <w:rPr>
                <w:rFonts w:ascii="Arial" w:hAnsi="Arial" w:cs="Arial"/>
                <w:b/>
                <w:sz w:val="24"/>
                <w:szCs w:val="24"/>
              </w:rPr>
            </w:pPr>
            <w:r w:rsidRPr="004B61EA">
              <w:rPr>
                <w:rFonts w:ascii="Arial" w:hAnsi="Arial" w:cs="Arial"/>
                <w:b/>
                <w:sz w:val="24"/>
                <w:szCs w:val="24"/>
              </w:rPr>
              <w:t>ACGV (20-36 weeks)</w:t>
            </w:r>
          </w:p>
        </w:tc>
        <w:tc>
          <w:tcPr>
            <w:tcW w:w="750" w:type="dxa"/>
          </w:tcPr>
          <w:p w14:paraId="3AA9EC14" w14:textId="77777777" w:rsidR="007232E5" w:rsidRPr="004B61EA" w:rsidRDefault="007232E5" w:rsidP="001E087E">
            <w:pPr>
              <w:pStyle w:val="NoSpacing"/>
              <w:rPr>
                <w:rFonts w:ascii="Arial" w:hAnsi="Arial" w:cs="Arial"/>
                <w:sz w:val="24"/>
                <w:szCs w:val="24"/>
              </w:rPr>
            </w:pPr>
          </w:p>
        </w:tc>
        <w:tc>
          <w:tcPr>
            <w:tcW w:w="2567" w:type="dxa"/>
          </w:tcPr>
          <w:p w14:paraId="23D2981B" w14:textId="77777777" w:rsidR="007232E5" w:rsidRPr="004B61EA" w:rsidRDefault="007232E5" w:rsidP="001E087E">
            <w:pPr>
              <w:pStyle w:val="NoSpacing"/>
              <w:rPr>
                <w:rFonts w:ascii="Arial" w:hAnsi="Arial" w:cs="Arial"/>
                <w:sz w:val="24"/>
                <w:szCs w:val="24"/>
              </w:rPr>
            </w:pPr>
          </w:p>
        </w:tc>
        <w:tc>
          <w:tcPr>
            <w:tcW w:w="992" w:type="dxa"/>
          </w:tcPr>
          <w:p w14:paraId="6121F94E" w14:textId="77777777" w:rsidR="007232E5" w:rsidRPr="004B61EA" w:rsidRDefault="007232E5" w:rsidP="001E087E">
            <w:pPr>
              <w:pStyle w:val="NoSpacing"/>
              <w:rPr>
                <w:rFonts w:ascii="Arial" w:hAnsi="Arial" w:cs="Arial"/>
                <w:sz w:val="24"/>
                <w:szCs w:val="24"/>
              </w:rPr>
            </w:pPr>
          </w:p>
        </w:tc>
        <w:tc>
          <w:tcPr>
            <w:tcW w:w="3119" w:type="dxa"/>
          </w:tcPr>
          <w:p w14:paraId="6F6619B2" w14:textId="77777777" w:rsidR="007232E5" w:rsidRPr="004B61EA" w:rsidRDefault="007232E5" w:rsidP="001E087E">
            <w:pPr>
              <w:pStyle w:val="NoSpacing"/>
              <w:rPr>
                <w:rFonts w:ascii="Arial" w:hAnsi="Arial" w:cs="Arial"/>
                <w:sz w:val="24"/>
                <w:szCs w:val="24"/>
              </w:rPr>
            </w:pPr>
          </w:p>
        </w:tc>
        <w:tc>
          <w:tcPr>
            <w:tcW w:w="992" w:type="dxa"/>
          </w:tcPr>
          <w:p w14:paraId="3AF4C53D" w14:textId="77777777" w:rsidR="007232E5" w:rsidRPr="004B61EA" w:rsidRDefault="007232E5" w:rsidP="001E087E">
            <w:pPr>
              <w:pStyle w:val="NoSpacing"/>
              <w:rPr>
                <w:rFonts w:ascii="Arial" w:hAnsi="Arial" w:cs="Arial"/>
                <w:sz w:val="24"/>
                <w:szCs w:val="24"/>
              </w:rPr>
            </w:pPr>
          </w:p>
        </w:tc>
      </w:tr>
      <w:tr w:rsidR="007232E5" w:rsidRPr="004B61EA" w14:paraId="160E65F2" w14:textId="77777777" w:rsidTr="00C52D4C">
        <w:tc>
          <w:tcPr>
            <w:tcW w:w="3312" w:type="dxa"/>
          </w:tcPr>
          <w:p w14:paraId="30244742" w14:textId="77777777" w:rsidR="007232E5" w:rsidRPr="004B61EA" w:rsidRDefault="007232E5" w:rsidP="001E087E">
            <w:pPr>
              <w:pStyle w:val="NoSpacing"/>
              <w:rPr>
                <w:rFonts w:ascii="Arial" w:hAnsi="Arial" w:cs="Arial"/>
                <w:sz w:val="24"/>
                <w:szCs w:val="24"/>
                <w:lang w:val="en-US"/>
              </w:rPr>
            </w:pPr>
            <w:r w:rsidRPr="004B61EA">
              <w:rPr>
                <w:rFonts w:ascii="Arial" w:hAnsi="Arial" w:cs="Arial"/>
                <w:sz w:val="24"/>
                <w:szCs w:val="24"/>
                <w:lang w:val="en-US"/>
              </w:rPr>
              <w:t xml:space="preserve">    Low BWPW-ratio   (Q1, &lt;20</w:t>
            </w:r>
            <w:r w:rsidRPr="004B61EA">
              <w:rPr>
                <w:rFonts w:ascii="Arial" w:hAnsi="Arial" w:cs="Arial"/>
                <w:sz w:val="24"/>
                <w:szCs w:val="24"/>
                <w:vertAlign w:val="superscript"/>
                <w:lang w:val="en-US"/>
              </w:rPr>
              <w:t>th</w:t>
            </w:r>
            <w:r w:rsidRPr="004B61EA">
              <w:rPr>
                <w:rFonts w:ascii="Arial" w:hAnsi="Arial" w:cs="Arial"/>
                <w:sz w:val="24"/>
                <w:szCs w:val="24"/>
                <w:lang w:val="en-US"/>
              </w:rPr>
              <w:t xml:space="preserve"> percentile)</w:t>
            </w:r>
          </w:p>
        </w:tc>
        <w:tc>
          <w:tcPr>
            <w:tcW w:w="750" w:type="dxa"/>
          </w:tcPr>
          <w:p w14:paraId="7ACE8E0F"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2649</w:t>
            </w:r>
          </w:p>
        </w:tc>
        <w:tc>
          <w:tcPr>
            <w:tcW w:w="2567" w:type="dxa"/>
          </w:tcPr>
          <w:p w14:paraId="612CC28B"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0.08 (-0.02 to 0.18)</w:t>
            </w:r>
          </w:p>
        </w:tc>
        <w:tc>
          <w:tcPr>
            <w:tcW w:w="992" w:type="dxa"/>
          </w:tcPr>
          <w:p w14:paraId="0D303A52"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0.14</w:t>
            </w:r>
          </w:p>
        </w:tc>
        <w:tc>
          <w:tcPr>
            <w:tcW w:w="3119" w:type="dxa"/>
          </w:tcPr>
          <w:p w14:paraId="0E3A1DE1"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0.06 (-0.04 to 0.16)</w:t>
            </w:r>
          </w:p>
        </w:tc>
        <w:tc>
          <w:tcPr>
            <w:tcW w:w="992" w:type="dxa"/>
          </w:tcPr>
          <w:p w14:paraId="6698FC28" w14:textId="1F8F187B" w:rsidR="007232E5" w:rsidRPr="004B61EA" w:rsidRDefault="007232E5" w:rsidP="001E087E">
            <w:pPr>
              <w:pStyle w:val="NoSpacing"/>
              <w:rPr>
                <w:rFonts w:ascii="Arial" w:hAnsi="Arial" w:cs="Arial"/>
                <w:sz w:val="24"/>
                <w:szCs w:val="24"/>
              </w:rPr>
            </w:pPr>
            <w:r w:rsidRPr="004B61EA">
              <w:rPr>
                <w:rFonts w:ascii="Arial" w:hAnsi="Arial" w:cs="Arial"/>
                <w:sz w:val="24"/>
                <w:szCs w:val="24"/>
              </w:rPr>
              <w:t>0.2</w:t>
            </w:r>
            <w:r w:rsidR="00D61BA8" w:rsidRPr="004B61EA">
              <w:rPr>
                <w:rFonts w:ascii="Arial" w:hAnsi="Arial" w:cs="Arial"/>
                <w:sz w:val="24"/>
                <w:szCs w:val="24"/>
              </w:rPr>
              <w:t>3</w:t>
            </w:r>
          </w:p>
        </w:tc>
      </w:tr>
      <w:tr w:rsidR="007232E5" w:rsidRPr="004B61EA" w14:paraId="28E0E996" w14:textId="77777777" w:rsidTr="00C52D4C">
        <w:tc>
          <w:tcPr>
            <w:tcW w:w="3312" w:type="dxa"/>
          </w:tcPr>
          <w:p w14:paraId="4169BF78" w14:textId="77777777" w:rsidR="007232E5" w:rsidRPr="004B61EA" w:rsidRDefault="007232E5" w:rsidP="001E087E">
            <w:pPr>
              <w:pStyle w:val="NoSpacing"/>
              <w:rPr>
                <w:rFonts w:ascii="Arial" w:hAnsi="Arial" w:cs="Arial"/>
                <w:sz w:val="24"/>
                <w:szCs w:val="24"/>
                <w:lang w:val="en-US"/>
              </w:rPr>
            </w:pPr>
            <w:r w:rsidRPr="004B61EA">
              <w:rPr>
                <w:rFonts w:ascii="Arial" w:hAnsi="Arial" w:cs="Arial"/>
                <w:sz w:val="24"/>
                <w:szCs w:val="24"/>
                <w:lang w:val="en-US"/>
              </w:rPr>
              <w:t xml:space="preserve">    High BWPW-ratio  (Q5, &gt;80</w:t>
            </w:r>
            <w:r w:rsidRPr="004B61EA">
              <w:rPr>
                <w:rFonts w:ascii="Arial" w:hAnsi="Arial" w:cs="Arial"/>
                <w:sz w:val="24"/>
                <w:szCs w:val="24"/>
                <w:vertAlign w:val="superscript"/>
                <w:lang w:val="en-US"/>
              </w:rPr>
              <w:t>th</w:t>
            </w:r>
            <w:r w:rsidRPr="004B61EA">
              <w:rPr>
                <w:rFonts w:ascii="Arial" w:hAnsi="Arial" w:cs="Arial"/>
                <w:sz w:val="24"/>
                <w:szCs w:val="24"/>
                <w:lang w:val="en-US"/>
              </w:rPr>
              <w:t xml:space="preserve"> percentile)</w:t>
            </w:r>
          </w:p>
        </w:tc>
        <w:tc>
          <w:tcPr>
            <w:tcW w:w="750" w:type="dxa"/>
          </w:tcPr>
          <w:p w14:paraId="10E32E2C"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2648</w:t>
            </w:r>
          </w:p>
        </w:tc>
        <w:tc>
          <w:tcPr>
            <w:tcW w:w="2567" w:type="dxa"/>
          </w:tcPr>
          <w:p w14:paraId="766EFDB6"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-0.14 (-0.24 to -0.04)</w:t>
            </w:r>
          </w:p>
        </w:tc>
        <w:tc>
          <w:tcPr>
            <w:tcW w:w="992" w:type="dxa"/>
          </w:tcPr>
          <w:p w14:paraId="1B082402"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0.007</w:t>
            </w:r>
          </w:p>
        </w:tc>
        <w:tc>
          <w:tcPr>
            <w:tcW w:w="3119" w:type="dxa"/>
          </w:tcPr>
          <w:p w14:paraId="225A21FE"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-0.09 (-0.19 to 0.01)</w:t>
            </w:r>
          </w:p>
        </w:tc>
        <w:tc>
          <w:tcPr>
            <w:tcW w:w="992" w:type="dxa"/>
          </w:tcPr>
          <w:p w14:paraId="76D6C8C3" w14:textId="6FB98E11" w:rsidR="007232E5" w:rsidRPr="004B61EA" w:rsidRDefault="007232E5" w:rsidP="001E087E">
            <w:pPr>
              <w:pStyle w:val="NoSpacing"/>
              <w:rPr>
                <w:rFonts w:ascii="Arial" w:hAnsi="Arial" w:cs="Arial"/>
                <w:sz w:val="24"/>
                <w:szCs w:val="24"/>
              </w:rPr>
            </w:pPr>
            <w:r w:rsidRPr="004B61EA">
              <w:rPr>
                <w:rFonts w:ascii="Arial" w:hAnsi="Arial" w:cs="Arial"/>
                <w:sz w:val="24"/>
                <w:szCs w:val="24"/>
              </w:rPr>
              <w:t>0.0</w:t>
            </w:r>
            <w:r w:rsidR="00D61BA8" w:rsidRPr="004B61EA">
              <w:rPr>
                <w:rFonts w:ascii="Arial" w:hAnsi="Arial" w:cs="Arial"/>
                <w:sz w:val="24"/>
                <w:szCs w:val="24"/>
              </w:rPr>
              <w:t>8</w:t>
            </w:r>
          </w:p>
        </w:tc>
      </w:tr>
      <w:tr w:rsidR="007232E5" w:rsidRPr="004B61EA" w14:paraId="4A64C9B2" w14:textId="77777777" w:rsidTr="00C52D4C">
        <w:tc>
          <w:tcPr>
            <w:tcW w:w="3312" w:type="dxa"/>
          </w:tcPr>
          <w:p w14:paraId="576DE600" w14:textId="77777777" w:rsidR="007232E5" w:rsidRPr="004B61EA" w:rsidRDefault="007232E5" w:rsidP="001E087E">
            <w:pPr>
              <w:pStyle w:val="NoSpacing"/>
              <w:rPr>
                <w:rFonts w:ascii="Arial" w:hAnsi="Arial" w:cs="Arial"/>
                <w:sz w:val="24"/>
                <w:szCs w:val="24"/>
              </w:rPr>
            </w:pPr>
          </w:p>
        </w:tc>
        <w:tc>
          <w:tcPr>
            <w:tcW w:w="750" w:type="dxa"/>
          </w:tcPr>
          <w:p w14:paraId="2E1D64EB" w14:textId="77777777" w:rsidR="007232E5" w:rsidRPr="004B61EA" w:rsidRDefault="007232E5" w:rsidP="001E087E">
            <w:pPr>
              <w:pStyle w:val="NoSpacing"/>
              <w:rPr>
                <w:rFonts w:ascii="Arial" w:hAnsi="Arial" w:cs="Arial"/>
                <w:sz w:val="24"/>
                <w:szCs w:val="24"/>
              </w:rPr>
            </w:pPr>
          </w:p>
        </w:tc>
        <w:tc>
          <w:tcPr>
            <w:tcW w:w="2567" w:type="dxa"/>
          </w:tcPr>
          <w:p w14:paraId="38B559D2" w14:textId="77777777" w:rsidR="007232E5" w:rsidRPr="004B61EA" w:rsidRDefault="007232E5" w:rsidP="001E087E">
            <w:pPr>
              <w:pStyle w:val="NoSpacing"/>
              <w:rPr>
                <w:rFonts w:ascii="Arial" w:hAnsi="Arial" w:cs="Arial"/>
                <w:sz w:val="24"/>
                <w:szCs w:val="24"/>
              </w:rPr>
            </w:pPr>
          </w:p>
        </w:tc>
        <w:tc>
          <w:tcPr>
            <w:tcW w:w="992" w:type="dxa"/>
          </w:tcPr>
          <w:p w14:paraId="2043ADF3" w14:textId="77777777" w:rsidR="007232E5" w:rsidRPr="004B61EA" w:rsidRDefault="007232E5" w:rsidP="001E087E">
            <w:pPr>
              <w:pStyle w:val="NoSpacing"/>
              <w:rPr>
                <w:rFonts w:ascii="Arial" w:hAnsi="Arial" w:cs="Arial"/>
                <w:sz w:val="24"/>
                <w:szCs w:val="24"/>
              </w:rPr>
            </w:pPr>
          </w:p>
        </w:tc>
        <w:tc>
          <w:tcPr>
            <w:tcW w:w="3119" w:type="dxa"/>
          </w:tcPr>
          <w:p w14:paraId="5F7502E4" w14:textId="77777777" w:rsidR="007232E5" w:rsidRPr="004B61EA" w:rsidRDefault="007232E5" w:rsidP="001E087E">
            <w:pPr>
              <w:pStyle w:val="NoSpacing"/>
              <w:rPr>
                <w:rFonts w:ascii="Arial" w:hAnsi="Arial" w:cs="Arial"/>
                <w:sz w:val="24"/>
                <w:szCs w:val="24"/>
              </w:rPr>
            </w:pPr>
          </w:p>
        </w:tc>
        <w:tc>
          <w:tcPr>
            <w:tcW w:w="992" w:type="dxa"/>
          </w:tcPr>
          <w:p w14:paraId="26FCC6D6" w14:textId="77777777" w:rsidR="007232E5" w:rsidRPr="004B61EA" w:rsidRDefault="007232E5" w:rsidP="001E087E">
            <w:pPr>
              <w:pStyle w:val="NoSpacing"/>
              <w:rPr>
                <w:rFonts w:ascii="Arial" w:hAnsi="Arial" w:cs="Arial"/>
                <w:sz w:val="24"/>
                <w:szCs w:val="24"/>
              </w:rPr>
            </w:pPr>
          </w:p>
        </w:tc>
      </w:tr>
      <w:tr w:rsidR="007232E5" w:rsidRPr="004B61EA" w14:paraId="11DFCDEF" w14:textId="77777777" w:rsidTr="00C52D4C">
        <w:tc>
          <w:tcPr>
            <w:tcW w:w="3312" w:type="dxa"/>
          </w:tcPr>
          <w:p w14:paraId="179A9638" w14:textId="77777777" w:rsidR="007232E5" w:rsidRPr="004B61EA" w:rsidRDefault="007232E5" w:rsidP="001E087E">
            <w:pPr>
              <w:pStyle w:val="NoSpacing"/>
              <w:rPr>
                <w:rFonts w:ascii="Arial" w:hAnsi="Arial" w:cs="Arial"/>
                <w:b/>
                <w:sz w:val="24"/>
                <w:szCs w:val="24"/>
              </w:rPr>
            </w:pPr>
            <w:r w:rsidRPr="004B61EA">
              <w:rPr>
                <w:rFonts w:ascii="Arial" w:hAnsi="Arial" w:cs="Arial"/>
                <w:b/>
                <w:sz w:val="24"/>
                <w:szCs w:val="24"/>
              </w:rPr>
              <w:t>UmA PI (36 weeks)</w:t>
            </w:r>
          </w:p>
        </w:tc>
        <w:tc>
          <w:tcPr>
            <w:tcW w:w="750" w:type="dxa"/>
          </w:tcPr>
          <w:p w14:paraId="2081B30B" w14:textId="77777777" w:rsidR="007232E5" w:rsidRPr="004B61EA" w:rsidRDefault="007232E5" w:rsidP="001E087E">
            <w:pPr>
              <w:pStyle w:val="NoSpacing"/>
              <w:rPr>
                <w:rFonts w:ascii="Arial" w:hAnsi="Arial" w:cs="Arial"/>
                <w:sz w:val="24"/>
                <w:szCs w:val="24"/>
              </w:rPr>
            </w:pPr>
          </w:p>
        </w:tc>
        <w:tc>
          <w:tcPr>
            <w:tcW w:w="2567" w:type="dxa"/>
          </w:tcPr>
          <w:p w14:paraId="2ABE7887" w14:textId="77777777" w:rsidR="007232E5" w:rsidRPr="004B61EA" w:rsidRDefault="007232E5" w:rsidP="001E087E">
            <w:pPr>
              <w:pStyle w:val="NoSpacing"/>
              <w:rPr>
                <w:rFonts w:ascii="Arial" w:hAnsi="Arial" w:cs="Arial"/>
                <w:sz w:val="24"/>
                <w:szCs w:val="24"/>
              </w:rPr>
            </w:pPr>
          </w:p>
        </w:tc>
        <w:tc>
          <w:tcPr>
            <w:tcW w:w="992" w:type="dxa"/>
          </w:tcPr>
          <w:p w14:paraId="68228A1D" w14:textId="77777777" w:rsidR="007232E5" w:rsidRPr="004B61EA" w:rsidRDefault="007232E5" w:rsidP="001E087E">
            <w:pPr>
              <w:pStyle w:val="NoSpacing"/>
              <w:rPr>
                <w:rFonts w:ascii="Arial" w:hAnsi="Arial" w:cs="Arial"/>
                <w:sz w:val="24"/>
                <w:szCs w:val="24"/>
              </w:rPr>
            </w:pPr>
          </w:p>
        </w:tc>
        <w:tc>
          <w:tcPr>
            <w:tcW w:w="3119" w:type="dxa"/>
          </w:tcPr>
          <w:p w14:paraId="101967C9" w14:textId="77777777" w:rsidR="007232E5" w:rsidRPr="004B61EA" w:rsidRDefault="007232E5" w:rsidP="001E087E">
            <w:pPr>
              <w:pStyle w:val="NoSpacing"/>
              <w:rPr>
                <w:rFonts w:ascii="Arial" w:hAnsi="Arial" w:cs="Arial"/>
                <w:sz w:val="24"/>
                <w:szCs w:val="24"/>
              </w:rPr>
            </w:pPr>
          </w:p>
        </w:tc>
        <w:tc>
          <w:tcPr>
            <w:tcW w:w="992" w:type="dxa"/>
          </w:tcPr>
          <w:p w14:paraId="39AF370D" w14:textId="77777777" w:rsidR="007232E5" w:rsidRPr="004B61EA" w:rsidRDefault="007232E5" w:rsidP="001E087E">
            <w:pPr>
              <w:pStyle w:val="NoSpacing"/>
              <w:rPr>
                <w:rFonts w:ascii="Arial" w:hAnsi="Arial" w:cs="Arial"/>
                <w:sz w:val="24"/>
                <w:szCs w:val="24"/>
              </w:rPr>
            </w:pPr>
          </w:p>
        </w:tc>
      </w:tr>
      <w:tr w:rsidR="007232E5" w:rsidRPr="004B61EA" w14:paraId="241566D6" w14:textId="77777777" w:rsidTr="00C52D4C">
        <w:tc>
          <w:tcPr>
            <w:tcW w:w="3312" w:type="dxa"/>
          </w:tcPr>
          <w:p w14:paraId="51EC05FE" w14:textId="77777777" w:rsidR="007232E5" w:rsidRPr="004B61EA" w:rsidRDefault="007232E5" w:rsidP="001E087E">
            <w:pPr>
              <w:pStyle w:val="NoSpacing"/>
              <w:rPr>
                <w:rFonts w:ascii="Arial" w:hAnsi="Arial" w:cs="Arial"/>
                <w:sz w:val="24"/>
                <w:szCs w:val="24"/>
                <w:lang w:val="en-US"/>
              </w:rPr>
            </w:pPr>
            <w:r w:rsidRPr="004B61EA">
              <w:rPr>
                <w:rFonts w:ascii="Arial" w:hAnsi="Arial" w:cs="Arial"/>
                <w:sz w:val="24"/>
                <w:szCs w:val="24"/>
                <w:lang w:val="en-US"/>
              </w:rPr>
              <w:t xml:space="preserve">    Low BWPW-ratio   (Q1, &lt;20</w:t>
            </w:r>
            <w:r w:rsidRPr="004B61EA">
              <w:rPr>
                <w:rFonts w:ascii="Arial" w:hAnsi="Arial" w:cs="Arial"/>
                <w:sz w:val="24"/>
                <w:szCs w:val="24"/>
                <w:vertAlign w:val="superscript"/>
                <w:lang w:val="en-US"/>
              </w:rPr>
              <w:t>th</w:t>
            </w:r>
            <w:r w:rsidRPr="004B61EA">
              <w:rPr>
                <w:rFonts w:ascii="Arial" w:hAnsi="Arial" w:cs="Arial"/>
                <w:sz w:val="24"/>
                <w:szCs w:val="24"/>
                <w:lang w:val="en-US"/>
              </w:rPr>
              <w:t xml:space="preserve"> percentile)</w:t>
            </w:r>
          </w:p>
        </w:tc>
        <w:tc>
          <w:tcPr>
            <w:tcW w:w="750" w:type="dxa"/>
          </w:tcPr>
          <w:p w14:paraId="66AEB5A4"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2649</w:t>
            </w:r>
          </w:p>
        </w:tc>
        <w:tc>
          <w:tcPr>
            <w:tcW w:w="2567" w:type="dxa"/>
          </w:tcPr>
          <w:p w14:paraId="577B42A6"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-0.10 (-0.19 to -0.02)</w:t>
            </w:r>
          </w:p>
        </w:tc>
        <w:tc>
          <w:tcPr>
            <w:tcW w:w="992" w:type="dxa"/>
          </w:tcPr>
          <w:p w14:paraId="2EB8ADA0"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0.02</w:t>
            </w:r>
          </w:p>
        </w:tc>
        <w:tc>
          <w:tcPr>
            <w:tcW w:w="3119" w:type="dxa"/>
          </w:tcPr>
          <w:p w14:paraId="7DE9AC5C" w14:textId="3E6856CD" w:rsidR="007232E5" w:rsidRPr="004B61EA" w:rsidRDefault="007232E5" w:rsidP="00E97AE6">
            <w:pPr>
              <w:pStyle w:val="NoSpacing"/>
              <w:rPr>
                <w:rFonts w:ascii="Arial" w:hAnsi="Arial" w:cs="Arial"/>
                <w:sz w:val="24"/>
                <w:szCs w:val="24"/>
              </w:rPr>
            </w:pPr>
            <w:r w:rsidRPr="004B61EA">
              <w:rPr>
                <w:rFonts w:ascii="Arial" w:hAnsi="Arial" w:cs="Arial"/>
                <w:sz w:val="24"/>
                <w:szCs w:val="24"/>
              </w:rPr>
              <w:t>-0.12 (-0.21 to -0.03)</w:t>
            </w:r>
          </w:p>
        </w:tc>
        <w:tc>
          <w:tcPr>
            <w:tcW w:w="992" w:type="dxa"/>
          </w:tcPr>
          <w:p w14:paraId="08865271"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0.007</w:t>
            </w:r>
          </w:p>
        </w:tc>
      </w:tr>
      <w:tr w:rsidR="007232E5" w:rsidRPr="004B61EA" w14:paraId="06086754" w14:textId="77777777" w:rsidTr="00C52D4C">
        <w:tc>
          <w:tcPr>
            <w:tcW w:w="3312" w:type="dxa"/>
          </w:tcPr>
          <w:p w14:paraId="6416D28B" w14:textId="77777777" w:rsidR="007232E5" w:rsidRPr="004B61EA" w:rsidRDefault="007232E5" w:rsidP="001E087E">
            <w:pPr>
              <w:pStyle w:val="NoSpacing"/>
              <w:rPr>
                <w:rFonts w:ascii="Arial" w:hAnsi="Arial" w:cs="Arial"/>
                <w:sz w:val="24"/>
                <w:szCs w:val="24"/>
                <w:lang w:val="en-US"/>
              </w:rPr>
            </w:pPr>
            <w:r w:rsidRPr="004B61EA">
              <w:rPr>
                <w:rFonts w:ascii="Arial" w:hAnsi="Arial" w:cs="Arial"/>
                <w:sz w:val="24"/>
                <w:szCs w:val="24"/>
                <w:lang w:val="en-US"/>
              </w:rPr>
              <w:t xml:space="preserve">    High BWPW-ratio  (Q5, &gt;80</w:t>
            </w:r>
            <w:r w:rsidRPr="004B61EA">
              <w:rPr>
                <w:rFonts w:ascii="Arial" w:hAnsi="Arial" w:cs="Arial"/>
                <w:sz w:val="24"/>
                <w:szCs w:val="24"/>
                <w:vertAlign w:val="superscript"/>
                <w:lang w:val="en-US"/>
              </w:rPr>
              <w:t>th</w:t>
            </w:r>
            <w:r w:rsidRPr="004B61EA">
              <w:rPr>
                <w:rFonts w:ascii="Arial" w:hAnsi="Arial" w:cs="Arial"/>
                <w:sz w:val="24"/>
                <w:szCs w:val="24"/>
                <w:lang w:val="en-US"/>
              </w:rPr>
              <w:t xml:space="preserve"> percentile)</w:t>
            </w:r>
          </w:p>
        </w:tc>
        <w:tc>
          <w:tcPr>
            <w:tcW w:w="750" w:type="dxa"/>
          </w:tcPr>
          <w:p w14:paraId="5A97FE2E"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2648</w:t>
            </w:r>
          </w:p>
        </w:tc>
        <w:tc>
          <w:tcPr>
            <w:tcW w:w="2567" w:type="dxa"/>
          </w:tcPr>
          <w:p w14:paraId="13FF02D4"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0.15 (0.06-0.23)</w:t>
            </w:r>
          </w:p>
        </w:tc>
        <w:tc>
          <w:tcPr>
            <w:tcW w:w="992" w:type="dxa"/>
          </w:tcPr>
          <w:p w14:paraId="391C49DF"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0.001</w:t>
            </w:r>
          </w:p>
        </w:tc>
        <w:tc>
          <w:tcPr>
            <w:tcW w:w="3119" w:type="dxa"/>
          </w:tcPr>
          <w:p w14:paraId="0D4AB519" w14:textId="108DADA1" w:rsidR="007232E5" w:rsidRPr="004B61EA" w:rsidRDefault="007232E5" w:rsidP="001E087E">
            <w:pPr>
              <w:pStyle w:val="NoSpacing"/>
              <w:rPr>
                <w:rFonts w:ascii="Arial" w:hAnsi="Arial" w:cs="Arial"/>
                <w:sz w:val="24"/>
                <w:szCs w:val="24"/>
              </w:rPr>
            </w:pPr>
            <w:r w:rsidRPr="004B61EA">
              <w:rPr>
                <w:rFonts w:ascii="Arial" w:hAnsi="Arial" w:cs="Arial"/>
                <w:sz w:val="24"/>
                <w:szCs w:val="24"/>
              </w:rPr>
              <w:t>0.16 (0.0</w:t>
            </w:r>
            <w:r w:rsidR="00D61BA8" w:rsidRPr="004B61EA">
              <w:rPr>
                <w:rFonts w:ascii="Arial" w:hAnsi="Arial" w:cs="Arial"/>
                <w:sz w:val="24"/>
                <w:szCs w:val="24"/>
              </w:rPr>
              <w:t>8</w:t>
            </w:r>
            <w:r w:rsidRPr="004B61EA">
              <w:rPr>
                <w:rFonts w:ascii="Arial" w:hAnsi="Arial" w:cs="Arial"/>
                <w:sz w:val="24"/>
                <w:szCs w:val="24"/>
              </w:rPr>
              <w:t>-0.25)</w:t>
            </w:r>
          </w:p>
        </w:tc>
        <w:tc>
          <w:tcPr>
            <w:tcW w:w="992" w:type="dxa"/>
          </w:tcPr>
          <w:p w14:paraId="061245B2"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&lt;0.001</w:t>
            </w:r>
          </w:p>
        </w:tc>
      </w:tr>
      <w:tr w:rsidR="007232E5" w:rsidRPr="004B61EA" w14:paraId="63D264A2" w14:textId="77777777" w:rsidTr="00C52D4C">
        <w:tc>
          <w:tcPr>
            <w:tcW w:w="3312" w:type="dxa"/>
          </w:tcPr>
          <w:p w14:paraId="0B70B4B2" w14:textId="77777777" w:rsidR="007232E5" w:rsidRPr="004B61EA" w:rsidRDefault="007232E5" w:rsidP="001E087E">
            <w:pPr>
              <w:pStyle w:val="NoSpacing"/>
              <w:rPr>
                <w:rFonts w:ascii="Arial" w:hAnsi="Arial" w:cs="Arial"/>
                <w:sz w:val="24"/>
                <w:szCs w:val="24"/>
              </w:rPr>
            </w:pPr>
          </w:p>
        </w:tc>
        <w:tc>
          <w:tcPr>
            <w:tcW w:w="750" w:type="dxa"/>
          </w:tcPr>
          <w:p w14:paraId="7DD0C676" w14:textId="77777777" w:rsidR="007232E5" w:rsidRPr="004B61EA" w:rsidRDefault="007232E5" w:rsidP="001E087E">
            <w:pPr>
              <w:pStyle w:val="NoSpacing"/>
              <w:rPr>
                <w:rFonts w:ascii="Arial" w:hAnsi="Arial" w:cs="Arial"/>
                <w:sz w:val="24"/>
                <w:szCs w:val="24"/>
              </w:rPr>
            </w:pPr>
          </w:p>
        </w:tc>
        <w:tc>
          <w:tcPr>
            <w:tcW w:w="2567" w:type="dxa"/>
          </w:tcPr>
          <w:p w14:paraId="4D5A86BE" w14:textId="77777777" w:rsidR="007232E5" w:rsidRPr="004B61EA" w:rsidRDefault="007232E5" w:rsidP="001E087E">
            <w:pPr>
              <w:pStyle w:val="NoSpacing"/>
              <w:rPr>
                <w:rFonts w:ascii="Arial" w:hAnsi="Arial" w:cs="Arial"/>
                <w:sz w:val="24"/>
                <w:szCs w:val="24"/>
              </w:rPr>
            </w:pPr>
          </w:p>
        </w:tc>
        <w:tc>
          <w:tcPr>
            <w:tcW w:w="992" w:type="dxa"/>
          </w:tcPr>
          <w:p w14:paraId="24EFF3D4" w14:textId="77777777" w:rsidR="007232E5" w:rsidRPr="004B61EA" w:rsidRDefault="007232E5" w:rsidP="001E087E">
            <w:pPr>
              <w:pStyle w:val="NoSpacing"/>
              <w:rPr>
                <w:rFonts w:ascii="Arial" w:hAnsi="Arial" w:cs="Arial"/>
                <w:sz w:val="24"/>
                <w:szCs w:val="24"/>
              </w:rPr>
            </w:pPr>
          </w:p>
        </w:tc>
        <w:tc>
          <w:tcPr>
            <w:tcW w:w="3119" w:type="dxa"/>
          </w:tcPr>
          <w:p w14:paraId="2469C676" w14:textId="77777777" w:rsidR="007232E5" w:rsidRPr="004B61EA" w:rsidRDefault="007232E5" w:rsidP="001E087E">
            <w:pPr>
              <w:pStyle w:val="NoSpacing"/>
              <w:rPr>
                <w:rFonts w:ascii="Arial" w:hAnsi="Arial" w:cs="Arial"/>
                <w:sz w:val="24"/>
                <w:szCs w:val="24"/>
              </w:rPr>
            </w:pPr>
          </w:p>
        </w:tc>
        <w:tc>
          <w:tcPr>
            <w:tcW w:w="992" w:type="dxa"/>
          </w:tcPr>
          <w:p w14:paraId="08EF6A6C" w14:textId="77777777" w:rsidR="007232E5" w:rsidRPr="004B61EA" w:rsidRDefault="007232E5" w:rsidP="001E087E">
            <w:pPr>
              <w:pStyle w:val="NoSpacing"/>
              <w:rPr>
                <w:rFonts w:ascii="Arial" w:hAnsi="Arial" w:cs="Arial"/>
                <w:sz w:val="24"/>
                <w:szCs w:val="24"/>
              </w:rPr>
            </w:pPr>
          </w:p>
        </w:tc>
      </w:tr>
      <w:tr w:rsidR="007232E5" w:rsidRPr="004B61EA" w14:paraId="2D36ED6A" w14:textId="77777777" w:rsidTr="00C52D4C">
        <w:tc>
          <w:tcPr>
            <w:tcW w:w="3312" w:type="dxa"/>
          </w:tcPr>
          <w:p w14:paraId="196B8BEC" w14:textId="77777777" w:rsidR="007232E5" w:rsidRPr="004B61EA" w:rsidRDefault="007232E5" w:rsidP="001E087E">
            <w:pPr>
              <w:pStyle w:val="NoSpacing"/>
              <w:rPr>
                <w:rFonts w:ascii="Arial" w:hAnsi="Arial" w:cs="Arial"/>
                <w:b/>
                <w:sz w:val="24"/>
                <w:szCs w:val="24"/>
              </w:rPr>
            </w:pPr>
            <w:r w:rsidRPr="004B61EA">
              <w:rPr>
                <w:rFonts w:ascii="Arial" w:hAnsi="Arial" w:cs="Arial"/>
                <w:b/>
                <w:sz w:val="24"/>
                <w:szCs w:val="24"/>
              </w:rPr>
              <w:t>UtA PI (20 weeks)</w:t>
            </w:r>
          </w:p>
        </w:tc>
        <w:tc>
          <w:tcPr>
            <w:tcW w:w="750" w:type="dxa"/>
          </w:tcPr>
          <w:p w14:paraId="4DE393E2" w14:textId="77777777" w:rsidR="007232E5" w:rsidRPr="004B61EA" w:rsidRDefault="007232E5" w:rsidP="001E087E">
            <w:pPr>
              <w:pStyle w:val="NoSpacing"/>
              <w:rPr>
                <w:rFonts w:ascii="Arial" w:hAnsi="Arial" w:cs="Arial"/>
                <w:sz w:val="24"/>
                <w:szCs w:val="24"/>
              </w:rPr>
            </w:pPr>
          </w:p>
        </w:tc>
        <w:tc>
          <w:tcPr>
            <w:tcW w:w="2567" w:type="dxa"/>
          </w:tcPr>
          <w:p w14:paraId="2EAD12F4" w14:textId="77777777" w:rsidR="007232E5" w:rsidRPr="004B61EA" w:rsidRDefault="007232E5" w:rsidP="001E087E">
            <w:pPr>
              <w:pStyle w:val="NoSpacing"/>
              <w:rPr>
                <w:rFonts w:ascii="Arial" w:hAnsi="Arial" w:cs="Arial"/>
                <w:sz w:val="24"/>
                <w:szCs w:val="24"/>
              </w:rPr>
            </w:pPr>
          </w:p>
        </w:tc>
        <w:tc>
          <w:tcPr>
            <w:tcW w:w="992" w:type="dxa"/>
          </w:tcPr>
          <w:p w14:paraId="40BCE9EA" w14:textId="77777777" w:rsidR="007232E5" w:rsidRPr="004B61EA" w:rsidRDefault="007232E5" w:rsidP="001E087E">
            <w:pPr>
              <w:pStyle w:val="NoSpacing"/>
              <w:rPr>
                <w:rFonts w:ascii="Arial" w:hAnsi="Arial" w:cs="Arial"/>
                <w:sz w:val="24"/>
                <w:szCs w:val="24"/>
              </w:rPr>
            </w:pPr>
          </w:p>
        </w:tc>
        <w:tc>
          <w:tcPr>
            <w:tcW w:w="3119" w:type="dxa"/>
          </w:tcPr>
          <w:p w14:paraId="2A669698" w14:textId="77777777" w:rsidR="007232E5" w:rsidRPr="004B61EA" w:rsidRDefault="007232E5" w:rsidP="001E087E">
            <w:pPr>
              <w:pStyle w:val="NoSpacing"/>
              <w:rPr>
                <w:rFonts w:ascii="Arial" w:hAnsi="Arial" w:cs="Arial"/>
                <w:sz w:val="24"/>
                <w:szCs w:val="24"/>
              </w:rPr>
            </w:pPr>
          </w:p>
        </w:tc>
        <w:tc>
          <w:tcPr>
            <w:tcW w:w="992" w:type="dxa"/>
          </w:tcPr>
          <w:p w14:paraId="3CABFDDD" w14:textId="77777777" w:rsidR="007232E5" w:rsidRPr="004B61EA" w:rsidRDefault="007232E5" w:rsidP="001E087E">
            <w:pPr>
              <w:pStyle w:val="NoSpacing"/>
              <w:rPr>
                <w:rFonts w:ascii="Arial" w:hAnsi="Arial" w:cs="Arial"/>
                <w:sz w:val="24"/>
                <w:szCs w:val="24"/>
              </w:rPr>
            </w:pPr>
          </w:p>
        </w:tc>
      </w:tr>
      <w:tr w:rsidR="007232E5" w:rsidRPr="004B61EA" w14:paraId="44F44C6B" w14:textId="77777777" w:rsidTr="00C52D4C">
        <w:tc>
          <w:tcPr>
            <w:tcW w:w="3312" w:type="dxa"/>
          </w:tcPr>
          <w:p w14:paraId="2F3EC517" w14:textId="77777777" w:rsidR="007232E5" w:rsidRPr="004B61EA" w:rsidRDefault="007232E5" w:rsidP="001E087E">
            <w:pPr>
              <w:pStyle w:val="NoSpacing"/>
              <w:rPr>
                <w:rFonts w:ascii="Arial" w:hAnsi="Arial" w:cs="Arial"/>
                <w:sz w:val="24"/>
                <w:szCs w:val="24"/>
                <w:lang w:val="en-US"/>
              </w:rPr>
            </w:pPr>
            <w:r w:rsidRPr="004B61EA">
              <w:rPr>
                <w:rFonts w:ascii="Arial" w:hAnsi="Arial" w:cs="Arial"/>
                <w:sz w:val="24"/>
                <w:szCs w:val="24"/>
                <w:lang w:val="en-US"/>
              </w:rPr>
              <w:t xml:space="preserve">    Low BWPW-ratio   (Q1, &lt;20</w:t>
            </w:r>
            <w:r w:rsidRPr="004B61EA">
              <w:rPr>
                <w:rFonts w:ascii="Arial" w:hAnsi="Arial" w:cs="Arial"/>
                <w:sz w:val="24"/>
                <w:szCs w:val="24"/>
                <w:vertAlign w:val="superscript"/>
                <w:lang w:val="en-US"/>
              </w:rPr>
              <w:t>th</w:t>
            </w:r>
            <w:r w:rsidRPr="004B61EA">
              <w:rPr>
                <w:rFonts w:ascii="Arial" w:hAnsi="Arial" w:cs="Arial"/>
                <w:sz w:val="24"/>
                <w:szCs w:val="24"/>
                <w:lang w:val="en-US"/>
              </w:rPr>
              <w:t xml:space="preserve"> percentile)</w:t>
            </w:r>
          </w:p>
        </w:tc>
        <w:tc>
          <w:tcPr>
            <w:tcW w:w="750" w:type="dxa"/>
          </w:tcPr>
          <w:p w14:paraId="161BC512"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2649</w:t>
            </w:r>
          </w:p>
        </w:tc>
        <w:tc>
          <w:tcPr>
            <w:tcW w:w="2567" w:type="dxa"/>
          </w:tcPr>
          <w:p w14:paraId="4264027B"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-0.02 (-0.11 to 0.07)</w:t>
            </w:r>
          </w:p>
        </w:tc>
        <w:tc>
          <w:tcPr>
            <w:tcW w:w="992" w:type="dxa"/>
          </w:tcPr>
          <w:p w14:paraId="11BFF257"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0.69</w:t>
            </w:r>
          </w:p>
        </w:tc>
        <w:tc>
          <w:tcPr>
            <w:tcW w:w="3119" w:type="dxa"/>
          </w:tcPr>
          <w:p w14:paraId="0BC0BC4A"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-0.02 (-0.11 to 0.07)</w:t>
            </w:r>
          </w:p>
        </w:tc>
        <w:tc>
          <w:tcPr>
            <w:tcW w:w="992" w:type="dxa"/>
          </w:tcPr>
          <w:p w14:paraId="7C041DB3" w14:textId="5F07AD12" w:rsidR="007232E5" w:rsidRPr="004B61EA" w:rsidRDefault="007232E5" w:rsidP="001E087E">
            <w:pPr>
              <w:pStyle w:val="NoSpacing"/>
              <w:rPr>
                <w:rFonts w:ascii="Arial" w:hAnsi="Arial" w:cs="Arial"/>
                <w:sz w:val="24"/>
                <w:szCs w:val="24"/>
              </w:rPr>
            </w:pPr>
            <w:r w:rsidRPr="004B61EA">
              <w:rPr>
                <w:rFonts w:ascii="Arial" w:hAnsi="Arial" w:cs="Arial"/>
                <w:sz w:val="24"/>
                <w:szCs w:val="24"/>
              </w:rPr>
              <w:t>0.</w:t>
            </w:r>
            <w:r w:rsidR="00D61BA8" w:rsidRPr="004B61EA">
              <w:rPr>
                <w:rFonts w:ascii="Arial" w:hAnsi="Arial" w:cs="Arial"/>
                <w:sz w:val="24"/>
                <w:szCs w:val="24"/>
              </w:rPr>
              <w:t>6</w:t>
            </w:r>
            <w:r w:rsidRPr="004B61EA">
              <w:rPr>
                <w:rFonts w:ascii="Arial" w:hAnsi="Arial" w:cs="Arial"/>
                <w:sz w:val="24"/>
                <w:szCs w:val="24"/>
              </w:rPr>
              <w:t>7</w:t>
            </w:r>
          </w:p>
        </w:tc>
      </w:tr>
      <w:tr w:rsidR="007232E5" w:rsidRPr="004B61EA" w14:paraId="2D9A2B28" w14:textId="77777777" w:rsidTr="00C52D4C">
        <w:tc>
          <w:tcPr>
            <w:tcW w:w="3312" w:type="dxa"/>
          </w:tcPr>
          <w:p w14:paraId="6B249064" w14:textId="77777777" w:rsidR="007232E5" w:rsidRPr="004B61EA" w:rsidRDefault="007232E5" w:rsidP="001E087E">
            <w:pPr>
              <w:pStyle w:val="NoSpacing"/>
              <w:rPr>
                <w:rFonts w:ascii="Arial" w:hAnsi="Arial" w:cs="Arial"/>
                <w:sz w:val="24"/>
                <w:szCs w:val="24"/>
                <w:lang w:val="en-US"/>
              </w:rPr>
            </w:pPr>
            <w:r w:rsidRPr="004B61EA">
              <w:rPr>
                <w:rFonts w:ascii="Arial" w:hAnsi="Arial" w:cs="Arial"/>
                <w:sz w:val="24"/>
                <w:szCs w:val="24"/>
                <w:lang w:val="en-US"/>
              </w:rPr>
              <w:t xml:space="preserve">    High BWPW-ratio  (Q5, &gt;80</w:t>
            </w:r>
            <w:r w:rsidRPr="004B61EA">
              <w:rPr>
                <w:rFonts w:ascii="Arial" w:hAnsi="Arial" w:cs="Arial"/>
                <w:sz w:val="24"/>
                <w:szCs w:val="24"/>
                <w:vertAlign w:val="superscript"/>
                <w:lang w:val="en-US"/>
              </w:rPr>
              <w:t>th</w:t>
            </w:r>
            <w:r w:rsidRPr="004B61EA">
              <w:rPr>
                <w:rFonts w:ascii="Arial" w:hAnsi="Arial" w:cs="Arial"/>
                <w:sz w:val="24"/>
                <w:szCs w:val="24"/>
                <w:lang w:val="en-US"/>
              </w:rPr>
              <w:t xml:space="preserve"> percentile)</w:t>
            </w:r>
          </w:p>
        </w:tc>
        <w:tc>
          <w:tcPr>
            <w:tcW w:w="750" w:type="dxa"/>
          </w:tcPr>
          <w:p w14:paraId="74C43F44"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2648</w:t>
            </w:r>
          </w:p>
        </w:tc>
        <w:tc>
          <w:tcPr>
            <w:tcW w:w="2567" w:type="dxa"/>
          </w:tcPr>
          <w:p w14:paraId="27BC061F"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0.10 (0.01-0.19)</w:t>
            </w:r>
          </w:p>
        </w:tc>
        <w:tc>
          <w:tcPr>
            <w:tcW w:w="992" w:type="dxa"/>
          </w:tcPr>
          <w:p w14:paraId="734394D2"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0.02</w:t>
            </w:r>
          </w:p>
        </w:tc>
        <w:tc>
          <w:tcPr>
            <w:tcW w:w="3119" w:type="dxa"/>
          </w:tcPr>
          <w:p w14:paraId="02B13A06"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0.09 (0.01-0.18)</w:t>
            </w:r>
          </w:p>
        </w:tc>
        <w:tc>
          <w:tcPr>
            <w:tcW w:w="992" w:type="dxa"/>
          </w:tcPr>
          <w:p w14:paraId="640BA3DC"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0.04</w:t>
            </w:r>
          </w:p>
        </w:tc>
      </w:tr>
    </w:tbl>
    <w:p w14:paraId="0E766E28" w14:textId="77777777" w:rsidR="007232E5" w:rsidRPr="004B61EA" w:rsidRDefault="007232E5" w:rsidP="007232E5">
      <w:pPr>
        <w:pStyle w:val="NoSpacing"/>
        <w:rPr>
          <w:rFonts w:ascii="Arial" w:hAnsi="Arial" w:cs="Arial"/>
          <w:sz w:val="24"/>
          <w:szCs w:val="24"/>
          <w:lang w:val="en-US"/>
        </w:rPr>
      </w:pPr>
      <w:r w:rsidRPr="004B61EA">
        <w:rPr>
          <w:rFonts w:ascii="Arial" w:hAnsi="Arial" w:cs="Arial"/>
          <w:sz w:val="24"/>
          <w:szCs w:val="24"/>
          <w:lang w:val="en-US"/>
        </w:rPr>
        <w:t>ACGV denotes abdominal circumference growth velocity, UmA denotes umbilical artery, UtA denotes uterine artery, PI denotes pulsatility index and BWPW-ratio denotes birth weight placenta weight-ratio.</w:t>
      </w:r>
    </w:p>
    <w:p w14:paraId="4D629985" w14:textId="4FC93ED6" w:rsidR="00541EB1" w:rsidRPr="004B61EA" w:rsidRDefault="00541EB1" w:rsidP="007232E5">
      <w:pPr>
        <w:pStyle w:val="NoSpacing"/>
        <w:rPr>
          <w:rFonts w:ascii="Arial" w:hAnsi="Arial" w:cs="Arial"/>
          <w:sz w:val="24"/>
          <w:szCs w:val="24"/>
          <w:lang w:val="en-US"/>
        </w:rPr>
      </w:pPr>
      <w:r w:rsidRPr="004B61EA">
        <w:rPr>
          <w:rFonts w:ascii="Arial" w:hAnsi="Arial" w:cs="Arial"/>
          <w:sz w:val="24"/>
          <w:szCs w:val="24"/>
          <w:lang w:val="en-US"/>
        </w:rPr>
        <w:t>* Adjusted for sex of the infant,</w:t>
      </w:r>
      <w:r w:rsidR="00C31F42" w:rsidRPr="004B61EA">
        <w:rPr>
          <w:rFonts w:ascii="Arial" w:hAnsi="Arial" w:cs="Arial"/>
          <w:sz w:val="24"/>
          <w:szCs w:val="24"/>
          <w:lang w:val="en-US"/>
        </w:rPr>
        <w:t xml:space="preserve"> maternal</w:t>
      </w:r>
      <w:r w:rsidR="006652D8" w:rsidRPr="004B61EA">
        <w:rPr>
          <w:rFonts w:ascii="Arial" w:hAnsi="Arial" w:cs="Arial"/>
          <w:sz w:val="24"/>
          <w:szCs w:val="24"/>
          <w:lang w:val="en-US"/>
        </w:rPr>
        <w:t xml:space="preserve"> age,</w:t>
      </w:r>
      <w:r w:rsidR="00C31F42" w:rsidRPr="004B61EA">
        <w:rPr>
          <w:rFonts w:ascii="Arial" w:hAnsi="Arial" w:cs="Arial"/>
          <w:sz w:val="24"/>
          <w:szCs w:val="24"/>
          <w:lang w:val="en-US"/>
        </w:rPr>
        <w:t xml:space="preserve"> BMI,</w:t>
      </w:r>
      <w:r w:rsidRPr="004B61EA">
        <w:rPr>
          <w:rFonts w:ascii="Arial" w:hAnsi="Arial" w:cs="Arial"/>
          <w:sz w:val="24"/>
          <w:szCs w:val="24"/>
          <w:lang w:val="en-US"/>
        </w:rPr>
        <w:t xml:space="preserve"> diabetes</w:t>
      </w:r>
      <w:r w:rsidR="006652D8" w:rsidRPr="004B61EA">
        <w:rPr>
          <w:rFonts w:ascii="Arial" w:hAnsi="Arial" w:cs="Arial"/>
          <w:sz w:val="24"/>
          <w:szCs w:val="24"/>
          <w:lang w:val="en-US"/>
        </w:rPr>
        <w:t xml:space="preserve"> and</w:t>
      </w:r>
      <w:r w:rsidRPr="004B61EA">
        <w:rPr>
          <w:rFonts w:ascii="Arial" w:hAnsi="Arial" w:cs="Arial"/>
          <w:sz w:val="24"/>
          <w:szCs w:val="24"/>
          <w:lang w:val="en-US"/>
        </w:rPr>
        <w:t xml:space="preserve"> smoking status</w:t>
      </w:r>
      <w:r w:rsidR="006652D8" w:rsidRPr="004B61EA">
        <w:rPr>
          <w:rFonts w:ascii="Arial" w:hAnsi="Arial" w:cs="Arial"/>
          <w:sz w:val="24"/>
          <w:szCs w:val="24"/>
          <w:lang w:val="en-US"/>
        </w:rPr>
        <w:t>.</w:t>
      </w:r>
    </w:p>
    <w:p w14:paraId="706CB917" w14:textId="37EFEFFE" w:rsidR="007232E5" w:rsidRPr="004B61EA" w:rsidRDefault="007232E5" w:rsidP="007232E5">
      <w:pPr>
        <w:pStyle w:val="NoSpacing"/>
        <w:rPr>
          <w:rFonts w:ascii="Arial" w:hAnsi="Arial" w:cs="Arial"/>
          <w:sz w:val="24"/>
          <w:szCs w:val="24"/>
          <w:lang w:val="en-US"/>
        </w:rPr>
      </w:pPr>
      <w:r w:rsidRPr="004B61EA">
        <w:rPr>
          <w:rFonts w:ascii="Arial" w:hAnsi="Arial" w:cs="Arial"/>
          <w:sz w:val="24"/>
          <w:szCs w:val="24"/>
          <w:lang w:val="en-US"/>
        </w:rPr>
        <w:t>*</w:t>
      </w:r>
      <w:r w:rsidR="00541EB1" w:rsidRPr="004B61EA">
        <w:rPr>
          <w:rFonts w:ascii="Arial" w:hAnsi="Arial" w:cs="Arial"/>
          <w:sz w:val="24"/>
          <w:szCs w:val="24"/>
          <w:lang w:val="en-US"/>
        </w:rPr>
        <w:t>*</w:t>
      </w:r>
      <w:r w:rsidRPr="004B61EA">
        <w:rPr>
          <w:rFonts w:ascii="Arial" w:hAnsi="Arial" w:cs="Arial"/>
          <w:sz w:val="24"/>
          <w:szCs w:val="24"/>
          <w:lang w:val="en-US"/>
        </w:rPr>
        <w:t xml:space="preserve">Coefficients are </w:t>
      </w:r>
      <w:r w:rsidR="00541EB1" w:rsidRPr="004B61EA">
        <w:rPr>
          <w:rFonts w:ascii="Arial" w:hAnsi="Arial" w:cs="Arial"/>
          <w:sz w:val="24"/>
          <w:szCs w:val="24"/>
          <w:lang w:val="en-US"/>
        </w:rPr>
        <w:t xml:space="preserve">the difference in z-score </w:t>
      </w:r>
      <w:r w:rsidRPr="004B61EA">
        <w:rPr>
          <w:rFonts w:ascii="Arial" w:hAnsi="Arial" w:cs="Arial"/>
          <w:sz w:val="24"/>
          <w:szCs w:val="24"/>
          <w:lang w:val="en-US"/>
        </w:rPr>
        <w:t xml:space="preserve">given for either the lowest quintile (low BWPW-ratio) or highest quintile (high BWPW-ratio) compared to the middle three quintiles (middle 60% of the population), i.e. positive values indicate higher levels of UtA or UmA PI in the highest or lowest quintile of BWPW-ratio. These are expressed as z-scores, i.e. the unit for the coefficient is one standard deviation (SD). </w:t>
      </w:r>
    </w:p>
    <w:p w14:paraId="5EDF9EE4" w14:textId="26BA5443" w:rsidR="007232E5" w:rsidRPr="004B61EA" w:rsidRDefault="007232E5">
      <w:pPr>
        <w:rPr>
          <w:rFonts w:ascii="Arial" w:hAnsi="Arial" w:cs="Arial"/>
          <w:sz w:val="24"/>
          <w:szCs w:val="24"/>
          <w:lang w:val="en-US"/>
        </w:rPr>
      </w:pPr>
      <w:r w:rsidRPr="004B61EA">
        <w:rPr>
          <w:rFonts w:ascii="Arial" w:hAnsi="Arial" w:cs="Arial"/>
          <w:sz w:val="24"/>
          <w:szCs w:val="24"/>
          <w:lang w:val="en-US"/>
        </w:rPr>
        <w:br w:type="page"/>
      </w:r>
    </w:p>
    <w:p w14:paraId="62C0D273" w14:textId="77777777" w:rsidR="00F3151D" w:rsidRPr="004B61EA" w:rsidRDefault="00F3151D" w:rsidP="00F3151D">
      <w:pPr>
        <w:pStyle w:val="NoSpacing"/>
        <w:rPr>
          <w:rFonts w:ascii="Arial" w:hAnsi="Arial" w:cs="Arial"/>
          <w:sz w:val="24"/>
          <w:szCs w:val="24"/>
          <w:lang w:val="en-US"/>
        </w:rPr>
      </w:pPr>
      <w:r w:rsidRPr="004B61EA">
        <w:rPr>
          <w:rFonts w:ascii="Arial" w:hAnsi="Arial" w:cs="Arial"/>
          <w:b/>
          <w:sz w:val="24"/>
          <w:szCs w:val="24"/>
          <w:lang w:val="en-US"/>
        </w:rPr>
        <w:t xml:space="preserve">Table 3. </w:t>
      </w:r>
      <w:r w:rsidRPr="004B61EA">
        <w:rPr>
          <w:rFonts w:ascii="Arial" w:hAnsi="Arial" w:cs="Arial"/>
          <w:sz w:val="24"/>
          <w:szCs w:val="24"/>
          <w:lang w:val="en-US"/>
        </w:rPr>
        <w:t>Unadjusted and adjusted odds ratio (OR) for several binary outcome variables by groups of high and low birth weight to placenta weight (BWPW) ratio (exposure).</w:t>
      </w:r>
    </w:p>
    <w:p w14:paraId="082427C7" w14:textId="77777777" w:rsidR="00B54741" w:rsidRPr="004B61EA" w:rsidRDefault="00B54741" w:rsidP="007232E5">
      <w:pPr>
        <w:pStyle w:val="NoSpacing"/>
        <w:rPr>
          <w:rFonts w:ascii="Arial" w:hAnsi="Arial" w:cs="Arial"/>
          <w:b/>
          <w:sz w:val="24"/>
          <w:szCs w:val="24"/>
          <w:lang w:val="en-US"/>
        </w:rPr>
      </w:pPr>
    </w:p>
    <w:tbl>
      <w:tblPr>
        <w:tblStyle w:val="TableGrid"/>
        <w:tblW w:w="0" w:type="auto"/>
        <w:tblLayout w:type="fixed"/>
        <w:tblLook w:val="04A0" w:firstRow="1" w:lastRow="0" w:firstColumn="1" w:lastColumn="0" w:noHBand="0" w:noVBand="1"/>
      </w:tblPr>
      <w:tblGrid>
        <w:gridCol w:w="3227"/>
        <w:gridCol w:w="850"/>
        <w:gridCol w:w="2552"/>
        <w:gridCol w:w="992"/>
        <w:gridCol w:w="3119"/>
        <w:gridCol w:w="992"/>
      </w:tblGrid>
      <w:tr w:rsidR="007232E5" w:rsidRPr="004B61EA" w14:paraId="5B7040D8" w14:textId="77777777" w:rsidTr="00514705">
        <w:tc>
          <w:tcPr>
            <w:tcW w:w="3227" w:type="dxa"/>
          </w:tcPr>
          <w:p w14:paraId="61A1F569" w14:textId="77777777" w:rsidR="007232E5" w:rsidRPr="004B61EA" w:rsidRDefault="007232E5" w:rsidP="001E087E">
            <w:pPr>
              <w:pStyle w:val="NoSpacing"/>
              <w:rPr>
                <w:rFonts w:ascii="Arial" w:hAnsi="Arial" w:cs="Arial"/>
                <w:sz w:val="24"/>
                <w:szCs w:val="24"/>
                <w:lang w:val="en-US"/>
              </w:rPr>
            </w:pPr>
          </w:p>
        </w:tc>
        <w:tc>
          <w:tcPr>
            <w:tcW w:w="850" w:type="dxa"/>
          </w:tcPr>
          <w:p w14:paraId="1D50B568" w14:textId="77777777" w:rsidR="007232E5" w:rsidRPr="004B61EA" w:rsidRDefault="007232E5" w:rsidP="001E087E">
            <w:pPr>
              <w:pStyle w:val="NoSpacing"/>
              <w:rPr>
                <w:rFonts w:ascii="Arial" w:hAnsi="Arial" w:cs="Arial"/>
                <w:sz w:val="24"/>
                <w:szCs w:val="24"/>
                <w:lang w:val="en-US"/>
              </w:rPr>
            </w:pPr>
          </w:p>
        </w:tc>
        <w:tc>
          <w:tcPr>
            <w:tcW w:w="3544" w:type="dxa"/>
            <w:gridSpan w:val="2"/>
          </w:tcPr>
          <w:p w14:paraId="3C4C1EB7"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Unadjusted analysis</w:t>
            </w:r>
          </w:p>
        </w:tc>
        <w:tc>
          <w:tcPr>
            <w:tcW w:w="4111" w:type="dxa"/>
            <w:gridSpan w:val="2"/>
          </w:tcPr>
          <w:p w14:paraId="4F431458" w14:textId="24B49FE8" w:rsidR="007232E5" w:rsidRPr="004B61EA" w:rsidRDefault="007232E5" w:rsidP="00C31F42">
            <w:pPr>
              <w:pStyle w:val="NoSpacing"/>
              <w:rPr>
                <w:rFonts w:ascii="Arial" w:hAnsi="Arial" w:cs="Arial"/>
                <w:sz w:val="24"/>
                <w:szCs w:val="24"/>
                <w:lang w:val="en-US"/>
              </w:rPr>
            </w:pPr>
            <w:r w:rsidRPr="004B61EA">
              <w:rPr>
                <w:rFonts w:ascii="Arial" w:hAnsi="Arial" w:cs="Arial"/>
                <w:sz w:val="24"/>
                <w:szCs w:val="24"/>
                <w:lang w:val="en-US"/>
              </w:rPr>
              <w:t xml:space="preserve">Adjusted for sex of the infant, </w:t>
            </w:r>
            <w:r w:rsidR="006652D8" w:rsidRPr="004B61EA">
              <w:rPr>
                <w:rFonts w:ascii="Arial" w:hAnsi="Arial" w:cs="Arial"/>
                <w:sz w:val="24"/>
                <w:szCs w:val="24"/>
                <w:lang w:val="en-US"/>
              </w:rPr>
              <w:t xml:space="preserve">maternal age, BMI, </w:t>
            </w:r>
            <w:r w:rsidRPr="004B61EA">
              <w:rPr>
                <w:rFonts w:ascii="Arial" w:hAnsi="Arial" w:cs="Arial"/>
                <w:sz w:val="24"/>
                <w:szCs w:val="24"/>
                <w:lang w:val="en-US"/>
              </w:rPr>
              <w:t>diabetes</w:t>
            </w:r>
            <w:r w:rsidR="00C31F42" w:rsidRPr="004B61EA">
              <w:rPr>
                <w:rFonts w:ascii="Arial" w:hAnsi="Arial" w:cs="Arial"/>
                <w:sz w:val="24"/>
                <w:szCs w:val="24"/>
                <w:lang w:val="en-US"/>
              </w:rPr>
              <w:t xml:space="preserve"> and</w:t>
            </w:r>
            <w:r w:rsidRPr="004B61EA">
              <w:rPr>
                <w:rFonts w:ascii="Arial" w:hAnsi="Arial" w:cs="Arial"/>
                <w:sz w:val="24"/>
                <w:szCs w:val="24"/>
                <w:lang w:val="en-US"/>
              </w:rPr>
              <w:t xml:space="preserve"> smoking status</w:t>
            </w:r>
          </w:p>
        </w:tc>
      </w:tr>
      <w:tr w:rsidR="007232E5" w:rsidRPr="004B61EA" w14:paraId="339E6879" w14:textId="77777777" w:rsidTr="00514705">
        <w:tc>
          <w:tcPr>
            <w:tcW w:w="3227" w:type="dxa"/>
          </w:tcPr>
          <w:p w14:paraId="7C74863E"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Analysis</w:t>
            </w:r>
          </w:p>
        </w:tc>
        <w:tc>
          <w:tcPr>
            <w:tcW w:w="850" w:type="dxa"/>
          </w:tcPr>
          <w:p w14:paraId="1D4EE852"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N</w:t>
            </w:r>
          </w:p>
        </w:tc>
        <w:tc>
          <w:tcPr>
            <w:tcW w:w="2552" w:type="dxa"/>
          </w:tcPr>
          <w:p w14:paraId="77334590"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Odds ratio (95% CI)</w:t>
            </w:r>
          </w:p>
        </w:tc>
        <w:tc>
          <w:tcPr>
            <w:tcW w:w="992" w:type="dxa"/>
          </w:tcPr>
          <w:p w14:paraId="050092DD"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P</w:t>
            </w:r>
          </w:p>
        </w:tc>
        <w:tc>
          <w:tcPr>
            <w:tcW w:w="3119" w:type="dxa"/>
          </w:tcPr>
          <w:p w14:paraId="020ECAFB"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Odds ratio (95% CI)</w:t>
            </w:r>
          </w:p>
        </w:tc>
        <w:tc>
          <w:tcPr>
            <w:tcW w:w="992" w:type="dxa"/>
          </w:tcPr>
          <w:p w14:paraId="0C8DB67C"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P</w:t>
            </w:r>
          </w:p>
        </w:tc>
      </w:tr>
      <w:tr w:rsidR="007232E5" w:rsidRPr="004B61EA" w14:paraId="4706A2D9" w14:textId="77777777" w:rsidTr="00514705">
        <w:tc>
          <w:tcPr>
            <w:tcW w:w="3227" w:type="dxa"/>
          </w:tcPr>
          <w:p w14:paraId="5F1AC7FB" w14:textId="77777777" w:rsidR="007232E5" w:rsidRPr="004B61EA" w:rsidRDefault="007232E5" w:rsidP="001E087E">
            <w:pPr>
              <w:pStyle w:val="NoSpacing"/>
              <w:rPr>
                <w:rFonts w:ascii="Arial" w:hAnsi="Arial" w:cs="Arial"/>
                <w:b/>
                <w:sz w:val="24"/>
                <w:szCs w:val="24"/>
              </w:rPr>
            </w:pPr>
            <w:r w:rsidRPr="004B61EA">
              <w:rPr>
                <w:rFonts w:ascii="Arial" w:hAnsi="Arial" w:cs="Arial"/>
                <w:b/>
                <w:sz w:val="24"/>
                <w:szCs w:val="24"/>
              </w:rPr>
              <w:t>Neonatal morbidity (outcome)</w:t>
            </w:r>
          </w:p>
        </w:tc>
        <w:tc>
          <w:tcPr>
            <w:tcW w:w="850" w:type="dxa"/>
          </w:tcPr>
          <w:p w14:paraId="2176D791" w14:textId="77777777" w:rsidR="007232E5" w:rsidRPr="004B61EA" w:rsidRDefault="007232E5" w:rsidP="001E087E">
            <w:pPr>
              <w:pStyle w:val="NoSpacing"/>
              <w:rPr>
                <w:rFonts w:ascii="Arial" w:hAnsi="Arial" w:cs="Arial"/>
                <w:sz w:val="24"/>
                <w:szCs w:val="24"/>
              </w:rPr>
            </w:pPr>
          </w:p>
        </w:tc>
        <w:tc>
          <w:tcPr>
            <w:tcW w:w="2552" w:type="dxa"/>
          </w:tcPr>
          <w:p w14:paraId="67389CB5" w14:textId="77777777" w:rsidR="007232E5" w:rsidRPr="004B61EA" w:rsidRDefault="007232E5" w:rsidP="001E087E">
            <w:pPr>
              <w:pStyle w:val="NoSpacing"/>
              <w:rPr>
                <w:rFonts w:ascii="Arial" w:hAnsi="Arial" w:cs="Arial"/>
                <w:sz w:val="24"/>
                <w:szCs w:val="24"/>
              </w:rPr>
            </w:pPr>
          </w:p>
        </w:tc>
        <w:tc>
          <w:tcPr>
            <w:tcW w:w="992" w:type="dxa"/>
          </w:tcPr>
          <w:p w14:paraId="01E0AD17" w14:textId="77777777" w:rsidR="007232E5" w:rsidRPr="004B61EA" w:rsidRDefault="007232E5" w:rsidP="001E087E">
            <w:pPr>
              <w:pStyle w:val="NoSpacing"/>
              <w:rPr>
                <w:rFonts w:ascii="Arial" w:hAnsi="Arial" w:cs="Arial"/>
                <w:sz w:val="24"/>
                <w:szCs w:val="24"/>
              </w:rPr>
            </w:pPr>
          </w:p>
        </w:tc>
        <w:tc>
          <w:tcPr>
            <w:tcW w:w="3119" w:type="dxa"/>
          </w:tcPr>
          <w:p w14:paraId="235CFCF6" w14:textId="77777777" w:rsidR="007232E5" w:rsidRPr="004B61EA" w:rsidRDefault="007232E5" w:rsidP="001E087E">
            <w:pPr>
              <w:pStyle w:val="NoSpacing"/>
              <w:rPr>
                <w:rFonts w:ascii="Arial" w:hAnsi="Arial" w:cs="Arial"/>
                <w:sz w:val="24"/>
                <w:szCs w:val="24"/>
              </w:rPr>
            </w:pPr>
          </w:p>
        </w:tc>
        <w:tc>
          <w:tcPr>
            <w:tcW w:w="992" w:type="dxa"/>
          </w:tcPr>
          <w:p w14:paraId="41612649" w14:textId="77777777" w:rsidR="007232E5" w:rsidRPr="004B61EA" w:rsidRDefault="007232E5" w:rsidP="001E087E">
            <w:pPr>
              <w:pStyle w:val="NoSpacing"/>
              <w:rPr>
                <w:rFonts w:ascii="Arial" w:hAnsi="Arial" w:cs="Arial"/>
                <w:sz w:val="24"/>
                <w:szCs w:val="24"/>
              </w:rPr>
            </w:pPr>
          </w:p>
        </w:tc>
      </w:tr>
      <w:tr w:rsidR="007232E5" w:rsidRPr="004B61EA" w14:paraId="2D11A243" w14:textId="77777777" w:rsidTr="00514705">
        <w:tc>
          <w:tcPr>
            <w:tcW w:w="3227" w:type="dxa"/>
          </w:tcPr>
          <w:p w14:paraId="64A240FC" w14:textId="77777777" w:rsidR="007232E5" w:rsidRPr="004B61EA" w:rsidRDefault="007232E5" w:rsidP="001E087E">
            <w:pPr>
              <w:pStyle w:val="NoSpacing"/>
              <w:rPr>
                <w:rFonts w:ascii="Arial" w:hAnsi="Arial" w:cs="Arial"/>
                <w:sz w:val="24"/>
                <w:szCs w:val="24"/>
                <w:lang w:val="en-US"/>
              </w:rPr>
            </w:pPr>
            <w:r w:rsidRPr="004B61EA">
              <w:rPr>
                <w:rFonts w:ascii="Arial" w:hAnsi="Arial" w:cs="Arial"/>
                <w:sz w:val="24"/>
                <w:szCs w:val="24"/>
                <w:lang w:val="en-US"/>
              </w:rPr>
              <w:t xml:space="preserve">    Low BWPW-ratio   (Q1, &lt;20</w:t>
            </w:r>
            <w:r w:rsidRPr="004B61EA">
              <w:rPr>
                <w:rFonts w:ascii="Arial" w:hAnsi="Arial" w:cs="Arial"/>
                <w:sz w:val="24"/>
                <w:szCs w:val="24"/>
                <w:vertAlign w:val="superscript"/>
                <w:lang w:val="en-US"/>
              </w:rPr>
              <w:t>th</w:t>
            </w:r>
            <w:r w:rsidRPr="004B61EA">
              <w:rPr>
                <w:rFonts w:ascii="Arial" w:hAnsi="Arial" w:cs="Arial"/>
                <w:sz w:val="24"/>
                <w:szCs w:val="24"/>
                <w:lang w:val="en-US"/>
              </w:rPr>
              <w:t xml:space="preserve"> percentile)</w:t>
            </w:r>
          </w:p>
        </w:tc>
        <w:tc>
          <w:tcPr>
            <w:tcW w:w="850" w:type="dxa"/>
          </w:tcPr>
          <w:p w14:paraId="3FA401CD"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2649</w:t>
            </w:r>
          </w:p>
        </w:tc>
        <w:tc>
          <w:tcPr>
            <w:tcW w:w="2552" w:type="dxa"/>
          </w:tcPr>
          <w:p w14:paraId="11E5F1CA"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1.62 (1.18-2.22)</w:t>
            </w:r>
          </w:p>
        </w:tc>
        <w:tc>
          <w:tcPr>
            <w:tcW w:w="992" w:type="dxa"/>
          </w:tcPr>
          <w:p w14:paraId="3D797D78"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0.003</w:t>
            </w:r>
          </w:p>
        </w:tc>
        <w:tc>
          <w:tcPr>
            <w:tcW w:w="3119" w:type="dxa"/>
          </w:tcPr>
          <w:p w14:paraId="78CF2913" w14:textId="395A51A9" w:rsidR="007232E5" w:rsidRPr="004B61EA" w:rsidRDefault="007232E5" w:rsidP="001E087E">
            <w:pPr>
              <w:pStyle w:val="NoSpacing"/>
              <w:rPr>
                <w:rFonts w:ascii="Arial" w:hAnsi="Arial" w:cs="Arial"/>
                <w:sz w:val="24"/>
                <w:szCs w:val="24"/>
              </w:rPr>
            </w:pPr>
            <w:r w:rsidRPr="004B61EA">
              <w:rPr>
                <w:rFonts w:ascii="Arial" w:hAnsi="Arial" w:cs="Arial"/>
                <w:sz w:val="24"/>
                <w:szCs w:val="24"/>
              </w:rPr>
              <w:t>1.5</w:t>
            </w:r>
            <w:r w:rsidR="005F6DC9" w:rsidRPr="004B61EA">
              <w:rPr>
                <w:rFonts w:ascii="Arial" w:hAnsi="Arial" w:cs="Arial"/>
                <w:sz w:val="24"/>
                <w:szCs w:val="24"/>
              </w:rPr>
              <w:t>5</w:t>
            </w:r>
            <w:r w:rsidRPr="004B61EA">
              <w:rPr>
                <w:rFonts w:ascii="Arial" w:hAnsi="Arial" w:cs="Arial"/>
                <w:sz w:val="24"/>
                <w:szCs w:val="24"/>
              </w:rPr>
              <w:t xml:space="preserve"> (1.12-2.1</w:t>
            </w:r>
            <w:r w:rsidR="005F6DC9" w:rsidRPr="004B61EA">
              <w:rPr>
                <w:rFonts w:ascii="Arial" w:hAnsi="Arial" w:cs="Arial"/>
                <w:sz w:val="24"/>
                <w:szCs w:val="24"/>
              </w:rPr>
              <w:t>4</w:t>
            </w:r>
            <w:r w:rsidRPr="004B61EA">
              <w:rPr>
                <w:rFonts w:ascii="Arial" w:hAnsi="Arial" w:cs="Arial"/>
                <w:sz w:val="24"/>
                <w:szCs w:val="24"/>
              </w:rPr>
              <w:t>)</w:t>
            </w:r>
          </w:p>
        </w:tc>
        <w:tc>
          <w:tcPr>
            <w:tcW w:w="992" w:type="dxa"/>
          </w:tcPr>
          <w:p w14:paraId="3E67BEDB" w14:textId="41A4F27E" w:rsidR="007232E5" w:rsidRPr="004B61EA" w:rsidRDefault="007232E5" w:rsidP="001E087E">
            <w:pPr>
              <w:pStyle w:val="NoSpacing"/>
              <w:rPr>
                <w:rFonts w:ascii="Arial" w:hAnsi="Arial" w:cs="Arial"/>
                <w:sz w:val="24"/>
                <w:szCs w:val="24"/>
              </w:rPr>
            </w:pPr>
            <w:r w:rsidRPr="004B61EA">
              <w:rPr>
                <w:rFonts w:ascii="Arial" w:hAnsi="Arial" w:cs="Arial"/>
                <w:sz w:val="24"/>
                <w:szCs w:val="24"/>
              </w:rPr>
              <w:t>0.00</w:t>
            </w:r>
            <w:r w:rsidR="005F6DC9" w:rsidRPr="004B61EA">
              <w:rPr>
                <w:rFonts w:ascii="Arial" w:hAnsi="Arial" w:cs="Arial"/>
                <w:sz w:val="24"/>
                <w:szCs w:val="24"/>
              </w:rPr>
              <w:t>7</w:t>
            </w:r>
          </w:p>
        </w:tc>
      </w:tr>
      <w:tr w:rsidR="007232E5" w:rsidRPr="004B61EA" w14:paraId="3F0A2C32" w14:textId="77777777" w:rsidTr="00514705">
        <w:tc>
          <w:tcPr>
            <w:tcW w:w="3227" w:type="dxa"/>
          </w:tcPr>
          <w:p w14:paraId="188AC1DA" w14:textId="77777777" w:rsidR="007232E5" w:rsidRPr="004B61EA" w:rsidRDefault="007232E5" w:rsidP="001E087E">
            <w:pPr>
              <w:pStyle w:val="NoSpacing"/>
              <w:rPr>
                <w:rFonts w:ascii="Arial" w:hAnsi="Arial" w:cs="Arial"/>
                <w:sz w:val="24"/>
                <w:szCs w:val="24"/>
                <w:lang w:val="en-US"/>
              </w:rPr>
            </w:pPr>
            <w:r w:rsidRPr="004B61EA">
              <w:rPr>
                <w:rFonts w:ascii="Arial" w:hAnsi="Arial" w:cs="Arial"/>
                <w:sz w:val="24"/>
                <w:szCs w:val="24"/>
                <w:lang w:val="en-US"/>
              </w:rPr>
              <w:t xml:space="preserve">    High BWPW-ratio  (Q5, &gt;80</w:t>
            </w:r>
            <w:r w:rsidRPr="004B61EA">
              <w:rPr>
                <w:rFonts w:ascii="Arial" w:hAnsi="Arial" w:cs="Arial"/>
                <w:sz w:val="24"/>
                <w:szCs w:val="24"/>
                <w:vertAlign w:val="superscript"/>
                <w:lang w:val="en-US"/>
              </w:rPr>
              <w:t>th</w:t>
            </w:r>
            <w:r w:rsidRPr="004B61EA">
              <w:rPr>
                <w:rFonts w:ascii="Arial" w:hAnsi="Arial" w:cs="Arial"/>
                <w:sz w:val="24"/>
                <w:szCs w:val="24"/>
                <w:lang w:val="en-US"/>
              </w:rPr>
              <w:t xml:space="preserve"> percentile)</w:t>
            </w:r>
          </w:p>
        </w:tc>
        <w:tc>
          <w:tcPr>
            <w:tcW w:w="850" w:type="dxa"/>
          </w:tcPr>
          <w:p w14:paraId="1E3B960C"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2648</w:t>
            </w:r>
          </w:p>
        </w:tc>
        <w:tc>
          <w:tcPr>
            <w:tcW w:w="2552" w:type="dxa"/>
          </w:tcPr>
          <w:p w14:paraId="6EF819A2"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1.12 (0.79-1.60)</w:t>
            </w:r>
          </w:p>
        </w:tc>
        <w:tc>
          <w:tcPr>
            <w:tcW w:w="992" w:type="dxa"/>
          </w:tcPr>
          <w:p w14:paraId="3EFC3C6F"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0.52</w:t>
            </w:r>
          </w:p>
        </w:tc>
        <w:tc>
          <w:tcPr>
            <w:tcW w:w="3119" w:type="dxa"/>
          </w:tcPr>
          <w:p w14:paraId="6DA74D68" w14:textId="44C92FDF" w:rsidR="007232E5" w:rsidRPr="004B61EA" w:rsidRDefault="007232E5" w:rsidP="001E087E">
            <w:pPr>
              <w:pStyle w:val="NoSpacing"/>
              <w:rPr>
                <w:rFonts w:ascii="Arial" w:hAnsi="Arial" w:cs="Arial"/>
                <w:sz w:val="24"/>
                <w:szCs w:val="24"/>
              </w:rPr>
            </w:pPr>
            <w:r w:rsidRPr="004B61EA">
              <w:rPr>
                <w:rFonts w:ascii="Arial" w:hAnsi="Arial" w:cs="Arial"/>
                <w:sz w:val="24"/>
                <w:szCs w:val="24"/>
              </w:rPr>
              <w:t>1.1</w:t>
            </w:r>
            <w:r w:rsidR="005F6DC9" w:rsidRPr="004B61EA">
              <w:rPr>
                <w:rFonts w:ascii="Arial" w:hAnsi="Arial" w:cs="Arial"/>
                <w:sz w:val="24"/>
                <w:szCs w:val="24"/>
              </w:rPr>
              <w:t>7</w:t>
            </w:r>
            <w:r w:rsidRPr="004B61EA">
              <w:rPr>
                <w:rFonts w:ascii="Arial" w:hAnsi="Arial" w:cs="Arial"/>
                <w:sz w:val="24"/>
                <w:szCs w:val="24"/>
              </w:rPr>
              <w:t xml:space="preserve"> (0.8</w:t>
            </w:r>
            <w:r w:rsidR="005F6DC9" w:rsidRPr="004B61EA">
              <w:rPr>
                <w:rFonts w:ascii="Arial" w:hAnsi="Arial" w:cs="Arial"/>
                <w:sz w:val="24"/>
                <w:szCs w:val="24"/>
              </w:rPr>
              <w:t>1</w:t>
            </w:r>
            <w:r w:rsidRPr="004B61EA">
              <w:rPr>
                <w:rFonts w:ascii="Arial" w:hAnsi="Arial" w:cs="Arial"/>
                <w:sz w:val="24"/>
                <w:szCs w:val="24"/>
              </w:rPr>
              <w:t>-1.6</w:t>
            </w:r>
            <w:r w:rsidR="005F6DC9" w:rsidRPr="004B61EA">
              <w:rPr>
                <w:rFonts w:ascii="Arial" w:hAnsi="Arial" w:cs="Arial"/>
                <w:sz w:val="24"/>
                <w:szCs w:val="24"/>
              </w:rPr>
              <w:t>7</w:t>
            </w:r>
            <w:r w:rsidRPr="004B61EA">
              <w:rPr>
                <w:rFonts w:ascii="Arial" w:hAnsi="Arial" w:cs="Arial"/>
                <w:sz w:val="24"/>
                <w:szCs w:val="24"/>
              </w:rPr>
              <w:t>)</w:t>
            </w:r>
          </w:p>
        </w:tc>
        <w:tc>
          <w:tcPr>
            <w:tcW w:w="992" w:type="dxa"/>
          </w:tcPr>
          <w:p w14:paraId="46517BE0" w14:textId="573661A6" w:rsidR="007232E5" w:rsidRPr="004B61EA" w:rsidRDefault="007232E5" w:rsidP="001E087E">
            <w:pPr>
              <w:pStyle w:val="NoSpacing"/>
              <w:rPr>
                <w:rFonts w:ascii="Arial" w:hAnsi="Arial" w:cs="Arial"/>
                <w:sz w:val="24"/>
                <w:szCs w:val="24"/>
              </w:rPr>
            </w:pPr>
            <w:r w:rsidRPr="004B61EA">
              <w:rPr>
                <w:rFonts w:ascii="Arial" w:hAnsi="Arial" w:cs="Arial"/>
                <w:sz w:val="24"/>
                <w:szCs w:val="24"/>
              </w:rPr>
              <w:t>0.</w:t>
            </w:r>
            <w:r w:rsidR="005F6DC9" w:rsidRPr="004B61EA">
              <w:rPr>
                <w:rFonts w:ascii="Arial" w:hAnsi="Arial" w:cs="Arial"/>
                <w:sz w:val="24"/>
                <w:szCs w:val="24"/>
              </w:rPr>
              <w:t>40</w:t>
            </w:r>
          </w:p>
        </w:tc>
      </w:tr>
      <w:tr w:rsidR="007232E5" w:rsidRPr="004B61EA" w14:paraId="6D0D6A76" w14:textId="77777777" w:rsidTr="00514705">
        <w:tc>
          <w:tcPr>
            <w:tcW w:w="3227" w:type="dxa"/>
          </w:tcPr>
          <w:p w14:paraId="044E629E" w14:textId="77777777" w:rsidR="007232E5" w:rsidRPr="004B61EA" w:rsidRDefault="007232E5" w:rsidP="001E087E">
            <w:pPr>
              <w:pStyle w:val="NoSpacing"/>
              <w:rPr>
                <w:rFonts w:ascii="Arial" w:hAnsi="Arial" w:cs="Arial"/>
                <w:sz w:val="24"/>
                <w:szCs w:val="24"/>
                <w:lang w:val="en-US"/>
              </w:rPr>
            </w:pPr>
          </w:p>
        </w:tc>
        <w:tc>
          <w:tcPr>
            <w:tcW w:w="850" w:type="dxa"/>
          </w:tcPr>
          <w:p w14:paraId="4E2A02D1" w14:textId="77777777" w:rsidR="007232E5" w:rsidRPr="004B61EA" w:rsidRDefault="007232E5" w:rsidP="001E087E">
            <w:pPr>
              <w:pStyle w:val="NoSpacing"/>
              <w:rPr>
                <w:rFonts w:ascii="Arial" w:hAnsi="Arial" w:cs="Arial"/>
                <w:sz w:val="24"/>
                <w:szCs w:val="24"/>
              </w:rPr>
            </w:pPr>
          </w:p>
        </w:tc>
        <w:tc>
          <w:tcPr>
            <w:tcW w:w="2552" w:type="dxa"/>
          </w:tcPr>
          <w:p w14:paraId="3CBAE757" w14:textId="77777777" w:rsidR="007232E5" w:rsidRPr="004B61EA" w:rsidRDefault="007232E5" w:rsidP="001E087E">
            <w:pPr>
              <w:pStyle w:val="NoSpacing"/>
              <w:rPr>
                <w:rFonts w:ascii="Arial" w:hAnsi="Arial" w:cs="Arial"/>
                <w:sz w:val="24"/>
                <w:szCs w:val="24"/>
              </w:rPr>
            </w:pPr>
          </w:p>
        </w:tc>
        <w:tc>
          <w:tcPr>
            <w:tcW w:w="992" w:type="dxa"/>
          </w:tcPr>
          <w:p w14:paraId="6949BF28" w14:textId="77777777" w:rsidR="007232E5" w:rsidRPr="004B61EA" w:rsidRDefault="007232E5" w:rsidP="001E087E">
            <w:pPr>
              <w:pStyle w:val="NoSpacing"/>
              <w:rPr>
                <w:rFonts w:ascii="Arial" w:hAnsi="Arial" w:cs="Arial"/>
                <w:sz w:val="24"/>
                <w:szCs w:val="24"/>
              </w:rPr>
            </w:pPr>
          </w:p>
        </w:tc>
        <w:tc>
          <w:tcPr>
            <w:tcW w:w="3119" w:type="dxa"/>
          </w:tcPr>
          <w:p w14:paraId="4D375778" w14:textId="77777777" w:rsidR="007232E5" w:rsidRPr="004B61EA" w:rsidRDefault="007232E5" w:rsidP="001E087E">
            <w:pPr>
              <w:pStyle w:val="NoSpacing"/>
              <w:rPr>
                <w:rFonts w:ascii="Arial" w:hAnsi="Arial" w:cs="Arial"/>
                <w:sz w:val="24"/>
                <w:szCs w:val="24"/>
              </w:rPr>
            </w:pPr>
          </w:p>
        </w:tc>
        <w:tc>
          <w:tcPr>
            <w:tcW w:w="992" w:type="dxa"/>
          </w:tcPr>
          <w:p w14:paraId="5F236CAF" w14:textId="77777777" w:rsidR="007232E5" w:rsidRPr="004B61EA" w:rsidRDefault="007232E5" w:rsidP="001E087E">
            <w:pPr>
              <w:pStyle w:val="NoSpacing"/>
              <w:rPr>
                <w:rFonts w:ascii="Arial" w:hAnsi="Arial" w:cs="Arial"/>
                <w:sz w:val="24"/>
                <w:szCs w:val="24"/>
              </w:rPr>
            </w:pPr>
          </w:p>
        </w:tc>
      </w:tr>
      <w:tr w:rsidR="007232E5" w:rsidRPr="004B61EA" w14:paraId="2650ED24" w14:textId="77777777" w:rsidTr="00514705">
        <w:tc>
          <w:tcPr>
            <w:tcW w:w="3227" w:type="dxa"/>
          </w:tcPr>
          <w:p w14:paraId="36BA187E" w14:textId="77777777" w:rsidR="007232E5" w:rsidRPr="004B61EA" w:rsidRDefault="007232E5" w:rsidP="001E087E">
            <w:pPr>
              <w:pStyle w:val="NoSpacing"/>
              <w:rPr>
                <w:rFonts w:ascii="Arial" w:hAnsi="Arial" w:cs="Arial"/>
                <w:b/>
                <w:sz w:val="24"/>
                <w:szCs w:val="24"/>
              </w:rPr>
            </w:pPr>
            <w:r w:rsidRPr="004B61EA">
              <w:rPr>
                <w:rFonts w:ascii="Arial" w:hAnsi="Arial" w:cs="Arial"/>
                <w:b/>
                <w:sz w:val="24"/>
                <w:szCs w:val="24"/>
              </w:rPr>
              <w:t>Maternal obesity* (outcome)</w:t>
            </w:r>
          </w:p>
        </w:tc>
        <w:tc>
          <w:tcPr>
            <w:tcW w:w="850" w:type="dxa"/>
          </w:tcPr>
          <w:p w14:paraId="1C4A7BB5" w14:textId="77777777" w:rsidR="007232E5" w:rsidRPr="004B61EA" w:rsidRDefault="007232E5" w:rsidP="001E087E">
            <w:pPr>
              <w:pStyle w:val="NoSpacing"/>
              <w:rPr>
                <w:rFonts w:ascii="Arial" w:hAnsi="Arial" w:cs="Arial"/>
                <w:sz w:val="24"/>
                <w:szCs w:val="24"/>
              </w:rPr>
            </w:pPr>
          </w:p>
        </w:tc>
        <w:tc>
          <w:tcPr>
            <w:tcW w:w="2552" w:type="dxa"/>
          </w:tcPr>
          <w:p w14:paraId="707891BD" w14:textId="77777777" w:rsidR="007232E5" w:rsidRPr="004B61EA" w:rsidRDefault="007232E5" w:rsidP="001E087E">
            <w:pPr>
              <w:pStyle w:val="NoSpacing"/>
              <w:rPr>
                <w:rFonts w:ascii="Arial" w:hAnsi="Arial" w:cs="Arial"/>
                <w:sz w:val="24"/>
                <w:szCs w:val="24"/>
              </w:rPr>
            </w:pPr>
          </w:p>
        </w:tc>
        <w:tc>
          <w:tcPr>
            <w:tcW w:w="992" w:type="dxa"/>
          </w:tcPr>
          <w:p w14:paraId="5C7BE855" w14:textId="77777777" w:rsidR="007232E5" w:rsidRPr="004B61EA" w:rsidRDefault="007232E5" w:rsidP="001E087E">
            <w:pPr>
              <w:pStyle w:val="NoSpacing"/>
              <w:rPr>
                <w:rFonts w:ascii="Arial" w:hAnsi="Arial" w:cs="Arial"/>
                <w:sz w:val="24"/>
                <w:szCs w:val="24"/>
              </w:rPr>
            </w:pPr>
          </w:p>
        </w:tc>
        <w:tc>
          <w:tcPr>
            <w:tcW w:w="3119" w:type="dxa"/>
          </w:tcPr>
          <w:p w14:paraId="188CFBA5" w14:textId="77777777" w:rsidR="007232E5" w:rsidRPr="004B61EA" w:rsidRDefault="007232E5" w:rsidP="001E087E">
            <w:pPr>
              <w:pStyle w:val="NoSpacing"/>
              <w:rPr>
                <w:rFonts w:ascii="Arial" w:hAnsi="Arial" w:cs="Arial"/>
                <w:sz w:val="24"/>
                <w:szCs w:val="24"/>
              </w:rPr>
            </w:pPr>
          </w:p>
        </w:tc>
        <w:tc>
          <w:tcPr>
            <w:tcW w:w="992" w:type="dxa"/>
          </w:tcPr>
          <w:p w14:paraId="739E9898" w14:textId="77777777" w:rsidR="007232E5" w:rsidRPr="004B61EA" w:rsidRDefault="007232E5" w:rsidP="001E087E">
            <w:pPr>
              <w:pStyle w:val="NoSpacing"/>
              <w:rPr>
                <w:rFonts w:ascii="Arial" w:hAnsi="Arial" w:cs="Arial"/>
                <w:sz w:val="24"/>
                <w:szCs w:val="24"/>
              </w:rPr>
            </w:pPr>
          </w:p>
        </w:tc>
      </w:tr>
      <w:tr w:rsidR="007232E5" w:rsidRPr="004B61EA" w14:paraId="6F8E440D" w14:textId="77777777" w:rsidTr="00514705">
        <w:tc>
          <w:tcPr>
            <w:tcW w:w="3227" w:type="dxa"/>
          </w:tcPr>
          <w:p w14:paraId="09A6438A" w14:textId="77777777" w:rsidR="007232E5" w:rsidRPr="004B61EA" w:rsidRDefault="007232E5" w:rsidP="001E087E">
            <w:pPr>
              <w:pStyle w:val="NoSpacing"/>
              <w:rPr>
                <w:rFonts w:ascii="Arial" w:hAnsi="Arial" w:cs="Arial"/>
                <w:sz w:val="24"/>
                <w:szCs w:val="24"/>
                <w:lang w:val="en-US"/>
              </w:rPr>
            </w:pPr>
            <w:r w:rsidRPr="004B61EA">
              <w:rPr>
                <w:rFonts w:ascii="Arial" w:hAnsi="Arial" w:cs="Arial"/>
                <w:sz w:val="24"/>
                <w:szCs w:val="24"/>
                <w:lang w:val="en-US"/>
              </w:rPr>
              <w:t xml:space="preserve">    Low BWPW-ratio   (Q1, &lt;20</w:t>
            </w:r>
            <w:r w:rsidRPr="004B61EA">
              <w:rPr>
                <w:rFonts w:ascii="Arial" w:hAnsi="Arial" w:cs="Arial"/>
                <w:sz w:val="24"/>
                <w:szCs w:val="24"/>
                <w:vertAlign w:val="superscript"/>
                <w:lang w:val="en-US"/>
              </w:rPr>
              <w:t>th</w:t>
            </w:r>
            <w:r w:rsidRPr="004B61EA">
              <w:rPr>
                <w:rFonts w:ascii="Arial" w:hAnsi="Arial" w:cs="Arial"/>
                <w:sz w:val="24"/>
                <w:szCs w:val="24"/>
                <w:lang w:val="en-US"/>
              </w:rPr>
              <w:t xml:space="preserve"> percentile)</w:t>
            </w:r>
          </w:p>
        </w:tc>
        <w:tc>
          <w:tcPr>
            <w:tcW w:w="850" w:type="dxa"/>
          </w:tcPr>
          <w:p w14:paraId="4A79C738"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2649</w:t>
            </w:r>
          </w:p>
        </w:tc>
        <w:tc>
          <w:tcPr>
            <w:tcW w:w="2552" w:type="dxa"/>
          </w:tcPr>
          <w:p w14:paraId="3CDC9120"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1.31 (1.03-1.68)</w:t>
            </w:r>
          </w:p>
        </w:tc>
        <w:tc>
          <w:tcPr>
            <w:tcW w:w="992" w:type="dxa"/>
          </w:tcPr>
          <w:p w14:paraId="74B85409"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0.03</w:t>
            </w:r>
          </w:p>
        </w:tc>
        <w:tc>
          <w:tcPr>
            <w:tcW w:w="3119" w:type="dxa"/>
          </w:tcPr>
          <w:p w14:paraId="5E7CCE2F" w14:textId="54738CAF" w:rsidR="007232E5" w:rsidRPr="004B61EA" w:rsidRDefault="007232E5" w:rsidP="001E087E">
            <w:pPr>
              <w:pStyle w:val="NoSpacing"/>
              <w:rPr>
                <w:rFonts w:ascii="Arial" w:hAnsi="Arial" w:cs="Arial"/>
                <w:sz w:val="24"/>
                <w:szCs w:val="24"/>
              </w:rPr>
            </w:pPr>
            <w:r w:rsidRPr="004B61EA">
              <w:rPr>
                <w:rFonts w:ascii="Arial" w:hAnsi="Arial" w:cs="Arial"/>
                <w:sz w:val="24"/>
                <w:szCs w:val="24"/>
              </w:rPr>
              <w:t>1.2</w:t>
            </w:r>
            <w:r w:rsidR="00D67888" w:rsidRPr="004B61EA">
              <w:rPr>
                <w:rFonts w:ascii="Arial" w:hAnsi="Arial" w:cs="Arial"/>
                <w:sz w:val="24"/>
                <w:szCs w:val="24"/>
              </w:rPr>
              <w:t>5</w:t>
            </w:r>
            <w:r w:rsidRPr="004B61EA">
              <w:rPr>
                <w:rFonts w:ascii="Arial" w:hAnsi="Arial" w:cs="Arial"/>
                <w:sz w:val="24"/>
                <w:szCs w:val="24"/>
              </w:rPr>
              <w:t xml:space="preserve"> (0.98-1.6</w:t>
            </w:r>
            <w:r w:rsidR="00D67888" w:rsidRPr="004B61EA">
              <w:rPr>
                <w:rFonts w:ascii="Arial" w:hAnsi="Arial" w:cs="Arial"/>
                <w:sz w:val="24"/>
                <w:szCs w:val="24"/>
              </w:rPr>
              <w:t>0</w:t>
            </w:r>
            <w:r w:rsidRPr="004B61EA">
              <w:rPr>
                <w:rFonts w:ascii="Arial" w:hAnsi="Arial" w:cs="Arial"/>
                <w:sz w:val="24"/>
                <w:szCs w:val="24"/>
              </w:rPr>
              <w:t>)</w:t>
            </w:r>
          </w:p>
        </w:tc>
        <w:tc>
          <w:tcPr>
            <w:tcW w:w="992" w:type="dxa"/>
          </w:tcPr>
          <w:p w14:paraId="74FED715" w14:textId="2E26E4FE" w:rsidR="007232E5" w:rsidRPr="004B61EA" w:rsidRDefault="007232E5" w:rsidP="001E087E">
            <w:pPr>
              <w:pStyle w:val="NoSpacing"/>
              <w:rPr>
                <w:rFonts w:ascii="Arial" w:hAnsi="Arial" w:cs="Arial"/>
                <w:sz w:val="24"/>
                <w:szCs w:val="24"/>
              </w:rPr>
            </w:pPr>
            <w:r w:rsidRPr="004B61EA">
              <w:rPr>
                <w:rFonts w:ascii="Arial" w:hAnsi="Arial" w:cs="Arial"/>
                <w:sz w:val="24"/>
                <w:szCs w:val="24"/>
              </w:rPr>
              <w:t>0.0</w:t>
            </w:r>
            <w:r w:rsidR="00D67888" w:rsidRPr="004B61EA">
              <w:rPr>
                <w:rFonts w:ascii="Arial" w:hAnsi="Arial" w:cs="Arial"/>
                <w:sz w:val="24"/>
                <w:szCs w:val="24"/>
              </w:rPr>
              <w:t>8</w:t>
            </w:r>
          </w:p>
        </w:tc>
      </w:tr>
      <w:tr w:rsidR="007232E5" w:rsidRPr="004B61EA" w14:paraId="6B67BDA1" w14:textId="77777777" w:rsidTr="00514705">
        <w:tc>
          <w:tcPr>
            <w:tcW w:w="3227" w:type="dxa"/>
          </w:tcPr>
          <w:p w14:paraId="3FD597A4" w14:textId="77777777" w:rsidR="007232E5" w:rsidRPr="004B61EA" w:rsidRDefault="007232E5" w:rsidP="001E087E">
            <w:pPr>
              <w:pStyle w:val="NoSpacing"/>
              <w:rPr>
                <w:rFonts w:ascii="Arial" w:hAnsi="Arial" w:cs="Arial"/>
                <w:sz w:val="24"/>
                <w:szCs w:val="24"/>
                <w:lang w:val="en-US"/>
              </w:rPr>
            </w:pPr>
            <w:r w:rsidRPr="004B61EA">
              <w:rPr>
                <w:rFonts w:ascii="Arial" w:hAnsi="Arial" w:cs="Arial"/>
                <w:sz w:val="24"/>
                <w:szCs w:val="24"/>
                <w:lang w:val="en-US"/>
              </w:rPr>
              <w:t xml:space="preserve">    High BWPW-ratio  (Q5, &gt;80</w:t>
            </w:r>
            <w:r w:rsidRPr="004B61EA">
              <w:rPr>
                <w:rFonts w:ascii="Arial" w:hAnsi="Arial" w:cs="Arial"/>
                <w:sz w:val="24"/>
                <w:szCs w:val="24"/>
                <w:vertAlign w:val="superscript"/>
                <w:lang w:val="en-US"/>
              </w:rPr>
              <w:t>th</w:t>
            </w:r>
            <w:r w:rsidRPr="004B61EA">
              <w:rPr>
                <w:rFonts w:ascii="Arial" w:hAnsi="Arial" w:cs="Arial"/>
                <w:sz w:val="24"/>
                <w:szCs w:val="24"/>
                <w:lang w:val="en-US"/>
              </w:rPr>
              <w:t xml:space="preserve"> percentile)</w:t>
            </w:r>
          </w:p>
        </w:tc>
        <w:tc>
          <w:tcPr>
            <w:tcW w:w="850" w:type="dxa"/>
          </w:tcPr>
          <w:p w14:paraId="00273E3B"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2648</w:t>
            </w:r>
          </w:p>
        </w:tc>
        <w:tc>
          <w:tcPr>
            <w:tcW w:w="2552" w:type="dxa"/>
          </w:tcPr>
          <w:p w14:paraId="7C8B1421"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0.70 (0.52-0.93)</w:t>
            </w:r>
          </w:p>
        </w:tc>
        <w:tc>
          <w:tcPr>
            <w:tcW w:w="992" w:type="dxa"/>
          </w:tcPr>
          <w:p w14:paraId="7E9026C1"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0.01</w:t>
            </w:r>
          </w:p>
        </w:tc>
        <w:tc>
          <w:tcPr>
            <w:tcW w:w="3119" w:type="dxa"/>
          </w:tcPr>
          <w:p w14:paraId="7B2BB092"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0.71 (0.53-0.95)</w:t>
            </w:r>
          </w:p>
        </w:tc>
        <w:tc>
          <w:tcPr>
            <w:tcW w:w="992" w:type="dxa"/>
          </w:tcPr>
          <w:p w14:paraId="5621D7FC"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0.02</w:t>
            </w:r>
          </w:p>
        </w:tc>
      </w:tr>
      <w:tr w:rsidR="007232E5" w:rsidRPr="004B61EA" w14:paraId="2C688D09" w14:textId="77777777" w:rsidTr="00514705">
        <w:tc>
          <w:tcPr>
            <w:tcW w:w="3227" w:type="dxa"/>
          </w:tcPr>
          <w:p w14:paraId="05E2B696" w14:textId="77777777" w:rsidR="007232E5" w:rsidRPr="004B61EA" w:rsidRDefault="007232E5" w:rsidP="001E087E">
            <w:pPr>
              <w:pStyle w:val="NoSpacing"/>
              <w:rPr>
                <w:rFonts w:ascii="Arial" w:hAnsi="Arial" w:cs="Arial"/>
                <w:sz w:val="24"/>
                <w:szCs w:val="24"/>
                <w:lang w:val="en-US"/>
              </w:rPr>
            </w:pPr>
          </w:p>
        </w:tc>
        <w:tc>
          <w:tcPr>
            <w:tcW w:w="850" w:type="dxa"/>
          </w:tcPr>
          <w:p w14:paraId="65835DF3" w14:textId="77777777" w:rsidR="007232E5" w:rsidRPr="004B61EA" w:rsidRDefault="007232E5" w:rsidP="001E087E">
            <w:pPr>
              <w:pStyle w:val="NoSpacing"/>
              <w:rPr>
                <w:rFonts w:ascii="Arial" w:hAnsi="Arial" w:cs="Arial"/>
                <w:sz w:val="24"/>
                <w:szCs w:val="24"/>
              </w:rPr>
            </w:pPr>
          </w:p>
        </w:tc>
        <w:tc>
          <w:tcPr>
            <w:tcW w:w="2552" w:type="dxa"/>
          </w:tcPr>
          <w:p w14:paraId="7BB81BB9" w14:textId="77777777" w:rsidR="007232E5" w:rsidRPr="004B61EA" w:rsidRDefault="007232E5" w:rsidP="001E087E">
            <w:pPr>
              <w:pStyle w:val="NoSpacing"/>
              <w:rPr>
                <w:rFonts w:ascii="Arial" w:hAnsi="Arial" w:cs="Arial"/>
                <w:sz w:val="24"/>
                <w:szCs w:val="24"/>
              </w:rPr>
            </w:pPr>
          </w:p>
        </w:tc>
        <w:tc>
          <w:tcPr>
            <w:tcW w:w="992" w:type="dxa"/>
          </w:tcPr>
          <w:p w14:paraId="610C905A" w14:textId="77777777" w:rsidR="007232E5" w:rsidRPr="004B61EA" w:rsidRDefault="007232E5" w:rsidP="001E087E">
            <w:pPr>
              <w:pStyle w:val="NoSpacing"/>
              <w:rPr>
                <w:rFonts w:ascii="Arial" w:hAnsi="Arial" w:cs="Arial"/>
                <w:sz w:val="24"/>
                <w:szCs w:val="24"/>
              </w:rPr>
            </w:pPr>
          </w:p>
        </w:tc>
        <w:tc>
          <w:tcPr>
            <w:tcW w:w="3119" w:type="dxa"/>
          </w:tcPr>
          <w:p w14:paraId="3A0AA82F" w14:textId="77777777" w:rsidR="007232E5" w:rsidRPr="004B61EA" w:rsidRDefault="007232E5" w:rsidP="001E087E">
            <w:pPr>
              <w:pStyle w:val="NoSpacing"/>
              <w:rPr>
                <w:rFonts w:ascii="Arial" w:hAnsi="Arial" w:cs="Arial"/>
                <w:sz w:val="24"/>
                <w:szCs w:val="24"/>
              </w:rPr>
            </w:pPr>
          </w:p>
        </w:tc>
        <w:tc>
          <w:tcPr>
            <w:tcW w:w="992" w:type="dxa"/>
          </w:tcPr>
          <w:p w14:paraId="45E2E499" w14:textId="77777777" w:rsidR="007232E5" w:rsidRPr="004B61EA" w:rsidRDefault="007232E5" w:rsidP="001E087E">
            <w:pPr>
              <w:pStyle w:val="NoSpacing"/>
              <w:rPr>
                <w:rFonts w:ascii="Arial" w:hAnsi="Arial" w:cs="Arial"/>
                <w:sz w:val="24"/>
                <w:szCs w:val="24"/>
              </w:rPr>
            </w:pPr>
          </w:p>
        </w:tc>
      </w:tr>
      <w:tr w:rsidR="007232E5" w:rsidRPr="004B61EA" w14:paraId="75D74A29" w14:textId="77777777" w:rsidTr="00514705">
        <w:tc>
          <w:tcPr>
            <w:tcW w:w="3227" w:type="dxa"/>
          </w:tcPr>
          <w:p w14:paraId="41F768BD" w14:textId="77777777" w:rsidR="007232E5" w:rsidRPr="004B61EA" w:rsidRDefault="007232E5" w:rsidP="001E087E">
            <w:pPr>
              <w:pStyle w:val="NoSpacing"/>
              <w:rPr>
                <w:rFonts w:ascii="Arial" w:hAnsi="Arial" w:cs="Arial"/>
                <w:b/>
                <w:sz w:val="24"/>
                <w:szCs w:val="24"/>
                <w:lang w:val="en-US"/>
              </w:rPr>
            </w:pPr>
            <w:r w:rsidRPr="004B61EA">
              <w:rPr>
                <w:rFonts w:ascii="Arial" w:hAnsi="Arial" w:cs="Arial"/>
                <w:b/>
                <w:sz w:val="24"/>
                <w:szCs w:val="24"/>
                <w:lang w:val="en-US"/>
              </w:rPr>
              <w:t>Diabetes** (pre-gestational or gestational)</w:t>
            </w:r>
          </w:p>
          <w:p w14:paraId="4B79E5AA" w14:textId="77777777" w:rsidR="007232E5" w:rsidRPr="004B61EA" w:rsidRDefault="007232E5" w:rsidP="001E087E">
            <w:pPr>
              <w:pStyle w:val="NoSpacing"/>
              <w:rPr>
                <w:rFonts w:ascii="Arial" w:hAnsi="Arial" w:cs="Arial"/>
                <w:b/>
                <w:sz w:val="24"/>
                <w:szCs w:val="24"/>
                <w:lang w:val="en-US"/>
              </w:rPr>
            </w:pPr>
            <w:r w:rsidRPr="004B61EA">
              <w:rPr>
                <w:rFonts w:ascii="Arial" w:hAnsi="Arial" w:cs="Arial"/>
                <w:b/>
                <w:sz w:val="24"/>
                <w:szCs w:val="24"/>
              </w:rPr>
              <w:t>(outcome)</w:t>
            </w:r>
          </w:p>
        </w:tc>
        <w:tc>
          <w:tcPr>
            <w:tcW w:w="850" w:type="dxa"/>
          </w:tcPr>
          <w:p w14:paraId="1E6C7DC8" w14:textId="77777777" w:rsidR="007232E5" w:rsidRPr="004B61EA" w:rsidRDefault="007232E5" w:rsidP="001E087E">
            <w:pPr>
              <w:pStyle w:val="NoSpacing"/>
              <w:rPr>
                <w:rFonts w:ascii="Arial" w:hAnsi="Arial" w:cs="Arial"/>
                <w:sz w:val="24"/>
                <w:szCs w:val="24"/>
                <w:lang w:val="en-US"/>
              </w:rPr>
            </w:pPr>
          </w:p>
        </w:tc>
        <w:tc>
          <w:tcPr>
            <w:tcW w:w="2552" w:type="dxa"/>
          </w:tcPr>
          <w:p w14:paraId="43221F06" w14:textId="77777777" w:rsidR="007232E5" w:rsidRPr="004B61EA" w:rsidRDefault="007232E5" w:rsidP="001E087E">
            <w:pPr>
              <w:pStyle w:val="NoSpacing"/>
              <w:rPr>
                <w:rFonts w:ascii="Arial" w:hAnsi="Arial" w:cs="Arial"/>
                <w:sz w:val="24"/>
                <w:szCs w:val="24"/>
                <w:lang w:val="en-US"/>
              </w:rPr>
            </w:pPr>
          </w:p>
        </w:tc>
        <w:tc>
          <w:tcPr>
            <w:tcW w:w="992" w:type="dxa"/>
          </w:tcPr>
          <w:p w14:paraId="0F0CF9F5" w14:textId="77777777" w:rsidR="007232E5" w:rsidRPr="004B61EA" w:rsidRDefault="007232E5" w:rsidP="001E087E">
            <w:pPr>
              <w:pStyle w:val="NoSpacing"/>
              <w:rPr>
                <w:rFonts w:ascii="Arial" w:hAnsi="Arial" w:cs="Arial"/>
                <w:sz w:val="24"/>
                <w:szCs w:val="24"/>
                <w:lang w:val="en-US"/>
              </w:rPr>
            </w:pPr>
          </w:p>
        </w:tc>
        <w:tc>
          <w:tcPr>
            <w:tcW w:w="3119" w:type="dxa"/>
          </w:tcPr>
          <w:p w14:paraId="7FDDD822" w14:textId="77777777" w:rsidR="007232E5" w:rsidRPr="004B61EA" w:rsidRDefault="007232E5" w:rsidP="001E087E">
            <w:pPr>
              <w:pStyle w:val="NoSpacing"/>
              <w:rPr>
                <w:rFonts w:ascii="Arial" w:hAnsi="Arial" w:cs="Arial"/>
                <w:sz w:val="24"/>
                <w:szCs w:val="24"/>
                <w:lang w:val="en-US"/>
              </w:rPr>
            </w:pPr>
          </w:p>
        </w:tc>
        <w:tc>
          <w:tcPr>
            <w:tcW w:w="992" w:type="dxa"/>
          </w:tcPr>
          <w:p w14:paraId="7CB99007" w14:textId="77777777" w:rsidR="007232E5" w:rsidRPr="004B61EA" w:rsidRDefault="007232E5" w:rsidP="001E087E">
            <w:pPr>
              <w:pStyle w:val="NoSpacing"/>
              <w:rPr>
                <w:rFonts w:ascii="Arial" w:hAnsi="Arial" w:cs="Arial"/>
                <w:sz w:val="24"/>
                <w:szCs w:val="24"/>
                <w:lang w:val="en-US"/>
              </w:rPr>
            </w:pPr>
          </w:p>
        </w:tc>
      </w:tr>
      <w:tr w:rsidR="007232E5" w:rsidRPr="004B61EA" w14:paraId="039DD89D" w14:textId="77777777" w:rsidTr="00514705">
        <w:tc>
          <w:tcPr>
            <w:tcW w:w="3227" w:type="dxa"/>
          </w:tcPr>
          <w:p w14:paraId="5F44FD34" w14:textId="77777777" w:rsidR="007232E5" w:rsidRPr="004B61EA" w:rsidRDefault="007232E5" w:rsidP="001E087E">
            <w:pPr>
              <w:pStyle w:val="NoSpacing"/>
              <w:rPr>
                <w:rFonts w:ascii="Arial" w:hAnsi="Arial" w:cs="Arial"/>
                <w:sz w:val="24"/>
                <w:szCs w:val="24"/>
                <w:lang w:val="en-US"/>
              </w:rPr>
            </w:pPr>
            <w:r w:rsidRPr="004B61EA">
              <w:rPr>
                <w:rFonts w:ascii="Arial" w:hAnsi="Arial" w:cs="Arial"/>
                <w:sz w:val="24"/>
                <w:szCs w:val="24"/>
                <w:lang w:val="en-US"/>
              </w:rPr>
              <w:t xml:space="preserve">    Low BWPW-ratio   (Q1, &lt;20</w:t>
            </w:r>
            <w:r w:rsidRPr="004B61EA">
              <w:rPr>
                <w:rFonts w:ascii="Arial" w:hAnsi="Arial" w:cs="Arial"/>
                <w:sz w:val="24"/>
                <w:szCs w:val="24"/>
                <w:vertAlign w:val="superscript"/>
                <w:lang w:val="en-US"/>
              </w:rPr>
              <w:t>th</w:t>
            </w:r>
            <w:r w:rsidRPr="004B61EA">
              <w:rPr>
                <w:rFonts w:ascii="Arial" w:hAnsi="Arial" w:cs="Arial"/>
                <w:sz w:val="24"/>
                <w:szCs w:val="24"/>
                <w:lang w:val="en-US"/>
              </w:rPr>
              <w:t xml:space="preserve"> percentile)</w:t>
            </w:r>
          </w:p>
        </w:tc>
        <w:tc>
          <w:tcPr>
            <w:tcW w:w="850" w:type="dxa"/>
          </w:tcPr>
          <w:p w14:paraId="74B2ACE6"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2649</w:t>
            </w:r>
          </w:p>
        </w:tc>
        <w:tc>
          <w:tcPr>
            <w:tcW w:w="2552" w:type="dxa"/>
          </w:tcPr>
          <w:p w14:paraId="059FDACF"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1.76 (1.20-2.58)</w:t>
            </w:r>
          </w:p>
        </w:tc>
        <w:tc>
          <w:tcPr>
            <w:tcW w:w="992" w:type="dxa"/>
          </w:tcPr>
          <w:p w14:paraId="6099F65D"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0.004</w:t>
            </w:r>
          </w:p>
        </w:tc>
        <w:tc>
          <w:tcPr>
            <w:tcW w:w="3119" w:type="dxa"/>
          </w:tcPr>
          <w:p w14:paraId="0D8D2C59" w14:textId="71AD0D3A" w:rsidR="007232E5" w:rsidRPr="004B61EA" w:rsidRDefault="007232E5" w:rsidP="001E087E">
            <w:pPr>
              <w:pStyle w:val="NoSpacing"/>
              <w:rPr>
                <w:rFonts w:ascii="Arial" w:hAnsi="Arial" w:cs="Arial"/>
                <w:sz w:val="24"/>
                <w:szCs w:val="24"/>
              </w:rPr>
            </w:pPr>
            <w:r w:rsidRPr="004B61EA">
              <w:rPr>
                <w:rFonts w:ascii="Arial" w:hAnsi="Arial" w:cs="Arial"/>
                <w:sz w:val="24"/>
                <w:szCs w:val="24"/>
              </w:rPr>
              <w:t>1.7</w:t>
            </w:r>
            <w:r w:rsidR="00761840" w:rsidRPr="004B61EA">
              <w:rPr>
                <w:rFonts w:ascii="Arial" w:hAnsi="Arial" w:cs="Arial"/>
                <w:sz w:val="24"/>
                <w:szCs w:val="24"/>
              </w:rPr>
              <w:t>5</w:t>
            </w:r>
            <w:r w:rsidRPr="004B61EA">
              <w:rPr>
                <w:rFonts w:ascii="Arial" w:hAnsi="Arial" w:cs="Arial"/>
                <w:sz w:val="24"/>
                <w:szCs w:val="24"/>
              </w:rPr>
              <w:t xml:space="preserve"> (1.1</w:t>
            </w:r>
            <w:r w:rsidR="00761840" w:rsidRPr="004B61EA">
              <w:rPr>
                <w:rFonts w:ascii="Arial" w:hAnsi="Arial" w:cs="Arial"/>
                <w:sz w:val="24"/>
                <w:szCs w:val="24"/>
              </w:rPr>
              <w:t>8</w:t>
            </w:r>
            <w:r w:rsidRPr="004B61EA">
              <w:rPr>
                <w:rFonts w:ascii="Arial" w:hAnsi="Arial" w:cs="Arial"/>
                <w:sz w:val="24"/>
                <w:szCs w:val="24"/>
              </w:rPr>
              <w:t>-2.5</w:t>
            </w:r>
            <w:r w:rsidR="00761840" w:rsidRPr="004B61EA">
              <w:rPr>
                <w:rFonts w:ascii="Arial" w:hAnsi="Arial" w:cs="Arial"/>
                <w:sz w:val="24"/>
                <w:szCs w:val="24"/>
              </w:rPr>
              <w:t>9</w:t>
            </w:r>
            <w:r w:rsidRPr="004B61EA">
              <w:rPr>
                <w:rFonts w:ascii="Arial" w:hAnsi="Arial" w:cs="Arial"/>
                <w:sz w:val="24"/>
                <w:szCs w:val="24"/>
              </w:rPr>
              <w:t>)</w:t>
            </w:r>
          </w:p>
        </w:tc>
        <w:tc>
          <w:tcPr>
            <w:tcW w:w="992" w:type="dxa"/>
          </w:tcPr>
          <w:p w14:paraId="7BEB0EA5" w14:textId="39B12864" w:rsidR="007232E5" w:rsidRPr="004B61EA" w:rsidRDefault="007232E5" w:rsidP="001E087E">
            <w:pPr>
              <w:pStyle w:val="NoSpacing"/>
              <w:rPr>
                <w:rFonts w:ascii="Arial" w:hAnsi="Arial" w:cs="Arial"/>
                <w:sz w:val="24"/>
                <w:szCs w:val="24"/>
              </w:rPr>
            </w:pPr>
            <w:r w:rsidRPr="004B61EA">
              <w:rPr>
                <w:rFonts w:ascii="Arial" w:hAnsi="Arial" w:cs="Arial"/>
                <w:sz w:val="24"/>
                <w:szCs w:val="24"/>
              </w:rPr>
              <w:t>0.00</w:t>
            </w:r>
            <w:r w:rsidR="00761840" w:rsidRPr="004B61EA">
              <w:rPr>
                <w:rFonts w:ascii="Arial" w:hAnsi="Arial" w:cs="Arial"/>
                <w:sz w:val="24"/>
                <w:szCs w:val="24"/>
              </w:rPr>
              <w:t>5</w:t>
            </w:r>
          </w:p>
        </w:tc>
      </w:tr>
      <w:tr w:rsidR="007232E5" w:rsidRPr="004B61EA" w14:paraId="7A88FFE6" w14:textId="77777777" w:rsidTr="00514705">
        <w:tc>
          <w:tcPr>
            <w:tcW w:w="3227" w:type="dxa"/>
          </w:tcPr>
          <w:p w14:paraId="598BBE80" w14:textId="77777777" w:rsidR="007232E5" w:rsidRPr="004B61EA" w:rsidRDefault="007232E5" w:rsidP="001E087E">
            <w:pPr>
              <w:pStyle w:val="NoSpacing"/>
              <w:rPr>
                <w:rFonts w:ascii="Arial" w:hAnsi="Arial" w:cs="Arial"/>
                <w:sz w:val="24"/>
                <w:szCs w:val="24"/>
                <w:lang w:val="en-US"/>
              </w:rPr>
            </w:pPr>
            <w:r w:rsidRPr="004B61EA">
              <w:rPr>
                <w:rFonts w:ascii="Arial" w:hAnsi="Arial" w:cs="Arial"/>
                <w:sz w:val="24"/>
                <w:szCs w:val="24"/>
                <w:lang w:val="en-US"/>
              </w:rPr>
              <w:t xml:space="preserve">    High BWPW-ratio  (Q5, &gt;80</w:t>
            </w:r>
            <w:r w:rsidRPr="004B61EA">
              <w:rPr>
                <w:rFonts w:ascii="Arial" w:hAnsi="Arial" w:cs="Arial"/>
                <w:sz w:val="24"/>
                <w:szCs w:val="24"/>
                <w:vertAlign w:val="superscript"/>
                <w:lang w:val="en-US"/>
              </w:rPr>
              <w:t>th</w:t>
            </w:r>
            <w:r w:rsidRPr="004B61EA">
              <w:rPr>
                <w:rFonts w:ascii="Arial" w:hAnsi="Arial" w:cs="Arial"/>
                <w:sz w:val="24"/>
                <w:szCs w:val="24"/>
                <w:lang w:val="en-US"/>
              </w:rPr>
              <w:t xml:space="preserve"> percentile)</w:t>
            </w:r>
          </w:p>
        </w:tc>
        <w:tc>
          <w:tcPr>
            <w:tcW w:w="850" w:type="dxa"/>
          </w:tcPr>
          <w:p w14:paraId="61180891"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2648</w:t>
            </w:r>
          </w:p>
        </w:tc>
        <w:tc>
          <w:tcPr>
            <w:tcW w:w="2552" w:type="dxa"/>
          </w:tcPr>
          <w:p w14:paraId="720D9B3C"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0.65 (0.38-1.11)</w:t>
            </w:r>
          </w:p>
        </w:tc>
        <w:tc>
          <w:tcPr>
            <w:tcW w:w="992" w:type="dxa"/>
          </w:tcPr>
          <w:p w14:paraId="0F09309B"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0.12</w:t>
            </w:r>
          </w:p>
        </w:tc>
        <w:tc>
          <w:tcPr>
            <w:tcW w:w="3119" w:type="dxa"/>
          </w:tcPr>
          <w:p w14:paraId="6E9A5BAF" w14:textId="59E11A94" w:rsidR="007232E5" w:rsidRPr="004B61EA" w:rsidRDefault="007232E5" w:rsidP="001E087E">
            <w:pPr>
              <w:pStyle w:val="NoSpacing"/>
              <w:rPr>
                <w:rFonts w:ascii="Arial" w:hAnsi="Arial" w:cs="Arial"/>
                <w:sz w:val="24"/>
                <w:szCs w:val="24"/>
              </w:rPr>
            </w:pPr>
            <w:r w:rsidRPr="004B61EA">
              <w:rPr>
                <w:rFonts w:ascii="Arial" w:hAnsi="Arial" w:cs="Arial"/>
                <w:sz w:val="24"/>
                <w:szCs w:val="24"/>
              </w:rPr>
              <w:t>0.6</w:t>
            </w:r>
            <w:r w:rsidR="00761840" w:rsidRPr="004B61EA">
              <w:rPr>
                <w:rFonts w:ascii="Arial" w:hAnsi="Arial" w:cs="Arial"/>
                <w:sz w:val="24"/>
                <w:szCs w:val="24"/>
              </w:rPr>
              <w:t>6</w:t>
            </w:r>
            <w:r w:rsidRPr="004B61EA">
              <w:rPr>
                <w:rFonts w:ascii="Arial" w:hAnsi="Arial" w:cs="Arial"/>
                <w:sz w:val="24"/>
                <w:szCs w:val="24"/>
              </w:rPr>
              <w:t xml:space="preserve"> (0.</w:t>
            </w:r>
            <w:r w:rsidR="00761840" w:rsidRPr="004B61EA">
              <w:rPr>
                <w:rFonts w:ascii="Arial" w:hAnsi="Arial" w:cs="Arial"/>
                <w:sz w:val="24"/>
                <w:szCs w:val="24"/>
              </w:rPr>
              <w:t>39</w:t>
            </w:r>
            <w:r w:rsidRPr="004B61EA">
              <w:rPr>
                <w:rFonts w:ascii="Arial" w:hAnsi="Arial" w:cs="Arial"/>
                <w:sz w:val="24"/>
                <w:szCs w:val="24"/>
              </w:rPr>
              <w:t>-1.1</w:t>
            </w:r>
            <w:r w:rsidR="00761840" w:rsidRPr="004B61EA">
              <w:rPr>
                <w:rFonts w:ascii="Arial" w:hAnsi="Arial" w:cs="Arial"/>
                <w:sz w:val="24"/>
                <w:szCs w:val="24"/>
              </w:rPr>
              <w:t>4</w:t>
            </w:r>
            <w:r w:rsidRPr="004B61EA">
              <w:rPr>
                <w:rFonts w:ascii="Arial" w:hAnsi="Arial" w:cs="Arial"/>
                <w:sz w:val="24"/>
                <w:szCs w:val="24"/>
              </w:rPr>
              <w:t>)</w:t>
            </w:r>
          </w:p>
        </w:tc>
        <w:tc>
          <w:tcPr>
            <w:tcW w:w="992" w:type="dxa"/>
          </w:tcPr>
          <w:p w14:paraId="32BC3D50" w14:textId="2719F7E3" w:rsidR="007232E5" w:rsidRPr="004B61EA" w:rsidRDefault="007232E5" w:rsidP="001E087E">
            <w:pPr>
              <w:pStyle w:val="NoSpacing"/>
              <w:rPr>
                <w:rFonts w:ascii="Arial" w:hAnsi="Arial" w:cs="Arial"/>
                <w:sz w:val="24"/>
                <w:szCs w:val="24"/>
              </w:rPr>
            </w:pPr>
            <w:r w:rsidRPr="004B61EA">
              <w:rPr>
                <w:rFonts w:ascii="Arial" w:hAnsi="Arial" w:cs="Arial"/>
                <w:sz w:val="24"/>
                <w:szCs w:val="24"/>
              </w:rPr>
              <w:t>0.1</w:t>
            </w:r>
            <w:r w:rsidR="00761840" w:rsidRPr="004B61EA">
              <w:rPr>
                <w:rFonts w:ascii="Arial" w:hAnsi="Arial" w:cs="Arial"/>
                <w:sz w:val="24"/>
                <w:szCs w:val="24"/>
              </w:rPr>
              <w:t>4</w:t>
            </w:r>
          </w:p>
        </w:tc>
      </w:tr>
      <w:tr w:rsidR="007232E5" w:rsidRPr="004B61EA" w14:paraId="3B8549E9" w14:textId="77777777" w:rsidTr="00514705">
        <w:tc>
          <w:tcPr>
            <w:tcW w:w="3227" w:type="dxa"/>
          </w:tcPr>
          <w:p w14:paraId="74CE1296" w14:textId="77777777" w:rsidR="007232E5" w:rsidRPr="004B61EA" w:rsidRDefault="007232E5" w:rsidP="001E087E">
            <w:pPr>
              <w:pStyle w:val="NoSpacing"/>
              <w:rPr>
                <w:rFonts w:ascii="Arial" w:hAnsi="Arial" w:cs="Arial"/>
                <w:sz w:val="24"/>
                <w:szCs w:val="24"/>
                <w:lang w:val="en-US"/>
              </w:rPr>
            </w:pPr>
          </w:p>
        </w:tc>
        <w:tc>
          <w:tcPr>
            <w:tcW w:w="850" w:type="dxa"/>
          </w:tcPr>
          <w:p w14:paraId="20AC0466" w14:textId="77777777" w:rsidR="007232E5" w:rsidRPr="004B61EA" w:rsidRDefault="007232E5" w:rsidP="001E087E">
            <w:pPr>
              <w:pStyle w:val="NoSpacing"/>
              <w:rPr>
                <w:rFonts w:ascii="Arial" w:hAnsi="Arial" w:cs="Arial"/>
                <w:sz w:val="24"/>
                <w:szCs w:val="24"/>
              </w:rPr>
            </w:pPr>
          </w:p>
        </w:tc>
        <w:tc>
          <w:tcPr>
            <w:tcW w:w="2552" w:type="dxa"/>
          </w:tcPr>
          <w:p w14:paraId="023172EF" w14:textId="77777777" w:rsidR="007232E5" w:rsidRPr="004B61EA" w:rsidRDefault="007232E5" w:rsidP="001E087E">
            <w:pPr>
              <w:pStyle w:val="NoSpacing"/>
              <w:rPr>
                <w:rFonts w:ascii="Arial" w:hAnsi="Arial" w:cs="Arial"/>
                <w:sz w:val="24"/>
                <w:szCs w:val="24"/>
              </w:rPr>
            </w:pPr>
          </w:p>
        </w:tc>
        <w:tc>
          <w:tcPr>
            <w:tcW w:w="992" w:type="dxa"/>
          </w:tcPr>
          <w:p w14:paraId="3E12DEF1" w14:textId="77777777" w:rsidR="007232E5" w:rsidRPr="004B61EA" w:rsidRDefault="007232E5" w:rsidP="001E087E">
            <w:pPr>
              <w:pStyle w:val="NoSpacing"/>
              <w:rPr>
                <w:rFonts w:ascii="Arial" w:hAnsi="Arial" w:cs="Arial"/>
                <w:sz w:val="24"/>
                <w:szCs w:val="24"/>
              </w:rPr>
            </w:pPr>
          </w:p>
        </w:tc>
        <w:tc>
          <w:tcPr>
            <w:tcW w:w="3119" w:type="dxa"/>
          </w:tcPr>
          <w:p w14:paraId="74FF8C28" w14:textId="77777777" w:rsidR="007232E5" w:rsidRPr="004B61EA" w:rsidRDefault="007232E5" w:rsidP="001E087E">
            <w:pPr>
              <w:pStyle w:val="NoSpacing"/>
              <w:rPr>
                <w:rFonts w:ascii="Arial" w:hAnsi="Arial" w:cs="Arial"/>
                <w:sz w:val="24"/>
                <w:szCs w:val="24"/>
              </w:rPr>
            </w:pPr>
          </w:p>
        </w:tc>
        <w:tc>
          <w:tcPr>
            <w:tcW w:w="992" w:type="dxa"/>
          </w:tcPr>
          <w:p w14:paraId="0AB0CBC0" w14:textId="77777777" w:rsidR="007232E5" w:rsidRPr="004B61EA" w:rsidRDefault="007232E5" w:rsidP="001E087E">
            <w:pPr>
              <w:pStyle w:val="NoSpacing"/>
              <w:rPr>
                <w:rFonts w:ascii="Arial" w:hAnsi="Arial" w:cs="Arial"/>
                <w:sz w:val="24"/>
                <w:szCs w:val="24"/>
              </w:rPr>
            </w:pPr>
          </w:p>
        </w:tc>
      </w:tr>
      <w:tr w:rsidR="007232E5" w:rsidRPr="004B61EA" w14:paraId="4F84617C" w14:textId="77777777" w:rsidTr="00514705">
        <w:trPr>
          <w:trHeight w:val="305"/>
        </w:trPr>
        <w:tc>
          <w:tcPr>
            <w:tcW w:w="3227" w:type="dxa"/>
          </w:tcPr>
          <w:p w14:paraId="03713C3A" w14:textId="77777777" w:rsidR="007232E5" w:rsidRPr="004B61EA" w:rsidRDefault="007232E5" w:rsidP="001E087E">
            <w:pPr>
              <w:pStyle w:val="NoSpacing"/>
              <w:rPr>
                <w:rFonts w:ascii="Arial" w:hAnsi="Arial" w:cs="Arial"/>
                <w:b/>
                <w:sz w:val="24"/>
                <w:szCs w:val="24"/>
              </w:rPr>
            </w:pPr>
            <w:r w:rsidRPr="004B61EA">
              <w:rPr>
                <w:rFonts w:ascii="Arial" w:hAnsi="Arial" w:cs="Arial"/>
                <w:b/>
                <w:sz w:val="24"/>
                <w:szCs w:val="24"/>
              </w:rPr>
              <w:t>Preeclampsia (all)</w:t>
            </w:r>
          </w:p>
          <w:p w14:paraId="2A20229C" w14:textId="77777777" w:rsidR="007232E5" w:rsidRPr="004B61EA" w:rsidRDefault="007232E5" w:rsidP="001E087E">
            <w:pPr>
              <w:pStyle w:val="NoSpacing"/>
              <w:rPr>
                <w:rFonts w:ascii="Arial" w:hAnsi="Arial" w:cs="Arial"/>
                <w:sz w:val="24"/>
                <w:szCs w:val="24"/>
                <w:lang w:val="en-US"/>
              </w:rPr>
            </w:pPr>
            <w:r w:rsidRPr="004B61EA">
              <w:rPr>
                <w:rFonts w:ascii="Arial" w:hAnsi="Arial" w:cs="Arial"/>
                <w:b/>
                <w:sz w:val="24"/>
                <w:szCs w:val="24"/>
              </w:rPr>
              <w:t>(outcome)</w:t>
            </w:r>
          </w:p>
        </w:tc>
        <w:tc>
          <w:tcPr>
            <w:tcW w:w="850" w:type="dxa"/>
          </w:tcPr>
          <w:p w14:paraId="2DDC9496" w14:textId="77777777" w:rsidR="007232E5" w:rsidRPr="004B61EA" w:rsidRDefault="007232E5" w:rsidP="001E087E">
            <w:pPr>
              <w:pStyle w:val="NoSpacing"/>
              <w:rPr>
                <w:rFonts w:ascii="Arial" w:hAnsi="Arial" w:cs="Arial"/>
                <w:sz w:val="24"/>
                <w:szCs w:val="24"/>
              </w:rPr>
            </w:pPr>
          </w:p>
        </w:tc>
        <w:tc>
          <w:tcPr>
            <w:tcW w:w="2552" w:type="dxa"/>
          </w:tcPr>
          <w:p w14:paraId="023D1723" w14:textId="77777777" w:rsidR="007232E5" w:rsidRPr="004B61EA" w:rsidRDefault="007232E5" w:rsidP="001E087E">
            <w:pPr>
              <w:pStyle w:val="NoSpacing"/>
              <w:rPr>
                <w:rFonts w:ascii="Arial" w:hAnsi="Arial" w:cs="Arial"/>
                <w:sz w:val="24"/>
                <w:szCs w:val="24"/>
              </w:rPr>
            </w:pPr>
          </w:p>
        </w:tc>
        <w:tc>
          <w:tcPr>
            <w:tcW w:w="992" w:type="dxa"/>
          </w:tcPr>
          <w:p w14:paraId="7CAD489E" w14:textId="77777777" w:rsidR="007232E5" w:rsidRPr="004B61EA" w:rsidRDefault="007232E5" w:rsidP="001E087E">
            <w:pPr>
              <w:pStyle w:val="NoSpacing"/>
              <w:rPr>
                <w:rFonts w:ascii="Arial" w:hAnsi="Arial" w:cs="Arial"/>
                <w:sz w:val="24"/>
                <w:szCs w:val="24"/>
              </w:rPr>
            </w:pPr>
          </w:p>
        </w:tc>
        <w:tc>
          <w:tcPr>
            <w:tcW w:w="3119" w:type="dxa"/>
          </w:tcPr>
          <w:p w14:paraId="1EC7CA5E" w14:textId="77777777" w:rsidR="007232E5" w:rsidRPr="004B61EA" w:rsidRDefault="007232E5" w:rsidP="001E087E">
            <w:pPr>
              <w:pStyle w:val="NoSpacing"/>
              <w:rPr>
                <w:rFonts w:ascii="Arial" w:hAnsi="Arial" w:cs="Arial"/>
                <w:sz w:val="24"/>
                <w:szCs w:val="24"/>
              </w:rPr>
            </w:pPr>
          </w:p>
        </w:tc>
        <w:tc>
          <w:tcPr>
            <w:tcW w:w="992" w:type="dxa"/>
          </w:tcPr>
          <w:p w14:paraId="71AB3104" w14:textId="77777777" w:rsidR="007232E5" w:rsidRPr="004B61EA" w:rsidRDefault="007232E5" w:rsidP="001E087E">
            <w:pPr>
              <w:pStyle w:val="NoSpacing"/>
              <w:rPr>
                <w:rFonts w:ascii="Arial" w:hAnsi="Arial" w:cs="Arial"/>
                <w:sz w:val="24"/>
                <w:szCs w:val="24"/>
              </w:rPr>
            </w:pPr>
          </w:p>
        </w:tc>
      </w:tr>
      <w:tr w:rsidR="007232E5" w:rsidRPr="004B61EA" w14:paraId="326D35AC" w14:textId="77777777" w:rsidTr="003816CB">
        <w:trPr>
          <w:trHeight w:val="235"/>
        </w:trPr>
        <w:tc>
          <w:tcPr>
            <w:tcW w:w="3227" w:type="dxa"/>
          </w:tcPr>
          <w:p w14:paraId="249CB5C7" w14:textId="77777777" w:rsidR="007232E5" w:rsidRPr="004B61EA" w:rsidRDefault="007232E5" w:rsidP="001E087E">
            <w:pPr>
              <w:pStyle w:val="NoSpacing"/>
              <w:rPr>
                <w:rFonts w:ascii="Arial" w:hAnsi="Arial" w:cs="Arial"/>
                <w:b/>
                <w:sz w:val="24"/>
                <w:szCs w:val="24"/>
                <w:lang w:val="en-GB"/>
              </w:rPr>
            </w:pPr>
            <w:r w:rsidRPr="004B61EA">
              <w:rPr>
                <w:rFonts w:ascii="Arial" w:hAnsi="Arial" w:cs="Arial"/>
                <w:sz w:val="24"/>
                <w:szCs w:val="24"/>
                <w:lang w:val="en-US"/>
              </w:rPr>
              <w:t xml:space="preserve">    Low BWPW-ratio   (Q1, &lt;20</w:t>
            </w:r>
            <w:r w:rsidRPr="004B61EA">
              <w:rPr>
                <w:rFonts w:ascii="Arial" w:hAnsi="Arial" w:cs="Arial"/>
                <w:sz w:val="24"/>
                <w:szCs w:val="24"/>
                <w:vertAlign w:val="superscript"/>
                <w:lang w:val="en-US"/>
              </w:rPr>
              <w:t>th</w:t>
            </w:r>
            <w:r w:rsidRPr="004B61EA">
              <w:rPr>
                <w:rFonts w:ascii="Arial" w:hAnsi="Arial" w:cs="Arial"/>
                <w:sz w:val="24"/>
                <w:szCs w:val="24"/>
                <w:lang w:val="en-US"/>
              </w:rPr>
              <w:t xml:space="preserve"> percentile)</w:t>
            </w:r>
          </w:p>
        </w:tc>
        <w:tc>
          <w:tcPr>
            <w:tcW w:w="850" w:type="dxa"/>
          </w:tcPr>
          <w:p w14:paraId="2AF66411" w14:textId="77777777" w:rsidR="007232E5" w:rsidRPr="004B61EA" w:rsidRDefault="007232E5" w:rsidP="001E087E">
            <w:pPr>
              <w:pStyle w:val="NoSpacing"/>
              <w:rPr>
                <w:rFonts w:ascii="Arial" w:hAnsi="Arial" w:cs="Arial"/>
                <w:sz w:val="24"/>
                <w:szCs w:val="24"/>
                <w:lang w:val="en-GB"/>
              </w:rPr>
            </w:pPr>
            <w:r w:rsidRPr="004B61EA">
              <w:rPr>
                <w:rFonts w:ascii="Arial" w:hAnsi="Arial" w:cs="Arial"/>
                <w:sz w:val="24"/>
                <w:szCs w:val="24"/>
              </w:rPr>
              <w:t>2647</w:t>
            </w:r>
          </w:p>
        </w:tc>
        <w:tc>
          <w:tcPr>
            <w:tcW w:w="2552" w:type="dxa"/>
          </w:tcPr>
          <w:p w14:paraId="4969B2AC" w14:textId="6BCB8640" w:rsidR="007232E5" w:rsidRPr="004B61EA" w:rsidRDefault="007232E5" w:rsidP="001E087E">
            <w:pPr>
              <w:pStyle w:val="NoSpacing"/>
              <w:rPr>
                <w:rFonts w:ascii="Arial" w:hAnsi="Arial" w:cs="Arial"/>
                <w:sz w:val="24"/>
                <w:szCs w:val="24"/>
                <w:lang w:val="en-GB"/>
              </w:rPr>
            </w:pPr>
            <w:r w:rsidRPr="004B61EA">
              <w:rPr>
                <w:rFonts w:ascii="Arial" w:hAnsi="Arial" w:cs="Arial"/>
                <w:sz w:val="24"/>
                <w:szCs w:val="24"/>
              </w:rPr>
              <w:t>1.38 (0.99-1.92)</w:t>
            </w:r>
          </w:p>
        </w:tc>
        <w:tc>
          <w:tcPr>
            <w:tcW w:w="992" w:type="dxa"/>
          </w:tcPr>
          <w:p w14:paraId="76F849CC" w14:textId="77777777" w:rsidR="007232E5" w:rsidRPr="004B61EA" w:rsidRDefault="007232E5" w:rsidP="001E087E">
            <w:pPr>
              <w:pStyle w:val="NoSpacing"/>
              <w:rPr>
                <w:rFonts w:ascii="Arial" w:hAnsi="Arial" w:cs="Arial"/>
                <w:sz w:val="24"/>
                <w:szCs w:val="24"/>
                <w:lang w:val="en-GB"/>
              </w:rPr>
            </w:pPr>
            <w:r w:rsidRPr="004B61EA">
              <w:rPr>
                <w:rFonts w:ascii="Arial" w:hAnsi="Arial" w:cs="Arial"/>
                <w:sz w:val="24"/>
                <w:szCs w:val="24"/>
              </w:rPr>
              <w:t>0.06</w:t>
            </w:r>
          </w:p>
        </w:tc>
        <w:tc>
          <w:tcPr>
            <w:tcW w:w="3119" w:type="dxa"/>
          </w:tcPr>
          <w:p w14:paraId="2E3404BB" w14:textId="35D69137" w:rsidR="007232E5" w:rsidRPr="004B61EA" w:rsidRDefault="007232E5" w:rsidP="001E087E">
            <w:pPr>
              <w:pStyle w:val="NoSpacing"/>
              <w:rPr>
                <w:rFonts w:ascii="Arial" w:hAnsi="Arial" w:cs="Arial"/>
                <w:sz w:val="24"/>
                <w:szCs w:val="24"/>
                <w:lang w:val="en-GB"/>
              </w:rPr>
            </w:pPr>
            <w:r w:rsidRPr="004B61EA">
              <w:rPr>
                <w:rFonts w:ascii="Arial" w:hAnsi="Arial" w:cs="Arial"/>
                <w:sz w:val="24"/>
                <w:szCs w:val="24"/>
              </w:rPr>
              <w:t>1.3</w:t>
            </w:r>
            <w:r w:rsidR="005F6DC9" w:rsidRPr="004B61EA">
              <w:rPr>
                <w:rFonts w:ascii="Arial" w:hAnsi="Arial" w:cs="Arial"/>
                <w:sz w:val="24"/>
                <w:szCs w:val="24"/>
              </w:rPr>
              <w:t>2</w:t>
            </w:r>
            <w:r w:rsidRPr="004B61EA">
              <w:rPr>
                <w:rFonts w:ascii="Arial" w:hAnsi="Arial" w:cs="Arial"/>
                <w:sz w:val="24"/>
                <w:szCs w:val="24"/>
              </w:rPr>
              <w:t xml:space="preserve"> (0.9</w:t>
            </w:r>
            <w:r w:rsidR="005F6DC9" w:rsidRPr="004B61EA">
              <w:rPr>
                <w:rFonts w:ascii="Arial" w:hAnsi="Arial" w:cs="Arial"/>
                <w:sz w:val="24"/>
                <w:szCs w:val="24"/>
              </w:rPr>
              <w:t>3</w:t>
            </w:r>
            <w:r w:rsidRPr="004B61EA">
              <w:rPr>
                <w:rFonts w:ascii="Arial" w:hAnsi="Arial" w:cs="Arial"/>
                <w:sz w:val="24"/>
                <w:szCs w:val="24"/>
              </w:rPr>
              <w:t>-1.8</w:t>
            </w:r>
            <w:r w:rsidR="005F6DC9" w:rsidRPr="004B61EA">
              <w:rPr>
                <w:rFonts w:ascii="Arial" w:hAnsi="Arial" w:cs="Arial"/>
                <w:sz w:val="24"/>
                <w:szCs w:val="24"/>
              </w:rPr>
              <w:t>7</w:t>
            </w:r>
            <w:r w:rsidRPr="004B61EA">
              <w:rPr>
                <w:rFonts w:ascii="Arial" w:hAnsi="Arial" w:cs="Arial"/>
                <w:sz w:val="24"/>
                <w:szCs w:val="24"/>
              </w:rPr>
              <w:t>)</w:t>
            </w:r>
          </w:p>
        </w:tc>
        <w:tc>
          <w:tcPr>
            <w:tcW w:w="992" w:type="dxa"/>
          </w:tcPr>
          <w:p w14:paraId="1CA649E2" w14:textId="4645C898" w:rsidR="007232E5" w:rsidRPr="004B61EA" w:rsidRDefault="007232E5" w:rsidP="001E087E">
            <w:pPr>
              <w:pStyle w:val="NoSpacing"/>
              <w:rPr>
                <w:rFonts w:ascii="Arial" w:hAnsi="Arial" w:cs="Arial"/>
                <w:sz w:val="24"/>
                <w:szCs w:val="24"/>
                <w:lang w:val="en-GB"/>
              </w:rPr>
            </w:pPr>
            <w:r w:rsidRPr="004B61EA">
              <w:rPr>
                <w:rFonts w:ascii="Arial" w:hAnsi="Arial" w:cs="Arial"/>
                <w:sz w:val="24"/>
                <w:szCs w:val="24"/>
              </w:rPr>
              <w:t>0.1</w:t>
            </w:r>
            <w:r w:rsidR="005F6DC9" w:rsidRPr="004B61EA">
              <w:rPr>
                <w:rFonts w:ascii="Arial" w:hAnsi="Arial" w:cs="Arial"/>
                <w:sz w:val="24"/>
                <w:szCs w:val="24"/>
              </w:rPr>
              <w:t>2</w:t>
            </w:r>
          </w:p>
        </w:tc>
      </w:tr>
      <w:tr w:rsidR="007232E5" w:rsidRPr="004B61EA" w14:paraId="44D6C0E1" w14:textId="77777777" w:rsidTr="00514705">
        <w:tc>
          <w:tcPr>
            <w:tcW w:w="3227" w:type="dxa"/>
          </w:tcPr>
          <w:p w14:paraId="22B0E7C5" w14:textId="77777777" w:rsidR="007232E5" w:rsidRPr="004B61EA" w:rsidRDefault="007232E5" w:rsidP="001E087E">
            <w:pPr>
              <w:pStyle w:val="NoSpacing"/>
              <w:rPr>
                <w:rFonts w:ascii="Arial" w:hAnsi="Arial" w:cs="Arial"/>
                <w:sz w:val="24"/>
                <w:szCs w:val="24"/>
                <w:lang w:val="en-US"/>
              </w:rPr>
            </w:pPr>
            <w:r w:rsidRPr="004B61EA">
              <w:rPr>
                <w:rFonts w:ascii="Arial" w:hAnsi="Arial" w:cs="Arial"/>
                <w:sz w:val="24"/>
                <w:szCs w:val="24"/>
                <w:lang w:val="en-US"/>
              </w:rPr>
              <w:t xml:space="preserve">    High BWPW-ratio  (Q5, &gt;80</w:t>
            </w:r>
            <w:r w:rsidRPr="004B61EA">
              <w:rPr>
                <w:rFonts w:ascii="Arial" w:hAnsi="Arial" w:cs="Arial"/>
                <w:sz w:val="24"/>
                <w:szCs w:val="24"/>
                <w:vertAlign w:val="superscript"/>
                <w:lang w:val="en-US"/>
              </w:rPr>
              <w:t>th</w:t>
            </w:r>
            <w:r w:rsidRPr="004B61EA">
              <w:rPr>
                <w:rFonts w:ascii="Arial" w:hAnsi="Arial" w:cs="Arial"/>
                <w:sz w:val="24"/>
                <w:szCs w:val="24"/>
                <w:lang w:val="en-US"/>
              </w:rPr>
              <w:t xml:space="preserve"> percentile)</w:t>
            </w:r>
          </w:p>
        </w:tc>
        <w:tc>
          <w:tcPr>
            <w:tcW w:w="850" w:type="dxa"/>
          </w:tcPr>
          <w:p w14:paraId="77B833B3" w14:textId="77777777" w:rsidR="007232E5" w:rsidRPr="004B61EA" w:rsidRDefault="007232E5" w:rsidP="001E087E">
            <w:pPr>
              <w:pStyle w:val="NoSpacing"/>
              <w:rPr>
                <w:rFonts w:ascii="Arial" w:hAnsi="Arial" w:cs="Arial"/>
                <w:sz w:val="24"/>
                <w:szCs w:val="24"/>
                <w:lang w:val="en-GB"/>
              </w:rPr>
            </w:pPr>
            <w:r w:rsidRPr="004B61EA">
              <w:rPr>
                <w:rFonts w:ascii="Arial" w:hAnsi="Arial" w:cs="Arial"/>
                <w:sz w:val="24"/>
                <w:szCs w:val="24"/>
              </w:rPr>
              <w:t>2646</w:t>
            </w:r>
          </w:p>
        </w:tc>
        <w:tc>
          <w:tcPr>
            <w:tcW w:w="2552" w:type="dxa"/>
          </w:tcPr>
          <w:p w14:paraId="70A450A3" w14:textId="77777777" w:rsidR="007232E5" w:rsidRPr="004B61EA" w:rsidRDefault="007232E5" w:rsidP="001E087E">
            <w:pPr>
              <w:pStyle w:val="NoSpacing"/>
              <w:rPr>
                <w:rFonts w:ascii="Arial" w:hAnsi="Arial" w:cs="Arial"/>
                <w:sz w:val="24"/>
                <w:szCs w:val="24"/>
                <w:lang w:val="en-GB"/>
              </w:rPr>
            </w:pPr>
            <w:r w:rsidRPr="004B61EA">
              <w:rPr>
                <w:rFonts w:ascii="Arial" w:hAnsi="Arial" w:cs="Arial"/>
                <w:sz w:val="24"/>
                <w:szCs w:val="24"/>
              </w:rPr>
              <w:t>0.48 (0.30-0.78)</w:t>
            </w:r>
          </w:p>
        </w:tc>
        <w:tc>
          <w:tcPr>
            <w:tcW w:w="992" w:type="dxa"/>
          </w:tcPr>
          <w:p w14:paraId="6AB66BBB" w14:textId="77777777" w:rsidR="007232E5" w:rsidRPr="004B61EA" w:rsidRDefault="007232E5" w:rsidP="001E087E">
            <w:pPr>
              <w:pStyle w:val="NoSpacing"/>
              <w:rPr>
                <w:rFonts w:ascii="Arial" w:hAnsi="Arial" w:cs="Arial"/>
                <w:sz w:val="24"/>
                <w:szCs w:val="24"/>
                <w:lang w:val="en-GB"/>
              </w:rPr>
            </w:pPr>
            <w:r w:rsidRPr="004B61EA">
              <w:rPr>
                <w:rFonts w:ascii="Arial" w:hAnsi="Arial" w:cs="Arial"/>
                <w:sz w:val="24"/>
                <w:szCs w:val="24"/>
              </w:rPr>
              <w:t>0.003</w:t>
            </w:r>
          </w:p>
        </w:tc>
        <w:tc>
          <w:tcPr>
            <w:tcW w:w="3119" w:type="dxa"/>
          </w:tcPr>
          <w:p w14:paraId="734FE223" w14:textId="77777777" w:rsidR="007232E5" w:rsidRPr="004B61EA" w:rsidRDefault="007232E5" w:rsidP="001E087E">
            <w:pPr>
              <w:pStyle w:val="NoSpacing"/>
              <w:rPr>
                <w:rFonts w:ascii="Arial" w:hAnsi="Arial" w:cs="Arial"/>
                <w:sz w:val="24"/>
                <w:szCs w:val="24"/>
                <w:lang w:val="en-GB"/>
              </w:rPr>
            </w:pPr>
            <w:r w:rsidRPr="004B61EA">
              <w:rPr>
                <w:rFonts w:ascii="Arial" w:hAnsi="Arial" w:cs="Arial"/>
                <w:sz w:val="24"/>
                <w:szCs w:val="24"/>
              </w:rPr>
              <w:t>0.51 (0.31-0.84)</w:t>
            </w:r>
          </w:p>
        </w:tc>
        <w:tc>
          <w:tcPr>
            <w:tcW w:w="992" w:type="dxa"/>
          </w:tcPr>
          <w:p w14:paraId="5AA3468F" w14:textId="77777777" w:rsidR="007232E5" w:rsidRPr="004B61EA" w:rsidRDefault="007232E5" w:rsidP="001E087E">
            <w:pPr>
              <w:pStyle w:val="NoSpacing"/>
              <w:rPr>
                <w:rFonts w:ascii="Arial" w:hAnsi="Arial" w:cs="Arial"/>
                <w:sz w:val="24"/>
                <w:szCs w:val="24"/>
                <w:lang w:val="en-GB"/>
              </w:rPr>
            </w:pPr>
            <w:r w:rsidRPr="004B61EA">
              <w:rPr>
                <w:rFonts w:ascii="Arial" w:hAnsi="Arial" w:cs="Arial"/>
                <w:sz w:val="24"/>
                <w:szCs w:val="24"/>
              </w:rPr>
              <w:t>0.008</w:t>
            </w:r>
          </w:p>
        </w:tc>
      </w:tr>
      <w:tr w:rsidR="007232E5" w:rsidRPr="004B61EA" w14:paraId="6C573CF6" w14:textId="77777777" w:rsidTr="00514705">
        <w:tc>
          <w:tcPr>
            <w:tcW w:w="3227" w:type="dxa"/>
          </w:tcPr>
          <w:p w14:paraId="7DB244E9" w14:textId="77777777" w:rsidR="007232E5" w:rsidRPr="004B61EA" w:rsidRDefault="007232E5" w:rsidP="001E087E">
            <w:pPr>
              <w:pStyle w:val="NoSpacing"/>
              <w:rPr>
                <w:rFonts w:ascii="Arial" w:hAnsi="Arial" w:cs="Arial"/>
                <w:sz w:val="24"/>
                <w:szCs w:val="24"/>
                <w:lang w:val="en-US"/>
              </w:rPr>
            </w:pPr>
          </w:p>
        </w:tc>
        <w:tc>
          <w:tcPr>
            <w:tcW w:w="850" w:type="dxa"/>
          </w:tcPr>
          <w:p w14:paraId="3B0AA24B" w14:textId="77777777" w:rsidR="007232E5" w:rsidRPr="004B61EA" w:rsidRDefault="007232E5" w:rsidP="001E087E">
            <w:pPr>
              <w:pStyle w:val="NoSpacing"/>
              <w:rPr>
                <w:rFonts w:ascii="Arial" w:hAnsi="Arial" w:cs="Arial"/>
                <w:sz w:val="24"/>
                <w:szCs w:val="24"/>
                <w:lang w:val="en-GB"/>
              </w:rPr>
            </w:pPr>
          </w:p>
        </w:tc>
        <w:tc>
          <w:tcPr>
            <w:tcW w:w="2552" w:type="dxa"/>
          </w:tcPr>
          <w:p w14:paraId="2200F6A2" w14:textId="77777777" w:rsidR="007232E5" w:rsidRPr="004B61EA" w:rsidRDefault="007232E5" w:rsidP="001E087E">
            <w:pPr>
              <w:pStyle w:val="NoSpacing"/>
              <w:rPr>
                <w:rFonts w:ascii="Arial" w:hAnsi="Arial" w:cs="Arial"/>
                <w:sz w:val="24"/>
                <w:szCs w:val="24"/>
                <w:lang w:val="en-GB"/>
              </w:rPr>
            </w:pPr>
          </w:p>
        </w:tc>
        <w:tc>
          <w:tcPr>
            <w:tcW w:w="992" w:type="dxa"/>
          </w:tcPr>
          <w:p w14:paraId="1A026119" w14:textId="77777777" w:rsidR="007232E5" w:rsidRPr="004B61EA" w:rsidRDefault="007232E5" w:rsidP="001E087E">
            <w:pPr>
              <w:pStyle w:val="NoSpacing"/>
              <w:rPr>
                <w:rFonts w:ascii="Arial" w:hAnsi="Arial" w:cs="Arial"/>
                <w:sz w:val="24"/>
                <w:szCs w:val="24"/>
                <w:lang w:val="en-GB"/>
              </w:rPr>
            </w:pPr>
          </w:p>
        </w:tc>
        <w:tc>
          <w:tcPr>
            <w:tcW w:w="3119" w:type="dxa"/>
          </w:tcPr>
          <w:p w14:paraId="6853B10E" w14:textId="77777777" w:rsidR="007232E5" w:rsidRPr="004B61EA" w:rsidRDefault="007232E5" w:rsidP="001E087E">
            <w:pPr>
              <w:pStyle w:val="NoSpacing"/>
              <w:rPr>
                <w:rFonts w:ascii="Arial" w:hAnsi="Arial" w:cs="Arial"/>
                <w:sz w:val="24"/>
                <w:szCs w:val="24"/>
                <w:lang w:val="en-GB"/>
              </w:rPr>
            </w:pPr>
          </w:p>
        </w:tc>
        <w:tc>
          <w:tcPr>
            <w:tcW w:w="992" w:type="dxa"/>
          </w:tcPr>
          <w:p w14:paraId="6DBC5008" w14:textId="77777777" w:rsidR="007232E5" w:rsidRPr="004B61EA" w:rsidRDefault="007232E5" w:rsidP="001E087E">
            <w:pPr>
              <w:pStyle w:val="NoSpacing"/>
              <w:rPr>
                <w:rFonts w:ascii="Arial" w:hAnsi="Arial" w:cs="Arial"/>
                <w:sz w:val="24"/>
                <w:szCs w:val="24"/>
                <w:lang w:val="en-GB"/>
              </w:rPr>
            </w:pPr>
          </w:p>
        </w:tc>
      </w:tr>
      <w:tr w:rsidR="007232E5" w:rsidRPr="004B61EA" w14:paraId="62AA6AB0" w14:textId="77777777" w:rsidTr="00514705">
        <w:tc>
          <w:tcPr>
            <w:tcW w:w="3227" w:type="dxa"/>
          </w:tcPr>
          <w:p w14:paraId="69CAA585" w14:textId="77777777" w:rsidR="007232E5" w:rsidRPr="004B61EA" w:rsidRDefault="007232E5" w:rsidP="001E087E">
            <w:pPr>
              <w:pStyle w:val="NoSpacing"/>
              <w:rPr>
                <w:rFonts w:ascii="Arial" w:hAnsi="Arial" w:cs="Arial"/>
                <w:b/>
                <w:sz w:val="24"/>
                <w:szCs w:val="24"/>
                <w:lang w:val="en-GB"/>
              </w:rPr>
            </w:pPr>
            <w:r w:rsidRPr="004B61EA">
              <w:rPr>
                <w:rFonts w:ascii="Arial" w:hAnsi="Arial" w:cs="Arial"/>
                <w:b/>
                <w:sz w:val="24"/>
                <w:szCs w:val="24"/>
                <w:lang w:val="en-GB"/>
              </w:rPr>
              <w:t>Severe, non-superimposed preeclampsia</w:t>
            </w:r>
          </w:p>
          <w:p w14:paraId="1E3CDEC6" w14:textId="77777777" w:rsidR="007232E5" w:rsidRPr="004B61EA" w:rsidRDefault="007232E5" w:rsidP="001E087E">
            <w:pPr>
              <w:pStyle w:val="NoSpacing"/>
              <w:rPr>
                <w:rFonts w:ascii="Arial" w:hAnsi="Arial" w:cs="Arial"/>
                <w:b/>
                <w:sz w:val="24"/>
                <w:szCs w:val="24"/>
                <w:lang w:val="en-US"/>
              </w:rPr>
            </w:pPr>
            <w:r w:rsidRPr="004B61EA">
              <w:rPr>
                <w:rFonts w:ascii="Arial" w:hAnsi="Arial" w:cs="Arial"/>
                <w:b/>
                <w:sz w:val="24"/>
                <w:szCs w:val="24"/>
                <w:lang w:val="en-US"/>
              </w:rPr>
              <w:t>(outcome)</w:t>
            </w:r>
          </w:p>
        </w:tc>
        <w:tc>
          <w:tcPr>
            <w:tcW w:w="850" w:type="dxa"/>
          </w:tcPr>
          <w:p w14:paraId="203B0449" w14:textId="77777777" w:rsidR="007232E5" w:rsidRPr="004B61EA" w:rsidRDefault="007232E5" w:rsidP="001E087E">
            <w:pPr>
              <w:pStyle w:val="NoSpacing"/>
              <w:rPr>
                <w:rFonts w:ascii="Arial" w:hAnsi="Arial" w:cs="Arial"/>
                <w:sz w:val="24"/>
                <w:szCs w:val="24"/>
                <w:lang w:val="en-GB"/>
              </w:rPr>
            </w:pPr>
          </w:p>
        </w:tc>
        <w:tc>
          <w:tcPr>
            <w:tcW w:w="2552" w:type="dxa"/>
          </w:tcPr>
          <w:p w14:paraId="13201A65" w14:textId="77777777" w:rsidR="007232E5" w:rsidRPr="004B61EA" w:rsidRDefault="007232E5" w:rsidP="001E087E">
            <w:pPr>
              <w:pStyle w:val="NoSpacing"/>
              <w:rPr>
                <w:rFonts w:ascii="Arial" w:hAnsi="Arial" w:cs="Arial"/>
                <w:sz w:val="24"/>
                <w:szCs w:val="24"/>
                <w:lang w:val="en-GB"/>
              </w:rPr>
            </w:pPr>
          </w:p>
        </w:tc>
        <w:tc>
          <w:tcPr>
            <w:tcW w:w="992" w:type="dxa"/>
          </w:tcPr>
          <w:p w14:paraId="51A15F2B" w14:textId="77777777" w:rsidR="007232E5" w:rsidRPr="004B61EA" w:rsidRDefault="007232E5" w:rsidP="001E087E">
            <w:pPr>
              <w:pStyle w:val="NoSpacing"/>
              <w:rPr>
                <w:rFonts w:ascii="Arial" w:hAnsi="Arial" w:cs="Arial"/>
                <w:sz w:val="24"/>
                <w:szCs w:val="24"/>
                <w:lang w:val="en-GB"/>
              </w:rPr>
            </w:pPr>
          </w:p>
        </w:tc>
        <w:tc>
          <w:tcPr>
            <w:tcW w:w="3119" w:type="dxa"/>
          </w:tcPr>
          <w:p w14:paraId="36CCE397" w14:textId="77777777" w:rsidR="007232E5" w:rsidRPr="004B61EA" w:rsidRDefault="007232E5" w:rsidP="001E087E">
            <w:pPr>
              <w:pStyle w:val="NoSpacing"/>
              <w:rPr>
                <w:rFonts w:ascii="Arial" w:hAnsi="Arial" w:cs="Arial"/>
                <w:sz w:val="24"/>
                <w:szCs w:val="24"/>
                <w:lang w:val="en-GB"/>
              </w:rPr>
            </w:pPr>
          </w:p>
        </w:tc>
        <w:tc>
          <w:tcPr>
            <w:tcW w:w="992" w:type="dxa"/>
          </w:tcPr>
          <w:p w14:paraId="6D43F211" w14:textId="77777777" w:rsidR="007232E5" w:rsidRPr="004B61EA" w:rsidRDefault="007232E5" w:rsidP="001E087E">
            <w:pPr>
              <w:pStyle w:val="NoSpacing"/>
              <w:rPr>
                <w:rFonts w:ascii="Arial" w:hAnsi="Arial" w:cs="Arial"/>
                <w:sz w:val="24"/>
                <w:szCs w:val="24"/>
                <w:lang w:val="en-GB"/>
              </w:rPr>
            </w:pPr>
          </w:p>
        </w:tc>
      </w:tr>
      <w:tr w:rsidR="007232E5" w:rsidRPr="004B61EA" w14:paraId="037B3284" w14:textId="77777777" w:rsidTr="00514705">
        <w:tc>
          <w:tcPr>
            <w:tcW w:w="3227" w:type="dxa"/>
          </w:tcPr>
          <w:p w14:paraId="3ECBCD29" w14:textId="77777777" w:rsidR="007232E5" w:rsidRPr="004B61EA" w:rsidRDefault="007232E5" w:rsidP="001E087E">
            <w:pPr>
              <w:pStyle w:val="NoSpacing"/>
              <w:rPr>
                <w:rFonts w:ascii="Arial" w:hAnsi="Arial" w:cs="Arial"/>
                <w:b/>
                <w:sz w:val="24"/>
                <w:szCs w:val="24"/>
                <w:lang w:val="en-GB"/>
              </w:rPr>
            </w:pPr>
            <w:r w:rsidRPr="004B61EA">
              <w:rPr>
                <w:rFonts w:ascii="Arial" w:hAnsi="Arial" w:cs="Arial"/>
                <w:sz w:val="24"/>
                <w:szCs w:val="24"/>
                <w:lang w:val="en-US"/>
              </w:rPr>
              <w:t xml:space="preserve">    Low BWPW-ratio   (Q1, &lt;20</w:t>
            </w:r>
            <w:r w:rsidRPr="004B61EA">
              <w:rPr>
                <w:rFonts w:ascii="Arial" w:hAnsi="Arial" w:cs="Arial"/>
                <w:sz w:val="24"/>
                <w:szCs w:val="24"/>
                <w:vertAlign w:val="superscript"/>
                <w:lang w:val="en-US"/>
              </w:rPr>
              <w:t>th</w:t>
            </w:r>
            <w:r w:rsidRPr="004B61EA">
              <w:rPr>
                <w:rFonts w:ascii="Arial" w:hAnsi="Arial" w:cs="Arial"/>
                <w:sz w:val="24"/>
                <w:szCs w:val="24"/>
                <w:lang w:val="en-US"/>
              </w:rPr>
              <w:t xml:space="preserve"> percentile)</w:t>
            </w:r>
          </w:p>
        </w:tc>
        <w:tc>
          <w:tcPr>
            <w:tcW w:w="850" w:type="dxa"/>
          </w:tcPr>
          <w:p w14:paraId="2B8A74F6" w14:textId="77777777" w:rsidR="007232E5" w:rsidRPr="004B61EA" w:rsidRDefault="007232E5" w:rsidP="001E087E">
            <w:pPr>
              <w:pStyle w:val="NoSpacing"/>
              <w:rPr>
                <w:rFonts w:ascii="Arial" w:hAnsi="Arial" w:cs="Arial"/>
                <w:sz w:val="24"/>
                <w:szCs w:val="24"/>
                <w:lang w:val="en-GB"/>
              </w:rPr>
            </w:pPr>
            <w:r w:rsidRPr="004B61EA">
              <w:rPr>
                <w:rFonts w:ascii="Arial" w:hAnsi="Arial" w:cs="Arial"/>
                <w:sz w:val="24"/>
                <w:szCs w:val="24"/>
              </w:rPr>
              <w:t>2647</w:t>
            </w:r>
          </w:p>
        </w:tc>
        <w:tc>
          <w:tcPr>
            <w:tcW w:w="2552" w:type="dxa"/>
          </w:tcPr>
          <w:p w14:paraId="79B5DDC0" w14:textId="77777777" w:rsidR="007232E5" w:rsidRPr="004B61EA" w:rsidRDefault="007232E5" w:rsidP="001E087E">
            <w:pPr>
              <w:pStyle w:val="NoSpacing"/>
              <w:rPr>
                <w:rFonts w:ascii="Arial" w:hAnsi="Arial" w:cs="Arial"/>
                <w:sz w:val="24"/>
                <w:szCs w:val="24"/>
                <w:lang w:val="en-GB"/>
              </w:rPr>
            </w:pPr>
            <w:r w:rsidRPr="004B61EA">
              <w:rPr>
                <w:rFonts w:ascii="Arial" w:hAnsi="Arial" w:cs="Arial"/>
                <w:sz w:val="24"/>
                <w:szCs w:val="24"/>
              </w:rPr>
              <w:t>1.39 (0.79-2.45)</w:t>
            </w:r>
          </w:p>
        </w:tc>
        <w:tc>
          <w:tcPr>
            <w:tcW w:w="992" w:type="dxa"/>
          </w:tcPr>
          <w:p w14:paraId="51090D87" w14:textId="77777777" w:rsidR="007232E5" w:rsidRPr="004B61EA" w:rsidRDefault="007232E5" w:rsidP="001E087E">
            <w:pPr>
              <w:pStyle w:val="NoSpacing"/>
              <w:rPr>
                <w:rFonts w:ascii="Arial" w:hAnsi="Arial" w:cs="Arial"/>
                <w:sz w:val="24"/>
                <w:szCs w:val="24"/>
                <w:lang w:val="en-GB"/>
              </w:rPr>
            </w:pPr>
            <w:r w:rsidRPr="004B61EA">
              <w:rPr>
                <w:rFonts w:ascii="Arial" w:hAnsi="Arial" w:cs="Arial"/>
                <w:sz w:val="24"/>
                <w:szCs w:val="24"/>
              </w:rPr>
              <w:t>0.25</w:t>
            </w:r>
          </w:p>
        </w:tc>
        <w:tc>
          <w:tcPr>
            <w:tcW w:w="3119" w:type="dxa"/>
          </w:tcPr>
          <w:p w14:paraId="6358DAC5" w14:textId="20C4B47A" w:rsidR="007232E5" w:rsidRPr="004B61EA" w:rsidRDefault="007232E5" w:rsidP="001E087E">
            <w:pPr>
              <w:pStyle w:val="NoSpacing"/>
              <w:rPr>
                <w:rFonts w:ascii="Arial" w:hAnsi="Arial" w:cs="Arial"/>
                <w:sz w:val="24"/>
                <w:szCs w:val="24"/>
                <w:lang w:val="en-GB"/>
              </w:rPr>
            </w:pPr>
            <w:r w:rsidRPr="004B61EA">
              <w:rPr>
                <w:rFonts w:ascii="Arial" w:hAnsi="Arial" w:cs="Arial"/>
                <w:sz w:val="24"/>
                <w:szCs w:val="24"/>
              </w:rPr>
              <w:t>1.3</w:t>
            </w:r>
            <w:r w:rsidR="005F6DC9" w:rsidRPr="004B61EA">
              <w:rPr>
                <w:rFonts w:ascii="Arial" w:hAnsi="Arial" w:cs="Arial"/>
                <w:sz w:val="24"/>
                <w:szCs w:val="24"/>
              </w:rPr>
              <w:t>6</w:t>
            </w:r>
            <w:r w:rsidRPr="004B61EA">
              <w:rPr>
                <w:rFonts w:ascii="Arial" w:hAnsi="Arial" w:cs="Arial"/>
                <w:sz w:val="24"/>
                <w:szCs w:val="24"/>
              </w:rPr>
              <w:t xml:space="preserve"> (0.7</w:t>
            </w:r>
            <w:r w:rsidR="005F6DC9" w:rsidRPr="004B61EA">
              <w:rPr>
                <w:rFonts w:ascii="Arial" w:hAnsi="Arial" w:cs="Arial"/>
                <w:sz w:val="24"/>
                <w:szCs w:val="24"/>
              </w:rPr>
              <w:t>7</w:t>
            </w:r>
            <w:r w:rsidRPr="004B61EA">
              <w:rPr>
                <w:rFonts w:ascii="Arial" w:hAnsi="Arial" w:cs="Arial"/>
                <w:sz w:val="24"/>
                <w:szCs w:val="24"/>
              </w:rPr>
              <w:t>-2.4</w:t>
            </w:r>
            <w:r w:rsidR="005F6DC9" w:rsidRPr="004B61EA">
              <w:rPr>
                <w:rFonts w:ascii="Arial" w:hAnsi="Arial" w:cs="Arial"/>
                <w:sz w:val="24"/>
                <w:szCs w:val="24"/>
              </w:rPr>
              <w:t>2</w:t>
            </w:r>
            <w:r w:rsidRPr="004B61EA">
              <w:rPr>
                <w:rFonts w:ascii="Arial" w:hAnsi="Arial" w:cs="Arial"/>
                <w:sz w:val="24"/>
                <w:szCs w:val="24"/>
              </w:rPr>
              <w:t>)</w:t>
            </w:r>
          </w:p>
        </w:tc>
        <w:tc>
          <w:tcPr>
            <w:tcW w:w="992" w:type="dxa"/>
          </w:tcPr>
          <w:p w14:paraId="62CD9287" w14:textId="00D78F15" w:rsidR="007232E5" w:rsidRPr="004B61EA" w:rsidRDefault="007232E5" w:rsidP="001E087E">
            <w:pPr>
              <w:pStyle w:val="NoSpacing"/>
              <w:rPr>
                <w:rFonts w:ascii="Arial" w:hAnsi="Arial" w:cs="Arial"/>
                <w:sz w:val="24"/>
                <w:szCs w:val="24"/>
                <w:lang w:val="en-GB"/>
              </w:rPr>
            </w:pPr>
            <w:r w:rsidRPr="004B61EA">
              <w:rPr>
                <w:rFonts w:ascii="Arial" w:hAnsi="Arial" w:cs="Arial"/>
                <w:sz w:val="24"/>
                <w:szCs w:val="24"/>
              </w:rPr>
              <w:t>0.2</w:t>
            </w:r>
            <w:r w:rsidR="005F6DC9" w:rsidRPr="004B61EA">
              <w:rPr>
                <w:rFonts w:ascii="Arial" w:hAnsi="Arial" w:cs="Arial"/>
                <w:sz w:val="24"/>
                <w:szCs w:val="24"/>
              </w:rPr>
              <w:t>9</w:t>
            </w:r>
          </w:p>
        </w:tc>
      </w:tr>
      <w:tr w:rsidR="007232E5" w:rsidRPr="004B61EA" w14:paraId="169C6DE0" w14:textId="77777777" w:rsidTr="00514705">
        <w:tc>
          <w:tcPr>
            <w:tcW w:w="3227" w:type="dxa"/>
          </w:tcPr>
          <w:p w14:paraId="284DB3E4" w14:textId="77777777" w:rsidR="007232E5" w:rsidRPr="004B61EA" w:rsidRDefault="007232E5" w:rsidP="001E087E">
            <w:pPr>
              <w:pStyle w:val="NoSpacing"/>
              <w:rPr>
                <w:rFonts w:ascii="Arial" w:hAnsi="Arial" w:cs="Arial"/>
                <w:sz w:val="24"/>
                <w:szCs w:val="24"/>
                <w:lang w:val="en-US"/>
              </w:rPr>
            </w:pPr>
            <w:r w:rsidRPr="004B61EA">
              <w:rPr>
                <w:rFonts w:ascii="Arial" w:hAnsi="Arial" w:cs="Arial"/>
                <w:sz w:val="24"/>
                <w:szCs w:val="24"/>
                <w:lang w:val="en-US"/>
              </w:rPr>
              <w:t xml:space="preserve">    High BWPW-ratio  (Q5, &gt;80</w:t>
            </w:r>
            <w:r w:rsidRPr="004B61EA">
              <w:rPr>
                <w:rFonts w:ascii="Arial" w:hAnsi="Arial" w:cs="Arial"/>
                <w:sz w:val="24"/>
                <w:szCs w:val="24"/>
                <w:vertAlign w:val="superscript"/>
                <w:lang w:val="en-US"/>
              </w:rPr>
              <w:t>th</w:t>
            </w:r>
            <w:r w:rsidRPr="004B61EA">
              <w:rPr>
                <w:rFonts w:ascii="Arial" w:hAnsi="Arial" w:cs="Arial"/>
                <w:sz w:val="24"/>
                <w:szCs w:val="24"/>
                <w:lang w:val="en-US"/>
              </w:rPr>
              <w:t xml:space="preserve"> percentile)</w:t>
            </w:r>
          </w:p>
        </w:tc>
        <w:tc>
          <w:tcPr>
            <w:tcW w:w="850" w:type="dxa"/>
          </w:tcPr>
          <w:p w14:paraId="47FB05AC"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2646</w:t>
            </w:r>
          </w:p>
        </w:tc>
        <w:tc>
          <w:tcPr>
            <w:tcW w:w="2552" w:type="dxa"/>
          </w:tcPr>
          <w:p w14:paraId="04157B25"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0.61 (0.28-1.31)</w:t>
            </w:r>
          </w:p>
        </w:tc>
        <w:tc>
          <w:tcPr>
            <w:tcW w:w="992" w:type="dxa"/>
          </w:tcPr>
          <w:p w14:paraId="4721DDE2" w14:textId="77777777" w:rsidR="007232E5" w:rsidRPr="004B61EA" w:rsidRDefault="007232E5" w:rsidP="001E087E">
            <w:pPr>
              <w:pStyle w:val="NoSpacing"/>
              <w:rPr>
                <w:rFonts w:ascii="Arial" w:hAnsi="Arial" w:cs="Arial"/>
                <w:sz w:val="24"/>
                <w:szCs w:val="24"/>
              </w:rPr>
            </w:pPr>
            <w:r w:rsidRPr="004B61EA">
              <w:rPr>
                <w:rFonts w:ascii="Arial" w:hAnsi="Arial" w:cs="Arial"/>
                <w:sz w:val="24"/>
                <w:szCs w:val="24"/>
              </w:rPr>
              <w:t>0.21</w:t>
            </w:r>
          </w:p>
        </w:tc>
        <w:tc>
          <w:tcPr>
            <w:tcW w:w="3119" w:type="dxa"/>
          </w:tcPr>
          <w:p w14:paraId="7949FDB7" w14:textId="7C75A1CF" w:rsidR="007232E5" w:rsidRPr="004B61EA" w:rsidRDefault="007232E5" w:rsidP="001E087E">
            <w:pPr>
              <w:pStyle w:val="NoSpacing"/>
              <w:rPr>
                <w:rFonts w:ascii="Arial" w:hAnsi="Arial" w:cs="Arial"/>
                <w:sz w:val="24"/>
                <w:szCs w:val="24"/>
              </w:rPr>
            </w:pPr>
            <w:r w:rsidRPr="004B61EA">
              <w:rPr>
                <w:rFonts w:ascii="Arial" w:hAnsi="Arial" w:cs="Arial"/>
                <w:sz w:val="24"/>
                <w:szCs w:val="24"/>
              </w:rPr>
              <w:t>0.</w:t>
            </w:r>
            <w:r w:rsidR="005F6DC9" w:rsidRPr="004B61EA">
              <w:rPr>
                <w:rFonts w:ascii="Arial" w:hAnsi="Arial" w:cs="Arial"/>
                <w:sz w:val="24"/>
                <w:szCs w:val="24"/>
              </w:rPr>
              <w:t>59</w:t>
            </w:r>
            <w:r w:rsidRPr="004B61EA">
              <w:rPr>
                <w:rFonts w:ascii="Arial" w:hAnsi="Arial" w:cs="Arial"/>
                <w:sz w:val="24"/>
                <w:szCs w:val="24"/>
              </w:rPr>
              <w:t xml:space="preserve"> (0.2</w:t>
            </w:r>
            <w:r w:rsidR="005F6DC9" w:rsidRPr="004B61EA">
              <w:rPr>
                <w:rFonts w:ascii="Arial" w:hAnsi="Arial" w:cs="Arial"/>
                <w:sz w:val="24"/>
                <w:szCs w:val="24"/>
              </w:rPr>
              <w:t>7</w:t>
            </w:r>
            <w:r w:rsidRPr="004B61EA">
              <w:rPr>
                <w:rFonts w:ascii="Arial" w:hAnsi="Arial" w:cs="Arial"/>
                <w:sz w:val="24"/>
                <w:szCs w:val="24"/>
              </w:rPr>
              <w:t>- 1.</w:t>
            </w:r>
            <w:r w:rsidR="005F6DC9" w:rsidRPr="004B61EA">
              <w:rPr>
                <w:rFonts w:ascii="Arial" w:hAnsi="Arial" w:cs="Arial"/>
                <w:sz w:val="24"/>
                <w:szCs w:val="24"/>
              </w:rPr>
              <w:t>29</w:t>
            </w:r>
            <w:r w:rsidRPr="004B61EA">
              <w:rPr>
                <w:rFonts w:ascii="Arial" w:hAnsi="Arial" w:cs="Arial"/>
                <w:sz w:val="24"/>
                <w:szCs w:val="24"/>
              </w:rPr>
              <w:t>)</w:t>
            </w:r>
          </w:p>
        </w:tc>
        <w:tc>
          <w:tcPr>
            <w:tcW w:w="992" w:type="dxa"/>
          </w:tcPr>
          <w:p w14:paraId="269754C9" w14:textId="7974E853" w:rsidR="007232E5" w:rsidRPr="004B61EA" w:rsidRDefault="007232E5" w:rsidP="001E087E">
            <w:pPr>
              <w:pStyle w:val="NoSpacing"/>
              <w:rPr>
                <w:rFonts w:ascii="Arial" w:hAnsi="Arial" w:cs="Arial"/>
                <w:sz w:val="24"/>
                <w:szCs w:val="24"/>
              </w:rPr>
            </w:pPr>
            <w:r w:rsidRPr="004B61EA">
              <w:rPr>
                <w:rFonts w:ascii="Arial" w:hAnsi="Arial" w:cs="Arial"/>
                <w:sz w:val="24"/>
                <w:szCs w:val="24"/>
              </w:rPr>
              <w:t>0.</w:t>
            </w:r>
            <w:r w:rsidR="005F6DC9" w:rsidRPr="004B61EA">
              <w:rPr>
                <w:rFonts w:ascii="Arial" w:hAnsi="Arial" w:cs="Arial"/>
                <w:sz w:val="24"/>
                <w:szCs w:val="24"/>
              </w:rPr>
              <w:t>19</w:t>
            </w:r>
          </w:p>
        </w:tc>
      </w:tr>
    </w:tbl>
    <w:p w14:paraId="0A2FEF76" w14:textId="1EFA71A3" w:rsidR="007232E5" w:rsidRPr="004B61EA" w:rsidRDefault="007232E5" w:rsidP="007232E5">
      <w:pPr>
        <w:pStyle w:val="NoSpacing"/>
        <w:rPr>
          <w:rFonts w:ascii="Arial" w:hAnsi="Arial" w:cs="Arial"/>
          <w:sz w:val="24"/>
          <w:szCs w:val="24"/>
          <w:lang w:val="en-US"/>
        </w:rPr>
      </w:pPr>
      <w:r w:rsidRPr="004B61EA">
        <w:rPr>
          <w:rFonts w:ascii="Arial" w:hAnsi="Arial" w:cs="Arial"/>
          <w:sz w:val="24"/>
          <w:szCs w:val="24"/>
          <w:lang w:val="en-US"/>
        </w:rPr>
        <w:t>* Adjusted for sex of the infant,</w:t>
      </w:r>
      <w:r w:rsidR="00C31F42" w:rsidRPr="004B61EA">
        <w:rPr>
          <w:rFonts w:ascii="Arial" w:hAnsi="Arial" w:cs="Arial"/>
          <w:sz w:val="24"/>
          <w:szCs w:val="24"/>
          <w:lang w:val="en-US"/>
        </w:rPr>
        <w:t xml:space="preserve"> maternal</w:t>
      </w:r>
      <w:r w:rsidR="006652D8" w:rsidRPr="004B61EA">
        <w:rPr>
          <w:rFonts w:ascii="Arial" w:hAnsi="Arial" w:cs="Arial"/>
          <w:sz w:val="24"/>
          <w:szCs w:val="24"/>
          <w:lang w:val="en-US"/>
        </w:rPr>
        <w:t xml:space="preserve"> age,</w:t>
      </w:r>
      <w:r w:rsidRPr="004B61EA">
        <w:rPr>
          <w:rFonts w:ascii="Arial" w:hAnsi="Arial" w:cs="Arial"/>
          <w:sz w:val="24"/>
          <w:szCs w:val="24"/>
          <w:lang w:val="en-US"/>
        </w:rPr>
        <w:t xml:space="preserve"> smoking</w:t>
      </w:r>
      <w:r w:rsidR="00C31F42" w:rsidRPr="004B61EA">
        <w:rPr>
          <w:rFonts w:ascii="Arial" w:hAnsi="Arial" w:cs="Arial"/>
          <w:sz w:val="24"/>
          <w:szCs w:val="24"/>
          <w:lang w:val="en-US"/>
        </w:rPr>
        <w:t xml:space="preserve"> and</w:t>
      </w:r>
      <w:r w:rsidRPr="004B61EA">
        <w:rPr>
          <w:rFonts w:ascii="Arial" w:hAnsi="Arial" w:cs="Arial"/>
          <w:sz w:val="24"/>
          <w:szCs w:val="24"/>
          <w:lang w:val="en-US"/>
        </w:rPr>
        <w:t xml:space="preserve"> diabetes</w:t>
      </w:r>
    </w:p>
    <w:p w14:paraId="6C024779" w14:textId="43F7A936" w:rsidR="007232E5" w:rsidRPr="004B61EA" w:rsidRDefault="007232E5" w:rsidP="007232E5">
      <w:pPr>
        <w:pStyle w:val="NoSpacing"/>
        <w:rPr>
          <w:rFonts w:ascii="Arial" w:hAnsi="Arial" w:cs="Arial"/>
          <w:sz w:val="24"/>
          <w:szCs w:val="24"/>
          <w:lang w:val="en-US"/>
        </w:rPr>
      </w:pPr>
      <w:r w:rsidRPr="004B61EA">
        <w:rPr>
          <w:rFonts w:ascii="Arial" w:hAnsi="Arial" w:cs="Arial"/>
          <w:sz w:val="24"/>
          <w:szCs w:val="24"/>
          <w:lang w:val="en-US"/>
        </w:rPr>
        <w:t>** Adjusted for sex of the infant,</w:t>
      </w:r>
      <w:r w:rsidR="00C31F42" w:rsidRPr="004B61EA">
        <w:rPr>
          <w:rFonts w:ascii="Arial" w:hAnsi="Arial" w:cs="Arial"/>
          <w:sz w:val="24"/>
          <w:szCs w:val="24"/>
          <w:lang w:val="en-US"/>
        </w:rPr>
        <w:t xml:space="preserve"> maternal</w:t>
      </w:r>
      <w:r w:rsidR="006652D8" w:rsidRPr="004B61EA">
        <w:rPr>
          <w:rFonts w:ascii="Arial" w:hAnsi="Arial" w:cs="Arial"/>
          <w:sz w:val="24"/>
          <w:szCs w:val="24"/>
          <w:lang w:val="en-US"/>
        </w:rPr>
        <w:t xml:space="preserve"> age,</w:t>
      </w:r>
      <w:r w:rsidRPr="004B61EA">
        <w:rPr>
          <w:rFonts w:ascii="Arial" w:hAnsi="Arial" w:cs="Arial"/>
          <w:sz w:val="24"/>
          <w:szCs w:val="24"/>
          <w:lang w:val="en-US"/>
        </w:rPr>
        <w:t xml:space="preserve"> smoking</w:t>
      </w:r>
      <w:r w:rsidR="00C31F42" w:rsidRPr="004B61EA">
        <w:rPr>
          <w:rFonts w:ascii="Arial" w:hAnsi="Arial" w:cs="Arial"/>
          <w:sz w:val="24"/>
          <w:szCs w:val="24"/>
          <w:lang w:val="en-US"/>
        </w:rPr>
        <w:t xml:space="preserve"> and</w:t>
      </w:r>
      <w:r w:rsidRPr="004B61EA">
        <w:rPr>
          <w:rFonts w:ascii="Arial" w:hAnsi="Arial" w:cs="Arial"/>
          <w:sz w:val="24"/>
          <w:szCs w:val="24"/>
          <w:lang w:val="en-US"/>
        </w:rPr>
        <w:t xml:space="preserve"> BMI</w:t>
      </w:r>
    </w:p>
    <w:p w14:paraId="2E7CE358" w14:textId="77777777" w:rsidR="007232E5" w:rsidRPr="004B61EA" w:rsidRDefault="007232E5" w:rsidP="007232E5">
      <w:pPr>
        <w:pStyle w:val="NoSpacing"/>
        <w:rPr>
          <w:rFonts w:ascii="Arial" w:hAnsi="Arial" w:cs="Arial"/>
          <w:sz w:val="24"/>
          <w:szCs w:val="24"/>
          <w:lang w:val="en-US"/>
        </w:rPr>
      </w:pPr>
      <w:r w:rsidRPr="004B61EA">
        <w:rPr>
          <w:rFonts w:ascii="Arial" w:hAnsi="Arial" w:cs="Arial"/>
          <w:sz w:val="24"/>
          <w:szCs w:val="24"/>
          <w:lang w:val="en-US"/>
        </w:rPr>
        <w:t>Q1; n= 663, Q2-Q4; n=1986, Q5; n=663.</w:t>
      </w:r>
    </w:p>
    <w:p w14:paraId="082A8083" w14:textId="77777777" w:rsidR="007232E5" w:rsidRPr="004B61EA" w:rsidRDefault="007232E5" w:rsidP="007232E5">
      <w:pPr>
        <w:pStyle w:val="NoSpacing"/>
        <w:rPr>
          <w:rFonts w:ascii="Arial" w:hAnsi="Arial" w:cs="Arial"/>
          <w:sz w:val="24"/>
          <w:szCs w:val="24"/>
          <w:vertAlign w:val="superscript"/>
          <w:lang w:val="en-US"/>
        </w:rPr>
      </w:pPr>
      <w:r w:rsidRPr="004B61EA">
        <w:rPr>
          <w:rFonts w:ascii="Arial" w:hAnsi="Arial" w:cs="Arial"/>
          <w:sz w:val="24"/>
          <w:szCs w:val="24"/>
          <w:lang w:val="en-US"/>
        </w:rPr>
        <w:t>Maternal obesity: BMI&gt;30 kg/m</w:t>
      </w:r>
      <w:r w:rsidRPr="004B61EA">
        <w:rPr>
          <w:rFonts w:ascii="Arial" w:hAnsi="Arial" w:cs="Arial"/>
          <w:sz w:val="24"/>
          <w:szCs w:val="24"/>
          <w:vertAlign w:val="superscript"/>
          <w:lang w:val="en-US"/>
        </w:rPr>
        <w:t>2</w:t>
      </w:r>
    </w:p>
    <w:p w14:paraId="6190D763" w14:textId="1D0CB4AC" w:rsidR="007232E5" w:rsidRPr="004B61EA" w:rsidRDefault="007232E5" w:rsidP="007232E5">
      <w:pPr>
        <w:pStyle w:val="NoSpacing"/>
        <w:rPr>
          <w:rFonts w:ascii="Arial" w:hAnsi="Arial" w:cs="Arial"/>
          <w:sz w:val="24"/>
          <w:szCs w:val="24"/>
          <w:lang w:val="en-US"/>
        </w:rPr>
      </w:pPr>
      <w:r w:rsidRPr="004B61EA">
        <w:rPr>
          <w:rFonts w:ascii="Arial" w:hAnsi="Arial" w:cs="Arial"/>
          <w:sz w:val="24"/>
          <w:szCs w:val="24"/>
          <w:lang w:val="en-US"/>
        </w:rPr>
        <w:t>Any diabetes (pre-</w:t>
      </w:r>
      <w:r w:rsidR="00F3151D" w:rsidRPr="004B61EA">
        <w:rPr>
          <w:rFonts w:ascii="Arial" w:hAnsi="Arial" w:cs="Arial"/>
          <w:sz w:val="24"/>
          <w:szCs w:val="24"/>
          <w:lang w:val="en-US"/>
        </w:rPr>
        <w:t>gestational</w:t>
      </w:r>
      <w:r w:rsidRPr="004B61EA">
        <w:rPr>
          <w:rFonts w:ascii="Arial" w:hAnsi="Arial" w:cs="Arial"/>
          <w:sz w:val="24"/>
          <w:szCs w:val="24"/>
          <w:lang w:val="en-US"/>
        </w:rPr>
        <w:t xml:space="preserve"> and gestational)</w:t>
      </w:r>
    </w:p>
    <w:p w14:paraId="0CA3DAD8" w14:textId="77777777" w:rsidR="007232E5" w:rsidRPr="004B61EA" w:rsidRDefault="007232E5" w:rsidP="007232E5">
      <w:pPr>
        <w:pStyle w:val="NoSpacing"/>
        <w:rPr>
          <w:rFonts w:ascii="Arial" w:hAnsi="Arial" w:cs="Arial"/>
          <w:sz w:val="24"/>
          <w:szCs w:val="24"/>
          <w:lang w:val="en-US"/>
        </w:rPr>
      </w:pPr>
      <w:r w:rsidRPr="004B61EA">
        <w:rPr>
          <w:rFonts w:ascii="Arial" w:hAnsi="Arial" w:cs="Arial"/>
          <w:sz w:val="24"/>
          <w:szCs w:val="24"/>
          <w:lang w:val="en-US"/>
        </w:rPr>
        <w:t>Neonatal morbidity was defined as one or more of the following criteria: a 5 min Apgar score of less than 7, delivery with metabolic acidosis (defined as cord blood pH &lt;7.1 and base deficit &gt;10 mml/L), or admission to the neonatal unit at term (defined as admission &lt;48h after birth at ≥ 37 weeks’ gestational age and discharge ≥48 h after admission). Diabetes was presence of any diabetes (pre-gestational or gestational). Maternal obesity was defined as BMI&gt;30 kg/m</w:t>
      </w:r>
      <w:r w:rsidRPr="004B61EA">
        <w:rPr>
          <w:rFonts w:ascii="Arial" w:hAnsi="Arial" w:cs="Arial"/>
          <w:sz w:val="24"/>
          <w:szCs w:val="24"/>
          <w:vertAlign w:val="superscript"/>
          <w:lang w:val="en-US"/>
        </w:rPr>
        <w:t xml:space="preserve"> 2</w:t>
      </w:r>
      <w:r w:rsidRPr="004B61EA">
        <w:rPr>
          <w:rFonts w:ascii="Arial" w:hAnsi="Arial" w:cs="Arial"/>
          <w:sz w:val="24"/>
          <w:szCs w:val="24"/>
          <w:lang w:val="en-US"/>
        </w:rPr>
        <w:t>.</w:t>
      </w:r>
    </w:p>
    <w:p w14:paraId="050F36D6" w14:textId="60ECCF7B" w:rsidR="007232E5" w:rsidRPr="009D4733" w:rsidRDefault="007232E5" w:rsidP="007232E5">
      <w:pPr>
        <w:pStyle w:val="NoSpacing"/>
        <w:rPr>
          <w:rFonts w:ascii="Arial" w:hAnsi="Arial" w:cs="Arial"/>
          <w:sz w:val="24"/>
          <w:szCs w:val="24"/>
          <w:lang w:val="en-US"/>
        </w:rPr>
      </w:pPr>
      <w:r w:rsidRPr="004B61EA">
        <w:rPr>
          <w:rFonts w:ascii="Arial" w:hAnsi="Arial" w:cs="Arial"/>
          <w:sz w:val="24"/>
          <w:szCs w:val="24"/>
          <w:lang w:val="en-US"/>
        </w:rPr>
        <w:t xml:space="preserve">Preeclampsia and severe, non-superimposed, preeclampsia were defined according to the ACOG Guideline 2013 </w:t>
      </w:r>
      <w:r w:rsidRPr="004B61EA">
        <w:rPr>
          <w:rFonts w:ascii="Arial" w:hAnsi="Arial" w:cs="Arial"/>
          <w:sz w:val="24"/>
          <w:szCs w:val="24"/>
          <w:lang w:val="en-US"/>
        </w:rPr>
        <w:fldChar w:fldCharType="begin" w:fldLock="1"/>
      </w:r>
      <w:r w:rsidR="0023362E" w:rsidRPr="004B61EA">
        <w:rPr>
          <w:rFonts w:ascii="Arial" w:hAnsi="Arial" w:cs="Arial"/>
          <w:sz w:val="24"/>
          <w:szCs w:val="24"/>
          <w:lang w:val="en-US"/>
        </w:rPr>
        <w:instrText>ADDIN CSL_CITATION { "citationItems" : [ { "id" : "ITEM-1", "itemData" : { "DOI" : "10.1097/01.AOG.0000437382.03963.88", "ISSN" : "0029-7844", "PMID" : "24150027", "author" : [ { "dropping-particle" : "", "family" : "American College of Obstetricians and Gynecologists", "given" : "", "non-dropping-particle" : "", "parse-names" : false, "suffix" : "" }, { "dropping-particle" : "", "family" : "Task Force on Hypertension in Pregnancy", "given" : "", "non-dropping-particle" : "", "parse-names" : false, "suffix" : "" } ], "container-title" : "Obstetrics &amp; Gynecology", "id" : "ITEM-1", "issue" : "5", "issued" : { "date-parts" : [ [ "2013", "11" ] ] }, "page" : "1122-1131", "title" : "Hypertension in Pregnancy", "type" : "article-journal", "volume" : "122" }, "uris" : [ "http://www.mendeley.com/documents/?uuid=efd66b80-1826-3ee2-8840-e9fda9ddbe02" ] } ], "mendeley" : { "formattedCitation" : "[13]", "plainTextFormattedCitation" : "[13]", "previouslyFormattedCitation" : "[13]" }, "properties" : { "noteIndex" : 0 }, "schema" : "https://github.com/citation-style-language/schema/raw/master/csl-citation.json" }</w:instrText>
      </w:r>
      <w:r w:rsidRPr="004B61EA">
        <w:rPr>
          <w:rFonts w:ascii="Arial" w:hAnsi="Arial" w:cs="Arial"/>
          <w:sz w:val="24"/>
          <w:szCs w:val="24"/>
          <w:lang w:val="en-US"/>
        </w:rPr>
        <w:fldChar w:fldCharType="separate"/>
      </w:r>
      <w:r w:rsidR="00CD04E5" w:rsidRPr="004B61EA">
        <w:rPr>
          <w:rFonts w:ascii="Arial" w:hAnsi="Arial" w:cs="Arial"/>
          <w:noProof/>
          <w:sz w:val="24"/>
          <w:szCs w:val="24"/>
          <w:lang w:val="en-US"/>
        </w:rPr>
        <w:t>[13]</w:t>
      </w:r>
      <w:r w:rsidRPr="004B61EA">
        <w:rPr>
          <w:rFonts w:ascii="Arial" w:hAnsi="Arial" w:cs="Arial"/>
          <w:sz w:val="24"/>
          <w:szCs w:val="24"/>
          <w:lang w:val="en-US"/>
        </w:rPr>
        <w:fldChar w:fldCharType="end"/>
      </w:r>
      <w:r w:rsidRPr="004B61EA">
        <w:rPr>
          <w:rFonts w:ascii="Arial" w:hAnsi="Arial" w:cs="Arial"/>
          <w:sz w:val="24"/>
          <w:szCs w:val="24"/>
          <w:lang w:val="en-US"/>
        </w:rPr>
        <w:t>.</w:t>
      </w:r>
    </w:p>
    <w:p w14:paraId="553F5825" w14:textId="77777777" w:rsidR="009D4733" w:rsidRPr="009D4733" w:rsidRDefault="009D4733" w:rsidP="007232E5">
      <w:pPr>
        <w:widowControl w:val="0"/>
        <w:autoSpaceDE w:val="0"/>
        <w:autoSpaceDN w:val="0"/>
        <w:adjustRightInd w:val="0"/>
        <w:spacing w:after="0" w:line="360" w:lineRule="auto"/>
        <w:ind w:left="480" w:hanging="480"/>
        <w:rPr>
          <w:rFonts w:ascii="Arial" w:hAnsi="Arial" w:cs="Arial"/>
          <w:sz w:val="24"/>
          <w:szCs w:val="24"/>
          <w:lang w:val="en-US"/>
        </w:rPr>
      </w:pPr>
    </w:p>
    <w:sectPr w:rsidR="009D4733" w:rsidRPr="009D4733" w:rsidSect="00C52D4C">
      <w:pgSz w:w="16838" w:h="11906" w:orient="landscape"/>
      <w:pgMar w:top="1418" w:right="1418" w:bottom="1418" w:left="1418" w:header="709" w:footer="709" w:gutter="0"/>
      <w:lnNumType w:countBy="1" w:restart="continuou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A2F2232" w14:textId="77777777" w:rsidR="001438F7" w:rsidRDefault="001438F7" w:rsidP="00FC70B7">
      <w:pPr>
        <w:spacing w:after="0" w:line="240" w:lineRule="auto"/>
      </w:pPr>
      <w:r>
        <w:separator/>
      </w:r>
    </w:p>
  </w:endnote>
  <w:endnote w:type="continuationSeparator" w:id="0">
    <w:p w14:paraId="00E4534C" w14:textId="77777777" w:rsidR="001438F7" w:rsidRDefault="001438F7" w:rsidP="00FC70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Grande">
    <w:charset w:val="00"/>
    <w:family w:val="auto"/>
    <w:pitch w:val="variable"/>
    <w:sig w:usb0="E1000AEF" w:usb1="5000A1FF" w:usb2="00000000" w:usb3="00000000" w:csb0="000001BF" w:csb1="00000000"/>
  </w:font>
  <w:font w:name="Helvetica">
    <w:panose1 w:val="020B0604020202020204"/>
    <w:charset w:val="00"/>
    <w:family w:val="swiss"/>
    <w:notTrueType/>
    <w:pitch w:val="variable"/>
    <w:sig w:usb0="00000003" w:usb1="00000000" w:usb2="00000000" w:usb3="00000000" w:csb0="00000001" w:csb1="00000000"/>
  </w:font>
  <w:font w:name="Helvetica Neue">
    <w:altName w:val="Malgun Gothic"/>
    <w:charset w:val="00"/>
    <w:family w:val="auto"/>
    <w:pitch w:val="variable"/>
    <w:sig w:usb0="00000003" w:usb1="500079DB" w:usb2="0000001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67192134"/>
      <w:docPartObj>
        <w:docPartGallery w:val="Page Numbers (Bottom of Page)"/>
        <w:docPartUnique/>
      </w:docPartObj>
    </w:sdtPr>
    <w:sdtEndPr/>
    <w:sdtContent>
      <w:p w14:paraId="030B31C6" w14:textId="5AB4D706" w:rsidR="0043665B" w:rsidRDefault="0043665B">
        <w:pPr>
          <w:pStyle w:val="Footer"/>
          <w:jc w:val="right"/>
        </w:pPr>
        <w:r>
          <w:fldChar w:fldCharType="begin"/>
        </w:r>
        <w:r>
          <w:instrText>PAGE   \* MERGEFORMAT</w:instrText>
        </w:r>
        <w:r>
          <w:fldChar w:fldCharType="separate"/>
        </w:r>
        <w:r w:rsidR="002271C4">
          <w:rPr>
            <w:noProof/>
          </w:rPr>
          <w:t>4</w:t>
        </w:r>
        <w:r>
          <w:rPr>
            <w:noProof/>
          </w:rPr>
          <w:fldChar w:fldCharType="end"/>
        </w:r>
      </w:p>
    </w:sdtContent>
  </w:sdt>
  <w:p w14:paraId="5F81237D" w14:textId="77777777" w:rsidR="0043665B" w:rsidRDefault="0043665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07497419"/>
      <w:docPartObj>
        <w:docPartGallery w:val="Page Numbers (Bottom of Page)"/>
        <w:docPartUnique/>
      </w:docPartObj>
    </w:sdtPr>
    <w:sdtEndPr/>
    <w:sdtContent>
      <w:p w14:paraId="1CCB788D" w14:textId="1F7AD603" w:rsidR="0043665B" w:rsidRDefault="0043665B">
        <w:pPr>
          <w:pStyle w:val="Footer"/>
          <w:jc w:val="right"/>
        </w:pPr>
        <w:r>
          <w:fldChar w:fldCharType="begin"/>
        </w:r>
        <w:r>
          <w:instrText>PAGE   \* MERGEFORMAT</w:instrText>
        </w:r>
        <w:r>
          <w:fldChar w:fldCharType="separate"/>
        </w:r>
        <w:r w:rsidR="002271C4">
          <w:rPr>
            <w:noProof/>
          </w:rPr>
          <w:t>13</w:t>
        </w:r>
        <w:r>
          <w:rPr>
            <w:noProof/>
          </w:rPr>
          <w:fldChar w:fldCharType="end"/>
        </w:r>
      </w:p>
    </w:sdtContent>
  </w:sdt>
  <w:p w14:paraId="44DC8726" w14:textId="77777777" w:rsidR="0043665B" w:rsidRDefault="0043665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3621A3A" w14:textId="77777777" w:rsidR="001438F7" w:rsidRDefault="001438F7" w:rsidP="00FC70B7">
      <w:pPr>
        <w:spacing w:after="0" w:line="240" w:lineRule="auto"/>
      </w:pPr>
      <w:r>
        <w:separator/>
      </w:r>
    </w:p>
  </w:footnote>
  <w:footnote w:type="continuationSeparator" w:id="0">
    <w:p w14:paraId="2967D100" w14:textId="77777777" w:rsidR="001438F7" w:rsidRDefault="001438F7" w:rsidP="00FC70B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6F914EF"/>
    <w:multiLevelType w:val="hybridMultilevel"/>
    <w:tmpl w:val="8116A9CA"/>
    <w:lvl w:ilvl="0" w:tplc="AFCEEA50">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1C150084"/>
    <w:multiLevelType w:val="hybridMultilevel"/>
    <w:tmpl w:val="3950145E"/>
    <w:lvl w:ilvl="0" w:tplc="F03E206C">
      <w:numFmt w:val="bullet"/>
      <w:lvlText w:val="-"/>
      <w:lvlJc w:val="left"/>
      <w:pPr>
        <w:ind w:left="720" w:hanging="360"/>
      </w:pPr>
      <w:rPr>
        <w:rFonts w:ascii="Calibri" w:eastAsiaTheme="minorHAnsi" w:hAnsi="Calibri" w:cstheme="minorBidi" w:hint="default"/>
      </w:rPr>
    </w:lvl>
    <w:lvl w:ilvl="1" w:tplc="04130003">
      <w:start w:val="1"/>
      <w:numFmt w:val="bullet"/>
      <w:lvlText w:val="o"/>
      <w:lvlJc w:val="left"/>
      <w:pPr>
        <w:ind w:left="1440" w:hanging="360"/>
      </w:pPr>
      <w:rPr>
        <w:rFonts w:ascii="Courier New" w:hAnsi="Courier New" w:cs="Arial"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Arial"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Arial"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271B7B6E"/>
    <w:multiLevelType w:val="hybridMultilevel"/>
    <w:tmpl w:val="6BDA1720"/>
    <w:lvl w:ilvl="0" w:tplc="1D20DC7E">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29EE3837"/>
    <w:multiLevelType w:val="hybridMultilevel"/>
    <w:tmpl w:val="34BC676E"/>
    <w:lvl w:ilvl="0" w:tplc="A612973A">
      <w:start w:val="1"/>
      <w:numFmt w:val="bullet"/>
      <w:lvlText w:val="-"/>
      <w:lvlJc w:val="left"/>
      <w:pPr>
        <w:ind w:left="720" w:hanging="360"/>
      </w:pPr>
      <w:rPr>
        <w:rFonts w:ascii="Calibri" w:eastAsiaTheme="minorHAnsi" w:hAnsi="Calibri" w:cstheme="minorBidi" w:hint="default"/>
      </w:rPr>
    </w:lvl>
    <w:lvl w:ilvl="1" w:tplc="04130003">
      <w:start w:val="1"/>
      <w:numFmt w:val="bullet"/>
      <w:lvlText w:val="o"/>
      <w:lvlJc w:val="left"/>
      <w:pPr>
        <w:ind w:left="1440" w:hanging="360"/>
      </w:pPr>
      <w:rPr>
        <w:rFonts w:ascii="Courier New" w:hAnsi="Courier New" w:cs="Arial"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Arial"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Arial"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2DFE2EB5"/>
    <w:multiLevelType w:val="hybridMultilevel"/>
    <w:tmpl w:val="B8BA25EA"/>
    <w:lvl w:ilvl="0" w:tplc="3D622264">
      <w:start w:val="3"/>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310F5C4A"/>
    <w:multiLevelType w:val="hybridMultilevel"/>
    <w:tmpl w:val="4702872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31565E80"/>
    <w:multiLevelType w:val="hybridMultilevel"/>
    <w:tmpl w:val="FF6A4DCA"/>
    <w:lvl w:ilvl="0" w:tplc="8EAA9BEA">
      <w:start w:val="3"/>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67CF3FE9"/>
    <w:multiLevelType w:val="hybridMultilevel"/>
    <w:tmpl w:val="29C868A6"/>
    <w:lvl w:ilvl="0" w:tplc="A612973A">
      <w:start w:val="1"/>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Arial"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Arial"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Arial"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79BC7786"/>
    <w:multiLevelType w:val="hybridMultilevel"/>
    <w:tmpl w:val="EF68EC9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15:restartNumberingAfterBreak="0">
    <w:nsid w:val="7B856FE8"/>
    <w:multiLevelType w:val="hybridMultilevel"/>
    <w:tmpl w:val="FCD07D80"/>
    <w:lvl w:ilvl="0" w:tplc="0908EF4C">
      <w:start w:val="1"/>
      <w:numFmt w:val="decimal"/>
      <w:lvlText w:val="%1."/>
      <w:lvlJc w:val="left"/>
      <w:pPr>
        <w:ind w:left="720" w:hanging="360"/>
      </w:pPr>
      <w:rPr>
        <w:rFonts w:asciiTheme="minorHAnsi" w:eastAsiaTheme="minorHAnsi" w:hAnsiTheme="minorHAnsi" w:cstheme="minorBidi"/>
      </w:r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15:restartNumberingAfterBreak="0">
    <w:nsid w:val="7CF05833"/>
    <w:multiLevelType w:val="hybridMultilevel"/>
    <w:tmpl w:val="F028BC4A"/>
    <w:lvl w:ilvl="0" w:tplc="F03E206C">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1"/>
  </w:num>
  <w:num w:numId="2">
    <w:abstractNumId w:val="9"/>
  </w:num>
  <w:num w:numId="3">
    <w:abstractNumId w:val="8"/>
  </w:num>
  <w:num w:numId="4">
    <w:abstractNumId w:val="5"/>
  </w:num>
  <w:num w:numId="5">
    <w:abstractNumId w:val="3"/>
  </w:num>
  <w:num w:numId="6">
    <w:abstractNumId w:val="7"/>
  </w:num>
  <w:num w:numId="7">
    <w:abstractNumId w:val="10"/>
  </w:num>
  <w:num w:numId="8">
    <w:abstractNumId w:val="6"/>
  </w:num>
  <w:num w:numId="9">
    <w:abstractNumId w:val="4"/>
  </w:num>
  <w:num w:numId="10">
    <w:abstractNumId w:val="0"/>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s-ES" w:vendorID="64" w:dllVersion="131078" w:nlCheck="1" w:checkStyle="0"/>
  <w:activeWritingStyle w:appName="MSWord" w:lang="en-US" w:vendorID="64" w:dllVersion="131078" w:nlCheck="1" w:checkStyle="0"/>
  <w:activeWritingStyle w:appName="MSWord" w:lang="fr-FR" w:vendorID="64" w:dllVersion="131078" w:nlCheck="1" w:checkStyle="0"/>
  <w:activeWritingStyle w:appName="MSWord" w:lang="en-GB" w:vendorID="64" w:dllVersion="131078" w:nlCheck="1" w:checkStyle="0"/>
  <w:activeWritingStyle w:appName="MSWord" w:lang="de-DE" w:vendorID="64" w:dllVersion="131078" w:nlCheck="1" w:checkStyle="0"/>
  <w:activeWritingStyle w:appName="MSWord" w:lang="nl-NL" w:vendorID="64" w:dllVersion="131078" w:nlCheck="1" w:checkStyle="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73EC"/>
    <w:rsid w:val="00000096"/>
    <w:rsid w:val="0000051D"/>
    <w:rsid w:val="0000119D"/>
    <w:rsid w:val="000030E1"/>
    <w:rsid w:val="000158D7"/>
    <w:rsid w:val="00020918"/>
    <w:rsid w:val="0002731D"/>
    <w:rsid w:val="00027561"/>
    <w:rsid w:val="00030532"/>
    <w:rsid w:val="00043B00"/>
    <w:rsid w:val="00044DAC"/>
    <w:rsid w:val="00051684"/>
    <w:rsid w:val="00051B31"/>
    <w:rsid w:val="00052BFA"/>
    <w:rsid w:val="00055670"/>
    <w:rsid w:val="000570AE"/>
    <w:rsid w:val="000764CF"/>
    <w:rsid w:val="00077540"/>
    <w:rsid w:val="00077610"/>
    <w:rsid w:val="00077729"/>
    <w:rsid w:val="00082117"/>
    <w:rsid w:val="0008498D"/>
    <w:rsid w:val="00086609"/>
    <w:rsid w:val="00086779"/>
    <w:rsid w:val="00092E2A"/>
    <w:rsid w:val="000931F6"/>
    <w:rsid w:val="00094FA1"/>
    <w:rsid w:val="00095B5F"/>
    <w:rsid w:val="00095D8F"/>
    <w:rsid w:val="000A444B"/>
    <w:rsid w:val="000A601D"/>
    <w:rsid w:val="000B14E4"/>
    <w:rsid w:val="000B3513"/>
    <w:rsid w:val="000B3562"/>
    <w:rsid w:val="000B5618"/>
    <w:rsid w:val="000B5A98"/>
    <w:rsid w:val="000B7B3B"/>
    <w:rsid w:val="000C061B"/>
    <w:rsid w:val="000C4C28"/>
    <w:rsid w:val="000C5B73"/>
    <w:rsid w:val="000C6C15"/>
    <w:rsid w:val="000D189C"/>
    <w:rsid w:val="000D4469"/>
    <w:rsid w:val="000E2EB9"/>
    <w:rsid w:val="000E44B8"/>
    <w:rsid w:val="000F2B04"/>
    <w:rsid w:val="000F4378"/>
    <w:rsid w:val="000F4CE8"/>
    <w:rsid w:val="00102FB4"/>
    <w:rsid w:val="001063C8"/>
    <w:rsid w:val="00110A3B"/>
    <w:rsid w:val="001121E0"/>
    <w:rsid w:val="0011466A"/>
    <w:rsid w:val="00116155"/>
    <w:rsid w:val="00116278"/>
    <w:rsid w:val="001176D8"/>
    <w:rsid w:val="00117D15"/>
    <w:rsid w:val="001330B0"/>
    <w:rsid w:val="0013346F"/>
    <w:rsid w:val="001338D0"/>
    <w:rsid w:val="00133EFD"/>
    <w:rsid w:val="001438F7"/>
    <w:rsid w:val="0014682B"/>
    <w:rsid w:val="00153DFF"/>
    <w:rsid w:val="00157B53"/>
    <w:rsid w:val="00165B88"/>
    <w:rsid w:val="001663DD"/>
    <w:rsid w:val="00166920"/>
    <w:rsid w:val="00170533"/>
    <w:rsid w:val="00173AC1"/>
    <w:rsid w:val="00173C95"/>
    <w:rsid w:val="0017530F"/>
    <w:rsid w:val="0017599A"/>
    <w:rsid w:val="00177A82"/>
    <w:rsid w:val="00177DB7"/>
    <w:rsid w:val="00183B4C"/>
    <w:rsid w:val="00185053"/>
    <w:rsid w:val="00185ADF"/>
    <w:rsid w:val="0018635C"/>
    <w:rsid w:val="0018651A"/>
    <w:rsid w:val="00187F44"/>
    <w:rsid w:val="001924E3"/>
    <w:rsid w:val="00193E0B"/>
    <w:rsid w:val="0019614D"/>
    <w:rsid w:val="001A0F14"/>
    <w:rsid w:val="001A1A11"/>
    <w:rsid w:val="001A2427"/>
    <w:rsid w:val="001A4EC8"/>
    <w:rsid w:val="001B3415"/>
    <w:rsid w:val="001B53F3"/>
    <w:rsid w:val="001B5A55"/>
    <w:rsid w:val="001C06F0"/>
    <w:rsid w:val="001C0B7E"/>
    <w:rsid w:val="001C138F"/>
    <w:rsid w:val="001C3F01"/>
    <w:rsid w:val="001D6FFD"/>
    <w:rsid w:val="001E087E"/>
    <w:rsid w:val="001E19F2"/>
    <w:rsid w:val="001E7B4F"/>
    <w:rsid w:val="001F1B84"/>
    <w:rsid w:val="001F2FCE"/>
    <w:rsid w:val="001F3D18"/>
    <w:rsid w:val="001F40B8"/>
    <w:rsid w:val="001F6025"/>
    <w:rsid w:val="00201252"/>
    <w:rsid w:val="00207B63"/>
    <w:rsid w:val="00207B7C"/>
    <w:rsid w:val="00215E73"/>
    <w:rsid w:val="0021673C"/>
    <w:rsid w:val="00217CEA"/>
    <w:rsid w:val="002221A6"/>
    <w:rsid w:val="0022481E"/>
    <w:rsid w:val="00225BE0"/>
    <w:rsid w:val="0022618D"/>
    <w:rsid w:val="002266CA"/>
    <w:rsid w:val="002271C4"/>
    <w:rsid w:val="00231DAC"/>
    <w:rsid w:val="002322A3"/>
    <w:rsid w:val="00233369"/>
    <w:rsid w:val="0023362E"/>
    <w:rsid w:val="00240608"/>
    <w:rsid w:val="002424F0"/>
    <w:rsid w:val="0024484A"/>
    <w:rsid w:val="00245026"/>
    <w:rsid w:val="00246B25"/>
    <w:rsid w:val="00247713"/>
    <w:rsid w:val="0025039F"/>
    <w:rsid w:val="002549C0"/>
    <w:rsid w:val="00257DC6"/>
    <w:rsid w:val="0026051C"/>
    <w:rsid w:val="0026565F"/>
    <w:rsid w:val="00265814"/>
    <w:rsid w:val="00273ED6"/>
    <w:rsid w:val="002749C4"/>
    <w:rsid w:val="00274D81"/>
    <w:rsid w:val="00276AF3"/>
    <w:rsid w:val="00280084"/>
    <w:rsid w:val="00280DFC"/>
    <w:rsid w:val="002876D1"/>
    <w:rsid w:val="0029047E"/>
    <w:rsid w:val="00291997"/>
    <w:rsid w:val="002938CC"/>
    <w:rsid w:val="002942C3"/>
    <w:rsid w:val="002A2523"/>
    <w:rsid w:val="002A3074"/>
    <w:rsid w:val="002A6C82"/>
    <w:rsid w:val="002B05EB"/>
    <w:rsid w:val="002B4742"/>
    <w:rsid w:val="002C180A"/>
    <w:rsid w:val="002D18D6"/>
    <w:rsid w:val="002D5614"/>
    <w:rsid w:val="002E0BE8"/>
    <w:rsid w:val="002E2D13"/>
    <w:rsid w:val="002E3B1D"/>
    <w:rsid w:val="002E4B1E"/>
    <w:rsid w:val="002E7ADD"/>
    <w:rsid w:val="002F237E"/>
    <w:rsid w:val="002F285D"/>
    <w:rsid w:val="002F6BF8"/>
    <w:rsid w:val="002F7F21"/>
    <w:rsid w:val="00302782"/>
    <w:rsid w:val="0030380D"/>
    <w:rsid w:val="00307B23"/>
    <w:rsid w:val="00313925"/>
    <w:rsid w:val="003163B5"/>
    <w:rsid w:val="00316432"/>
    <w:rsid w:val="003173EC"/>
    <w:rsid w:val="00320378"/>
    <w:rsid w:val="00320F83"/>
    <w:rsid w:val="00331FFC"/>
    <w:rsid w:val="00332C2A"/>
    <w:rsid w:val="00333138"/>
    <w:rsid w:val="00335B43"/>
    <w:rsid w:val="003429A3"/>
    <w:rsid w:val="00346A3C"/>
    <w:rsid w:val="0035451E"/>
    <w:rsid w:val="00361417"/>
    <w:rsid w:val="00361B96"/>
    <w:rsid w:val="00361D11"/>
    <w:rsid w:val="003638C2"/>
    <w:rsid w:val="003640D2"/>
    <w:rsid w:val="00365F18"/>
    <w:rsid w:val="00365FE0"/>
    <w:rsid w:val="00374CB9"/>
    <w:rsid w:val="003755DD"/>
    <w:rsid w:val="003816CB"/>
    <w:rsid w:val="003820DD"/>
    <w:rsid w:val="0038415B"/>
    <w:rsid w:val="0038431F"/>
    <w:rsid w:val="00387697"/>
    <w:rsid w:val="00391C96"/>
    <w:rsid w:val="00391CD5"/>
    <w:rsid w:val="00391FA1"/>
    <w:rsid w:val="003936DF"/>
    <w:rsid w:val="003A0147"/>
    <w:rsid w:val="003A34F7"/>
    <w:rsid w:val="003A399E"/>
    <w:rsid w:val="003A63DC"/>
    <w:rsid w:val="003A6C18"/>
    <w:rsid w:val="003A7625"/>
    <w:rsid w:val="003B41DB"/>
    <w:rsid w:val="003B63C8"/>
    <w:rsid w:val="003C13CD"/>
    <w:rsid w:val="003C587B"/>
    <w:rsid w:val="003C75A5"/>
    <w:rsid w:val="003D2FC1"/>
    <w:rsid w:val="003D365A"/>
    <w:rsid w:val="003D78AE"/>
    <w:rsid w:val="003E5712"/>
    <w:rsid w:val="003E7C51"/>
    <w:rsid w:val="003F7D65"/>
    <w:rsid w:val="00402168"/>
    <w:rsid w:val="004104D8"/>
    <w:rsid w:val="00410A7D"/>
    <w:rsid w:val="00415AEC"/>
    <w:rsid w:val="004160E6"/>
    <w:rsid w:val="00422042"/>
    <w:rsid w:val="00422813"/>
    <w:rsid w:val="00426C95"/>
    <w:rsid w:val="00430636"/>
    <w:rsid w:val="004358EA"/>
    <w:rsid w:val="004358FE"/>
    <w:rsid w:val="00435F21"/>
    <w:rsid w:val="0043665B"/>
    <w:rsid w:val="00440954"/>
    <w:rsid w:val="0044118A"/>
    <w:rsid w:val="00441DB9"/>
    <w:rsid w:val="00444739"/>
    <w:rsid w:val="004467A8"/>
    <w:rsid w:val="0045085A"/>
    <w:rsid w:val="0045358E"/>
    <w:rsid w:val="00455F6A"/>
    <w:rsid w:val="0045605B"/>
    <w:rsid w:val="00463B33"/>
    <w:rsid w:val="00463BBE"/>
    <w:rsid w:val="00464310"/>
    <w:rsid w:val="004653BA"/>
    <w:rsid w:val="00466B50"/>
    <w:rsid w:val="00466D46"/>
    <w:rsid w:val="00483961"/>
    <w:rsid w:val="00483AAA"/>
    <w:rsid w:val="004915A9"/>
    <w:rsid w:val="004946E4"/>
    <w:rsid w:val="004955FF"/>
    <w:rsid w:val="00495737"/>
    <w:rsid w:val="004A1F49"/>
    <w:rsid w:val="004A6CFA"/>
    <w:rsid w:val="004A7D1F"/>
    <w:rsid w:val="004B1ED6"/>
    <w:rsid w:val="004B5261"/>
    <w:rsid w:val="004B61EA"/>
    <w:rsid w:val="004C096F"/>
    <w:rsid w:val="004C16F7"/>
    <w:rsid w:val="004C1E3C"/>
    <w:rsid w:val="004C489B"/>
    <w:rsid w:val="004C4987"/>
    <w:rsid w:val="004D1836"/>
    <w:rsid w:val="004D35F7"/>
    <w:rsid w:val="004D63EE"/>
    <w:rsid w:val="004D7F02"/>
    <w:rsid w:val="004E174A"/>
    <w:rsid w:val="004E1D60"/>
    <w:rsid w:val="004E1F17"/>
    <w:rsid w:val="004E3E99"/>
    <w:rsid w:val="004E4BD4"/>
    <w:rsid w:val="004E6C36"/>
    <w:rsid w:val="004F2E2B"/>
    <w:rsid w:val="004F6748"/>
    <w:rsid w:val="004F68C6"/>
    <w:rsid w:val="004F68C7"/>
    <w:rsid w:val="0050272E"/>
    <w:rsid w:val="00502B12"/>
    <w:rsid w:val="00503DDE"/>
    <w:rsid w:val="00512587"/>
    <w:rsid w:val="00512839"/>
    <w:rsid w:val="0051303F"/>
    <w:rsid w:val="00514705"/>
    <w:rsid w:val="00516096"/>
    <w:rsid w:val="00521BC7"/>
    <w:rsid w:val="00525FB1"/>
    <w:rsid w:val="00530E10"/>
    <w:rsid w:val="00535EC5"/>
    <w:rsid w:val="00540232"/>
    <w:rsid w:val="00540738"/>
    <w:rsid w:val="00541EB1"/>
    <w:rsid w:val="0054248B"/>
    <w:rsid w:val="005448EE"/>
    <w:rsid w:val="0055204E"/>
    <w:rsid w:val="005617FC"/>
    <w:rsid w:val="005639E5"/>
    <w:rsid w:val="00567579"/>
    <w:rsid w:val="00570B5E"/>
    <w:rsid w:val="005738F8"/>
    <w:rsid w:val="00574229"/>
    <w:rsid w:val="00575AE0"/>
    <w:rsid w:val="00576DEE"/>
    <w:rsid w:val="00577012"/>
    <w:rsid w:val="0058219A"/>
    <w:rsid w:val="005827F9"/>
    <w:rsid w:val="005866CB"/>
    <w:rsid w:val="0059584B"/>
    <w:rsid w:val="00596AD2"/>
    <w:rsid w:val="005978A7"/>
    <w:rsid w:val="005A00DC"/>
    <w:rsid w:val="005A0C54"/>
    <w:rsid w:val="005A2B24"/>
    <w:rsid w:val="005A32A6"/>
    <w:rsid w:val="005A3661"/>
    <w:rsid w:val="005A7AF5"/>
    <w:rsid w:val="005B3E2A"/>
    <w:rsid w:val="005B6CC0"/>
    <w:rsid w:val="005B6D75"/>
    <w:rsid w:val="005B7819"/>
    <w:rsid w:val="005C2A0E"/>
    <w:rsid w:val="005C509F"/>
    <w:rsid w:val="005C695E"/>
    <w:rsid w:val="005C6A54"/>
    <w:rsid w:val="005D52D3"/>
    <w:rsid w:val="005E2B5C"/>
    <w:rsid w:val="005F07D2"/>
    <w:rsid w:val="005F34C8"/>
    <w:rsid w:val="005F6CDF"/>
    <w:rsid w:val="005F6DC9"/>
    <w:rsid w:val="00603217"/>
    <w:rsid w:val="00604B95"/>
    <w:rsid w:val="00607C47"/>
    <w:rsid w:val="006114E1"/>
    <w:rsid w:val="006120DE"/>
    <w:rsid w:val="006129E1"/>
    <w:rsid w:val="00613F6F"/>
    <w:rsid w:val="00613FB1"/>
    <w:rsid w:val="00620CCA"/>
    <w:rsid w:val="00622EFA"/>
    <w:rsid w:val="00623BAF"/>
    <w:rsid w:val="0062487D"/>
    <w:rsid w:val="00630E75"/>
    <w:rsid w:val="006335CB"/>
    <w:rsid w:val="006343C4"/>
    <w:rsid w:val="00635160"/>
    <w:rsid w:val="006420A1"/>
    <w:rsid w:val="0064354C"/>
    <w:rsid w:val="006470BD"/>
    <w:rsid w:val="006565F5"/>
    <w:rsid w:val="00656785"/>
    <w:rsid w:val="006573DC"/>
    <w:rsid w:val="00657D6B"/>
    <w:rsid w:val="0066107F"/>
    <w:rsid w:val="00664EBB"/>
    <w:rsid w:val="006652D8"/>
    <w:rsid w:val="006662A1"/>
    <w:rsid w:val="0066732F"/>
    <w:rsid w:val="006673E9"/>
    <w:rsid w:val="00670AF4"/>
    <w:rsid w:val="00670E42"/>
    <w:rsid w:val="0067538D"/>
    <w:rsid w:val="0067641E"/>
    <w:rsid w:val="006765C4"/>
    <w:rsid w:val="006810C4"/>
    <w:rsid w:val="00683CC2"/>
    <w:rsid w:val="00684494"/>
    <w:rsid w:val="00684800"/>
    <w:rsid w:val="0068771D"/>
    <w:rsid w:val="0068792D"/>
    <w:rsid w:val="006900AF"/>
    <w:rsid w:val="00691271"/>
    <w:rsid w:val="00691DB3"/>
    <w:rsid w:val="00694985"/>
    <w:rsid w:val="00696EF4"/>
    <w:rsid w:val="006A06C7"/>
    <w:rsid w:val="006A0A49"/>
    <w:rsid w:val="006A2228"/>
    <w:rsid w:val="006A27D3"/>
    <w:rsid w:val="006A2A34"/>
    <w:rsid w:val="006B00E2"/>
    <w:rsid w:val="006B2A5A"/>
    <w:rsid w:val="006B3B48"/>
    <w:rsid w:val="006B4ABF"/>
    <w:rsid w:val="006B68DD"/>
    <w:rsid w:val="006C29C5"/>
    <w:rsid w:val="006C58BF"/>
    <w:rsid w:val="006D30DF"/>
    <w:rsid w:val="006D607B"/>
    <w:rsid w:val="006E04F4"/>
    <w:rsid w:val="006E279E"/>
    <w:rsid w:val="006E7088"/>
    <w:rsid w:val="006F4673"/>
    <w:rsid w:val="006F4E76"/>
    <w:rsid w:val="006F6755"/>
    <w:rsid w:val="007002BF"/>
    <w:rsid w:val="00701EDE"/>
    <w:rsid w:val="00704BA8"/>
    <w:rsid w:val="00717702"/>
    <w:rsid w:val="0072152D"/>
    <w:rsid w:val="00721DE2"/>
    <w:rsid w:val="007232E5"/>
    <w:rsid w:val="00724B7C"/>
    <w:rsid w:val="007261EF"/>
    <w:rsid w:val="007310D6"/>
    <w:rsid w:val="00731D8F"/>
    <w:rsid w:val="007349F3"/>
    <w:rsid w:val="007363F6"/>
    <w:rsid w:val="007366D2"/>
    <w:rsid w:val="0073739E"/>
    <w:rsid w:val="00751764"/>
    <w:rsid w:val="0075320B"/>
    <w:rsid w:val="00761055"/>
    <w:rsid w:val="00761840"/>
    <w:rsid w:val="00762200"/>
    <w:rsid w:val="00764DFE"/>
    <w:rsid w:val="00772BF4"/>
    <w:rsid w:val="00776EE1"/>
    <w:rsid w:val="00777194"/>
    <w:rsid w:val="00780724"/>
    <w:rsid w:val="00780ED6"/>
    <w:rsid w:val="00782A01"/>
    <w:rsid w:val="00783F84"/>
    <w:rsid w:val="0078493E"/>
    <w:rsid w:val="00790821"/>
    <w:rsid w:val="007912F9"/>
    <w:rsid w:val="00793228"/>
    <w:rsid w:val="007A3B99"/>
    <w:rsid w:val="007A6D66"/>
    <w:rsid w:val="007A7350"/>
    <w:rsid w:val="007B0177"/>
    <w:rsid w:val="007B0641"/>
    <w:rsid w:val="007B1069"/>
    <w:rsid w:val="007B3506"/>
    <w:rsid w:val="007B5385"/>
    <w:rsid w:val="007C146F"/>
    <w:rsid w:val="007C2217"/>
    <w:rsid w:val="007C2690"/>
    <w:rsid w:val="007C35AB"/>
    <w:rsid w:val="007C5602"/>
    <w:rsid w:val="007D0527"/>
    <w:rsid w:val="007D2755"/>
    <w:rsid w:val="007D30E3"/>
    <w:rsid w:val="007D469F"/>
    <w:rsid w:val="007D4768"/>
    <w:rsid w:val="007D4C4C"/>
    <w:rsid w:val="007D6D97"/>
    <w:rsid w:val="007E4768"/>
    <w:rsid w:val="007E4C37"/>
    <w:rsid w:val="007E7959"/>
    <w:rsid w:val="007F0BF9"/>
    <w:rsid w:val="007F1DBB"/>
    <w:rsid w:val="007F3B4C"/>
    <w:rsid w:val="007F75FF"/>
    <w:rsid w:val="008014A9"/>
    <w:rsid w:val="008036A2"/>
    <w:rsid w:val="008036B6"/>
    <w:rsid w:val="008131D9"/>
    <w:rsid w:val="00824B2A"/>
    <w:rsid w:val="00825D46"/>
    <w:rsid w:val="00826D21"/>
    <w:rsid w:val="008311A3"/>
    <w:rsid w:val="00832F61"/>
    <w:rsid w:val="0083785F"/>
    <w:rsid w:val="00842A1B"/>
    <w:rsid w:val="008542F3"/>
    <w:rsid w:val="0085696A"/>
    <w:rsid w:val="00863780"/>
    <w:rsid w:val="00866B73"/>
    <w:rsid w:val="008675BB"/>
    <w:rsid w:val="00867C10"/>
    <w:rsid w:val="0087417E"/>
    <w:rsid w:val="0087638B"/>
    <w:rsid w:val="00877CF0"/>
    <w:rsid w:val="00880981"/>
    <w:rsid w:val="008840E6"/>
    <w:rsid w:val="00886F09"/>
    <w:rsid w:val="00887B45"/>
    <w:rsid w:val="008920FD"/>
    <w:rsid w:val="00892560"/>
    <w:rsid w:val="008937F1"/>
    <w:rsid w:val="00893BF7"/>
    <w:rsid w:val="0089787E"/>
    <w:rsid w:val="008A14B1"/>
    <w:rsid w:val="008A63CB"/>
    <w:rsid w:val="008A668E"/>
    <w:rsid w:val="008A6FB7"/>
    <w:rsid w:val="008B4E70"/>
    <w:rsid w:val="008B5AB2"/>
    <w:rsid w:val="008C2373"/>
    <w:rsid w:val="008C3A7A"/>
    <w:rsid w:val="008C73D5"/>
    <w:rsid w:val="008C7868"/>
    <w:rsid w:val="008D1692"/>
    <w:rsid w:val="008D3E95"/>
    <w:rsid w:val="008E2D97"/>
    <w:rsid w:val="008E30B5"/>
    <w:rsid w:val="008E3982"/>
    <w:rsid w:val="008E6482"/>
    <w:rsid w:val="008E6D49"/>
    <w:rsid w:val="008F0610"/>
    <w:rsid w:val="008F2414"/>
    <w:rsid w:val="008F2EB8"/>
    <w:rsid w:val="008F6DA5"/>
    <w:rsid w:val="00901C86"/>
    <w:rsid w:val="0091159E"/>
    <w:rsid w:val="00911D0D"/>
    <w:rsid w:val="00913F0F"/>
    <w:rsid w:val="00914448"/>
    <w:rsid w:val="00914E43"/>
    <w:rsid w:val="009206B7"/>
    <w:rsid w:val="0092515F"/>
    <w:rsid w:val="00932904"/>
    <w:rsid w:val="009353D1"/>
    <w:rsid w:val="0094033D"/>
    <w:rsid w:val="009428D3"/>
    <w:rsid w:val="00942FBE"/>
    <w:rsid w:val="00945E5E"/>
    <w:rsid w:val="00955AC4"/>
    <w:rsid w:val="009560A2"/>
    <w:rsid w:val="009630BC"/>
    <w:rsid w:val="009650B5"/>
    <w:rsid w:val="00970ECF"/>
    <w:rsid w:val="00972534"/>
    <w:rsid w:val="00976493"/>
    <w:rsid w:val="009772C1"/>
    <w:rsid w:val="0098017A"/>
    <w:rsid w:val="00984D7C"/>
    <w:rsid w:val="0098626E"/>
    <w:rsid w:val="00986992"/>
    <w:rsid w:val="009946C0"/>
    <w:rsid w:val="00995525"/>
    <w:rsid w:val="00995E15"/>
    <w:rsid w:val="00996D20"/>
    <w:rsid w:val="00997FF7"/>
    <w:rsid w:val="009A044D"/>
    <w:rsid w:val="009A51FF"/>
    <w:rsid w:val="009A541D"/>
    <w:rsid w:val="009A6BBF"/>
    <w:rsid w:val="009B6AE0"/>
    <w:rsid w:val="009C175A"/>
    <w:rsid w:val="009C6B52"/>
    <w:rsid w:val="009D4733"/>
    <w:rsid w:val="009D493A"/>
    <w:rsid w:val="009D4E1E"/>
    <w:rsid w:val="009D5425"/>
    <w:rsid w:val="009D795E"/>
    <w:rsid w:val="009E0E05"/>
    <w:rsid w:val="009E1C6E"/>
    <w:rsid w:val="009E26C9"/>
    <w:rsid w:val="009E2B23"/>
    <w:rsid w:val="009E37DA"/>
    <w:rsid w:val="009E4F14"/>
    <w:rsid w:val="009E6782"/>
    <w:rsid w:val="009E7F3A"/>
    <w:rsid w:val="009F0409"/>
    <w:rsid w:val="009F1791"/>
    <w:rsid w:val="009F32DA"/>
    <w:rsid w:val="009F5108"/>
    <w:rsid w:val="009F58FA"/>
    <w:rsid w:val="00A050B7"/>
    <w:rsid w:val="00A07CCD"/>
    <w:rsid w:val="00A112DB"/>
    <w:rsid w:val="00A13F2C"/>
    <w:rsid w:val="00A14BD2"/>
    <w:rsid w:val="00A2198E"/>
    <w:rsid w:val="00A2319E"/>
    <w:rsid w:val="00A241D8"/>
    <w:rsid w:val="00A2469B"/>
    <w:rsid w:val="00A2543D"/>
    <w:rsid w:val="00A26BC1"/>
    <w:rsid w:val="00A31B26"/>
    <w:rsid w:val="00A3315D"/>
    <w:rsid w:val="00A357ED"/>
    <w:rsid w:val="00A36B94"/>
    <w:rsid w:val="00A36CE2"/>
    <w:rsid w:val="00A37039"/>
    <w:rsid w:val="00A4189D"/>
    <w:rsid w:val="00A419FD"/>
    <w:rsid w:val="00A4748D"/>
    <w:rsid w:val="00A506D9"/>
    <w:rsid w:val="00A5195E"/>
    <w:rsid w:val="00A519BF"/>
    <w:rsid w:val="00A56C6E"/>
    <w:rsid w:val="00A63347"/>
    <w:rsid w:val="00A63C49"/>
    <w:rsid w:val="00A700F7"/>
    <w:rsid w:val="00A7407A"/>
    <w:rsid w:val="00A7455B"/>
    <w:rsid w:val="00A76488"/>
    <w:rsid w:val="00A81B26"/>
    <w:rsid w:val="00A81E01"/>
    <w:rsid w:val="00A82468"/>
    <w:rsid w:val="00A86344"/>
    <w:rsid w:val="00A91549"/>
    <w:rsid w:val="00A918E7"/>
    <w:rsid w:val="00A91D56"/>
    <w:rsid w:val="00A95336"/>
    <w:rsid w:val="00AA084C"/>
    <w:rsid w:val="00AA1D2E"/>
    <w:rsid w:val="00AA4FC8"/>
    <w:rsid w:val="00AA690A"/>
    <w:rsid w:val="00AA76A2"/>
    <w:rsid w:val="00AB0565"/>
    <w:rsid w:val="00AB0E13"/>
    <w:rsid w:val="00AB28E6"/>
    <w:rsid w:val="00AB5731"/>
    <w:rsid w:val="00AB62D4"/>
    <w:rsid w:val="00AC0C41"/>
    <w:rsid w:val="00AC3DD0"/>
    <w:rsid w:val="00AC416D"/>
    <w:rsid w:val="00AC5005"/>
    <w:rsid w:val="00AC5427"/>
    <w:rsid w:val="00AD2262"/>
    <w:rsid w:val="00AD3917"/>
    <w:rsid w:val="00AD4112"/>
    <w:rsid w:val="00AD54E8"/>
    <w:rsid w:val="00AE22CA"/>
    <w:rsid w:val="00AE3BF0"/>
    <w:rsid w:val="00AE3EC5"/>
    <w:rsid w:val="00AE68C7"/>
    <w:rsid w:val="00AF37EC"/>
    <w:rsid w:val="00AF5400"/>
    <w:rsid w:val="00AF65A5"/>
    <w:rsid w:val="00B05061"/>
    <w:rsid w:val="00B0630A"/>
    <w:rsid w:val="00B07315"/>
    <w:rsid w:val="00B12721"/>
    <w:rsid w:val="00B159EE"/>
    <w:rsid w:val="00B169C3"/>
    <w:rsid w:val="00B16EAD"/>
    <w:rsid w:val="00B23936"/>
    <w:rsid w:val="00B27AAE"/>
    <w:rsid w:val="00B3375B"/>
    <w:rsid w:val="00B34426"/>
    <w:rsid w:val="00B35B45"/>
    <w:rsid w:val="00B40C41"/>
    <w:rsid w:val="00B41EBA"/>
    <w:rsid w:val="00B531A1"/>
    <w:rsid w:val="00B54741"/>
    <w:rsid w:val="00B60505"/>
    <w:rsid w:val="00B613E2"/>
    <w:rsid w:val="00B61F6B"/>
    <w:rsid w:val="00B7011F"/>
    <w:rsid w:val="00B70D4B"/>
    <w:rsid w:val="00B72376"/>
    <w:rsid w:val="00B732DF"/>
    <w:rsid w:val="00B813B2"/>
    <w:rsid w:val="00B8377B"/>
    <w:rsid w:val="00B83E1C"/>
    <w:rsid w:val="00B84F14"/>
    <w:rsid w:val="00BA5BDE"/>
    <w:rsid w:val="00BA5E8C"/>
    <w:rsid w:val="00BB06BF"/>
    <w:rsid w:val="00BB3D3B"/>
    <w:rsid w:val="00BB5E61"/>
    <w:rsid w:val="00BB6F24"/>
    <w:rsid w:val="00BC09DC"/>
    <w:rsid w:val="00BC3B9F"/>
    <w:rsid w:val="00BC5C02"/>
    <w:rsid w:val="00BC6044"/>
    <w:rsid w:val="00BD1503"/>
    <w:rsid w:val="00BD23A3"/>
    <w:rsid w:val="00BD2A03"/>
    <w:rsid w:val="00BE1BF1"/>
    <w:rsid w:val="00BE3412"/>
    <w:rsid w:val="00BE5CEA"/>
    <w:rsid w:val="00BF0424"/>
    <w:rsid w:val="00BF1C45"/>
    <w:rsid w:val="00BF2146"/>
    <w:rsid w:val="00BF5697"/>
    <w:rsid w:val="00BF5752"/>
    <w:rsid w:val="00BF754F"/>
    <w:rsid w:val="00BF7BA2"/>
    <w:rsid w:val="00C02479"/>
    <w:rsid w:val="00C05309"/>
    <w:rsid w:val="00C13D4F"/>
    <w:rsid w:val="00C246B1"/>
    <w:rsid w:val="00C27EFE"/>
    <w:rsid w:val="00C303A2"/>
    <w:rsid w:val="00C3069A"/>
    <w:rsid w:val="00C31F42"/>
    <w:rsid w:val="00C32F41"/>
    <w:rsid w:val="00C33B0B"/>
    <w:rsid w:val="00C363CD"/>
    <w:rsid w:val="00C36964"/>
    <w:rsid w:val="00C36EE4"/>
    <w:rsid w:val="00C405D1"/>
    <w:rsid w:val="00C41E3B"/>
    <w:rsid w:val="00C46E46"/>
    <w:rsid w:val="00C505AF"/>
    <w:rsid w:val="00C50EF6"/>
    <w:rsid w:val="00C51336"/>
    <w:rsid w:val="00C52D4C"/>
    <w:rsid w:val="00C56E99"/>
    <w:rsid w:val="00C632A5"/>
    <w:rsid w:val="00C643B9"/>
    <w:rsid w:val="00C65571"/>
    <w:rsid w:val="00C6728E"/>
    <w:rsid w:val="00C679D3"/>
    <w:rsid w:val="00C70774"/>
    <w:rsid w:val="00C72E33"/>
    <w:rsid w:val="00C74A21"/>
    <w:rsid w:val="00C763D6"/>
    <w:rsid w:val="00C76836"/>
    <w:rsid w:val="00C81E26"/>
    <w:rsid w:val="00C83252"/>
    <w:rsid w:val="00C83472"/>
    <w:rsid w:val="00C90228"/>
    <w:rsid w:val="00C912DE"/>
    <w:rsid w:val="00C929F7"/>
    <w:rsid w:val="00CA6537"/>
    <w:rsid w:val="00CB0723"/>
    <w:rsid w:val="00CB5A1E"/>
    <w:rsid w:val="00CB6470"/>
    <w:rsid w:val="00CB66C0"/>
    <w:rsid w:val="00CD00D0"/>
    <w:rsid w:val="00CD04E5"/>
    <w:rsid w:val="00CD0D81"/>
    <w:rsid w:val="00CD0FB2"/>
    <w:rsid w:val="00CD247E"/>
    <w:rsid w:val="00CD6049"/>
    <w:rsid w:val="00CD6755"/>
    <w:rsid w:val="00CE1368"/>
    <w:rsid w:val="00CE1398"/>
    <w:rsid w:val="00CE7854"/>
    <w:rsid w:val="00CE7BC9"/>
    <w:rsid w:val="00CF0D6C"/>
    <w:rsid w:val="00CF44EA"/>
    <w:rsid w:val="00CF4682"/>
    <w:rsid w:val="00D03083"/>
    <w:rsid w:val="00D04D37"/>
    <w:rsid w:val="00D070D6"/>
    <w:rsid w:val="00D10ECD"/>
    <w:rsid w:val="00D12386"/>
    <w:rsid w:val="00D148D8"/>
    <w:rsid w:val="00D2135C"/>
    <w:rsid w:val="00D24512"/>
    <w:rsid w:val="00D264B6"/>
    <w:rsid w:val="00D270A8"/>
    <w:rsid w:val="00D30050"/>
    <w:rsid w:val="00D321F1"/>
    <w:rsid w:val="00D360CB"/>
    <w:rsid w:val="00D378A1"/>
    <w:rsid w:val="00D5119F"/>
    <w:rsid w:val="00D52149"/>
    <w:rsid w:val="00D52666"/>
    <w:rsid w:val="00D528DC"/>
    <w:rsid w:val="00D54621"/>
    <w:rsid w:val="00D549F9"/>
    <w:rsid w:val="00D57AD7"/>
    <w:rsid w:val="00D6182F"/>
    <w:rsid w:val="00D61BA8"/>
    <w:rsid w:val="00D662E2"/>
    <w:rsid w:val="00D67888"/>
    <w:rsid w:val="00D74FAD"/>
    <w:rsid w:val="00D81141"/>
    <w:rsid w:val="00D8536F"/>
    <w:rsid w:val="00D90842"/>
    <w:rsid w:val="00D944CA"/>
    <w:rsid w:val="00D97798"/>
    <w:rsid w:val="00D97AE3"/>
    <w:rsid w:val="00DA413C"/>
    <w:rsid w:val="00DA72A1"/>
    <w:rsid w:val="00DA7785"/>
    <w:rsid w:val="00DB0162"/>
    <w:rsid w:val="00DB1260"/>
    <w:rsid w:val="00DB17AB"/>
    <w:rsid w:val="00DB1F4B"/>
    <w:rsid w:val="00DC004E"/>
    <w:rsid w:val="00DC0D60"/>
    <w:rsid w:val="00DC3ADB"/>
    <w:rsid w:val="00DC6A27"/>
    <w:rsid w:val="00DC7C45"/>
    <w:rsid w:val="00DD08E1"/>
    <w:rsid w:val="00DD1DBA"/>
    <w:rsid w:val="00DD5102"/>
    <w:rsid w:val="00DD6EEF"/>
    <w:rsid w:val="00DD7E63"/>
    <w:rsid w:val="00DF2984"/>
    <w:rsid w:val="00DF54C6"/>
    <w:rsid w:val="00E0176D"/>
    <w:rsid w:val="00E01784"/>
    <w:rsid w:val="00E02965"/>
    <w:rsid w:val="00E02FB1"/>
    <w:rsid w:val="00E0527C"/>
    <w:rsid w:val="00E06EA3"/>
    <w:rsid w:val="00E073EB"/>
    <w:rsid w:val="00E20097"/>
    <w:rsid w:val="00E24DF1"/>
    <w:rsid w:val="00E3105B"/>
    <w:rsid w:val="00E31E0C"/>
    <w:rsid w:val="00E33CDA"/>
    <w:rsid w:val="00E36E89"/>
    <w:rsid w:val="00E37BE6"/>
    <w:rsid w:val="00E41094"/>
    <w:rsid w:val="00E421E8"/>
    <w:rsid w:val="00E4329B"/>
    <w:rsid w:val="00E44552"/>
    <w:rsid w:val="00E456E8"/>
    <w:rsid w:val="00E45BD0"/>
    <w:rsid w:val="00E50199"/>
    <w:rsid w:val="00E52DFB"/>
    <w:rsid w:val="00E54683"/>
    <w:rsid w:val="00E54837"/>
    <w:rsid w:val="00E56228"/>
    <w:rsid w:val="00E625E8"/>
    <w:rsid w:val="00E66269"/>
    <w:rsid w:val="00E667E7"/>
    <w:rsid w:val="00E7001D"/>
    <w:rsid w:val="00E70334"/>
    <w:rsid w:val="00E803EB"/>
    <w:rsid w:val="00E83641"/>
    <w:rsid w:val="00E84B07"/>
    <w:rsid w:val="00E948AC"/>
    <w:rsid w:val="00E97AE6"/>
    <w:rsid w:val="00EA1AF2"/>
    <w:rsid w:val="00EA209C"/>
    <w:rsid w:val="00EA562F"/>
    <w:rsid w:val="00EB32F7"/>
    <w:rsid w:val="00EB57AC"/>
    <w:rsid w:val="00EB61E5"/>
    <w:rsid w:val="00EC074F"/>
    <w:rsid w:val="00EC469F"/>
    <w:rsid w:val="00EC4B9E"/>
    <w:rsid w:val="00EC54DE"/>
    <w:rsid w:val="00EC646A"/>
    <w:rsid w:val="00EC76B6"/>
    <w:rsid w:val="00ED0F9C"/>
    <w:rsid w:val="00ED35F8"/>
    <w:rsid w:val="00EE39FA"/>
    <w:rsid w:val="00EE4F9D"/>
    <w:rsid w:val="00EF2BEA"/>
    <w:rsid w:val="00EF3B6E"/>
    <w:rsid w:val="00EF443F"/>
    <w:rsid w:val="00EF7BD5"/>
    <w:rsid w:val="00F01B44"/>
    <w:rsid w:val="00F01DE6"/>
    <w:rsid w:val="00F03838"/>
    <w:rsid w:val="00F0491F"/>
    <w:rsid w:val="00F1675F"/>
    <w:rsid w:val="00F16DEB"/>
    <w:rsid w:val="00F21394"/>
    <w:rsid w:val="00F21B9A"/>
    <w:rsid w:val="00F228EF"/>
    <w:rsid w:val="00F3151D"/>
    <w:rsid w:val="00F336F2"/>
    <w:rsid w:val="00F33A15"/>
    <w:rsid w:val="00F371D3"/>
    <w:rsid w:val="00F410C9"/>
    <w:rsid w:val="00F42237"/>
    <w:rsid w:val="00F422EB"/>
    <w:rsid w:val="00F43D8B"/>
    <w:rsid w:val="00F46D5E"/>
    <w:rsid w:val="00F47897"/>
    <w:rsid w:val="00F479ED"/>
    <w:rsid w:val="00F47A14"/>
    <w:rsid w:val="00F517A6"/>
    <w:rsid w:val="00F64AA3"/>
    <w:rsid w:val="00F67B23"/>
    <w:rsid w:val="00F712AE"/>
    <w:rsid w:val="00F76856"/>
    <w:rsid w:val="00F832F4"/>
    <w:rsid w:val="00F93EF4"/>
    <w:rsid w:val="00F95777"/>
    <w:rsid w:val="00F95E28"/>
    <w:rsid w:val="00FA0AE8"/>
    <w:rsid w:val="00FA2FED"/>
    <w:rsid w:val="00FA5890"/>
    <w:rsid w:val="00FB0272"/>
    <w:rsid w:val="00FB1722"/>
    <w:rsid w:val="00FB5019"/>
    <w:rsid w:val="00FC05CB"/>
    <w:rsid w:val="00FC1A94"/>
    <w:rsid w:val="00FC2971"/>
    <w:rsid w:val="00FC29F4"/>
    <w:rsid w:val="00FC70B7"/>
    <w:rsid w:val="00FD1BC8"/>
    <w:rsid w:val="00FD32F6"/>
    <w:rsid w:val="00FD5F30"/>
    <w:rsid w:val="00FE09FB"/>
    <w:rsid w:val="00FE5D44"/>
    <w:rsid w:val="00FF0445"/>
    <w:rsid w:val="00FF1886"/>
    <w:rsid w:val="00FF641F"/>
  </w:rsids>
  <m:mathPr>
    <m:mathFont m:val="Cambria Math"/>
    <m:brkBin m:val="before"/>
    <m:brkBinSub m:val="--"/>
    <m:smallFrac/>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3AE0B17"/>
  <w15:docId w15:val="{AE67E204-4FCA-46BD-809E-FC8BF384E0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0" w:defSemiHidden="0" w:defUnhideWhenUsed="0" w:defQFormat="0" w:count="371">
    <w:lsdException w:name="heading 1" w:uiPriority="9" w:qFormat="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B6F24"/>
  </w:style>
  <w:style w:type="paragraph" w:styleId="Heading1">
    <w:name w:val="heading 1"/>
    <w:basedOn w:val="Normal"/>
    <w:link w:val="Heading1Char"/>
    <w:uiPriority w:val="9"/>
    <w:qFormat/>
    <w:rsid w:val="00316432"/>
    <w:pPr>
      <w:spacing w:before="240" w:after="120" w:line="240" w:lineRule="auto"/>
      <w:outlineLvl w:val="0"/>
    </w:pPr>
    <w:rPr>
      <w:rFonts w:ascii="Times New Roman" w:eastAsia="Times New Roman" w:hAnsi="Times New Roman" w:cs="Times New Roman"/>
      <w:b/>
      <w:bCs/>
      <w:color w:val="000000"/>
      <w:kern w:val="36"/>
      <w:sz w:val="33"/>
      <w:szCs w:val="33"/>
      <w:lang w:eastAsia="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F0445"/>
    <w:pPr>
      <w:spacing w:after="0" w:line="240" w:lineRule="auto"/>
    </w:pPr>
    <w:rPr>
      <w:rFonts w:ascii="Tahoma" w:hAnsi="Tahoma" w:cs="Tahoma"/>
      <w:sz w:val="16"/>
      <w:szCs w:val="16"/>
    </w:rPr>
  </w:style>
  <w:style w:type="character" w:customStyle="1" w:styleId="BallontekstTeken">
    <w:name w:val="Ballontekst Teken"/>
    <w:basedOn w:val="DefaultParagraphFont"/>
    <w:uiPriority w:val="99"/>
    <w:semiHidden/>
    <w:rsid w:val="007C7466"/>
    <w:rPr>
      <w:rFonts w:ascii="Lucida Grande" w:hAnsi="Lucida Grande"/>
      <w:sz w:val="18"/>
      <w:szCs w:val="18"/>
    </w:rPr>
  </w:style>
  <w:style w:type="paragraph" w:styleId="NoSpacing">
    <w:name w:val="No Spacing"/>
    <w:link w:val="NoSpacingChar"/>
    <w:uiPriority w:val="1"/>
    <w:qFormat/>
    <w:rsid w:val="003173EC"/>
    <w:pPr>
      <w:spacing w:after="0" w:line="240" w:lineRule="auto"/>
    </w:pPr>
  </w:style>
  <w:style w:type="character" w:styleId="CommentReference">
    <w:name w:val="annotation reference"/>
    <w:basedOn w:val="DefaultParagraphFont"/>
    <w:uiPriority w:val="99"/>
    <w:semiHidden/>
    <w:unhideWhenUsed/>
    <w:rsid w:val="00FF0445"/>
    <w:rPr>
      <w:sz w:val="16"/>
      <w:szCs w:val="16"/>
    </w:rPr>
  </w:style>
  <w:style w:type="paragraph" w:styleId="CommentText">
    <w:name w:val="annotation text"/>
    <w:basedOn w:val="Normal"/>
    <w:link w:val="CommentTextChar"/>
    <w:uiPriority w:val="99"/>
    <w:unhideWhenUsed/>
    <w:rsid w:val="00FF0445"/>
    <w:pPr>
      <w:spacing w:line="240" w:lineRule="auto"/>
    </w:pPr>
    <w:rPr>
      <w:sz w:val="20"/>
      <w:szCs w:val="20"/>
    </w:rPr>
  </w:style>
  <w:style w:type="character" w:customStyle="1" w:styleId="CommentTextChar">
    <w:name w:val="Comment Text Char"/>
    <w:basedOn w:val="DefaultParagraphFont"/>
    <w:link w:val="CommentText"/>
    <w:uiPriority w:val="99"/>
    <w:rsid w:val="00FF0445"/>
    <w:rPr>
      <w:sz w:val="20"/>
      <w:szCs w:val="20"/>
    </w:rPr>
  </w:style>
  <w:style w:type="paragraph" w:styleId="CommentSubject">
    <w:name w:val="annotation subject"/>
    <w:basedOn w:val="CommentText"/>
    <w:next w:val="CommentText"/>
    <w:link w:val="CommentSubjectChar"/>
    <w:uiPriority w:val="99"/>
    <w:semiHidden/>
    <w:unhideWhenUsed/>
    <w:rsid w:val="00FF0445"/>
    <w:rPr>
      <w:b/>
      <w:bCs/>
    </w:rPr>
  </w:style>
  <w:style w:type="character" w:customStyle="1" w:styleId="CommentSubjectChar">
    <w:name w:val="Comment Subject Char"/>
    <w:basedOn w:val="CommentTextChar"/>
    <w:link w:val="CommentSubject"/>
    <w:uiPriority w:val="99"/>
    <w:semiHidden/>
    <w:rsid w:val="00FF0445"/>
    <w:rPr>
      <w:b/>
      <w:bCs/>
      <w:sz w:val="20"/>
      <w:szCs w:val="20"/>
    </w:rPr>
  </w:style>
  <w:style w:type="character" w:customStyle="1" w:styleId="BalloonTextChar">
    <w:name w:val="Balloon Text Char"/>
    <w:basedOn w:val="DefaultParagraphFont"/>
    <w:link w:val="BalloonText"/>
    <w:uiPriority w:val="99"/>
    <w:semiHidden/>
    <w:rsid w:val="00FF0445"/>
    <w:rPr>
      <w:rFonts w:ascii="Tahoma" w:hAnsi="Tahoma" w:cs="Tahoma"/>
      <w:sz w:val="16"/>
      <w:szCs w:val="16"/>
    </w:rPr>
  </w:style>
  <w:style w:type="paragraph" w:styleId="Header">
    <w:name w:val="header"/>
    <w:basedOn w:val="Normal"/>
    <w:link w:val="HeaderChar"/>
    <w:uiPriority w:val="99"/>
    <w:unhideWhenUsed/>
    <w:rsid w:val="00FC70B7"/>
    <w:pPr>
      <w:tabs>
        <w:tab w:val="center" w:pos="4536"/>
        <w:tab w:val="right" w:pos="9072"/>
      </w:tabs>
      <w:spacing w:after="0" w:line="240" w:lineRule="auto"/>
    </w:pPr>
  </w:style>
  <w:style w:type="character" w:customStyle="1" w:styleId="HeaderChar">
    <w:name w:val="Header Char"/>
    <w:basedOn w:val="DefaultParagraphFont"/>
    <w:link w:val="Header"/>
    <w:uiPriority w:val="99"/>
    <w:rsid w:val="00FC70B7"/>
  </w:style>
  <w:style w:type="paragraph" w:styleId="Footer">
    <w:name w:val="footer"/>
    <w:basedOn w:val="Normal"/>
    <w:link w:val="FooterChar"/>
    <w:uiPriority w:val="99"/>
    <w:unhideWhenUsed/>
    <w:rsid w:val="00FC70B7"/>
    <w:pPr>
      <w:tabs>
        <w:tab w:val="center" w:pos="4536"/>
        <w:tab w:val="right" w:pos="9072"/>
      </w:tabs>
      <w:spacing w:after="0" w:line="240" w:lineRule="auto"/>
    </w:pPr>
  </w:style>
  <w:style w:type="character" w:customStyle="1" w:styleId="FooterChar">
    <w:name w:val="Footer Char"/>
    <w:basedOn w:val="DefaultParagraphFont"/>
    <w:link w:val="Footer"/>
    <w:uiPriority w:val="99"/>
    <w:rsid w:val="00FC70B7"/>
  </w:style>
  <w:style w:type="character" w:styleId="LineNumber">
    <w:name w:val="line number"/>
    <w:basedOn w:val="DefaultParagraphFont"/>
    <w:uiPriority w:val="99"/>
    <w:semiHidden/>
    <w:unhideWhenUsed/>
    <w:rsid w:val="00FC70B7"/>
  </w:style>
  <w:style w:type="table" w:styleId="TableGrid">
    <w:name w:val="Table Grid"/>
    <w:basedOn w:val="TableNormal"/>
    <w:uiPriority w:val="59"/>
    <w:rsid w:val="002656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rsid w:val="004955FF"/>
    <w:pPr>
      <w:ind w:left="720"/>
      <w:contextualSpacing/>
    </w:pPr>
  </w:style>
  <w:style w:type="paragraph" w:styleId="Revision">
    <w:name w:val="Revision"/>
    <w:hidden/>
    <w:semiHidden/>
    <w:rsid w:val="00995E15"/>
    <w:pPr>
      <w:spacing w:after="0" w:line="240" w:lineRule="auto"/>
    </w:pPr>
  </w:style>
  <w:style w:type="character" w:customStyle="1" w:styleId="Heading1Char">
    <w:name w:val="Heading 1 Char"/>
    <w:basedOn w:val="DefaultParagraphFont"/>
    <w:link w:val="Heading1"/>
    <w:uiPriority w:val="9"/>
    <w:rsid w:val="00316432"/>
    <w:rPr>
      <w:rFonts w:ascii="Times New Roman" w:eastAsia="Times New Roman" w:hAnsi="Times New Roman" w:cs="Times New Roman"/>
      <w:b/>
      <w:bCs/>
      <w:color w:val="000000"/>
      <w:kern w:val="36"/>
      <w:sz w:val="33"/>
      <w:szCs w:val="33"/>
      <w:lang w:eastAsia="nl-NL"/>
    </w:rPr>
  </w:style>
  <w:style w:type="character" w:customStyle="1" w:styleId="highlight2">
    <w:name w:val="highlight2"/>
    <w:basedOn w:val="DefaultParagraphFont"/>
    <w:rsid w:val="00316432"/>
  </w:style>
  <w:style w:type="character" w:customStyle="1" w:styleId="NoSpacingChar">
    <w:name w:val="No Spacing Char"/>
    <w:basedOn w:val="DefaultParagraphFont"/>
    <w:link w:val="NoSpacing"/>
    <w:uiPriority w:val="1"/>
    <w:locked/>
    <w:rsid w:val="00AE3EC5"/>
  </w:style>
  <w:style w:type="character" w:styleId="Hyperlink">
    <w:name w:val="Hyperlink"/>
    <w:basedOn w:val="DefaultParagraphFont"/>
    <w:uiPriority w:val="99"/>
    <w:rsid w:val="00AE3EC5"/>
    <w:rPr>
      <w:rFonts w:cs="Times New Roman"/>
      <w:color w:val="0000FF"/>
      <w:u w:val="single"/>
    </w:rPr>
  </w:style>
  <w:style w:type="paragraph" w:customStyle="1" w:styleId="Default">
    <w:name w:val="Default"/>
    <w:rsid w:val="000D4469"/>
    <w:pPr>
      <w:autoSpaceDE w:val="0"/>
      <w:autoSpaceDN w:val="0"/>
      <w:adjustRightInd w:val="0"/>
      <w:spacing w:after="0" w:line="240" w:lineRule="auto"/>
    </w:pPr>
    <w:rPr>
      <w:rFonts w:ascii="Arial" w:hAnsi="Arial" w:cs="Arial"/>
      <w:color w:val="000000"/>
      <w:sz w:val="24"/>
      <w:szCs w:val="24"/>
    </w:rPr>
  </w:style>
  <w:style w:type="character" w:styleId="FollowedHyperlink">
    <w:name w:val="FollowedHyperlink"/>
    <w:basedOn w:val="DefaultParagraphFont"/>
    <w:rsid w:val="007B5385"/>
    <w:rPr>
      <w:color w:val="800080" w:themeColor="followedHyperlink"/>
      <w:u w:val="single"/>
    </w:rPr>
  </w:style>
  <w:style w:type="paragraph" w:styleId="DocumentMap">
    <w:name w:val="Document Map"/>
    <w:basedOn w:val="Normal"/>
    <w:link w:val="DocumentMapChar"/>
    <w:semiHidden/>
    <w:unhideWhenUsed/>
    <w:rsid w:val="0045605B"/>
    <w:pPr>
      <w:spacing w:after="0" w:line="240" w:lineRule="auto"/>
    </w:pPr>
    <w:rPr>
      <w:rFonts w:ascii="Helvetica" w:hAnsi="Helvetica"/>
      <w:sz w:val="24"/>
      <w:szCs w:val="24"/>
    </w:rPr>
  </w:style>
  <w:style w:type="character" w:customStyle="1" w:styleId="DocumentMapChar">
    <w:name w:val="Document Map Char"/>
    <w:basedOn w:val="DefaultParagraphFont"/>
    <w:link w:val="DocumentMap"/>
    <w:semiHidden/>
    <w:rsid w:val="0045605B"/>
    <w:rPr>
      <w:rFonts w:ascii="Helvetica" w:hAnsi="Helvetica"/>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8765232">
      <w:bodyDiv w:val="1"/>
      <w:marLeft w:val="0"/>
      <w:marRight w:val="0"/>
      <w:marTop w:val="0"/>
      <w:marBottom w:val="0"/>
      <w:divBdr>
        <w:top w:val="none" w:sz="0" w:space="0" w:color="auto"/>
        <w:left w:val="none" w:sz="0" w:space="0" w:color="auto"/>
        <w:bottom w:val="none" w:sz="0" w:space="0" w:color="auto"/>
        <w:right w:val="none" w:sz="0" w:space="0" w:color="auto"/>
      </w:divBdr>
      <w:divsChild>
        <w:div w:id="570505087">
          <w:marLeft w:val="0"/>
          <w:marRight w:val="1"/>
          <w:marTop w:val="0"/>
          <w:marBottom w:val="0"/>
          <w:divBdr>
            <w:top w:val="none" w:sz="0" w:space="0" w:color="auto"/>
            <w:left w:val="none" w:sz="0" w:space="0" w:color="auto"/>
            <w:bottom w:val="none" w:sz="0" w:space="0" w:color="auto"/>
            <w:right w:val="none" w:sz="0" w:space="0" w:color="auto"/>
          </w:divBdr>
          <w:divsChild>
            <w:div w:id="1804155198">
              <w:marLeft w:val="0"/>
              <w:marRight w:val="0"/>
              <w:marTop w:val="0"/>
              <w:marBottom w:val="0"/>
              <w:divBdr>
                <w:top w:val="none" w:sz="0" w:space="0" w:color="auto"/>
                <w:left w:val="none" w:sz="0" w:space="0" w:color="auto"/>
                <w:bottom w:val="none" w:sz="0" w:space="0" w:color="auto"/>
                <w:right w:val="none" w:sz="0" w:space="0" w:color="auto"/>
              </w:divBdr>
              <w:divsChild>
                <w:div w:id="826095889">
                  <w:marLeft w:val="0"/>
                  <w:marRight w:val="1"/>
                  <w:marTop w:val="0"/>
                  <w:marBottom w:val="0"/>
                  <w:divBdr>
                    <w:top w:val="none" w:sz="0" w:space="0" w:color="auto"/>
                    <w:left w:val="none" w:sz="0" w:space="0" w:color="auto"/>
                    <w:bottom w:val="none" w:sz="0" w:space="0" w:color="auto"/>
                    <w:right w:val="none" w:sz="0" w:space="0" w:color="auto"/>
                  </w:divBdr>
                  <w:divsChild>
                    <w:div w:id="96608807">
                      <w:marLeft w:val="0"/>
                      <w:marRight w:val="0"/>
                      <w:marTop w:val="0"/>
                      <w:marBottom w:val="0"/>
                      <w:divBdr>
                        <w:top w:val="none" w:sz="0" w:space="0" w:color="auto"/>
                        <w:left w:val="none" w:sz="0" w:space="0" w:color="auto"/>
                        <w:bottom w:val="none" w:sz="0" w:space="0" w:color="auto"/>
                        <w:right w:val="none" w:sz="0" w:space="0" w:color="auto"/>
                      </w:divBdr>
                      <w:divsChild>
                        <w:div w:id="1911764555">
                          <w:marLeft w:val="0"/>
                          <w:marRight w:val="0"/>
                          <w:marTop w:val="0"/>
                          <w:marBottom w:val="0"/>
                          <w:divBdr>
                            <w:top w:val="none" w:sz="0" w:space="0" w:color="auto"/>
                            <w:left w:val="none" w:sz="0" w:space="0" w:color="auto"/>
                            <w:bottom w:val="none" w:sz="0" w:space="0" w:color="auto"/>
                            <w:right w:val="none" w:sz="0" w:space="0" w:color="auto"/>
                          </w:divBdr>
                          <w:divsChild>
                            <w:div w:id="608701777">
                              <w:marLeft w:val="0"/>
                              <w:marRight w:val="0"/>
                              <w:marTop w:val="120"/>
                              <w:marBottom w:val="360"/>
                              <w:divBdr>
                                <w:top w:val="none" w:sz="0" w:space="0" w:color="auto"/>
                                <w:left w:val="none" w:sz="0" w:space="0" w:color="auto"/>
                                <w:bottom w:val="none" w:sz="0" w:space="0" w:color="auto"/>
                                <w:right w:val="none" w:sz="0" w:space="0" w:color="auto"/>
                              </w:divBdr>
                              <w:divsChild>
                                <w:div w:id="1423064583">
                                  <w:marLeft w:val="420"/>
                                  <w:marRight w:val="0"/>
                                  <w:marTop w:val="0"/>
                                  <w:marBottom w:val="0"/>
                                  <w:divBdr>
                                    <w:top w:val="none" w:sz="0" w:space="0" w:color="auto"/>
                                    <w:left w:val="none" w:sz="0" w:space="0" w:color="auto"/>
                                    <w:bottom w:val="none" w:sz="0" w:space="0" w:color="auto"/>
                                    <w:right w:val="none" w:sz="0" w:space="0" w:color="auto"/>
                                  </w:divBdr>
                                  <w:divsChild>
                                    <w:div w:id="646323294">
                                      <w:marLeft w:val="0"/>
                                      <w:marRight w:val="0"/>
                                      <w:marTop w:val="0"/>
                                      <w:marBottom w:val="0"/>
                                      <w:divBdr>
                                        <w:top w:val="none" w:sz="0" w:space="0" w:color="auto"/>
                                        <w:left w:val="none" w:sz="0" w:space="0" w:color="auto"/>
                                        <w:bottom w:val="none" w:sz="0" w:space="0" w:color="auto"/>
                                        <w:right w:val="none" w:sz="0" w:space="0" w:color="auto"/>
                                      </w:divBdr>
                                      <w:divsChild>
                                        <w:div w:id="1367679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75895410">
      <w:bodyDiv w:val="1"/>
      <w:marLeft w:val="0"/>
      <w:marRight w:val="0"/>
      <w:marTop w:val="0"/>
      <w:marBottom w:val="0"/>
      <w:divBdr>
        <w:top w:val="none" w:sz="0" w:space="0" w:color="auto"/>
        <w:left w:val="none" w:sz="0" w:space="0" w:color="auto"/>
        <w:bottom w:val="none" w:sz="0" w:space="0" w:color="auto"/>
        <w:right w:val="none" w:sz="0" w:space="0" w:color="auto"/>
      </w:divBdr>
    </w:div>
    <w:div w:id="1010374839">
      <w:bodyDiv w:val="1"/>
      <w:marLeft w:val="0"/>
      <w:marRight w:val="0"/>
      <w:marTop w:val="0"/>
      <w:marBottom w:val="0"/>
      <w:divBdr>
        <w:top w:val="none" w:sz="0" w:space="0" w:color="auto"/>
        <w:left w:val="none" w:sz="0" w:space="0" w:color="auto"/>
        <w:bottom w:val="none" w:sz="0" w:space="0" w:color="auto"/>
        <w:right w:val="none" w:sz="0" w:space="0" w:color="auto"/>
      </w:divBdr>
    </w:div>
    <w:div w:id="1115369332">
      <w:bodyDiv w:val="1"/>
      <w:marLeft w:val="0"/>
      <w:marRight w:val="0"/>
      <w:marTop w:val="0"/>
      <w:marBottom w:val="0"/>
      <w:divBdr>
        <w:top w:val="none" w:sz="0" w:space="0" w:color="auto"/>
        <w:left w:val="none" w:sz="0" w:space="0" w:color="auto"/>
        <w:bottom w:val="none" w:sz="0" w:space="0" w:color="auto"/>
        <w:right w:val="none" w:sz="0" w:space="0" w:color="auto"/>
      </w:divBdr>
    </w:div>
    <w:div w:id="1158350927">
      <w:bodyDiv w:val="1"/>
      <w:marLeft w:val="0"/>
      <w:marRight w:val="0"/>
      <w:marTop w:val="0"/>
      <w:marBottom w:val="0"/>
      <w:divBdr>
        <w:top w:val="none" w:sz="0" w:space="0" w:color="auto"/>
        <w:left w:val="none" w:sz="0" w:space="0" w:color="auto"/>
        <w:bottom w:val="none" w:sz="0" w:space="0" w:color="auto"/>
        <w:right w:val="none" w:sz="0" w:space="0" w:color="auto"/>
      </w:divBdr>
    </w:div>
    <w:div w:id="1513494328">
      <w:bodyDiv w:val="1"/>
      <w:marLeft w:val="0"/>
      <w:marRight w:val="0"/>
      <w:marTop w:val="0"/>
      <w:marBottom w:val="0"/>
      <w:divBdr>
        <w:top w:val="none" w:sz="0" w:space="0" w:color="auto"/>
        <w:left w:val="none" w:sz="0" w:space="0" w:color="auto"/>
        <w:bottom w:val="none" w:sz="0" w:space="0" w:color="auto"/>
        <w:right w:val="none" w:sz="0" w:space="0" w:color="auto"/>
      </w:divBdr>
      <w:divsChild>
        <w:div w:id="89007536">
          <w:marLeft w:val="0"/>
          <w:marRight w:val="1"/>
          <w:marTop w:val="0"/>
          <w:marBottom w:val="0"/>
          <w:divBdr>
            <w:top w:val="none" w:sz="0" w:space="0" w:color="auto"/>
            <w:left w:val="none" w:sz="0" w:space="0" w:color="auto"/>
            <w:bottom w:val="none" w:sz="0" w:space="0" w:color="auto"/>
            <w:right w:val="none" w:sz="0" w:space="0" w:color="auto"/>
          </w:divBdr>
          <w:divsChild>
            <w:div w:id="442187350">
              <w:marLeft w:val="0"/>
              <w:marRight w:val="0"/>
              <w:marTop w:val="0"/>
              <w:marBottom w:val="0"/>
              <w:divBdr>
                <w:top w:val="none" w:sz="0" w:space="0" w:color="auto"/>
                <w:left w:val="none" w:sz="0" w:space="0" w:color="auto"/>
                <w:bottom w:val="none" w:sz="0" w:space="0" w:color="auto"/>
                <w:right w:val="none" w:sz="0" w:space="0" w:color="auto"/>
              </w:divBdr>
              <w:divsChild>
                <w:div w:id="955254345">
                  <w:marLeft w:val="0"/>
                  <w:marRight w:val="1"/>
                  <w:marTop w:val="0"/>
                  <w:marBottom w:val="0"/>
                  <w:divBdr>
                    <w:top w:val="none" w:sz="0" w:space="0" w:color="auto"/>
                    <w:left w:val="none" w:sz="0" w:space="0" w:color="auto"/>
                    <w:bottom w:val="none" w:sz="0" w:space="0" w:color="auto"/>
                    <w:right w:val="none" w:sz="0" w:space="0" w:color="auto"/>
                  </w:divBdr>
                  <w:divsChild>
                    <w:div w:id="1461219811">
                      <w:marLeft w:val="0"/>
                      <w:marRight w:val="0"/>
                      <w:marTop w:val="0"/>
                      <w:marBottom w:val="0"/>
                      <w:divBdr>
                        <w:top w:val="none" w:sz="0" w:space="0" w:color="auto"/>
                        <w:left w:val="none" w:sz="0" w:space="0" w:color="auto"/>
                        <w:bottom w:val="none" w:sz="0" w:space="0" w:color="auto"/>
                        <w:right w:val="none" w:sz="0" w:space="0" w:color="auto"/>
                      </w:divBdr>
                      <w:divsChild>
                        <w:div w:id="1876035970">
                          <w:marLeft w:val="0"/>
                          <w:marRight w:val="0"/>
                          <w:marTop w:val="0"/>
                          <w:marBottom w:val="0"/>
                          <w:divBdr>
                            <w:top w:val="none" w:sz="0" w:space="0" w:color="auto"/>
                            <w:left w:val="none" w:sz="0" w:space="0" w:color="auto"/>
                            <w:bottom w:val="none" w:sz="0" w:space="0" w:color="auto"/>
                            <w:right w:val="none" w:sz="0" w:space="0" w:color="auto"/>
                          </w:divBdr>
                          <w:divsChild>
                            <w:div w:id="1277102847">
                              <w:marLeft w:val="0"/>
                              <w:marRight w:val="0"/>
                              <w:marTop w:val="120"/>
                              <w:marBottom w:val="360"/>
                              <w:divBdr>
                                <w:top w:val="none" w:sz="0" w:space="0" w:color="auto"/>
                                <w:left w:val="none" w:sz="0" w:space="0" w:color="auto"/>
                                <w:bottom w:val="none" w:sz="0" w:space="0" w:color="auto"/>
                                <w:right w:val="none" w:sz="0" w:space="0" w:color="auto"/>
                              </w:divBdr>
                              <w:divsChild>
                                <w:div w:id="512652841">
                                  <w:marLeft w:val="0"/>
                                  <w:marRight w:val="0"/>
                                  <w:marTop w:val="0"/>
                                  <w:marBottom w:val="0"/>
                                  <w:divBdr>
                                    <w:top w:val="none" w:sz="0" w:space="0" w:color="auto"/>
                                    <w:left w:val="none" w:sz="0" w:space="0" w:color="auto"/>
                                    <w:bottom w:val="none" w:sz="0" w:space="0" w:color="auto"/>
                                    <w:right w:val="none" w:sz="0" w:space="0" w:color="auto"/>
                                  </w:divBdr>
                                </w:div>
                                <w:div w:id="488255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salavati@umcg.nl" TargetMode="External"/><Relationship Id="rId13" Type="http://schemas.openxmlformats.org/officeDocument/2006/relationships/hyperlink" Target="mailto:dscj1@cam.ac.uk" TargetMode="External"/><Relationship Id="rId18" Type="http://schemas.openxmlformats.org/officeDocument/2006/relationships/image" Target="media/image2.jp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mailto:amrgebril@kasralainy.edu.eg" TargetMode="External"/><Relationship Id="rId17" Type="http://schemas.openxmlformats.org/officeDocument/2006/relationships/image" Target="media/image1.jpg"/><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rabia.zill-e-huma@nhs.net" TargetMode="External"/><Relationship Id="rId5" Type="http://schemas.openxmlformats.org/officeDocument/2006/relationships/webSettings" Target="webSettings.xml"/><Relationship Id="rId15" Type="http://schemas.openxmlformats.org/officeDocument/2006/relationships/hyperlink" Target="mailto:gcss2@cam.ac.uk" TargetMode="External"/><Relationship Id="rId10" Type="http://schemas.openxmlformats.org/officeDocument/2006/relationships/hyperlink" Target="mailto:us253@medschl.cam.ac.uk" TargetMode="External"/><Relationship Id="rId19" Type="http://schemas.openxmlformats.org/officeDocument/2006/relationships/image" Target="media/image3.jpg"/><Relationship Id="rId4" Type="http://schemas.openxmlformats.org/officeDocument/2006/relationships/settings" Target="settings.xml"/><Relationship Id="rId9" Type="http://schemas.openxmlformats.org/officeDocument/2006/relationships/hyperlink" Target="mailto:s.j.gordijn@umcg.nl" TargetMode="External"/><Relationship Id="rId14" Type="http://schemas.openxmlformats.org/officeDocument/2006/relationships/hyperlink" Target="mailto:s.a.scherjon@umcg.nl" TargetMode="External"/><Relationship Id="rId22" Type="http://schemas.openxmlformats.org/officeDocument/2006/relationships/theme" Target="theme/theme1.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13F486-B49F-4225-9760-D3AE150A49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Pages>
  <Words>26381</Words>
  <Characters>150372</Characters>
  <Application>Microsoft Office Word</Application>
  <DocSecurity>4</DocSecurity>
  <Lines>1253</Lines>
  <Paragraphs>352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Universitair Medisch Centrum Groningen</Company>
  <LinksUpToDate>false</LinksUpToDate>
  <CharactersWithSpaces>176401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Salavati, N (coas)</dc:creator>
  <cp:lastModifiedBy>PA to HoD Obs &amp; Gynae</cp:lastModifiedBy>
  <cp:revision>2</cp:revision>
  <cp:lastPrinted>2017-11-09T18:13:00Z</cp:lastPrinted>
  <dcterms:created xsi:type="dcterms:W3CDTF">2018-01-08T12:48:00Z</dcterms:created>
  <dcterms:modified xsi:type="dcterms:W3CDTF">2018-01-08T12:48:00Z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5e8dcef2-ce6c-349f-b6f2-8994901c3518</vt:lpwstr>
  </property>
  <property fmtid="{D5CDD505-2E9C-101B-9397-08002B2CF9AE}" pid="4" name="Mendeley Citation Style_1">
    <vt:lpwstr>http://www.zotero.org/styles/placenta</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6th edition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16th edition (author-date)</vt:lpwstr>
  </property>
  <property fmtid="{D5CDD505-2E9C-101B-9397-08002B2CF9AE}" pid="13" name="Mendeley Recent Style Id 4_1">
    <vt:lpwstr>http://www.zotero.org/styles/harvard1</vt:lpwstr>
  </property>
  <property fmtid="{D5CDD505-2E9C-101B-9397-08002B2CF9AE}" pid="14" name="Mendeley Recent Style Name 4_1">
    <vt:lpwstr>Harvard Reference format 1 (author-date)</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http://www.zotero.org/styles/modern-humanities-research-association</vt:lpwstr>
  </property>
  <property fmtid="{D5CDD505-2E9C-101B-9397-08002B2CF9AE}" pid="18" name="Mendeley Recent Style Name 6_1">
    <vt:lpwstr>Modern Humanities Research Association 3rd edition (note with bibliography)</vt:lpwstr>
  </property>
  <property fmtid="{D5CDD505-2E9C-101B-9397-08002B2CF9AE}" pid="19" name="Mendeley Recent Style Id 7_1">
    <vt:lpwstr>http://www.zotero.org/styles/modern-language-association</vt:lpwstr>
  </property>
  <property fmtid="{D5CDD505-2E9C-101B-9397-08002B2CF9AE}" pid="20" name="Mendeley Recent Style Name 7_1">
    <vt:lpwstr>Modern Language Association 7th edition</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y fmtid="{D5CDD505-2E9C-101B-9397-08002B2CF9AE}" pid="25" name="Mendeley User Name_1">
    <vt:lpwstr>n.salavati@umcg.nl@www.mendeley.com</vt:lpwstr>
  </property>
</Properties>
</file>