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D81" w:rsidRDefault="00946D81" w:rsidP="009B28F1">
      <w:pPr>
        <w:jc w:val="both"/>
        <w:rPr>
          <w:b/>
        </w:rPr>
      </w:pPr>
      <w:bookmarkStart w:id="0" w:name="_GoBack"/>
      <w:bookmarkEnd w:id="0"/>
      <w:r>
        <w:rPr>
          <w:b/>
        </w:rPr>
        <w:t xml:space="preserve">Supplement </w:t>
      </w:r>
      <w:r w:rsidRPr="008B4411">
        <w:rPr>
          <w:b/>
        </w:rPr>
        <w:t>for</w:t>
      </w:r>
      <w:r>
        <w:rPr>
          <w:b/>
        </w:rPr>
        <w:t xml:space="preserve"> </w:t>
      </w:r>
    </w:p>
    <w:p w:rsidR="00946D81" w:rsidRDefault="00946D81" w:rsidP="009B28F1">
      <w:pPr>
        <w:jc w:val="both"/>
        <w:rPr>
          <w:b/>
        </w:rPr>
      </w:pPr>
    </w:p>
    <w:p w:rsidR="00946D81" w:rsidRDefault="00946D81" w:rsidP="009B28F1">
      <w:pPr>
        <w:jc w:val="both"/>
        <w:rPr>
          <w:b/>
        </w:rPr>
      </w:pPr>
      <w:r w:rsidRPr="002F4326">
        <w:rPr>
          <w:b/>
        </w:rPr>
        <w:t xml:space="preserve">Should we screen women for abdominal aortic aneurysm? </w:t>
      </w:r>
      <w:r>
        <w:rPr>
          <w:rFonts w:ascii="Times New Roman" w:hAnsi="Times New Roman" w:cs="Times New Roman"/>
          <w:b/>
        </w:rPr>
        <w:t>Analysis of clinical benefit, harms and cost-effectiveness</w:t>
      </w:r>
    </w:p>
    <w:p w:rsidR="00946D81" w:rsidRPr="004577E5" w:rsidRDefault="00946D81" w:rsidP="00ED7799">
      <w:pPr>
        <w:spacing w:before="40" w:after="40" w:line="480" w:lineRule="auto"/>
        <w:rPr>
          <w:rFonts w:ascii="Times New Roman" w:hAnsi="Times New Roman" w:cs="Times New Roman"/>
        </w:rPr>
      </w:pPr>
      <w:r w:rsidRPr="004577E5">
        <w:rPr>
          <w:rFonts w:ascii="Times New Roman" w:hAnsi="Times New Roman" w:cs="Times New Roman"/>
        </w:rPr>
        <w:t>M</w:t>
      </w:r>
      <w:r>
        <w:rPr>
          <w:rFonts w:ascii="Times New Roman" w:hAnsi="Times New Roman" w:cs="Times New Roman"/>
        </w:rPr>
        <w:t xml:space="preserve">ichael </w:t>
      </w:r>
      <w:r w:rsidRPr="004577E5">
        <w:rPr>
          <w:rFonts w:ascii="Times New Roman" w:hAnsi="Times New Roman" w:cs="Times New Roman"/>
        </w:rPr>
        <w:t>J Sweeting, K</w:t>
      </w:r>
      <w:r>
        <w:rPr>
          <w:rFonts w:ascii="Times New Roman" w:hAnsi="Times New Roman" w:cs="Times New Roman"/>
        </w:rPr>
        <w:t xml:space="preserve">atya </w:t>
      </w:r>
      <w:r w:rsidRPr="004577E5">
        <w:rPr>
          <w:rFonts w:ascii="Times New Roman" w:hAnsi="Times New Roman" w:cs="Times New Roman"/>
        </w:rPr>
        <w:t>L Masconi, E</w:t>
      </w:r>
      <w:r>
        <w:rPr>
          <w:rFonts w:ascii="Times New Roman" w:hAnsi="Times New Roman" w:cs="Times New Roman"/>
        </w:rPr>
        <w:t>dmund</w:t>
      </w:r>
      <w:r w:rsidRPr="004577E5">
        <w:rPr>
          <w:rFonts w:ascii="Times New Roman" w:hAnsi="Times New Roman" w:cs="Times New Roman"/>
        </w:rPr>
        <w:t xml:space="preserve"> Jones, P</w:t>
      </w:r>
      <w:r>
        <w:rPr>
          <w:rFonts w:ascii="Times New Roman" w:hAnsi="Times New Roman" w:cs="Times New Roman"/>
        </w:rPr>
        <w:t>inar</w:t>
      </w:r>
      <w:r w:rsidRPr="004577E5">
        <w:rPr>
          <w:rFonts w:ascii="Times New Roman" w:hAnsi="Times New Roman" w:cs="Times New Roman"/>
        </w:rPr>
        <w:t xml:space="preserve"> Ulug,</w:t>
      </w:r>
      <w:r w:rsidRPr="004577E5">
        <w:rPr>
          <w:rFonts w:ascii="Times New Roman" w:hAnsi="Times New Roman" w:cs="Times New Roman"/>
          <w:vertAlign w:val="superscript"/>
        </w:rPr>
        <w:t xml:space="preserve"> </w:t>
      </w:r>
      <w:r w:rsidRPr="004577E5">
        <w:rPr>
          <w:rFonts w:ascii="Times New Roman" w:hAnsi="Times New Roman" w:cs="Times New Roman"/>
        </w:rPr>
        <w:t>M</w:t>
      </w:r>
      <w:r>
        <w:rPr>
          <w:rFonts w:ascii="Times New Roman" w:hAnsi="Times New Roman" w:cs="Times New Roman"/>
        </w:rPr>
        <w:t xml:space="preserve">atthew </w:t>
      </w:r>
      <w:r w:rsidRPr="004577E5">
        <w:rPr>
          <w:rFonts w:ascii="Times New Roman" w:hAnsi="Times New Roman" w:cs="Times New Roman"/>
        </w:rPr>
        <w:t>J Glover, J</w:t>
      </w:r>
      <w:r>
        <w:rPr>
          <w:rFonts w:ascii="Times New Roman" w:hAnsi="Times New Roman" w:cs="Times New Roman"/>
        </w:rPr>
        <w:t xml:space="preserve">onathan </w:t>
      </w:r>
      <w:r w:rsidRPr="004577E5">
        <w:rPr>
          <w:rFonts w:ascii="Times New Roman" w:hAnsi="Times New Roman" w:cs="Times New Roman"/>
        </w:rPr>
        <w:t>A Michaels, M</w:t>
      </w:r>
      <w:r>
        <w:rPr>
          <w:rFonts w:ascii="Times New Roman" w:hAnsi="Times New Roman" w:cs="Times New Roman"/>
        </w:rPr>
        <w:t xml:space="preserve">atthew </w:t>
      </w:r>
      <w:r w:rsidRPr="004577E5">
        <w:rPr>
          <w:rFonts w:ascii="Times New Roman" w:hAnsi="Times New Roman" w:cs="Times New Roman"/>
        </w:rPr>
        <w:t>J Bown, J</w:t>
      </w:r>
      <w:r>
        <w:rPr>
          <w:rFonts w:ascii="Times New Roman" w:hAnsi="Times New Roman" w:cs="Times New Roman"/>
        </w:rPr>
        <w:t xml:space="preserve">anet </w:t>
      </w:r>
      <w:r w:rsidRPr="004577E5">
        <w:rPr>
          <w:rFonts w:ascii="Times New Roman" w:hAnsi="Times New Roman" w:cs="Times New Roman"/>
        </w:rPr>
        <w:t>T Powell, S</w:t>
      </w:r>
      <w:r>
        <w:rPr>
          <w:rFonts w:ascii="Times New Roman" w:hAnsi="Times New Roman" w:cs="Times New Roman"/>
        </w:rPr>
        <w:t xml:space="preserve">imon </w:t>
      </w:r>
      <w:r w:rsidRPr="004577E5">
        <w:rPr>
          <w:rFonts w:ascii="Times New Roman" w:hAnsi="Times New Roman" w:cs="Times New Roman"/>
        </w:rPr>
        <w:t xml:space="preserve">G Thompson </w:t>
      </w:r>
    </w:p>
    <w:p w:rsidR="00946D81" w:rsidRDefault="00946D81" w:rsidP="009B28F1">
      <w:pPr>
        <w:jc w:val="both"/>
        <w:rPr>
          <w:b/>
        </w:rPr>
      </w:pPr>
    </w:p>
    <w:p w:rsidR="00946D81" w:rsidRDefault="00946D81" w:rsidP="009B28F1">
      <w:pPr>
        <w:jc w:val="both"/>
        <w:rPr>
          <w:b/>
        </w:rPr>
      </w:pPr>
      <w:r>
        <w:rPr>
          <w:b/>
        </w:rPr>
        <w:t>Containing:</w:t>
      </w:r>
    </w:p>
    <w:p w:rsidR="00946D81" w:rsidRDefault="00946D81" w:rsidP="00B70EB9"/>
    <w:p w:rsidR="00946D81" w:rsidRPr="00D77197" w:rsidRDefault="00946D81" w:rsidP="00634673">
      <w:pPr>
        <w:jc w:val="both"/>
        <w:rPr>
          <w:b/>
          <w:u w:val="single"/>
        </w:rPr>
      </w:pPr>
      <w:r w:rsidRPr="00D77197">
        <w:rPr>
          <w:b/>
          <w:u w:val="single"/>
        </w:rPr>
        <w:t>Supplementary Methods</w:t>
      </w:r>
    </w:p>
    <w:p w:rsidR="00946D81" w:rsidRDefault="00946D81">
      <w:pPr>
        <w:pStyle w:val="TableofFigures"/>
        <w:tabs>
          <w:tab w:val="right" w:leader="dot" w:pos="9016"/>
        </w:tabs>
        <w:rPr>
          <w:rStyle w:val="Hyperlink"/>
          <w:noProof/>
        </w:rPr>
      </w:pPr>
      <w:r>
        <w:rPr>
          <w:bCs w:val="0"/>
        </w:rPr>
        <w:fldChar w:fldCharType="begin"/>
      </w:r>
      <w:r>
        <w:rPr>
          <w:bCs w:val="0"/>
        </w:rPr>
        <w:instrText xml:space="preserve"> TOC \h \z \c "Supplementary Figure" </w:instrText>
      </w:r>
      <w:r>
        <w:rPr>
          <w:bCs w:val="0"/>
        </w:rPr>
        <w:fldChar w:fldCharType="separate"/>
      </w:r>
      <w:hyperlink w:anchor="_Toc513706976" w:history="1">
        <w:r w:rsidRPr="00733F5E">
          <w:rPr>
            <w:rStyle w:val="Hyperlink"/>
            <w:noProof/>
          </w:rPr>
          <w:t>Supplementary Figure 1.</w:t>
        </w:r>
        <w:r w:rsidRPr="00D243F9">
          <w:rPr>
            <w:rStyle w:val="Hyperlink"/>
            <w:b w:val="0"/>
            <w:noProof/>
          </w:rPr>
          <w:t xml:space="preserve"> Structure of the discrete event simulation model</w:t>
        </w:r>
        <w:r w:rsidRPr="00D243F9">
          <w:rPr>
            <w:b w:val="0"/>
            <w:noProof/>
            <w:webHidden/>
          </w:rPr>
          <w:tab/>
        </w:r>
        <w:r w:rsidRPr="00D243F9">
          <w:rPr>
            <w:b w:val="0"/>
            <w:noProof/>
            <w:webHidden/>
          </w:rPr>
          <w:fldChar w:fldCharType="begin"/>
        </w:r>
        <w:r w:rsidRPr="00D243F9">
          <w:rPr>
            <w:b w:val="0"/>
            <w:noProof/>
            <w:webHidden/>
          </w:rPr>
          <w:instrText xml:space="preserve"> PAGEREF _Toc513706976 \h </w:instrText>
        </w:r>
        <w:r w:rsidRPr="00D243F9">
          <w:rPr>
            <w:b w:val="0"/>
            <w:noProof/>
            <w:webHidden/>
          </w:rPr>
        </w:r>
        <w:r w:rsidRPr="00D243F9">
          <w:rPr>
            <w:b w:val="0"/>
            <w:noProof/>
            <w:webHidden/>
          </w:rPr>
          <w:fldChar w:fldCharType="separate"/>
        </w:r>
        <w:r w:rsidRPr="00D243F9">
          <w:rPr>
            <w:b w:val="0"/>
            <w:noProof/>
            <w:webHidden/>
          </w:rPr>
          <w:t>2</w:t>
        </w:r>
        <w:r w:rsidRPr="00D243F9">
          <w:rPr>
            <w:b w:val="0"/>
            <w:noProof/>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66" w:history="1">
        <w:r w:rsidR="00946D81" w:rsidRPr="00B70EB9">
          <w:rPr>
            <w:rStyle w:val="Hyperlink"/>
            <w:b/>
          </w:rPr>
          <w:t xml:space="preserve">1. </w:t>
        </w:r>
        <w:r w:rsidR="00946D81" w:rsidRPr="00FE2CC4">
          <w:rPr>
            <w:rStyle w:val="Hyperlink"/>
          </w:rPr>
          <w:t>Baseline aortic diameter distribution</w:t>
        </w:r>
        <w:r w:rsidR="00946D81">
          <w:rPr>
            <w:webHidden/>
          </w:rPr>
          <w:tab/>
        </w:r>
        <w:r w:rsidR="00946D81">
          <w:rPr>
            <w:webHidden/>
          </w:rPr>
          <w:fldChar w:fldCharType="begin"/>
        </w:r>
        <w:r w:rsidR="00946D81">
          <w:rPr>
            <w:webHidden/>
          </w:rPr>
          <w:instrText xml:space="preserve"> PAGEREF _Toc513707566 \h </w:instrText>
        </w:r>
        <w:r w:rsidR="00946D81">
          <w:rPr>
            <w:webHidden/>
          </w:rPr>
        </w:r>
        <w:r w:rsidR="00946D81">
          <w:rPr>
            <w:webHidden/>
          </w:rPr>
          <w:fldChar w:fldCharType="separate"/>
        </w:r>
        <w:r w:rsidR="00946D81">
          <w:rPr>
            <w:webHidden/>
          </w:rPr>
          <w:t>3</w:t>
        </w:r>
        <w:r w:rsidR="00946D81">
          <w:rPr>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67" w:history="1">
        <w:r w:rsidR="00946D81" w:rsidRPr="00B70EB9">
          <w:rPr>
            <w:rStyle w:val="Hyperlink"/>
            <w:b/>
          </w:rPr>
          <w:t xml:space="preserve">2. </w:t>
        </w:r>
        <w:r w:rsidR="00946D81" w:rsidRPr="00FE2CC4">
          <w:rPr>
            <w:rStyle w:val="Hyperlink"/>
          </w:rPr>
          <w:t>An alternative diagnosis threshold for women</w:t>
        </w:r>
        <w:r w:rsidR="00946D81">
          <w:rPr>
            <w:webHidden/>
          </w:rPr>
          <w:tab/>
        </w:r>
        <w:r w:rsidR="00946D81">
          <w:rPr>
            <w:webHidden/>
          </w:rPr>
          <w:fldChar w:fldCharType="begin"/>
        </w:r>
        <w:r w:rsidR="00946D81">
          <w:rPr>
            <w:webHidden/>
          </w:rPr>
          <w:instrText xml:space="preserve"> PAGEREF _Toc513707567 \h </w:instrText>
        </w:r>
        <w:r w:rsidR="00946D81">
          <w:rPr>
            <w:webHidden/>
          </w:rPr>
        </w:r>
        <w:r w:rsidR="00946D81">
          <w:rPr>
            <w:webHidden/>
          </w:rPr>
          <w:fldChar w:fldCharType="separate"/>
        </w:r>
        <w:r w:rsidR="00946D81">
          <w:rPr>
            <w:webHidden/>
          </w:rPr>
          <w:t>3</w:t>
        </w:r>
        <w:r w:rsidR="00946D81">
          <w:rPr>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68" w:history="1">
        <w:r w:rsidR="00946D81" w:rsidRPr="00B70EB9">
          <w:rPr>
            <w:rStyle w:val="Hyperlink"/>
            <w:b/>
          </w:rPr>
          <w:t>3.</w:t>
        </w:r>
        <w:r w:rsidR="00946D81" w:rsidRPr="00FE2CC4">
          <w:rPr>
            <w:rStyle w:val="Hyperlink"/>
          </w:rPr>
          <w:t xml:space="preserve"> A model for aortic growth</w:t>
        </w:r>
        <w:r w:rsidR="00946D81">
          <w:rPr>
            <w:webHidden/>
          </w:rPr>
          <w:tab/>
        </w:r>
        <w:r w:rsidR="00946D81">
          <w:rPr>
            <w:webHidden/>
          </w:rPr>
          <w:fldChar w:fldCharType="begin"/>
        </w:r>
        <w:r w:rsidR="00946D81">
          <w:rPr>
            <w:webHidden/>
          </w:rPr>
          <w:instrText xml:space="preserve"> PAGEREF _Toc513707568 \h </w:instrText>
        </w:r>
        <w:r w:rsidR="00946D81">
          <w:rPr>
            <w:webHidden/>
          </w:rPr>
        </w:r>
        <w:r w:rsidR="00946D81">
          <w:rPr>
            <w:webHidden/>
          </w:rPr>
          <w:fldChar w:fldCharType="separate"/>
        </w:r>
        <w:r w:rsidR="00946D81">
          <w:rPr>
            <w:webHidden/>
          </w:rPr>
          <w:t>3</w:t>
        </w:r>
        <w:r w:rsidR="00946D81">
          <w:rPr>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69" w:history="1">
        <w:r w:rsidR="00946D81" w:rsidRPr="00B70EB9">
          <w:rPr>
            <w:rStyle w:val="Hyperlink"/>
            <w:b/>
          </w:rPr>
          <w:t>4.</w:t>
        </w:r>
        <w:r w:rsidR="00946D81" w:rsidRPr="00FE2CC4">
          <w:rPr>
            <w:rStyle w:val="Hyperlink"/>
          </w:rPr>
          <w:t xml:space="preserve"> Operative mortality and non-intervention rates</w:t>
        </w:r>
        <w:r w:rsidR="00946D81">
          <w:rPr>
            <w:webHidden/>
          </w:rPr>
          <w:tab/>
        </w:r>
        <w:r w:rsidR="00946D81">
          <w:rPr>
            <w:webHidden/>
          </w:rPr>
          <w:fldChar w:fldCharType="begin"/>
        </w:r>
        <w:r w:rsidR="00946D81">
          <w:rPr>
            <w:webHidden/>
          </w:rPr>
          <w:instrText xml:space="preserve"> PAGEREF _Toc513707569 \h </w:instrText>
        </w:r>
        <w:r w:rsidR="00946D81">
          <w:rPr>
            <w:webHidden/>
          </w:rPr>
        </w:r>
        <w:r w:rsidR="00946D81">
          <w:rPr>
            <w:webHidden/>
          </w:rPr>
          <w:fldChar w:fldCharType="separate"/>
        </w:r>
        <w:r w:rsidR="00946D81">
          <w:rPr>
            <w:webHidden/>
          </w:rPr>
          <w:t>5</w:t>
        </w:r>
        <w:r w:rsidR="00946D81">
          <w:rPr>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70" w:history="1">
        <w:r w:rsidR="00946D81" w:rsidRPr="00B70EB9">
          <w:rPr>
            <w:rStyle w:val="Hyperlink"/>
            <w:b/>
          </w:rPr>
          <w:t>5</w:t>
        </w:r>
        <w:r w:rsidR="00946D81" w:rsidRPr="00FE2CC4">
          <w:rPr>
            <w:rStyle w:val="Hyperlink"/>
          </w:rPr>
          <w:t>. Incidental detection rate</w:t>
        </w:r>
        <w:r w:rsidR="00946D81">
          <w:rPr>
            <w:webHidden/>
          </w:rPr>
          <w:tab/>
        </w:r>
        <w:r w:rsidR="00946D81">
          <w:rPr>
            <w:webHidden/>
          </w:rPr>
          <w:fldChar w:fldCharType="begin"/>
        </w:r>
        <w:r w:rsidR="00946D81">
          <w:rPr>
            <w:webHidden/>
          </w:rPr>
          <w:instrText xml:space="preserve"> PAGEREF _Toc513707570 \h </w:instrText>
        </w:r>
        <w:r w:rsidR="00946D81">
          <w:rPr>
            <w:webHidden/>
          </w:rPr>
        </w:r>
        <w:r w:rsidR="00946D81">
          <w:rPr>
            <w:webHidden/>
          </w:rPr>
          <w:fldChar w:fldCharType="separate"/>
        </w:r>
        <w:r w:rsidR="00946D81">
          <w:rPr>
            <w:webHidden/>
          </w:rPr>
          <w:t>6</w:t>
        </w:r>
        <w:r w:rsidR="00946D81">
          <w:rPr>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71" w:history="1">
        <w:r w:rsidR="00946D81" w:rsidRPr="00B70EB9">
          <w:rPr>
            <w:rStyle w:val="Hyperlink"/>
            <w:b/>
          </w:rPr>
          <w:t>6.</w:t>
        </w:r>
        <w:r w:rsidR="00946D81" w:rsidRPr="00FE2CC4">
          <w:rPr>
            <w:rStyle w:val="Hyperlink"/>
          </w:rPr>
          <w:t xml:space="preserve"> Cost discounting</w:t>
        </w:r>
        <w:r w:rsidR="00946D81">
          <w:rPr>
            <w:webHidden/>
          </w:rPr>
          <w:tab/>
        </w:r>
        <w:r w:rsidR="00946D81">
          <w:rPr>
            <w:webHidden/>
          </w:rPr>
          <w:fldChar w:fldCharType="begin"/>
        </w:r>
        <w:r w:rsidR="00946D81">
          <w:rPr>
            <w:webHidden/>
          </w:rPr>
          <w:instrText xml:space="preserve"> PAGEREF _Toc513707571 \h </w:instrText>
        </w:r>
        <w:r w:rsidR="00946D81">
          <w:rPr>
            <w:webHidden/>
          </w:rPr>
        </w:r>
        <w:r w:rsidR="00946D81">
          <w:rPr>
            <w:webHidden/>
          </w:rPr>
          <w:fldChar w:fldCharType="separate"/>
        </w:r>
        <w:r w:rsidR="00946D81">
          <w:rPr>
            <w:webHidden/>
          </w:rPr>
          <w:t>6</w:t>
        </w:r>
        <w:r w:rsidR="00946D81">
          <w:rPr>
            <w:webHidden/>
          </w:rPr>
          <w:fldChar w:fldCharType="end"/>
        </w:r>
      </w:hyperlink>
    </w:p>
    <w:p w:rsidR="00946D81" w:rsidRPr="00B70EB9" w:rsidRDefault="00946D81" w:rsidP="00B70EB9">
      <w:pPr>
        <w:pStyle w:val="TableofFigures"/>
        <w:tabs>
          <w:tab w:val="right" w:leader="dot" w:pos="9016"/>
        </w:tabs>
        <w:rPr>
          <w:rStyle w:val="Hyperlink"/>
          <w:noProof/>
          <w:sz w:val="10"/>
          <w:szCs w:val="10"/>
        </w:rPr>
      </w:pPr>
    </w:p>
    <w:p w:rsidR="00946D81" w:rsidRDefault="00DF0744" w:rsidP="00B70EB9">
      <w:pPr>
        <w:pStyle w:val="TableofFigures"/>
        <w:tabs>
          <w:tab w:val="right" w:leader="dot" w:pos="9016"/>
        </w:tabs>
        <w:rPr>
          <w:rStyle w:val="Hyperlink"/>
          <w:noProof/>
        </w:rPr>
      </w:pPr>
      <w:hyperlink w:anchor="_Toc513707206" w:history="1">
        <w:r w:rsidR="00946D81" w:rsidRPr="00977794">
          <w:rPr>
            <w:rStyle w:val="Hyperlink"/>
            <w:noProof/>
          </w:rPr>
          <w:t xml:space="preserve">Supplementary Table  1. </w:t>
        </w:r>
        <w:r w:rsidR="00946D81" w:rsidRPr="00B70EB9">
          <w:rPr>
            <w:rStyle w:val="Hyperlink"/>
            <w:b w:val="0"/>
            <w:noProof/>
          </w:rPr>
          <w:t>Input parameters for the reference case, probability distributions used in probabilistic sensitivity analyses (PSA) and deterministic sensitivity analyses (DSA) inputs</w:t>
        </w:r>
        <w:r w:rsidR="00946D81" w:rsidRPr="00B70EB9">
          <w:rPr>
            <w:b w:val="0"/>
            <w:noProof/>
            <w:webHidden/>
          </w:rPr>
          <w:tab/>
        </w:r>
        <w:r w:rsidR="00946D81" w:rsidRPr="00B70EB9">
          <w:rPr>
            <w:b w:val="0"/>
            <w:noProof/>
            <w:webHidden/>
          </w:rPr>
          <w:fldChar w:fldCharType="begin"/>
        </w:r>
        <w:r w:rsidR="00946D81" w:rsidRPr="00B70EB9">
          <w:rPr>
            <w:b w:val="0"/>
            <w:noProof/>
            <w:webHidden/>
          </w:rPr>
          <w:instrText xml:space="preserve"> PAGEREF _Toc513707206 \h </w:instrText>
        </w:r>
        <w:r w:rsidR="00946D81" w:rsidRPr="00B70EB9">
          <w:rPr>
            <w:b w:val="0"/>
            <w:noProof/>
            <w:webHidden/>
          </w:rPr>
        </w:r>
        <w:r w:rsidR="00946D81" w:rsidRPr="00B70EB9">
          <w:rPr>
            <w:b w:val="0"/>
            <w:noProof/>
            <w:webHidden/>
          </w:rPr>
          <w:fldChar w:fldCharType="separate"/>
        </w:r>
        <w:r w:rsidR="00946D81" w:rsidRPr="00B70EB9">
          <w:rPr>
            <w:b w:val="0"/>
            <w:noProof/>
            <w:webHidden/>
          </w:rPr>
          <w:t>7</w:t>
        </w:r>
        <w:r w:rsidR="00946D81" w:rsidRPr="00B70EB9">
          <w:rPr>
            <w:b w:val="0"/>
            <w:noProof/>
            <w:webHidden/>
          </w:rPr>
          <w:fldChar w:fldCharType="end"/>
        </w:r>
      </w:hyperlink>
    </w:p>
    <w:p w:rsidR="00946D81" w:rsidRDefault="00DF0744" w:rsidP="00B64BC6">
      <w:pPr>
        <w:pStyle w:val="TOC2"/>
        <w:ind w:left="0"/>
        <w:rPr>
          <w:rFonts w:eastAsiaTheme="minorEastAsia" w:cstheme="minorBidi"/>
          <w:i/>
          <w:sz w:val="22"/>
          <w:szCs w:val="22"/>
          <w:lang w:eastAsia="en-GB"/>
        </w:rPr>
      </w:pPr>
      <w:hyperlink w:anchor="_Toc513707572" w:history="1">
        <w:r w:rsidR="00946D81" w:rsidRPr="00B70EB9">
          <w:rPr>
            <w:rStyle w:val="Hyperlink"/>
            <w:b/>
          </w:rPr>
          <w:t xml:space="preserve">7. </w:t>
        </w:r>
        <w:r w:rsidR="00946D81" w:rsidRPr="00FE2CC4">
          <w:rPr>
            <w:rStyle w:val="Hyperlink"/>
          </w:rPr>
          <w:t>Patient and public involvement</w:t>
        </w:r>
        <w:r w:rsidR="00946D81">
          <w:rPr>
            <w:webHidden/>
          </w:rPr>
          <w:tab/>
        </w:r>
        <w:r w:rsidR="00946D81">
          <w:rPr>
            <w:webHidden/>
          </w:rPr>
          <w:fldChar w:fldCharType="begin"/>
        </w:r>
        <w:r w:rsidR="00946D81">
          <w:rPr>
            <w:webHidden/>
          </w:rPr>
          <w:instrText xml:space="preserve"> PAGEREF _Toc513707572 \h </w:instrText>
        </w:r>
        <w:r w:rsidR="00946D81">
          <w:rPr>
            <w:webHidden/>
          </w:rPr>
        </w:r>
        <w:r w:rsidR="00946D81">
          <w:rPr>
            <w:webHidden/>
          </w:rPr>
          <w:fldChar w:fldCharType="separate"/>
        </w:r>
        <w:r w:rsidR="00946D81">
          <w:rPr>
            <w:webHidden/>
          </w:rPr>
          <w:t>11</w:t>
        </w:r>
        <w:r w:rsidR="00946D81">
          <w:rPr>
            <w:webHidden/>
          </w:rPr>
          <w:fldChar w:fldCharType="end"/>
        </w:r>
      </w:hyperlink>
    </w:p>
    <w:p w:rsidR="00946D81" w:rsidRDefault="00946D81" w:rsidP="00B70EB9"/>
    <w:p w:rsidR="00946D81" w:rsidRPr="00B70EB9" w:rsidRDefault="00946D81" w:rsidP="00B70EB9"/>
    <w:p w:rsidR="00946D81" w:rsidRDefault="00946D81" w:rsidP="00634673">
      <w:pPr>
        <w:spacing w:before="120"/>
        <w:jc w:val="both"/>
      </w:pPr>
      <w:r>
        <w:rPr>
          <w:rFonts w:cstheme="minorHAnsi"/>
          <w:bCs/>
          <w:sz w:val="20"/>
          <w:szCs w:val="20"/>
        </w:rPr>
        <w:fldChar w:fldCharType="end"/>
      </w:r>
      <w:r w:rsidRPr="00D77197">
        <w:rPr>
          <w:b/>
          <w:u w:val="single"/>
        </w:rPr>
        <w:t>Supplementary Results</w:t>
      </w:r>
    </w:p>
    <w:p w:rsidR="00946D81" w:rsidRPr="00D243F9" w:rsidRDefault="00DF0744" w:rsidP="00D243F9">
      <w:pPr>
        <w:pStyle w:val="TableofFigures"/>
        <w:tabs>
          <w:tab w:val="right" w:leader="dot" w:pos="9016"/>
        </w:tabs>
        <w:rPr>
          <w:rFonts w:eastAsiaTheme="minorEastAsia" w:cstheme="minorBidi"/>
          <w:b w:val="0"/>
          <w:bCs w:val="0"/>
          <w:noProof/>
          <w:color w:val="000000" w:themeColor="text1"/>
          <w:sz w:val="22"/>
          <w:szCs w:val="22"/>
          <w:lang w:eastAsia="en-GB"/>
        </w:rPr>
      </w:pPr>
      <w:hyperlink w:anchor="_Toc513706977" w:history="1">
        <w:r w:rsidR="00946D81" w:rsidRPr="00D243F9">
          <w:rPr>
            <w:rStyle w:val="Hyperlink"/>
            <w:noProof/>
            <w:color w:val="000000" w:themeColor="text1"/>
          </w:rPr>
          <w:t>Supplementary Figure 2.</w:t>
        </w:r>
        <w:r w:rsidR="00946D81" w:rsidRPr="00D243F9">
          <w:rPr>
            <w:rStyle w:val="Hyperlink"/>
            <w:b w:val="0"/>
            <w:noProof/>
            <w:color w:val="000000" w:themeColor="text1"/>
          </w:rPr>
          <w:t xml:space="preserve"> A) Cumulative elective operations and B) cumulative emergency operations in the invited to screening vs. not invited to screening groups in the reference case per 1 million women. C) Cumulative elective operations and D) cumulative emergency operations in the invited to screening vs. not invited to screening groups in the best alternative strategy per 1 million women.</w:t>
        </w:r>
        <w:r w:rsidR="00946D81" w:rsidRPr="00D243F9">
          <w:rPr>
            <w:b w:val="0"/>
            <w:noProof/>
            <w:webHidden/>
            <w:color w:val="000000" w:themeColor="text1"/>
          </w:rPr>
          <w:tab/>
        </w:r>
        <w:r w:rsidR="00946D81" w:rsidRPr="00D243F9">
          <w:rPr>
            <w:b w:val="0"/>
            <w:noProof/>
            <w:webHidden/>
            <w:color w:val="000000" w:themeColor="text1"/>
          </w:rPr>
          <w:fldChar w:fldCharType="begin"/>
        </w:r>
        <w:r w:rsidR="00946D81" w:rsidRPr="00D243F9">
          <w:rPr>
            <w:b w:val="0"/>
            <w:noProof/>
            <w:webHidden/>
            <w:color w:val="000000" w:themeColor="text1"/>
          </w:rPr>
          <w:instrText xml:space="preserve"> PAGEREF _Toc513706977 \h </w:instrText>
        </w:r>
        <w:r w:rsidR="00946D81" w:rsidRPr="00D243F9">
          <w:rPr>
            <w:b w:val="0"/>
            <w:noProof/>
            <w:webHidden/>
            <w:color w:val="000000" w:themeColor="text1"/>
          </w:rPr>
        </w:r>
        <w:r w:rsidR="00946D81" w:rsidRPr="00D243F9">
          <w:rPr>
            <w:b w:val="0"/>
            <w:noProof/>
            <w:webHidden/>
            <w:color w:val="000000" w:themeColor="text1"/>
          </w:rPr>
          <w:fldChar w:fldCharType="separate"/>
        </w:r>
        <w:r w:rsidR="00946D81" w:rsidRPr="00D243F9">
          <w:rPr>
            <w:b w:val="0"/>
            <w:noProof/>
            <w:webHidden/>
            <w:color w:val="000000" w:themeColor="text1"/>
          </w:rPr>
          <w:t>13</w:t>
        </w:r>
        <w:r w:rsidR="00946D81" w:rsidRPr="00D243F9">
          <w:rPr>
            <w:b w:val="0"/>
            <w:noProof/>
            <w:webHidden/>
            <w:color w:val="000000" w:themeColor="text1"/>
          </w:rPr>
          <w:fldChar w:fldCharType="end"/>
        </w:r>
      </w:hyperlink>
    </w:p>
    <w:p w:rsidR="00946D81" w:rsidRPr="00D243F9" w:rsidRDefault="00DF0744" w:rsidP="00D243F9">
      <w:pPr>
        <w:pStyle w:val="TableofFigures"/>
        <w:tabs>
          <w:tab w:val="right" w:leader="dot" w:pos="9016"/>
        </w:tabs>
        <w:rPr>
          <w:rFonts w:eastAsiaTheme="minorEastAsia" w:cstheme="minorBidi"/>
          <w:b w:val="0"/>
          <w:bCs w:val="0"/>
          <w:noProof/>
          <w:color w:val="000000" w:themeColor="text1"/>
          <w:sz w:val="22"/>
          <w:szCs w:val="22"/>
          <w:lang w:eastAsia="en-GB"/>
        </w:rPr>
      </w:pPr>
      <w:hyperlink w:anchor="_Toc513706978" w:history="1">
        <w:r w:rsidR="00946D81" w:rsidRPr="00D243F9">
          <w:rPr>
            <w:rStyle w:val="Hyperlink"/>
            <w:noProof/>
            <w:color w:val="000000" w:themeColor="text1"/>
          </w:rPr>
          <w:t>Supplementary Figure 3.</w:t>
        </w:r>
        <w:r w:rsidR="00946D81" w:rsidRPr="00D243F9">
          <w:rPr>
            <w:rStyle w:val="Hyperlink"/>
            <w:b w:val="0"/>
            <w:noProof/>
            <w:color w:val="000000" w:themeColor="text1"/>
          </w:rPr>
          <w:t xml:space="preserve">  Estimates of a) incremental QALYs, b) costs and c) the cost-effectiveness ratio over time in the reference case, up to 30 years after invitation to screening.</w:t>
        </w:r>
        <w:r w:rsidR="00946D81" w:rsidRPr="00D243F9">
          <w:rPr>
            <w:b w:val="0"/>
            <w:noProof/>
            <w:webHidden/>
            <w:color w:val="000000" w:themeColor="text1"/>
          </w:rPr>
          <w:tab/>
        </w:r>
        <w:r w:rsidR="00946D81" w:rsidRPr="00D243F9">
          <w:rPr>
            <w:b w:val="0"/>
            <w:noProof/>
            <w:webHidden/>
            <w:color w:val="000000" w:themeColor="text1"/>
          </w:rPr>
          <w:fldChar w:fldCharType="begin"/>
        </w:r>
        <w:r w:rsidR="00946D81" w:rsidRPr="00D243F9">
          <w:rPr>
            <w:b w:val="0"/>
            <w:noProof/>
            <w:webHidden/>
            <w:color w:val="000000" w:themeColor="text1"/>
          </w:rPr>
          <w:instrText xml:space="preserve"> PAGEREF _Toc513706978 \h </w:instrText>
        </w:r>
        <w:r w:rsidR="00946D81" w:rsidRPr="00D243F9">
          <w:rPr>
            <w:b w:val="0"/>
            <w:noProof/>
            <w:webHidden/>
            <w:color w:val="000000" w:themeColor="text1"/>
          </w:rPr>
        </w:r>
        <w:r w:rsidR="00946D81" w:rsidRPr="00D243F9">
          <w:rPr>
            <w:b w:val="0"/>
            <w:noProof/>
            <w:webHidden/>
            <w:color w:val="000000" w:themeColor="text1"/>
          </w:rPr>
          <w:fldChar w:fldCharType="separate"/>
        </w:r>
        <w:r w:rsidR="00946D81" w:rsidRPr="00D243F9">
          <w:rPr>
            <w:b w:val="0"/>
            <w:noProof/>
            <w:webHidden/>
            <w:color w:val="000000" w:themeColor="text1"/>
          </w:rPr>
          <w:t>14</w:t>
        </w:r>
        <w:r w:rsidR="00946D81" w:rsidRPr="00D243F9">
          <w:rPr>
            <w:b w:val="0"/>
            <w:noProof/>
            <w:webHidden/>
            <w:color w:val="000000" w:themeColor="text1"/>
          </w:rPr>
          <w:fldChar w:fldCharType="end"/>
        </w:r>
      </w:hyperlink>
    </w:p>
    <w:p w:rsidR="00946D81" w:rsidRPr="00D243F9" w:rsidRDefault="00DF0744" w:rsidP="00D243F9">
      <w:pPr>
        <w:pStyle w:val="TableofFigures"/>
        <w:tabs>
          <w:tab w:val="right" w:leader="dot" w:pos="9016"/>
        </w:tabs>
        <w:rPr>
          <w:rFonts w:eastAsiaTheme="minorEastAsia" w:cstheme="minorBidi"/>
          <w:b w:val="0"/>
          <w:bCs w:val="0"/>
          <w:noProof/>
          <w:color w:val="000000" w:themeColor="text1"/>
          <w:sz w:val="22"/>
          <w:szCs w:val="22"/>
          <w:lang w:eastAsia="en-GB"/>
        </w:rPr>
      </w:pPr>
      <w:hyperlink w:anchor="_Toc513706979" w:history="1">
        <w:r w:rsidR="00946D81" w:rsidRPr="00D243F9">
          <w:rPr>
            <w:rStyle w:val="Hyperlink"/>
            <w:noProof/>
            <w:color w:val="000000" w:themeColor="text1"/>
          </w:rPr>
          <w:t xml:space="preserve">Supplementary Figure 4. </w:t>
        </w:r>
        <w:r w:rsidR="00946D81" w:rsidRPr="00D243F9">
          <w:rPr>
            <w:rStyle w:val="Hyperlink"/>
            <w:b w:val="0"/>
            <w:noProof/>
            <w:color w:val="000000" w:themeColor="text1"/>
          </w:rPr>
          <w:t>Cost-effectiveness of invitation to AAA screening with 1,000 probabilistic sensitivity analysis iterations for A) the reference case, and B) the best alternative screening strategy. The blue and red lines indicate willingness-to-pay thresholds of £20,000 and £30,000 per QALY.</w:t>
        </w:r>
        <w:r w:rsidR="00946D81" w:rsidRPr="00D243F9">
          <w:rPr>
            <w:b w:val="0"/>
            <w:noProof/>
            <w:webHidden/>
            <w:color w:val="000000" w:themeColor="text1"/>
          </w:rPr>
          <w:tab/>
        </w:r>
        <w:r w:rsidR="00946D81" w:rsidRPr="00D243F9">
          <w:rPr>
            <w:b w:val="0"/>
            <w:noProof/>
            <w:webHidden/>
            <w:color w:val="000000" w:themeColor="text1"/>
          </w:rPr>
          <w:fldChar w:fldCharType="begin"/>
        </w:r>
        <w:r w:rsidR="00946D81" w:rsidRPr="00D243F9">
          <w:rPr>
            <w:b w:val="0"/>
            <w:noProof/>
            <w:webHidden/>
            <w:color w:val="000000" w:themeColor="text1"/>
          </w:rPr>
          <w:instrText xml:space="preserve"> PAGEREF _Toc513706979 \h </w:instrText>
        </w:r>
        <w:r w:rsidR="00946D81" w:rsidRPr="00D243F9">
          <w:rPr>
            <w:b w:val="0"/>
            <w:noProof/>
            <w:webHidden/>
            <w:color w:val="000000" w:themeColor="text1"/>
          </w:rPr>
        </w:r>
        <w:r w:rsidR="00946D81" w:rsidRPr="00D243F9">
          <w:rPr>
            <w:b w:val="0"/>
            <w:noProof/>
            <w:webHidden/>
            <w:color w:val="000000" w:themeColor="text1"/>
          </w:rPr>
          <w:fldChar w:fldCharType="separate"/>
        </w:r>
        <w:r w:rsidR="00946D81" w:rsidRPr="00D243F9">
          <w:rPr>
            <w:b w:val="0"/>
            <w:noProof/>
            <w:webHidden/>
            <w:color w:val="000000" w:themeColor="text1"/>
          </w:rPr>
          <w:t>15</w:t>
        </w:r>
        <w:r w:rsidR="00946D81" w:rsidRPr="00D243F9">
          <w:rPr>
            <w:b w:val="0"/>
            <w:noProof/>
            <w:webHidden/>
            <w:color w:val="000000" w:themeColor="text1"/>
          </w:rPr>
          <w:fldChar w:fldCharType="end"/>
        </w:r>
      </w:hyperlink>
    </w:p>
    <w:p w:rsidR="00946D81" w:rsidRPr="00B70EB9" w:rsidRDefault="00946D81">
      <w:pPr>
        <w:pStyle w:val="TableofFigures"/>
        <w:tabs>
          <w:tab w:val="right" w:leader="dot" w:pos="9016"/>
        </w:tabs>
        <w:rPr>
          <w:rFonts w:eastAsiaTheme="minorEastAsia" w:cstheme="minorBidi"/>
          <w:b w:val="0"/>
          <w:bCs w:val="0"/>
          <w:noProof/>
          <w:sz w:val="10"/>
          <w:szCs w:val="10"/>
          <w:lang w:eastAsia="en-GB"/>
        </w:rPr>
      </w:pPr>
      <w:r>
        <w:rPr>
          <w:b w:val="0"/>
        </w:rPr>
        <w:fldChar w:fldCharType="begin"/>
      </w:r>
      <w:r>
        <w:rPr>
          <w:b w:val="0"/>
        </w:rPr>
        <w:instrText xml:space="preserve"> TOC \h \z \c "Supplementary Table " </w:instrText>
      </w:r>
      <w:r>
        <w:rPr>
          <w:b w:val="0"/>
        </w:rPr>
        <w:fldChar w:fldCharType="separate"/>
      </w:r>
    </w:p>
    <w:p w:rsidR="00946D81" w:rsidRDefault="00DF0744">
      <w:pPr>
        <w:pStyle w:val="TableofFigures"/>
        <w:tabs>
          <w:tab w:val="right" w:leader="dot" w:pos="9016"/>
        </w:tabs>
        <w:rPr>
          <w:rFonts w:eastAsiaTheme="minorEastAsia" w:cstheme="minorBidi"/>
          <w:b w:val="0"/>
          <w:bCs w:val="0"/>
          <w:noProof/>
          <w:sz w:val="22"/>
          <w:szCs w:val="22"/>
          <w:lang w:eastAsia="en-GB"/>
        </w:rPr>
      </w:pPr>
      <w:hyperlink w:anchor="_Toc513707207" w:history="1">
        <w:r w:rsidR="00946D81" w:rsidRPr="00977794">
          <w:rPr>
            <w:rStyle w:val="Hyperlink"/>
            <w:noProof/>
          </w:rPr>
          <w:t xml:space="preserve">Supplementary Table  2. </w:t>
        </w:r>
        <w:r w:rsidR="00946D81" w:rsidRPr="00B70EB9">
          <w:rPr>
            <w:rStyle w:val="Hyperlink"/>
            <w:b w:val="0"/>
            <w:noProof/>
          </w:rPr>
          <w:t>Numbers of AAA ruptures in the reference case and best alternative strategy, for 1 million women</w:t>
        </w:r>
        <w:r w:rsidR="00946D81" w:rsidRPr="00B70EB9">
          <w:rPr>
            <w:b w:val="0"/>
            <w:noProof/>
            <w:webHidden/>
          </w:rPr>
          <w:tab/>
        </w:r>
        <w:r w:rsidR="00946D81" w:rsidRPr="00B70EB9">
          <w:rPr>
            <w:b w:val="0"/>
            <w:noProof/>
            <w:webHidden/>
          </w:rPr>
          <w:fldChar w:fldCharType="begin"/>
        </w:r>
        <w:r w:rsidR="00946D81" w:rsidRPr="00B70EB9">
          <w:rPr>
            <w:b w:val="0"/>
            <w:noProof/>
            <w:webHidden/>
          </w:rPr>
          <w:instrText xml:space="preserve"> PAGEREF _Toc513707207 \h </w:instrText>
        </w:r>
        <w:r w:rsidR="00946D81" w:rsidRPr="00B70EB9">
          <w:rPr>
            <w:b w:val="0"/>
            <w:noProof/>
            <w:webHidden/>
          </w:rPr>
        </w:r>
        <w:r w:rsidR="00946D81" w:rsidRPr="00B70EB9">
          <w:rPr>
            <w:b w:val="0"/>
            <w:noProof/>
            <w:webHidden/>
          </w:rPr>
          <w:fldChar w:fldCharType="separate"/>
        </w:r>
        <w:r w:rsidR="00946D81" w:rsidRPr="00B70EB9">
          <w:rPr>
            <w:b w:val="0"/>
            <w:noProof/>
            <w:webHidden/>
          </w:rPr>
          <w:t>16</w:t>
        </w:r>
        <w:r w:rsidR="00946D81" w:rsidRPr="00B70EB9">
          <w:rPr>
            <w:b w:val="0"/>
            <w:noProof/>
            <w:webHidden/>
          </w:rPr>
          <w:fldChar w:fldCharType="end"/>
        </w:r>
      </w:hyperlink>
    </w:p>
    <w:p w:rsidR="00946D81" w:rsidRDefault="00DF0744">
      <w:pPr>
        <w:pStyle w:val="TableofFigures"/>
        <w:tabs>
          <w:tab w:val="right" w:leader="dot" w:pos="9016"/>
        </w:tabs>
        <w:rPr>
          <w:rFonts w:eastAsiaTheme="minorEastAsia" w:cstheme="minorBidi"/>
          <w:b w:val="0"/>
          <w:bCs w:val="0"/>
          <w:noProof/>
          <w:sz w:val="22"/>
          <w:szCs w:val="22"/>
          <w:lang w:eastAsia="en-GB"/>
        </w:rPr>
      </w:pPr>
      <w:hyperlink w:anchor="_Toc513707208" w:history="1">
        <w:r w:rsidR="00946D81" w:rsidRPr="00977794">
          <w:rPr>
            <w:rStyle w:val="Hyperlink"/>
            <w:noProof/>
          </w:rPr>
          <w:t xml:space="preserve">Supplementary Table  3. </w:t>
        </w:r>
        <w:r w:rsidR="00946D81" w:rsidRPr="00B70EB9">
          <w:rPr>
            <w:rStyle w:val="Hyperlink"/>
            <w:b w:val="0"/>
            <w:noProof/>
          </w:rPr>
          <w:t>Effect of health related quality of life decrements on mean QALYs and the incremental cost-effectiveness ratio</w:t>
        </w:r>
        <w:r w:rsidR="00946D81" w:rsidRPr="00B70EB9">
          <w:rPr>
            <w:b w:val="0"/>
            <w:noProof/>
            <w:webHidden/>
          </w:rPr>
          <w:tab/>
        </w:r>
        <w:r w:rsidR="00946D81" w:rsidRPr="00B70EB9">
          <w:rPr>
            <w:b w:val="0"/>
            <w:noProof/>
            <w:webHidden/>
          </w:rPr>
          <w:fldChar w:fldCharType="begin"/>
        </w:r>
        <w:r w:rsidR="00946D81" w:rsidRPr="00B70EB9">
          <w:rPr>
            <w:b w:val="0"/>
            <w:noProof/>
            <w:webHidden/>
          </w:rPr>
          <w:instrText xml:space="preserve"> PAGEREF _Toc513707208 \h </w:instrText>
        </w:r>
        <w:r w:rsidR="00946D81" w:rsidRPr="00B70EB9">
          <w:rPr>
            <w:b w:val="0"/>
            <w:noProof/>
            <w:webHidden/>
          </w:rPr>
        </w:r>
        <w:r w:rsidR="00946D81" w:rsidRPr="00B70EB9">
          <w:rPr>
            <w:b w:val="0"/>
            <w:noProof/>
            <w:webHidden/>
          </w:rPr>
          <w:fldChar w:fldCharType="separate"/>
        </w:r>
        <w:r w:rsidR="00946D81" w:rsidRPr="00B70EB9">
          <w:rPr>
            <w:b w:val="0"/>
            <w:noProof/>
            <w:webHidden/>
          </w:rPr>
          <w:t>17</w:t>
        </w:r>
        <w:r w:rsidR="00946D81" w:rsidRPr="00B70EB9">
          <w:rPr>
            <w:b w:val="0"/>
            <w:noProof/>
            <w:webHidden/>
          </w:rPr>
          <w:fldChar w:fldCharType="end"/>
        </w:r>
      </w:hyperlink>
    </w:p>
    <w:p w:rsidR="00946D81" w:rsidRDefault="00946D81" w:rsidP="009B28F1">
      <w:pPr>
        <w:jc w:val="both"/>
        <w:rPr>
          <w:b/>
        </w:rPr>
      </w:pPr>
      <w:r>
        <w:rPr>
          <w:b/>
        </w:rPr>
        <w:fldChar w:fldCharType="end"/>
      </w:r>
    </w:p>
    <w:p w:rsidR="00946D81" w:rsidRPr="00B70EB9" w:rsidRDefault="00DF0744" w:rsidP="00B70EB9">
      <w:pPr>
        <w:pStyle w:val="TOC2"/>
        <w:ind w:left="0"/>
        <w:rPr>
          <w:rFonts w:eastAsiaTheme="minorEastAsia" w:cstheme="minorBidi"/>
          <w:sz w:val="22"/>
          <w:szCs w:val="22"/>
          <w:lang w:eastAsia="en-GB"/>
        </w:rPr>
      </w:pPr>
      <w:hyperlink w:anchor="_Toc513707573" w:history="1">
        <w:r w:rsidR="00946D81" w:rsidRPr="00B70EB9">
          <w:rPr>
            <w:rStyle w:val="Hyperlink"/>
            <w:b/>
            <w:i/>
            <w:sz w:val="22"/>
            <w:szCs w:val="22"/>
          </w:rPr>
          <w:t>References</w:t>
        </w:r>
        <w:r w:rsidR="00946D81" w:rsidRPr="00B70EB9">
          <w:rPr>
            <w:webHidden/>
          </w:rPr>
          <w:tab/>
        </w:r>
        <w:r w:rsidR="00946D81" w:rsidRPr="00B70EB9">
          <w:rPr>
            <w:webHidden/>
          </w:rPr>
          <w:fldChar w:fldCharType="begin"/>
        </w:r>
        <w:r w:rsidR="00946D81" w:rsidRPr="00B70EB9">
          <w:rPr>
            <w:webHidden/>
          </w:rPr>
          <w:instrText xml:space="preserve"> PAGEREF _Toc513707573 \h </w:instrText>
        </w:r>
        <w:r w:rsidR="00946D81" w:rsidRPr="00B70EB9">
          <w:rPr>
            <w:webHidden/>
          </w:rPr>
        </w:r>
        <w:r w:rsidR="00946D81" w:rsidRPr="00B70EB9">
          <w:rPr>
            <w:webHidden/>
          </w:rPr>
          <w:fldChar w:fldCharType="separate"/>
        </w:r>
        <w:r w:rsidR="00946D81" w:rsidRPr="00B70EB9">
          <w:rPr>
            <w:webHidden/>
          </w:rPr>
          <w:t>18</w:t>
        </w:r>
        <w:r w:rsidR="00946D81" w:rsidRPr="00B70EB9">
          <w:rPr>
            <w:webHidden/>
          </w:rPr>
          <w:fldChar w:fldCharType="end"/>
        </w:r>
      </w:hyperlink>
    </w:p>
    <w:p w:rsidR="00946D81" w:rsidRDefault="00946D81" w:rsidP="009B28F1">
      <w:pPr>
        <w:jc w:val="both"/>
        <w:rPr>
          <w:b/>
        </w:rPr>
        <w:sectPr w:rsidR="00946D81" w:rsidSect="00946D81">
          <w:footerReference w:type="default" r:id="rId7"/>
          <w:pgSz w:w="11906" w:h="16838"/>
          <w:pgMar w:top="1440" w:right="1440" w:bottom="1440" w:left="1440" w:header="708" w:footer="708" w:gutter="0"/>
          <w:lnNumType w:countBy="1" w:restart="continuous"/>
          <w:cols w:space="708"/>
          <w:docGrid w:linePitch="360"/>
        </w:sectPr>
      </w:pPr>
    </w:p>
    <w:p w:rsidR="00946D81" w:rsidRPr="00D44446" w:rsidRDefault="00946D81" w:rsidP="007B5C4B">
      <w:pPr>
        <w:pStyle w:val="Caption"/>
        <w:rPr>
          <w:rFonts w:asciiTheme="minorHAnsi" w:hAnsiTheme="minorHAnsi" w:cstheme="minorHAnsi"/>
          <w:color w:val="000000" w:themeColor="text1"/>
          <w:sz w:val="24"/>
          <w:szCs w:val="24"/>
        </w:rPr>
      </w:pPr>
      <w:bookmarkStart w:id="1" w:name="_Toc504636952"/>
      <w:bookmarkStart w:id="2" w:name="_Toc504637576"/>
      <w:bookmarkStart w:id="3" w:name="_Toc504637653"/>
      <w:bookmarkStart w:id="4" w:name="_Toc504637771"/>
      <w:r w:rsidRPr="00D44446">
        <w:rPr>
          <w:rFonts w:asciiTheme="minorHAnsi" w:hAnsiTheme="minorHAnsi" w:cstheme="minorHAnsi"/>
          <w:color w:val="000000" w:themeColor="text1"/>
          <w:sz w:val="24"/>
          <w:szCs w:val="24"/>
        </w:rPr>
        <w:lastRenderedPageBreak/>
        <w:t>Supplementary Methods</w:t>
      </w:r>
    </w:p>
    <w:p w:rsidR="00946D81" w:rsidRDefault="00946D81" w:rsidP="00B6492C">
      <w:pPr>
        <w:pStyle w:val="Caption"/>
        <w:rPr>
          <w:rFonts w:asciiTheme="minorHAnsi" w:hAnsiTheme="minorHAnsi" w:cstheme="minorHAnsi"/>
          <w:b w:val="0"/>
          <w:color w:val="000000" w:themeColor="text1"/>
          <w:sz w:val="22"/>
          <w:szCs w:val="22"/>
        </w:rPr>
      </w:pPr>
      <w:bookmarkStart w:id="5" w:name="_Toc513462284"/>
      <w:bookmarkStart w:id="6" w:name="_Toc513706976"/>
      <w:r w:rsidRPr="00B6492C">
        <w:rPr>
          <w:rFonts w:asciiTheme="minorHAnsi" w:hAnsiTheme="minorHAnsi" w:cstheme="minorHAnsi"/>
          <w:color w:val="000000" w:themeColor="text1"/>
          <w:sz w:val="22"/>
          <w:szCs w:val="22"/>
        </w:rPr>
        <w:t xml:space="preserve">Supplementary Figure </w:t>
      </w:r>
      <w:r w:rsidRPr="00B6492C">
        <w:rPr>
          <w:rFonts w:asciiTheme="minorHAnsi" w:hAnsiTheme="minorHAnsi" w:cstheme="minorHAnsi"/>
          <w:color w:val="000000" w:themeColor="text1"/>
          <w:sz w:val="22"/>
          <w:szCs w:val="22"/>
        </w:rPr>
        <w:fldChar w:fldCharType="begin"/>
      </w:r>
      <w:r w:rsidRPr="00B6492C">
        <w:rPr>
          <w:rFonts w:asciiTheme="minorHAnsi" w:hAnsiTheme="minorHAnsi" w:cstheme="minorHAnsi"/>
          <w:color w:val="000000" w:themeColor="text1"/>
          <w:sz w:val="22"/>
          <w:szCs w:val="22"/>
        </w:rPr>
        <w:instrText xml:space="preserve"> SEQ Supplementary_Figure \* ARABIC </w:instrText>
      </w:r>
      <w:r w:rsidRPr="00B6492C">
        <w:rPr>
          <w:rFonts w:asciiTheme="minorHAnsi" w:hAnsiTheme="minorHAnsi" w:cstheme="minorHAnsi"/>
          <w:color w:val="000000" w:themeColor="text1"/>
          <w:sz w:val="22"/>
          <w:szCs w:val="22"/>
        </w:rPr>
        <w:fldChar w:fldCharType="separate"/>
      </w:r>
      <w:r>
        <w:rPr>
          <w:rFonts w:asciiTheme="minorHAnsi" w:hAnsiTheme="minorHAnsi" w:cstheme="minorHAnsi"/>
          <w:noProof/>
          <w:color w:val="000000" w:themeColor="text1"/>
          <w:sz w:val="22"/>
          <w:szCs w:val="22"/>
        </w:rPr>
        <w:t>1</w:t>
      </w:r>
      <w:r w:rsidRPr="00B6492C">
        <w:rPr>
          <w:rFonts w:asciiTheme="minorHAnsi" w:hAnsiTheme="minorHAnsi" w:cstheme="minorHAnsi"/>
          <w:color w:val="000000" w:themeColor="text1"/>
          <w:sz w:val="22"/>
          <w:szCs w:val="22"/>
        </w:rPr>
        <w:fldChar w:fldCharType="end"/>
      </w:r>
      <w:r w:rsidRPr="00ED7799">
        <w:rPr>
          <w:b w:val="0"/>
          <w:noProof/>
        </w:rPr>
        <mc:AlternateContent>
          <mc:Choice Requires="wpg">
            <w:drawing>
              <wp:anchor distT="0" distB="0" distL="114300" distR="114300" simplePos="0" relativeHeight="251659264" behindDoc="0" locked="0" layoutInCell="1" allowOverlap="1" wp14:anchorId="1E0FB6B8" wp14:editId="686C03BD">
                <wp:simplePos x="0" y="0"/>
                <wp:positionH relativeFrom="column">
                  <wp:posOffset>4476750</wp:posOffset>
                </wp:positionH>
                <wp:positionV relativeFrom="paragraph">
                  <wp:posOffset>229870</wp:posOffset>
                </wp:positionV>
                <wp:extent cx="2095500" cy="598983"/>
                <wp:effectExtent l="0" t="0" r="0" b="0"/>
                <wp:wrapNone/>
                <wp:docPr id="14" name="Group 14"/>
                <wp:cNvGraphicFramePr/>
                <a:graphic xmlns:a="http://schemas.openxmlformats.org/drawingml/2006/main">
                  <a:graphicData uri="http://schemas.microsoft.com/office/word/2010/wordprocessingGroup">
                    <wpg:wgp>
                      <wpg:cNvGrpSpPr/>
                      <wpg:grpSpPr>
                        <a:xfrm>
                          <a:off x="0" y="0"/>
                          <a:ext cx="2095500" cy="598983"/>
                          <a:chOff x="41289" y="-576423"/>
                          <a:chExt cx="2270759" cy="719568"/>
                        </a:xfrm>
                      </wpg:grpSpPr>
                      <wps:wsp>
                        <wps:cNvPr id="217" name="Text Box 2"/>
                        <wps:cNvSpPr txBox="1">
                          <a:spLocks noChangeArrowheads="1"/>
                        </wps:cNvSpPr>
                        <wps:spPr bwMode="auto">
                          <a:xfrm>
                            <a:off x="41289" y="-576423"/>
                            <a:ext cx="2270759" cy="719568"/>
                          </a:xfrm>
                          <a:prstGeom prst="rect">
                            <a:avLst/>
                          </a:prstGeom>
                          <a:solidFill>
                            <a:srgbClr val="FFFFFF"/>
                          </a:solidFill>
                          <a:ln w="9525">
                            <a:noFill/>
                            <a:miter lim="800000"/>
                            <a:headEnd/>
                            <a:tailEnd/>
                          </a:ln>
                        </wps:spPr>
                        <wps:txbx>
                          <w:txbxContent>
                            <w:p w:rsidR="00946D81" w:rsidRDefault="00946D81" w:rsidP="00261026">
                              <w:pPr>
                                <w:rPr>
                                  <w:rFonts w:ascii="Arial" w:hAnsi="Arial" w:cs="Arial"/>
                                  <w:b/>
                                </w:rPr>
                              </w:pPr>
                            </w:p>
                            <w:p w:rsidR="00946D81" w:rsidRPr="00261026" w:rsidRDefault="00946D81" w:rsidP="00261026">
                              <w:pPr>
                                <w:rPr>
                                  <w:b/>
                                </w:rPr>
                              </w:pPr>
                              <w:r w:rsidRPr="00261026">
                                <w:rPr>
                                  <w:rFonts w:ascii="Arial" w:hAnsi="Arial" w:cs="Arial"/>
                                  <w:b/>
                                </w:rPr>
                                <w:t xml:space="preserve">£  </w:t>
                              </w:r>
                              <w:r w:rsidRPr="00261026">
                                <w:rPr>
                                  <w:rFonts w:ascii="Arial" w:hAnsi="Arial" w:cs="Arial"/>
                                  <w:b/>
                                  <w:i/>
                                  <w:sz w:val="20"/>
                                </w:rPr>
                                <w:t>incurred cost</w:t>
                              </w:r>
                            </w:p>
                          </w:txbxContent>
                        </wps:txbx>
                        <wps:bodyPr rot="0" vert="horz" wrap="square" lIns="91440" tIns="45720" rIns="91440" bIns="45720" anchor="t" anchorCtr="0">
                          <a:noAutofit/>
                        </wps:bodyPr>
                      </wps:wsp>
                      <wps:wsp>
                        <wps:cNvPr id="5" name="Oval 5"/>
                        <wps:cNvSpPr/>
                        <wps:spPr>
                          <a:xfrm>
                            <a:off x="99230" y="-211578"/>
                            <a:ext cx="165101" cy="1905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46D81" w:rsidRDefault="00946D81" w:rsidP="0026102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0FB6B8" id="Group 14" o:spid="_x0000_s1026" style="position:absolute;margin-left:352.5pt;margin-top:18.1pt;width:165pt;height:47.15pt;z-index:251659264;mso-width-relative:margin;mso-height-relative:margin" coordorigin="412,-5764" coordsize="22707,7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">
                <v:shapetype id="_x0000_t202" coordsize="21600,21600" o:spt="202" path="m,l,21600r21600,l21600,xe">
                  <v:stroke joinstyle="miter"/>
                  <v:path gradientshapeok="t" o:connecttype="rect"/>
                </v:shapetype>
                <v:shape id="_x0000_s1027" type="#_x0000_t202" style="position:absolute;left:412;top:-5764;width:22708;height:7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946D81" w:rsidRDefault="00946D81" w:rsidP="00261026">
                        <w:pPr>
                          <w:rPr>
                            <w:rFonts w:ascii="Arial" w:hAnsi="Arial" w:cs="Arial"/>
                            <w:b/>
                          </w:rPr>
                        </w:pPr>
                      </w:p>
                      <w:p w:rsidR="00946D81" w:rsidRPr="00261026" w:rsidRDefault="00946D81" w:rsidP="00261026">
                        <w:pPr>
                          <w:rPr>
                            <w:b/>
                          </w:rPr>
                        </w:pPr>
                        <w:r w:rsidRPr="00261026">
                          <w:rPr>
                            <w:rFonts w:ascii="Arial" w:hAnsi="Arial" w:cs="Arial"/>
                            <w:b/>
                          </w:rPr>
                          <w:t xml:space="preserve">£  </w:t>
                        </w:r>
                        <w:r w:rsidRPr="00261026">
                          <w:rPr>
                            <w:rFonts w:ascii="Arial" w:hAnsi="Arial" w:cs="Arial"/>
                            <w:b/>
                            <w:i/>
                            <w:sz w:val="20"/>
                          </w:rPr>
                          <w:t>incurred cost</w:t>
                        </w:r>
                      </w:p>
                    </w:txbxContent>
                  </v:textbox>
                </v:shape>
                <v:oval id="Oval 5" o:spid="_x0000_s1028" style="position:absolute;left:992;top:-2115;width:1651;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" filled="f" strokecolor="black [3213]" strokeweight="1pt">
                  <v:stroke joinstyle="miter"/>
                  <v:textbox>
                    <w:txbxContent>
                      <w:p w:rsidR="00946D81" w:rsidRDefault="00946D81" w:rsidP="00261026">
                        <w:pPr>
                          <w:jc w:val="center"/>
                        </w:pPr>
                      </w:p>
                    </w:txbxContent>
                  </v:textbox>
                </v:oval>
              </v:group>
            </w:pict>
          </mc:Fallback>
        </mc:AlternateContent>
      </w:r>
      <w:r w:rsidRPr="007B5C4B">
        <w:rPr>
          <w:rFonts w:asciiTheme="minorHAnsi" w:hAnsiTheme="minorHAnsi" w:cstheme="minorHAnsi"/>
          <w:color w:val="000000" w:themeColor="text1"/>
          <w:sz w:val="22"/>
          <w:szCs w:val="22"/>
        </w:rPr>
        <w:t xml:space="preserve">. </w:t>
      </w:r>
      <w:r w:rsidRPr="007B5C4B">
        <w:rPr>
          <w:rFonts w:asciiTheme="minorHAnsi" w:hAnsiTheme="minorHAnsi" w:cstheme="minorHAnsi"/>
          <w:b w:val="0"/>
          <w:color w:val="000000" w:themeColor="text1"/>
          <w:sz w:val="22"/>
          <w:szCs w:val="22"/>
        </w:rPr>
        <w:t>Structure of the discrete event simulation model</w:t>
      </w:r>
      <w:bookmarkEnd w:id="1"/>
      <w:bookmarkEnd w:id="2"/>
      <w:bookmarkEnd w:id="3"/>
      <w:bookmarkEnd w:id="4"/>
      <w:bookmarkEnd w:id="5"/>
      <w:bookmarkEnd w:id="6"/>
    </w:p>
    <w:p w:rsidR="00946D81" w:rsidRPr="00DC264B" w:rsidRDefault="00946D81" w:rsidP="00DC264B">
      <w:pPr>
        <w:rPr>
          <w:sz w:val="10"/>
          <w:szCs w:val="10"/>
          <w:lang w:eastAsia="en-GB"/>
        </w:rPr>
      </w:pPr>
    </w:p>
    <w:p w:rsidR="00946D81" w:rsidRPr="00C226F1" w:rsidRDefault="00946D81" w:rsidP="00DC264B">
      <w:pPr>
        <w:pStyle w:val="Caption"/>
      </w:pPr>
      <w:bookmarkStart w:id="7" w:name="_Ref442884352"/>
      <w:r w:rsidRPr="00C226F1">
        <w:rPr>
          <w:noProof/>
        </w:rPr>
        <w:drawing>
          <wp:inline distT="0" distB="0" distL="0" distR="0" wp14:anchorId="38C269D8" wp14:editId="48D8A98D">
            <wp:extent cx="5904230" cy="785086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04230" cy="7850860"/>
                    </a:xfrm>
                    <a:prstGeom prst="rect">
                      <a:avLst/>
                    </a:prstGeom>
                  </pic:spPr>
                </pic:pic>
              </a:graphicData>
            </a:graphic>
          </wp:inline>
        </w:drawing>
      </w:r>
    </w:p>
    <w:p w:rsidR="00946D81" w:rsidRDefault="00946D81" w:rsidP="007B5C4B">
      <w:pPr>
        <w:pStyle w:val="Caption"/>
        <w:spacing w:after="160" w:line="259" w:lineRule="auto"/>
        <w:rPr>
          <w:rFonts w:asciiTheme="minorHAnsi" w:hAnsiTheme="minorHAnsi" w:cstheme="minorHAnsi"/>
          <w:color w:val="000000" w:themeColor="text1"/>
          <w:sz w:val="22"/>
          <w:szCs w:val="22"/>
        </w:rPr>
        <w:sectPr w:rsidR="00946D81" w:rsidSect="00423A1B">
          <w:pgSz w:w="11906" w:h="16838"/>
          <w:pgMar w:top="1440" w:right="1440" w:bottom="1440" w:left="1440" w:header="708" w:footer="708" w:gutter="0"/>
          <w:lnNumType w:countBy="1" w:restart="continuous"/>
          <w:cols w:space="708"/>
          <w:docGrid w:linePitch="360"/>
        </w:sectPr>
      </w:pPr>
      <w:bookmarkStart w:id="8" w:name="_Toc504636953"/>
      <w:bookmarkStart w:id="9" w:name="_Toc504637577"/>
      <w:bookmarkStart w:id="10" w:name="_Toc504637654"/>
      <w:bookmarkStart w:id="11" w:name="_Toc504637772"/>
      <w:bookmarkEnd w:id="7"/>
    </w:p>
    <w:p w:rsidR="00946D81" w:rsidRPr="00B70EB9" w:rsidRDefault="00946D81" w:rsidP="00B70EB9">
      <w:pPr>
        <w:pStyle w:val="Heading2"/>
        <w:rPr>
          <w:color w:val="000000" w:themeColor="text1"/>
          <w:sz w:val="22"/>
          <w:szCs w:val="22"/>
        </w:rPr>
      </w:pPr>
      <w:bookmarkStart w:id="12" w:name="_Toc504637741"/>
      <w:bookmarkStart w:id="13" w:name="_Toc504637931"/>
      <w:bookmarkStart w:id="14" w:name="_Toc506974547"/>
      <w:bookmarkStart w:id="15" w:name="_Toc513707566"/>
      <w:bookmarkEnd w:id="8"/>
      <w:bookmarkEnd w:id="9"/>
      <w:bookmarkEnd w:id="10"/>
      <w:bookmarkEnd w:id="11"/>
      <w:r w:rsidRPr="00B70EB9">
        <w:rPr>
          <w:color w:val="000000" w:themeColor="text1"/>
          <w:sz w:val="22"/>
          <w:szCs w:val="22"/>
        </w:rPr>
        <w:lastRenderedPageBreak/>
        <w:t>1. Baseline aortic diameter distribution</w:t>
      </w:r>
      <w:bookmarkEnd w:id="12"/>
      <w:bookmarkEnd w:id="13"/>
      <w:bookmarkEnd w:id="14"/>
      <w:bookmarkEnd w:id="15"/>
    </w:p>
    <w:p w:rsidR="00946D81" w:rsidRPr="0013238E" w:rsidRDefault="00946D81" w:rsidP="0013238E"/>
    <w:p w:rsidR="00946D81" w:rsidRDefault="00946D81" w:rsidP="0013238E">
      <w:pPr>
        <w:spacing w:after="0" w:line="240" w:lineRule="auto"/>
        <w:jc w:val="both"/>
        <w:rPr>
          <w:rFonts w:eastAsiaTheme="minorEastAsia"/>
        </w:rPr>
      </w:pPr>
      <w:r>
        <w:t xml:space="preserve">The distribution of diameters </w:t>
      </w:r>
      <w:r w:rsidRPr="000327CB">
        <w:t xml:space="preserve">measured </w:t>
      </w:r>
      <w:r>
        <w:t>in</w:t>
      </w:r>
      <w:r w:rsidRPr="000327CB">
        <w:t xml:space="preserve"> the first 700,000 men screened in NAAASP</w:t>
      </w:r>
      <w:r w:rsidRPr="00AF38B7">
        <w:rPr>
          <w:noProof/>
          <w:vertAlign w:val="superscript"/>
        </w:rPr>
        <w:t>1</w:t>
      </w:r>
      <w:r>
        <w:t xml:space="preserve"> or from screening of 70 year old women in Sweden</w:t>
      </w:r>
      <w:r w:rsidRPr="00AF38B7">
        <w:rPr>
          <w:noProof/>
          <w:vertAlign w:val="superscript"/>
        </w:rPr>
        <w:t>2</w:t>
      </w:r>
      <w:r>
        <w:t xml:space="preserve"> were re-weighted to give the desired AAA prevalence in women, estimates of which were</w:t>
      </w:r>
      <w:r>
        <w:rPr>
          <w:rFonts w:eastAsiaTheme="minorEastAsia"/>
        </w:rPr>
        <w:t xml:space="preserve"> obtained from a systematic review</w:t>
      </w:r>
      <w:r w:rsidRPr="00AF38B7">
        <w:rPr>
          <w:rFonts w:eastAsiaTheme="minorEastAsia"/>
          <w:noProof/>
          <w:vertAlign w:val="superscript"/>
        </w:rPr>
        <w:t>3</w:t>
      </w:r>
      <w:r>
        <w:rPr>
          <w:rFonts w:eastAsiaTheme="minorEastAsia"/>
        </w:rPr>
        <w:t>.  A linear re-weighting approach was taken using the following algorithm:</w:t>
      </w:r>
    </w:p>
    <w:p w:rsidR="00946D81" w:rsidRDefault="00946D81" w:rsidP="00B7644D">
      <w:pPr>
        <w:spacing w:after="0" w:line="240" w:lineRule="auto"/>
        <w:rPr>
          <w:rFonts w:eastAsiaTheme="minorEastAsia"/>
        </w:rPr>
      </w:pPr>
    </w:p>
    <w:p w:rsidR="00946D81" w:rsidRPr="00966B9A" w:rsidRDefault="00946D81" w:rsidP="00B7644D">
      <w:pPr>
        <w:pStyle w:val="ListParagraph"/>
        <w:numPr>
          <w:ilvl w:val="0"/>
          <w:numId w:val="20"/>
        </w:numPr>
        <w:spacing w:after="0" w:line="240" w:lineRule="auto"/>
        <w:rPr>
          <w:u w:val="single"/>
        </w:rPr>
      </w:pPr>
      <w:r>
        <w:t xml:space="preserve">Let </w:t>
      </w:r>
      <m:oMath>
        <m:sSub>
          <m:sSubPr>
            <m:ctrlPr>
              <w:rPr>
                <w:rFonts w:ascii="Cambria Math" w:hAnsi="Cambria Math"/>
                <w:i/>
              </w:rPr>
            </m:ctrlPr>
          </m:sSubPr>
          <m:e>
            <m:r>
              <w:rPr>
                <w:rFonts w:ascii="Cambria Math" w:hAnsi="Cambria Math"/>
              </w:rPr>
              <m:t>p</m:t>
            </m:r>
          </m:e>
          <m:sub>
            <m:r>
              <w:rPr>
                <w:rFonts w:ascii="Cambria Math" w:hAnsi="Cambria Math"/>
              </w:rPr>
              <m:t>NAAASP</m:t>
            </m:r>
          </m:sub>
        </m:sSub>
      </m:oMath>
      <w:r>
        <w:rPr>
          <w:rFonts w:eastAsiaTheme="minorEastAsia"/>
        </w:rPr>
        <w:t xml:space="preserve"> be the prevalence of AAA calculated in the NAAASP aortic diameter distribution for men and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WOMEN</m:t>
            </m:r>
          </m:sub>
        </m:sSub>
      </m:oMath>
      <w:r>
        <w:rPr>
          <w:rFonts w:eastAsiaTheme="minorEastAsia"/>
        </w:rPr>
        <w:t xml:space="preserve"> the prevalence in women that we wish to re-calibrate the distribution to.</w:t>
      </w:r>
      <w:r>
        <w:t xml:space="preserve">  Each aortic diameter size </w:t>
      </w:r>
      <m:oMath>
        <m:r>
          <w:rPr>
            <w:rFonts w:ascii="Cambria Math" w:hAnsi="Cambria Math"/>
          </w:rPr>
          <m:t>x</m:t>
        </m:r>
      </m:oMath>
      <w:r>
        <w:t xml:space="preserve"> (accurate to 1mm) in the NAAASP distribution has an associated probability weight </w:t>
      </w:r>
      <m:oMath>
        <m:r>
          <w:rPr>
            <w:rFonts w:ascii="Cambria Math" w:hAnsi="Cambria Math"/>
          </w:rPr>
          <m:t>w(x)</m:t>
        </m:r>
      </m:oMath>
      <w:r>
        <w:rPr>
          <w:rFonts w:eastAsiaTheme="minorEastAsia"/>
        </w:rPr>
        <w:t xml:space="preserve"> indicating the proportion of individuals in the distribution who were screened with that diameter</w:t>
      </w:r>
      <w:r>
        <w:t xml:space="preserve">.  The weights sum up to 1.  It follows that </w:t>
      </w:r>
    </w:p>
    <w:p w:rsidR="00946D81" w:rsidRPr="00CE3F99" w:rsidRDefault="00DF0744" w:rsidP="00B7644D">
      <w:pPr>
        <w:pStyle w:val="ListParagraph"/>
        <w:spacing w:after="0" w:line="240" w:lineRule="auto"/>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NAAASP</m:t>
              </m:r>
            </m:sub>
          </m:sSub>
          <m:r>
            <w:rPr>
              <w:rFonts w:ascii="Cambria Math" w:hAnsi="Cambria Math"/>
            </w:rPr>
            <m:t>=</m:t>
          </m:r>
          <m:nary>
            <m:naryPr>
              <m:chr m:val="∑"/>
              <m:limLoc m:val="subSup"/>
              <m:supHide m:val="1"/>
              <m:ctrlPr>
                <w:rPr>
                  <w:rFonts w:ascii="Cambria Math" w:hAnsi="Cambria Math"/>
                  <w:i/>
                </w:rPr>
              </m:ctrlPr>
            </m:naryPr>
            <m:sub>
              <m:r>
                <w:rPr>
                  <w:rFonts w:ascii="Cambria Math" w:hAnsi="Cambria Math"/>
                </w:rPr>
                <m:t>x≥3.0</m:t>
              </m:r>
            </m:sub>
            <m:sup/>
            <m:e>
              <m:r>
                <w:rPr>
                  <w:rFonts w:ascii="Cambria Math" w:hAnsi="Cambria Math"/>
                </w:rPr>
                <m:t>w(x)</m:t>
              </m:r>
            </m:e>
          </m:nary>
        </m:oMath>
      </m:oMathPara>
    </w:p>
    <w:p w:rsidR="00946D81" w:rsidRPr="00966038" w:rsidRDefault="00946D81" w:rsidP="00B7644D">
      <w:pPr>
        <w:pStyle w:val="ListParagraph"/>
        <w:spacing w:after="0" w:line="240" w:lineRule="auto"/>
        <w:rPr>
          <w:rFonts w:eastAsiaTheme="minorEastAsia"/>
        </w:rPr>
      </w:pPr>
    </w:p>
    <w:p w:rsidR="00946D81" w:rsidRPr="005C4CB0" w:rsidRDefault="00946D81" w:rsidP="00B7644D">
      <w:pPr>
        <w:pStyle w:val="ListParagraph"/>
        <w:numPr>
          <w:ilvl w:val="0"/>
          <w:numId w:val="20"/>
        </w:numPr>
        <w:spacing w:after="0" w:line="240" w:lineRule="auto"/>
        <w:rPr>
          <w:rFonts w:eastAsiaTheme="minorEastAsia"/>
        </w:rPr>
      </w:pPr>
      <w:r w:rsidRPr="005C4CB0">
        <w:rPr>
          <w:rFonts w:eastAsiaTheme="minorEastAsia"/>
        </w:rPr>
        <w:t xml:space="preserve">Given the desired prevalence,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WOMEN</m:t>
            </m:r>
          </m:sub>
        </m:sSub>
      </m:oMath>
      <w:r w:rsidRPr="005C4CB0">
        <w:rPr>
          <w:rFonts w:eastAsiaTheme="minorEastAsia"/>
        </w:rPr>
        <w:t xml:space="preserve">, </w:t>
      </w:r>
      <w:r>
        <w:rPr>
          <w:rFonts w:eastAsiaTheme="minorEastAsia"/>
        </w:rPr>
        <w:t xml:space="preserve">new weights </w:t>
      </w:r>
      <m:oMath>
        <m:sSup>
          <m:sSupPr>
            <m:ctrlPr>
              <w:rPr>
                <w:rFonts w:ascii="Cambria Math" w:eastAsiaTheme="minorEastAsia" w:hAnsi="Cambria Math"/>
                <w:i/>
              </w:rPr>
            </m:ctrlPr>
          </m:sSupPr>
          <m:e>
            <m:r>
              <w:rPr>
                <w:rFonts w:ascii="Cambria Math" w:eastAsiaTheme="minorEastAsia" w:hAnsi="Cambria Math"/>
              </w:rPr>
              <m:t>w</m:t>
            </m:r>
          </m:e>
          <m:sup>
            <m:r>
              <w:rPr>
                <w:rFonts w:ascii="Cambria Math" w:eastAsiaTheme="minorEastAsia" w:hAnsi="Cambria Math"/>
              </w:rPr>
              <m:t>*</m:t>
            </m:r>
          </m:sup>
        </m:sSup>
        <m:r>
          <w:rPr>
            <w:rFonts w:ascii="Cambria Math" w:eastAsiaTheme="minorEastAsia" w:hAnsi="Cambria Math"/>
          </w:rPr>
          <m:t>(x)</m:t>
        </m:r>
      </m:oMath>
      <w:r>
        <w:rPr>
          <w:rFonts w:eastAsiaTheme="minorEastAsia"/>
        </w:rPr>
        <w:t xml:space="preserve"> are calculated,</w:t>
      </w:r>
      <w:r w:rsidRPr="005C4CB0">
        <w:rPr>
          <w:rFonts w:eastAsiaTheme="minorEastAsia"/>
        </w:rPr>
        <w:t xml:space="preserve"> as follows:</w:t>
      </w:r>
    </w:p>
    <w:p w:rsidR="00946D81" w:rsidRPr="006E76A7" w:rsidRDefault="00DF0744" w:rsidP="00B7644D">
      <w:pPr>
        <w:spacing w:after="0" w:line="240" w:lineRule="auto"/>
        <w:rPr>
          <w:rFonts w:eastAsiaTheme="minorEastAsia"/>
        </w:rPr>
      </w:pPr>
      <m:oMathPara>
        <m:oMathParaPr>
          <m:jc m:val="center"/>
        </m:oMathParaPr>
        <m:oMath>
          <m:sSup>
            <m:sSupPr>
              <m:ctrlPr>
                <w:rPr>
                  <w:rFonts w:ascii="Cambria Math" w:eastAsiaTheme="minorEastAsia" w:hAnsi="Cambria Math"/>
                  <w:i/>
                </w:rPr>
              </m:ctrlPr>
            </m:sSupPr>
            <m:e>
              <m:r>
                <w:rPr>
                  <w:rFonts w:ascii="Cambria Math" w:eastAsiaTheme="minorEastAsia" w:hAnsi="Cambria Math"/>
                </w:rPr>
                <m:t>w</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w(x)</m:t>
          </m:r>
        </m:oMath>
      </m:oMathPara>
    </w:p>
    <w:p w:rsidR="00946D81" w:rsidRDefault="00946D81" w:rsidP="00B7644D">
      <w:pPr>
        <w:spacing w:after="0" w:line="240" w:lineRule="auto"/>
        <w:rPr>
          <w:rFonts w:eastAsiaTheme="minorEastAsia"/>
        </w:rPr>
      </w:pPr>
      <w:r>
        <w:rPr>
          <w:rFonts w:eastAsiaTheme="minorEastAsia"/>
        </w:rPr>
        <w:tab/>
        <w:t xml:space="preserve">where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=a+bx</m:t>
        </m:r>
      </m:oMath>
      <w:r>
        <w:rPr>
          <w:rFonts w:eastAsiaTheme="minorEastAsia"/>
        </w:rPr>
        <w:t xml:space="preserve"> is a linear function of </w:t>
      </w:r>
      <m:oMath>
        <m:r>
          <w:rPr>
            <w:rFonts w:ascii="Cambria Math" w:eastAsiaTheme="minorEastAsia" w:hAnsi="Cambria Math"/>
          </w:rPr>
          <m:t>x</m:t>
        </m:r>
      </m:oMath>
      <w:r>
        <w:rPr>
          <w:rFonts w:eastAsiaTheme="minorEastAsia"/>
        </w:rPr>
        <w:t>.  The conditions that must be satisfied are</w:t>
      </w:r>
    </w:p>
    <w:p w:rsidR="00946D81" w:rsidRPr="001F0AA1" w:rsidRDefault="00DF0744" w:rsidP="00B7644D">
      <w:pPr>
        <w:pStyle w:val="ListParagraph"/>
        <w:numPr>
          <w:ilvl w:val="2"/>
          <w:numId w:val="21"/>
        </w:numPr>
        <w:spacing w:after="0" w:line="240" w:lineRule="auto"/>
        <w:rPr>
          <w:rFonts w:eastAsiaTheme="minorEastAsia"/>
        </w:rPr>
      </w:pPr>
      <m:oMath>
        <m:nary>
          <m:naryPr>
            <m:chr m:val="∑"/>
            <m:supHide m:val="1"/>
            <m:ctrlPr>
              <w:rPr>
                <w:rFonts w:ascii="Cambria Math" w:eastAsiaTheme="minorEastAsia" w:hAnsi="Cambria Math"/>
                <w:i/>
              </w:rPr>
            </m:ctrlPr>
          </m:naryPr>
          <m:sub>
            <m:r>
              <w:rPr>
                <w:rFonts w:ascii="Cambria Math" w:eastAsiaTheme="minorEastAsia" w:hAnsi="Cambria Math"/>
              </w:rPr>
              <m:t>x≥3.0</m:t>
            </m:r>
          </m:sub>
          <m:sup/>
          <m:e>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w</m:t>
            </m:r>
            <m:d>
              <m:dPr>
                <m:ctrlPr>
                  <w:rPr>
                    <w:rFonts w:ascii="Cambria Math" w:eastAsiaTheme="minorEastAsia" w:hAnsi="Cambria Math"/>
                    <w:i/>
                  </w:rPr>
                </m:ctrlPr>
              </m:dPr>
              <m:e>
                <m:r>
                  <w:rPr>
                    <w:rFonts w:ascii="Cambria Math" w:eastAsiaTheme="minorEastAsia" w:hAnsi="Cambria Math"/>
                  </w:rPr>
                  <m:t>x</m:t>
                </m:r>
              </m:e>
            </m:d>
          </m:e>
        </m:nary>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WOMEN</m:t>
            </m:r>
          </m:sub>
        </m:sSub>
      </m:oMath>
    </w:p>
    <w:p w:rsidR="00946D81" w:rsidRPr="001F0AA1" w:rsidRDefault="00DF0744" w:rsidP="00B7644D">
      <w:pPr>
        <w:pStyle w:val="ListParagraph"/>
        <w:numPr>
          <w:ilvl w:val="2"/>
          <w:numId w:val="21"/>
        </w:numPr>
        <w:spacing w:after="0" w:line="240" w:lineRule="auto"/>
        <w:rPr>
          <w:rFonts w:eastAsiaTheme="minorEastAsia"/>
        </w:rPr>
      </w:pPr>
      <m:oMath>
        <m:nary>
          <m:naryPr>
            <m:chr m:val="∑"/>
            <m:supHide m:val="1"/>
            <m:ctrlPr>
              <w:rPr>
                <w:rFonts w:ascii="Cambria Math" w:eastAsiaTheme="minorEastAsia" w:hAnsi="Cambria Math"/>
                <w:i/>
              </w:rPr>
            </m:ctrlPr>
          </m:naryPr>
          <m:sub>
            <m:r>
              <w:rPr>
                <w:rFonts w:ascii="Cambria Math" w:eastAsiaTheme="minorEastAsia" w:hAnsi="Cambria Math"/>
              </w:rPr>
              <m:t>x</m:t>
            </m:r>
          </m:sub>
          <m:sup/>
          <m:e>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w</m:t>
            </m:r>
            <m:d>
              <m:dPr>
                <m:ctrlPr>
                  <w:rPr>
                    <w:rFonts w:ascii="Cambria Math" w:eastAsiaTheme="minorEastAsia" w:hAnsi="Cambria Math"/>
                    <w:i/>
                  </w:rPr>
                </m:ctrlPr>
              </m:dPr>
              <m:e>
                <m:r>
                  <w:rPr>
                    <w:rFonts w:ascii="Cambria Math" w:eastAsiaTheme="minorEastAsia" w:hAnsi="Cambria Math"/>
                  </w:rPr>
                  <m:t>x</m:t>
                </m:r>
              </m:e>
            </m:d>
          </m:e>
        </m:nary>
        <m:r>
          <w:rPr>
            <w:rFonts w:ascii="Cambria Math" w:eastAsiaTheme="minorEastAsia" w:hAnsi="Cambria Math"/>
          </w:rPr>
          <m:t>=1</m:t>
        </m:r>
      </m:oMath>
    </w:p>
    <w:p w:rsidR="00946D81" w:rsidRDefault="00946D81" w:rsidP="00B7644D">
      <w:pPr>
        <w:spacing w:after="0" w:line="240" w:lineRule="auto"/>
        <w:ind w:left="720"/>
        <w:rPr>
          <w:rFonts w:eastAsiaTheme="minorEastAsia"/>
        </w:rPr>
      </w:pPr>
      <w:r>
        <w:rPr>
          <w:rFonts w:eastAsiaTheme="minorEastAsia"/>
        </w:rPr>
        <w:t>The solution to this pair of simultaneous equations is</w:t>
      </w:r>
    </w:p>
    <w:p w:rsidR="00946D81" w:rsidRDefault="00946D81" w:rsidP="00B7644D">
      <w:pPr>
        <w:spacing w:after="0" w:line="240" w:lineRule="auto"/>
        <w:ind w:left="720"/>
        <w:rPr>
          <w:rFonts w:eastAsiaTheme="minorEastAsia"/>
        </w:rPr>
      </w:pPr>
      <m:oMathPara>
        <m:oMath>
          <m:r>
            <w:rPr>
              <w:rFonts w:ascii="Cambria Math" w:eastAsiaTheme="minorEastAsia" w:hAnsi="Cambria Math"/>
            </w:rPr>
            <m:t>b=</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NAAASP</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WOMEN</m:t>
                  </m:r>
                </m:sub>
              </m:sSub>
            </m:num>
            <m:den>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NAAASP</m:t>
                  </m:r>
                </m:sub>
              </m:sSub>
              <m:nary>
                <m:naryPr>
                  <m:chr m:val="∑"/>
                  <m:supHide m:val="1"/>
                  <m:ctrlPr>
                    <w:rPr>
                      <w:rFonts w:ascii="Cambria Math" w:eastAsiaTheme="minorEastAsia" w:hAnsi="Cambria Math"/>
                      <w:i/>
                    </w:rPr>
                  </m:ctrlPr>
                </m:naryPr>
                <m:sub>
                  <m:r>
                    <w:rPr>
                      <w:rFonts w:ascii="Cambria Math" w:eastAsiaTheme="minorEastAsia" w:hAnsi="Cambria Math"/>
                    </w:rPr>
                    <m:t>x</m:t>
                  </m:r>
                </m:sub>
                <m:sup/>
                <m:e>
                  <m:r>
                    <w:rPr>
                      <w:rFonts w:ascii="Cambria Math" w:eastAsiaTheme="minorEastAsia" w:hAnsi="Cambria Math"/>
                    </w:rPr>
                    <m:t>x w(x)</m:t>
                  </m:r>
                </m:e>
              </m:nary>
              <m:r>
                <w:rPr>
                  <w:rFonts w:ascii="Cambria Math" w:eastAsiaTheme="minorEastAsia" w:hAnsi="Cambria Math"/>
                </w:rPr>
                <m:t>-</m:t>
              </m:r>
              <m:nary>
                <m:naryPr>
                  <m:chr m:val="∑"/>
                  <m:supHide m:val="1"/>
                  <m:ctrlPr>
                    <w:rPr>
                      <w:rFonts w:ascii="Cambria Math" w:eastAsiaTheme="minorEastAsia" w:hAnsi="Cambria Math"/>
                      <w:i/>
                    </w:rPr>
                  </m:ctrlPr>
                </m:naryPr>
                <m:sub>
                  <m:r>
                    <w:rPr>
                      <w:rFonts w:ascii="Cambria Math" w:eastAsiaTheme="minorEastAsia" w:hAnsi="Cambria Math"/>
                    </w:rPr>
                    <m:t>x≥3.0</m:t>
                  </m:r>
                </m:sub>
                <m:sup/>
                <m:e>
                  <m:r>
                    <w:rPr>
                      <w:rFonts w:ascii="Cambria Math" w:eastAsiaTheme="minorEastAsia" w:hAnsi="Cambria Math"/>
                    </w:rPr>
                    <m:t>x w(x)</m:t>
                  </m:r>
                </m:e>
              </m:nary>
            </m:den>
          </m:f>
        </m:oMath>
      </m:oMathPara>
    </w:p>
    <w:p w:rsidR="00946D81" w:rsidRPr="00CE3F99" w:rsidRDefault="00946D81" w:rsidP="00B7644D">
      <w:pPr>
        <w:spacing w:after="0" w:line="240" w:lineRule="auto"/>
        <w:ind w:left="720"/>
        <w:rPr>
          <w:rFonts w:eastAsiaTheme="minorEastAsia"/>
        </w:rPr>
      </w:pPr>
      <m:oMathPara>
        <m:oMath>
          <m:r>
            <w:rPr>
              <w:rFonts w:ascii="Cambria Math" w:eastAsiaTheme="minorEastAsia" w:hAnsi="Cambria Math"/>
            </w:rPr>
            <m:t xml:space="preserve">a=1-b </m:t>
          </m:r>
          <m:nary>
            <m:naryPr>
              <m:chr m:val="∑"/>
              <m:supHide m:val="1"/>
              <m:ctrlPr>
                <w:rPr>
                  <w:rFonts w:ascii="Cambria Math" w:eastAsiaTheme="minorEastAsia" w:hAnsi="Cambria Math"/>
                  <w:i/>
                </w:rPr>
              </m:ctrlPr>
            </m:naryPr>
            <m:sub>
              <m:r>
                <w:rPr>
                  <w:rFonts w:ascii="Cambria Math" w:eastAsiaTheme="minorEastAsia" w:hAnsi="Cambria Math"/>
                </w:rPr>
                <m:t>x</m:t>
              </m:r>
            </m:sub>
            <m:sup/>
            <m:e>
              <m:r>
                <w:rPr>
                  <w:rFonts w:ascii="Cambria Math" w:eastAsiaTheme="minorEastAsia" w:hAnsi="Cambria Math"/>
                </w:rPr>
                <m:t>x w(x)</m:t>
              </m:r>
            </m:e>
          </m:nary>
        </m:oMath>
      </m:oMathPara>
    </w:p>
    <w:p w:rsidR="00946D81" w:rsidRDefault="00946D81" w:rsidP="00B7644D">
      <w:pPr>
        <w:spacing w:after="0" w:line="240" w:lineRule="auto"/>
        <w:rPr>
          <w:rFonts w:eastAsiaTheme="minorEastAsia"/>
        </w:rPr>
      </w:pPr>
    </w:p>
    <w:p w:rsidR="00946D81" w:rsidRDefault="00946D81" w:rsidP="00B7644D">
      <w:pPr>
        <w:spacing w:after="0" w:line="240" w:lineRule="auto"/>
        <w:rPr>
          <w:rFonts w:eastAsiaTheme="minorEastAsia"/>
        </w:rPr>
      </w:pPr>
      <w:r>
        <w:rPr>
          <w:rFonts w:eastAsiaTheme="minorEastAsia"/>
        </w:rPr>
        <w:t xml:space="preserve">After re-weighting, some of the new weights may be negative.  If this occurred, we set the weights to zero and then a further re-weighting step was performed to ensure the weights above the diagnosis threshold (e.g. 3.0cm) summed to the desired prevalence. </w:t>
      </w:r>
    </w:p>
    <w:p w:rsidR="00946D81" w:rsidRDefault="00946D81" w:rsidP="009B28F1">
      <w:pPr>
        <w:spacing w:after="0" w:line="240" w:lineRule="auto"/>
        <w:rPr>
          <w:b/>
        </w:rPr>
      </w:pPr>
    </w:p>
    <w:p w:rsidR="00946D81" w:rsidRPr="00B6492C" w:rsidRDefault="00946D81" w:rsidP="00B6492C">
      <w:pPr>
        <w:pStyle w:val="Heading2"/>
        <w:rPr>
          <w:color w:val="000000" w:themeColor="text1"/>
          <w:sz w:val="22"/>
          <w:szCs w:val="22"/>
        </w:rPr>
      </w:pPr>
      <w:bookmarkStart w:id="16" w:name="_Toc504637742"/>
      <w:bookmarkStart w:id="17" w:name="_Toc504637932"/>
      <w:bookmarkStart w:id="18" w:name="_Toc506974548"/>
      <w:bookmarkStart w:id="19" w:name="_Toc513707567"/>
      <w:r w:rsidRPr="00B6492C">
        <w:rPr>
          <w:color w:val="000000" w:themeColor="text1"/>
          <w:sz w:val="22"/>
          <w:szCs w:val="22"/>
        </w:rPr>
        <w:t>2. An alternative diagnosis threshold for women</w:t>
      </w:r>
      <w:bookmarkEnd w:id="16"/>
      <w:bookmarkEnd w:id="17"/>
      <w:bookmarkEnd w:id="18"/>
      <w:bookmarkEnd w:id="19"/>
    </w:p>
    <w:p w:rsidR="00946D81" w:rsidRDefault="00946D81" w:rsidP="009B28F1">
      <w:pPr>
        <w:spacing w:after="0" w:line="240" w:lineRule="auto"/>
      </w:pPr>
    </w:p>
    <w:p w:rsidR="00946D81" w:rsidRPr="00602340" w:rsidRDefault="00946D81" w:rsidP="0013238E">
      <w:pPr>
        <w:spacing w:after="0" w:line="240" w:lineRule="auto"/>
        <w:jc w:val="both"/>
      </w:pPr>
      <w:r>
        <w:t>D</w:t>
      </w:r>
      <w:r w:rsidRPr="00602340">
        <w:t>ata from aneurysm screening in 5140 women aged 70 in Uppsala and Dalarna, Sweden, were obtained to investigate an alternative threshold for AAA in women based on the definition of being 50% larger than a normal aortic diameter</w:t>
      </w:r>
      <w:r w:rsidRPr="00AF38B7">
        <w:rPr>
          <w:noProof/>
          <w:vertAlign w:val="superscript"/>
        </w:rPr>
        <w:t>4</w:t>
      </w:r>
      <w:r w:rsidRPr="00602340">
        <w:t>. The mean (leading edge to leading edge) diameter in these women was 1.66cm and an aortic diameter of 2.5cm was 3.2 standard deviations (SDs) (or 51%) higher than the mean, whilst a diameter of 3.0cm was 5.2 SDs (or 81%) higher than the mean. In men screened in NAAASP an (inner to inner) diameter of 3.0cm is 3.4 SDs (or 68%) above the mean. This suggests that 2.5cm might be an appropriate alternative threshold for women.</w:t>
      </w:r>
    </w:p>
    <w:p w:rsidR="00946D81" w:rsidRDefault="00946D81" w:rsidP="009B28F1">
      <w:pPr>
        <w:spacing w:after="0" w:line="240" w:lineRule="auto"/>
        <w:rPr>
          <w:b/>
        </w:rPr>
      </w:pPr>
    </w:p>
    <w:p w:rsidR="00946D81" w:rsidRPr="00B6492C" w:rsidRDefault="00946D81" w:rsidP="00B6492C">
      <w:pPr>
        <w:pStyle w:val="Heading2"/>
        <w:rPr>
          <w:color w:val="000000" w:themeColor="text1"/>
          <w:sz w:val="22"/>
          <w:szCs w:val="22"/>
        </w:rPr>
      </w:pPr>
      <w:bookmarkStart w:id="20" w:name="_Toc504637743"/>
      <w:bookmarkStart w:id="21" w:name="_Toc504637933"/>
      <w:bookmarkStart w:id="22" w:name="_Toc506974549"/>
      <w:bookmarkStart w:id="23" w:name="_Toc513707568"/>
      <w:r w:rsidRPr="00B6492C">
        <w:rPr>
          <w:color w:val="000000" w:themeColor="text1"/>
          <w:sz w:val="22"/>
          <w:szCs w:val="22"/>
        </w:rPr>
        <w:t>3. A model for aortic growth</w:t>
      </w:r>
      <w:bookmarkEnd w:id="20"/>
      <w:bookmarkEnd w:id="21"/>
      <w:bookmarkEnd w:id="22"/>
      <w:bookmarkEnd w:id="23"/>
    </w:p>
    <w:p w:rsidR="00946D81" w:rsidRPr="000327CB" w:rsidRDefault="00946D81" w:rsidP="009B28F1">
      <w:pPr>
        <w:spacing w:after="0" w:line="240" w:lineRule="auto"/>
      </w:pPr>
    </w:p>
    <w:p w:rsidR="00946D81" w:rsidRPr="000327CB" w:rsidRDefault="00946D81" w:rsidP="0013238E">
      <w:pPr>
        <w:spacing w:after="0" w:line="240" w:lineRule="auto"/>
        <w:jc w:val="both"/>
      </w:pPr>
      <w:r>
        <w:t>T</w:t>
      </w:r>
      <w:r w:rsidRPr="000327CB">
        <w:t>he evolution of an individual’s a</w:t>
      </w:r>
      <w:r>
        <w:t>ortic</w:t>
      </w:r>
      <w:r w:rsidRPr="000327CB">
        <w:t xml:space="preserve"> diameter over time affects many aspects of the health economic model</w:t>
      </w:r>
      <w:r>
        <w:t>,</w:t>
      </w:r>
      <w:r w:rsidRPr="000327CB">
        <w:t xml:space="preserve"> namely</w:t>
      </w:r>
      <w:r>
        <w:t>:</w:t>
      </w:r>
      <w:r w:rsidRPr="000327CB">
        <w:t xml:space="preserve"> 1) when an individual can be diagnosed, 2) planned surveillance intervals, 3) when an intervention can be considered, 4) the risk of rupture, 5) the </w:t>
      </w:r>
      <w:r>
        <w:t xml:space="preserve">probability of </w:t>
      </w:r>
      <w:r w:rsidRPr="000327CB">
        <w:t>receiv</w:t>
      </w:r>
      <w:r>
        <w:t>ing</w:t>
      </w:r>
      <w:r w:rsidRPr="000327CB">
        <w:t xml:space="preserve"> EVAR </w:t>
      </w:r>
      <w:r>
        <w:t xml:space="preserve">rather than </w:t>
      </w:r>
      <w:r w:rsidRPr="000327CB">
        <w:t xml:space="preserve">open repair, and 6) the operative mortality risk. </w:t>
      </w:r>
      <w:r>
        <w:t xml:space="preserve"> Hence, the trajectory of the aortic</w:t>
      </w:r>
      <w:r w:rsidRPr="000327CB">
        <w:t xml:space="preserve"> diameter</w:t>
      </w:r>
      <w:r>
        <w:t xml:space="preserve"> was</w:t>
      </w:r>
      <w:r w:rsidRPr="000327CB">
        <w:t xml:space="preserve"> modelled using a continuous-time linear mixed model. </w:t>
      </w:r>
      <w:r>
        <w:t xml:space="preserve"> </w:t>
      </w:r>
      <w:r w:rsidRPr="000327CB">
        <w:t>Let</w:t>
      </w:r>
      <w:r>
        <w:t>ting</w:t>
      </w:r>
      <w:r w:rsidRPr="000327CB">
        <w:t xml:space="preserve">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rsidRPr="000327CB">
        <w:t xml:space="preserve"> be the aort</w:t>
      </w:r>
      <w:r>
        <w:t>ic</w:t>
      </w:r>
      <w:r w:rsidRPr="000327CB">
        <w:t xml:space="preserve"> diameter, as measured </w:t>
      </w:r>
      <w:r w:rsidRPr="000327CB">
        <w:lastRenderedPageBreak/>
        <w:t xml:space="preserve">using ultrasound, of </w:t>
      </w:r>
      <w:r>
        <w:t>woman</w:t>
      </w:r>
      <w:r w:rsidRPr="000327CB">
        <w:t xml:space="preserve"> </w:t>
      </w:r>
      <m:oMath>
        <m:r>
          <w:rPr>
            <w:rFonts w:ascii="Cambria Math" w:hAnsi="Cambria Math"/>
          </w:rPr>
          <m:t>i</m:t>
        </m:r>
      </m:oMath>
      <w:r w:rsidRPr="000327CB">
        <w:t xml:space="preserve"> at time </w:t>
      </w:r>
      <m:oMath>
        <m:sSub>
          <m:sSubPr>
            <m:ctrlPr>
              <w:rPr>
                <w:rFonts w:ascii="Cambria Math" w:hAnsi="Cambria Math"/>
                <w:i/>
              </w:rPr>
            </m:ctrlPr>
          </m:sSubPr>
          <m:e>
            <m:r>
              <w:rPr>
                <w:rFonts w:ascii="Cambria Math" w:hAnsi="Cambria Math"/>
              </w:rPr>
              <m:t>t</m:t>
            </m:r>
          </m:e>
          <m:sub>
            <m:r>
              <w:rPr>
                <w:rFonts w:ascii="Cambria Math" w:hAnsi="Cambria Math"/>
              </w:rPr>
              <m:t>ij</m:t>
            </m:r>
          </m:sub>
        </m:sSub>
      </m:oMath>
      <w:r w:rsidRPr="000327CB">
        <w:t xml:space="preserve">, </w:t>
      </w:r>
      <m:oMath>
        <m:r>
          <w:rPr>
            <w:rFonts w:ascii="Cambria Math" w:hAnsi="Cambria Math"/>
          </w:rPr>
          <m:t>j=1,…,</m:t>
        </m:r>
        <m:sSub>
          <m:sSubPr>
            <m:ctrlPr>
              <w:rPr>
                <w:rFonts w:ascii="Cambria Math" w:hAnsi="Cambria Math"/>
                <w:i/>
              </w:rPr>
            </m:ctrlPr>
          </m:sSubPr>
          <m:e>
            <m:r>
              <w:rPr>
                <w:rFonts w:ascii="Cambria Math" w:hAnsi="Cambria Math"/>
              </w:rPr>
              <m:t>n</m:t>
            </m:r>
          </m:e>
          <m:sub>
            <m:r>
              <w:rPr>
                <w:rFonts w:ascii="Cambria Math" w:hAnsi="Cambria Math"/>
              </w:rPr>
              <m:t>i</m:t>
            </m:r>
          </m:sub>
        </m:sSub>
      </m:oMath>
      <w:r w:rsidRPr="000327CB">
        <w:t xml:space="preserve"> ; so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0327CB">
        <w:t xml:space="preserve"> is the baseline diameter as measured at screening. </w:t>
      </w:r>
      <w:r>
        <w:t xml:space="preserve"> A</w:t>
      </w:r>
      <w:r w:rsidRPr="000327CB">
        <w:t xml:space="preserve"> linear mixed model </w:t>
      </w:r>
      <w:r>
        <w:t>wa</w:t>
      </w:r>
      <w:r w:rsidRPr="000327CB">
        <w:t>s</w:t>
      </w:r>
      <w:r>
        <w:t xml:space="preserve"> specified</w:t>
      </w:r>
      <w:r w:rsidRPr="000327CB">
        <w:t xml:space="preserve"> as follows:</w:t>
      </w:r>
    </w:p>
    <w:p w:rsidR="00946D81" w:rsidRPr="000327CB" w:rsidRDefault="00DF0744" w:rsidP="009B28F1">
      <w:pPr>
        <w:spacing w:after="0" w:line="240" w:lineRule="auto"/>
        <w:jc w:val="center"/>
      </w:pPr>
      <m:oMathPara>
        <m:oMath>
          <m:sSub>
            <m:sSubPr>
              <m:ctrlPr>
                <w:rPr>
                  <w:rFonts w:ascii="Cambria Math" w:hAnsi="Cambria Math"/>
                  <w:i/>
                </w:rPr>
              </m:ctrlPr>
            </m:sSubPr>
            <m:e>
              <m:r>
                <m:rPr>
                  <m:sty m:val="p"/>
                </m:rPr>
                <w:rPr>
                  <w:rFonts w:ascii="Cambria Math" w:hAnsi="Cambria Math"/>
                </w:rPr>
                <m:t>log⁡</m:t>
              </m:r>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0i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1i</m:t>
              </m:r>
            </m:sub>
          </m:sSub>
          <m:sSub>
            <m:sSubPr>
              <m:ctrlPr>
                <w:rPr>
                  <w:rFonts w:ascii="Cambria Math" w:hAnsi="Cambria Math"/>
                  <w:i/>
                </w:rPr>
              </m:ctrlPr>
            </m:sSubPr>
            <m:e>
              <m:r>
                <w:rPr>
                  <w:rFonts w:ascii="Cambria Math" w:hAnsi="Cambria Math"/>
                </w:rPr>
                <m:t>t</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ij</m:t>
              </m:r>
            </m:sub>
          </m:sSub>
        </m:oMath>
      </m:oMathPara>
    </w:p>
    <w:p w:rsidR="00946D81" w:rsidRPr="000327CB" w:rsidRDefault="00946D81" w:rsidP="009B28F1">
      <w:pPr>
        <w:spacing w:after="0" w:line="240" w:lineRule="auto"/>
        <w:jc w:val="center"/>
      </w:pPr>
      <m:oMathPara>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ij</m:t>
              </m:r>
            </m:sub>
          </m:sSub>
        </m:oMath>
      </m:oMathPara>
    </w:p>
    <w:p w:rsidR="00946D81" w:rsidRPr="000327CB" w:rsidRDefault="00DF0744" w:rsidP="009B28F1">
      <w:pPr>
        <w:spacing w:after="0" w:line="240" w:lineRule="auto"/>
        <w:jc w:val="center"/>
      </w:pPr>
      <m:oMathPara>
        <m:oMath>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0i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1i</m:t>
                      </m:r>
                    </m:sub>
                  </m:sSub>
                </m:e>
              </m:d>
            </m:e>
            <m:sup>
              <m:r>
                <w:rPr>
                  <w:rFonts w:ascii="Cambria Math" w:hAnsi="Cambria Math"/>
                </w:rPr>
                <m:t>T</m:t>
              </m:r>
            </m:sup>
          </m:sSup>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β,G</m:t>
              </m:r>
            </m:e>
          </m:d>
        </m:oMath>
      </m:oMathPara>
    </w:p>
    <w:p w:rsidR="00946D81" w:rsidRDefault="00946D81" w:rsidP="009B28F1">
      <w:pPr>
        <w:spacing w:after="0" w:line="240" w:lineRule="auto"/>
        <w:jc w:val="center"/>
      </w:pPr>
      <w:r>
        <w:t>where</w:t>
      </w:r>
      <w:r w:rsidRPr="000327CB">
        <w:t xml:space="preserve">  </w:t>
      </w:r>
      <m:oMath>
        <m:sSub>
          <m:sSubPr>
            <m:ctrlPr>
              <w:rPr>
                <w:rFonts w:ascii="Cambria Math" w:hAnsi="Cambria Math"/>
                <w:i/>
              </w:rPr>
            </m:ctrlPr>
          </m:sSubPr>
          <m:e>
            <m:r>
              <w:rPr>
                <w:rFonts w:ascii="Cambria Math" w:hAnsi="Cambria Math"/>
              </w:rPr>
              <m:t>ϵ</m:t>
            </m:r>
          </m:e>
          <m:sub>
            <m:r>
              <w:rPr>
                <w:rFonts w:ascii="Cambria Math" w:hAnsi="Cambria Math"/>
              </w:rPr>
              <m:t>ij</m:t>
            </m:r>
          </m:sub>
        </m:sSub>
        <m:r>
          <w:rPr>
            <w:rFonts w:ascii="Cambria Math" w:hAnsi="Cambria Math"/>
          </w:rPr>
          <m:t xml:space="preserve"> ~ N</m:t>
        </m:r>
        <m:d>
          <m:dPr>
            <m:ctrlPr>
              <w:rPr>
                <w:rFonts w:ascii="Cambria Math" w:hAnsi="Cambria Math"/>
                <w:i/>
              </w:rPr>
            </m:ctrlPr>
          </m:dPr>
          <m:e>
            <m:r>
              <w:rPr>
                <w:rFonts w:ascii="Cambria Math" w:hAnsi="Cambria Math"/>
              </w:rPr>
              <m:t xml:space="preserve">0, </m:t>
            </m:r>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e>
        </m:d>
      </m:oMath>
    </w:p>
    <w:p w:rsidR="00946D81" w:rsidRPr="0006553F" w:rsidRDefault="00946D81" w:rsidP="009B28F1">
      <w:pPr>
        <w:spacing w:after="0" w:line="240" w:lineRule="auto"/>
        <w:jc w:val="center"/>
      </w:pPr>
      <m:oMathPara>
        <m:oMath>
          <m:r>
            <w:rPr>
              <w:rFonts w:ascii="Cambria Math" w:hAnsi="Cambria Math"/>
              <w:i/>
            </w:rPr>
            <w:sym w:font="Symbol" w:char="F020"/>
          </m:r>
          <m:r>
            <w:rPr>
              <w:rFonts w:ascii="Cambria Math" w:hAnsi="Cambria Math"/>
              <w:i/>
            </w:rPr>
            <w:sym w:font="Symbol" w:char="F062"/>
          </m:r>
          <m:r>
            <w:rPr>
              <w:rFonts w:ascii="Cambria Math" w:hAnsi="Cambria Math"/>
            </w:rPr>
            <m:t>=</m:t>
          </m:r>
          <m:d>
            <m:dPr>
              <m:ctrlPr>
                <w:rPr>
                  <w:rFonts w:ascii="Cambria Math" w:hAnsi="Cambria Math"/>
                  <w:i/>
                </w:rPr>
              </m:ctrlPr>
            </m:dPr>
            <m:e>
              <m:f>
                <m:fPr>
                  <m:type m:val="noBar"/>
                  <m:ctrlPr>
                    <w:rPr>
                      <w:rFonts w:ascii="Cambria Math" w:hAnsi="Cambria Math"/>
                      <w:i/>
                    </w:rPr>
                  </m:ctrlPr>
                </m:fPr>
                <m:num>
                  <m:sSub>
                    <m:sSubPr>
                      <m:ctrlPr>
                        <w:rPr>
                          <w:rFonts w:ascii="Cambria Math" w:hAnsi="Cambria Math"/>
                          <w:i/>
                        </w:rPr>
                      </m:ctrlPr>
                    </m:sSubPr>
                    <m:e>
                      <m:r>
                        <w:rPr>
                          <w:rFonts w:ascii="Cambria Math" w:hAnsi="Cambria Math"/>
                          <w:i/>
                        </w:rPr>
                        <w:sym w:font="Symbol" w:char="F062"/>
                      </m:r>
                    </m:e>
                    <m:sub>
                      <m:r>
                        <w:rPr>
                          <w:rFonts w:ascii="Cambria Math" w:hAnsi="Cambria Math"/>
                        </w:rPr>
                        <m:t>0</m:t>
                      </m:r>
                    </m:sub>
                  </m:sSub>
                </m:num>
                <m:den>
                  <m:sSub>
                    <m:sSubPr>
                      <m:ctrlPr>
                        <w:rPr>
                          <w:rFonts w:ascii="Cambria Math" w:hAnsi="Cambria Math"/>
                          <w:i/>
                        </w:rPr>
                      </m:ctrlPr>
                    </m:sSubPr>
                    <m:e>
                      <m:r>
                        <w:rPr>
                          <w:rFonts w:ascii="Cambria Math" w:hAnsi="Cambria Math"/>
                          <w:i/>
                        </w:rPr>
                        <w:sym w:font="Symbol" w:char="F062"/>
                      </m:r>
                    </m:e>
                    <m:sub>
                      <m:r>
                        <w:rPr>
                          <w:rFonts w:ascii="Cambria Math" w:hAnsi="Cambria Math"/>
                        </w:rPr>
                        <m:t>1</m:t>
                      </m:r>
                    </m:sub>
                  </m:sSub>
                </m:den>
              </m:f>
            </m:e>
          </m:d>
        </m:oMath>
      </m:oMathPara>
    </w:p>
    <w:p w:rsidR="00946D81" w:rsidRPr="000327CB" w:rsidRDefault="00946D81" w:rsidP="009B28F1">
      <w:pPr>
        <w:spacing w:after="0" w:line="240" w:lineRule="auto"/>
        <w:jc w:val="center"/>
      </w:pPr>
      <m:oMathPara>
        <m:oMath>
          <m:r>
            <w:rPr>
              <w:rFonts w:ascii="Cambria Math" w:hAnsi="Cambria Math"/>
            </w:rPr>
            <m:t>G=</m:t>
          </m:r>
          <m:d>
            <m:dPr>
              <m:ctrlPr>
                <w:rPr>
                  <w:rFonts w:ascii="Cambria Math" w:hAnsi="Cambria Math"/>
                  <w:i/>
                </w:rPr>
              </m:ctrlPr>
            </m:dPr>
            <m:e>
              <m:m>
                <m:mPr>
                  <m:mcs>
                    <m:mc>
                      <m:mcPr>
                        <m:count m:val="2"/>
                        <m:mcJc m:val="center"/>
                      </m:mcPr>
                    </m:mc>
                  </m:mcs>
                  <m:ctrlPr>
                    <w:rPr>
                      <w:rFonts w:ascii="Cambria Math" w:hAnsi="Cambria Math"/>
                      <w:i/>
                    </w:rPr>
                  </m:ctrlPr>
                </m:mPr>
                <m:mr>
                  <m:e>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e>
                  <m:e>
                    <m:r>
                      <w:rPr>
                        <w:rFonts w:ascii="Cambria Math" w:hAnsi="Cambria Math"/>
                      </w:rPr>
                      <m:t>ρ</m:t>
                    </m:r>
                    <m:sSub>
                      <m:sSubPr>
                        <m:ctrlPr>
                          <w:rPr>
                            <w:rFonts w:ascii="Cambria Math" w:hAnsi="Cambria Math"/>
                            <w:i/>
                          </w:rPr>
                        </m:ctrlPr>
                      </m:sSubPr>
                      <m:e>
                        <m:r>
                          <w:rPr>
                            <w:rFonts w:ascii="Cambria Math" w:hAnsi="Cambria Math"/>
                          </w:rPr>
                          <m:t>σ</m:t>
                        </m:r>
                      </m:e>
                      <m:sub>
                        <m:r>
                          <w:rPr>
                            <w:rFonts w:ascii="Cambria Math" w:hAnsi="Cambria Math"/>
                          </w:rPr>
                          <m:t>0</m:t>
                        </m:r>
                      </m:sub>
                    </m:sSub>
                    <m:sSub>
                      <m:sSubPr>
                        <m:ctrlPr>
                          <w:rPr>
                            <w:rFonts w:ascii="Cambria Math" w:hAnsi="Cambria Math"/>
                            <w:i/>
                          </w:rPr>
                        </m:ctrlPr>
                      </m:sSubPr>
                      <m:e>
                        <m:r>
                          <w:rPr>
                            <w:rFonts w:ascii="Cambria Math" w:hAnsi="Cambria Math"/>
                          </w:rPr>
                          <m:t>σ</m:t>
                        </m:r>
                      </m:e>
                      <m:sub>
                        <m:r>
                          <w:rPr>
                            <w:rFonts w:ascii="Cambria Math" w:hAnsi="Cambria Math"/>
                          </w:rPr>
                          <m:t>1</m:t>
                        </m:r>
                      </m:sub>
                    </m:sSub>
                  </m:e>
                </m:mr>
                <m:mr>
                  <m:e>
                    <m:r>
                      <w:rPr>
                        <w:rFonts w:ascii="Cambria Math" w:hAnsi="Cambria Math"/>
                      </w:rPr>
                      <m:t>ρ</m:t>
                    </m:r>
                    <m:sSub>
                      <m:sSubPr>
                        <m:ctrlPr>
                          <w:rPr>
                            <w:rFonts w:ascii="Cambria Math" w:hAnsi="Cambria Math"/>
                            <w:i/>
                          </w:rPr>
                        </m:ctrlPr>
                      </m:sSubPr>
                      <m:e>
                        <m:r>
                          <w:rPr>
                            <w:rFonts w:ascii="Cambria Math" w:hAnsi="Cambria Math"/>
                          </w:rPr>
                          <m:t>σ</m:t>
                        </m:r>
                      </m:e>
                      <m:sub>
                        <m:r>
                          <w:rPr>
                            <w:rFonts w:ascii="Cambria Math" w:hAnsi="Cambria Math"/>
                          </w:rPr>
                          <m:t>0</m:t>
                        </m:r>
                      </m:sub>
                    </m:sSub>
                    <m:sSub>
                      <m:sSubPr>
                        <m:ctrlPr>
                          <w:rPr>
                            <w:rFonts w:ascii="Cambria Math" w:hAnsi="Cambria Math"/>
                            <w:i/>
                          </w:rPr>
                        </m:ctrlPr>
                      </m:sSubPr>
                      <m:e>
                        <m:r>
                          <w:rPr>
                            <w:rFonts w:ascii="Cambria Math" w:hAnsi="Cambria Math"/>
                          </w:rPr>
                          <m:t>σ</m:t>
                        </m:r>
                      </m:e>
                      <m:sub>
                        <m:r>
                          <w:rPr>
                            <w:rFonts w:ascii="Cambria Math" w:hAnsi="Cambria Math"/>
                          </w:rPr>
                          <m:t>1</m:t>
                        </m:r>
                      </m:sub>
                    </m:sSub>
                  </m:e>
                  <m:e>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e>
                </m:mr>
              </m:m>
            </m:e>
          </m:d>
        </m:oMath>
      </m:oMathPara>
    </w:p>
    <w:p w:rsidR="00946D81" w:rsidRDefault="00946D81" w:rsidP="009B28F1">
      <w:pPr>
        <w:spacing w:after="0" w:line="240" w:lineRule="auto"/>
      </w:pPr>
    </w:p>
    <w:p w:rsidR="00946D81" w:rsidRDefault="00946D81" w:rsidP="009B28F1">
      <w:pPr>
        <w:spacing w:after="0" w:line="240" w:lineRule="auto"/>
      </w:pPr>
      <w:r w:rsidRPr="000327CB">
        <w:t xml:space="preserve">Each </w:t>
      </w:r>
      <w:r>
        <w:t>woman</w:t>
      </w:r>
      <w:r w:rsidRPr="000327CB">
        <w:t xml:space="preserve"> has two random</w:t>
      </w:r>
      <w:r>
        <w:t xml:space="preserve"> </w:t>
      </w:r>
      <w:r w:rsidRPr="000327CB">
        <w:t xml:space="preserve">effects: their intercept </w:t>
      </w:r>
      <m:oMath>
        <m:sSub>
          <m:sSubPr>
            <m:ctrlPr>
              <w:rPr>
                <w:rFonts w:ascii="Cambria Math" w:hAnsi="Cambria Math"/>
                <w:i/>
              </w:rPr>
            </m:ctrlPr>
          </m:sSubPr>
          <m:e>
            <m:r>
              <w:rPr>
                <w:rFonts w:ascii="Cambria Math" w:hAnsi="Cambria Math"/>
              </w:rPr>
              <m:t>b</m:t>
            </m:r>
          </m:e>
          <m:sub>
            <m:r>
              <w:rPr>
                <w:rFonts w:ascii="Cambria Math" w:hAnsi="Cambria Math"/>
              </w:rPr>
              <m:t>0i</m:t>
            </m:r>
          </m:sub>
        </m:sSub>
      </m:oMath>
      <w:r w:rsidRPr="000327CB">
        <w:t xml:space="preserve"> (true log</w:t>
      </w:r>
      <w:r>
        <w:t xml:space="preserve"> aortic</w:t>
      </w:r>
      <w:r w:rsidRPr="000327CB">
        <w:t xml:space="preserve"> diameter</w:t>
      </w:r>
      <w:r>
        <w:t xml:space="preserve"> at the time of screening</w:t>
      </w:r>
      <w:r w:rsidRPr="000327CB">
        <w:t xml:space="preserve">), and their slope </w:t>
      </w:r>
      <m:oMath>
        <m:sSub>
          <m:sSubPr>
            <m:ctrlPr>
              <w:rPr>
                <w:rFonts w:ascii="Cambria Math" w:hAnsi="Cambria Math"/>
                <w:i/>
              </w:rPr>
            </m:ctrlPr>
          </m:sSubPr>
          <m:e>
            <m:r>
              <w:rPr>
                <w:rFonts w:ascii="Cambria Math" w:hAnsi="Cambria Math"/>
              </w:rPr>
              <m:t>b</m:t>
            </m:r>
          </m:e>
          <m:sub>
            <m:r>
              <w:rPr>
                <w:rFonts w:ascii="Cambria Math" w:hAnsi="Cambria Math"/>
              </w:rPr>
              <m:t>1i</m:t>
            </m:r>
          </m:sub>
        </m:sSub>
      </m:oMath>
      <w:r w:rsidRPr="000327CB">
        <w:t xml:space="preserve"> (rate of growth), measured on the log diameter scale. </w:t>
      </w:r>
      <w:r>
        <w:t xml:space="preserve"> </w:t>
      </w:r>
      <w:r w:rsidRPr="000327CB">
        <w:t xml:space="preserve">Correlation between an </w:t>
      </w:r>
      <w:r>
        <w:t>woman’s</w:t>
      </w:r>
      <w:r w:rsidRPr="000327CB">
        <w:t xml:space="preserve"> underlying baseline log diameter and slope </w:t>
      </w:r>
      <w:r>
        <w:t>was incorporated through the</w:t>
      </w:r>
      <w:r w:rsidRPr="000327CB">
        <w:t xml:space="preserve"> correlation parameter </w:t>
      </w:r>
      <m:oMath>
        <m:r>
          <w:rPr>
            <w:rFonts w:ascii="Cambria Math" w:hAnsi="Cambria Math"/>
          </w:rPr>
          <m:t>ρ</m:t>
        </m:r>
      </m:oMath>
      <w:r w:rsidRPr="000327CB">
        <w:t xml:space="preserve">. </w:t>
      </w:r>
      <w:r>
        <w:t xml:space="preserve"> </w:t>
      </w:r>
      <w:r w:rsidRPr="000327CB">
        <w:t xml:space="preserve">The parameters </w:t>
      </w:r>
      <m:oMath>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oMath>
      <w:r w:rsidRPr="000327CB">
        <w:t xml:space="preserve"> and </w:t>
      </w:r>
      <m:oMath>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oMath>
      <w:r w:rsidRPr="000327CB">
        <w:t xml:space="preserve"> determine the between-person variability of the intercepts and slopes, respectively, whilst </w:t>
      </w:r>
      <m:oMath>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oMath>
      <w:r w:rsidRPr="000327CB">
        <w:t xml:space="preserve"> determines the amount of variability due to measurement error.</w:t>
      </w:r>
    </w:p>
    <w:p w:rsidR="00946D81" w:rsidRPr="000327CB" w:rsidRDefault="00946D81" w:rsidP="009B28F1">
      <w:pPr>
        <w:spacing w:after="0" w:line="240" w:lineRule="auto"/>
      </w:pPr>
    </w:p>
    <w:p w:rsidR="00946D81" w:rsidRDefault="00946D81" w:rsidP="009B28F1">
      <w:pPr>
        <w:spacing w:after="0" w:line="240" w:lineRule="auto"/>
      </w:pPr>
      <w:r w:rsidRPr="000327CB">
        <w:t xml:space="preserve">The linear mixed model </w:t>
      </w:r>
      <w:r>
        <w:t>was</w:t>
      </w:r>
      <w:r w:rsidRPr="000327CB">
        <w:t xml:space="preserve"> fitted using data from repeated ultrasound measurements of the aort</w:t>
      </w:r>
      <w:r>
        <w:t>ic</w:t>
      </w:r>
      <w:r w:rsidRPr="000327CB">
        <w:t xml:space="preserve"> diameter from </w:t>
      </w:r>
      <w:r>
        <w:t xml:space="preserve">11 </w:t>
      </w:r>
      <w:r w:rsidRPr="000327CB">
        <w:t xml:space="preserve">cohorts of </w:t>
      </w:r>
      <w:r>
        <w:t xml:space="preserve">women with </w:t>
      </w:r>
      <w:r w:rsidRPr="000327CB">
        <w:t xml:space="preserve">AAA from the RESCAN </w:t>
      </w:r>
      <w:r>
        <w:t>collaboration</w:t>
      </w:r>
      <w:r w:rsidRPr="00AF38B7">
        <w:rPr>
          <w:noProof/>
          <w:vertAlign w:val="superscript"/>
        </w:rPr>
        <w:t>5</w:t>
      </w:r>
      <w:r>
        <w:t>, with a total of 1743 women providing 4800 person-years for analysis.</w:t>
      </w:r>
      <w:r w:rsidRPr="000327CB">
        <w:t xml:space="preserve"> </w:t>
      </w:r>
      <w:r>
        <w:t xml:space="preserve"> Parameter estimates were obtained via restricted maximum likelihood estimation for each study separately, and in a second state, study-specific estimates were pooled via multivariate random-effects meta-analysis.</w:t>
      </w:r>
    </w:p>
    <w:p w:rsidR="00946D81" w:rsidRDefault="00946D81" w:rsidP="009B28F1">
      <w:pPr>
        <w:spacing w:after="0" w:line="240" w:lineRule="auto"/>
      </w:pPr>
    </w:p>
    <w:p w:rsidR="00946D81" w:rsidRDefault="00946D81" w:rsidP="009B28F1">
      <w:pPr>
        <w:spacing w:after="0" w:line="240" w:lineRule="auto"/>
      </w:pPr>
      <w:r w:rsidRPr="000327CB">
        <w:t>The</w:t>
      </w:r>
      <w:r>
        <w:t xml:space="preserve"> 11 RESCAN</w:t>
      </w:r>
      <w:r w:rsidRPr="000327CB">
        <w:t xml:space="preserve"> cohorts </w:t>
      </w:r>
      <w:r>
        <w:t>were</w:t>
      </w:r>
      <w:r w:rsidRPr="000327CB">
        <w:t xml:space="preserve"> restricted to the diameter range of 3.0 to 5.5cm. </w:t>
      </w:r>
      <w:r>
        <w:t xml:space="preserve"> </w:t>
      </w:r>
      <w:r w:rsidRPr="000327CB">
        <w:t xml:space="preserve">As a result, </w:t>
      </w:r>
      <w:r>
        <w:t xml:space="preserve">external data sources and </w:t>
      </w:r>
      <w:r w:rsidRPr="000327CB">
        <w:t xml:space="preserve">model extrapolation </w:t>
      </w:r>
      <w:r>
        <w:t>were</w:t>
      </w:r>
      <w:r w:rsidRPr="000327CB">
        <w:t xml:space="preserve"> used to </w:t>
      </w:r>
      <w:r>
        <w:t>sample</w:t>
      </w:r>
      <w:r w:rsidRPr="000327CB">
        <w:t xml:space="preserve"> true baseline diameters and growth rates for </w:t>
      </w:r>
      <w:r>
        <w:t>women</w:t>
      </w:r>
      <w:r w:rsidRPr="000327CB">
        <w:t xml:space="preserve"> outside of this range.</w:t>
      </w:r>
      <w:r>
        <w:t xml:space="preserve"> T</w:t>
      </w:r>
      <w:r w:rsidRPr="000327CB">
        <w:t xml:space="preserve">he baseline diameter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0327CB">
        <w:t xml:space="preserve"> </w:t>
      </w:r>
      <w:r>
        <w:t>was sampled from</w:t>
      </w:r>
      <w:r w:rsidRPr="000327CB">
        <w:t xml:space="preserve"> a fixed distribution, which </w:t>
      </w:r>
      <w:r>
        <w:t>was</w:t>
      </w:r>
      <w:r w:rsidRPr="000327CB">
        <w:t xml:space="preserve"> specif</w:t>
      </w:r>
      <w:r>
        <w:t>ied</w:t>
      </w:r>
      <w:r w:rsidRPr="000327CB">
        <w:t xml:space="preserve"> using external data sources</w:t>
      </w:r>
      <w:r>
        <w:t>. The base case model used</w:t>
      </w:r>
      <w:r w:rsidRPr="000327CB">
        <w:t xml:space="preserve"> </w:t>
      </w:r>
      <w:r>
        <w:t xml:space="preserve">the distribution of diameters </w:t>
      </w:r>
      <w:r w:rsidRPr="000327CB">
        <w:t xml:space="preserve">measured </w:t>
      </w:r>
      <w:r>
        <w:t>in</w:t>
      </w:r>
      <w:r w:rsidRPr="000327CB">
        <w:t xml:space="preserve"> the first 700,000 men screened in NAAASP</w:t>
      </w:r>
      <w:r>
        <w:t>, reweighted to give the desired AAA prevalence.  A</w:t>
      </w:r>
      <w:r w:rsidRPr="000327CB">
        <w:t>n individual’s random</w:t>
      </w:r>
      <w:r>
        <w:t xml:space="preserve"> </w:t>
      </w:r>
      <w:r w:rsidRPr="000327CB">
        <w:t xml:space="preserve">effects </w:t>
      </w:r>
      <m:oMath>
        <m:sSub>
          <m:sSubPr>
            <m:ctrlPr>
              <w:rPr>
                <w:rFonts w:ascii="Cambria Math" w:hAnsi="Cambria Math"/>
                <w:i/>
              </w:rPr>
            </m:ctrlPr>
          </m:sSubPr>
          <m:e>
            <m:r>
              <w:rPr>
                <w:rFonts w:ascii="Cambria Math" w:hAnsi="Cambria Math"/>
              </w:rPr>
              <m:t>b</m:t>
            </m:r>
          </m:e>
          <m:sub>
            <m:r>
              <w:rPr>
                <w:rFonts w:ascii="Cambria Math" w:hAnsi="Cambria Math"/>
              </w:rPr>
              <m:t>0i</m:t>
            </m:r>
          </m:sub>
        </m:sSub>
      </m:oMath>
      <w:r w:rsidRPr="000327CB">
        <w:t xml:space="preserve"> and </w:t>
      </w:r>
      <m:oMath>
        <m:sSub>
          <m:sSubPr>
            <m:ctrlPr>
              <w:rPr>
                <w:rFonts w:ascii="Cambria Math" w:hAnsi="Cambria Math"/>
                <w:i/>
              </w:rPr>
            </m:ctrlPr>
          </m:sSubPr>
          <m:e>
            <m:r>
              <w:rPr>
                <w:rFonts w:ascii="Cambria Math" w:hAnsi="Cambria Math"/>
              </w:rPr>
              <m:t>b</m:t>
            </m:r>
          </m:e>
          <m:sub>
            <m:r>
              <w:rPr>
                <w:rFonts w:ascii="Cambria Math" w:hAnsi="Cambria Math"/>
              </w:rPr>
              <m:t>1i</m:t>
            </m:r>
          </m:sub>
        </m:sSub>
      </m:oMath>
      <w:r w:rsidRPr="000327CB">
        <w:t xml:space="preserve"> </w:t>
      </w:r>
      <w:r>
        <w:t>were</w:t>
      </w:r>
      <w:r w:rsidRPr="000327CB">
        <w:t xml:space="preserve"> then generated conditional on their observed baseline diameter. </w:t>
      </w:r>
      <w:r>
        <w:t xml:space="preserve"> A set of rules were developed to ensure that extrapolated growth rates below 3.0cm were sensible and approximated empirical data obtained from a group of men followed up over time with initial diameter 2.6-2.9cm</w:t>
      </w:r>
      <w:r w:rsidRPr="00F45595">
        <w:rPr>
          <w:noProof/>
          <w:vertAlign w:val="superscript"/>
        </w:rPr>
        <w:t>6</w:t>
      </w:r>
      <w:r>
        <w:t>. The rules were as follows:</w:t>
      </w:r>
    </w:p>
    <w:p w:rsidR="00946D81" w:rsidRDefault="00946D81" w:rsidP="009B28F1">
      <w:pPr>
        <w:spacing w:after="0" w:line="240" w:lineRule="auto"/>
      </w:pPr>
    </w:p>
    <w:p w:rsidR="00946D81" w:rsidRDefault="00946D81" w:rsidP="009B28F1">
      <w:pPr>
        <w:spacing w:after="0" w:line="240" w:lineRule="auto"/>
      </w:pPr>
    </w:p>
    <w:p w:rsidR="00946D81" w:rsidRPr="00105629" w:rsidRDefault="00946D81" w:rsidP="009B28F1">
      <w:pPr>
        <w:pStyle w:val="ListParagraph"/>
        <w:numPr>
          <w:ilvl w:val="0"/>
          <w:numId w:val="17"/>
        </w:numPr>
        <w:spacing w:after="0" w:line="240" w:lineRule="auto"/>
        <w:rPr>
          <w:u w:val="single"/>
        </w:rPr>
      </w:pPr>
      <w:r w:rsidRPr="00105629">
        <w:rPr>
          <w:u w:val="single"/>
        </w:rPr>
        <w:t xml:space="preserve">If </w:t>
      </w:r>
      <m:oMath>
        <m:sSub>
          <m:sSubPr>
            <m:ctrlPr>
              <w:rPr>
                <w:rFonts w:ascii="Cambria Math" w:hAnsi="Cambria Math"/>
                <w:i/>
                <w:u w:val="single"/>
              </w:rPr>
            </m:ctrlPr>
          </m:sSubPr>
          <m:e>
            <m:r>
              <w:rPr>
                <w:rFonts w:ascii="Cambria Math" w:hAnsi="Cambria Math"/>
                <w:u w:val="single"/>
              </w:rPr>
              <m:t>y</m:t>
            </m:r>
          </m:e>
          <m:sub>
            <m:r>
              <w:rPr>
                <w:rFonts w:ascii="Cambria Math" w:hAnsi="Cambria Math"/>
                <w:u w:val="single"/>
              </w:rPr>
              <m:t>i0</m:t>
            </m:r>
          </m:sub>
        </m:sSub>
        <m:r>
          <w:rPr>
            <w:rFonts w:ascii="Cambria Math" w:hAnsi="Cambria Math"/>
            <w:u w:val="single"/>
          </w:rPr>
          <m:t>≥3.0</m:t>
        </m:r>
      </m:oMath>
      <w:r w:rsidRPr="00105629">
        <w:rPr>
          <w:u w:val="single"/>
        </w:rPr>
        <w:t xml:space="preserve"> then random-effects were generated directly from the linear mixed model posterior distribution</w:t>
      </w:r>
    </w:p>
    <w:p w:rsidR="00946D81" w:rsidRPr="000327CB" w:rsidRDefault="00946D81" w:rsidP="009B28F1">
      <w:pPr>
        <w:pStyle w:val="ListParagraph"/>
        <w:spacing w:after="0" w:line="240" w:lineRule="auto"/>
      </w:pPr>
      <w:r w:rsidRPr="000327CB">
        <w:t>Since estimated parameters from the linear mixed model are strictly relevant only to baseline diameters</w:t>
      </w:r>
      <w:r>
        <w:t xml:space="preserve"> ≥3.0cm</w:t>
      </w:r>
      <w:r w:rsidRPr="000327CB">
        <w:t xml:space="preserve">, then for individuals in this range, </w:t>
      </w:r>
      <m:oMath>
        <m:sSub>
          <m:sSubPr>
            <m:ctrlPr>
              <w:rPr>
                <w:rFonts w:ascii="Cambria Math" w:hAnsi="Cambria Math"/>
                <w:i/>
              </w:rPr>
            </m:ctrlPr>
          </m:sSubPr>
          <m:e>
            <m:r>
              <w:rPr>
                <w:rFonts w:ascii="Cambria Math" w:hAnsi="Cambria Math"/>
              </w:rPr>
              <m:t>b</m:t>
            </m:r>
          </m:e>
          <m:sub>
            <m:r>
              <w:rPr>
                <w:rFonts w:ascii="Cambria Math" w:hAnsi="Cambria Math"/>
              </w:rPr>
              <m:t>0i</m:t>
            </m:r>
          </m:sub>
        </m:sSub>
      </m:oMath>
      <w:r w:rsidRPr="000327CB">
        <w:t xml:space="preserve"> and </w:t>
      </w:r>
      <m:oMath>
        <m:sSub>
          <m:sSubPr>
            <m:ctrlPr>
              <w:rPr>
                <w:rFonts w:ascii="Cambria Math" w:hAnsi="Cambria Math"/>
                <w:i/>
              </w:rPr>
            </m:ctrlPr>
          </m:sSubPr>
          <m:e>
            <m:r>
              <w:rPr>
                <w:rFonts w:ascii="Cambria Math" w:hAnsi="Cambria Math"/>
              </w:rPr>
              <m:t>b</m:t>
            </m:r>
          </m:e>
          <m:sub>
            <m:r>
              <w:rPr>
                <w:rFonts w:ascii="Cambria Math" w:hAnsi="Cambria Math"/>
              </w:rPr>
              <m:t>1i</m:t>
            </m:r>
          </m:sub>
        </m:sSub>
      </m:oMath>
      <w:r w:rsidRPr="000327CB">
        <w:t xml:space="preserve"> are generated from their bivariate normal distribution conditional on the observed diameter,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0327CB">
        <w:t>:</w:t>
      </w:r>
    </w:p>
    <w:p w:rsidR="00946D81" w:rsidRPr="00320D45" w:rsidRDefault="00DF0744" w:rsidP="009B28F1">
      <w:pPr>
        <w:pStyle w:val="ListParagraph"/>
        <w:spacing w:after="0" w:line="240" w:lineRule="auto"/>
      </w:pPr>
      <m:oMathPara>
        <m:oMathParaPr>
          <m:jc m:val="center"/>
        </m:oMathParaPr>
        <m:oMath>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i</m:t>
                  </m:r>
                </m:sub>
              </m:sSub>
            </m:e>
            <m:e>
              <m:sSub>
                <m:sSubPr>
                  <m:ctrlPr>
                    <w:rPr>
                      <w:rFonts w:ascii="Cambria Math" w:hAnsi="Cambria Math"/>
                      <w:i/>
                    </w:rPr>
                  </m:ctrlPr>
                </m:sSubPr>
                <m:e>
                  <m:r>
                    <w:rPr>
                      <w:rFonts w:ascii="Cambria Math" w:hAnsi="Cambria Math"/>
                    </w:rPr>
                    <m:t>y</m:t>
                  </m:r>
                </m:e>
                <m:sub>
                  <m:r>
                    <w:rPr>
                      <w:rFonts w:ascii="Cambria Math" w:hAnsi="Cambria Math"/>
                    </w:rPr>
                    <m:t>i0</m:t>
                  </m:r>
                </m:sub>
              </m:sSub>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b</m:t>
              </m:r>
            </m:sub>
          </m:sSub>
          <m:r>
            <w:rPr>
              <w:rFonts w:ascii="Cambria Math" w:hAnsi="Cambria Math"/>
            </w:rPr>
            <m:t xml:space="preserve">, </m:t>
          </m:r>
          <m:sSub>
            <m:sSubPr>
              <m:ctrlPr>
                <w:rPr>
                  <w:rFonts w:ascii="Cambria Math" w:hAnsi="Cambria Math"/>
                  <w:i/>
                </w:rPr>
              </m:ctrlPr>
            </m:sSubPr>
            <m:e>
              <m:r>
                <m:rPr>
                  <m:sty m:val="p"/>
                </m:rPr>
                <w:rPr>
                  <w:rFonts w:ascii="Cambria Math" w:hAnsi="Cambria Math"/>
                </w:rPr>
                <m:t>Σ</m:t>
              </m:r>
            </m:e>
            <m:sub>
              <m:r>
                <w:rPr>
                  <w:rFonts w:ascii="Cambria Math" w:hAnsi="Cambria Math"/>
                </w:rPr>
                <m:t>b</m:t>
              </m:r>
            </m:sub>
          </m:sSub>
          <m:r>
            <w:rPr>
              <w:rFonts w:ascii="Cambria Math" w:hAnsi="Cambria Math"/>
            </w:rPr>
            <m:t>)</m:t>
          </m:r>
        </m:oMath>
      </m:oMathPara>
    </w:p>
    <w:p w:rsidR="00946D81" w:rsidRPr="000327CB" w:rsidRDefault="00946D81" w:rsidP="009B28F1">
      <w:pPr>
        <w:pStyle w:val="ListParagraph"/>
        <w:spacing w:after="0" w:line="240" w:lineRule="auto"/>
      </w:pPr>
      <w:r w:rsidRPr="000327CB">
        <w:t>where</w:t>
      </w:r>
    </w:p>
    <w:p w:rsidR="00946D81" w:rsidRPr="000327CB" w:rsidRDefault="00DF0744" w:rsidP="009B28F1">
      <w:pPr>
        <w:pStyle w:val="ListParagraph"/>
        <w:spacing w:after="0" w:line="240" w:lineRule="auto"/>
        <w:jc w:val="center"/>
      </w:pPr>
      <m:oMathPara>
        <m:oMath>
          <m:sSub>
            <m:sSubPr>
              <m:ctrlPr>
                <w:rPr>
                  <w:rFonts w:ascii="Cambria Math" w:hAnsi="Cambria Math"/>
                  <w:i/>
                </w:rPr>
              </m:ctrlPr>
            </m:sSubPr>
            <m:e>
              <m:r>
                <w:rPr>
                  <w:rFonts w:ascii="Cambria Math" w:hAnsi="Cambria Math"/>
                </w:rPr>
                <m:t>μ</m:t>
              </m:r>
            </m:e>
            <m:sub>
              <m:r>
                <w:rPr>
                  <w:rFonts w:ascii="Cambria Math" w:hAnsi="Cambria Math"/>
                </w:rPr>
                <m:t>b</m:t>
              </m:r>
            </m:sub>
          </m:sSub>
          <m:r>
            <w:rPr>
              <w:rFonts w:ascii="Cambria Math" w:hAnsi="Cambria Math"/>
            </w:rPr>
            <m:t>=β+</m:t>
          </m:r>
          <m:d>
            <m:dPr>
              <m:ctrlPr>
                <w:rPr>
                  <w:rFonts w:ascii="Cambria Math" w:hAnsi="Cambria Math"/>
                  <w:i/>
                </w:rPr>
              </m:ctrlPr>
            </m:dPr>
            <m:e>
              <m:m>
                <m:mPr>
                  <m:mcs>
                    <m:mc>
                      <m:mcPr>
                        <m:count m:val="1"/>
                        <m:mcJc m:val="center"/>
                      </m:mcPr>
                    </m:mc>
                  </m:mcs>
                  <m:ctrlPr>
                    <w:rPr>
                      <w:rFonts w:ascii="Cambria Math" w:hAnsi="Cambria Math"/>
                      <w:i/>
                    </w:rPr>
                  </m:ctrlPr>
                </m:mPr>
                <m:mr>
                  <m:e>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e>
                </m:mr>
                <m:mr>
                  <m:e>
                    <m:r>
                      <w:rPr>
                        <w:rFonts w:ascii="Cambria Math" w:hAnsi="Cambria Math"/>
                      </w:rPr>
                      <m:t>ρ</m:t>
                    </m:r>
                    <m:sSub>
                      <m:sSubPr>
                        <m:ctrlPr>
                          <w:rPr>
                            <w:rFonts w:ascii="Cambria Math" w:hAnsi="Cambria Math"/>
                            <w:i/>
                          </w:rPr>
                        </m:ctrlPr>
                      </m:sSubPr>
                      <m:e>
                        <m:r>
                          <w:rPr>
                            <w:rFonts w:ascii="Cambria Math" w:hAnsi="Cambria Math"/>
                          </w:rPr>
                          <m:t>σ</m:t>
                        </m:r>
                      </m:e>
                      <m:sub>
                        <m:r>
                          <w:rPr>
                            <w:rFonts w:ascii="Cambria Math" w:hAnsi="Cambria Math"/>
                          </w:rPr>
                          <m:t>0</m:t>
                        </m:r>
                      </m:sub>
                    </m:sSub>
                    <m:sSub>
                      <m:sSubPr>
                        <m:ctrlPr>
                          <w:rPr>
                            <w:rFonts w:ascii="Cambria Math" w:hAnsi="Cambria Math"/>
                            <w:i/>
                          </w:rPr>
                        </m:ctrlPr>
                      </m:sSubPr>
                      <m:e>
                        <m:r>
                          <w:rPr>
                            <w:rFonts w:ascii="Cambria Math" w:hAnsi="Cambria Math"/>
                          </w:rPr>
                          <m:t>σ</m:t>
                        </m:r>
                      </m:e>
                      <m:sub>
                        <m:r>
                          <w:rPr>
                            <w:rFonts w:ascii="Cambria Math" w:hAnsi="Cambria Math"/>
                          </w:rPr>
                          <m:t>1</m:t>
                        </m:r>
                      </m:sub>
                    </m:sSub>
                  </m:e>
                </m:mr>
              </m:m>
            </m:e>
          </m:d>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i0</m:t>
                          </m:r>
                        </m:sub>
                      </m:sSub>
                    </m:e>
                  </m:d>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e>
              </m:func>
            </m:num>
            <m:den>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den>
          </m:f>
        </m:oMath>
      </m:oMathPara>
    </w:p>
    <w:p w:rsidR="00946D81" w:rsidRPr="00320D45" w:rsidRDefault="00DF0744" w:rsidP="009B28F1">
      <w:pPr>
        <w:pStyle w:val="ListParagraph"/>
        <w:spacing w:after="0" w:line="240" w:lineRule="auto"/>
      </w:pPr>
      <m:oMathPara>
        <m:oMathParaPr>
          <m:jc m:val="center"/>
        </m:oMathParaP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b</m:t>
              </m:r>
            </m:sub>
          </m:sSub>
          <m:r>
            <w:rPr>
              <w:rFonts w:ascii="Cambria Math" w:hAnsi="Cambria Math"/>
            </w:rPr>
            <m:t>=</m:t>
          </m:r>
          <m:d>
            <m:dPr>
              <m:ctrlPr>
                <w:rPr>
                  <w:rFonts w:ascii="Cambria Math" w:hAnsi="Cambria Math"/>
                  <w:i/>
                </w:rPr>
              </m:ctrlPr>
            </m:dPr>
            <m:e>
              <m:m>
                <m:mPr>
                  <m:mcs>
                    <m:mc>
                      <m:mcPr>
                        <m:count m:val="2"/>
                        <m:mcJc m:val="center"/>
                      </m:mcPr>
                    </m:mc>
                  </m:mcs>
                  <m:ctrlPr>
                    <w:rPr>
                      <w:rFonts w:ascii="Cambria Math" w:hAnsi="Cambria Math"/>
                      <w:i/>
                    </w:rPr>
                  </m:ctrlPr>
                </m:mPr>
                <m:mr>
                  <m:e>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e>
                  <m:e>
                    <m:r>
                      <w:rPr>
                        <w:rFonts w:ascii="Cambria Math" w:hAnsi="Cambria Math"/>
                      </w:rPr>
                      <m:t>ρ</m:t>
                    </m:r>
                    <m:sSub>
                      <m:sSubPr>
                        <m:ctrlPr>
                          <w:rPr>
                            <w:rFonts w:ascii="Cambria Math" w:hAnsi="Cambria Math"/>
                            <w:i/>
                          </w:rPr>
                        </m:ctrlPr>
                      </m:sSubPr>
                      <m:e>
                        <m:r>
                          <w:rPr>
                            <w:rFonts w:ascii="Cambria Math" w:hAnsi="Cambria Math"/>
                          </w:rPr>
                          <m:t>σ</m:t>
                        </m:r>
                      </m:e>
                      <m:sub>
                        <m:r>
                          <w:rPr>
                            <w:rFonts w:ascii="Cambria Math" w:hAnsi="Cambria Math"/>
                          </w:rPr>
                          <m:t>0</m:t>
                        </m:r>
                      </m:sub>
                    </m:sSub>
                    <m:sSub>
                      <m:sSubPr>
                        <m:ctrlPr>
                          <w:rPr>
                            <w:rFonts w:ascii="Cambria Math" w:hAnsi="Cambria Math"/>
                            <w:i/>
                          </w:rPr>
                        </m:ctrlPr>
                      </m:sSubPr>
                      <m:e>
                        <m:r>
                          <w:rPr>
                            <w:rFonts w:ascii="Cambria Math" w:hAnsi="Cambria Math"/>
                          </w:rPr>
                          <m:t>σ</m:t>
                        </m:r>
                      </m:e>
                      <m:sub>
                        <m:r>
                          <w:rPr>
                            <w:rFonts w:ascii="Cambria Math" w:hAnsi="Cambria Math"/>
                          </w:rPr>
                          <m:t>1</m:t>
                        </m:r>
                      </m:sub>
                    </m:sSub>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e>
                </m:mr>
                <m:mr>
                  <m:e>
                    <m:r>
                      <w:rPr>
                        <w:rFonts w:ascii="Cambria Math" w:hAnsi="Cambria Math"/>
                      </w:rPr>
                      <m:t>ρ</m:t>
                    </m:r>
                    <m:sSub>
                      <m:sSubPr>
                        <m:ctrlPr>
                          <w:rPr>
                            <w:rFonts w:ascii="Cambria Math" w:hAnsi="Cambria Math"/>
                            <w:i/>
                          </w:rPr>
                        </m:ctrlPr>
                      </m:sSubPr>
                      <m:e>
                        <m:r>
                          <w:rPr>
                            <w:rFonts w:ascii="Cambria Math" w:hAnsi="Cambria Math"/>
                          </w:rPr>
                          <m:t>σ</m:t>
                        </m:r>
                      </m:e>
                      <m:sub>
                        <m:r>
                          <w:rPr>
                            <w:rFonts w:ascii="Cambria Math" w:hAnsi="Cambria Math"/>
                          </w:rPr>
                          <m:t>0</m:t>
                        </m:r>
                      </m:sub>
                    </m:sSub>
                    <m:sSub>
                      <m:sSubPr>
                        <m:ctrlPr>
                          <w:rPr>
                            <w:rFonts w:ascii="Cambria Math" w:hAnsi="Cambria Math"/>
                            <w:i/>
                          </w:rPr>
                        </m:ctrlPr>
                      </m:sSubPr>
                      <m:e>
                        <m:r>
                          <w:rPr>
                            <w:rFonts w:ascii="Cambria Math" w:hAnsi="Cambria Math"/>
                          </w:rPr>
                          <m:t>σ</m:t>
                        </m:r>
                      </m:e>
                      <m:sub>
                        <m:r>
                          <w:rPr>
                            <w:rFonts w:ascii="Cambria Math" w:hAnsi="Cambria Math"/>
                          </w:rPr>
                          <m:t>1</m:t>
                        </m:r>
                      </m:sub>
                    </m:sSub>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e>
                  <m:e>
                    <m:sSubSup>
                      <m:sSubSupPr>
                        <m:ctrlPr>
                          <w:rPr>
                            <w:rFonts w:ascii="Cambria Math" w:hAnsi="Cambria Math"/>
                            <w:i/>
                          </w:rPr>
                        </m:ctrlPr>
                      </m:sSubSupPr>
                      <m:e>
                        <m:r>
                          <w:rPr>
                            <w:rFonts w:ascii="Cambria Math" w:hAnsi="Cambria Math"/>
                          </w:rPr>
                          <m:t>σ</m:t>
                        </m:r>
                      </m:e>
                      <m:sub>
                        <m:r>
                          <w:rPr>
                            <w:rFonts w:ascii="Cambria Math" w:hAnsi="Cambria Math"/>
                          </w:rPr>
                          <m:t>0</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ρ</m:t>
                            </m:r>
                          </m:e>
                          <m:sup>
                            <m:r>
                              <w:rPr>
                                <w:rFonts w:ascii="Cambria Math" w:hAnsi="Cambria Math"/>
                              </w:rPr>
                              <m:t>2</m:t>
                            </m:r>
                          </m:sup>
                        </m:sSup>
                      </m:e>
                    </m:d>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σ</m:t>
                        </m:r>
                      </m:e>
                      <m:sub>
                        <m:r>
                          <w:rPr>
                            <w:rFonts w:ascii="Cambria Math" w:hAnsi="Cambria Math"/>
                          </w:rPr>
                          <m:t>w</m:t>
                        </m:r>
                      </m:sub>
                      <m:sup>
                        <m:r>
                          <w:rPr>
                            <w:rFonts w:ascii="Cambria Math" w:hAnsi="Cambria Math"/>
                          </w:rPr>
                          <m:t>2</m:t>
                        </m:r>
                      </m:sup>
                    </m:sSubSup>
                  </m:e>
                </m:mr>
              </m:m>
            </m:e>
          </m:d>
        </m:oMath>
      </m:oMathPara>
    </w:p>
    <w:p w:rsidR="00946D81" w:rsidRPr="000327CB" w:rsidRDefault="00946D81" w:rsidP="009B28F1">
      <w:pPr>
        <w:pStyle w:val="ListParagraph"/>
        <w:spacing w:after="0" w:line="240" w:lineRule="auto"/>
      </w:pPr>
    </w:p>
    <w:p w:rsidR="00946D81" w:rsidRPr="000327CB" w:rsidRDefault="00946D81" w:rsidP="009B28F1">
      <w:pPr>
        <w:pStyle w:val="ListParagraph"/>
        <w:numPr>
          <w:ilvl w:val="0"/>
          <w:numId w:val="17"/>
        </w:numPr>
        <w:spacing w:after="0" w:line="240" w:lineRule="auto"/>
      </w:pPr>
      <w:r w:rsidRPr="000327CB">
        <w:rPr>
          <w:u w:val="single"/>
        </w:rPr>
        <w:t xml:space="preserve">If </w:t>
      </w:r>
      <m:oMath>
        <m:sSub>
          <m:sSubPr>
            <m:ctrlPr>
              <w:rPr>
                <w:rFonts w:ascii="Cambria Math" w:hAnsi="Cambria Math"/>
                <w:i/>
                <w:u w:val="single"/>
              </w:rPr>
            </m:ctrlPr>
          </m:sSubPr>
          <m:e>
            <m:r>
              <w:rPr>
                <w:rFonts w:ascii="Cambria Math" w:hAnsi="Cambria Math"/>
                <w:u w:val="single"/>
              </w:rPr>
              <m:t>y</m:t>
            </m:r>
          </m:e>
          <m:sub>
            <m:r>
              <w:rPr>
                <w:rFonts w:ascii="Cambria Math" w:hAnsi="Cambria Math"/>
                <w:u w:val="single"/>
              </w:rPr>
              <m:t>i0</m:t>
            </m:r>
          </m:sub>
        </m:sSub>
        <m:r>
          <w:rPr>
            <w:rFonts w:ascii="Cambria Math" w:hAnsi="Cambria Math"/>
            <w:u w:val="single"/>
          </w:rPr>
          <m:t>&lt;3.0</m:t>
        </m:r>
      </m:oMath>
      <w:r w:rsidRPr="000327CB">
        <w:rPr>
          <w:u w:val="single"/>
        </w:rPr>
        <w:t xml:space="preserve"> </w:t>
      </w:r>
      <w:r>
        <w:rPr>
          <w:u w:val="single"/>
        </w:rPr>
        <w:t xml:space="preserve">then </w:t>
      </w:r>
      <w:r w:rsidRPr="000327CB">
        <w:rPr>
          <w:u w:val="single"/>
        </w:rPr>
        <w:t xml:space="preserve">an individual’s true baseline diameter </w:t>
      </w:r>
      <w:r>
        <w:rPr>
          <w:u w:val="single"/>
        </w:rPr>
        <w:t xml:space="preserve">was set </w:t>
      </w:r>
      <w:r w:rsidRPr="000327CB">
        <w:rPr>
          <w:u w:val="single"/>
        </w:rPr>
        <w:t xml:space="preserve">to their observed diameter </w:t>
      </w:r>
    </w:p>
    <w:p w:rsidR="00946D81" w:rsidRDefault="00946D81" w:rsidP="009B28F1">
      <w:pPr>
        <w:pStyle w:val="ListParagraph"/>
        <w:spacing w:after="0" w:line="240" w:lineRule="auto"/>
      </w:pPr>
      <w:r w:rsidRPr="000327CB">
        <w:t xml:space="preserve">This avoids shrinkage of the true baseline diameter upwards towards the mean in the </w:t>
      </w:r>
      <w:r>
        <w:t>RESCAN</w:t>
      </w:r>
      <w:r w:rsidRPr="000327CB">
        <w:t xml:space="preserve"> cohort used to fit the linear mixed model.</w:t>
      </w:r>
    </w:p>
    <w:p w:rsidR="00946D81" w:rsidRPr="000327CB" w:rsidRDefault="00946D81" w:rsidP="009B28F1">
      <w:pPr>
        <w:pStyle w:val="ListParagraph"/>
        <w:spacing w:after="0" w:line="240" w:lineRule="auto"/>
      </w:pPr>
    </w:p>
    <w:p w:rsidR="00946D81" w:rsidRPr="000327CB" w:rsidRDefault="00946D81" w:rsidP="009B28F1">
      <w:pPr>
        <w:pStyle w:val="ListParagraph"/>
        <w:numPr>
          <w:ilvl w:val="0"/>
          <w:numId w:val="17"/>
        </w:numPr>
        <w:spacing w:after="0" w:line="240" w:lineRule="auto"/>
        <w:rPr>
          <w:u w:val="single"/>
        </w:rPr>
      </w:pPr>
      <w:r w:rsidRPr="000327CB">
        <w:rPr>
          <w:u w:val="single"/>
        </w:rPr>
        <w:t xml:space="preserve">If </w:t>
      </w:r>
      <m:oMath>
        <m:r>
          <w:rPr>
            <w:rFonts w:ascii="Cambria Math" w:hAnsi="Cambria Math"/>
            <w:u w:val="single"/>
          </w:rPr>
          <m:t>2.0≤</m:t>
        </m:r>
        <m:sSub>
          <m:sSubPr>
            <m:ctrlPr>
              <w:rPr>
                <w:rFonts w:ascii="Cambria Math" w:hAnsi="Cambria Math"/>
                <w:i/>
                <w:u w:val="single"/>
              </w:rPr>
            </m:ctrlPr>
          </m:sSubPr>
          <m:e>
            <m:r>
              <w:rPr>
                <w:rFonts w:ascii="Cambria Math" w:hAnsi="Cambria Math"/>
                <w:u w:val="single"/>
              </w:rPr>
              <m:t>y</m:t>
            </m:r>
          </m:e>
          <m:sub>
            <m:r>
              <w:rPr>
                <w:rFonts w:ascii="Cambria Math" w:hAnsi="Cambria Math"/>
                <w:u w:val="single"/>
              </w:rPr>
              <m:t>i0</m:t>
            </m:r>
          </m:sub>
        </m:sSub>
        <m:r>
          <w:rPr>
            <w:rFonts w:ascii="Cambria Math" w:hAnsi="Cambria Math"/>
            <w:u w:val="single"/>
          </w:rPr>
          <m:t>&lt;3.0</m:t>
        </m:r>
      </m:oMath>
      <w:r w:rsidRPr="000327CB">
        <w:rPr>
          <w:u w:val="single"/>
        </w:rPr>
        <w:t xml:space="preserve"> </w:t>
      </w:r>
      <w:r>
        <w:rPr>
          <w:u w:val="single"/>
        </w:rPr>
        <w:t>then</w:t>
      </w:r>
      <w:r w:rsidRPr="000327CB">
        <w:rPr>
          <w:u w:val="single"/>
        </w:rPr>
        <w:t xml:space="preserve"> an individual’s rate of growth </w:t>
      </w:r>
      <w:r>
        <w:rPr>
          <w:u w:val="single"/>
        </w:rPr>
        <w:t xml:space="preserve">was generated </w:t>
      </w:r>
      <w:r w:rsidRPr="000327CB">
        <w:rPr>
          <w:u w:val="single"/>
        </w:rPr>
        <w:t xml:space="preserve">from their posterior distribution conditional on </w:t>
      </w:r>
      <m:oMath>
        <m:sSub>
          <m:sSubPr>
            <m:ctrlPr>
              <w:rPr>
                <w:rFonts w:ascii="Cambria Math" w:hAnsi="Cambria Math"/>
                <w:i/>
                <w:u w:val="single"/>
              </w:rPr>
            </m:ctrlPr>
          </m:sSubPr>
          <m:e>
            <m:r>
              <w:rPr>
                <w:rFonts w:ascii="Cambria Math" w:hAnsi="Cambria Math"/>
                <w:u w:val="single"/>
              </w:rPr>
              <m:t>b</m:t>
            </m:r>
          </m:e>
          <m:sub>
            <m:r>
              <w:rPr>
                <w:rFonts w:ascii="Cambria Math" w:hAnsi="Cambria Math"/>
                <w:u w:val="single"/>
              </w:rPr>
              <m:t>i0</m:t>
            </m:r>
          </m:sub>
        </m:sSub>
      </m:oMath>
      <w:r>
        <w:rPr>
          <w:u w:val="single"/>
        </w:rPr>
        <w:t>:</w:t>
      </w:r>
    </w:p>
    <w:p w:rsidR="00946D81" w:rsidRPr="000327CB" w:rsidRDefault="00946D81" w:rsidP="009B28F1">
      <w:pPr>
        <w:pStyle w:val="ListParagraph"/>
        <w:spacing w:after="0" w:line="240" w:lineRule="auto"/>
      </w:pPr>
    </w:p>
    <w:p w:rsidR="00946D81" w:rsidRPr="000327CB" w:rsidRDefault="00DF0744" w:rsidP="009B28F1">
      <w:pPr>
        <w:pStyle w:val="ListParagraph"/>
        <w:spacing w:after="0" w:line="240" w:lineRule="auto"/>
      </w:pPr>
      <m:oMathPara>
        <m:oMath>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1i</m:t>
                  </m:r>
                </m:sub>
              </m:sSub>
            </m:e>
            <m:e>
              <m:sSub>
                <m:sSubPr>
                  <m:ctrlPr>
                    <w:rPr>
                      <w:rFonts w:ascii="Cambria Math" w:hAnsi="Cambria Math"/>
                      <w:i/>
                    </w:rPr>
                  </m:ctrlPr>
                </m:sSubPr>
                <m:e>
                  <m:r>
                    <w:rPr>
                      <w:rFonts w:ascii="Cambria Math" w:hAnsi="Cambria Math"/>
                    </w:rPr>
                    <m:t>b</m:t>
                  </m:r>
                </m:e>
                <m:sub>
                  <m:r>
                    <w:rPr>
                      <w:rFonts w:ascii="Cambria Math" w:hAnsi="Cambria Math"/>
                    </w:rPr>
                    <m:t>0i</m:t>
                  </m:r>
                </m:sub>
              </m:sSub>
            </m:e>
          </m:d>
          <m:r>
            <w:rPr>
              <w:rFonts w:ascii="Cambria Math" w:hAnsi="Cambria Math"/>
            </w:rPr>
            <m:t>~N(</m:t>
          </m:r>
          <m:sSub>
            <m:sSubPr>
              <m:ctrlPr>
                <w:rPr>
                  <w:rFonts w:ascii="Cambria Math" w:hAnsi="Cambria Math"/>
                  <w:i/>
                </w:rPr>
              </m:ctrlPr>
            </m:sSubPr>
            <m:e>
              <m:r>
                <w:rPr>
                  <w:rFonts w:ascii="Cambria Math" w:hAnsi="Cambria Math"/>
                </w:rPr>
                <m:t>μ</m:t>
              </m:r>
            </m:e>
            <m:sub>
              <m:r>
                <w:rPr>
                  <w:rFonts w:ascii="Cambria Math" w:hAnsi="Cambria Math"/>
                </w:rPr>
                <m:t>b1</m:t>
              </m:r>
            </m:sub>
          </m:sSub>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b1</m:t>
              </m:r>
            </m:sub>
            <m:sup>
              <m:r>
                <w:rPr>
                  <w:rFonts w:ascii="Cambria Math" w:hAnsi="Cambria Math"/>
                </w:rPr>
                <m:t>2</m:t>
              </m:r>
            </m:sup>
          </m:sSubSup>
          <m:r>
            <w:rPr>
              <w:rFonts w:ascii="Cambria Math" w:hAnsi="Cambria Math"/>
            </w:rPr>
            <m:t>)</m:t>
          </m:r>
        </m:oMath>
      </m:oMathPara>
    </w:p>
    <w:p w:rsidR="00946D81" w:rsidRPr="000327CB" w:rsidRDefault="00946D81" w:rsidP="009B28F1">
      <w:pPr>
        <w:pStyle w:val="ListParagraph"/>
        <w:spacing w:after="0" w:line="240" w:lineRule="auto"/>
      </w:pPr>
      <w:r w:rsidRPr="000327CB">
        <w:t xml:space="preserve">where </w:t>
      </w:r>
    </w:p>
    <w:p w:rsidR="00946D81" w:rsidRPr="000327CB" w:rsidRDefault="00DF0744" w:rsidP="009B28F1">
      <w:pPr>
        <w:pStyle w:val="ListParagraph"/>
        <w:spacing w:after="0" w:line="240" w:lineRule="auto"/>
      </w:pPr>
      <m:oMathPara>
        <m:oMath>
          <m:sSub>
            <m:sSubPr>
              <m:ctrlPr>
                <w:rPr>
                  <w:rFonts w:ascii="Cambria Math" w:hAnsi="Cambria Math"/>
                  <w:i/>
                </w:rPr>
              </m:ctrlPr>
            </m:sSubPr>
            <m:e>
              <m:r>
                <w:rPr>
                  <w:rFonts w:ascii="Cambria Math" w:hAnsi="Cambria Math"/>
                </w:rPr>
                <m:t>μ</m:t>
              </m:r>
            </m:e>
            <m:sub>
              <m:r>
                <w:rPr>
                  <w:rFonts w:ascii="Cambria Math" w:hAnsi="Cambria Math"/>
                </w:rPr>
                <m:t>b1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ρ</m:t>
              </m:r>
              <m:sSub>
                <m:sSubPr>
                  <m:ctrlPr>
                    <w:rPr>
                      <w:rFonts w:ascii="Cambria Math" w:hAnsi="Cambria Math"/>
                      <w:i/>
                    </w:rPr>
                  </m:ctrlPr>
                </m:sSubPr>
                <m:e>
                  <m:r>
                    <w:rPr>
                      <w:rFonts w:ascii="Cambria Math" w:hAnsi="Cambria Math"/>
                    </w:rPr>
                    <m:t>σ</m:t>
                  </m:r>
                </m:e>
                <m:sub>
                  <m:r>
                    <w:rPr>
                      <w:rFonts w:ascii="Cambria Math" w:hAnsi="Cambria Math"/>
                    </w:rPr>
                    <m:t>1</m:t>
                  </m:r>
                </m:sub>
              </m:sSub>
            </m:num>
            <m:den>
              <m:sSub>
                <m:sSubPr>
                  <m:ctrlPr>
                    <w:rPr>
                      <w:rFonts w:ascii="Cambria Math" w:hAnsi="Cambria Math"/>
                      <w:i/>
                    </w:rPr>
                  </m:ctrlPr>
                </m:sSubPr>
                <m:e>
                  <m:r>
                    <w:rPr>
                      <w:rFonts w:ascii="Cambria Math" w:hAnsi="Cambria Math"/>
                    </w:rPr>
                    <m:t>σ</m:t>
                  </m:r>
                </m:e>
                <m:sub>
                  <m:r>
                    <w:rPr>
                      <w:rFonts w:ascii="Cambria Math" w:hAnsi="Cambria Math"/>
                    </w:rPr>
                    <m:t>0</m:t>
                  </m:r>
                </m:sub>
              </m:sSub>
            </m:den>
          </m:f>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0i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oMath>
      </m:oMathPara>
    </w:p>
    <w:p w:rsidR="00946D81" w:rsidRPr="0006553F" w:rsidRDefault="00DF0744" w:rsidP="009B28F1">
      <w:pPr>
        <w:pStyle w:val="ListParagraph"/>
        <w:spacing w:after="0" w:line="240" w:lineRule="auto"/>
      </w:pPr>
      <m:oMathPara>
        <m:oMath>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b1</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ρ</m:t>
                  </m:r>
                </m:e>
                <m:sup>
                  <m:r>
                    <w:rPr>
                      <w:rFonts w:ascii="Cambria Math" w:hAnsi="Cambria Math"/>
                    </w:rPr>
                    <m:t>2</m:t>
                  </m:r>
                </m:sup>
              </m:sSup>
            </m:e>
          </m:d>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oMath>
      </m:oMathPara>
    </w:p>
    <w:p w:rsidR="00946D81" w:rsidRPr="000327CB" w:rsidRDefault="00946D81" w:rsidP="009B28F1">
      <w:pPr>
        <w:pStyle w:val="ListParagraph"/>
        <w:spacing w:after="0" w:line="240" w:lineRule="auto"/>
      </w:pPr>
    </w:p>
    <w:p w:rsidR="00946D81" w:rsidRPr="000327CB" w:rsidRDefault="00946D81" w:rsidP="009B28F1">
      <w:pPr>
        <w:pStyle w:val="ListParagraph"/>
        <w:numPr>
          <w:ilvl w:val="0"/>
          <w:numId w:val="17"/>
        </w:numPr>
        <w:spacing w:after="0" w:line="240" w:lineRule="auto"/>
        <w:rPr>
          <w:u w:val="single"/>
        </w:rPr>
      </w:pPr>
      <w:r w:rsidRPr="000327CB">
        <w:rPr>
          <w:u w:val="single"/>
        </w:rPr>
        <w:t xml:space="preserve">If </w:t>
      </w:r>
      <m:oMath>
        <m:sSub>
          <m:sSubPr>
            <m:ctrlPr>
              <w:rPr>
                <w:rFonts w:ascii="Cambria Math" w:hAnsi="Cambria Math"/>
                <w:i/>
                <w:u w:val="single"/>
              </w:rPr>
            </m:ctrlPr>
          </m:sSubPr>
          <m:e>
            <m:r>
              <w:rPr>
                <w:rFonts w:ascii="Cambria Math" w:hAnsi="Cambria Math"/>
                <w:u w:val="single"/>
              </w:rPr>
              <m:t>y</m:t>
            </m:r>
          </m:e>
          <m:sub>
            <m:r>
              <w:rPr>
                <w:rFonts w:ascii="Cambria Math" w:hAnsi="Cambria Math"/>
                <w:u w:val="single"/>
              </w:rPr>
              <m:t>i0</m:t>
            </m:r>
          </m:sub>
        </m:sSub>
        <m:r>
          <w:rPr>
            <w:rFonts w:ascii="Cambria Math" w:hAnsi="Cambria Math"/>
            <w:u w:val="single"/>
          </w:rPr>
          <m:t>&lt;2.0</m:t>
        </m:r>
      </m:oMath>
      <w:r w:rsidRPr="000327CB">
        <w:rPr>
          <w:u w:val="single"/>
        </w:rPr>
        <w:t xml:space="preserve"> </w:t>
      </w:r>
      <w:r>
        <w:rPr>
          <w:u w:val="single"/>
        </w:rPr>
        <w:t xml:space="preserve">then an individual’s </w:t>
      </w:r>
      <w:r w:rsidRPr="000327CB">
        <w:rPr>
          <w:u w:val="single"/>
        </w:rPr>
        <w:t xml:space="preserve">rate of growth to zero </w:t>
      </w:r>
      <w:r>
        <w:rPr>
          <w:u w:val="single"/>
        </w:rPr>
        <w:t>was set to zero</w:t>
      </w:r>
    </w:p>
    <w:p w:rsidR="00946D81" w:rsidRDefault="00946D81" w:rsidP="009B28F1">
      <w:pPr>
        <w:spacing w:after="0" w:line="240" w:lineRule="auto"/>
        <w:ind w:left="720"/>
      </w:pPr>
      <w:r w:rsidRPr="000327CB">
        <w:t>This</w:t>
      </w:r>
      <w:r>
        <w:t xml:space="preserve"> </w:t>
      </w:r>
      <w:r w:rsidRPr="000327CB">
        <w:t xml:space="preserve">rule </w:t>
      </w:r>
      <w:r>
        <w:t>implies</w:t>
      </w:r>
      <w:r w:rsidRPr="000327CB">
        <w:t xml:space="preserve"> that no individuals measured below 2.0cm at baseline will grow during their lifetime.</w:t>
      </w:r>
      <w:r>
        <w:t xml:space="preserve"> </w:t>
      </w:r>
      <w:r w:rsidRPr="000327CB">
        <w:t xml:space="preserve"> </w:t>
      </w:r>
    </w:p>
    <w:p w:rsidR="00946D81" w:rsidRDefault="00946D81" w:rsidP="009B28F1">
      <w:pPr>
        <w:spacing w:after="0" w:line="240" w:lineRule="auto"/>
        <w:ind w:left="720"/>
      </w:pPr>
    </w:p>
    <w:p w:rsidR="00946D81" w:rsidRDefault="00946D81" w:rsidP="009B28F1">
      <w:pPr>
        <w:spacing w:after="0" w:line="240" w:lineRule="auto"/>
      </w:pPr>
      <w:r>
        <w:t>The effect of the extrapolation rules set out above was investigated in validation studies conducted in men, with outputs from the model compared against data from the randomised Multicentre Aneurysm Screening Study; further details of which of given in Glover et al. 2018</w:t>
      </w:r>
      <w:r w:rsidRPr="00193E0F">
        <w:rPr>
          <w:noProof/>
          <w:vertAlign w:val="superscript"/>
        </w:rPr>
        <w:t>7</w:t>
      </w:r>
      <w:r>
        <w:t>. It should be noted that incremental effects (e.g. incremental QALYs, increments costs and the ICER) are robust to the choice of growth rates below the diagnosis threshold, since individuals below the diagnosis threshold at time of screening follow the same life course in both screened and non-screened populations.</w:t>
      </w:r>
    </w:p>
    <w:p w:rsidR="00946D81" w:rsidRDefault="00946D81" w:rsidP="009B28F1">
      <w:pPr>
        <w:spacing w:after="0" w:line="240" w:lineRule="auto"/>
      </w:pPr>
    </w:p>
    <w:p w:rsidR="00946D81" w:rsidRPr="000327CB" w:rsidRDefault="00946D81" w:rsidP="009B28F1">
      <w:pPr>
        <w:spacing w:after="0" w:line="240" w:lineRule="auto"/>
      </w:pPr>
      <w:r w:rsidRPr="000327CB">
        <w:t xml:space="preserve">The </w:t>
      </w:r>
      <w:r>
        <w:t>rate of AAA</w:t>
      </w:r>
      <w:r w:rsidRPr="000327CB">
        <w:t xml:space="preserve"> rupture </w:t>
      </w:r>
      <w:r>
        <w:t xml:space="preserve">was assumed to depend on the underlying AAA diameter and was modelled using </w:t>
      </w:r>
      <w:r w:rsidRPr="000327CB">
        <w:t xml:space="preserve">a joint </w:t>
      </w:r>
      <w:r>
        <w:t>longitudinal and time-to-event model with</w:t>
      </w:r>
      <w:r w:rsidRPr="000327CB">
        <w:t xml:space="preserve"> the hazard of rupture </w:t>
      </w:r>
      <w:r>
        <w:t xml:space="preserve">for woman </w:t>
      </w:r>
      <m:oMath>
        <m:r>
          <w:rPr>
            <w:rFonts w:ascii="Cambria Math" w:hAnsi="Cambria Math"/>
          </w:rPr>
          <m:t>i</m:t>
        </m:r>
      </m:oMath>
      <w:r>
        <w:rPr>
          <w:rFonts w:eastAsiaTheme="minorEastAsia"/>
        </w:rPr>
        <w:t xml:space="preserve"> at time </w:t>
      </w:r>
      <m:oMath>
        <m:r>
          <w:rPr>
            <w:rFonts w:ascii="Cambria Math" w:eastAsiaTheme="minorEastAsia" w:hAnsi="Cambria Math"/>
          </w:rPr>
          <m:t>t</m:t>
        </m:r>
      </m:oMath>
      <w:r>
        <w:rPr>
          <w:rFonts w:eastAsiaTheme="minorEastAsia"/>
        </w:rPr>
        <w:t xml:space="preserve"> </w:t>
      </w:r>
      <w:r>
        <w:t>specified as</w:t>
      </w:r>
    </w:p>
    <w:p w:rsidR="00946D81" w:rsidRPr="000327CB" w:rsidRDefault="00946D81" w:rsidP="009B28F1">
      <w:pPr>
        <w:spacing w:after="0" w:line="240" w:lineRule="auto"/>
      </w:pPr>
      <w:r w:rsidRPr="000327CB">
        <w:tab/>
      </w:r>
      <w:r w:rsidRPr="000327CB">
        <w:tab/>
      </w:r>
      <w:r w:rsidRPr="000327CB">
        <w:tab/>
      </w:r>
      <m:oMath>
        <m:sSub>
          <m:sSubPr>
            <m:ctrlPr>
              <w:rPr>
                <w:rFonts w:ascii="Cambria Math" w:hAnsi="Cambria Math"/>
                <w:i/>
              </w:rPr>
            </m:ctrlPr>
          </m:sSubPr>
          <m:e>
            <m:r>
              <w:rPr>
                <w:rFonts w:ascii="Cambria Math" w:hAnsi="Cambria Math"/>
              </w:rPr>
              <m:t>h</m:t>
            </m:r>
          </m:e>
          <m:sub>
            <m:r>
              <w:rPr>
                <w:rFonts w:ascii="Cambria Math" w:hAnsi="Cambria Math"/>
              </w:rPr>
              <m:t>i</m:t>
            </m:r>
          </m:sub>
        </m:sSub>
        <m:d>
          <m:dPr>
            <m:ctrlPr>
              <w:rPr>
                <w:rFonts w:ascii="Cambria Math" w:hAnsi="Cambria Math"/>
                <w:i/>
              </w:rPr>
            </m:ctrlPr>
          </m:dPr>
          <m:e>
            <m:r>
              <w:rPr>
                <w:rFonts w:ascii="Cambria Math" w:hAnsi="Cambria Math"/>
              </w:rPr>
              <m:t>t</m:t>
            </m:r>
          </m:e>
        </m:d>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γ+α</m:t>
                </m:r>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0i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1i</m:t>
                        </m:r>
                      </m:sub>
                    </m:sSub>
                    <m:sSub>
                      <m:sSubPr>
                        <m:ctrlPr>
                          <w:rPr>
                            <w:rFonts w:ascii="Cambria Math" w:hAnsi="Cambria Math"/>
                            <w:i/>
                          </w:rPr>
                        </m:ctrlPr>
                      </m:sSubPr>
                      <m:e>
                        <m:r>
                          <w:rPr>
                            <w:rFonts w:ascii="Cambria Math" w:hAnsi="Cambria Math"/>
                          </w:rPr>
                          <m:t>t</m:t>
                        </m:r>
                      </m:e>
                      <m:sub>
                        <m:r>
                          <w:rPr>
                            <w:rFonts w:ascii="Cambria Math" w:hAnsi="Cambria Math"/>
                          </w:rPr>
                          <m:t>ij</m:t>
                        </m:r>
                      </m:sub>
                    </m:sSub>
                  </m:e>
                </m:d>
              </m:e>
            </m:d>
          </m:e>
        </m:func>
      </m:oMath>
    </w:p>
    <w:p w:rsidR="00946D81" w:rsidRDefault="00946D81" w:rsidP="009B28F1">
      <w:pPr>
        <w:spacing w:after="0" w:line="240" w:lineRule="auto"/>
      </w:pPr>
      <w:r w:rsidRPr="000327CB">
        <w:t xml:space="preserve">where </w:t>
      </w:r>
      <m:oMath>
        <m:r>
          <w:rPr>
            <w:rFonts w:ascii="Cambria Math" w:hAnsi="Cambria Math"/>
          </w:rPr>
          <m:t>γ</m:t>
        </m:r>
      </m:oMath>
      <w:r w:rsidRPr="000327CB">
        <w:t xml:space="preserve"> is the log baseline hazard and </w:t>
      </w:r>
      <m:oMath>
        <m:r>
          <w:rPr>
            <w:rFonts w:ascii="Cambria Math" w:hAnsi="Cambria Math"/>
          </w:rPr>
          <m:t>α</m:t>
        </m:r>
      </m:oMath>
      <w:r w:rsidRPr="000327CB">
        <w:t xml:space="preserve"> is the log hazard ratio associated with a one unit increase in log aortic diameter (the expression in the inner brackets). The hazard function corresponds to a Gompertz distribution with shape parameter </w:t>
      </w:r>
      <m:oMath>
        <m:r>
          <w:rPr>
            <w:rFonts w:ascii="Cambria Math" w:hAnsi="Cambria Math"/>
          </w:rPr>
          <m:t>α</m:t>
        </m:r>
        <m:sSub>
          <m:sSubPr>
            <m:ctrlPr>
              <w:rPr>
                <w:rFonts w:ascii="Cambria Math" w:hAnsi="Cambria Math"/>
                <w:i/>
              </w:rPr>
            </m:ctrlPr>
          </m:sSubPr>
          <m:e>
            <m:r>
              <w:rPr>
                <w:rFonts w:ascii="Cambria Math" w:hAnsi="Cambria Math"/>
              </w:rPr>
              <m:t>b</m:t>
            </m:r>
          </m:e>
          <m:sub>
            <m:r>
              <w:rPr>
                <w:rFonts w:ascii="Cambria Math" w:hAnsi="Cambria Math"/>
              </w:rPr>
              <m:t>1i</m:t>
            </m:r>
          </m:sub>
        </m:sSub>
      </m:oMath>
      <w:r w:rsidRPr="000327CB">
        <w:t xml:space="preserve"> and rate parameter </w:t>
      </w:r>
      <m:oMath>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γ+ α</m:t>
                </m:r>
                <m:sSub>
                  <m:sSubPr>
                    <m:ctrlPr>
                      <w:rPr>
                        <w:rFonts w:ascii="Cambria Math" w:hAnsi="Cambria Math"/>
                        <w:i/>
                      </w:rPr>
                    </m:ctrlPr>
                  </m:sSubPr>
                  <m:e>
                    <m:r>
                      <w:rPr>
                        <w:rFonts w:ascii="Cambria Math" w:hAnsi="Cambria Math"/>
                      </w:rPr>
                      <m:t>b</m:t>
                    </m:r>
                  </m:e>
                  <m:sub>
                    <m:r>
                      <w:rPr>
                        <w:rFonts w:ascii="Cambria Math" w:hAnsi="Cambria Math"/>
                      </w:rPr>
                      <m:t>0i</m:t>
                    </m:r>
                  </m:sub>
                </m:sSub>
              </m:e>
            </m:d>
          </m:e>
        </m:func>
      </m:oMath>
      <w:r w:rsidRPr="000327CB">
        <w:t>.</w:t>
      </w:r>
      <w:r>
        <w:t xml:space="preserve"> The (primary) rupture risk was set to zero at the time a woman underwent a successful elective AAA operation.</w:t>
      </w:r>
    </w:p>
    <w:p w:rsidR="00946D81" w:rsidRDefault="00946D81" w:rsidP="009B28F1">
      <w:pPr>
        <w:spacing w:after="0" w:line="240" w:lineRule="auto"/>
        <w:ind w:left="720"/>
      </w:pPr>
    </w:p>
    <w:p w:rsidR="00946D81" w:rsidRDefault="00946D81" w:rsidP="009B28F1">
      <w:pPr>
        <w:spacing w:after="0" w:line="240" w:lineRule="auto"/>
      </w:pPr>
      <w:r>
        <w:rPr>
          <w:rFonts w:eastAsiaTheme="minorEastAsia"/>
        </w:rPr>
        <w:t>Six RESCAN studies provided data on both AAA growth and rupture. The model was fitted separately within each study before pooling estimates using multivariate random-effects meta-analysis.  Since ruptures were rare, we used data from both 1071 women and 5358 men, contributing 49 and 92 AAA rupture events, respectively, and a total of 21,658 person-years of follow-up. We allowed for sex differences in AAA diameter and rate of rupture by including sex as a covariate in both the longitudinal (growth) and time-to-event (rupture) sub-models.  A</w:t>
      </w:r>
      <w:r>
        <w:t xml:space="preserve"> linear relationship between log(diameter) and time was assumed to model the growth of an aneurysm. </w:t>
      </w:r>
    </w:p>
    <w:p w:rsidR="00946D81" w:rsidRDefault="00946D81" w:rsidP="009B28F1">
      <w:pPr>
        <w:spacing w:after="0" w:line="240" w:lineRule="auto"/>
        <w:rPr>
          <w:b/>
        </w:rPr>
      </w:pPr>
    </w:p>
    <w:p w:rsidR="00946D81" w:rsidRPr="00B6492C" w:rsidRDefault="00946D81" w:rsidP="00B6492C">
      <w:pPr>
        <w:pStyle w:val="Heading2"/>
        <w:rPr>
          <w:color w:val="000000" w:themeColor="text1"/>
          <w:sz w:val="22"/>
          <w:szCs w:val="22"/>
        </w:rPr>
      </w:pPr>
      <w:bookmarkStart w:id="24" w:name="_Toc506974550"/>
      <w:bookmarkStart w:id="25" w:name="_Toc513707569"/>
      <w:r w:rsidRPr="00B6492C">
        <w:rPr>
          <w:color w:val="000000" w:themeColor="text1"/>
          <w:sz w:val="22"/>
          <w:szCs w:val="22"/>
        </w:rPr>
        <w:t>4. Operative mortality and non-intervention rates</w:t>
      </w:r>
      <w:bookmarkEnd w:id="24"/>
      <w:bookmarkEnd w:id="25"/>
    </w:p>
    <w:p w:rsidR="00946D81" w:rsidRDefault="00946D81" w:rsidP="009B28F1">
      <w:pPr>
        <w:spacing w:after="0" w:line="240" w:lineRule="auto"/>
        <w:rPr>
          <w:b/>
        </w:rPr>
      </w:pPr>
    </w:p>
    <w:p w:rsidR="00946D81" w:rsidRPr="00907523" w:rsidRDefault="00946D81" w:rsidP="00907523">
      <w:pPr>
        <w:spacing w:after="0" w:line="240" w:lineRule="auto"/>
        <w:jc w:val="both"/>
      </w:pPr>
      <w:r w:rsidRPr="00B5030C">
        <w:rPr>
          <w:rFonts w:cstheme="minorHAnsi"/>
        </w:rPr>
        <w:t>Data on operative mortality rates for both endovascular and open aneurysm repairs, and elective and emergency operations were extracted from the UK National Vascular Registry (NVR)</w:t>
      </w:r>
      <w:r w:rsidRPr="00193E0F">
        <w:rPr>
          <w:rFonts w:cstheme="minorHAnsi"/>
          <w:noProof/>
          <w:vertAlign w:val="superscript"/>
        </w:rPr>
        <w:t>8</w:t>
      </w:r>
      <w:r w:rsidRPr="00B5030C">
        <w:rPr>
          <w:rFonts w:cstheme="minorHAnsi"/>
        </w:rPr>
        <w:t xml:space="preserve"> and Hospital Episode Statistics (HES) data</w:t>
      </w:r>
      <w:r w:rsidRPr="00193E0F">
        <w:rPr>
          <w:rFonts w:cstheme="minorHAnsi"/>
          <w:noProof/>
          <w:vertAlign w:val="superscript"/>
        </w:rPr>
        <w:t>9</w:t>
      </w:r>
      <w:r w:rsidRPr="00B5030C">
        <w:rPr>
          <w:rFonts w:cstheme="minorHAnsi"/>
        </w:rPr>
        <w:t xml:space="preserve">, which contains details of all admissions, outpatient appointments and A&amp;E attendances at NHS hospitals in England. NVR contains data on in-hospital mortality and HES contains data on both 30-day and in-hospital mortality. NVR was the principal source used for surgical parameters for women since data from this registry were used to create age and AAA diameter-specific estimates using logistic regression models. The NVR in-hospital mortality was then adjusted to reflect the (greater) 30-day mortality with a log odds ratio corresponding to the 30-day mortality vs. in-hospital mortality in HES. </w:t>
      </w:r>
      <w:r w:rsidRPr="00D85D3A">
        <w:rPr>
          <w:rFonts w:cstheme="minorHAnsi"/>
        </w:rPr>
        <w:t>EVAR was used in ~60% of elective repairs recorded in NVR, but in &lt;</w:t>
      </w:r>
      <w:r>
        <w:rPr>
          <w:rFonts w:cstheme="minorHAnsi"/>
        </w:rPr>
        <w:t>50% for women aged less than 75</w:t>
      </w:r>
      <w:r w:rsidRPr="00D85D3A">
        <w:rPr>
          <w:rFonts w:cstheme="minorHAnsi"/>
          <w:noProof/>
          <w:vertAlign w:val="superscript"/>
        </w:rPr>
        <w:t>10</w:t>
      </w:r>
      <w:r>
        <w:rPr>
          <w:rFonts w:cstheme="minorHAnsi"/>
        </w:rPr>
        <w:t xml:space="preserve">. </w:t>
      </w:r>
      <w:r w:rsidRPr="00B5030C">
        <w:rPr>
          <w:rFonts w:cstheme="minorHAnsi"/>
        </w:rPr>
        <w:t>The overall estimated 30-day mortality rates were 2.4% for elective endovascular repair, 8.1% for elective open repair, 35.9% for emergency endovascular repair, and 44.2% for emergency open repair.</w:t>
      </w:r>
      <w:r>
        <w:rPr>
          <w:rFonts w:cstheme="minorHAnsi"/>
        </w:rPr>
        <w:t xml:space="preserve"> </w:t>
      </w:r>
      <w:r w:rsidRPr="00907523">
        <w:rPr>
          <w:rFonts w:cstheme="minorHAnsi"/>
        </w:rPr>
        <w:t>N</w:t>
      </w:r>
      <w:r w:rsidRPr="00907523">
        <w:t>on-intervention rates were obtained from a systematic review</w:t>
      </w:r>
      <w:r w:rsidRPr="00D85D3A">
        <w:rPr>
          <w:noProof/>
          <w:vertAlign w:val="superscript"/>
        </w:rPr>
        <w:t>11</w:t>
      </w:r>
      <w:r w:rsidRPr="00907523">
        <w:t xml:space="preserve">.  </w:t>
      </w:r>
    </w:p>
    <w:p w:rsidR="00946D81" w:rsidRPr="00B6492C" w:rsidRDefault="00946D81" w:rsidP="00B6492C">
      <w:pPr>
        <w:pStyle w:val="Heading2"/>
        <w:rPr>
          <w:color w:val="000000" w:themeColor="text1"/>
          <w:sz w:val="22"/>
          <w:szCs w:val="22"/>
        </w:rPr>
      </w:pPr>
      <w:bookmarkStart w:id="26" w:name="_Toc513707570"/>
      <w:bookmarkStart w:id="27" w:name="_Toc506974551"/>
      <w:bookmarkStart w:id="28" w:name="_Toc504637744"/>
      <w:bookmarkStart w:id="29" w:name="_Toc504637934"/>
      <w:r w:rsidRPr="00B6492C">
        <w:rPr>
          <w:color w:val="000000" w:themeColor="text1"/>
          <w:sz w:val="22"/>
          <w:szCs w:val="22"/>
        </w:rPr>
        <w:t>5. Incidental detection rate</w:t>
      </w:r>
      <w:bookmarkEnd w:id="26"/>
    </w:p>
    <w:p w:rsidR="00946D81" w:rsidRDefault="00946D81" w:rsidP="00562873"/>
    <w:p w:rsidR="00946D81" w:rsidRDefault="00946D81" w:rsidP="00562873">
      <w:r>
        <w:t>In the discrete event simulation model all incidental detections were assumed to thereafter follow the same surveillance protocol as a screen-detected AAA (i.e. surveillance for those detected below the intervention threshold, and referral for consideration of surgery for those detected above the intervention threshold).</w:t>
      </w:r>
    </w:p>
    <w:p w:rsidR="00946D81" w:rsidRDefault="00946D81" w:rsidP="00562873">
      <w:r>
        <w:t>D</w:t>
      </w:r>
      <w:r w:rsidRPr="00544B57">
        <w:t xml:space="preserve">ata </w:t>
      </w:r>
      <w:r>
        <w:t xml:space="preserve">on the incidental detection rate were obtained </w:t>
      </w:r>
      <w:r w:rsidRPr="00544B57">
        <w:t>from a study conducted in Canterbury, New Zealand in which 16</w:t>
      </w:r>
      <w:r>
        <w:t>5</w:t>
      </w:r>
      <w:r w:rsidRPr="00544B57">
        <w:t xml:space="preserve"> new incidental AAAs were detected in men and women from CT scans over the period of 4.25 years</w:t>
      </w:r>
      <w:r w:rsidRPr="00EE4635">
        <w:rPr>
          <w:noProof/>
          <w:vertAlign w:val="superscript"/>
        </w:rPr>
        <w:t>12</w:t>
      </w:r>
      <w:r w:rsidRPr="00544B57">
        <w:t xml:space="preserve">.  About a quarter of all detected AAAs (incidental and known) were in women.  Assuming this proportion also applies to the incidental AAAs and that 97% of AAAs were in individuals aged 65 and over, then there would be approximately 40 AAAs detected in women aged ≥65 years.  From census data, the 2006 population of women ≥65 years for the catchment area (Canterbury, West Coast, and Timaru regions of South Island, New Zealand) is approximately 43,500.  </w:t>
      </w:r>
      <w:r>
        <w:t xml:space="preserve">Based on a prevalence of 0.74% for women </w:t>
      </w:r>
      <w:r w:rsidRPr="00544B57">
        <w:t>≥65 years</w:t>
      </w:r>
      <w:r w:rsidRPr="00AE3F33">
        <w:rPr>
          <w:noProof/>
          <w:vertAlign w:val="superscript"/>
        </w:rPr>
        <w:t>3</w:t>
      </w:r>
      <w:r>
        <w:t xml:space="preserve">, </w:t>
      </w:r>
      <w:r w:rsidRPr="00544B57">
        <w:t xml:space="preserve"> 321 o</w:t>
      </w:r>
      <w:r>
        <w:t>f these women have an aneurysm.</w:t>
      </w:r>
      <w:r w:rsidRPr="00544B57">
        <w:t xml:space="preserve"> </w:t>
      </w:r>
      <w:r>
        <w:t>T</w:t>
      </w:r>
      <w:r w:rsidRPr="00544B57">
        <w:t>his would indicate an incidental detection rate of approximately 40/(321 x 4.25) = 2.93 per 100 person-years for women ≥65 years with an AAA.  This is similar to the rate of 4.6 per 100 person-years used in the most recent health-economic model for men</w:t>
      </w:r>
      <w:r w:rsidRPr="00EE4635">
        <w:rPr>
          <w:noProof/>
          <w:vertAlign w:val="superscript"/>
        </w:rPr>
        <w:t>13</w:t>
      </w:r>
      <w:r>
        <w:t>.</w:t>
      </w:r>
    </w:p>
    <w:p w:rsidR="00946D81" w:rsidRDefault="00946D81" w:rsidP="00562873">
      <w:pPr>
        <w:spacing w:line="240" w:lineRule="auto"/>
      </w:pPr>
      <w:r>
        <w:t xml:space="preserve">The rate is also similar to data from electronic hospital records of women aged 65 years and over undergoing CT scanning obtained from the University Hospital of South Manchester in 2014; 2494 women underwent an abdominal CT during this period, and 65 AAAs were identified.  Of these, 53 were newly identified AAAs, but only 7 were referred on to vascular surgeons to be followed up with surveillance or elective surgery.  The population (women </w:t>
      </w:r>
      <w:r>
        <w:rPr>
          <w:rFonts w:cstheme="minorHAnsi"/>
        </w:rPr>
        <w:t>≥</w:t>
      </w:r>
      <w:r>
        <w:t xml:space="preserve">65 years) of the referral catchment area for the university hospital is approximately 24,500.  Assuming that 181 (0.74%) of these women have an aneurysm this would indicate an incidental detection rate to a surveillance programme of approximately 7/181 = 3.9 per 100 person-years for women </w:t>
      </w:r>
      <w:r>
        <w:rPr>
          <w:rFonts w:cstheme="minorHAnsi"/>
        </w:rPr>
        <w:t>≥</w:t>
      </w:r>
      <w:r>
        <w:t xml:space="preserve">65 years with an AAA. </w:t>
      </w:r>
    </w:p>
    <w:p w:rsidR="00946D81" w:rsidRPr="00562873" w:rsidRDefault="00946D81" w:rsidP="00562873"/>
    <w:p w:rsidR="00946D81" w:rsidRPr="00B6492C" w:rsidRDefault="00946D81" w:rsidP="00B6492C">
      <w:pPr>
        <w:pStyle w:val="Heading2"/>
        <w:rPr>
          <w:color w:val="000000" w:themeColor="text1"/>
          <w:sz w:val="22"/>
          <w:szCs w:val="22"/>
        </w:rPr>
      </w:pPr>
      <w:bookmarkStart w:id="30" w:name="_Toc513707571"/>
      <w:r w:rsidRPr="00B6492C">
        <w:rPr>
          <w:color w:val="000000" w:themeColor="text1"/>
          <w:sz w:val="22"/>
          <w:szCs w:val="22"/>
        </w:rPr>
        <w:t>6. Cost discounting</w:t>
      </w:r>
      <w:bookmarkEnd w:id="30"/>
      <w:r w:rsidRPr="00B6492C">
        <w:rPr>
          <w:color w:val="000000" w:themeColor="text1"/>
          <w:sz w:val="22"/>
          <w:szCs w:val="22"/>
        </w:rPr>
        <w:t xml:space="preserve"> </w:t>
      </w:r>
      <w:bookmarkEnd w:id="27"/>
    </w:p>
    <w:p w:rsidR="00946D81" w:rsidRDefault="00946D81" w:rsidP="005F4598"/>
    <w:p w:rsidR="00946D81" w:rsidRPr="005F4598" w:rsidRDefault="00946D81" w:rsidP="005F4598">
      <w:r>
        <w:t>The cost discounting rate of 3.5% was as recommended by the UK Treasury (Finance Ministry)</w:t>
      </w:r>
      <w:r w:rsidRPr="00EE4635">
        <w:rPr>
          <w:noProof/>
          <w:vertAlign w:val="superscript"/>
        </w:rPr>
        <w:t>14</w:t>
      </w:r>
      <w:r>
        <w:t xml:space="preserve">.  </w:t>
      </w:r>
    </w:p>
    <w:bookmarkEnd w:id="28"/>
    <w:bookmarkEnd w:id="29"/>
    <w:p w:rsidR="00946D81" w:rsidRDefault="00946D81">
      <w:pPr>
        <w:sectPr w:rsidR="00946D81" w:rsidSect="00423A1B">
          <w:pgSz w:w="11906" w:h="16838"/>
          <w:pgMar w:top="1440" w:right="1440" w:bottom="1440" w:left="1440" w:header="709" w:footer="709" w:gutter="0"/>
          <w:lnNumType w:countBy="1" w:restart="continuous"/>
          <w:cols w:space="708"/>
          <w:docGrid w:linePitch="360"/>
        </w:sectPr>
      </w:pPr>
    </w:p>
    <w:p w:rsidR="00946D81" w:rsidRPr="0013238E" w:rsidRDefault="00946D81" w:rsidP="00B6492C">
      <w:pPr>
        <w:pStyle w:val="Caption"/>
        <w:rPr>
          <w:rFonts w:asciiTheme="minorHAnsi" w:hAnsiTheme="minorHAnsi" w:cstheme="minorHAnsi"/>
          <w:b w:val="0"/>
          <w:color w:val="000000" w:themeColor="text1"/>
          <w:sz w:val="22"/>
          <w:szCs w:val="22"/>
        </w:rPr>
      </w:pPr>
      <w:bookmarkStart w:id="31" w:name="_Toc504637551"/>
      <w:bookmarkStart w:id="32" w:name="_Toc504637602"/>
      <w:bookmarkStart w:id="33" w:name="_Toc504637660"/>
      <w:bookmarkStart w:id="34" w:name="_Toc504637785"/>
      <w:bookmarkStart w:id="35" w:name="_Toc504637800"/>
      <w:bookmarkStart w:id="36" w:name="_Toc504637830"/>
      <w:bookmarkStart w:id="37" w:name="_Toc506974538"/>
      <w:bookmarkStart w:id="38" w:name="_Toc507081155"/>
      <w:bookmarkStart w:id="39" w:name="_Toc513462287"/>
      <w:bookmarkStart w:id="40" w:name="_Toc513707206"/>
      <w:r w:rsidRPr="00D243F9">
        <w:rPr>
          <w:rFonts w:asciiTheme="minorHAnsi" w:hAnsiTheme="minorHAnsi" w:cstheme="minorHAnsi"/>
          <w:color w:val="000000" w:themeColor="text1"/>
          <w:sz w:val="22"/>
          <w:szCs w:val="22"/>
        </w:rPr>
        <w:t xml:space="preserve">Supplementary Table  </w:t>
      </w:r>
      <w:r w:rsidRPr="00D243F9">
        <w:rPr>
          <w:rFonts w:asciiTheme="minorHAnsi" w:hAnsiTheme="minorHAnsi" w:cstheme="minorHAnsi"/>
          <w:color w:val="000000" w:themeColor="text1"/>
          <w:sz w:val="22"/>
          <w:szCs w:val="22"/>
        </w:rPr>
        <w:fldChar w:fldCharType="begin"/>
      </w:r>
      <w:r w:rsidRPr="00D243F9">
        <w:rPr>
          <w:rFonts w:asciiTheme="minorHAnsi" w:hAnsiTheme="minorHAnsi" w:cstheme="minorHAnsi"/>
          <w:color w:val="000000" w:themeColor="text1"/>
          <w:sz w:val="22"/>
          <w:szCs w:val="22"/>
        </w:rPr>
        <w:instrText xml:space="preserve"> SEQ Supplementary_Table_ \* ARABIC </w:instrText>
      </w:r>
      <w:r w:rsidRPr="00D243F9">
        <w:rPr>
          <w:rFonts w:asciiTheme="minorHAnsi" w:hAnsiTheme="minorHAnsi" w:cstheme="minorHAnsi"/>
          <w:color w:val="000000" w:themeColor="text1"/>
          <w:sz w:val="22"/>
          <w:szCs w:val="22"/>
        </w:rPr>
        <w:fldChar w:fldCharType="separate"/>
      </w:r>
      <w:r>
        <w:rPr>
          <w:rFonts w:asciiTheme="minorHAnsi" w:hAnsiTheme="minorHAnsi" w:cstheme="minorHAnsi"/>
          <w:noProof/>
          <w:color w:val="000000" w:themeColor="text1"/>
          <w:sz w:val="22"/>
          <w:szCs w:val="22"/>
        </w:rPr>
        <w:t>1</w:t>
      </w:r>
      <w:r w:rsidRPr="00D243F9">
        <w:rPr>
          <w:rFonts w:asciiTheme="minorHAnsi" w:hAnsiTheme="minorHAnsi" w:cstheme="minorHAnsi"/>
          <w:color w:val="000000" w:themeColor="text1"/>
          <w:sz w:val="22"/>
          <w:szCs w:val="22"/>
        </w:rPr>
        <w:fldChar w:fldCharType="end"/>
      </w:r>
      <w:r w:rsidRPr="00D243F9">
        <w:rPr>
          <w:rFonts w:asciiTheme="minorHAnsi" w:hAnsiTheme="minorHAnsi" w:cstheme="minorHAnsi"/>
          <w:color w:val="000000" w:themeColor="text1"/>
          <w:sz w:val="22"/>
          <w:szCs w:val="22"/>
        </w:rPr>
        <w:t xml:space="preserve">. </w:t>
      </w:r>
      <w:r w:rsidRPr="0013238E">
        <w:rPr>
          <w:rFonts w:asciiTheme="minorHAnsi" w:hAnsiTheme="minorHAnsi" w:cstheme="minorHAnsi"/>
          <w:b w:val="0"/>
          <w:color w:val="000000" w:themeColor="text1"/>
          <w:sz w:val="22"/>
          <w:szCs w:val="22"/>
        </w:rPr>
        <w:t xml:space="preserve">Input parameters for the reference </w:t>
      </w:r>
      <w:r>
        <w:rPr>
          <w:rFonts w:asciiTheme="minorHAnsi" w:hAnsiTheme="minorHAnsi" w:cstheme="minorHAnsi"/>
          <w:b w:val="0"/>
          <w:color w:val="000000" w:themeColor="text1"/>
          <w:sz w:val="22"/>
          <w:szCs w:val="22"/>
        </w:rPr>
        <w:t>case</w:t>
      </w:r>
      <w:r w:rsidRPr="0013238E">
        <w:rPr>
          <w:rFonts w:asciiTheme="minorHAnsi" w:hAnsiTheme="minorHAnsi" w:cstheme="minorHAnsi"/>
          <w:b w:val="0"/>
          <w:color w:val="000000" w:themeColor="text1"/>
          <w:sz w:val="22"/>
          <w:szCs w:val="22"/>
        </w:rPr>
        <w:t>, probability distributions used in probabilistic sensitivity analyses (PSA) and deterministic sensitivity analyses (DSA) inputs</w:t>
      </w:r>
      <w:bookmarkEnd w:id="31"/>
      <w:bookmarkEnd w:id="32"/>
      <w:bookmarkEnd w:id="33"/>
      <w:bookmarkEnd w:id="34"/>
      <w:bookmarkEnd w:id="35"/>
      <w:bookmarkEnd w:id="36"/>
      <w:bookmarkEnd w:id="37"/>
      <w:bookmarkEnd w:id="38"/>
      <w:bookmarkEnd w:id="39"/>
      <w:bookmarkEnd w:id="40"/>
    </w:p>
    <w:p w:rsidR="00946D81" w:rsidRDefault="00946D81" w:rsidP="00DC264B">
      <w:pPr>
        <w:jc w:val="both"/>
        <w:rPr>
          <w:b/>
        </w:rPr>
      </w:pPr>
    </w:p>
    <w:tbl>
      <w:tblPr>
        <w:tblStyle w:val="TableGrid"/>
        <w:tblW w:w="9330" w:type="dxa"/>
        <w:tblLayout w:type="fixed"/>
        <w:tblLook w:val="04A0" w:firstRow="1" w:lastRow="0" w:firstColumn="1" w:lastColumn="0" w:noHBand="0" w:noVBand="1"/>
      </w:tblPr>
      <w:tblGrid>
        <w:gridCol w:w="1565"/>
        <w:gridCol w:w="1407"/>
        <w:gridCol w:w="1985"/>
        <w:gridCol w:w="2268"/>
        <w:gridCol w:w="2105"/>
      </w:tblGrid>
      <w:tr w:rsidR="00946D81" w:rsidRPr="003F09F4" w:rsidTr="00DC264B">
        <w:tc>
          <w:tcPr>
            <w:tcW w:w="1565" w:type="dxa"/>
            <w:tcBorders>
              <w:bottom w:val="threeDEngrave" w:sz="24" w:space="0" w:color="auto"/>
            </w:tcBorders>
          </w:tcPr>
          <w:p w:rsidR="00946D81" w:rsidRPr="003F09F4" w:rsidRDefault="00946D81" w:rsidP="00DC264B">
            <w:pPr>
              <w:rPr>
                <w:b/>
                <w:sz w:val="16"/>
                <w:szCs w:val="16"/>
              </w:rPr>
            </w:pPr>
            <w:r w:rsidRPr="003F09F4">
              <w:rPr>
                <w:b/>
                <w:sz w:val="16"/>
                <w:szCs w:val="16"/>
              </w:rPr>
              <w:t>Parameter</w:t>
            </w:r>
          </w:p>
        </w:tc>
        <w:tc>
          <w:tcPr>
            <w:tcW w:w="1407" w:type="dxa"/>
            <w:tcBorders>
              <w:bottom w:val="threeDEngrave" w:sz="24" w:space="0" w:color="auto"/>
            </w:tcBorders>
          </w:tcPr>
          <w:p w:rsidR="00946D81" w:rsidRPr="003F09F4" w:rsidRDefault="00946D81" w:rsidP="00DC264B">
            <w:pPr>
              <w:rPr>
                <w:b/>
                <w:sz w:val="16"/>
                <w:szCs w:val="16"/>
              </w:rPr>
            </w:pPr>
            <w:r w:rsidRPr="003F09F4">
              <w:rPr>
                <w:b/>
                <w:sz w:val="16"/>
                <w:szCs w:val="16"/>
              </w:rPr>
              <w:t>Source</w:t>
            </w:r>
            <w:r>
              <w:rPr>
                <w:b/>
                <w:sz w:val="16"/>
                <w:szCs w:val="16"/>
              </w:rPr>
              <w:t xml:space="preserve"> </w:t>
            </w:r>
          </w:p>
        </w:tc>
        <w:tc>
          <w:tcPr>
            <w:tcW w:w="1985" w:type="dxa"/>
            <w:tcBorders>
              <w:bottom w:val="threeDEngrave" w:sz="24" w:space="0" w:color="auto"/>
            </w:tcBorders>
          </w:tcPr>
          <w:p w:rsidR="00946D81" w:rsidRPr="003F09F4" w:rsidRDefault="00946D81" w:rsidP="00DC264B">
            <w:pPr>
              <w:rPr>
                <w:b/>
                <w:sz w:val="16"/>
                <w:szCs w:val="16"/>
              </w:rPr>
            </w:pPr>
            <w:r>
              <w:rPr>
                <w:b/>
                <w:sz w:val="16"/>
                <w:szCs w:val="16"/>
              </w:rPr>
              <w:t>Reference model</w:t>
            </w:r>
          </w:p>
        </w:tc>
        <w:tc>
          <w:tcPr>
            <w:tcW w:w="2268" w:type="dxa"/>
            <w:tcBorders>
              <w:bottom w:val="threeDEngrave" w:sz="24" w:space="0" w:color="auto"/>
            </w:tcBorders>
          </w:tcPr>
          <w:p w:rsidR="00946D81" w:rsidRPr="003F09F4" w:rsidRDefault="00946D81" w:rsidP="00DC264B">
            <w:pPr>
              <w:rPr>
                <w:b/>
                <w:sz w:val="16"/>
                <w:szCs w:val="16"/>
              </w:rPr>
            </w:pPr>
            <w:r w:rsidRPr="003F09F4">
              <w:rPr>
                <w:b/>
                <w:sz w:val="16"/>
                <w:szCs w:val="16"/>
              </w:rPr>
              <w:t>PSA</w:t>
            </w:r>
          </w:p>
        </w:tc>
        <w:tc>
          <w:tcPr>
            <w:tcW w:w="2105" w:type="dxa"/>
            <w:tcBorders>
              <w:bottom w:val="threeDEngrave" w:sz="24" w:space="0" w:color="auto"/>
            </w:tcBorders>
          </w:tcPr>
          <w:p w:rsidR="00946D81" w:rsidRPr="003F09F4" w:rsidRDefault="00946D81" w:rsidP="00DC264B">
            <w:pPr>
              <w:rPr>
                <w:b/>
                <w:sz w:val="16"/>
                <w:szCs w:val="16"/>
              </w:rPr>
            </w:pPr>
            <w:r w:rsidRPr="003F09F4">
              <w:rPr>
                <w:b/>
                <w:sz w:val="16"/>
                <w:szCs w:val="16"/>
              </w:rPr>
              <w:t>DSA</w:t>
            </w:r>
          </w:p>
        </w:tc>
      </w:tr>
      <w:tr w:rsidR="00946D81" w:rsidRPr="003F09F4" w:rsidTr="00DC264B">
        <w:tc>
          <w:tcPr>
            <w:tcW w:w="9330" w:type="dxa"/>
            <w:gridSpan w:val="5"/>
            <w:tcBorders>
              <w:top w:val="single" w:sz="4" w:space="0" w:color="auto"/>
            </w:tcBorders>
          </w:tcPr>
          <w:p w:rsidR="00946D81" w:rsidRPr="003F09F4" w:rsidRDefault="00946D81" w:rsidP="00DC264B">
            <w:pPr>
              <w:rPr>
                <w:sz w:val="16"/>
                <w:szCs w:val="16"/>
              </w:rPr>
            </w:pPr>
            <w:r w:rsidRPr="003F09F4">
              <w:rPr>
                <w:b/>
                <w:sz w:val="16"/>
                <w:szCs w:val="16"/>
              </w:rPr>
              <w:t>Screening</w:t>
            </w:r>
          </w:p>
        </w:tc>
      </w:tr>
      <w:tr w:rsidR="00946D81" w:rsidRPr="003F09F4" w:rsidTr="00DC264B">
        <w:tc>
          <w:tcPr>
            <w:tcW w:w="1565" w:type="dxa"/>
            <w:tcBorders>
              <w:top w:val="single" w:sz="4" w:space="0" w:color="auto"/>
            </w:tcBorders>
          </w:tcPr>
          <w:p w:rsidR="00946D81" w:rsidRPr="003F09F4" w:rsidRDefault="00946D81" w:rsidP="00DC264B">
            <w:pPr>
              <w:rPr>
                <w:sz w:val="16"/>
                <w:szCs w:val="16"/>
              </w:rPr>
            </w:pPr>
            <w:r w:rsidRPr="003F09F4">
              <w:rPr>
                <w:sz w:val="16"/>
                <w:szCs w:val="16"/>
              </w:rPr>
              <w:t>Re-invitation proportion</w:t>
            </w:r>
          </w:p>
        </w:tc>
        <w:tc>
          <w:tcPr>
            <w:tcW w:w="1407" w:type="dxa"/>
            <w:tcBorders>
              <w:top w:val="single" w:sz="4" w:space="0" w:color="auto"/>
            </w:tcBorders>
          </w:tcPr>
          <w:p w:rsidR="00946D81" w:rsidRPr="00DF2CE7" w:rsidRDefault="00946D81" w:rsidP="00DC264B">
            <w:pPr>
              <w:rPr>
                <w:sz w:val="16"/>
                <w:szCs w:val="16"/>
              </w:rPr>
            </w:pPr>
            <w:r w:rsidRPr="00DF2CE7">
              <w:rPr>
                <w:sz w:val="16"/>
                <w:szCs w:val="16"/>
              </w:rPr>
              <w:t>NAAASP</w:t>
            </w:r>
            <w:r>
              <w:rPr>
                <w:sz w:val="16"/>
                <w:szCs w:val="16"/>
              </w:rPr>
              <w:t xml:space="preserve"> (unpublished)</w:t>
            </w:r>
          </w:p>
        </w:tc>
        <w:tc>
          <w:tcPr>
            <w:tcW w:w="1985" w:type="dxa"/>
            <w:tcBorders>
              <w:top w:val="single" w:sz="4" w:space="0" w:color="auto"/>
            </w:tcBorders>
          </w:tcPr>
          <w:p w:rsidR="00946D81" w:rsidRPr="003F09F4" w:rsidRDefault="00946D81" w:rsidP="00DC264B">
            <w:pPr>
              <w:rPr>
                <w:sz w:val="16"/>
                <w:szCs w:val="16"/>
              </w:rPr>
            </w:pPr>
            <w:r w:rsidRPr="003F09F4">
              <w:rPr>
                <w:sz w:val="16"/>
                <w:szCs w:val="16"/>
              </w:rPr>
              <w:t xml:space="preserve">142,127 / 594,376 </w:t>
            </w:r>
            <w:r w:rsidRPr="003F09F4">
              <w:rPr>
                <w:sz w:val="16"/>
                <w:szCs w:val="16"/>
              </w:rPr>
              <w:sym w:font="Symbol" w:char="F0BB"/>
            </w:r>
            <w:r w:rsidRPr="003F09F4">
              <w:rPr>
                <w:sz w:val="16"/>
                <w:szCs w:val="16"/>
              </w:rPr>
              <w:t xml:space="preserve"> 0.239</w:t>
            </w:r>
          </w:p>
        </w:tc>
        <w:tc>
          <w:tcPr>
            <w:tcW w:w="2268" w:type="dxa"/>
            <w:tcBorders>
              <w:top w:val="single" w:sz="4" w:space="0" w:color="auto"/>
            </w:tcBorders>
          </w:tcPr>
          <w:p w:rsidR="00946D81" w:rsidRPr="003F09F4" w:rsidRDefault="00946D81" w:rsidP="00DC264B">
            <w:pPr>
              <w:rPr>
                <w:sz w:val="16"/>
                <w:szCs w:val="16"/>
              </w:rPr>
            </w:pPr>
            <w:r w:rsidRPr="003F09F4">
              <w:rPr>
                <w:sz w:val="16"/>
                <w:szCs w:val="16"/>
              </w:rPr>
              <w:t>None</w:t>
            </w:r>
          </w:p>
        </w:tc>
        <w:tc>
          <w:tcPr>
            <w:tcW w:w="2105" w:type="dxa"/>
            <w:tcBorders>
              <w:top w:val="single" w:sz="4" w:space="0" w:color="auto"/>
            </w:tcBorders>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Attendance proportion</w:t>
            </w:r>
          </w:p>
        </w:tc>
        <w:tc>
          <w:tcPr>
            <w:tcW w:w="1407" w:type="dxa"/>
          </w:tcPr>
          <w:p w:rsidR="00946D81" w:rsidRPr="00DF2CE7" w:rsidRDefault="00946D81" w:rsidP="00EE4635">
            <w:pPr>
              <w:rPr>
                <w:sz w:val="16"/>
                <w:szCs w:val="16"/>
              </w:rPr>
            </w:pPr>
            <w:r>
              <w:rPr>
                <w:sz w:val="16"/>
                <w:szCs w:val="16"/>
              </w:rPr>
              <w:t xml:space="preserve">Scott et al. 2002 </w:t>
            </w:r>
            <w:r w:rsidRPr="00EE4635">
              <w:rPr>
                <w:noProof/>
                <w:sz w:val="16"/>
                <w:szCs w:val="16"/>
                <w:vertAlign w:val="superscript"/>
              </w:rPr>
              <w:t>15</w:t>
            </w:r>
          </w:p>
        </w:tc>
        <w:tc>
          <w:tcPr>
            <w:tcW w:w="1985" w:type="dxa"/>
          </w:tcPr>
          <w:p w:rsidR="00946D81" w:rsidRPr="003F09F4" w:rsidRDefault="00946D81" w:rsidP="00DC264B">
            <w:pPr>
              <w:rPr>
                <w:sz w:val="16"/>
                <w:szCs w:val="16"/>
              </w:rPr>
            </w:pPr>
            <w:r w:rsidRPr="003F09F4">
              <w:rPr>
                <w:sz w:val="16"/>
                <w:szCs w:val="16"/>
              </w:rPr>
              <w:t xml:space="preserve">218 / 300 </w:t>
            </w:r>
            <w:r w:rsidRPr="003F09F4">
              <w:rPr>
                <w:sz w:val="16"/>
                <w:szCs w:val="16"/>
              </w:rPr>
              <w:sym w:font="Symbol" w:char="F0BB"/>
            </w:r>
            <w:r w:rsidRPr="003F09F4">
              <w:rPr>
                <w:sz w:val="16"/>
                <w:szCs w:val="16"/>
              </w:rPr>
              <w:t xml:space="preserve"> 0.727</w:t>
            </w:r>
          </w:p>
        </w:tc>
        <w:tc>
          <w:tcPr>
            <w:tcW w:w="2268" w:type="dxa"/>
          </w:tcPr>
          <w:p w:rsidR="00946D81" w:rsidRPr="003F09F4" w:rsidRDefault="00946D81" w:rsidP="00DC264B">
            <w:pPr>
              <w:rPr>
                <w:sz w:val="16"/>
                <w:szCs w:val="16"/>
              </w:rPr>
            </w:pPr>
            <w:r w:rsidRPr="003F09F4">
              <w:rPr>
                <w:sz w:val="16"/>
                <w:szCs w:val="16"/>
              </w:rPr>
              <w:t>Beta(218,82)</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Non-visualisation proportion</w:t>
            </w:r>
          </w:p>
        </w:tc>
        <w:tc>
          <w:tcPr>
            <w:tcW w:w="1407" w:type="dxa"/>
          </w:tcPr>
          <w:p w:rsidR="00946D81" w:rsidRPr="00DF2CE7"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rPr>
            </w:pPr>
            <w:r w:rsidRPr="003F09F4">
              <w:rPr>
                <w:sz w:val="16"/>
                <w:szCs w:val="16"/>
              </w:rPr>
              <w:t xml:space="preserve">1652 / 470,531 </w:t>
            </w:r>
            <w:r w:rsidRPr="003F09F4">
              <w:rPr>
                <w:sz w:val="16"/>
                <w:szCs w:val="16"/>
              </w:rPr>
              <w:sym w:font="Symbol" w:char="F0BB"/>
            </w:r>
            <w:r w:rsidRPr="003F09F4">
              <w:rPr>
                <w:sz w:val="16"/>
                <w:szCs w:val="16"/>
              </w:rPr>
              <w:t xml:space="preserve"> 0.0035</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Borders>
              <w:bottom w:val="single" w:sz="4" w:space="0" w:color="auto"/>
            </w:tcBorders>
          </w:tcPr>
          <w:p w:rsidR="00946D81" w:rsidRPr="003F09F4" w:rsidRDefault="00946D81" w:rsidP="00DC264B">
            <w:pPr>
              <w:rPr>
                <w:sz w:val="16"/>
                <w:szCs w:val="16"/>
              </w:rPr>
            </w:pPr>
            <w:r w:rsidRPr="003F09F4">
              <w:rPr>
                <w:sz w:val="16"/>
                <w:szCs w:val="16"/>
              </w:rPr>
              <w:t>AAA size distribution at screening</w:t>
            </w:r>
          </w:p>
        </w:tc>
        <w:tc>
          <w:tcPr>
            <w:tcW w:w="1407" w:type="dxa"/>
            <w:tcBorders>
              <w:bottom w:val="single" w:sz="4" w:space="0" w:color="auto"/>
            </w:tcBorders>
          </w:tcPr>
          <w:p w:rsidR="00946D81" w:rsidRPr="00DF2CE7" w:rsidRDefault="00946D81" w:rsidP="00DC264B">
            <w:pPr>
              <w:rPr>
                <w:sz w:val="16"/>
                <w:szCs w:val="16"/>
              </w:rPr>
            </w:pPr>
            <w:r>
              <w:rPr>
                <w:sz w:val="16"/>
                <w:szCs w:val="16"/>
              </w:rPr>
              <w:t>NAAASP (unpublished)</w:t>
            </w:r>
          </w:p>
        </w:tc>
        <w:tc>
          <w:tcPr>
            <w:tcW w:w="1985" w:type="dxa"/>
            <w:tcBorders>
              <w:bottom w:val="single" w:sz="4" w:space="0" w:color="auto"/>
            </w:tcBorders>
          </w:tcPr>
          <w:p w:rsidR="00946D81" w:rsidRPr="003F09F4" w:rsidRDefault="00946D81" w:rsidP="00DC264B">
            <w:pPr>
              <w:rPr>
                <w:sz w:val="16"/>
                <w:szCs w:val="16"/>
              </w:rPr>
            </w:pPr>
            <w:r w:rsidRPr="003F09F4">
              <w:rPr>
                <w:sz w:val="16"/>
                <w:szCs w:val="16"/>
              </w:rPr>
              <w:t>NAAASP distribution, reweighted to give 0.0043 prevalence</w:t>
            </w:r>
          </w:p>
        </w:tc>
        <w:tc>
          <w:tcPr>
            <w:tcW w:w="2268" w:type="dxa"/>
            <w:tcBorders>
              <w:bottom w:val="single" w:sz="4" w:space="0" w:color="auto"/>
            </w:tcBorders>
          </w:tcPr>
          <w:p w:rsidR="00946D81" w:rsidRPr="003F09F4" w:rsidRDefault="00946D81" w:rsidP="00DC264B">
            <w:pPr>
              <w:rPr>
                <w:sz w:val="16"/>
                <w:szCs w:val="16"/>
              </w:rPr>
            </w:pPr>
            <w:r w:rsidRPr="003F09F4">
              <w:rPr>
                <w:sz w:val="16"/>
                <w:szCs w:val="16"/>
              </w:rPr>
              <w:t>NAAASP distribution based on uncertain prevalence (see below)</w:t>
            </w:r>
          </w:p>
        </w:tc>
        <w:tc>
          <w:tcPr>
            <w:tcW w:w="2105" w:type="dxa"/>
            <w:tcBorders>
              <w:bottom w:val="single" w:sz="4" w:space="0" w:color="auto"/>
            </w:tcBorders>
          </w:tcPr>
          <w:p w:rsidR="00946D81" w:rsidRPr="003F09F4" w:rsidRDefault="00946D81" w:rsidP="00DC264B">
            <w:pPr>
              <w:rPr>
                <w:sz w:val="16"/>
                <w:szCs w:val="16"/>
              </w:rPr>
            </w:pPr>
            <w:r w:rsidRPr="003F09F4">
              <w:rPr>
                <w:sz w:val="16"/>
                <w:szCs w:val="16"/>
              </w:rPr>
              <w:t>Uppsala distribution, reweighted to give 0.0043 prevalence</w:t>
            </w:r>
          </w:p>
        </w:tc>
      </w:tr>
      <w:tr w:rsidR="00946D81" w:rsidRPr="003F09F4" w:rsidTr="00DC264B">
        <w:tc>
          <w:tcPr>
            <w:tcW w:w="1565" w:type="dxa"/>
            <w:tcBorders>
              <w:bottom w:val="single" w:sz="4" w:space="0" w:color="auto"/>
            </w:tcBorders>
          </w:tcPr>
          <w:p w:rsidR="00946D81" w:rsidRPr="003F09F4" w:rsidRDefault="00946D81" w:rsidP="00DC264B">
            <w:pPr>
              <w:rPr>
                <w:sz w:val="16"/>
                <w:szCs w:val="16"/>
              </w:rPr>
            </w:pPr>
            <w:r w:rsidRPr="003F09F4">
              <w:rPr>
                <w:sz w:val="16"/>
                <w:szCs w:val="16"/>
              </w:rPr>
              <w:t>Prevalence proportion</w:t>
            </w:r>
          </w:p>
        </w:tc>
        <w:tc>
          <w:tcPr>
            <w:tcW w:w="1407" w:type="dxa"/>
            <w:tcBorders>
              <w:bottom w:val="single" w:sz="4" w:space="0" w:color="auto"/>
            </w:tcBorders>
          </w:tcPr>
          <w:p w:rsidR="00946D81" w:rsidRDefault="00946D81" w:rsidP="00DC264B">
            <w:pPr>
              <w:rPr>
                <w:sz w:val="16"/>
                <w:szCs w:val="16"/>
              </w:rPr>
            </w:pPr>
          </w:p>
          <w:p w:rsidR="00946D81" w:rsidRPr="00DF2CE7" w:rsidRDefault="00946D81" w:rsidP="00A51AA3">
            <w:pPr>
              <w:rPr>
                <w:sz w:val="16"/>
                <w:szCs w:val="16"/>
              </w:rPr>
            </w:pPr>
            <w:r>
              <w:rPr>
                <w:sz w:val="16"/>
                <w:szCs w:val="16"/>
              </w:rPr>
              <w:t xml:space="preserve">Ulug et al. 2016 </w:t>
            </w:r>
            <w:r w:rsidRPr="00A51AA3">
              <w:rPr>
                <w:noProof/>
                <w:sz w:val="16"/>
                <w:szCs w:val="16"/>
                <w:vertAlign w:val="superscript"/>
              </w:rPr>
              <w:t>3</w:t>
            </w:r>
          </w:p>
        </w:tc>
        <w:tc>
          <w:tcPr>
            <w:tcW w:w="1985" w:type="dxa"/>
            <w:tcBorders>
              <w:bottom w:val="single" w:sz="4" w:space="0" w:color="auto"/>
            </w:tcBorders>
          </w:tcPr>
          <w:p w:rsidR="00946D81" w:rsidRPr="003F09F4" w:rsidRDefault="00946D81" w:rsidP="00DC264B">
            <w:pPr>
              <w:rPr>
                <w:sz w:val="16"/>
                <w:szCs w:val="16"/>
              </w:rPr>
            </w:pPr>
            <w:r w:rsidRPr="003F09F4">
              <w:rPr>
                <w:sz w:val="16"/>
                <w:szCs w:val="16"/>
              </w:rPr>
              <w:t>0.0042756</w:t>
            </w:r>
          </w:p>
        </w:tc>
        <w:tc>
          <w:tcPr>
            <w:tcW w:w="2268" w:type="dxa"/>
            <w:tcBorders>
              <w:bottom w:val="single" w:sz="4" w:space="0" w:color="auto"/>
            </w:tcBorders>
          </w:tcPr>
          <w:p w:rsidR="00946D81" w:rsidRPr="003F09F4" w:rsidRDefault="00946D81" w:rsidP="00DC264B">
            <w:pPr>
              <w:rPr>
                <w:sz w:val="16"/>
                <w:szCs w:val="16"/>
              </w:rPr>
            </w:pPr>
            <w:r w:rsidRPr="003F09F4">
              <w:rPr>
                <w:sz w:val="16"/>
                <w:szCs w:val="16"/>
              </w:rPr>
              <w:t>Based on Normal (–5.45054, 0.32321</w:t>
            </w:r>
            <w:r w:rsidRPr="003F09F4">
              <w:rPr>
                <w:sz w:val="16"/>
                <w:szCs w:val="16"/>
                <w:vertAlign w:val="superscript"/>
              </w:rPr>
              <w:t>2</w:t>
            </w:r>
            <w:r w:rsidRPr="003F09F4">
              <w:rPr>
                <w:sz w:val="16"/>
                <w:szCs w:val="16"/>
              </w:rPr>
              <w:t>) distribution for logit(p)</w:t>
            </w:r>
          </w:p>
        </w:tc>
        <w:tc>
          <w:tcPr>
            <w:tcW w:w="2105" w:type="dxa"/>
            <w:tcBorders>
              <w:bottom w:val="single" w:sz="4" w:space="0" w:color="auto"/>
            </w:tcBorders>
          </w:tcPr>
          <w:p w:rsidR="00946D81" w:rsidRPr="003F09F4" w:rsidRDefault="00946D81" w:rsidP="00DC264B">
            <w:pPr>
              <w:rPr>
                <w:sz w:val="16"/>
                <w:szCs w:val="16"/>
              </w:rPr>
            </w:pPr>
            <w:r w:rsidRPr="003F09F4">
              <w:rPr>
                <w:sz w:val="16"/>
                <w:szCs w:val="16"/>
              </w:rPr>
              <w:t>a) 0.0021378</w:t>
            </w:r>
          </w:p>
          <w:p w:rsidR="00946D81" w:rsidRPr="003F09F4" w:rsidRDefault="00946D81" w:rsidP="00DC264B">
            <w:pPr>
              <w:rPr>
                <w:sz w:val="16"/>
                <w:szCs w:val="16"/>
              </w:rPr>
            </w:pPr>
            <w:r w:rsidRPr="003F09F4">
              <w:rPr>
                <w:sz w:val="16"/>
                <w:szCs w:val="16"/>
              </w:rPr>
              <w:t>b) 0.0085512</w:t>
            </w:r>
          </w:p>
        </w:tc>
      </w:tr>
      <w:tr w:rsidR="00946D81" w:rsidRPr="003F09F4" w:rsidTr="00DC264B">
        <w:tc>
          <w:tcPr>
            <w:tcW w:w="9330" w:type="dxa"/>
            <w:gridSpan w:val="5"/>
          </w:tcPr>
          <w:p w:rsidR="00946D81" w:rsidRPr="003F09F4" w:rsidRDefault="00946D81" w:rsidP="00DC264B">
            <w:pPr>
              <w:rPr>
                <w:sz w:val="16"/>
                <w:szCs w:val="16"/>
              </w:rPr>
            </w:pPr>
            <w:r w:rsidRPr="003F09F4">
              <w:rPr>
                <w:b/>
                <w:sz w:val="16"/>
                <w:szCs w:val="16"/>
              </w:rPr>
              <w:t>AAA growth &amp; rupture</w:t>
            </w:r>
          </w:p>
        </w:tc>
      </w:tr>
      <w:tr w:rsidR="00946D81" w:rsidRPr="003F09F4" w:rsidTr="00DC264B">
        <w:tc>
          <w:tcPr>
            <w:tcW w:w="1565" w:type="dxa"/>
          </w:tcPr>
          <w:p w:rsidR="00946D81" w:rsidRPr="003F09F4" w:rsidRDefault="00946D81" w:rsidP="00DC264B">
            <w:pPr>
              <w:rPr>
                <w:sz w:val="16"/>
                <w:szCs w:val="16"/>
              </w:rPr>
            </w:pPr>
            <w:r w:rsidRPr="003F09F4">
              <w:rPr>
                <w:sz w:val="16"/>
                <w:szCs w:val="16"/>
              </w:rPr>
              <w:t>AAA growth</w:t>
            </w:r>
          </w:p>
        </w:tc>
        <w:tc>
          <w:tcPr>
            <w:tcW w:w="1407" w:type="dxa"/>
          </w:tcPr>
          <w:p w:rsidR="00946D81" w:rsidRPr="003F09F4" w:rsidRDefault="00946D81" w:rsidP="00D927E8">
            <w:pPr>
              <w:rPr>
                <w:sz w:val="16"/>
                <w:szCs w:val="16"/>
              </w:rPr>
            </w:pPr>
            <w:r>
              <w:rPr>
                <w:sz w:val="16"/>
                <w:szCs w:val="16"/>
              </w:rPr>
              <w:t xml:space="preserve"> Thompson et al. 2013 </w:t>
            </w:r>
            <w:r w:rsidRPr="00D927E8">
              <w:rPr>
                <w:noProof/>
                <w:sz w:val="16"/>
                <w:szCs w:val="16"/>
                <w:vertAlign w:val="superscript"/>
              </w:rPr>
              <w:t>5</w:t>
            </w:r>
          </w:p>
        </w:tc>
        <w:tc>
          <w:tcPr>
            <w:tcW w:w="1985" w:type="dxa"/>
          </w:tcPr>
          <w:p w:rsidR="00946D81" w:rsidRPr="003F09F4" w:rsidRDefault="00946D81" w:rsidP="00DC264B">
            <w:pPr>
              <w:pStyle w:val="CommentText"/>
              <w:rPr>
                <w:sz w:val="16"/>
                <w:szCs w:val="16"/>
              </w:rPr>
            </w:pPr>
            <w:r w:rsidRPr="003F09F4">
              <w:rPr>
                <w:sz w:val="16"/>
                <w:szCs w:val="16"/>
              </w:rPr>
              <w:t>Mixed li</w:t>
            </w:r>
            <w:r>
              <w:rPr>
                <w:sz w:val="16"/>
                <w:szCs w:val="16"/>
              </w:rPr>
              <w:t xml:space="preserve">near model for log AAA diameter * </w:t>
            </w:r>
          </w:p>
        </w:tc>
        <w:tc>
          <w:tcPr>
            <w:tcW w:w="2268" w:type="dxa"/>
          </w:tcPr>
          <w:p w:rsidR="00946D81" w:rsidRPr="003F09F4" w:rsidRDefault="00946D81" w:rsidP="00DC264B">
            <w:pPr>
              <w:rPr>
                <w:sz w:val="16"/>
                <w:szCs w:val="16"/>
              </w:rPr>
            </w:pPr>
            <w:r w:rsidRPr="003F09F4">
              <w:rPr>
                <w:sz w:val="16"/>
                <w:szCs w:val="16"/>
              </w:rPr>
              <w:t xml:space="preserve">Using variance – covariance matrix for </w:t>
            </w:r>
            <w:r>
              <w:rPr>
                <w:sz w:val="16"/>
                <w:szCs w:val="16"/>
              </w:rPr>
              <w:t>the 6 parameters **</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AAA rupture</w:t>
            </w:r>
          </w:p>
        </w:tc>
        <w:tc>
          <w:tcPr>
            <w:tcW w:w="1407" w:type="dxa"/>
          </w:tcPr>
          <w:p w:rsidR="00946D81" w:rsidRDefault="00946D81" w:rsidP="00DC264B">
            <w:pPr>
              <w:rPr>
                <w:sz w:val="16"/>
                <w:szCs w:val="16"/>
              </w:rPr>
            </w:pPr>
          </w:p>
          <w:p w:rsidR="00946D81" w:rsidRPr="003F09F4" w:rsidRDefault="00946D81" w:rsidP="00D927E8">
            <w:pPr>
              <w:rPr>
                <w:sz w:val="16"/>
                <w:szCs w:val="16"/>
              </w:rPr>
            </w:pPr>
            <w:r>
              <w:rPr>
                <w:sz w:val="16"/>
                <w:szCs w:val="16"/>
              </w:rPr>
              <w:t xml:space="preserve">Thompson et al. 2013 </w:t>
            </w:r>
            <w:r w:rsidRPr="00D927E8">
              <w:rPr>
                <w:noProof/>
                <w:sz w:val="16"/>
                <w:szCs w:val="16"/>
                <w:vertAlign w:val="superscript"/>
              </w:rPr>
              <w:t>5</w:t>
            </w:r>
          </w:p>
        </w:tc>
        <w:tc>
          <w:tcPr>
            <w:tcW w:w="1985" w:type="dxa"/>
          </w:tcPr>
          <w:p w:rsidR="00946D81" w:rsidRPr="003F09F4" w:rsidRDefault="00946D81" w:rsidP="00DC264B">
            <w:pPr>
              <w:pStyle w:val="CommentText"/>
              <w:rPr>
                <w:sz w:val="16"/>
                <w:szCs w:val="16"/>
              </w:rPr>
            </w:pPr>
            <w:r w:rsidRPr="003F09F4">
              <w:rPr>
                <w:sz w:val="16"/>
                <w:szCs w:val="16"/>
              </w:rPr>
              <w:t xml:space="preserve">Joint model for log rupture rates and log underlying AAA </w:t>
            </w:r>
            <w:r>
              <w:rPr>
                <w:sz w:val="16"/>
                <w:szCs w:val="16"/>
              </w:rPr>
              <w:t>diameter †</w:t>
            </w:r>
          </w:p>
        </w:tc>
        <w:tc>
          <w:tcPr>
            <w:tcW w:w="2268" w:type="dxa"/>
          </w:tcPr>
          <w:p w:rsidR="00946D81" w:rsidRPr="003F09F4" w:rsidRDefault="00946D81" w:rsidP="00DC264B">
            <w:pPr>
              <w:rPr>
                <w:sz w:val="16"/>
                <w:szCs w:val="16"/>
              </w:rPr>
            </w:pPr>
            <w:r w:rsidRPr="003F09F4">
              <w:rPr>
                <w:sz w:val="16"/>
                <w:szCs w:val="16"/>
              </w:rPr>
              <w:t xml:space="preserve">Using variance – covariance matrix for </w:t>
            </w:r>
            <w:r>
              <w:rPr>
                <w:sz w:val="16"/>
                <w:szCs w:val="16"/>
              </w:rPr>
              <w:t>the 2 parameters ‡</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9330" w:type="dxa"/>
            <w:gridSpan w:val="5"/>
          </w:tcPr>
          <w:p w:rsidR="00946D81" w:rsidRPr="003F09F4" w:rsidRDefault="00946D81" w:rsidP="00DC264B">
            <w:pPr>
              <w:rPr>
                <w:sz w:val="16"/>
                <w:szCs w:val="16"/>
              </w:rPr>
            </w:pPr>
            <w:r w:rsidRPr="003F09F4">
              <w:rPr>
                <w:b/>
                <w:sz w:val="16"/>
                <w:szCs w:val="16"/>
              </w:rPr>
              <w:t>Surveillance</w:t>
            </w:r>
          </w:p>
        </w:tc>
      </w:tr>
      <w:tr w:rsidR="00946D81" w:rsidRPr="003F09F4" w:rsidTr="00DC264B">
        <w:tc>
          <w:tcPr>
            <w:tcW w:w="1565" w:type="dxa"/>
          </w:tcPr>
          <w:p w:rsidR="00946D81" w:rsidRPr="003F09F4" w:rsidRDefault="00946D81" w:rsidP="00DC264B">
            <w:pPr>
              <w:rPr>
                <w:sz w:val="16"/>
                <w:szCs w:val="16"/>
              </w:rPr>
            </w:pPr>
            <w:r w:rsidRPr="003F09F4">
              <w:rPr>
                <w:sz w:val="16"/>
                <w:szCs w:val="16"/>
              </w:rPr>
              <w:t>Dropout rate from surveillance</w:t>
            </w:r>
          </w:p>
        </w:tc>
        <w:tc>
          <w:tcPr>
            <w:tcW w:w="1407" w:type="dxa"/>
          </w:tcPr>
          <w:p w:rsidR="00946D81" w:rsidRPr="003F09F4"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rPr>
            </w:pPr>
            <w:r w:rsidRPr="003F09F4">
              <w:rPr>
                <w:sz w:val="16"/>
                <w:szCs w:val="16"/>
              </w:rPr>
              <w:t xml:space="preserve">1072 / 19,650 </w:t>
            </w:r>
            <w:r w:rsidRPr="003F09F4">
              <w:rPr>
                <w:sz w:val="16"/>
                <w:szCs w:val="16"/>
              </w:rPr>
              <w:sym w:font="Symbol" w:char="F0BB"/>
            </w:r>
            <w:r w:rsidRPr="003F09F4">
              <w:rPr>
                <w:sz w:val="16"/>
                <w:szCs w:val="16"/>
              </w:rPr>
              <w:t xml:space="preserve"> 0.0546 per year</w:t>
            </w:r>
          </w:p>
        </w:tc>
        <w:tc>
          <w:tcPr>
            <w:tcW w:w="2268" w:type="dxa"/>
          </w:tcPr>
          <w:p w:rsidR="00946D81" w:rsidRPr="003F09F4" w:rsidRDefault="00946D81" w:rsidP="00DC264B">
            <w:pPr>
              <w:rPr>
                <w:sz w:val="16"/>
                <w:szCs w:val="16"/>
              </w:rPr>
            </w:pPr>
            <w:r w:rsidRPr="003F09F4">
              <w:rPr>
                <w:sz w:val="16"/>
                <w:szCs w:val="16"/>
              </w:rPr>
              <w:t>Gamma(1072, 19650)</w:t>
            </w:r>
          </w:p>
        </w:tc>
        <w:tc>
          <w:tcPr>
            <w:tcW w:w="2105" w:type="dxa"/>
          </w:tcPr>
          <w:p w:rsidR="00946D81" w:rsidRPr="003F09F4" w:rsidRDefault="00946D81" w:rsidP="00DC264B">
            <w:pPr>
              <w:rPr>
                <w:sz w:val="16"/>
                <w:szCs w:val="16"/>
              </w:rPr>
            </w:pPr>
            <w:r w:rsidRPr="003F09F4">
              <w:rPr>
                <w:sz w:val="16"/>
                <w:szCs w:val="16"/>
              </w:rPr>
              <w:t>a) 0.0273 per year</w:t>
            </w:r>
          </w:p>
          <w:p w:rsidR="00946D81" w:rsidRPr="003F09F4" w:rsidRDefault="00946D81" w:rsidP="00DC264B">
            <w:pPr>
              <w:rPr>
                <w:sz w:val="16"/>
                <w:szCs w:val="16"/>
              </w:rPr>
            </w:pPr>
            <w:r w:rsidRPr="003F09F4">
              <w:rPr>
                <w:sz w:val="16"/>
                <w:szCs w:val="16"/>
              </w:rPr>
              <w:t>b) 0.1092 per year</w:t>
            </w:r>
          </w:p>
        </w:tc>
      </w:tr>
      <w:tr w:rsidR="00946D81" w:rsidRPr="003F09F4" w:rsidTr="00DC264B">
        <w:tc>
          <w:tcPr>
            <w:tcW w:w="1565" w:type="dxa"/>
          </w:tcPr>
          <w:p w:rsidR="00946D81" w:rsidRPr="003F09F4" w:rsidRDefault="00946D81" w:rsidP="00DC264B">
            <w:pPr>
              <w:rPr>
                <w:sz w:val="16"/>
                <w:szCs w:val="16"/>
              </w:rPr>
            </w:pPr>
            <w:r w:rsidRPr="003F09F4">
              <w:rPr>
                <w:sz w:val="16"/>
                <w:szCs w:val="16"/>
              </w:rPr>
              <w:t>Incidental detection rate</w:t>
            </w:r>
          </w:p>
        </w:tc>
        <w:tc>
          <w:tcPr>
            <w:tcW w:w="1407" w:type="dxa"/>
          </w:tcPr>
          <w:p w:rsidR="00946D81" w:rsidRPr="003F09F4" w:rsidRDefault="00946D81" w:rsidP="00027CC8">
            <w:pPr>
              <w:rPr>
                <w:sz w:val="16"/>
                <w:szCs w:val="16"/>
              </w:rPr>
            </w:pPr>
            <w:r>
              <w:rPr>
                <w:sz w:val="16"/>
                <w:szCs w:val="16"/>
              </w:rPr>
              <w:t xml:space="preserve">Khashram et al. 2015 </w:t>
            </w:r>
            <w:r w:rsidRPr="00027CC8">
              <w:rPr>
                <w:noProof/>
                <w:sz w:val="16"/>
                <w:szCs w:val="16"/>
                <w:vertAlign w:val="superscript"/>
              </w:rPr>
              <w:t>12</w:t>
            </w:r>
          </w:p>
        </w:tc>
        <w:tc>
          <w:tcPr>
            <w:tcW w:w="1985" w:type="dxa"/>
          </w:tcPr>
          <w:p w:rsidR="00946D81" w:rsidRPr="003F09F4" w:rsidRDefault="00946D81" w:rsidP="00DC264B">
            <w:pPr>
              <w:rPr>
                <w:sz w:val="16"/>
                <w:szCs w:val="16"/>
              </w:rPr>
            </w:pPr>
            <w:r w:rsidRPr="003F09F4">
              <w:rPr>
                <w:sz w:val="16"/>
                <w:szCs w:val="16"/>
              </w:rPr>
              <w:t xml:space="preserve">40 / 1364.25 </w:t>
            </w:r>
            <w:r w:rsidRPr="003F09F4">
              <w:rPr>
                <w:sz w:val="16"/>
                <w:szCs w:val="16"/>
              </w:rPr>
              <w:sym w:font="Symbol" w:char="F0BB"/>
            </w:r>
            <w:r w:rsidRPr="003F09F4">
              <w:rPr>
                <w:sz w:val="16"/>
                <w:szCs w:val="16"/>
              </w:rPr>
              <w:t xml:space="preserve"> 0.0293 per year</w:t>
            </w:r>
          </w:p>
        </w:tc>
        <w:tc>
          <w:tcPr>
            <w:tcW w:w="2268" w:type="dxa"/>
          </w:tcPr>
          <w:p w:rsidR="00946D81" w:rsidRPr="003F09F4" w:rsidRDefault="00946D81" w:rsidP="00DC264B">
            <w:pPr>
              <w:rPr>
                <w:sz w:val="16"/>
                <w:szCs w:val="16"/>
              </w:rPr>
            </w:pPr>
            <w:r w:rsidRPr="003F09F4">
              <w:rPr>
                <w:sz w:val="16"/>
                <w:szCs w:val="16"/>
              </w:rPr>
              <w:t>Gamma(40, 1364.25)</w:t>
            </w:r>
          </w:p>
        </w:tc>
        <w:tc>
          <w:tcPr>
            <w:tcW w:w="2105" w:type="dxa"/>
          </w:tcPr>
          <w:p w:rsidR="00946D81" w:rsidRPr="003F09F4" w:rsidRDefault="00946D81" w:rsidP="00DC264B">
            <w:pPr>
              <w:rPr>
                <w:sz w:val="16"/>
                <w:szCs w:val="16"/>
              </w:rPr>
            </w:pPr>
            <w:r w:rsidRPr="003F09F4">
              <w:rPr>
                <w:sz w:val="16"/>
                <w:szCs w:val="16"/>
              </w:rPr>
              <w:t>a) 0.0147 per year</w:t>
            </w:r>
          </w:p>
          <w:p w:rsidR="00946D81" w:rsidRPr="003F09F4" w:rsidRDefault="00946D81" w:rsidP="00DC264B">
            <w:pPr>
              <w:rPr>
                <w:sz w:val="16"/>
                <w:szCs w:val="16"/>
              </w:rPr>
            </w:pPr>
            <w:r w:rsidRPr="003F09F4">
              <w:rPr>
                <w:sz w:val="16"/>
                <w:szCs w:val="16"/>
              </w:rPr>
              <w:t>b) 0.0586 per year</w:t>
            </w:r>
          </w:p>
        </w:tc>
      </w:tr>
      <w:tr w:rsidR="00946D81" w:rsidRPr="003F09F4" w:rsidTr="00DC264B">
        <w:tc>
          <w:tcPr>
            <w:tcW w:w="1565" w:type="dxa"/>
          </w:tcPr>
          <w:p w:rsidR="00946D81" w:rsidRPr="003F09F4" w:rsidRDefault="00946D81" w:rsidP="00DC264B">
            <w:pPr>
              <w:rPr>
                <w:sz w:val="16"/>
                <w:szCs w:val="16"/>
              </w:rPr>
            </w:pPr>
            <w:r w:rsidRPr="003F09F4">
              <w:rPr>
                <w:sz w:val="16"/>
                <w:szCs w:val="16"/>
              </w:rPr>
              <w:t>Delay from 5.5+cm scan to consultation</w:t>
            </w:r>
          </w:p>
        </w:tc>
        <w:tc>
          <w:tcPr>
            <w:tcW w:w="1407" w:type="dxa"/>
          </w:tcPr>
          <w:p w:rsidR="00946D81" w:rsidRPr="003F09F4"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highlight w:val="yellow"/>
              </w:rPr>
            </w:pPr>
            <w:r w:rsidRPr="003F09F4">
              <w:rPr>
                <w:sz w:val="16"/>
                <w:szCs w:val="16"/>
              </w:rPr>
              <w:t>10.6 days</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Consultation scan</w:t>
            </w:r>
          </w:p>
        </w:tc>
        <w:tc>
          <w:tcPr>
            <w:tcW w:w="1407" w:type="dxa"/>
          </w:tcPr>
          <w:p w:rsidR="00946D81" w:rsidRPr="003F09F4" w:rsidRDefault="00946D81" w:rsidP="00512BF8">
            <w:pPr>
              <w:rPr>
                <w:sz w:val="16"/>
                <w:szCs w:val="16"/>
              </w:rPr>
            </w:pPr>
            <w:r>
              <w:rPr>
                <w:sz w:val="16"/>
                <w:szCs w:val="16"/>
              </w:rPr>
              <w:t xml:space="preserve">Thompson et al. 2013 </w:t>
            </w:r>
            <w:r w:rsidRPr="00512BF8">
              <w:rPr>
                <w:noProof/>
                <w:sz w:val="16"/>
                <w:szCs w:val="16"/>
                <w:vertAlign w:val="superscript"/>
              </w:rPr>
              <w:t>5</w:t>
            </w:r>
            <w:r>
              <w:rPr>
                <w:sz w:val="16"/>
                <w:szCs w:val="16"/>
              </w:rPr>
              <w:t xml:space="preserve">, Singh et al. 2003 </w:t>
            </w:r>
            <w:r w:rsidRPr="00512BF8">
              <w:rPr>
                <w:noProof/>
                <w:sz w:val="16"/>
                <w:szCs w:val="16"/>
                <w:vertAlign w:val="superscript"/>
              </w:rPr>
              <w:t>16</w:t>
            </w:r>
          </w:p>
        </w:tc>
        <w:tc>
          <w:tcPr>
            <w:tcW w:w="1985" w:type="dxa"/>
          </w:tcPr>
          <w:p w:rsidR="00946D81" w:rsidRPr="003F09F4" w:rsidRDefault="00946D81" w:rsidP="00DC264B">
            <w:pPr>
              <w:rPr>
                <w:sz w:val="16"/>
                <w:szCs w:val="16"/>
              </w:rPr>
            </w:pPr>
            <w:r w:rsidRPr="003F09F4">
              <w:rPr>
                <w:sz w:val="16"/>
                <w:szCs w:val="16"/>
              </w:rPr>
              <w:t>CT is on average 0.244cm greater than US; measurement error SD 0.19cm for CT</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Decision at consultation: proportion returned to surveillance</w:t>
            </w:r>
          </w:p>
        </w:tc>
        <w:tc>
          <w:tcPr>
            <w:tcW w:w="1407" w:type="dxa"/>
          </w:tcPr>
          <w:p w:rsidR="00946D81" w:rsidRPr="003F09F4" w:rsidRDefault="00946D81" w:rsidP="00DC264B">
            <w:pPr>
              <w:rPr>
                <w:sz w:val="16"/>
                <w:szCs w:val="16"/>
              </w:rPr>
            </w:pPr>
            <w:r>
              <w:rPr>
                <w:sz w:val="16"/>
                <w:szCs w:val="16"/>
              </w:rPr>
              <w:t>N/A</w:t>
            </w:r>
          </w:p>
        </w:tc>
        <w:tc>
          <w:tcPr>
            <w:tcW w:w="1985" w:type="dxa"/>
          </w:tcPr>
          <w:p w:rsidR="00946D81" w:rsidRPr="003F09F4" w:rsidRDefault="00946D81" w:rsidP="00DC264B">
            <w:pPr>
              <w:rPr>
                <w:sz w:val="16"/>
                <w:szCs w:val="16"/>
              </w:rPr>
            </w:pPr>
            <w:r w:rsidRPr="003F09F4">
              <w:rPr>
                <w:sz w:val="16"/>
                <w:szCs w:val="16"/>
              </w:rPr>
              <w:t>Modelled directly from AAA measurements by CT</w:t>
            </w:r>
          </w:p>
        </w:tc>
        <w:tc>
          <w:tcPr>
            <w:tcW w:w="2268" w:type="dxa"/>
          </w:tcPr>
          <w:p w:rsidR="00946D81" w:rsidRPr="003F09F4" w:rsidRDefault="00946D81" w:rsidP="00DC264B">
            <w:pPr>
              <w:rPr>
                <w:sz w:val="16"/>
                <w:szCs w:val="16"/>
              </w:rPr>
            </w:pPr>
            <w:r w:rsidRPr="003F09F4">
              <w:rPr>
                <w:sz w:val="16"/>
                <w:szCs w:val="16"/>
              </w:rPr>
              <w:t>N/A</w:t>
            </w:r>
          </w:p>
        </w:tc>
        <w:tc>
          <w:tcPr>
            <w:tcW w:w="2105" w:type="dxa"/>
          </w:tcPr>
          <w:p w:rsidR="00946D81" w:rsidRPr="003F09F4" w:rsidRDefault="00946D81" w:rsidP="00DC264B">
            <w:pPr>
              <w:rPr>
                <w:sz w:val="16"/>
                <w:szCs w:val="16"/>
              </w:rPr>
            </w:pPr>
            <w:r>
              <w:rPr>
                <w:sz w:val="16"/>
                <w:szCs w:val="16"/>
              </w:rPr>
              <w:t>N/A</w:t>
            </w:r>
            <w:r w:rsidRPr="003F09F4">
              <w:rPr>
                <w:sz w:val="16"/>
                <w:szCs w:val="16"/>
              </w:rPr>
              <w:t xml:space="preserve"> </w:t>
            </w:r>
          </w:p>
        </w:tc>
      </w:tr>
      <w:tr w:rsidR="00946D81" w:rsidRPr="003F09F4" w:rsidTr="00DC264B">
        <w:tc>
          <w:tcPr>
            <w:tcW w:w="1565" w:type="dxa"/>
          </w:tcPr>
          <w:p w:rsidR="00946D81" w:rsidRPr="003F09F4" w:rsidRDefault="00946D81" w:rsidP="00DC264B">
            <w:pPr>
              <w:rPr>
                <w:sz w:val="16"/>
                <w:szCs w:val="16"/>
              </w:rPr>
            </w:pPr>
            <w:r w:rsidRPr="003F09F4">
              <w:rPr>
                <w:sz w:val="16"/>
                <w:szCs w:val="16"/>
              </w:rPr>
              <w:t>Decision at consultation: non-intervention proportion</w:t>
            </w:r>
          </w:p>
        </w:tc>
        <w:tc>
          <w:tcPr>
            <w:tcW w:w="1407" w:type="dxa"/>
          </w:tcPr>
          <w:p w:rsidR="00946D81" w:rsidRPr="003F09F4" w:rsidRDefault="00946D81" w:rsidP="00F53FEE">
            <w:pPr>
              <w:rPr>
                <w:sz w:val="16"/>
                <w:szCs w:val="16"/>
              </w:rPr>
            </w:pPr>
            <w:r>
              <w:rPr>
                <w:sz w:val="16"/>
                <w:szCs w:val="16"/>
              </w:rPr>
              <w:t>Meta-analysis from four hospitals (Ulug et al. 2017</w:t>
            </w:r>
            <w:r w:rsidRPr="00F53FEE">
              <w:rPr>
                <w:noProof/>
                <w:sz w:val="16"/>
                <w:szCs w:val="16"/>
                <w:vertAlign w:val="superscript"/>
              </w:rPr>
              <w:t>11</w:t>
            </w:r>
            <w:r>
              <w:rPr>
                <w:sz w:val="16"/>
                <w:szCs w:val="16"/>
              </w:rPr>
              <w:t>)</w:t>
            </w:r>
          </w:p>
        </w:tc>
        <w:tc>
          <w:tcPr>
            <w:tcW w:w="1985" w:type="dxa"/>
          </w:tcPr>
          <w:p w:rsidR="00946D81" w:rsidRPr="003F09F4" w:rsidRDefault="00946D81" w:rsidP="00DC264B">
            <w:pPr>
              <w:rPr>
                <w:sz w:val="16"/>
                <w:szCs w:val="16"/>
                <w:highlight w:val="yellow"/>
              </w:rPr>
            </w:pPr>
            <w:r w:rsidRPr="003F09F4">
              <w:rPr>
                <w:sz w:val="16"/>
                <w:szCs w:val="16"/>
              </w:rPr>
              <w:t>0.34226 of those not returned to surveillance</w:t>
            </w:r>
          </w:p>
        </w:tc>
        <w:tc>
          <w:tcPr>
            <w:tcW w:w="2268" w:type="dxa"/>
          </w:tcPr>
          <w:p w:rsidR="00946D81" w:rsidRPr="003F09F4" w:rsidRDefault="00946D81" w:rsidP="00DC264B">
            <w:pPr>
              <w:rPr>
                <w:sz w:val="16"/>
                <w:szCs w:val="16"/>
              </w:rPr>
            </w:pPr>
            <w:r w:rsidRPr="003F09F4">
              <w:rPr>
                <w:sz w:val="16"/>
                <w:szCs w:val="16"/>
              </w:rPr>
              <w:t>Based on Normal (–0.65324, 0.13502</w:t>
            </w:r>
            <w:r w:rsidRPr="003F09F4">
              <w:rPr>
                <w:sz w:val="16"/>
                <w:szCs w:val="16"/>
                <w:vertAlign w:val="superscript"/>
              </w:rPr>
              <w:t>2</w:t>
            </w:r>
            <w:r w:rsidRPr="003F09F4">
              <w:rPr>
                <w:sz w:val="16"/>
                <w:szCs w:val="16"/>
              </w:rPr>
              <w:t>) distribution for logit(p)</w:t>
            </w:r>
          </w:p>
        </w:tc>
        <w:tc>
          <w:tcPr>
            <w:tcW w:w="2105" w:type="dxa"/>
          </w:tcPr>
          <w:p w:rsidR="00946D81" w:rsidRPr="00122BCF" w:rsidRDefault="00946D81" w:rsidP="00DC264B">
            <w:pPr>
              <w:rPr>
                <w:color w:val="FF0000"/>
                <w:sz w:val="16"/>
                <w:szCs w:val="16"/>
              </w:rPr>
            </w:pPr>
            <w:r w:rsidRPr="008B2F6F">
              <w:rPr>
                <w:sz w:val="16"/>
                <w:szCs w:val="16"/>
              </w:rPr>
              <w:t>0.233 at age 80</w:t>
            </w:r>
            <w:r>
              <w:rPr>
                <w:sz w:val="16"/>
                <w:szCs w:val="16"/>
              </w:rPr>
              <w:t xml:space="preserve"> of those not returned to surveillance</w:t>
            </w:r>
            <w:r w:rsidRPr="008B2F6F">
              <w:rPr>
                <w:sz w:val="16"/>
                <w:szCs w:val="16"/>
              </w:rPr>
              <w:t>. Odds ratio 1.20 per year increase in age</w:t>
            </w:r>
          </w:p>
        </w:tc>
      </w:tr>
      <w:tr w:rsidR="00946D81" w:rsidRPr="003F09F4" w:rsidTr="00DC264B">
        <w:tc>
          <w:tcPr>
            <w:tcW w:w="1565" w:type="dxa"/>
          </w:tcPr>
          <w:p w:rsidR="00946D81" w:rsidRPr="003F09F4" w:rsidRDefault="00946D81" w:rsidP="00DC264B">
            <w:pPr>
              <w:rPr>
                <w:sz w:val="16"/>
                <w:szCs w:val="16"/>
              </w:rPr>
            </w:pPr>
            <w:r w:rsidRPr="003F09F4">
              <w:rPr>
                <w:sz w:val="16"/>
                <w:szCs w:val="16"/>
              </w:rPr>
              <w:t>Decision at consultation: proportion elective surgery</w:t>
            </w:r>
          </w:p>
        </w:tc>
        <w:tc>
          <w:tcPr>
            <w:tcW w:w="1407" w:type="dxa"/>
          </w:tcPr>
          <w:p w:rsidR="00946D81" w:rsidRPr="003F09F4" w:rsidRDefault="00946D81" w:rsidP="00DC264B">
            <w:pPr>
              <w:rPr>
                <w:sz w:val="16"/>
                <w:szCs w:val="16"/>
              </w:rPr>
            </w:pPr>
            <w:r>
              <w:rPr>
                <w:sz w:val="16"/>
                <w:szCs w:val="16"/>
              </w:rPr>
              <w:t>N/A</w:t>
            </w:r>
          </w:p>
        </w:tc>
        <w:tc>
          <w:tcPr>
            <w:tcW w:w="1985" w:type="dxa"/>
          </w:tcPr>
          <w:p w:rsidR="00946D81" w:rsidRPr="003F09F4" w:rsidRDefault="00946D81" w:rsidP="00DC264B">
            <w:pPr>
              <w:rPr>
                <w:sz w:val="16"/>
                <w:szCs w:val="16"/>
                <w:highlight w:val="yellow"/>
              </w:rPr>
            </w:pPr>
            <w:r w:rsidRPr="003F09F4">
              <w:rPr>
                <w:sz w:val="16"/>
                <w:szCs w:val="16"/>
              </w:rPr>
              <w:t>1 – 0.34226 = 0.65774 of those not returned to surveillance</w:t>
            </w:r>
          </w:p>
        </w:tc>
        <w:tc>
          <w:tcPr>
            <w:tcW w:w="2268" w:type="dxa"/>
          </w:tcPr>
          <w:p w:rsidR="00946D81" w:rsidRPr="003F09F4" w:rsidRDefault="00946D81" w:rsidP="00DC264B">
            <w:pPr>
              <w:rPr>
                <w:sz w:val="16"/>
                <w:szCs w:val="16"/>
                <w:highlight w:val="green"/>
              </w:rPr>
            </w:pPr>
            <w:r w:rsidRPr="003F09F4">
              <w:rPr>
                <w:sz w:val="16"/>
                <w:szCs w:val="16"/>
              </w:rPr>
              <w:t xml:space="preserve">Obtained by subtraction </w:t>
            </w:r>
          </w:p>
        </w:tc>
        <w:tc>
          <w:tcPr>
            <w:tcW w:w="2105" w:type="dxa"/>
          </w:tcPr>
          <w:p w:rsidR="00946D81" w:rsidRPr="003F09F4" w:rsidRDefault="00946D81" w:rsidP="00DC264B">
            <w:pPr>
              <w:rPr>
                <w:sz w:val="16"/>
                <w:szCs w:val="16"/>
              </w:rPr>
            </w:pPr>
            <w:r>
              <w:rPr>
                <w:sz w:val="16"/>
                <w:szCs w:val="16"/>
              </w:rPr>
              <w:t>Obtained by subtraction</w:t>
            </w:r>
            <w:r w:rsidRPr="003F09F4">
              <w:rPr>
                <w:sz w:val="16"/>
                <w:szCs w:val="16"/>
              </w:rPr>
              <w:t xml:space="preserve"> </w:t>
            </w:r>
          </w:p>
        </w:tc>
      </w:tr>
      <w:tr w:rsidR="00946D81" w:rsidRPr="003F09F4" w:rsidTr="00DC264B">
        <w:tc>
          <w:tcPr>
            <w:tcW w:w="1565" w:type="dxa"/>
          </w:tcPr>
          <w:p w:rsidR="00946D81" w:rsidRPr="003F09F4" w:rsidRDefault="00946D81" w:rsidP="00DC264B">
            <w:pPr>
              <w:rPr>
                <w:sz w:val="16"/>
                <w:szCs w:val="16"/>
              </w:rPr>
            </w:pPr>
            <w:r w:rsidRPr="003F09F4">
              <w:rPr>
                <w:sz w:val="16"/>
                <w:szCs w:val="16"/>
              </w:rPr>
              <w:t>Delay from consultation scan to elective surgery</w:t>
            </w:r>
          </w:p>
        </w:tc>
        <w:tc>
          <w:tcPr>
            <w:tcW w:w="1407" w:type="dxa"/>
          </w:tcPr>
          <w:p w:rsidR="00946D81" w:rsidRPr="003F09F4"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highlight w:val="yellow"/>
              </w:rPr>
            </w:pPr>
            <w:r w:rsidRPr="003F09F4">
              <w:rPr>
                <w:sz w:val="16"/>
                <w:szCs w:val="16"/>
              </w:rPr>
              <w:t>70.8 days</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None</w:t>
            </w:r>
          </w:p>
        </w:tc>
      </w:tr>
    </w:tbl>
    <w:p w:rsidR="00946D81" w:rsidRDefault="00946D81" w:rsidP="00DC264B">
      <w:r>
        <w:br w:type="page"/>
      </w:r>
    </w:p>
    <w:p w:rsidR="00946D81" w:rsidRDefault="00946D81" w:rsidP="00DC264B">
      <w:r w:rsidRPr="00B73963">
        <w:rPr>
          <w:b/>
        </w:rPr>
        <w:t>Supplementary Table 1</w:t>
      </w:r>
      <w:r>
        <w:t xml:space="preserve"> continued</w:t>
      </w:r>
    </w:p>
    <w:tbl>
      <w:tblPr>
        <w:tblStyle w:val="TableGrid"/>
        <w:tblW w:w="9330" w:type="dxa"/>
        <w:tblLayout w:type="fixed"/>
        <w:tblLook w:val="04A0" w:firstRow="1" w:lastRow="0" w:firstColumn="1" w:lastColumn="0" w:noHBand="0" w:noVBand="1"/>
      </w:tblPr>
      <w:tblGrid>
        <w:gridCol w:w="1565"/>
        <w:gridCol w:w="1407"/>
        <w:gridCol w:w="1985"/>
        <w:gridCol w:w="2268"/>
        <w:gridCol w:w="2105"/>
      </w:tblGrid>
      <w:tr w:rsidR="00946D81" w:rsidRPr="003F09F4" w:rsidTr="00DC264B">
        <w:tc>
          <w:tcPr>
            <w:tcW w:w="9330" w:type="dxa"/>
            <w:gridSpan w:val="5"/>
          </w:tcPr>
          <w:p w:rsidR="00946D81" w:rsidRPr="003F09F4" w:rsidRDefault="00946D81" w:rsidP="00DC264B">
            <w:pPr>
              <w:rPr>
                <w:sz w:val="16"/>
                <w:szCs w:val="16"/>
              </w:rPr>
            </w:pPr>
            <w:r w:rsidRPr="003F09F4">
              <w:rPr>
                <w:b/>
                <w:sz w:val="16"/>
                <w:szCs w:val="16"/>
              </w:rPr>
              <w:t>Elective operations</w:t>
            </w:r>
          </w:p>
        </w:tc>
      </w:tr>
      <w:tr w:rsidR="00946D81" w:rsidRPr="003F09F4" w:rsidTr="00DC264B">
        <w:tc>
          <w:tcPr>
            <w:tcW w:w="1565" w:type="dxa"/>
          </w:tcPr>
          <w:p w:rsidR="00946D81" w:rsidRPr="003F09F4" w:rsidRDefault="00946D81" w:rsidP="00DC264B">
            <w:pPr>
              <w:rPr>
                <w:sz w:val="16"/>
                <w:szCs w:val="16"/>
              </w:rPr>
            </w:pPr>
            <w:r w:rsidRPr="003F09F4">
              <w:rPr>
                <w:sz w:val="16"/>
                <w:szCs w:val="16"/>
              </w:rPr>
              <w:t>Proportion receiving EVAR vs. open repair</w:t>
            </w:r>
          </w:p>
        </w:tc>
        <w:tc>
          <w:tcPr>
            <w:tcW w:w="1407" w:type="dxa"/>
          </w:tcPr>
          <w:p w:rsidR="00946D81" w:rsidRPr="003F09F4" w:rsidRDefault="00946D81" w:rsidP="00DC264B">
            <w:pPr>
              <w:rPr>
                <w:sz w:val="16"/>
                <w:szCs w:val="16"/>
              </w:rPr>
            </w:pPr>
            <w:r>
              <w:rPr>
                <w:sz w:val="16"/>
                <w:szCs w:val="16"/>
              </w:rPr>
              <w:t>NVR (unpublished)</w:t>
            </w:r>
          </w:p>
        </w:tc>
        <w:tc>
          <w:tcPr>
            <w:tcW w:w="1985" w:type="dxa"/>
          </w:tcPr>
          <w:p w:rsidR="00946D81" w:rsidRPr="00035CBC" w:rsidRDefault="00946D81" w:rsidP="00DC264B">
            <w:pPr>
              <w:rPr>
                <w:color w:val="FF0000"/>
                <w:sz w:val="16"/>
                <w:szCs w:val="16"/>
                <w:highlight w:val="yellow"/>
              </w:rPr>
            </w:pPr>
            <w:r w:rsidRPr="00E12C11">
              <w:rPr>
                <w:sz w:val="16"/>
                <w:szCs w:val="16"/>
              </w:rPr>
              <w:t>0.67 at age 80, AAA diameter 6.0cm. Odds ratio 1.10 per year increase in age, 0.74 per cm increase in diameter</w:t>
            </w:r>
          </w:p>
        </w:tc>
        <w:tc>
          <w:tcPr>
            <w:tcW w:w="2268" w:type="dxa"/>
          </w:tcPr>
          <w:p w:rsidR="00946D81" w:rsidRPr="00035CBC" w:rsidRDefault="00946D81" w:rsidP="00DC264B">
            <w:pPr>
              <w:rPr>
                <w:sz w:val="16"/>
                <w:szCs w:val="16"/>
                <w:highlight w:val="yellow"/>
              </w:rPr>
            </w:pPr>
            <w:r w:rsidRPr="00E12C11">
              <w:rPr>
                <w:sz w:val="16"/>
                <w:szCs w:val="16"/>
              </w:rPr>
              <w:t>Based on multivariate normal from logistic regression parameters</w:t>
            </w:r>
          </w:p>
        </w:tc>
        <w:tc>
          <w:tcPr>
            <w:tcW w:w="2105" w:type="dxa"/>
          </w:tcPr>
          <w:p w:rsidR="00946D81" w:rsidRPr="00E12C11" w:rsidRDefault="00946D81" w:rsidP="00DC264B">
            <w:pPr>
              <w:rPr>
                <w:sz w:val="16"/>
                <w:szCs w:val="16"/>
              </w:rPr>
            </w:pPr>
            <w:r w:rsidRPr="00E12C11">
              <w:rPr>
                <w:sz w:val="16"/>
                <w:szCs w:val="16"/>
              </w:rPr>
              <w:t>0.3396 based on systematic review of EVAR suitability</w:t>
            </w:r>
          </w:p>
        </w:tc>
      </w:tr>
      <w:tr w:rsidR="00946D81" w:rsidRPr="003F09F4" w:rsidTr="00DC264B">
        <w:tc>
          <w:tcPr>
            <w:tcW w:w="1565" w:type="dxa"/>
          </w:tcPr>
          <w:p w:rsidR="00946D81" w:rsidRPr="003F09F4" w:rsidRDefault="00946D81" w:rsidP="00DC264B">
            <w:pPr>
              <w:rPr>
                <w:sz w:val="16"/>
                <w:szCs w:val="16"/>
              </w:rPr>
            </w:pPr>
            <w:r w:rsidRPr="003F09F4">
              <w:rPr>
                <w:sz w:val="16"/>
                <w:szCs w:val="16"/>
              </w:rPr>
              <w:t>EVAR 30-day operative mortality</w:t>
            </w:r>
          </w:p>
        </w:tc>
        <w:tc>
          <w:tcPr>
            <w:tcW w:w="1407" w:type="dxa"/>
          </w:tcPr>
          <w:p w:rsidR="00946D81" w:rsidRPr="003F09F4" w:rsidRDefault="00946D81" w:rsidP="00120174">
            <w:pPr>
              <w:rPr>
                <w:sz w:val="16"/>
                <w:szCs w:val="16"/>
              </w:rPr>
            </w:pPr>
            <w:r>
              <w:rPr>
                <w:sz w:val="16"/>
                <w:szCs w:val="16"/>
              </w:rPr>
              <w:t xml:space="preserve">NVR </w:t>
            </w:r>
            <w:r w:rsidRPr="00120174">
              <w:rPr>
                <w:noProof/>
                <w:sz w:val="16"/>
                <w:szCs w:val="16"/>
                <w:vertAlign w:val="superscript"/>
              </w:rPr>
              <w:t>10</w:t>
            </w:r>
            <w:r>
              <w:rPr>
                <w:sz w:val="16"/>
                <w:szCs w:val="16"/>
              </w:rPr>
              <w:t>, HES (unpublished)</w:t>
            </w:r>
          </w:p>
        </w:tc>
        <w:tc>
          <w:tcPr>
            <w:tcW w:w="1985" w:type="dxa"/>
          </w:tcPr>
          <w:p w:rsidR="00946D81" w:rsidRPr="00035CBC" w:rsidRDefault="00946D81" w:rsidP="00DC264B">
            <w:pPr>
              <w:rPr>
                <w:color w:val="FF0000"/>
                <w:sz w:val="16"/>
                <w:szCs w:val="16"/>
              </w:rPr>
            </w:pPr>
            <w:r w:rsidRPr="00F530F6">
              <w:rPr>
                <w:sz w:val="16"/>
                <w:szCs w:val="16"/>
              </w:rPr>
              <w:t>0.027 at age 80, AAA diameter 6.0cm. Odds ratio 1.002 per year increase in age, 0.97 per cm increase in diameter</w:t>
            </w:r>
          </w:p>
        </w:tc>
        <w:tc>
          <w:tcPr>
            <w:tcW w:w="2268" w:type="dxa"/>
          </w:tcPr>
          <w:p w:rsidR="00946D81" w:rsidRPr="00035CBC" w:rsidRDefault="00946D81" w:rsidP="00DC264B">
            <w:pPr>
              <w:rPr>
                <w:sz w:val="16"/>
                <w:szCs w:val="16"/>
                <w:highlight w:val="yellow"/>
              </w:rPr>
            </w:pPr>
            <w:r w:rsidRPr="00F530F6">
              <w:rPr>
                <w:sz w:val="16"/>
                <w:szCs w:val="16"/>
              </w:rPr>
              <w:t>Based on multivariate normal from logistic regression parameters</w:t>
            </w:r>
          </w:p>
        </w:tc>
        <w:tc>
          <w:tcPr>
            <w:tcW w:w="2105" w:type="dxa"/>
          </w:tcPr>
          <w:p w:rsidR="00946D81" w:rsidRPr="00285E00" w:rsidRDefault="00946D81" w:rsidP="00DC264B">
            <w:pPr>
              <w:rPr>
                <w:sz w:val="16"/>
                <w:szCs w:val="16"/>
              </w:rPr>
            </w:pPr>
            <w:r w:rsidRPr="00285E00">
              <w:rPr>
                <w:sz w:val="16"/>
                <w:szCs w:val="16"/>
              </w:rPr>
              <w:t>0.0223 based on systematic review</w:t>
            </w:r>
          </w:p>
        </w:tc>
      </w:tr>
      <w:tr w:rsidR="00946D81" w:rsidRPr="003F09F4" w:rsidTr="00DC264B">
        <w:tc>
          <w:tcPr>
            <w:tcW w:w="1565" w:type="dxa"/>
          </w:tcPr>
          <w:p w:rsidR="00946D81" w:rsidRPr="003F09F4" w:rsidRDefault="00946D81" w:rsidP="00DC264B">
            <w:pPr>
              <w:rPr>
                <w:sz w:val="16"/>
                <w:szCs w:val="16"/>
              </w:rPr>
            </w:pPr>
            <w:r w:rsidRPr="003F09F4">
              <w:rPr>
                <w:sz w:val="16"/>
                <w:szCs w:val="16"/>
              </w:rPr>
              <w:t>Open repair 30-day operative mortality</w:t>
            </w:r>
          </w:p>
        </w:tc>
        <w:tc>
          <w:tcPr>
            <w:tcW w:w="1407" w:type="dxa"/>
          </w:tcPr>
          <w:p w:rsidR="00946D81" w:rsidRPr="003F09F4" w:rsidRDefault="00946D81" w:rsidP="00120174">
            <w:pPr>
              <w:rPr>
                <w:sz w:val="16"/>
                <w:szCs w:val="16"/>
              </w:rPr>
            </w:pPr>
            <w:r>
              <w:rPr>
                <w:sz w:val="16"/>
                <w:szCs w:val="16"/>
              </w:rPr>
              <w:t xml:space="preserve">NVR </w:t>
            </w:r>
            <w:r w:rsidRPr="00120174">
              <w:rPr>
                <w:noProof/>
                <w:sz w:val="16"/>
                <w:szCs w:val="16"/>
                <w:vertAlign w:val="superscript"/>
              </w:rPr>
              <w:t>10</w:t>
            </w:r>
            <w:r>
              <w:rPr>
                <w:sz w:val="16"/>
                <w:szCs w:val="16"/>
              </w:rPr>
              <w:t>, HES (unpublished)</w:t>
            </w:r>
          </w:p>
        </w:tc>
        <w:tc>
          <w:tcPr>
            <w:tcW w:w="1985" w:type="dxa"/>
          </w:tcPr>
          <w:p w:rsidR="00946D81" w:rsidRPr="00035CBC" w:rsidRDefault="00946D81" w:rsidP="00DC264B">
            <w:pPr>
              <w:rPr>
                <w:color w:val="FF0000"/>
                <w:sz w:val="16"/>
                <w:szCs w:val="16"/>
              </w:rPr>
            </w:pPr>
            <w:r w:rsidRPr="0045309A">
              <w:rPr>
                <w:sz w:val="16"/>
                <w:szCs w:val="16"/>
              </w:rPr>
              <w:t>0.103 at age 80, AAA diameter 6.0cm. Odds ratio 1.07</w:t>
            </w:r>
            <w:r>
              <w:rPr>
                <w:sz w:val="16"/>
                <w:szCs w:val="16"/>
              </w:rPr>
              <w:t xml:space="preserve"> per year</w:t>
            </w:r>
            <w:r w:rsidRPr="0045309A">
              <w:rPr>
                <w:sz w:val="16"/>
                <w:szCs w:val="16"/>
              </w:rPr>
              <w:t xml:space="preserve"> increase in age, 1.08 per cm increase in diameter. </w:t>
            </w:r>
          </w:p>
        </w:tc>
        <w:tc>
          <w:tcPr>
            <w:tcW w:w="2268" w:type="dxa"/>
          </w:tcPr>
          <w:p w:rsidR="00946D81" w:rsidRPr="00035CBC" w:rsidRDefault="00946D81" w:rsidP="00DC264B">
            <w:pPr>
              <w:rPr>
                <w:sz w:val="16"/>
                <w:szCs w:val="16"/>
                <w:highlight w:val="yellow"/>
              </w:rPr>
            </w:pPr>
            <w:r w:rsidRPr="00F530F6">
              <w:rPr>
                <w:sz w:val="16"/>
                <w:szCs w:val="16"/>
              </w:rPr>
              <w:t>Based on multivariate normal from logistic regression parameters</w:t>
            </w:r>
          </w:p>
        </w:tc>
        <w:tc>
          <w:tcPr>
            <w:tcW w:w="2105" w:type="dxa"/>
          </w:tcPr>
          <w:p w:rsidR="00946D81" w:rsidRPr="00D17C75" w:rsidRDefault="00946D81" w:rsidP="00DC264B">
            <w:pPr>
              <w:rPr>
                <w:sz w:val="16"/>
                <w:szCs w:val="16"/>
              </w:rPr>
            </w:pPr>
            <w:r w:rsidRPr="00D17C75">
              <w:rPr>
                <w:sz w:val="16"/>
                <w:szCs w:val="16"/>
              </w:rPr>
              <w:t>a) 0.0537 based on systematic review</w:t>
            </w:r>
          </w:p>
          <w:p w:rsidR="00946D81" w:rsidRPr="00035CBC" w:rsidRDefault="00946D81" w:rsidP="00DC264B">
            <w:pPr>
              <w:rPr>
                <w:color w:val="FF0000"/>
                <w:sz w:val="16"/>
                <w:szCs w:val="16"/>
              </w:rPr>
            </w:pPr>
            <w:r w:rsidRPr="00D17C75">
              <w:rPr>
                <w:sz w:val="16"/>
                <w:szCs w:val="16"/>
              </w:rPr>
              <w:t>b) 0.05</w:t>
            </w:r>
          </w:p>
        </w:tc>
      </w:tr>
      <w:tr w:rsidR="00946D81" w:rsidRPr="003F09F4" w:rsidTr="00DC264B">
        <w:tc>
          <w:tcPr>
            <w:tcW w:w="1565" w:type="dxa"/>
          </w:tcPr>
          <w:p w:rsidR="00946D81" w:rsidRPr="003F09F4" w:rsidRDefault="00946D81" w:rsidP="00DC264B">
            <w:pPr>
              <w:rPr>
                <w:sz w:val="16"/>
                <w:szCs w:val="16"/>
              </w:rPr>
            </w:pPr>
            <w:r w:rsidRPr="003F09F4">
              <w:rPr>
                <w:sz w:val="16"/>
                <w:szCs w:val="16"/>
              </w:rPr>
              <w:t>Re-intervention rate after successful EVAR</w:t>
            </w:r>
          </w:p>
        </w:tc>
        <w:tc>
          <w:tcPr>
            <w:tcW w:w="1407" w:type="dxa"/>
          </w:tcPr>
          <w:p w:rsidR="00946D81" w:rsidRPr="003F09F4" w:rsidRDefault="00946D81" w:rsidP="00120174">
            <w:pPr>
              <w:rPr>
                <w:sz w:val="16"/>
                <w:szCs w:val="16"/>
              </w:rPr>
            </w:pPr>
            <w:r>
              <w:rPr>
                <w:sz w:val="16"/>
                <w:szCs w:val="16"/>
              </w:rPr>
              <w:t xml:space="preserve">EVAR1 RCT </w:t>
            </w:r>
            <w:r w:rsidRPr="00120174">
              <w:rPr>
                <w:noProof/>
                <w:sz w:val="16"/>
                <w:szCs w:val="16"/>
                <w:vertAlign w:val="superscript"/>
              </w:rPr>
              <w:t>17</w:t>
            </w:r>
          </w:p>
        </w:tc>
        <w:tc>
          <w:tcPr>
            <w:tcW w:w="1985" w:type="dxa"/>
          </w:tcPr>
          <w:p w:rsidR="00946D81" w:rsidRPr="003F09F4" w:rsidRDefault="00946D81" w:rsidP="00DC264B">
            <w:pPr>
              <w:rPr>
                <w:sz w:val="16"/>
                <w:szCs w:val="16"/>
              </w:rPr>
            </w:pPr>
            <w:r w:rsidRPr="003F09F4">
              <w:rPr>
                <w:sz w:val="16"/>
                <w:szCs w:val="16"/>
              </w:rPr>
              <w:t>20.3 and 6.4 per 100 women-years during 31-120 and &gt;120 days respectively</w:t>
            </w:r>
          </w:p>
        </w:tc>
        <w:tc>
          <w:tcPr>
            <w:tcW w:w="2268" w:type="dxa"/>
          </w:tcPr>
          <w:p w:rsidR="00946D81" w:rsidRPr="003F09F4" w:rsidRDefault="00946D81" w:rsidP="00DC264B">
            <w:pPr>
              <w:rPr>
                <w:sz w:val="16"/>
                <w:szCs w:val="16"/>
              </w:rPr>
            </w:pPr>
            <w:r w:rsidRPr="003F09F4">
              <w:rPr>
                <w:sz w:val="16"/>
                <w:szCs w:val="16"/>
              </w:rPr>
              <w:t>Based on Gamma(3, 15) and Gamma(27, 421) respectively</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Re-intervention rate after successful open repair</w:t>
            </w:r>
          </w:p>
        </w:tc>
        <w:tc>
          <w:tcPr>
            <w:tcW w:w="1407" w:type="dxa"/>
          </w:tcPr>
          <w:p w:rsidR="00946D81" w:rsidRPr="003F09F4" w:rsidRDefault="00946D81" w:rsidP="00120174">
            <w:pPr>
              <w:rPr>
                <w:sz w:val="16"/>
                <w:szCs w:val="16"/>
              </w:rPr>
            </w:pPr>
            <w:r>
              <w:rPr>
                <w:sz w:val="16"/>
                <w:szCs w:val="16"/>
              </w:rPr>
              <w:t xml:space="preserve">EVAR1 RCT </w:t>
            </w:r>
            <w:r w:rsidRPr="00120174">
              <w:rPr>
                <w:noProof/>
                <w:sz w:val="16"/>
                <w:szCs w:val="16"/>
                <w:vertAlign w:val="superscript"/>
              </w:rPr>
              <w:t>17</w:t>
            </w:r>
          </w:p>
        </w:tc>
        <w:tc>
          <w:tcPr>
            <w:tcW w:w="1985" w:type="dxa"/>
          </w:tcPr>
          <w:p w:rsidR="00946D81" w:rsidRPr="003F09F4" w:rsidRDefault="00946D81" w:rsidP="00DC264B">
            <w:pPr>
              <w:rPr>
                <w:sz w:val="16"/>
                <w:szCs w:val="16"/>
              </w:rPr>
            </w:pPr>
            <w:r w:rsidRPr="003F09F4">
              <w:rPr>
                <w:sz w:val="16"/>
                <w:szCs w:val="16"/>
              </w:rPr>
              <w:t>0.0</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CB1EE7" w:rsidRDefault="00946D81" w:rsidP="00DC264B">
            <w:pPr>
              <w:rPr>
                <w:sz w:val="16"/>
                <w:szCs w:val="16"/>
              </w:rPr>
            </w:pPr>
            <w:r w:rsidRPr="00CB1EE7">
              <w:rPr>
                <w:sz w:val="16"/>
                <w:szCs w:val="16"/>
              </w:rPr>
              <w:t xml:space="preserve">a) </w:t>
            </w:r>
            <w:r>
              <w:rPr>
                <w:sz w:val="16"/>
                <w:szCs w:val="16"/>
              </w:rPr>
              <w:t>B</w:t>
            </w:r>
            <w:r w:rsidRPr="00CB1EE7">
              <w:rPr>
                <w:sz w:val="16"/>
                <w:szCs w:val="16"/>
              </w:rPr>
              <w:t>ased on DREAM/OVER RCT rates in men, since these trials include incisional hernias. Overall rate across two trials combined:</w:t>
            </w:r>
          </w:p>
          <w:p w:rsidR="00946D81" w:rsidRPr="003F09F4" w:rsidRDefault="00946D81" w:rsidP="00DC264B">
            <w:pPr>
              <w:rPr>
                <w:sz w:val="16"/>
                <w:szCs w:val="16"/>
              </w:rPr>
            </w:pPr>
            <w:r w:rsidRPr="00CB1EE7">
              <w:rPr>
                <w:sz w:val="16"/>
                <w:szCs w:val="16"/>
              </w:rPr>
              <w:t>4.4 and 2.9 per 100 women-years during 31-120 and &gt;120 days respectively</w:t>
            </w:r>
          </w:p>
        </w:tc>
      </w:tr>
      <w:tr w:rsidR="00946D81" w:rsidRPr="003F09F4" w:rsidTr="00DC264B">
        <w:tc>
          <w:tcPr>
            <w:tcW w:w="1565" w:type="dxa"/>
          </w:tcPr>
          <w:p w:rsidR="00946D81" w:rsidRPr="003F09F4" w:rsidRDefault="00946D81" w:rsidP="00DC264B">
            <w:pPr>
              <w:rPr>
                <w:sz w:val="16"/>
                <w:szCs w:val="16"/>
              </w:rPr>
            </w:pPr>
            <w:r w:rsidRPr="003F09F4">
              <w:rPr>
                <w:sz w:val="16"/>
                <w:szCs w:val="16"/>
              </w:rPr>
              <w:t>Long-term AAA mortality rate after successful EVAR</w:t>
            </w:r>
          </w:p>
        </w:tc>
        <w:tc>
          <w:tcPr>
            <w:tcW w:w="1407" w:type="dxa"/>
          </w:tcPr>
          <w:p w:rsidR="00946D81" w:rsidRPr="003F09F4" w:rsidRDefault="00946D81" w:rsidP="00120174">
            <w:pPr>
              <w:rPr>
                <w:sz w:val="16"/>
                <w:szCs w:val="16"/>
              </w:rPr>
            </w:pPr>
            <w:r>
              <w:rPr>
                <w:sz w:val="16"/>
                <w:szCs w:val="16"/>
              </w:rPr>
              <w:t xml:space="preserve">EVAR1 RCT </w:t>
            </w:r>
            <w:r w:rsidRPr="00120174">
              <w:rPr>
                <w:noProof/>
                <w:sz w:val="16"/>
                <w:szCs w:val="16"/>
                <w:vertAlign w:val="superscript"/>
              </w:rPr>
              <w:t>17</w:t>
            </w:r>
          </w:p>
        </w:tc>
        <w:tc>
          <w:tcPr>
            <w:tcW w:w="1985" w:type="dxa"/>
          </w:tcPr>
          <w:p w:rsidR="00946D81" w:rsidRPr="003F09F4" w:rsidRDefault="00946D81" w:rsidP="00DC264B">
            <w:pPr>
              <w:rPr>
                <w:sz w:val="16"/>
                <w:szCs w:val="16"/>
              </w:rPr>
            </w:pPr>
            <w:r w:rsidRPr="003F09F4">
              <w:rPr>
                <w:sz w:val="16"/>
                <w:szCs w:val="16"/>
              </w:rPr>
              <w:t>1.799 per 100 women-years</w:t>
            </w:r>
          </w:p>
        </w:tc>
        <w:tc>
          <w:tcPr>
            <w:tcW w:w="2268" w:type="dxa"/>
          </w:tcPr>
          <w:p w:rsidR="00946D81" w:rsidRPr="003F09F4" w:rsidRDefault="00946D81" w:rsidP="00DC264B">
            <w:pPr>
              <w:rPr>
                <w:sz w:val="16"/>
                <w:szCs w:val="16"/>
              </w:rPr>
            </w:pPr>
            <w:r w:rsidRPr="003F09F4">
              <w:rPr>
                <w:sz w:val="16"/>
                <w:szCs w:val="16"/>
              </w:rPr>
              <w:t>Based on Gamma(8, 444.7)</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Long-term AAA mortality rate after successful open repair</w:t>
            </w:r>
          </w:p>
        </w:tc>
        <w:tc>
          <w:tcPr>
            <w:tcW w:w="1407" w:type="dxa"/>
          </w:tcPr>
          <w:p w:rsidR="00946D81" w:rsidRPr="003F09F4" w:rsidRDefault="00946D81" w:rsidP="00120174">
            <w:pPr>
              <w:rPr>
                <w:sz w:val="16"/>
                <w:szCs w:val="16"/>
              </w:rPr>
            </w:pPr>
            <w:r>
              <w:rPr>
                <w:sz w:val="16"/>
                <w:szCs w:val="16"/>
              </w:rPr>
              <w:t xml:space="preserve">EVAR1 RCT </w:t>
            </w:r>
            <w:r w:rsidRPr="00120174">
              <w:rPr>
                <w:noProof/>
                <w:sz w:val="16"/>
                <w:szCs w:val="16"/>
                <w:vertAlign w:val="superscript"/>
              </w:rPr>
              <w:t>17</w:t>
            </w:r>
          </w:p>
        </w:tc>
        <w:tc>
          <w:tcPr>
            <w:tcW w:w="1985" w:type="dxa"/>
          </w:tcPr>
          <w:p w:rsidR="00946D81" w:rsidRPr="003F09F4" w:rsidRDefault="00946D81" w:rsidP="00DC264B">
            <w:pPr>
              <w:rPr>
                <w:sz w:val="16"/>
                <w:szCs w:val="16"/>
              </w:rPr>
            </w:pPr>
            <w:r w:rsidRPr="003F09F4">
              <w:rPr>
                <w:sz w:val="16"/>
                <w:szCs w:val="16"/>
              </w:rPr>
              <w:t>0.499 per 100 women-years</w:t>
            </w:r>
          </w:p>
        </w:tc>
        <w:tc>
          <w:tcPr>
            <w:tcW w:w="2268" w:type="dxa"/>
          </w:tcPr>
          <w:p w:rsidR="00946D81" w:rsidRPr="003F09F4" w:rsidRDefault="00946D81" w:rsidP="00DC264B">
            <w:pPr>
              <w:rPr>
                <w:sz w:val="16"/>
                <w:szCs w:val="16"/>
              </w:rPr>
            </w:pPr>
            <w:r w:rsidRPr="003F09F4">
              <w:rPr>
                <w:sz w:val="16"/>
                <w:szCs w:val="16"/>
              </w:rPr>
              <w:t>Based on Gamma(2, 400.8)</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9330" w:type="dxa"/>
            <w:gridSpan w:val="5"/>
          </w:tcPr>
          <w:p w:rsidR="00946D81" w:rsidRPr="003F09F4" w:rsidRDefault="00946D81" w:rsidP="00DC264B">
            <w:pPr>
              <w:rPr>
                <w:sz w:val="16"/>
                <w:szCs w:val="16"/>
              </w:rPr>
            </w:pPr>
            <w:r w:rsidRPr="003F09F4">
              <w:rPr>
                <w:b/>
                <w:sz w:val="16"/>
                <w:szCs w:val="16"/>
              </w:rPr>
              <w:t>Emergency operations</w:t>
            </w:r>
          </w:p>
        </w:tc>
      </w:tr>
      <w:tr w:rsidR="00946D81" w:rsidRPr="003F09F4" w:rsidTr="00DC264B">
        <w:tc>
          <w:tcPr>
            <w:tcW w:w="1565" w:type="dxa"/>
          </w:tcPr>
          <w:p w:rsidR="00946D81" w:rsidRPr="003F09F4" w:rsidRDefault="00946D81" w:rsidP="00DC264B">
            <w:pPr>
              <w:rPr>
                <w:sz w:val="16"/>
                <w:szCs w:val="16"/>
              </w:rPr>
            </w:pPr>
            <w:r w:rsidRPr="003F09F4">
              <w:rPr>
                <w:sz w:val="16"/>
                <w:szCs w:val="16"/>
              </w:rPr>
              <w:t>% operated after rupture</w:t>
            </w:r>
          </w:p>
        </w:tc>
        <w:tc>
          <w:tcPr>
            <w:tcW w:w="1407" w:type="dxa"/>
          </w:tcPr>
          <w:p w:rsidR="00946D81" w:rsidRPr="003F09F4" w:rsidRDefault="00946D81" w:rsidP="00E94204">
            <w:pPr>
              <w:rPr>
                <w:sz w:val="16"/>
                <w:szCs w:val="16"/>
              </w:rPr>
            </w:pPr>
            <w:r>
              <w:rPr>
                <w:sz w:val="16"/>
                <w:szCs w:val="16"/>
              </w:rPr>
              <w:t xml:space="preserve">Literature review (unpublished), IMPROVE RCT </w:t>
            </w:r>
            <w:r w:rsidRPr="00E94204">
              <w:rPr>
                <w:noProof/>
                <w:sz w:val="16"/>
                <w:szCs w:val="16"/>
                <w:vertAlign w:val="superscript"/>
              </w:rPr>
              <w:t>18</w:t>
            </w:r>
          </w:p>
        </w:tc>
        <w:tc>
          <w:tcPr>
            <w:tcW w:w="1985" w:type="dxa"/>
          </w:tcPr>
          <w:p w:rsidR="00946D81" w:rsidRPr="003F09F4" w:rsidRDefault="00946D81" w:rsidP="00DC264B">
            <w:pPr>
              <w:rPr>
                <w:sz w:val="16"/>
                <w:szCs w:val="16"/>
                <w:highlight w:val="yellow"/>
              </w:rPr>
            </w:pPr>
            <w:r w:rsidRPr="003F09F4">
              <w:rPr>
                <w:sz w:val="16"/>
                <w:szCs w:val="16"/>
              </w:rPr>
              <w:t>0.25</w:t>
            </w:r>
          </w:p>
        </w:tc>
        <w:tc>
          <w:tcPr>
            <w:tcW w:w="2268" w:type="dxa"/>
          </w:tcPr>
          <w:p w:rsidR="00946D81" w:rsidRPr="003F09F4" w:rsidRDefault="00946D81" w:rsidP="00DC264B">
            <w:pPr>
              <w:rPr>
                <w:sz w:val="16"/>
                <w:szCs w:val="16"/>
                <w:highlight w:val="green"/>
              </w:rPr>
            </w:pPr>
            <w:r w:rsidRPr="003F09F4">
              <w:rPr>
                <w:sz w:val="16"/>
                <w:szCs w:val="16"/>
              </w:rPr>
              <w:t>Based on Normal(0.25, 0.05</w:t>
            </w:r>
            <w:r w:rsidRPr="003F09F4">
              <w:rPr>
                <w:sz w:val="16"/>
                <w:szCs w:val="16"/>
                <w:vertAlign w:val="superscript"/>
              </w:rPr>
              <w:t>2</w:t>
            </w:r>
            <w:r w:rsidRPr="003F09F4">
              <w:rPr>
                <w:sz w:val="16"/>
                <w:szCs w:val="16"/>
              </w:rPr>
              <w:t>), with truncation to within [0,1]</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Proportion receiving EVAR vs. open repair</w:t>
            </w:r>
          </w:p>
        </w:tc>
        <w:tc>
          <w:tcPr>
            <w:tcW w:w="1407" w:type="dxa"/>
          </w:tcPr>
          <w:p w:rsidR="00946D81" w:rsidRPr="003F09F4" w:rsidRDefault="00946D81" w:rsidP="00DC264B">
            <w:pPr>
              <w:rPr>
                <w:sz w:val="16"/>
                <w:szCs w:val="16"/>
              </w:rPr>
            </w:pPr>
            <w:r>
              <w:rPr>
                <w:sz w:val="16"/>
                <w:szCs w:val="16"/>
              </w:rPr>
              <w:t>NVR (unpublished)</w:t>
            </w:r>
          </w:p>
        </w:tc>
        <w:tc>
          <w:tcPr>
            <w:tcW w:w="1985" w:type="dxa"/>
          </w:tcPr>
          <w:p w:rsidR="00946D81" w:rsidRPr="00632751" w:rsidRDefault="00946D81" w:rsidP="00DC264B">
            <w:pPr>
              <w:rPr>
                <w:sz w:val="16"/>
                <w:szCs w:val="16"/>
                <w:highlight w:val="yellow"/>
              </w:rPr>
            </w:pPr>
            <w:r w:rsidRPr="00632751">
              <w:rPr>
                <w:sz w:val="16"/>
                <w:szCs w:val="16"/>
              </w:rPr>
              <w:t>0.18 at age 80. Odds ratio 1.04</w:t>
            </w:r>
            <w:r>
              <w:rPr>
                <w:sz w:val="16"/>
                <w:szCs w:val="16"/>
              </w:rPr>
              <w:t xml:space="preserve"> per year increase in age</w:t>
            </w:r>
          </w:p>
        </w:tc>
        <w:tc>
          <w:tcPr>
            <w:tcW w:w="2268" w:type="dxa"/>
          </w:tcPr>
          <w:p w:rsidR="00946D81" w:rsidRPr="00035CBC" w:rsidRDefault="00946D81" w:rsidP="00DC264B">
            <w:pPr>
              <w:rPr>
                <w:sz w:val="16"/>
                <w:szCs w:val="16"/>
                <w:highlight w:val="yellow"/>
              </w:rPr>
            </w:pPr>
            <w:r w:rsidRPr="00F530F6">
              <w:rPr>
                <w:sz w:val="16"/>
                <w:szCs w:val="16"/>
              </w:rPr>
              <w:t>Based on multivariate normal from logistic regression parameters</w:t>
            </w:r>
          </w:p>
        </w:tc>
        <w:tc>
          <w:tcPr>
            <w:tcW w:w="2105" w:type="dxa"/>
          </w:tcPr>
          <w:p w:rsidR="00946D81" w:rsidRPr="003F09F4" w:rsidRDefault="00946D81" w:rsidP="00DC264B">
            <w:pPr>
              <w:rPr>
                <w:sz w:val="16"/>
                <w:szCs w:val="16"/>
              </w:rPr>
            </w:pPr>
            <w:r>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 xml:space="preserve">EVAR 30-day operative mortality </w:t>
            </w:r>
          </w:p>
        </w:tc>
        <w:tc>
          <w:tcPr>
            <w:tcW w:w="1407" w:type="dxa"/>
          </w:tcPr>
          <w:p w:rsidR="00946D81" w:rsidRPr="003F09F4" w:rsidRDefault="00946D81" w:rsidP="00E94204">
            <w:pPr>
              <w:rPr>
                <w:sz w:val="16"/>
                <w:szCs w:val="16"/>
              </w:rPr>
            </w:pPr>
            <w:r>
              <w:rPr>
                <w:sz w:val="16"/>
                <w:szCs w:val="16"/>
              </w:rPr>
              <w:t xml:space="preserve">NVR </w:t>
            </w:r>
            <w:r w:rsidRPr="00E94204">
              <w:rPr>
                <w:noProof/>
                <w:sz w:val="16"/>
                <w:szCs w:val="16"/>
                <w:vertAlign w:val="superscript"/>
              </w:rPr>
              <w:t>10</w:t>
            </w:r>
            <w:r>
              <w:rPr>
                <w:sz w:val="16"/>
                <w:szCs w:val="16"/>
              </w:rPr>
              <w:t>, HES (unpublished)</w:t>
            </w:r>
          </w:p>
        </w:tc>
        <w:tc>
          <w:tcPr>
            <w:tcW w:w="1985" w:type="dxa"/>
          </w:tcPr>
          <w:p w:rsidR="00946D81" w:rsidRPr="00035CBC" w:rsidRDefault="00946D81" w:rsidP="00DC264B">
            <w:pPr>
              <w:rPr>
                <w:color w:val="FF0000"/>
                <w:sz w:val="16"/>
                <w:szCs w:val="16"/>
              </w:rPr>
            </w:pPr>
            <w:r w:rsidRPr="00EC2D42">
              <w:rPr>
                <w:sz w:val="16"/>
                <w:szCs w:val="16"/>
              </w:rPr>
              <w:t>0.35 at age 80. Odds ratio 1.06 per year increase in age</w:t>
            </w:r>
          </w:p>
        </w:tc>
        <w:tc>
          <w:tcPr>
            <w:tcW w:w="2268" w:type="dxa"/>
          </w:tcPr>
          <w:p w:rsidR="00946D81" w:rsidRPr="00035CBC" w:rsidRDefault="00946D81" w:rsidP="00DC264B">
            <w:pPr>
              <w:rPr>
                <w:sz w:val="16"/>
                <w:szCs w:val="16"/>
                <w:highlight w:val="yellow"/>
              </w:rPr>
            </w:pPr>
            <w:r w:rsidRPr="00F530F6">
              <w:rPr>
                <w:sz w:val="16"/>
                <w:szCs w:val="16"/>
              </w:rPr>
              <w:t>Based on multivariate normal from logistic regression parameters</w:t>
            </w:r>
          </w:p>
        </w:tc>
        <w:tc>
          <w:tcPr>
            <w:tcW w:w="2105" w:type="dxa"/>
          </w:tcPr>
          <w:p w:rsidR="00946D81" w:rsidRPr="00035CBC" w:rsidRDefault="00946D81" w:rsidP="00DC264B">
            <w:pPr>
              <w:rPr>
                <w:color w:val="FF0000"/>
                <w:sz w:val="16"/>
                <w:szCs w:val="16"/>
              </w:rPr>
            </w:pPr>
            <w:r w:rsidRPr="00EC2D42">
              <w:rPr>
                <w:sz w:val="16"/>
                <w:szCs w:val="16"/>
              </w:rPr>
              <w:t>0.32 based on systematic review</w:t>
            </w:r>
            <w:r w:rsidRPr="00035CBC">
              <w:rPr>
                <w:color w:val="FF0000"/>
                <w:sz w:val="16"/>
                <w:szCs w:val="16"/>
              </w:rPr>
              <w:t xml:space="preserve"> </w:t>
            </w:r>
          </w:p>
        </w:tc>
      </w:tr>
      <w:tr w:rsidR="00946D81" w:rsidRPr="003F09F4" w:rsidTr="00DC264B">
        <w:tc>
          <w:tcPr>
            <w:tcW w:w="1565" w:type="dxa"/>
          </w:tcPr>
          <w:p w:rsidR="00946D81" w:rsidRPr="003F09F4" w:rsidRDefault="00946D81" w:rsidP="00DC264B">
            <w:pPr>
              <w:rPr>
                <w:sz w:val="16"/>
                <w:szCs w:val="16"/>
              </w:rPr>
            </w:pPr>
            <w:r w:rsidRPr="003F09F4">
              <w:rPr>
                <w:sz w:val="16"/>
                <w:szCs w:val="16"/>
              </w:rPr>
              <w:t xml:space="preserve">Open repair 30-day operative mortality </w:t>
            </w:r>
          </w:p>
        </w:tc>
        <w:tc>
          <w:tcPr>
            <w:tcW w:w="1407" w:type="dxa"/>
          </w:tcPr>
          <w:p w:rsidR="00946D81" w:rsidRPr="003F09F4" w:rsidRDefault="00946D81" w:rsidP="00E94204">
            <w:pPr>
              <w:rPr>
                <w:sz w:val="16"/>
                <w:szCs w:val="16"/>
              </w:rPr>
            </w:pPr>
            <w:r>
              <w:rPr>
                <w:sz w:val="16"/>
                <w:szCs w:val="16"/>
              </w:rPr>
              <w:t xml:space="preserve">NVR </w:t>
            </w:r>
            <w:r w:rsidRPr="00E94204">
              <w:rPr>
                <w:noProof/>
                <w:sz w:val="16"/>
                <w:szCs w:val="16"/>
                <w:vertAlign w:val="superscript"/>
              </w:rPr>
              <w:t>10</w:t>
            </w:r>
            <w:r>
              <w:rPr>
                <w:sz w:val="16"/>
                <w:szCs w:val="16"/>
              </w:rPr>
              <w:t>, HES (unpublished)</w:t>
            </w:r>
          </w:p>
        </w:tc>
        <w:tc>
          <w:tcPr>
            <w:tcW w:w="1985" w:type="dxa"/>
          </w:tcPr>
          <w:p w:rsidR="00946D81" w:rsidRPr="00035CBC" w:rsidRDefault="00946D81" w:rsidP="00DC264B">
            <w:pPr>
              <w:rPr>
                <w:color w:val="FF0000"/>
                <w:sz w:val="16"/>
                <w:szCs w:val="16"/>
              </w:rPr>
            </w:pPr>
            <w:r w:rsidRPr="006805FB">
              <w:rPr>
                <w:sz w:val="16"/>
                <w:szCs w:val="16"/>
              </w:rPr>
              <w:t>0.46 at age 80. Odds ratio 1.03 per year increase in age</w:t>
            </w:r>
          </w:p>
        </w:tc>
        <w:tc>
          <w:tcPr>
            <w:tcW w:w="2268" w:type="dxa"/>
          </w:tcPr>
          <w:p w:rsidR="00946D81" w:rsidRPr="00035CBC" w:rsidRDefault="00946D81" w:rsidP="00DC264B">
            <w:pPr>
              <w:rPr>
                <w:sz w:val="16"/>
                <w:szCs w:val="16"/>
                <w:highlight w:val="yellow"/>
              </w:rPr>
            </w:pPr>
            <w:r w:rsidRPr="00F530F6">
              <w:rPr>
                <w:sz w:val="16"/>
                <w:szCs w:val="16"/>
              </w:rPr>
              <w:t>Based on multivariate normal from logistic regression parameters</w:t>
            </w:r>
          </w:p>
        </w:tc>
        <w:tc>
          <w:tcPr>
            <w:tcW w:w="2105" w:type="dxa"/>
          </w:tcPr>
          <w:p w:rsidR="00946D81" w:rsidRPr="00035CBC" w:rsidRDefault="00946D81" w:rsidP="00DC264B">
            <w:pPr>
              <w:rPr>
                <w:color w:val="FF0000"/>
                <w:sz w:val="16"/>
                <w:szCs w:val="16"/>
              </w:rPr>
            </w:pPr>
            <w:r w:rsidRPr="006805FB">
              <w:rPr>
                <w:sz w:val="16"/>
                <w:szCs w:val="16"/>
              </w:rPr>
              <w:t>0.51 based on systematic review</w:t>
            </w:r>
            <w:r w:rsidRPr="00035CBC">
              <w:rPr>
                <w:color w:val="FF0000"/>
                <w:sz w:val="16"/>
                <w:szCs w:val="16"/>
              </w:rPr>
              <w:t xml:space="preserve"> </w:t>
            </w:r>
          </w:p>
        </w:tc>
      </w:tr>
      <w:tr w:rsidR="00946D81" w:rsidRPr="003F09F4" w:rsidTr="00DC264B">
        <w:tc>
          <w:tcPr>
            <w:tcW w:w="1565" w:type="dxa"/>
          </w:tcPr>
          <w:p w:rsidR="00946D81" w:rsidRPr="003F09F4" w:rsidRDefault="00946D81" w:rsidP="00DC264B">
            <w:pPr>
              <w:rPr>
                <w:sz w:val="16"/>
                <w:szCs w:val="16"/>
              </w:rPr>
            </w:pPr>
            <w:r w:rsidRPr="003F09F4">
              <w:rPr>
                <w:sz w:val="16"/>
                <w:szCs w:val="16"/>
              </w:rPr>
              <w:t>Re-intervention rate after successful EVAR</w:t>
            </w:r>
          </w:p>
        </w:tc>
        <w:tc>
          <w:tcPr>
            <w:tcW w:w="1407" w:type="dxa"/>
          </w:tcPr>
          <w:p w:rsidR="00946D81" w:rsidRPr="003F09F4" w:rsidRDefault="00946D81" w:rsidP="00E94204">
            <w:pPr>
              <w:rPr>
                <w:sz w:val="16"/>
                <w:szCs w:val="16"/>
              </w:rPr>
            </w:pPr>
            <w:r>
              <w:rPr>
                <w:sz w:val="16"/>
                <w:szCs w:val="16"/>
              </w:rPr>
              <w:t xml:space="preserve">IMPROVE RCT </w:t>
            </w:r>
            <w:r w:rsidRPr="00E94204">
              <w:rPr>
                <w:noProof/>
                <w:sz w:val="16"/>
                <w:szCs w:val="16"/>
                <w:vertAlign w:val="superscript"/>
              </w:rPr>
              <w:t>18</w:t>
            </w:r>
          </w:p>
        </w:tc>
        <w:tc>
          <w:tcPr>
            <w:tcW w:w="1985" w:type="dxa"/>
          </w:tcPr>
          <w:p w:rsidR="00946D81" w:rsidRPr="003F09F4" w:rsidRDefault="00946D81" w:rsidP="00DC264B">
            <w:pPr>
              <w:rPr>
                <w:sz w:val="16"/>
                <w:szCs w:val="16"/>
              </w:rPr>
            </w:pPr>
            <w:r w:rsidRPr="003F09F4">
              <w:rPr>
                <w:sz w:val="16"/>
                <w:szCs w:val="16"/>
              </w:rPr>
              <w:t>15.8 per 100 women-years</w:t>
            </w:r>
          </w:p>
        </w:tc>
        <w:tc>
          <w:tcPr>
            <w:tcW w:w="2268" w:type="dxa"/>
          </w:tcPr>
          <w:p w:rsidR="00946D81" w:rsidRPr="003F09F4" w:rsidRDefault="00946D81" w:rsidP="00DC264B">
            <w:pPr>
              <w:rPr>
                <w:sz w:val="16"/>
                <w:szCs w:val="16"/>
                <w:highlight w:val="green"/>
              </w:rPr>
            </w:pPr>
            <w:r w:rsidRPr="003F09F4">
              <w:rPr>
                <w:sz w:val="16"/>
                <w:szCs w:val="16"/>
              </w:rPr>
              <w:t>Based on Gamma(9, 57)</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Re-intervention rate after successful open repair</w:t>
            </w:r>
          </w:p>
        </w:tc>
        <w:tc>
          <w:tcPr>
            <w:tcW w:w="1407" w:type="dxa"/>
          </w:tcPr>
          <w:p w:rsidR="00946D81" w:rsidRPr="003F09F4" w:rsidRDefault="00946D81" w:rsidP="00E94204">
            <w:pPr>
              <w:rPr>
                <w:sz w:val="16"/>
                <w:szCs w:val="16"/>
              </w:rPr>
            </w:pPr>
            <w:r>
              <w:rPr>
                <w:sz w:val="16"/>
                <w:szCs w:val="16"/>
              </w:rPr>
              <w:t xml:space="preserve">IMPROVE RCT </w:t>
            </w:r>
            <w:r w:rsidRPr="00E94204">
              <w:rPr>
                <w:noProof/>
                <w:sz w:val="16"/>
                <w:szCs w:val="16"/>
                <w:vertAlign w:val="superscript"/>
              </w:rPr>
              <w:t>18</w:t>
            </w:r>
          </w:p>
        </w:tc>
        <w:tc>
          <w:tcPr>
            <w:tcW w:w="1985" w:type="dxa"/>
          </w:tcPr>
          <w:p w:rsidR="00946D81" w:rsidRPr="003F09F4" w:rsidRDefault="00946D81" w:rsidP="00DC264B">
            <w:pPr>
              <w:rPr>
                <w:sz w:val="16"/>
                <w:szCs w:val="16"/>
              </w:rPr>
            </w:pPr>
            <w:r w:rsidRPr="003F09F4">
              <w:rPr>
                <w:sz w:val="16"/>
                <w:szCs w:val="16"/>
              </w:rPr>
              <w:t>2.3 per 100 women-years</w:t>
            </w:r>
          </w:p>
        </w:tc>
        <w:tc>
          <w:tcPr>
            <w:tcW w:w="2268" w:type="dxa"/>
          </w:tcPr>
          <w:p w:rsidR="00946D81" w:rsidRPr="003F09F4" w:rsidRDefault="00946D81" w:rsidP="00DC264B">
            <w:pPr>
              <w:rPr>
                <w:sz w:val="16"/>
                <w:szCs w:val="16"/>
                <w:highlight w:val="green"/>
              </w:rPr>
            </w:pPr>
            <w:r w:rsidRPr="003F09F4">
              <w:rPr>
                <w:sz w:val="16"/>
                <w:szCs w:val="16"/>
              </w:rPr>
              <w:t>Based on Gamma(2, 85)</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Long-term AAA mortality rate after successful EVAR</w:t>
            </w:r>
          </w:p>
        </w:tc>
        <w:tc>
          <w:tcPr>
            <w:tcW w:w="1407" w:type="dxa"/>
          </w:tcPr>
          <w:p w:rsidR="00946D81" w:rsidRPr="003F09F4" w:rsidRDefault="00946D81" w:rsidP="00E94204">
            <w:pPr>
              <w:rPr>
                <w:sz w:val="16"/>
                <w:szCs w:val="16"/>
              </w:rPr>
            </w:pPr>
            <w:r>
              <w:rPr>
                <w:sz w:val="16"/>
                <w:szCs w:val="16"/>
              </w:rPr>
              <w:t xml:space="preserve">IMPROVE RCT </w:t>
            </w:r>
            <w:r w:rsidRPr="00E94204">
              <w:rPr>
                <w:noProof/>
                <w:sz w:val="16"/>
                <w:szCs w:val="16"/>
                <w:vertAlign w:val="superscript"/>
              </w:rPr>
              <w:t>18</w:t>
            </w:r>
          </w:p>
        </w:tc>
        <w:tc>
          <w:tcPr>
            <w:tcW w:w="1985" w:type="dxa"/>
          </w:tcPr>
          <w:p w:rsidR="00946D81" w:rsidRPr="003F09F4" w:rsidRDefault="00946D81" w:rsidP="00DC264B">
            <w:pPr>
              <w:rPr>
                <w:sz w:val="16"/>
                <w:szCs w:val="16"/>
              </w:rPr>
            </w:pPr>
            <w:r w:rsidRPr="003F09F4">
              <w:rPr>
                <w:sz w:val="16"/>
                <w:szCs w:val="16"/>
              </w:rPr>
              <w:t>0.0</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0.985 per 100 women-years based on men</w:t>
            </w:r>
          </w:p>
        </w:tc>
      </w:tr>
      <w:tr w:rsidR="00946D81" w:rsidRPr="003F09F4" w:rsidTr="00DC264B">
        <w:tc>
          <w:tcPr>
            <w:tcW w:w="1565" w:type="dxa"/>
          </w:tcPr>
          <w:p w:rsidR="00946D81" w:rsidRPr="003F09F4" w:rsidRDefault="00946D81" w:rsidP="00DC264B">
            <w:pPr>
              <w:rPr>
                <w:sz w:val="16"/>
                <w:szCs w:val="16"/>
              </w:rPr>
            </w:pPr>
            <w:r w:rsidRPr="003F09F4">
              <w:rPr>
                <w:sz w:val="16"/>
                <w:szCs w:val="16"/>
              </w:rPr>
              <w:t>Long-term AAA mortality rate after successful open repair</w:t>
            </w:r>
          </w:p>
        </w:tc>
        <w:tc>
          <w:tcPr>
            <w:tcW w:w="1407" w:type="dxa"/>
          </w:tcPr>
          <w:p w:rsidR="00946D81" w:rsidRPr="003F09F4" w:rsidRDefault="00946D81" w:rsidP="00E94204">
            <w:pPr>
              <w:rPr>
                <w:sz w:val="16"/>
                <w:szCs w:val="16"/>
              </w:rPr>
            </w:pPr>
            <w:r>
              <w:rPr>
                <w:sz w:val="16"/>
                <w:szCs w:val="16"/>
              </w:rPr>
              <w:t xml:space="preserve">IMPROVE RCT </w:t>
            </w:r>
            <w:r w:rsidRPr="00E94204">
              <w:rPr>
                <w:noProof/>
                <w:sz w:val="16"/>
                <w:szCs w:val="16"/>
                <w:vertAlign w:val="superscript"/>
              </w:rPr>
              <w:t>18</w:t>
            </w:r>
          </w:p>
        </w:tc>
        <w:tc>
          <w:tcPr>
            <w:tcW w:w="1985" w:type="dxa"/>
          </w:tcPr>
          <w:p w:rsidR="00946D81" w:rsidRPr="003F09F4" w:rsidRDefault="00946D81" w:rsidP="00DC264B">
            <w:pPr>
              <w:rPr>
                <w:sz w:val="16"/>
                <w:szCs w:val="16"/>
              </w:rPr>
            </w:pPr>
            <w:r w:rsidRPr="003F09F4">
              <w:rPr>
                <w:sz w:val="16"/>
                <w:szCs w:val="16"/>
              </w:rPr>
              <w:t>1.613 per 100 women-years</w:t>
            </w:r>
          </w:p>
        </w:tc>
        <w:tc>
          <w:tcPr>
            <w:tcW w:w="2268" w:type="dxa"/>
          </w:tcPr>
          <w:p w:rsidR="00946D81" w:rsidRPr="003F09F4" w:rsidRDefault="00946D81" w:rsidP="00DC264B">
            <w:pPr>
              <w:rPr>
                <w:sz w:val="16"/>
                <w:szCs w:val="16"/>
              </w:rPr>
            </w:pPr>
            <w:r w:rsidRPr="003F09F4">
              <w:rPr>
                <w:sz w:val="16"/>
                <w:szCs w:val="16"/>
              </w:rPr>
              <w:t>Based on Gamma(2, 124)</w:t>
            </w:r>
          </w:p>
        </w:tc>
        <w:tc>
          <w:tcPr>
            <w:tcW w:w="2105" w:type="dxa"/>
          </w:tcPr>
          <w:p w:rsidR="00946D81" w:rsidRPr="003F09F4" w:rsidRDefault="00946D81" w:rsidP="00DC264B">
            <w:pPr>
              <w:rPr>
                <w:sz w:val="16"/>
                <w:szCs w:val="16"/>
              </w:rPr>
            </w:pPr>
            <w:r w:rsidRPr="003F09F4">
              <w:rPr>
                <w:sz w:val="16"/>
                <w:szCs w:val="16"/>
              </w:rPr>
              <w:t>1.437 per 100 women-years based on men</w:t>
            </w:r>
          </w:p>
        </w:tc>
      </w:tr>
    </w:tbl>
    <w:p w:rsidR="00946D81" w:rsidRDefault="00946D81" w:rsidP="00DC264B">
      <w:r>
        <w:br w:type="page"/>
      </w:r>
    </w:p>
    <w:p w:rsidR="00946D81" w:rsidRDefault="00946D81" w:rsidP="00DC264B">
      <w:r w:rsidRPr="00B73963">
        <w:rPr>
          <w:b/>
        </w:rPr>
        <w:t>Supplementary Table 1</w:t>
      </w:r>
      <w:r>
        <w:t xml:space="preserve"> continued</w:t>
      </w:r>
    </w:p>
    <w:tbl>
      <w:tblPr>
        <w:tblStyle w:val="TableGrid"/>
        <w:tblW w:w="9330" w:type="dxa"/>
        <w:tblLayout w:type="fixed"/>
        <w:tblLook w:val="04A0" w:firstRow="1" w:lastRow="0" w:firstColumn="1" w:lastColumn="0" w:noHBand="0" w:noVBand="1"/>
      </w:tblPr>
      <w:tblGrid>
        <w:gridCol w:w="1565"/>
        <w:gridCol w:w="1407"/>
        <w:gridCol w:w="1985"/>
        <w:gridCol w:w="2268"/>
        <w:gridCol w:w="2105"/>
      </w:tblGrid>
      <w:tr w:rsidR="00946D81" w:rsidRPr="003F09F4" w:rsidTr="00DC264B">
        <w:tc>
          <w:tcPr>
            <w:tcW w:w="9330" w:type="dxa"/>
            <w:gridSpan w:val="5"/>
          </w:tcPr>
          <w:p w:rsidR="00946D81" w:rsidRPr="003F09F4" w:rsidRDefault="00946D81" w:rsidP="00DC264B">
            <w:pPr>
              <w:rPr>
                <w:sz w:val="16"/>
                <w:szCs w:val="16"/>
              </w:rPr>
            </w:pPr>
            <w:r w:rsidRPr="003F09F4">
              <w:rPr>
                <w:b/>
                <w:sz w:val="16"/>
                <w:szCs w:val="16"/>
              </w:rPr>
              <w:t>Costs</w:t>
            </w:r>
          </w:p>
        </w:tc>
      </w:tr>
      <w:tr w:rsidR="00946D81" w:rsidRPr="003F09F4" w:rsidTr="00DC264B">
        <w:tc>
          <w:tcPr>
            <w:tcW w:w="1565" w:type="dxa"/>
          </w:tcPr>
          <w:p w:rsidR="00946D81" w:rsidRPr="003F09F4" w:rsidRDefault="00946D81" w:rsidP="00DC264B">
            <w:pPr>
              <w:rPr>
                <w:sz w:val="16"/>
                <w:szCs w:val="16"/>
              </w:rPr>
            </w:pPr>
            <w:r w:rsidRPr="003F09F4">
              <w:rPr>
                <w:sz w:val="16"/>
                <w:szCs w:val="16"/>
              </w:rPr>
              <w:t>Invitation, re-invitation</w:t>
            </w:r>
          </w:p>
        </w:tc>
        <w:tc>
          <w:tcPr>
            <w:tcW w:w="1407" w:type="dxa"/>
          </w:tcPr>
          <w:p w:rsidR="00946D81" w:rsidRPr="003F09F4"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rPr>
            </w:pPr>
            <w:r w:rsidRPr="003F09F4">
              <w:rPr>
                <w:sz w:val="16"/>
                <w:szCs w:val="16"/>
              </w:rPr>
              <w:t>£1.80</w:t>
            </w:r>
          </w:p>
        </w:tc>
        <w:tc>
          <w:tcPr>
            <w:tcW w:w="2268" w:type="dxa"/>
            <w:vMerge w:val="restart"/>
          </w:tcPr>
          <w:p w:rsidR="00946D81" w:rsidRPr="003F09F4" w:rsidRDefault="00946D81" w:rsidP="00DC264B">
            <w:pPr>
              <w:rPr>
                <w:sz w:val="16"/>
                <w:szCs w:val="16"/>
              </w:rPr>
            </w:pPr>
            <w:r w:rsidRPr="003F09F4">
              <w:rPr>
                <w:sz w:val="16"/>
                <w:szCs w:val="16"/>
              </w:rPr>
              <w:t>In all cases:</w:t>
            </w:r>
          </w:p>
          <w:p w:rsidR="00946D81" w:rsidRPr="003F09F4" w:rsidRDefault="00946D81" w:rsidP="00DC264B">
            <w:pPr>
              <w:rPr>
                <w:sz w:val="16"/>
                <w:szCs w:val="16"/>
              </w:rPr>
            </w:pPr>
            <w:r w:rsidRPr="003F09F4">
              <w:rPr>
                <w:sz w:val="16"/>
                <w:szCs w:val="16"/>
              </w:rPr>
              <w:t>Based on Normal(log(base-case estimate), 0.114</w:t>
            </w:r>
            <w:r w:rsidRPr="003F09F4">
              <w:rPr>
                <w:sz w:val="16"/>
                <w:szCs w:val="16"/>
                <w:vertAlign w:val="superscript"/>
              </w:rPr>
              <w:t>2</w:t>
            </w:r>
            <w:r w:rsidRPr="003F09F4">
              <w:rPr>
                <w:sz w:val="16"/>
                <w:szCs w:val="16"/>
              </w:rPr>
              <w:t>) for log costs</w:t>
            </w:r>
          </w:p>
        </w:tc>
        <w:tc>
          <w:tcPr>
            <w:tcW w:w="2105" w:type="dxa"/>
            <w:vMerge w:val="restart"/>
          </w:tcPr>
          <w:p w:rsidR="00946D81" w:rsidRPr="003F09F4" w:rsidRDefault="00946D81" w:rsidP="00DC264B">
            <w:pPr>
              <w:rPr>
                <w:sz w:val="16"/>
                <w:szCs w:val="16"/>
              </w:rPr>
            </w:pPr>
            <w:r w:rsidRPr="003F09F4">
              <w:rPr>
                <w:sz w:val="16"/>
                <w:szCs w:val="16"/>
              </w:rPr>
              <w:t xml:space="preserve">In all cases: </w:t>
            </w:r>
          </w:p>
          <w:p w:rsidR="00946D81" w:rsidRPr="003F09F4" w:rsidRDefault="00946D81" w:rsidP="00DC264B">
            <w:pPr>
              <w:rPr>
                <w:sz w:val="16"/>
                <w:szCs w:val="16"/>
              </w:rPr>
            </w:pPr>
            <w:r w:rsidRPr="003F09F4">
              <w:rPr>
                <w:sz w:val="16"/>
                <w:szCs w:val="16"/>
              </w:rPr>
              <w:t>a) Base-case estimate * 0.80</w:t>
            </w:r>
          </w:p>
          <w:p w:rsidR="00946D81" w:rsidRPr="003F09F4" w:rsidRDefault="00946D81" w:rsidP="00DC264B">
            <w:pPr>
              <w:rPr>
                <w:sz w:val="16"/>
                <w:szCs w:val="16"/>
              </w:rPr>
            </w:pPr>
            <w:r w:rsidRPr="003F09F4">
              <w:rPr>
                <w:sz w:val="16"/>
                <w:szCs w:val="16"/>
              </w:rPr>
              <w:t>b) Base-case estimate * 1.25</w:t>
            </w:r>
          </w:p>
        </w:tc>
      </w:tr>
      <w:tr w:rsidR="00946D81" w:rsidRPr="003F09F4" w:rsidTr="00DC264B">
        <w:tc>
          <w:tcPr>
            <w:tcW w:w="1565" w:type="dxa"/>
          </w:tcPr>
          <w:p w:rsidR="00946D81" w:rsidRPr="003F09F4" w:rsidRDefault="00946D81" w:rsidP="00DC264B">
            <w:pPr>
              <w:rPr>
                <w:sz w:val="16"/>
                <w:szCs w:val="16"/>
              </w:rPr>
            </w:pPr>
            <w:r w:rsidRPr="003F09F4">
              <w:rPr>
                <w:sz w:val="16"/>
                <w:szCs w:val="16"/>
              </w:rPr>
              <w:t>Screening scan</w:t>
            </w:r>
          </w:p>
        </w:tc>
        <w:tc>
          <w:tcPr>
            <w:tcW w:w="1407" w:type="dxa"/>
          </w:tcPr>
          <w:p w:rsidR="00946D81" w:rsidRPr="003F09F4"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rPr>
            </w:pPr>
            <w:r w:rsidRPr="003F09F4">
              <w:rPr>
                <w:sz w:val="16"/>
                <w:szCs w:val="16"/>
              </w:rPr>
              <w:t>£34.11</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Surveillance scan</w:t>
            </w:r>
          </w:p>
        </w:tc>
        <w:tc>
          <w:tcPr>
            <w:tcW w:w="1407" w:type="dxa"/>
          </w:tcPr>
          <w:p w:rsidR="00946D81" w:rsidRPr="003F09F4" w:rsidRDefault="00946D81" w:rsidP="00DC264B">
            <w:pPr>
              <w:rPr>
                <w:sz w:val="16"/>
                <w:szCs w:val="16"/>
              </w:rPr>
            </w:pPr>
            <w:r>
              <w:rPr>
                <w:sz w:val="16"/>
                <w:szCs w:val="16"/>
              </w:rPr>
              <w:t>NAAASP (unpublished)</w:t>
            </w:r>
          </w:p>
        </w:tc>
        <w:tc>
          <w:tcPr>
            <w:tcW w:w="1985" w:type="dxa"/>
          </w:tcPr>
          <w:p w:rsidR="00946D81" w:rsidRPr="003F09F4" w:rsidRDefault="00946D81" w:rsidP="00DC264B">
            <w:pPr>
              <w:rPr>
                <w:sz w:val="16"/>
                <w:szCs w:val="16"/>
              </w:rPr>
            </w:pPr>
            <w:r w:rsidRPr="003F09F4">
              <w:rPr>
                <w:sz w:val="16"/>
                <w:szCs w:val="16"/>
              </w:rPr>
              <w:t>£72.03</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Consultation for elective surgery</w:t>
            </w:r>
          </w:p>
        </w:tc>
        <w:tc>
          <w:tcPr>
            <w:tcW w:w="1407" w:type="dxa"/>
          </w:tcPr>
          <w:p w:rsidR="00946D81" w:rsidRPr="003F09F4" w:rsidRDefault="00946D81" w:rsidP="00E94204">
            <w:pPr>
              <w:rPr>
                <w:sz w:val="16"/>
                <w:szCs w:val="16"/>
              </w:rPr>
            </w:pPr>
            <w:r>
              <w:rPr>
                <w:sz w:val="16"/>
                <w:szCs w:val="16"/>
              </w:rPr>
              <w:t xml:space="preserve">MASS </w:t>
            </w:r>
            <w:r w:rsidRPr="00E94204">
              <w:rPr>
                <w:noProof/>
                <w:sz w:val="16"/>
                <w:szCs w:val="16"/>
                <w:vertAlign w:val="superscript"/>
              </w:rPr>
              <w:t>19</w:t>
            </w:r>
            <w:r>
              <w:rPr>
                <w:sz w:val="16"/>
                <w:szCs w:val="16"/>
              </w:rPr>
              <w:t>, NHS Reference costs 2014/15</w:t>
            </w:r>
          </w:p>
        </w:tc>
        <w:tc>
          <w:tcPr>
            <w:tcW w:w="1985" w:type="dxa"/>
          </w:tcPr>
          <w:p w:rsidR="00946D81" w:rsidRPr="003F09F4" w:rsidRDefault="00946D81" w:rsidP="00DC264B">
            <w:pPr>
              <w:rPr>
                <w:sz w:val="16"/>
                <w:szCs w:val="16"/>
              </w:rPr>
            </w:pPr>
            <w:r w:rsidRPr="003F09F4">
              <w:rPr>
                <w:sz w:val="16"/>
                <w:szCs w:val="16"/>
              </w:rPr>
              <w:t>£328.64</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Elective EVAR repair</w:t>
            </w:r>
          </w:p>
        </w:tc>
        <w:tc>
          <w:tcPr>
            <w:tcW w:w="1407" w:type="dxa"/>
          </w:tcPr>
          <w:p w:rsidR="00946D81" w:rsidRPr="003F09F4" w:rsidRDefault="00946D81" w:rsidP="00E94204">
            <w:pPr>
              <w:rPr>
                <w:sz w:val="16"/>
                <w:szCs w:val="16"/>
              </w:rPr>
            </w:pPr>
            <w:r>
              <w:rPr>
                <w:sz w:val="16"/>
                <w:szCs w:val="16"/>
              </w:rPr>
              <w:t xml:space="preserve">EVAR1 </w:t>
            </w:r>
            <w:r w:rsidRPr="00E94204">
              <w:rPr>
                <w:noProof/>
                <w:sz w:val="16"/>
                <w:szCs w:val="16"/>
                <w:vertAlign w:val="superscript"/>
              </w:rPr>
              <w:t>17</w:t>
            </w:r>
            <w:r>
              <w:rPr>
                <w:sz w:val="16"/>
                <w:szCs w:val="16"/>
              </w:rPr>
              <w:t>, HES (unpublished), NHS Reference costs 2014/15</w:t>
            </w:r>
          </w:p>
        </w:tc>
        <w:tc>
          <w:tcPr>
            <w:tcW w:w="1985" w:type="dxa"/>
          </w:tcPr>
          <w:p w:rsidR="00946D81" w:rsidRPr="003F09F4" w:rsidRDefault="00946D81" w:rsidP="00DC264B">
            <w:pPr>
              <w:rPr>
                <w:sz w:val="16"/>
                <w:szCs w:val="16"/>
              </w:rPr>
            </w:pPr>
            <w:r w:rsidRPr="003F09F4">
              <w:rPr>
                <w:sz w:val="16"/>
                <w:szCs w:val="16"/>
              </w:rPr>
              <w:t>£13,844</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Elective open repair</w:t>
            </w:r>
          </w:p>
        </w:tc>
        <w:tc>
          <w:tcPr>
            <w:tcW w:w="1407" w:type="dxa"/>
          </w:tcPr>
          <w:p w:rsidR="00946D81" w:rsidRPr="003F09F4" w:rsidRDefault="00946D81" w:rsidP="00E94204">
            <w:pPr>
              <w:rPr>
                <w:sz w:val="16"/>
                <w:szCs w:val="16"/>
              </w:rPr>
            </w:pPr>
            <w:r>
              <w:rPr>
                <w:sz w:val="16"/>
                <w:szCs w:val="16"/>
              </w:rPr>
              <w:t xml:space="preserve">EVAR1 </w:t>
            </w:r>
            <w:r w:rsidRPr="00E94204">
              <w:rPr>
                <w:noProof/>
                <w:sz w:val="16"/>
                <w:szCs w:val="16"/>
                <w:vertAlign w:val="superscript"/>
              </w:rPr>
              <w:t>17</w:t>
            </w:r>
            <w:r>
              <w:rPr>
                <w:sz w:val="16"/>
                <w:szCs w:val="16"/>
              </w:rPr>
              <w:t>, HES (unpublished), NHS Reference costs 2014/15</w:t>
            </w:r>
          </w:p>
        </w:tc>
        <w:tc>
          <w:tcPr>
            <w:tcW w:w="1985" w:type="dxa"/>
          </w:tcPr>
          <w:p w:rsidR="00946D81" w:rsidRPr="003F09F4" w:rsidRDefault="00946D81" w:rsidP="00DC264B">
            <w:pPr>
              <w:rPr>
                <w:sz w:val="16"/>
                <w:szCs w:val="16"/>
              </w:rPr>
            </w:pPr>
            <w:r w:rsidRPr="003F09F4">
              <w:rPr>
                <w:sz w:val="16"/>
                <w:szCs w:val="16"/>
              </w:rPr>
              <w:t>£13,060</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Emergency EVAR repair</w:t>
            </w:r>
          </w:p>
        </w:tc>
        <w:tc>
          <w:tcPr>
            <w:tcW w:w="1407" w:type="dxa"/>
          </w:tcPr>
          <w:p w:rsidR="00946D81" w:rsidRPr="003F09F4" w:rsidRDefault="00946D81" w:rsidP="00E94204">
            <w:pPr>
              <w:rPr>
                <w:sz w:val="16"/>
                <w:szCs w:val="16"/>
              </w:rPr>
            </w:pPr>
            <w:r>
              <w:rPr>
                <w:sz w:val="16"/>
                <w:szCs w:val="16"/>
              </w:rPr>
              <w:t xml:space="preserve">IMPROVE </w:t>
            </w:r>
            <w:r w:rsidRPr="00E94204">
              <w:rPr>
                <w:noProof/>
                <w:sz w:val="16"/>
                <w:szCs w:val="16"/>
                <w:vertAlign w:val="superscript"/>
              </w:rPr>
              <w:t>18</w:t>
            </w:r>
            <w:r>
              <w:rPr>
                <w:sz w:val="16"/>
                <w:szCs w:val="16"/>
              </w:rPr>
              <w:t>, HES (unpublished), NHS Reference costs 2014/15</w:t>
            </w:r>
          </w:p>
        </w:tc>
        <w:tc>
          <w:tcPr>
            <w:tcW w:w="1985" w:type="dxa"/>
          </w:tcPr>
          <w:p w:rsidR="00946D81" w:rsidRPr="003F09F4" w:rsidRDefault="00946D81" w:rsidP="00DC264B">
            <w:pPr>
              <w:rPr>
                <w:sz w:val="16"/>
                <w:szCs w:val="16"/>
              </w:rPr>
            </w:pPr>
            <w:r w:rsidRPr="003F09F4">
              <w:rPr>
                <w:sz w:val="16"/>
                <w:szCs w:val="16"/>
              </w:rPr>
              <w:t>£16,154</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Emergency open repair</w:t>
            </w:r>
          </w:p>
        </w:tc>
        <w:tc>
          <w:tcPr>
            <w:tcW w:w="1407" w:type="dxa"/>
          </w:tcPr>
          <w:p w:rsidR="00946D81" w:rsidRPr="003F09F4" w:rsidRDefault="00946D81" w:rsidP="00E94204">
            <w:pPr>
              <w:rPr>
                <w:sz w:val="16"/>
                <w:szCs w:val="16"/>
              </w:rPr>
            </w:pPr>
            <w:r>
              <w:rPr>
                <w:sz w:val="16"/>
                <w:szCs w:val="16"/>
              </w:rPr>
              <w:t xml:space="preserve">IMPROVE </w:t>
            </w:r>
            <w:r w:rsidRPr="00E94204">
              <w:rPr>
                <w:noProof/>
                <w:sz w:val="16"/>
                <w:szCs w:val="16"/>
                <w:vertAlign w:val="superscript"/>
              </w:rPr>
              <w:t>18</w:t>
            </w:r>
            <w:r>
              <w:rPr>
                <w:sz w:val="16"/>
                <w:szCs w:val="16"/>
              </w:rPr>
              <w:t>, HES (unpublished), NHS Reference costs 2014/15</w:t>
            </w:r>
          </w:p>
        </w:tc>
        <w:tc>
          <w:tcPr>
            <w:tcW w:w="1985" w:type="dxa"/>
          </w:tcPr>
          <w:p w:rsidR="00946D81" w:rsidRPr="003F09F4" w:rsidRDefault="00946D81" w:rsidP="00DC264B">
            <w:pPr>
              <w:rPr>
                <w:sz w:val="16"/>
                <w:szCs w:val="16"/>
              </w:rPr>
            </w:pPr>
            <w:r w:rsidRPr="003F09F4">
              <w:rPr>
                <w:sz w:val="16"/>
                <w:szCs w:val="16"/>
              </w:rPr>
              <w:t>£17,613</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Surveillance after operations</w:t>
            </w:r>
          </w:p>
        </w:tc>
        <w:tc>
          <w:tcPr>
            <w:tcW w:w="1407" w:type="dxa"/>
          </w:tcPr>
          <w:p w:rsidR="00946D81" w:rsidRPr="000C6012" w:rsidRDefault="00946D81" w:rsidP="00DC264B">
            <w:pPr>
              <w:rPr>
                <w:sz w:val="16"/>
                <w:szCs w:val="16"/>
              </w:rPr>
            </w:pPr>
            <w:r>
              <w:rPr>
                <w:sz w:val="16"/>
                <w:szCs w:val="16"/>
              </w:rPr>
              <w:t>Expert opinion, NHS Reference costs 2014/15</w:t>
            </w:r>
          </w:p>
        </w:tc>
        <w:tc>
          <w:tcPr>
            <w:tcW w:w="1985" w:type="dxa"/>
          </w:tcPr>
          <w:p w:rsidR="00946D81" w:rsidRPr="003F09F4" w:rsidRDefault="00946D81" w:rsidP="00DC264B">
            <w:pPr>
              <w:rPr>
                <w:sz w:val="16"/>
                <w:szCs w:val="16"/>
              </w:rPr>
            </w:pPr>
            <w:r w:rsidRPr="003F09F4">
              <w:rPr>
                <w:sz w:val="16"/>
                <w:szCs w:val="16"/>
              </w:rPr>
              <w:t>£258.16 annually after EVAR, £196.79 at 6 weeks after open repair</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Re-intervention after EVAR</w:t>
            </w:r>
          </w:p>
        </w:tc>
        <w:tc>
          <w:tcPr>
            <w:tcW w:w="1407" w:type="dxa"/>
          </w:tcPr>
          <w:p w:rsidR="00946D81" w:rsidRPr="003F09F4" w:rsidRDefault="00946D81" w:rsidP="00281948">
            <w:pPr>
              <w:rPr>
                <w:sz w:val="16"/>
                <w:szCs w:val="16"/>
              </w:rPr>
            </w:pPr>
            <w:r>
              <w:rPr>
                <w:sz w:val="16"/>
                <w:szCs w:val="16"/>
              </w:rPr>
              <w:t xml:space="preserve">EVAR1 </w:t>
            </w:r>
            <w:r w:rsidRPr="00281948">
              <w:rPr>
                <w:noProof/>
                <w:sz w:val="16"/>
                <w:szCs w:val="16"/>
                <w:vertAlign w:val="superscript"/>
              </w:rPr>
              <w:t>17</w:t>
            </w:r>
          </w:p>
        </w:tc>
        <w:tc>
          <w:tcPr>
            <w:tcW w:w="1985" w:type="dxa"/>
          </w:tcPr>
          <w:p w:rsidR="00946D81" w:rsidRPr="003F09F4" w:rsidRDefault="00946D81" w:rsidP="00DC264B">
            <w:pPr>
              <w:rPr>
                <w:sz w:val="16"/>
                <w:szCs w:val="16"/>
              </w:rPr>
            </w:pPr>
            <w:r w:rsidRPr="003F09F4">
              <w:rPr>
                <w:sz w:val="16"/>
                <w:szCs w:val="16"/>
              </w:rPr>
              <w:t>£7,546</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Re-intervention after open repair</w:t>
            </w:r>
          </w:p>
        </w:tc>
        <w:tc>
          <w:tcPr>
            <w:tcW w:w="1407" w:type="dxa"/>
          </w:tcPr>
          <w:p w:rsidR="00946D81" w:rsidRPr="003F09F4" w:rsidRDefault="00946D81" w:rsidP="00281948">
            <w:pPr>
              <w:rPr>
                <w:sz w:val="16"/>
                <w:szCs w:val="16"/>
              </w:rPr>
            </w:pPr>
            <w:r>
              <w:rPr>
                <w:sz w:val="16"/>
                <w:szCs w:val="16"/>
              </w:rPr>
              <w:t xml:space="preserve">EVAR1 </w:t>
            </w:r>
            <w:r w:rsidRPr="00281948">
              <w:rPr>
                <w:noProof/>
                <w:sz w:val="16"/>
                <w:szCs w:val="16"/>
                <w:vertAlign w:val="superscript"/>
              </w:rPr>
              <w:t>17</w:t>
            </w:r>
          </w:p>
        </w:tc>
        <w:tc>
          <w:tcPr>
            <w:tcW w:w="1985" w:type="dxa"/>
          </w:tcPr>
          <w:p w:rsidR="00946D81" w:rsidRPr="003F09F4" w:rsidRDefault="00946D81" w:rsidP="00DC264B">
            <w:pPr>
              <w:rPr>
                <w:sz w:val="16"/>
                <w:szCs w:val="16"/>
              </w:rPr>
            </w:pPr>
            <w:r w:rsidRPr="003F09F4">
              <w:rPr>
                <w:sz w:val="16"/>
                <w:szCs w:val="16"/>
              </w:rPr>
              <w:t>£8,986</w:t>
            </w:r>
          </w:p>
        </w:tc>
        <w:tc>
          <w:tcPr>
            <w:tcW w:w="2268" w:type="dxa"/>
            <w:vMerge/>
          </w:tcPr>
          <w:p w:rsidR="00946D81" w:rsidRPr="003F09F4" w:rsidRDefault="00946D81" w:rsidP="00DC264B">
            <w:pPr>
              <w:rPr>
                <w:sz w:val="16"/>
                <w:szCs w:val="16"/>
              </w:rPr>
            </w:pPr>
          </w:p>
        </w:tc>
        <w:tc>
          <w:tcPr>
            <w:tcW w:w="2105" w:type="dxa"/>
            <w:vMerge/>
          </w:tcPr>
          <w:p w:rsidR="00946D81" w:rsidRPr="003F09F4" w:rsidRDefault="00946D81" w:rsidP="00DC264B">
            <w:pPr>
              <w:rPr>
                <w:sz w:val="16"/>
                <w:szCs w:val="16"/>
              </w:rPr>
            </w:pPr>
          </w:p>
        </w:tc>
      </w:tr>
      <w:tr w:rsidR="00946D81" w:rsidRPr="003F09F4" w:rsidTr="00DC264B">
        <w:tc>
          <w:tcPr>
            <w:tcW w:w="9330" w:type="dxa"/>
            <w:gridSpan w:val="5"/>
          </w:tcPr>
          <w:p w:rsidR="00946D81" w:rsidRPr="003F09F4" w:rsidRDefault="00946D81" w:rsidP="00DC264B">
            <w:pPr>
              <w:rPr>
                <w:sz w:val="16"/>
                <w:szCs w:val="16"/>
              </w:rPr>
            </w:pPr>
            <w:r w:rsidRPr="003F09F4">
              <w:rPr>
                <w:b/>
                <w:sz w:val="16"/>
                <w:szCs w:val="16"/>
              </w:rPr>
              <w:t>Miscellaneous</w:t>
            </w:r>
          </w:p>
        </w:tc>
      </w:tr>
      <w:tr w:rsidR="00946D81" w:rsidRPr="003F09F4" w:rsidTr="00DC264B">
        <w:tc>
          <w:tcPr>
            <w:tcW w:w="1565" w:type="dxa"/>
          </w:tcPr>
          <w:p w:rsidR="00946D81" w:rsidRPr="003F09F4" w:rsidRDefault="00946D81" w:rsidP="00DC264B">
            <w:pPr>
              <w:rPr>
                <w:sz w:val="16"/>
                <w:szCs w:val="16"/>
              </w:rPr>
            </w:pPr>
            <w:r w:rsidRPr="003F09F4">
              <w:rPr>
                <w:sz w:val="16"/>
                <w:szCs w:val="16"/>
              </w:rPr>
              <w:t>Non-AAA mortality rate</w:t>
            </w:r>
          </w:p>
        </w:tc>
        <w:tc>
          <w:tcPr>
            <w:tcW w:w="1407" w:type="dxa"/>
          </w:tcPr>
          <w:p w:rsidR="00946D81" w:rsidRPr="003F09F4" w:rsidRDefault="00946D81" w:rsidP="00DC264B">
            <w:pPr>
              <w:rPr>
                <w:sz w:val="16"/>
                <w:szCs w:val="16"/>
              </w:rPr>
            </w:pPr>
            <w:r>
              <w:rPr>
                <w:sz w:val="16"/>
                <w:szCs w:val="16"/>
              </w:rPr>
              <w:t>ONS</w:t>
            </w:r>
          </w:p>
        </w:tc>
        <w:tc>
          <w:tcPr>
            <w:tcW w:w="1985" w:type="dxa"/>
          </w:tcPr>
          <w:p w:rsidR="00946D81" w:rsidRPr="003F09F4" w:rsidRDefault="00946D81" w:rsidP="00DC264B">
            <w:pPr>
              <w:rPr>
                <w:sz w:val="16"/>
                <w:szCs w:val="16"/>
              </w:rPr>
            </w:pPr>
            <w:r w:rsidRPr="003F09F4">
              <w:rPr>
                <w:sz w:val="16"/>
                <w:szCs w:val="16"/>
              </w:rPr>
              <w:t>ONS 2012-14 data by single year of age, ages 65-94</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Overall QoL / utilities</w:t>
            </w:r>
          </w:p>
        </w:tc>
        <w:tc>
          <w:tcPr>
            <w:tcW w:w="1407" w:type="dxa"/>
          </w:tcPr>
          <w:p w:rsidR="00946D81" w:rsidRPr="003F09F4" w:rsidRDefault="00946D81" w:rsidP="00DC264B">
            <w:pPr>
              <w:rPr>
                <w:sz w:val="16"/>
                <w:szCs w:val="16"/>
              </w:rPr>
            </w:pPr>
            <w:r>
              <w:rPr>
                <w:sz w:val="16"/>
                <w:szCs w:val="16"/>
              </w:rPr>
              <w:t>EuroQol-5D</w:t>
            </w:r>
          </w:p>
        </w:tc>
        <w:tc>
          <w:tcPr>
            <w:tcW w:w="1985" w:type="dxa"/>
          </w:tcPr>
          <w:p w:rsidR="00946D81" w:rsidRPr="003F09F4" w:rsidRDefault="00946D81" w:rsidP="00DC264B">
            <w:pPr>
              <w:rPr>
                <w:sz w:val="16"/>
                <w:szCs w:val="16"/>
              </w:rPr>
            </w:pPr>
            <w:r w:rsidRPr="003F09F4">
              <w:rPr>
                <w:sz w:val="16"/>
                <w:szCs w:val="16"/>
              </w:rPr>
              <w:t xml:space="preserve">0.81 for age 55-64; 0.78 for age 65-74, 0.71 for age </w:t>
            </w:r>
            <w:r w:rsidRPr="003F09F4">
              <w:rPr>
                <w:rFonts w:cstheme="minorHAnsi"/>
                <w:sz w:val="16"/>
                <w:szCs w:val="16"/>
              </w:rPr>
              <w:t>≥</w:t>
            </w:r>
            <w:r w:rsidRPr="003F09F4">
              <w:rPr>
                <w:sz w:val="16"/>
                <w:szCs w:val="16"/>
              </w:rPr>
              <w:t>75</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sidRPr="003F09F4">
              <w:rPr>
                <w:sz w:val="16"/>
                <w:szCs w:val="16"/>
              </w:rPr>
              <w:t>None</w:t>
            </w:r>
          </w:p>
        </w:tc>
      </w:tr>
      <w:tr w:rsidR="00946D81" w:rsidRPr="003F09F4" w:rsidTr="00DC264B">
        <w:tc>
          <w:tcPr>
            <w:tcW w:w="1565" w:type="dxa"/>
          </w:tcPr>
          <w:p w:rsidR="00946D81" w:rsidRPr="003F09F4" w:rsidRDefault="00946D81" w:rsidP="00DC264B">
            <w:pPr>
              <w:rPr>
                <w:sz w:val="16"/>
                <w:szCs w:val="16"/>
              </w:rPr>
            </w:pPr>
            <w:r w:rsidRPr="003F09F4">
              <w:rPr>
                <w:sz w:val="16"/>
                <w:szCs w:val="16"/>
              </w:rPr>
              <w:t>QoL harms of screening</w:t>
            </w:r>
          </w:p>
        </w:tc>
        <w:tc>
          <w:tcPr>
            <w:tcW w:w="1407" w:type="dxa"/>
          </w:tcPr>
          <w:p w:rsidR="00946D81" w:rsidRPr="003F09F4" w:rsidRDefault="00946D81" w:rsidP="0012670B">
            <w:pPr>
              <w:rPr>
                <w:sz w:val="16"/>
                <w:szCs w:val="16"/>
              </w:rPr>
            </w:pPr>
            <w:r>
              <w:rPr>
                <w:sz w:val="16"/>
                <w:szCs w:val="16"/>
              </w:rPr>
              <w:t xml:space="preserve">Ashton et al. 2002 </w:t>
            </w:r>
            <w:r w:rsidRPr="0012670B">
              <w:rPr>
                <w:noProof/>
                <w:sz w:val="16"/>
                <w:szCs w:val="16"/>
                <w:vertAlign w:val="superscript"/>
              </w:rPr>
              <w:t>20</w:t>
            </w:r>
          </w:p>
        </w:tc>
        <w:tc>
          <w:tcPr>
            <w:tcW w:w="1985" w:type="dxa"/>
          </w:tcPr>
          <w:p w:rsidR="00946D81" w:rsidRPr="003F09F4" w:rsidRDefault="00946D81" w:rsidP="00DC264B">
            <w:pPr>
              <w:rPr>
                <w:sz w:val="16"/>
                <w:szCs w:val="16"/>
              </w:rPr>
            </w:pPr>
            <w:r w:rsidRPr="003F09F4">
              <w:rPr>
                <w:sz w:val="16"/>
                <w:szCs w:val="16"/>
              </w:rPr>
              <w:t>No effect</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Default="00946D81" w:rsidP="00DC264B">
            <w:pPr>
              <w:rPr>
                <w:sz w:val="16"/>
                <w:szCs w:val="16"/>
              </w:rPr>
            </w:pPr>
            <w:r>
              <w:rPr>
                <w:sz w:val="16"/>
                <w:szCs w:val="16"/>
              </w:rPr>
              <w:t xml:space="preserve">Utility decrements of  -0.01 for AAA diagnosis during surveillance,  </w:t>
            </w:r>
          </w:p>
          <w:p w:rsidR="00946D81" w:rsidRPr="003F09F4" w:rsidRDefault="00946D81" w:rsidP="00281948">
            <w:pPr>
              <w:rPr>
                <w:sz w:val="16"/>
                <w:szCs w:val="16"/>
              </w:rPr>
            </w:pPr>
          </w:p>
        </w:tc>
      </w:tr>
      <w:tr w:rsidR="00946D81" w:rsidRPr="003F09F4" w:rsidTr="00DC264B">
        <w:tc>
          <w:tcPr>
            <w:tcW w:w="1565" w:type="dxa"/>
          </w:tcPr>
          <w:p w:rsidR="00946D81" w:rsidRPr="003F09F4" w:rsidRDefault="00946D81" w:rsidP="00DC264B">
            <w:pPr>
              <w:rPr>
                <w:sz w:val="16"/>
                <w:szCs w:val="16"/>
              </w:rPr>
            </w:pPr>
            <w:r w:rsidRPr="003F09F4">
              <w:rPr>
                <w:sz w:val="16"/>
                <w:szCs w:val="16"/>
              </w:rPr>
              <w:t>QoL harms of surgery</w:t>
            </w:r>
          </w:p>
        </w:tc>
        <w:tc>
          <w:tcPr>
            <w:tcW w:w="1407" w:type="dxa"/>
          </w:tcPr>
          <w:p w:rsidR="00946D81" w:rsidRPr="003F09F4" w:rsidRDefault="00946D81" w:rsidP="0012670B">
            <w:pPr>
              <w:rPr>
                <w:sz w:val="16"/>
                <w:szCs w:val="16"/>
              </w:rPr>
            </w:pPr>
            <w:r>
              <w:rPr>
                <w:sz w:val="16"/>
                <w:szCs w:val="16"/>
              </w:rPr>
              <w:t xml:space="preserve">EVAR1 </w:t>
            </w:r>
            <w:r w:rsidRPr="0012670B">
              <w:rPr>
                <w:noProof/>
                <w:sz w:val="16"/>
                <w:szCs w:val="16"/>
                <w:vertAlign w:val="superscript"/>
              </w:rPr>
              <w:t>17</w:t>
            </w:r>
            <w:r>
              <w:rPr>
                <w:sz w:val="16"/>
                <w:szCs w:val="16"/>
              </w:rPr>
              <w:t xml:space="preserve">, IMPROVE </w:t>
            </w:r>
            <w:r w:rsidRPr="0012670B">
              <w:rPr>
                <w:noProof/>
                <w:sz w:val="16"/>
                <w:szCs w:val="16"/>
                <w:vertAlign w:val="superscript"/>
              </w:rPr>
              <w:t>18</w:t>
            </w:r>
          </w:p>
        </w:tc>
        <w:tc>
          <w:tcPr>
            <w:tcW w:w="1985" w:type="dxa"/>
          </w:tcPr>
          <w:p w:rsidR="00946D81" w:rsidRPr="003F09F4" w:rsidRDefault="00946D81" w:rsidP="00DC264B">
            <w:pPr>
              <w:rPr>
                <w:sz w:val="16"/>
                <w:szCs w:val="16"/>
              </w:rPr>
            </w:pPr>
            <w:r w:rsidRPr="003F09F4">
              <w:rPr>
                <w:sz w:val="16"/>
                <w:szCs w:val="16"/>
              </w:rPr>
              <w:t>No effect</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rPr>
                <w:sz w:val="16"/>
                <w:szCs w:val="16"/>
              </w:rPr>
            </w:pPr>
            <w:r>
              <w:rPr>
                <w:sz w:val="16"/>
                <w:szCs w:val="16"/>
              </w:rPr>
              <w:t>Utility decrements of -0.02 EVAR elective and -0.07 Open elective (3 months), -0.04 EVAR emergency and -0.10 Open emergency (3 years), -0.10 contraindicated (remaining lifetime)</w:t>
            </w:r>
          </w:p>
        </w:tc>
      </w:tr>
      <w:tr w:rsidR="00946D81" w:rsidRPr="003F09F4" w:rsidTr="00DC264B">
        <w:tc>
          <w:tcPr>
            <w:tcW w:w="1565" w:type="dxa"/>
          </w:tcPr>
          <w:p w:rsidR="00946D81" w:rsidRPr="003F09F4" w:rsidRDefault="00946D81" w:rsidP="00DC264B">
            <w:pPr>
              <w:rPr>
                <w:sz w:val="16"/>
                <w:szCs w:val="16"/>
              </w:rPr>
            </w:pPr>
            <w:r w:rsidRPr="003F09F4">
              <w:rPr>
                <w:sz w:val="16"/>
                <w:szCs w:val="16"/>
              </w:rPr>
              <w:t>Discounting rates</w:t>
            </w:r>
          </w:p>
        </w:tc>
        <w:tc>
          <w:tcPr>
            <w:tcW w:w="1407" w:type="dxa"/>
          </w:tcPr>
          <w:p w:rsidR="00946D81" w:rsidRPr="003F09F4" w:rsidRDefault="00946D81" w:rsidP="00DC264B">
            <w:pPr>
              <w:rPr>
                <w:sz w:val="16"/>
                <w:szCs w:val="16"/>
              </w:rPr>
            </w:pPr>
            <w:r>
              <w:rPr>
                <w:sz w:val="16"/>
                <w:szCs w:val="16"/>
              </w:rPr>
              <w:t>N/A</w:t>
            </w:r>
          </w:p>
        </w:tc>
        <w:tc>
          <w:tcPr>
            <w:tcW w:w="1985" w:type="dxa"/>
          </w:tcPr>
          <w:p w:rsidR="00946D81" w:rsidRPr="003F09F4" w:rsidRDefault="00946D81" w:rsidP="00DC264B">
            <w:pPr>
              <w:rPr>
                <w:sz w:val="16"/>
                <w:szCs w:val="16"/>
              </w:rPr>
            </w:pPr>
            <w:r w:rsidRPr="003F09F4">
              <w:rPr>
                <w:sz w:val="16"/>
                <w:szCs w:val="16"/>
              </w:rPr>
              <w:t>a) Undiscounted</w:t>
            </w:r>
          </w:p>
          <w:p w:rsidR="00946D81" w:rsidRPr="003F09F4" w:rsidRDefault="00946D81" w:rsidP="00DC264B">
            <w:pPr>
              <w:rPr>
                <w:sz w:val="16"/>
                <w:szCs w:val="16"/>
              </w:rPr>
            </w:pPr>
            <w:r w:rsidRPr="003F09F4">
              <w:rPr>
                <w:sz w:val="16"/>
                <w:szCs w:val="16"/>
              </w:rPr>
              <w:t>b) 3.5% per year for costs, 3.5% per year for life-years</w:t>
            </w:r>
          </w:p>
        </w:tc>
        <w:tc>
          <w:tcPr>
            <w:tcW w:w="2268" w:type="dxa"/>
          </w:tcPr>
          <w:p w:rsidR="00946D81" w:rsidRPr="003F09F4" w:rsidRDefault="00946D81" w:rsidP="00DC264B">
            <w:pPr>
              <w:rPr>
                <w:sz w:val="16"/>
                <w:szCs w:val="16"/>
              </w:rPr>
            </w:pPr>
            <w:r w:rsidRPr="003F09F4">
              <w:rPr>
                <w:sz w:val="16"/>
                <w:szCs w:val="16"/>
              </w:rPr>
              <w:t>None</w:t>
            </w:r>
          </w:p>
        </w:tc>
        <w:tc>
          <w:tcPr>
            <w:tcW w:w="2105" w:type="dxa"/>
          </w:tcPr>
          <w:p w:rsidR="00946D81" w:rsidRPr="003F09F4" w:rsidRDefault="00946D81" w:rsidP="00DC264B">
            <w:pPr>
              <w:keepNext/>
              <w:rPr>
                <w:sz w:val="16"/>
                <w:szCs w:val="16"/>
              </w:rPr>
            </w:pPr>
            <w:r w:rsidRPr="003F09F4">
              <w:rPr>
                <w:sz w:val="16"/>
                <w:szCs w:val="16"/>
              </w:rPr>
              <w:t>None</w:t>
            </w:r>
          </w:p>
        </w:tc>
      </w:tr>
    </w:tbl>
    <w:p w:rsidR="00946D81" w:rsidRDefault="00946D81" w:rsidP="00562873">
      <w:pPr>
        <w:spacing w:after="0"/>
      </w:pPr>
      <w:r>
        <w:t>NAAASP – National Abdominal Aortic Aneurysm Screening Programme</w:t>
      </w:r>
    </w:p>
    <w:p w:rsidR="00946D81" w:rsidRDefault="00946D81" w:rsidP="00562873">
      <w:pPr>
        <w:spacing w:after="0"/>
      </w:pPr>
      <w:r>
        <w:t>NVR – National Vascular Registry</w:t>
      </w:r>
    </w:p>
    <w:p w:rsidR="00946D81" w:rsidRDefault="00946D81" w:rsidP="00562873">
      <w:pPr>
        <w:spacing w:after="0"/>
      </w:pPr>
      <w:r>
        <w:t>HES – Hospital Episodes Statistics</w:t>
      </w:r>
    </w:p>
    <w:p w:rsidR="00946D81" w:rsidRDefault="00946D81" w:rsidP="00562873">
      <w:pPr>
        <w:spacing w:after="0"/>
      </w:pPr>
      <w:r>
        <w:t>EVAR1 RCT – EVAR-1 Randomised Controlled Trial</w:t>
      </w:r>
    </w:p>
    <w:p w:rsidR="00946D81" w:rsidRDefault="00946D81" w:rsidP="00562873">
      <w:pPr>
        <w:spacing w:after="0"/>
      </w:pPr>
      <w:r>
        <w:t>IMPROVE – IMPROVE Randomised Controlled Trial</w:t>
      </w:r>
    </w:p>
    <w:p w:rsidR="00946D81" w:rsidRDefault="00946D81" w:rsidP="00562873">
      <w:pPr>
        <w:spacing w:after="0"/>
      </w:pPr>
    </w:p>
    <w:p w:rsidR="00946D81" w:rsidRDefault="00946D81" w:rsidP="00562873">
      <w:pPr>
        <w:spacing w:after="0"/>
      </w:pPr>
      <w:r>
        <w:t>* Slope (</w:t>
      </w:r>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=0.052</m:t>
        </m:r>
      </m:oMath>
      <w:r>
        <w:t>), Intercept (</w:t>
      </w:r>
      <m:oMath>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=1.33</m:t>
        </m:r>
      </m:oMath>
      <w:r>
        <w:t>), Slope log SD (</w:t>
      </w:r>
      <m:oMath>
        <m:func>
          <m:funcPr>
            <m:ctrlPr>
              <w:rPr>
                <w:rFonts w:ascii="Cambria Math" w:hAnsi="Cambria Math"/>
                <w:i/>
              </w:rPr>
            </m:ctrlPr>
          </m:funcPr>
          <m:fName>
            <m:r>
              <m:rPr>
                <m:sty m:val="p"/>
              </m:rPr>
              <w:rPr>
                <w:rFonts w:ascii="Cambria Math" w:hAnsi="Cambria Math"/>
              </w:rPr>
              <m:t>log</m:t>
            </m:r>
          </m:fName>
          <m:e>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e>
        </m:func>
        <m:r>
          <w:rPr>
            <w:rFonts w:ascii="Cambria Math" w:hAnsi="Cambria Math"/>
          </w:rPr>
          <m:t>=-3.28</m:t>
        </m:r>
      </m:oMath>
      <w:r>
        <w:t>), Intercept log SD (</w:t>
      </w:r>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0</m:t>
                    </m:r>
                  </m:sub>
                </m:sSub>
              </m:e>
            </m:d>
            <m:r>
              <w:rPr>
                <w:rFonts w:ascii="Cambria Math" w:hAnsi="Cambria Math"/>
              </w:rPr>
              <m:t>=-1.99</m:t>
            </m:r>
          </m:e>
        </m:func>
      </m:oMath>
      <w:r>
        <w:t>), Arctanh correlation (</w:t>
      </w:r>
      <m:oMath>
        <m:func>
          <m:funcPr>
            <m:ctrlPr>
              <w:rPr>
                <w:rFonts w:ascii="Cambria Math" w:hAnsi="Cambria Math"/>
                <w:i/>
              </w:rPr>
            </m:ctrlPr>
          </m:funcPr>
          <m:fName>
            <m:r>
              <m:rPr>
                <m:sty m:val="p"/>
              </m:rPr>
              <w:rPr>
                <w:rFonts w:ascii="Cambria Math" w:hAnsi="Cambria Math"/>
              </w:rPr>
              <m:t>atanh</m:t>
            </m:r>
          </m:fName>
          <m:e>
            <m:r>
              <w:rPr>
                <w:rFonts w:ascii="Cambria Math" w:hAnsi="Cambria Math"/>
              </w:rPr>
              <m:t>(ρ)</m:t>
            </m:r>
          </m:e>
        </m:func>
        <m:r>
          <w:rPr>
            <w:rFonts w:ascii="Cambria Math" w:eastAsiaTheme="minorEastAsia" w:hAnsi="Cambria Math"/>
          </w:rPr>
          <m:t>=0.41</m:t>
        </m:r>
      </m:oMath>
      <w:r>
        <w:t>), Residual log SD (</w:t>
      </w:r>
      <m:oMath>
        <m:func>
          <m:funcPr>
            <m:ctrlPr>
              <w:rPr>
                <w:rFonts w:ascii="Cambria Math" w:hAnsi="Cambria Math"/>
                <w:i/>
              </w:rPr>
            </m:ctrlPr>
          </m:funcPr>
          <m:fName>
            <m:r>
              <m:rPr>
                <m:sty m:val="p"/>
              </m:rPr>
              <w:rPr>
                <w:rFonts w:ascii="Cambria Math" w:hAnsi="Cambria Math"/>
              </w:rPr>
              <m:t>log</m:t>
            </m:r>
          </m:fName>
          <m:e>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w</m:t>
                </m:r>
              </m:sub>
            </m:sSub>
          </m:e>
        </m:func>
        <m:r>
          <w:rPr>
            <w:rFonts w:ascii="Cambria Math" w:eastAsiaTheme="minorEastAsia" w:hAnsi="Cambria Math"/>
          </w:rPr>
          <m:t>)=-2.96</m:t>
        </m:r>
      </m:oMath>
      <w:r>
        <w:t>)</w:t>
      </w:r>
    </w:p>
    <w:p w:rsidR="00946D81" w:rsidRDefault="00946D81" w:rsidP="00562873">
      <w:pPr>
        <w:spacing w:after="0"/>
        <w:contextualSpacing/>
        <w:jc w:val="both"/>
        <w:rPr>
          <w:rFonts w:ascii="Calibri" w:eastAsia="Yu Mincho" w:hAnsi="Calibri" w:cs="Times New Roman"/>
        </w:rPr>
      </w:pPr>
      <w:r>
        <w:t xml:space="preserve">** </w:t>
      </w:r>
      <m:oMath>
        <m:r>
          <w:rPr>
            <w:rFonts w:ascii="Cambria Math" w:hAnsi="Cambria Math"/>
          </w:rPr>
          <m:t>N(μ,</m:t>
        </m:r>
        <m:r>
          <m:rPr>
            <m:sty m:val="p"/>
          </m:rPr>
          <w:rPr>
            <w:rFonts w:ascii="Cambria Math" w:hAnsi="Cambria Math"/>
          </w:rPr>
          <m:t>Σ</m:t>
        </m:r>
        <m:r>
          <w:rPr>
            <w:rFonts w:ascii="Cambria Math" w:hAnsi="Cambria Math"/>
          </w:rPr>
          <m:t>)</m:t>
        </m:r>
      </m:oMath>
      <w:r>
        <w:rPr>
          <w:rFonts w:eastAsiaTheme="minorEastAsia"/>
        </w:rPr>
        <w:t xml:space="preserve">  whe</w:t>
      </w:r>
      <w:r w:rsidRPr="00222BA7">
        <w:rPr>
          <w:rFonts w:eastAsiaTheme="minorEastAsia"/>
        </w:rPr>
        <w:t xml:space="preserve">re </w:t>
      </w:r>
      <m:oMath>
        <m:r>
          <w:rPr>
            <w:rFonts w:ascii="Cambria Math" w:eastAsia="Calibri" w:hAnsi="Cambria Math" w:cs="Times New Roman"/>
          </w:rPr>
          <m:t>μ=</m:t>
        </m:r>
        <m:d>
          <m:dPr>
            <m:ctrlPr>
              <w:rPr>
                <w:rFonts w:ascii="Cambria Math" w:eastAsia="Calibri" w:hAnsi="Cambria Math" w:cs="Times New Roman"/>
                <w:i/>
              </w:rPr>
            </m:ctrlPr>
          </m:dPr>
          <m:e>
            <m:m>
              <m:mPr>
                <m:mcs>
                  <m:mc>
                    <m:mcPr>
                      <m:count m:val="6"/>
                      <m:mcJc m:val="center"/>
                    </m:mcPr>
                  </m:mc>
                </m:mcs>
                <m:ctrlPr>
                  <w:rPr>
                    <w:rFonts w:ascii="Cambria Math" w:eastAsia="Calibri" w:hAnsi="Cambria Math" w:cs="Times New Roman"/>
                    <w:i/>
                  </w:rPr>
                </m:ctrlPr>
              </m:mPr>
              <m:mr>
                <m:e>
                  <m:r>
                    <w:rPr>
                      <w:rFonts w:ascii="Cambria Math" w:eastAsia="Calibri" w:hAnsi="Cambria Math" w:cs="Times New Roman"/>
                    </w:rPr>
                    <m:t>0.052</m:t>
                  </m:r>
                </m:e>
                <m:e>
                  <m:r>
                    <w:rPr>
                      <w:rFonts w:ascii="Cambria Math" w:eastAsia="Calibri" w:hAnsi="Cambria Math" w:cs="Times New Roman"/>
                    </w:rPr>
                    <m:t>1.33</m:t>
                  </m:r>
                </m:e>
                <m:e>
                  <m:r>
                    <w:rPr>
                      <w:rFonts w:ascii="Cambria Math" w:eastAsia="Calibri" w:hAnsi="Cambria Math" w:cs="Times New Roman"/>
                    </w:rPr>
                    <m:t>-3.28</m:t>
                  </m:r>
                  <m:ctrlPr>
                    <w:rPr>
                      <w:rFonts w:ascii="Cambria Math" w:eastAsia="Cambria Math" w:hAnsi="Cambria Math" w:cs="Cambria Math"/>
                      <w:i/>
                    </w:rPr>
                  </m:ctrlPr>
                </m:e>
                <m:e>
                  <m:r>
                    <w:rPr>
                      <w:rFonts w:ascii="Cambria Math" w:eastAsia="Cambria Math" w:hAnsi="Cambria Math" w:cs="Cambria Math"/>
                    </w:rPr>
                    <m:t>-1.99</m:t>
                  </m:r>
                  <m:ctrlPr>
                    <w:rPr>
                      <w:rFonts w:ascii="Cambria Math" w:eastAsia="Cambria Math" w:hAnsi="Cambria Math" w:cs="Cambria Math"/>
                      <w:i/>
                    </w:rPr>
                  </m:ctrlPr>
                </m:e>
                <m:e>
                  <m:r>
                    <w:rPr>
                      <w:rFonts w:ascii="Cambria Math" w:eastAsia="Cambria Math" w:hAnsi="Cambria Math" w:cs="Cambria Math"/>
                    </w:rPr>
                    <m:t>0.41</m:t>
                  </m:r>
                  <m:ctrlPr>
                    <w:rPr>
                      <w:rFonts w:ascii="Cambria Math" w:eastAsia="Cambria Math" w:hAnsi="Cambria Math" w:cs="Cambria Math"/>
                      <w:i/>
                    </w:rPr>
                  </m:ctrlPr>
                </m:e>
                <m:e>
                  <m:r>
                    <w:rPr>
                      <w:rFonts w:ascii="Cambria Math" w:eastAsia="Cambria Math" w:hAnsi="Cambria Math" w:cs="Cambria Math"/>
                    </w:rPr>
                    <m:t>-2.96</m:t>
                  </m:r>
                </m:e>
              </m:mr>
            </m:m>
          </m:e>
        </m:d>
      </m:oMath>
      <w:r w:rsidRPr="00562873">
        <w:rPr>
          <w:rFonts w:ascii="Calibri" w:eastAsia="Yu Mincho" w:hAnsi="Calibri" w:cs="Times New Roman"/>
        </w:rPr>
        <w:t xml:space="preserve">,  </w:t>
      </w:r>
      <w:r>
        <w:rPr>
          <w:rFonts w:ascii="Calibri" w:eastAsia="Yu Mincho" w:hAnsi="Calibri" w:cs="Times New Roman"/>
        </w:rPr>
        <w:t xml:space="preserve">and </w:t>
      </w:r>
    </w:p>
    <w:p w:rsidR="00946D81" w:rsidRPr="00222BA7" w:rsidRDefault="00946D81" w:rsidP="00562873">
      <w:pPr>
        <w:spacing w:after="0"/>
        <w:ind w:left="360"/>
        <w:contextualSpacing/>
        <w:rPr>
          <w:rFonts w:ascii="Calibri" w:eastAsia="Yu Mincho" w:hAnsi="Calibri" w:cs="Times New Roman"/>
        </w:rPr>
      </w:pPr>
      <m:oMathPara>
        <m:oMath>
          <m:r>
            <m:rPr>
              <m:sty m:val="p"/>
            </m:rPr>
            <w:rPr>
              <w:rFonts w:ascii="Cambria Math" w:eastAsia="Yu Mincho" w:hAnsi="Cambria Math" w:cs="Times New Roman"/>
            </w:rPr>
            <m:t>Σ</m:t>
          </m:r>
          <m:r>
            <w:rPr>
              <w:rFonts w:ascii="Cambria Math" w:eastAsia="Yu Mincho" w:hAnsi="Cambria Math" w:cs="Times New Roman"/>
            </w:rPr>
            <m:t>=</m:t>
          </m:r>
          <m:d>
            <m:dPr>
              <m:ctrlPr>
                <w:rPr>
                  <w:rFonts w:ascii="Cambria Math" w:eastAsia="Yu Mincho" w:hAnsi="Cambria Math" w:cs="Times New Roman"/>
                  <w:i/>
                </w:rPr>
              </m:ctrlPr>
            </m:dPr>
            <m:e>
              <m:m>
                <m:mPr>
                  <m:mcs>
                    <m:mc>
                      <m:mcPr>
                        <m:count m:val="6"/>
                        <m:mcJc m:val="center"/>
                      </m:mcPr>
                    </m:mc>
                  </m:mcs>
                  <m:ctrlPr>
                    <w:rPr>
                      <w:rFonts w:ascii="Cambria Math" w:eastAsia="Yu Mincho" w:hAnsi="Cambria Math" w:cs="Times New Roman"/>
                      <w:i/>
                    </w:rPr>
                  </m:ctrlPr>
                </m:mPr>
                <m:mr>
                  <m:e>
                    <m:r>
                      <w:rPr>
                        <w:rFonts w:ascii="Cambria Math" w:eastAsia="Yu Mincho" w:hAnsi="Cambria Math" w:cs="Times New Roman"/>
                      </w:rPr>
                      <m:t>0.000015</m:t>
                    </m:r>
                  </m:e>
                  <m:e/>
                  <m:e>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e/>
                </m:mr>
                <m:mr>
                  <m:e>
                    <m:r>
                      <w:rPr>
                        <w:rFonts w:ascii="Cambria Math" w:eastAsia="Yu Mincho" w:hAnsi="Cambria Math" w:cs="Times New Roman"/>
                      </w:rPr>
                      <m:t>6.5</m:t>
                    </m:r>
                    <m:sSup>
                      <m:sSupPr>
                        <m:ctrlPr>
                          <w:rPr>
                            <w:rFonts w:ascii="Cambria Math" w:eastAsia="Yu Mincho" w:hAnsi="Cambria Math" w:cs="Times New Roman"/>
                            <w:i/>
                          </w:rPr>
                        </m:ctrlPr>
                      </m:sSupPr>
                      <m:e>
                        <m:r>
                          <w:rPr>
                            <w:rFonts w:ascii="Cambria Math" w:eastAsia="Yu Mincho" w:hAnsi="Cambria Math" w:cs="Times New Roman"/>
                          </w:rPr>
                          <m:t>×10</m:t>
                        </m:r>
                      </m:e>
                      <m:sup>
                        <m:r>
                          <w:rPr>
                            <w:rFonts w:ascii="Cambria Math" w:eastAsia="Yu Mincho" w:hAnsi="Cambria Math" w:cs="Times New Roman"/>
                          </w:rPr>
                          <m:t>-6</m:t>
                        </m:r>
                      </m:sup>
                    </m:sSup>
                    <m:ctrlPr>
                      <w:rPr>
                        <w:rFonts w:ascii="Cambria Math" w:eastAsia="Cambria Math" w:hAnsi="Cambria Math" w:cs="Cambria Math"/>
                        <w:i/>
                      </w:rPr>
                    </m:ctrlPr>
                  </m:e>
                  <m:e>
                    <m:r>
                      <w:rPr>
                        <w:rFonts w:ascii="Cambria Math" w:eastAsia="Cambria Math" w:hAnsi="Cambria Math" w:cs="Cambria Math"/>
                      </w:rPr>
                      <m:t>0.000568</m:t>
                    </m:r>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mr>
                <m:mr>
                  <m:e>
                    <m:r>
                      <w:rPr>
                        <w:rFonts w:ascii="Cambria Math" w:eastAsia="Cambria Math" w:hAnsi="Cambria Math" w:cs="Cambria Math"/>
                      </w:rPr>
                      <m:t>0.000028</m:t>
                    </m:r>
                    <m:ctrlPr>
                      <w:rPr>
                        <w:rFonts w:ascii="Cambria Math" w:eastAsia="Cambria Math" w:hAnsi="Cambria Math" w:cs="Cambria Math"/>
                        <w:i/>
                      </w:rPr>
                    </m:ctrlPr>
                  </m:e>
                  <m:e>
                    <m:r>
                      <w:rPr>
                        <w:rFonts w:ascii="Cambria Math" w:eastAsia="Cambria Math" w:hAnsi="Cambria Math" w:cs="Cambria Math"/>
                      </w:rPr>
                      <m:t>-0.000752</m:t>
                    </m:r>
                    <m:ctrlPr>
                      <w:rPr>
                        <w:rFonts w:ascii="Cambria Math" w:eastAsia="Cambria Math" w:hAnsi="Cambria Math" w:cs="Cambria Math"/>
                        <w:i/>
                      </w:rPr>
                    </m:ctrlPr>
                  </m:e>
                  <m:e>
                    <m:r>
                      <w:rPr>
                        <w:rFonts w:ascii="Cambria Math" w:eastAsia="Cambria Math" w:hAnsi="Cambria Math" w:cs="Cambria Math"/>
                      </w:rPr>
                      <m:t>0.009516</m:t>
                    </m:r>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mr>
                <m:mr>
                  <m:e>
                    <m:r>
                      <w:rPr>
                        <w:rFonts w:ascii="Cambria Math" w:eastAsia="Cambria Math" w:hAnsi="Cambria Math" w:cs="Cambria Math"/>
                      </w:rPr>
                      <m:t>0.000186</m:t>
                    </m:r>
                    <m:ctrlPr>
                      <w:rPr>
                        <w:rFonts w:ascii="Cambria Math" w:eastAsia="Cambria Math" w:hAnsi="Cambria Math" w:cs="Cambria Math"/>
                        <w:i/>
                      </w:rPr>
                    </m:ctrlPr>
                  </m:e>
                  <m:e>
                    <m:r>
                      <w:rPr>
                        <w:rFonts w:ascii="Cambria Math" w:eastAsia="Cambria Math" w:hAnsi="Cambria Math" w:cs="Cambria Math"/>
                      </w:rPr>
                      <m:t>-0.001364</m:t>
                    </m:r>
                    <m:ctrlPr>
                      <w:rPr>
                        <w:rFonts w:ascii="Cambria Math" w:eastAsia="Cambria Math" w:hAnsi="Cambria Math" w:cs="Cambria Math"/>
                        <w:i/>
                      </w:rPr>
                    </m:ctrlPr>
                  </m:e>
                  <m:e>
                    <m:r>
                      <w:rPr>
                        <w:rFonts w:ascii="Cambria Math" w:eastAsia="Cambria Math" w:hAnsi="Cambria Math" w:cs="Cambria Math"/>
                      </w:rPr>
                      <m:t>0.005153</m:t>
                    </m:r>
                    <m:ctrlPr>
                      <w:rPr>
                        <w:rFonts w:ascii="Cambria Math" w:eastAsia="Cambria Math" w:hAnsi="Cambria Math" w:cs="Cambria Math"/>
                        <w:i/>
                      </w:rPr>
                    </m:ctrlPr>
                  </m:e>
                  <m:e>
                    <m:r>
                      <w:rPr>
                        <w:rFonts w:ascii="Cambria Math" w:eastAsia="Cambria Math" w:hAnsi="Cambria Math" w:cs="Cambria Math"/>
                      </w:rPr>
                      <m:t>0.011569</m:t>
                    </m:r>
                    <m:ctrlPr>
                      <w:rPr>
                        <w:rFonts w:ascii="Cambria Math" w:eastAsia="Cambria Math" w:hAnsi="Cambria Math" w:cs="Cambria Math"/>
                        <w:i/>
                      </w:rPr>
                    </m:ctrlPr>
                  </m:e>
                  <m:e>
                    <m:ctrlPr>
                      <w:rPr>
                        <w:rFonts w:ascii="Cambria Math" w:eastAsia="Cambria Math" w:hAnsi="Cambria Math" w:cs="Cambria Math"/>
                        <w:i/>
                      </w:rPr>
                    </m:ctrlPr>
                  </m:e>
                  <m:e>
                    <m:ctrlPr>
                      <w:rPr>
                        <w:rFonts w:ascii="Cambria Math" w:eastAsia="Cambria Math" w:hAnsi="Cambria Math" w:cs="Cambria Math"/>
                        <w:i/>
                      </w:rPr>
                    </m:ctrlPr>
                  </m:e>
                </m:mr>
                <m:mr>
                  <m:e>
                    <m:r>
                      <w:rPr>
                        <w:rFonts w:ascii="Cambria Math" w:eastAsia="Cambria Math" w:hAnsi="Cambria Math" w:cs="Cambria Math"/>
                      </w:rPr>
                      <m:t>-0.000125</m:t>
                    </m:r>
                  </m:e>
                  <m:e>
                    <m:r>
                      <w:rPr>
                        <w:rFonts w:ascii="Cambria Math" w:eastAsia="Yu Mincho" w:hAnsi="Cambria Math" w:cs="Times New Roman"/>
                      </w:rPr>
                      <m:t>-0.000418</m:t>
                    </m:r>
                  </m:e>
                  <m:e>
                    <m:r>
                      <w:rPr>
                        <w:rFonts w:ascii="Cambria Math" w:eastAsia="Yu Mincho" w:hAnsi="Cambria Math" w:cs="Times New Roman"/>
                      </w:rPr>
                      <m:t>-0.000047</m:t>
                    </m:r>
                    <m:ctrlPr>
                      <w:rPr>
                        <w:rFonts w:ascii="Cambria Math" w:eastAsia="Cambria Math" w:hAnsi="Cambria Math" w:cs="Cambria Math"/>
                        <w:i/>
                      </w:rPr>
                    </m:ctrlPr>
                  </m:e>
                  <m:e>
                    <m:r>
                      <w:rPr>
                        <w:rFonts w:ascii="Cambria Math" w:eastAsia="Cambria Math" w:hAnsi="Cambria Math" w:cs="Cambria Math"/>
                      </w:rPr>
                      <m:t>0.000843</m:t>
                    </m:r>
                    <m:ctrlPr>
                      <w:rPr>
                        <w:rFonts w:ascii="Cambria Math" w:eastAsia="Cambria Math" w:hAnsi="Cambria Math" w:cs="Cambria Math"/>
                        <w:i/>
                      </w:rPr>
                    </m:ctrlPr>
                  </m:e>
                  <m:e>
                    <m:r>
                      <w:rPr>
                        <w:rFonts w:ascii="Cambria Math" w:eastAsia="Cambria Math" w:hAnsi="Cambria Math" w:cs="Cambria Math"/>
                      </w:rPr>
                      <m:t>0.011419</m:t>
                    </m:r>
                    <m:ctrlPr>
                      <w:rPr>
                        <w:rFonts w:ascii="Cambria Math" w:eastAsia="Cambria Math" w:hAnsi="Cambria Math" w:cs="Cambria Math"/>
                        <w:i/>
                      </w:rPr>
                    </m:ctrlPr>
                  </m:e>
                  <m:e/>
                </m:mr>
                <m:mr>
                  <m:e>
                    <m:r>
                      <w:rPr>
                        <w:rFonts w:ascii="Cambria Math" w:eastAsia="Yu Mincho" w:hAnsi="Cambria Math" w:cs="Times New Roman"/>
                      </w:rPr>
                      <m:t>-0.000087</m:t>
                    </m:r>
                  </m:e>
                  <m:e>
                    <m:r>
                      <w:rPr>
                        <w:rFonts w:ascii="Cambria Math" w:eastAsia="Yu Mincho" w:hAnsi="Cambria Math" w:cs="Times New Roman"/>
                      </w:rPr>
                      <m:t>-0.001800</m:t>
                    </m:r>
                  </m:e>
                  <m:e>
                    <m:r>
                      <w:rPr>
                        <w:rFonts w:ascii="Cambria Math" w:eastAsia="Yu Mincho" w:hAnsi="Cambria Math" w:cs="Times New Roman"/>
                      </w:rPr>
                      <m:t>0.002401</m:t>
                    </m:r>
                    <m:ctrlPr>
                      <w:rPr>
                        <w:rFonts w:ascii="Cambria Math" w:eastAsia="Cambria Math" w:hAnsi="Cambria Math" w:cs="Cambria Math"/>
                        <w:i/>
                      </w:rPr>
                    </m:ctrlPr>
                  </m:e>
                  <m:e>
                    <m:r>
                      <w:rPr>
                        <w:rFonts w:ascii="Cambria Math" w:eastAsia="Cambria Math" w:hAnsi="Cambria Math" w:cs="Cambria Math"/>
                      </w:rPr>
                      <m:t>0.005566</m:t>
                    </m:r>
                    <m:ctrlPr>
                      <w:rPr>
                        <w:rFonts w:ascii="Cambria Math" w:eastAsia="Cambria Math" w:hAnsi="Cambria Math" w:cs="Cambria Math"/>
                        <w:i/>
                      </w:rPr>
                    </m:ctrlPr>
                  </m:e>
                  <m:e>
                    <m:r>
                      <w:rPr>
                        <w:rFonts w:ascii="Cambria Math" w:eastAsia="Cambria Math" w:hAnsi="Cambria Math" w:cs="Cambria Math"/>
                      </w:rPr>
                      <m:t>0.005260</m:t>
                    </m:r>
                    <m:ctrlPr>
                      <w:rPr>
                        <w:rFonts w:ascii="Cambria Math" w:eastAsia="Cambria Math" w:hAnsi="Cambria Math" w:cs="Cambria Math"/>
                        <w:i/>
                      </w:rPr>
                    </m:ctrlPr>
                  </m:e>
                  <m:e>
                    <m:r>
                      <w:rPr>
                        <w:rFonts w:ascii="Cambria Math" w:eastAsia="Cambria Math" w:hAnsi="Cambria Math" w:cs="Cambria Math"/>
                      </w:rPr>
                      <m:t>0.013688</m:t>
                    </m:r>
                  </m:e>
                </m:mr>
              </m:m>
            </m:e>
          </m:d>
        </m:oMath>
      </m:oMathPara>
    </w:p>
    <w:p w:rsidR="00946D81" w:rsidRPr="006F5BDF" w:rsidRDefault="00946D81" w:rsidP="00562873">
      <w:pPr>
        <w:spacing w:after="0"/>
        <w:contextualSpacing/>
        <w:rPr>
          <w:rFonts w:ascii="Calibri" w:eastAsia="Yu Mincho" w:hAnsi="Calibri" w:cs="Times New Roman"/>
          <w:sz w:val="18"/>
          <w:szCs w:val="18"/>
        </w:rPr>
      </w:pPr>
    </w:p>
    <w:p w:rsidR="00946D81" w:rsidRDefault="00946D81" w:rsidP="00562873">
      <w:pPr>
        <w:spacing w:after="0"/>
        <w:rPr>
          <w:rFonts w:eastAsiaTheme="minorEastAsia"/>
        </w:rPr>
      </w:pPr>
      <w:r w:rsidRPr="00562873">
        <w:t xml:space="preserve">† </w:t>
      </w:r>
      <w:r w:rsidRPr="00F000C6">
        <w:t>Association with diameter (</w:t>
      </w:r>
      <m:oMath>
        <m:sSub>
          <m:sSubPr>
            <m:ctrlPr>
              <w:rPr>
                <w:rFonts w:ascii="Cambria Math" w:hAnsi="Cambria Math"/>
                <w:i/>
              </w:rPr>
            </m:ctrlPr>
          </m:sSubPr>
          <m:e>
            <m:r>
              <w:rPr>
                <w:rFonts w:ascii="Cambria Math" w:hAnsi="Cambria Math"/>
              </w:rPr>
              <m:t>γ</m:t>
            </m:r>
          </m:e>
          <m:sub>
            <m:r>
              <w:rPr>
                <w:rFonts w:ascii="Cambria Math" w:hAnsi="Cambria Math"/>
              </w:rPr>
              <m:t>1</m:t>
            </m:r>
          </m:sub>
        </m:sSub>
        <m:r>
          <w:rPr>
            <w:rFonts w:ascii="Cambria Math" w:hAnsi="Cambria Math"/>
          </w:rPr>
          <m:t>=5.47</m:t>
        </m:r>
      </m:oMath>
      <w:r>
        <w:rPr>
          <w:rFonts w:eastAsiaTheme="minorEastAsia"/>
        </w:rPr>
        <w:t>), Intercept (</w:t>
      </w:r>
      <m:oMath>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0</m:t>
            </m:r>
          </m:sub>
        </m:sSub>
        <m:r>
          <w:rPr>
            <w:rFonts w:ascii="Cambria Math" w:eastAsiaTheme="minorEastAsia" w:hAnsi="Cambria Math"/>
          </w:rPr>
          <m:t>=-12.40)</m:t>
        </m:r>
      </m:oMath>
    </w:p>
    <w:p w:rsidR="00946D81" w:rsidRPr="00F000C6" w:rsidRDefault="00946D81" w:rsidP="00562873">
      <w:pPr>
        <w:spacing w:after="0"/>
      </w:pPr>
      <w:r>
        <w:rPr>
          <w:rFonts w:eastAsiaTheme="minorEastAsia"/>
        </w:rPr>
        <w:t>‡</w:t>
      </w:r>
      <w:r>
        <w:t xml:space="preserve"> </w:t>
      </w:r>
      <m:oMath>
        <m:r>
          <w:rPr>
            <w:rFonts w:ascii="Cambria Math" w:hAnsi="Cambria Math"/>
          </w:rPr>
          <m:t>N(μ,</m:t>
        </m:r>
        <m:r>
          <m:rPr>
            <m:sty m:val="p"/>
          </m:rPr>
          <w:rPr>
            <w:rFonts w:ascii="Cambria Math" w:hAnsi="Cambria Math"/>
          </w:rPr>
          <m:t>Σ</m:t>
        </m:r>
        <m:r>
          <w:rPr>
            <w:rFonts w:ascii="Cambria Math" w:hAnsi="Cambria Math"/>
          </w:rPr>
          <m:t>)</m:t>
        </m:r>
      </m:oMath>
      <w:r>
        <w:rPr>
          <w:rFonts w:eastAsiaTheme="minorEastAsia"/>
        </w:rPr>
        <w:t xml:space="preserve"> where </w:t>
      </w:r>
      <m:oMath>
        <m:r>
          <w:rPr>
            <w:rFonts w:ascii="Cambria Math" w:eastAsiaTheme="minorEastAsia" w:hAnsi="Cambria Math"/>
          </w:rPr>
          <m:t>μ=</m:t>
        </m:r>
        <m:d>
          <m:dPr>
            <m:ctrlPr>
              <w:rPr>
                <w:rFonts w:ascii="Cambria Math" w:eastAsiaTheme="minorEastAsia" w:hAnsi="Cambria Math"/>
                <w:i/>
              </w:rPr>
            </m:ctrlPr>
          </m:dPr>
          <m:e>
            <m:r>
              <w:rPr>
                <w:rFonts w:ascii="Cambria Math" w:eastAsiaTheme="minorEastAsia" w:hAnsi="Cambria Math"/>
              </w:rPr>
              <m:t>5.47, -12.40</m:t>
            </m:r>
          </m:e>
        </m:d>
      </m:oMath>
      <w:r>
        <w:rPr>
          <w:rFonts w:eastAsiaTheme="minorEastAsia"/>
        </w:rPr>
        <w:t xml:space="preserve">, and </w:t>
      </w:r>
      <m:oMath>
        <m:r>
          <m:rPr>
            <m:sty m:val="p"/>
          </m:rPr>
          <w:rPr>
            <w:rFonts w:ascii="Cambria Math" w:eastAsiaTheme="minorEastAsia" w:hAnsi="Cambria Math"/>
          </w:rPr>
          <m:t>Σ</m:t>
        </m:r>
        <m:r>
          <w:rPr>
            <w:rFonts w:ascii="Cambria Math" w:eastAsiaTheme="minorEastAsia" w:hAnsi="Cambria Math"/>
          </w:rPr>
          <m:t>=</m:t>
        </m:r>
        <m:d>
          <m:dPr>
            <m:ctrlPr>
              <w:rPr>
                <w:rFonts w:ascii="Cambria Math" w:eastAsia="Calibri" w:hAnsi="Cambria Math" w:cs="Times New Roman"/>
                <w:i/>
                <w:sz w:val="18"/>
                <w:szCs w:val="18"/>
              </w:rPr>
            </m:ctrlPr>
          </m:dPr>
          <m:e>
            <m:m>
              <m:mPr>
                <m:mcs>
                  <m:mc>
                    <m:mcPr>
                      <m:count m:val="2"/>
                      <m:mcJc m:val="center"/>
                    </m:mcPr>
                  </m:mc>
                </m:mcs>
                <m:ctrlPr>
                  <w:rPr>
                    <w:rFonts w:ascii="Cambria Math" w:eastAsia="Calibri" w:hAnsi="Cambria Math" w:cs="Times New Roman"/>
                    <w:i/>
                    <w:sz w:val="18"/>
                    <w:szCs w:val="18"/>
                  </w:rPr>
                </m:ctrlPr>
              </m:mPr>
              <m:mr>
                <m:e>
                  <m:r>
                    <w:rPr>
                      <w:rFonts w:ascii="Cambria Math" w:eastAsia="Calibri" w:hAnsi="Cambria Math" w:cs="Times New Roman"/>
                      <w:sz w:val="18"/>
                      <w:szCs w:val="18"/>
                    </w:rPr>
                    <m:t>1.5892</m:t>
                  </m:r>
                </m:e>
                <m:e>
                  <m:r>
                    <w:rPr>
                      <w:rFonts w:ascii="Cambria Math" w:eastAsia="Calibri" w:hAnsi="Cambria Math" w:cs="Times New Roman"/>
                      <w:sz w:val="18"/>
                      <w:szCs w:val="18"/>
                    </w:rPr>
                    <m:t>-2.2178</m:t>
                  </m:r>
                </m:e>
              </m:mr>
              <m:mr>
                <m:e>
                  <m:r>
                    <w:rPr>
                      <w:rFonts w:ascii="Cambria Math" w:eastAsia="Calibri" w:hAnsi="Cambria Math" w:cs="Times New Roman"/>
                      <w:sz w:val="18"/>
                      <w:szCs w:val="18"/>
                    </w:rPr>
                    <m:t>-2.2178</m:t>
                  </m:r>
                </m:e>
                <m:e>
                  <m:r>
                    <w:rPr>
                      <w:rFonts w:ascii="Cambria Math" w:eastAsia="Calibri" w:hAnsi="Cambria Math" w:cs="Times New Roman"/>
                      <w:sz w:val="18"/>
                      <w:szCs w:val="18"/>
                    </w:rPr>
                    <m:t>3.1406</m:t>
                  </m:r>
                </m:e>
              </m:mr>
            </m:m>
          </m:e>
        </m:d>
      </m:oMath>
    </w:p>
    <w:p w:rsidR="00946D81" w:rsidRDefault="00946D81" w:rsidP="00DC264B">
      <w:pPr>
        <w:rPr>
          <w:sz w:val="24"/>
          <w:szCs w:val="24"/>
        </w:rPr>
      </w:pPr>
    </w:p>
    <w:p w:rsidR="00946D81" w:rsidRDefault="00946D81" w:rsidP="00DC264B">
      <w:pPr>
        <w:rPr>
          <w:sz w:val="24"/>
          <w:szCs w:val="24"/>
        </w:rPr>
      </w:pPr>
    </w:p>
    <w:p w:rsidR="00946D81" w:rsidRDefault="00946D81">
      <w:pPr>
        <w:rPr>
          <w:rFonts w:asciiTheme="majorHAnsi" w:eastAsiaTheme="majorEastAsia" w:hAnsiTheme="majorHAnsi" w:cstheme="majorBidi"/>
          <w:b/>
          <w:bCs/>
          <w:color w:val="000000" w:themeColor="text1"/>
        </w:rPr>
      </w:pPr>
      <w:bookmarkStart w:id="41" w:name="_Toc506974552"/>
      <w:r>
        <w:rPr>
          <w:color w:val="000000" w:themeColor="text1"/>
        </w:rPr>
        <w:br w:type="page"/>
      </w:r>
    </w:p>
    <w:p w:rsidR="00946D81" w:rsidRPr="00D243F9" w:rsidRDefault="00946D81" w:rsidP="00D243F9">
      <w:pPr>
        <w:pStyle w:val="Heading2"/>
        <w:rPr>
          <w:color w:val="000000" w:themeColor="text1"/>
          <w:sz w:val="22"/>
          <w:szCs w:val="22"/>
        </w:rPr>
      </w:pPr>
      <w:bookmarkStart w:id="42" w:name="_Toc513707572"/>
      <w:r w:rsidRPr="00D243F9">
        <w:rPr>
          <w:color w:val="000000" w:themeColor="text1"/>
          <w:sz w:val="22"/>
          <w:szCs w:val="22"/>
        </w:rPr>
        <w:t>7. Patient and public involvement</w:t>
      </w:r>
      <w:bookmarkEnd w:id="41"/>
      <w:bookmarkEnd w:id="42"/>
    </w:p>
    <w:p w:rsidR="00946D81" w:rsidRDefault="00946D81" w:rsidP="001138E2">
      <w:pPr>
        <w:spacing w:after="0" w:line="240" w:lineRule="auto"/>
      </w:pPr>
    </w:p>
    <w:p w:rsidR="00946D81" w:rsidRDefault="00946D81" w:rsidP="0074727F">
      <w:pPr>
        <w:spacing w:after="0" w:line="240" w:lineRule="auto"/>
        <w:jc w:val="both"/>
      </w:pPr>
      <w:r>
        <w:t>Public interest groups were set up to support this research by author MJB. No formal qualitative research was conducted.</w:t>
      </w:r>
    </w:p>
    <w:p w:rsidR="00946D81" w:rsidRDefault="00946D81" w:rsidP="0074727F">
      <w:pPr>
        <w:spacing w:after="0" w:line="240" w:lineRule="auto"/>
        <w:jc w:val="both"/>
      </w:pPr>
    </w:p>
    <w:p w:rsidR="00946D81" w:rsidRDefault="00946D81" w:rsidP="0074727F">
      <w:pPr>
        <w:spacing w:after="0" w:line="240" w:lineRule="auto"/>
        <w:jc w:val="both"/>
      </w:pPr>
      <w:r>
        <w:t>During the development phase of this research men and women attending a public information event about the management of AAA at the (UK) University Hospitals of Leicester NHS Trust were invited to join a focus group and assist with the design of this research for the purpose of developing the funding application. Four men and two women attended an initial meeting in July 2015. All the men had screen-detected small AAA and one of the women was the partner of one of the men. The aim of this initial meeting was to establish if screening women for AAA was a public research priority and explore patient and public priorities to be examined in the research. This contributed to the overall concept of the research by confirming the general acceptability of screening programmes but highlighted that one of the key areas of importance to potential patients is the acceptability/risks of treatment for screen-detected diseases. This confirmed that the proposed aims of the research were valid and the design was appropriate to meet public research priorities.</w:t>
      </w:r>
    </w:p>
    <w:p w:rsidR="00946D81" w:rsidRDefault="00946D81" w:rsidP="0074727F">
      <w:pPr>
        <w:spacing w:after="0" w:line="240" w:lineRule="auto"/>
        <w:jc w:val="both"/>
      </w:pPr>
    </w:p>
    <w:p w:rsidR="00946D81" w:rsidRDefault="00946D81" w:rsidP="0074727F">
      <w:pPr>
        <w:spacing w:after="0" w:line="240" w:lineRule="auto"/>
        <w:jc w:val="both"/>
      </w:pPr>
      <w:r>
        <w:t xml:space="preserve">The initial focus group convened in the design phase of the project had significant knowledge of AAA and AAA screening. To address this another project specific group was established that was representative of the target population. Through television and radio broadcast interviews in Leicestershire women were invited to participate in this second focus group. 11 women responded and attended three meetings over the duration of the project (January 2016, August 2016 and March 2017). One women had a strong family history of AAA (2 first-degree relatives) and one woman’s husband had previously undergone an AAA repair. The majority (9 women) had family members who had been affected by AAA. The aim of these meetings was to confirm the findings from the initial focus group, obtain feedback regarding the aims of the project, to ensure that outputs were representative of the information relevant to the public and to provide a public perspective on the overall study results. </w:t>
      </w:r>
    </w:p>
    <w:p w:rsidR="00946D81" w:rsidRDefault="00946D81" w:rsidP="0074727F">
      <w:pPr>
        <w:spacing w:after="0" w:line="240" w:lineRule="auto"/>
        <w:jc w:val="both"/>
      </w:pPr>
    </w:p>
    <w:p w:rsidR="00946D81" w:rsidRDefault="00946D81" w:rsidP="0074727F">
      <w:pPr>
        <w:spacing w:after="0" w:line="240" w:lineRule="auto"/>
        <w:jc w:val="both"/>
      </w:pPr>
      <w:r>
        <w:t xml:space="preserve">At the initial project specific focus group meeting (January 2016) the concept of screening was discussed. Evidence for and against screening women for AAA was presented verbally as a means to start an overall discussion about screening. The overall theme arising from this initial meeting was that the reassurance of a negative screen would be the main benefit for most women. All members of the focus group thought that AAA screening should be offered to women. A specific discussion was held with the focus group regarding the acceptability of treatment (surgery) for AAA. With the knowledge that AAA repair was a higher risk procedure for women the focus group thought that most women would want to undergo AAA repair if feasible. The group were asked about whether they would want to undergo AAA repair if this were indicated, particularly with the knowledge that women have higher perioperative risk than men. The women thought that providing the overall risks were considered that most women would want to undergo and AAA repair. The effect of age on perioperative risk was raised by members of the group who also suggested that older women may not want screening as they would not want to know or undergo surgery if diagnosed with an AAA. </w:t>
      </w:r>
    </w:p>
    <w:p w:rsidR="00946D81" w:rsidRDefault="00946D81" w:rsidP="0074727F">
      <w:pPr>
        <w:spacing w:after="0" w:line="240" w:lineRule="auto"/>
        <w:jc w:val="both"/>
      </w:pPr>
    </w:p>
    <w:p w:rsidR="00946D81" w:rsidRDefault="00946D81" w:rsidP="0074727F">
      <w:pPr>
        <w:spacing w:after="0" w:line="240" w:lineRule="auto"/>
        <w:jc w:val="both"/>
      </w:pPr>
      <w:r>
        <w:t xml:space="preserve">A second meeting in August 2016 was used to explore the specific themes of targeting AAA screening for women at high-risk groups such as smokers. Having previously identified that the main benefit of screening for most women was the reassurance provided by a negative screening, the group thought that targeted screening would not be desirable since the main positive effect of screening would be denied to a large proportion of women. </w:t>
      </w:r>
    </w:p>
    <w:p w:rsidR="00946D81" w:rsidRDefault="00946D81" w:rsidP="0074727F">
      <w:pPr>
        <w:spacing w:after="0" w:line="240" w:lineRule="auto"/>
        <w:jc w:val="both"/>
      </w:pPr>
    </w:p>
    <w:p w:rsidR="00946D81" w:rsidRDefault="00946D81" w:rsidP="0074727F">
      <w:pPr>
        <w:spacing w:after="0" w:line="240" w:lineRule="auto"/>
        <w:jc w:val="both"/>
      </w:pPr>
      <w:r>
        <w:t>A final focus group meeting was held in March 2017. At this meeting the results of the SWAN project were available. This meeting was first used to re-discuss and clarify the themes identified in the previous meetings. The focus group confirmed that AAA screening was highly acceptable to women and that they would all attend if invited. They thought that most women would attend if invited. The group confirmed that screening should be offered to all women rather than being targeted at high risk groups.</w:t>
      </w:r>
    </w:p>
    <w:p w:rsidR="00946D81" w:rsidRDefault="00946D81" w:rsidP="0074727F">
      <w:pPr>
        <w:spacing w:after="0" w:line="240" w:lineRule="auto"/>
        <w:jc w:val="both"/>
      </w:pPr>
    </w:p>
    <w:p w:rsidR="00946D81" w:rsidRDefault="00946D81" w:rsidP="0074727F">
      <w:pPr>
        <w:spacing w:after="0" w:line="240" w:lineRule="auto"/>
        <w:jc w:val="both"/>
      </w:pPr>
      <w:r>
        <w:t>Following this initial discussion the group were provided with the following written plain English summary of the results of the SWAN project, written for the National Institute for Health Research official project report:</w:t>
      </w:r>
    </w:p>
    <w:p w:rsidR="00946D81" w:rsidRDefault="00946D81" w:rsidP="0074727F">
      <w:pPr>
        <w:spacing w:after="0" w:line="240" w:lineRule="auto"/>
        <w:jc w:val="both"/>
      </w:pPr>
    </w:p>
    <w:p w:rsidR="00946D81" w:rsidRDefault="00946D81" w:rsidP="0074727F">
      <w:pPr>
        <w:spacing w:after="0" w:line="240" w:lineRule="auto"/>
        <w:jc w:val="both"/>
        <w:rPr>
          <w:rFonts w:ascii="Times New Roman" w:hAnsi="Times New Roman" w:cs="Times New Roman"/>
          <w:i/>
        </w:rPr>
      </w:pPr>
      <w:r w:rsidRPr="001F2A94">
        <w:rPr>
          <w:rFonts w:ascii="Times New Roman" w:hAnsi="Times New Roman" w:cs="Times New Roman"/>
          <w:i/>
        </w:rPr>
        <w:t>“</w:t>
      </w:r>
      <w:r w:rsidRPr="006B1CA5">
        <w:rPr>
          <w:rFonts w:ascii="Times New Roman" w:hAnsi="Times New Roman" w:cs="Times New Roman"/>
          <w:i/>
        </w:rPr>
        <w:t>Abdominal aortic aneurysms (AAAs) are bulges in the main blood vessel in the abdomen. If an AAA</w:t>
      </w:r>
      <w:r>
        <w:rPr>
          <w:rFonts w:ascii="Times New Roman" w:hAnsi="Times New Roman" w:cs="Times New Roman"/>
          <w:i/>
        </w:rPr>
        <w:t xml:space="preserve"> </w:t>
      </w:r>
      <w:r w:rsidRPr="006B1CA5">
        <w:rPr>
          <w:rFonts w:ascii="Times New Roman" w:hAnsi="Times New Roman" w:cs="Times New Roman"/>
          <w:i/>
        </w:rPr>
        <w:t>gets too large it can burst (rupture) and this is usually fatal. While an AAA does not usually have any</w:t>
      </w:r>
      <w:r>
        <w:rPr>
          <w:rFonts w:ascii="Times New Roman" w:hAnsi="Times New Roman" w:cs="Times New Roman"/>
          <w:i/>
        </w:rPr>
        <w:t xml:space="preserve"> </w:t>
      </w:r>
      <w:r w:rsidRPr="006B1CA5">
        <w:rPr>
          <w:rFonts w:ascii="Times New Roman" w:hAnsi="Times New Roman" w:cs="Times New Roman"/>
          <w:i/>
        </w:rPr>
        <w:t>symptoms and is unlikely to cause problems until it bursts, AAAs can be easily diagnosed by a simple</w:t>
      </w:r>
      <w:r>
        <w:rPr>
          <w:rFonts w:ascii="Times New Roman" w:hAnsi="Times New Roman" w:cs="Times New Roman"/>
          <w:i/>
        </w:rPr>
        <w:t xml:space="preserve"> </w:t>
      </w:r>
      <w:r w:rsidRPr="006B1CA5">
        <w:rPr>
          <w:rFonts w:ascii="Times New Roman" w:hAnsi="Times New Roman" w:cs="Times New Roman"/>
          <w:i/>
        </w:rPr>
        <w:t>ultrasound screening scan. In the UK, men aged 65 are offered an ultrasound scan to look for an</w:t>
      </w:r>
      <w:r>
        <w:rPr>
          <w:rFonts w:ascii="Times New Roman" w:hAnsi="Times New Roman" w:cs="Times New Roman"/>
          <w:i/>
        </w:rPr>
        <w:t xml:space="preserve"> </w:t>
      </w:r>
      <w:r w:rsidRPr="006B1CA5">
        <w:rPr>
          <w:rFonts w:ascii="Times New Roman" w:hAnsi="Times New Roman" w:cs="Times New Roman"/>
          <w:i/>
        </w:rPr>
        <w:t>AAA and just over 1 in 100 men who are screened have an AAA. Men found to have an AAA are</w:t>
      </w:r>
      <w:r>
        <w:rPr>
          <w:rFonts w:ascii="Times New Roman" w:hAnsi="Times New Roman" w:cs="Times New Roman"/>
          <w:i/>
        </w:rPr>
        <w:t xml:space="preserve"> </w:t>
      </w:r>
      <w:r w:rsidRPr="006B1CA5">
        <w:rPr>
          <w:rFonts w:ascii="Times New Roman" w:hAnsi="Times New Roman" w:cs="Times New Roman"/>
          <w:i/>
        </w:rPr>
        <w:t>offered an operation to prevent the aneurysm bursting if it is large, or offered regular scans to</w:t>
      </w:r>
      <w:r>
        <w:rPr>
          <w:rFonts w:ascii="Times New Roman" w:hAnsi="Times New Roman" w:cs="Times New Roman"/>
          <w:i/>
        </w:rPr>
        <w:t xml:space="preserve"> </w:t>
      </w:r>
      <w:r w:rsidRPr="006B1CA5">
        <w:rPr>
          <w:rFonts w:ascii="Times New Roman" w:hAnsi="Times New Roman" w:cs="Times New Roman"/>
          <w:i/>
        </w:rPr>
        <w:t>monitor their AAA if it is small.</w:t>
      </w:r>
    </w:p>
    <w:p w:rsidR="00946D81" w:rsidRPr="006B1CA5" w:rsidRDefault="00946D81" w:rsidP="0074727F">
      <w:pPr>
        <w:spacing w:after="0" w:line="240" w:lineRule="auto"/>
        <w:jc w:val="both"/>
        <w:rPr>
          <w:rFonts w:ascii="Times New Roman" w:hAnsi="Times New Roman" w:cs="Times New Roman"/>
          <w:i/>
        </w:rPr>
      </w:pPr>
    </w:p>
    <w:p w:rsidR="00946D81" w:rsidRDefault="00946D81" w:rsidP="0074727F">
      <w:pPr>
        <w:spacing w:after="0" w:line="240" w:lineRule="auto"/>
        <w:jc w:val="both"/>
        <w:rPr>
          <w:rFonts w:ascii="Times New Roman" w:hAnsi="Times New Roman" w:cs="Times New Roman"/>
          <w:i/>
        </w:rPr>
      </w:pPr>
      <w:r w:rsidRPr="006B1CA5">
        <w:rPr>
          <w:rFonts w:ascii="Times New Roman" w:hAnsi="Times New Roman" w:cs="Times New Roman"/>
          <w:i/>
        </w:rPr>
        <w:t>Women are not currently screened for AAA, mainly because they are less likely to have AAAs than</w:t>
      </w:r>
      <w:r>
        <w:rPr>
          <w:rFonts w:ascii="Times New Roman" w:hAnsi="Times New Roman" w:cs="Times New Roman"/>
          <w:i/>
        </w:rPr>
        <w:t xml:space="preserve"> </w:t>
      </w:r>
      <w:r w:rsidRPr="006B1CA5">
        <w:rPr>
          <w:rFonts w:ascii="Times New Roman" w:hAnsi="Times New Roman" w:cs="Times New Roman"/>
          <w:i/>
        </w:rPr>
        <w:t>men. Currently there is no information on whether screening for AAA would save lives from AAA</w:t>
      </w:r>
      <w:r>
        <w:rPr>
          <w:rFonts w:ascii="Times New Roman" w:hAnsi="Times New Roman" w:cs="Times New Roman"/>
          <w:i/>
        </w:rPr>
        <w:t xml:space="preserve"> </w:t>
      </w:r>
      <w:r w:rsidRPr="006B1CA5">
        <w:rPr>
          <w:rFonts w:ascii="Times New Roman" w:hAnsi="Times New Roman" w:cs="Times New Roman"/>
          <w:i/>
        </w:rPr>
        <w:t>rupture in women, or whether this would be cost-effective for the NHS. In this research we have</w:t>
      </w:r>
      <w:r>
        <w:rPr>
          <w:rFonts w:ascii="Times New Roman" w:hAnsi="Times New Roman" w:cs="Times New Roman"/>
          <w:i/>
        </w:rPr>
        <w:t xml:space="preserve"> </w:t>
      </w:r>
      <w:r w:rsidRPr="006B1CA5">
        <w:rPr>
          <w:rFonts w:ascii="Times New Roman" w:hAnsi="Times New Roman" w:cs="Times New Roman"/>
          <w:i/>
        </w:rPr>
        <w:t>gathered together a wide range of available information about AAAs in women to find out if</w:t>
      </w:r>
      <w:r>
        <w:rPr>
          <w:rFonts w:ascii="Times New Roman" w:hAnsi="Times New Roman" w:cs="Times New Roman"/>
          <w:i/>
        </w:rPr>
        <w:t xml:space="preserve"> </w:t>
      </w:r>
      <w:r w:rsidRPr="006B1CA5">
        <w:rPr>
          <w:rFonts w:ascii="Times New Roman" w:hAnsi="Times New Roman" w:cs="Times New Roman"/>
          <w:i/>
        </w:rPr>
        <w:t>screening women for AAA might be effective. We have developed a computer program to analyse</w:t>
      </w:r>
      <w:r>
        <w:rPr>
          <w:rFonts w:ascii="Times New Roman" w:hAnsi="Times New Roman" w:cs="Times New Roman"/>
          <w:i/>
        </w:rPr>
        <w:t xml:space="preserve"> </w:t>
      </w:r>
      <w:r w:rsidRPr="006B1CA5">
        <w:rPr>
          <w:rFonts w:ascii="Times New Roman" w:hAnsi="Times New Roman" w:cs="Times New Roman"/>
          <w:i/>
        </w:rPr>
        <w:t>all of this information and simulate what would happen if women were screened for AAA.</w:t>
      </w:r>
    </w:p>
    <w:p w:rsidR="00946D81" w:rsidRPr="006B1CA5" w:rsidRDefault="00946D81" w:rsidP="0074727F">
      <w:pPr>
        <w:spacing w:after="0" w:line="240" w:lineRule="auto"/>
        <w:jc w:val="both"/>
        <w:rPr>
          <w:rFonts w:ascii="Times New Roman" w:hAnsi="Times New Roman" w:cs="Times New Roman"/>
          <w:i/>
        </w:rPr>
      </w:pPr>
    </w:p>
    <w:p w:rsidR="00946D81" w:rsidRDefault="00946D81" w:rsidP="0074727F">
      <w:pPr>
        <w:spacing w:after="0" w:line="240" w:lineRule="auto"/>
        <w:jc w:val="both"/>
        <w:rPr>
          <w:rFonts w:ascii="Times New Roman" w:hAnsi="Times New Roman" w:cs="Times New Roman"/>
          <w:i/>
        </w:rPr>
      </w:pPr>
      <w:r w:rsidRPr="006B1CA5">
        <w:rPr>
          <w:rFonts w:ascii="Times New Roman" w:hAnsi="Times New Roman" w:cs="Times New Roman"/>
          <w:i/>
        </w:rPr>
        <w:t>Our research has shown that if women were offered the same screening as men this would have a</w:t>
      </w:r>
      <w:r>
        <w:rPr>
          <w:rFonts w:ascii="Times New Roman" w:hAnsi="Times New Roman" w:cs="Times New Roman"/>
          <w:i/>
        </w:rPr>
        <w:t xml:space="preserve"> </w:t>
      </w:r>
      <w:r w:rsidRPr="006B1CA5">
        <w:rPr>
          <w:rFonts w:ascii="Times New Roman" w:hAnsi="Times New Roman" w:cs="Times New Roman"/>
          <w:i/>
        </w:rPr>
        <w:t>very minor effect on the overall life-expectancy of women, gaining on average just over one day of</w:t>
      </w:r>
      <w:r>
        <w:rPr>
          <w:rFonts w:ascii="Times New Roman" w:hAnsi="Times New Roman" w:cs="Times New Roman"/>
          <w:i/>
        </w:rPr>
        <w:t xml:space="preserve"> </w:t>
      </w:r>
      <w:r w:rsidRPr="006B1CA5">
        <w:rPr>
          <w:rFonts w:ascii="Times New Roman" w:hAnsi="Times New Roman" w:cs="Times New Roman"/>
          <w:i/>
        </w:rPr>
        <w:t>life per woman invited to screening. Although there is considerable uncertainty, we estimate that</w:t>
      </w:r>
      <w:r>
        <w:rPr>
          <w:rFonts w:ascii="Times New Roman" w:hAnsi="Times New Roman" w:cs="Times New Roman"/>
          <w:i/>
        </w:rPr>
        <w:t xml:space="preserve"> </w:t>
      </w:r>
      <w:r w:rsidRPr="006B1CA5">
        <w:rPr>
          <w:rFonts w:ascii="Times New Roman" w:hAnsi="Times New Roman" w:cs="Times New Roman"/>
          <w:i/>
        </w:rPr>
        <w:t>around 4100 women would need to be invited to screening to prevent one death from AAA, and that</w:t>
      </w:r>
      <w:r>
        <w:rPr>
          <w:rFonts w:ascii="Times New Roman" w:hAnsi="Times New Roman" w:cs="Times New Roman"/>
          <w:i/>
        </w:rPr>
        <w:t xml:space="preserve"> </w:t>
      </w:r>
      <w:r w:rsidRPr="006B1CA5">
        <w:rPr>
          <w:rFonts w:ascii="Times New Roman" w:hAnsi="Times New Roman" w:cs="Times New Roman"/>
          <w:i/>
        </w:rPr>
        <w:t>screening would cost £150,000 per death from AAA prevented.</w:t>
      </w:r>
    </w:p>
    <w:p w:rsidR="00946D81" w:rsidRPr="006B1CA5" w:rsidRDefault="00946D81" w:rsidP="0074727F">
      <w:pPr>
        <w:spacing w:after="0" w:line="240" w:lineRule="auto"/>
        <w:jc w:val="both"/>
        <w:rPr>
          <w:rFonts w:ascii="Times New Roman" w:hAnsi="Times New Roman" w:cs="Times New Roman"/>
          <w:i/>
        </w:rPr>
      </w:pPr>
    </w:p>
    <w:p w:rsidR="00946D81" w:rsidRDefault="00946D81" w:rsidP="0074727F">
      <w:pPr>
        <w:spacing w:after="0" w:line="240" w:lineRule="auto"/>
        <w:jc w:val="both"/>
      </w:pPr>
      <w:r w:rsidRPr="006B1CA5">
        <w:rPr>
          <w:rFonts w:ascii="Times New Roman" w:hAnsi="Times New Roman" w:cs="Times New Roman"/>
          <w:i/>
        </w:rPr>
        <w:t>Based on our findings, a national AAA screening programme for women would not be cost-effective</w:t>
      </w:r>
      <w:r>
        <w:rPr>
          <w:rFonts w:ascii="Times New Roman" w:hAnsi="Times New Roman" w:cs="Times New Roman"/>
          <w:i/>
        </w:rPr>
        <w:t xml:space="preserve"> </w:t>
      </w:r>
      <w:r w:rsidRPr="006B1CA5">
        <w:rPr>
          <w:rFonts w:ascii="Times New Roman" w:hAnsi="Times New Roman" w:cs="Times New Roman"/>
          <w:i/>
        </w:rPr>
        <w:t>for the NHS.</w:t>
      </w:r>
      <w:r>
        <w:rPr>
          <w:rFonts w:ascii="Times New Roman" w:hAnsi="Times New Roman" w:cs="Times New Roman"/>
          <w:i/>
        </w:rPr>
        <w:t>”</w:t>
      </w:r>
    </w:p>
    <w:p w:rsidR="00946D81" w:rsidRDefault="00946D81" w:rsidP="0074727F">
      <w:pPr>
        <w:spacing w:after="0" w:line="240" w:lineRule="auto"/>
        <w:jc w:val="both"/>
      </w:pPr>
    </w:p>
    <w:p w:rsidR="00946D81" w:rsidRDefault="00946D81" w:rsidP="000B1E24">
      <w:pPr>
        <w:spacing w:before="100" w:beforeAutospacing="1" w:after="100" w:afterAutospacing="1"/>
        <w:rPr>
          <w:b/>
          <w:iCs/>
          <w:sz w:val="24"/>
          <w:szCs w:val="24"/>
        </w:rPr>
      </w:pPr>
      <w:r>
        <w:t>Following the presentation of this plain English summary the themes previously identified were re-discussed. Based on the results presented, the women present thought that targeted screening may be better than no screening at all for women. Despite the negative cost-effectiveness results the members of the focus group thought that AAA screening would still have significant positive benefits for most women. The group thought that the positive effects of a normal screening scan should be investigated as a research priority going forward</w:t>
      </w:r>
      <w:r w:rsidRPr="009778EA">
        <w:t xml:space="preserve"> </w:t>
      </w:r>
      <w:r>
        <w:t>and that this should be combined with a more detailed assessment of quality of life in screen-negative women.</w:t>
      </w:r>
      <w:r>
        <w:rPr>
          <w:b/>
          <w:i/>
          <w:sz w:val="24"/>
          <w:szCs w:val="24"/>
        </w:rPr>
        <w:br w:type="page"/>
      </w:r>
    </w:p>
    <w:p w:rsidR="00946D81" w:rsidRPr="00876831" w:rsidRDefault="00946D81" w:rsidP="00876831">
      <w:pPr>
        <w:rPr>
          <w:rFonts w:cstheme="minorHAnsi"/>
          <w:b/>
          <w:color w:val="000000" w:themeColor="text1"/>
          <w:sz w:val="24"/>
          <w:szCs w:val="24"/>
        </w:rPr>
      </w:pPr>
      <w:bookmarkStart w:id="43" w:name="_Toc504637552"/>
      <w:bookmarkStart w:id="44" w:name="_Toc504637603"/>
      <w:bookmarkStart w:id="45" w:name="_Toc504637661"/>
      <w:bookmarkStart w:id="46" w:name="_Toc504637786"/>
      <w:bookmarkStart w:id="47" w:name="_Toc504637801"/>
      <w:bookmarkStart w:id="48" w:name="_Toc504637831"/>
      <w:r w:rsidRPr="00876831">
        <w:rPr>
          <w:rFonts w:cstheme="minorHAnsi"/>
          <w:b/>
          <w:color w:val="000000" w:themeColor="text1"/>
          <w:sz w:val="24"/>
          <w:szCs w:val="24"/>
        </w:rPr>
        <w:t>Supplementary Results</w:t>
      </w:r>
    </w:p>
    <w:p w:rsidR="00946D81" w:rsidRPr="007B5C4B" w:rsidRDefault="00946D81" w:rsidP="00D243F9">
      <w:pPr>
        <w:pStyle w:val="Caption"/>
        <w:rPr>
          <w:rFonts w:asciiTheme="minorHAnsi" w:hAnsiTheme="minorHAnsi" w:cstheme="minorHAnsi"/>
          <w:b w:val="0"/>
          <w:color w:val="000000" w:themeColor="text1"/>
          <w:sz w:val="22"/>
          <w:szCs w:val="22"/>
        </w:rPr>
      </w:pPr>
      <w:bookmarkStart w:id="49" w:name="_Toc513462285"/>
      <w:bookmarkStart w:id="50" w:name="_Toc513706977"/>
      <w:r w:rsidRPr="00D243F9">
        <w:rPr>
          <w:rFonts w:asciiTheme="minorHAnsi" w:hAnsiTheme="minorHAnsi" w:cstheme="minorHAnsi"/>
          <w:color w:val="000000" w:themeColor="text1"/>
          <w:sz w:val="22"/>
          <w:szCs w:val="22"/>
        </w:rPr>
        <w:t xml:space="preserve">Supplementary Figure </w:t>
      </w:r>
      <w:r w:rsidRPr="00D243F9">
        <w:rPr>
          <w:rFonts w:asciiTheme="minorHAnsi" w:hAnsiTheme="minorHAnsi" w:cstheme="minorHAnsi"/>
          <w:color w:val="000000" w:themeColor="text1"/>
          <w:sz w:val="22"/>
          <w:szCs w:val="22"/>
        </w:rPr>
        <w:fldChar w:fldCharType="begin"/>
      </w:r>
      <w:r w:rsidRPr="00D243F9">
        <w:rPr>
          <w:rFonts w:asciiTheme="minorHAnsi" w:hAnsiTheme="minorHAnsi" w:cstheme="minorHAnsi"/>
          <w:color w:val="000000" w:themeColor="text1"/>
          <w:sz w:val="22"/>
          <w:szCs w:val="22"/>
        </w:rPr>
        <w:instrText xml:space="preserve"> SEQ Supplementary_Figure \* ARABIC </w:instrText>
      </w:r>
      <w:r w:rsidRPr="00D243F9">
        <w:rPr>
          <w:rFonts w:asciiTheme="minorHAnsi" w:hAnsiTheme="minorHAnsi" w:cstheme="minorHAnsi"/>
          <w:color w:val="000000" w:themeColor="text1"/>
          <w:sz w:val="22"/>
          <w:szCs w:val="22"/>
        </w:rPr>
        <w:fldChar w:fldCharType="separate"/>
      </w:r>
      <w:r>
        <w:rPr>
          <w:rFonts w:asciiTheme="minorHAnsi" w:hAnsiTheme="minorHAnsi" w:cstheme="minorHAnsi"/>
          <w:noProof/>
          <w:color w:val="000000" w:themeColor="text1"/>
          <w:sz w:val="22"/>
          <w:szCs w:val="22"/>
        </w:rPr>
        <w:t>2</w:t>
      </w:r>
      <w:r w:rsidRPr="00D243F9">
        <w:rPr>
          <w:rFonts w:asciiTheme="minorHAnsi" w:hAnsiTheme="minorHAnsi" w:cstheme="minorHAnsi"/>
          <w:color w:val="000000" w:themeColor="text1"/>
          <w:sz w:val="22"/>
          <w:szCs w:val="22"/>
        </w:rPr>
        <w:fldChar w:fldCharType="end"/>
      </w:r>
      <w:r w:rsidRPr="007B5C4B">
        <w:rPr>
          <w:rFonts w:asciiTheme="minorHAnsi" w:hAnsiTheme="minorHAnsi" w:cstheme="minorHAnsi"/>
          <w:b w:val="0"/>
          <w:noProof/>
          <w:color w:val="000000" w:themeColor="text1"/>
          <w:sz w:val="22"/>
          <w:szCs w:val="22"/>
        </w:rPr>
        <w:drawing>
          <wp:anchor distT="0" distB="0" distL="114300" distR="114300" simplePos="0" relativeHeight="251671552" behindDoc="1" locked="0" layoutInCell="1" allowOverlap="1" wp14:anchorId="0FFA7386" wp14:editId="5C88CE68">
            <wp:simplePos x="0" y="0"/>
            <wp:positionH relativeFrom="column">
              <wp:posOffset>0</wp:posOffset>
            </wp:positionH>
            <wp:positionV relativeFrom="paragraph">
              <wp:posOffset>497840</wp:posOffset>
            </wp:positionV>
            <wp:extent cx="3419475" cy="3419475"/>
            <wp:effectExtent l="0" t="0" r="9525"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lec.cumulative.ref_cas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19475" cy="3419475"/>
                    </a:xfrm>
                    <a:prstGeom prst="rect">
                      <a:avLst/>
                    </a:prstGeom>
                  </pic:spPr>
                </pic:pic>
              </a:graphicData>
            </a:graphic>
          </wp:anchor>
        </w:drawing>
      </w:r>
      <w:r w:rsidRPr="007B5C4B">
        <w:rPr>
          <w:rFonts w:asciiTheme="minorHAnsi" w:hAnsiTheme="minorHAnsi" w:cstheme="minorHAnsi"/>
          <w:b w:val="0"/>
          <w:noProof/>
          <w:color w:val="000000" w:themeColor="text1"/>
          <w:sz w:val="22"/>
          <w:szCs w:val="22"/>
        </w:rPr>
        <w:drawing>
          <wp:anchor distT="0" distB="0" distL="114300" distR="114300" simplePos="0" relativeHeight="251668480" behindDoc="1" locked="0" layoutInCell="1" allowOverlap="1" wp14:anchorId="5E1A2A80" wp14:editId="5FF8265C">
            <wp:simplePos x="0" y="0"/>
            <wp:positionH relativeFrom="column">
              <wp:posOffset>3057525</wp:posOffset>
            </wp:positionH>
            <wp:positionV relativeFrom="paragraph">
              <wp:posOffset>459740</wp:posOffset>
            </wp:positionV>
            <wp:extent cx="3419475" cy="3419475"/>
            <wp:effectExtent l="0" t="0" r="952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mer.cumulative.ref_cas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9475" cy="3419475"/>
                    </a:xfrm>
                    <a:prstGeom prst="rect">
                      <a:avLst/>
                    </a:prstGeom>
                  </pic:spPr>
                </pic:pic>
              </a:graphicData>
            </a:graphic>
            <wp14:sizeRelH relativeFrom="page">
              <wp14:pctWidth>0</wp14:pctWidth>
            </wp14:sizeRelH>
            <wp14:sizeRelV relativeFrom="page">
              <wp14:pctHeight>0</wp14:pctHeight>
            </wp14:sizeRelV>
          </wp:anchor>
        </w:drawing>
      </w:r>
      <w:r w:rsidRPr="007B5C4B">
        <w:rPr>
          <w:rFonts w:asciiTheme="minorHAnsi" w:hAnsiTheme="minorHAnsi" w:cstheme="minorHAnsi"/>
          <w:color w:val="000000" w:themeColor="text1"/>
          <w:sz w:val="22"/>
          <w:szCs w:val="22"/>
        </w:rPr>
        <w:t xml:space="preserve">. </w:t>
      </w:r>
      <w:r w:rsidRPr="007B5C4B">
        <w:rPr>
          <w:rFonts w:asciiTheme="minorHAnsi" w:hAnsiTheme="minorHAnsi" w:cstheme="minorHAnsi"/>
          <w:b w:val="0"/>
          <w:color w:val="000000" w:themeColor="text1"/>
          <w:sz w:val="22"/>
          <w:szCs w:val="22"/>
        </w:rPr>
        <w:t>A) Cumulative elective operations and B) cumulative emergency operations in the invited to screening vs. not invited to screening groups in the reference case</w:t>
      </w:r>
      <w:r>
        <w:rPr>
          <w:rFonts w:asciiTheme="minorHAnsi" w:hAnsiTheme="minorHAnsi" w:cstheme="minorHAnsi"/>
          <w:b w:val="0"/>
          <w:color w:val="000000" w:themeColor="text1"/>
          <w:sz w:val="22"/>
          <w:szCs w:val="22"/>
        </w:rPr>
        <w:t xml:space="preserve"> per 1 million women</w:t>
      </w:r>
      <w:r w:rsidRPr="007B5C4B">
        <w:rPr>
          <w:rFonts w:asciiTheme="minorHAnsi" w:hAnsiTheme="minorHAnsi" w:cstheme="minorHAnsi"/>
          <w:b w:val="0"/>
          <w:color w:val="000000" w:themeColor="text1"/>
          <w:sz w:val="22"/>
          <w:szCs w:val="22"/>
        </w:rPr>
        <w:t>. C) Cumulative elective operations and D) cumulative emergency operations in the invited to screening vs. not invited to screening groups in the best alternative strategy</w:t>
      </w:r>
      <w:r>
        <w:rPr>
          <w:rFonts w:asciiTheme="minorHAnsi" w:hAnsiTheme="minorHAnsi" w:cstheme="minorHAnsi"/>
          <w:b w:val="0"/>
          <w:color w:val="000000" w:themeColor="text1"/>
          <w:sz w:val="22"/>
          <w:szCs w:val="22"/>
        </w:rPr>
        <w:t xml:space="preserve"> per 1 million women</w:t>
      </w:r>
      <w:r w:rsidRPr="007B5C4B">
        <w:rPr>
          <w:rFonts w:asciiTheme="minorHAnsi" w:hAnsiTheme="minorHAnsi" w:cstheme="minorHAnsi"/>
          <w:b w:val="0"/>
          <w:color w:val="000000" w:themeColor="text1"/>
          <w:sz w:val="22"/>
          <w:szCs w:val="22"/>
        </w:rPr>
        <w:t>.</w:t>
      </w:r>
      <w:bookmarkEnd w:id="49"/>
      <w:bookmarkEnd w:id="50"/>
      <w:r w:rsidRPr="007B5C4B">
        <w:rPr>
          <w:rFonts w:asciiTheme="minorHAnsi" w:hAnsiTheme="minorHAnsi" w:cstheme="minorHAnsi"/>
          <w:b w:val="0"/>
          <w:color w:val="000000" w:themeColor="text1"/>
          <w:sz w:val="22"/>
          <w:szCs w:val="22"/>
        </w:rPr>
        <w:t xml:space="preserve"> </w:t>
      </w:r>
    </w:p>
    <w:p w:rsidR="00946D81" w:rsidRDefault="00946D81" w:rsidP="00876831">
      <w:pPr>
        <w:tabs>
          <w:tab w:val="left" w:pos="3300"/>
        </w:tabs>
        <w:jc w:val="both"/>
        <w:rPr>
          <w:b/>
        </w:rPr>
      </w:pPr>
      <w:r w:rsidRPr="009E7151">
        <w:rPr>
          <w:b/>
          <w:noProof/>
          <w:lang w:eastAsia="en-GB"/>
        </w:rPr>
        <mc:AlternateContent>
          <mc:Choice Requires="wps">
            <w:drawing>
              <wp:anchor distT="0" distB="0" distL="114300" distR="114300" simplePos="0" relativeHeight="251663360" behindDoc="0" locked="0" layoutInCell="1" allowOverlap="1" wp14:anchorId="59C6CD66" wp14:editId="019BFA58">
                <wp:simplePos x="0" y="0"/>
                <wp:positionH relativeFrom="column">
                  <wp:posOffset>2778108</wp:posOffset>
                </wp:positionH>
                <wp:positionV relativeFrom="paragraph">
                  <wp:posOffset>149324</wp:posOffset>
                </wp:positionV>
                <wp:extent cx="295275" cy="3619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6D81" w:rsidRPr="00DA53AC" w:rsidRDefault="00946D81" w:rsidP="00AE02A4">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C6CD66" id="Text Box 4" o:spid="_x0000_s1029" type="#_x0000_t202" style="position:absolute;left:0;text-align:left;margin-left:218.75pt;margin-top:11.75pt;width:23.25pt;height:2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" fillcolor="white [3201]" stroked="f" strokeweight=".5pt">
                <v:textbox>
                  <w:txbxContent>
                    <w:p w:rsidR="00946D81" w:rsidRPr="00DA53AC" w:rsidRDefault="00946D81" w:rsidP="00AE02A4">
                      <w:pPr>
                        <w:rPr>
                          <w:b/>
                        </w:rPr>
                      </w:pPr>
                      <w:r>
                        <w:rPr>
                          <w:b/>
                        </w:rPr>
                        <w:t>B</w:t>
                      </w:r>
                    </w:p>
                  </w:txbxContent>
                </v:textbox>
              </v:shape>
            </w:pict>
          </mc:Fallback>
        </mc:AlternateContent>
      </w:r>
      <w:r w:rsidRPr="009E7151">
        <w:rPr>
          <w:b/>
          <w:noProof/>
          <w:lang w:eastAsia="en-GB"/>
        </w:rPr>
        <mc:AlternateContent>
          <mc:Choice Requires="wps">
            <w:drawing>
              <wp:anchor distT="0" distB="0" distL="114300" distR="114300" simplePos="0" relativeHeight="251662336" behindDoc="0" locked="0" layoutInCell="1" allowOverlap="1" wp14:anchorId="5A7E2859" wp14:editId="57DFA3FC">
                <wp:simplePos x="0" y="0"/>
                <wp:positionH relativeFrom="margin">
                  <wp:posOffset>-176975</wp:posOffset>
                </wp:positionH>
                <wp:positionV relativeFrom="paragraph">
                  <wp:posOffset>186055</wp:posOffset>
                </wp:positionV>
                <wp:extent cx="295275" cy="3619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6D81" w:rsidRPr="00DA53AC" w:rsidRDefault="00946D81" w:rsidP="00AE02A4">
                            <w:pPr>
                              <w:rPr>
                                <w:b/>
                              </w:rPr>
                            </w:pPr>
                            <w:r w:rsidRPr="00DA53AC">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E2859" id="Text Box 2" o:spid="_x0000_s1030" type="#_x0000_t202" style="position:absolute;left:0;text-align:left;margin-left:-13.95pt;margin-top:14.65pt;width:23.25pt;height:28.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" fillcolor="white [3201]" stroked="f" strokeweight=".5pt">
                <v:textbox>
                  <w:txbxContent>
                    <w:p w:rsidR="00946D81" w:rsidRPr="00DA53AC" w:rsidRDefault="00946D81" w:rsidP="00AE02A4">
                      <w:pPr>
                        <w:rPr>
                          <w:b/>
                        </w:rPr>
                      </w:pPr>
                      <w:r w:rsidRPr="00DA53AC">
                        <w:rPr>
                          <w:b/>
                        </w:rPr>
                        <w:t>A</w:t>
                      </w:r>
                    </w:p>
                  </w:txbxContent>
                </v:textbox>
                <w10:wrap anchorx="margin"/>
              </v:shape>
            </w:pict>
          </mc:Fallback>
        </mc:AlternateContent>
      </w:r>
      <w:r>
        <w:rPr>
          <w:b/>
        </w:rPr>
        <w:tab/>
      </w:r>
    </w:p>
    <w:p w:rsidR="00946D81" w:rsidRDefault="00946D81" w:rsidP="00AE02A4">
      <w:pPr>
        <w:jc w:val="both"/>
        <w:rPr>
          <w:b/>
        </w:rPr>
      </w:pPr>
    </w:p>
    <w:p w:rsidR="00946D81" w:rsidRDefault="00946D81" w:rsidP="00AE02A4">
      <w:pPr>
        <w:jc w:val="both"/>
        <w:rPr>
          <w:b/>
        </w:rPr>
      </w:pPr>
    </w:p>
    <w:p w:rsidR="00946D81" w:rsidRDefault="00946D81" w:rsidP="00AE02A4">
      <w:pPr>
        <w:jc w:val="both"/>
        <w:rPr>
          <w:b/>
        </w:rPr>
      </w:pPr>
    </w:p>
    <w:p w:rsidR="00946D81" w:rsidRDefault="00946D81" w:rsidP="00AE02A4">
      <w:pPr>
        <w:jc w:val="both"/>
        <w:rPr>
          <w:b/>
        </w:rPr>
      </w:pPr>
    </w:p>
    <w:p w:rsidR="00946D81" w:rsidRDefault="00946D81" w:rsidP="00CB77FD">
      <w:pPr>
        <w:tabs>
          <w:tab w:val="left" w:pos="3045"/>
        </w:tabs>
        <w:jc w:val="both"/>
        <w:rPr>
          <w:b/>
        </w:rPr>
      </w:pPr>
      <w:r>
        <w:rPr>
          <w:b/>
        </w:rPr>
        <w:tab/>
      </w:r>
    </w:p>
    <w:p w:rsidR="00946D81" w:rsidRDefault="00946D81" w:rsidP="00CB77FD">
      <w:pPr>
        <w:tabs>
          <w:tab w:val="left" w:pos="3315"/>
        </w:tabs>
        <w:jc w:val="both"/>
        <w:rPr>
          <w:b/>
        </w:rPr>
      </w:pPr>
      <w:r>
        <w:rPr>
          <w:b/>
        </w:rPr>
        <w:tab/>
      </w:r>
    </w:p>
    <w:p w:rsidR="00946D81" w:rsidRDefault="00946D81" w:rsidP="00AE02A4">
      <w:pPr>
        <w:jc w:val="both"/>
        <w:rPr>
          <w:b/>
        </w:rPr>
      </w:pPr>
    </w:p>
    <w:p w:rsidR="00946D81" w:rsidRDefault="00946D81" w:rsidP="00AE02A4">
      <w:pPr>
        <w:jc w:val="both"/>
        <w:rPr>
          <w:b/>
        </w:rPr>
      </w:pPr>
    </w:p>
    <w:p w:rsidR="00946D81" w:rsidRDefault="00946D81" w:rsidP="00AE02A4">
      <w:pPr>
        <w:jc w:val="both"/>
        <w:rPr>
          <w:b/>
        </w:rPr>
      </w:pPr>
      <w:r>
        <w:rPr>
          <w:b/>
          <w:noProof/>
          <w:lang w:eastAsia="en-GB"/>
        </w:rPr>
        <w:drawing>
          <wp:anchor distT="0" distB="0" distL="114300" distR="114300" simplePos="0" relativeHeight="251669504" behindDoc="1" locked="0" layoutInCell="1" allowOverlap="1" wp14:anchorId="6234C029" wp14:editId="005CDDE3">
            <wp:simplePos x="0" y="0"/>
            <wp:positionH relativeFrom="margin">
              <wp:align>left</wp:align>
            </wp:positionH>
            <wp:positionV relativeFrom="paragraph">
              <wp:posOffset>248920</wp:posOffset>
            </wp:positionV>
            <wp:extent cx="3420000" cy="3420000"/>
            <wp:effectExtent l="0" t="0" r="9525"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c.cumulative.4.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0000" cy="3420000"/>
                    </a:xfrm>
                    <a:prstGeom prst="rect">
                      <a:avLst/>
                    </a:prstGeom>
                  </pic:spPr>
                </pic:pic>
              </a:graphicData>
            </a:graphic>
            <wp14:sizeRelH relativeFrom="page">
              <wp14:pctWidth>0</wp14:pctWidth>
            </wp14:sizeRelH>
            <wp14:sizeRelV relativeFrom="page">
              <wp14:pctHeight>0</wp14:pctHeight>
            </wp14:sizeRelV>
          </wp:anchor>
        </w:drawing>
      </w:r>
    </w:p>
    <w:p w:rsidR="00946D81" w:rsidRDefault="00946D81" w:rsidP="00AE02A4">
      <w:pPr>
        <w:jc w:val="both"/>
        <w:rPr>
          <w:b/>
        </w:rPr>
      </w:pPr>
      <w:r>
        <w:rPr>
          <w:noProof/>
          <w:lang w:eastAsia="en-GB"/>
        </w:rPr>
        <w:drawing>
          <wp:anchor distT="0" distB="0" distL="114300" distR="114300" simplePos="0" relativeHeight="251670528" behindDoc="1" locked="0" layoutInCell="1" allowOverlap="1" wp14:anchorId="10E258FB" wp14:editId="2657645D">
            <wp:simplePos x="0" y="0"/>
            <wp:positionH relativeFrom="column">
              <wp:posOffset>3086100</wp:posOffset>
            </wp:positionH>
            <wp:positionV relativeFrom="paragraph">
              <wp:posOffset>10795</wp:posOffset>
            </wp:positionV>
            <wp:extent cx="3420000" cy="3420000"/>
            <wp:effectExtent l="0" t="0" r="9525"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mer.cumulative.4.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20000" cy="3420000"/>
                    </a:xfrm>
                    <a:prstGeom prst="rect">
                      <a:avLst/>
                    </a:prstGeom>
                  </pic:spPr>
                </pic:pic>
              </a:graphicData>
            </a:graphic>
            <wp14:sizeRelH relativeFrom="page">
              <wp14:pctWidth>0</wp14:pctWidth>
            </wp14:sizeRelH>
            <wp14:sizeRelV relativeFrom="page">
              <wp14:pctHeight>0</wp14:pctHeight>
            </wp14:sizeRelV>
          </wp:anchor>
        </w:drawing>
      </w:r>
    </w:p>
    <w:p w:rsidR="00946D81" w:rsidRPr="009E7151" w:rsidRDefault="00946D81" w:rsidP="00AE02A4">
      <w:pPr>
        <w:jc w:val="both"/>
        <w:rPr>
          <w:b/>
        </w:rPr>
      </w:pPr>
      <w:r w:rsidRPr="009E7151">
        <w:rPr>
          <w:b/>
          <w:noProof/>
          <w:lang w:eastAsia="en-GB"/>
        </w:rPr>
        <mc:AlternateContent>
          <mc:Choice Requires="wps">
            <w:drawing>
              <wp:anchor distT="0" distB="0" distL="114300" distR="114300" simplePos="0" relativeHeight="251665408" behindDoc="0" locked="0" layoutInCell="1" allowOverlap="1" wp14:anchorId="782A7681" wp14:editId="3985A3CC">
                <wp:simplePos x="0" y="0"/>
                <wp:positionH relativeFrom="margin">
                  <wp:posOffset>2820233</wp:posOffset>
                </wp:positionH>
                <wp:positionV relativeFrom="paragraph">
                  <wp:posOffset>269875</wp:posOffset>
                </wp:positionV>
                <wp:extent cx="295275" cy="361950"/>
                <wp:effectExtent l="0" t="0" r="9525" b="0"/>
                <wp:wrapNone/>
                <wp:docPr id="16" name="Text Box 16"/>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6D81" w:rsidRPr="00DA53AC" w:rsidRDefault="00946D81" w:rsidP="00AE02A4">
                            <w:pPr>
                              <w:rPr>
                                <w:b/>
                              </w:rPr>
                            </w:pPr>
                            <w:r>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2A7681" id="Text Box 16" o:spid="_x0000_s1031" type="#_x0000_t202" style="position:absolute;left:0;text-align:left;margin-left:222.05pt;margin-top:21.25pt;width:23.25pt;height:28.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" fillcolor="white [3201]" stroked="f" strokeweight=".5pt">
                <v:textbox>
                  <w:txbxContent>
                    <w:p w:rsidR="00946D81" w:rsidRPr="00DA53AC" w:rsidRDefault="00946D81" w:rsidP="00AE02A4">
                      <w:pPr>
                        <w:rPr>
                          <w:b/>
                        </w:rPr>
                      </w:pPr>
                      <w:r>
                        <w:rPr>
                          <w:b/>
                        </w:rPr>
                        <w:t>D</w:t>
                      </w:r>
                    </w:p>
                  </w:txbxContent>
                </v:textbox>
                <w10:wrap anchorx="margin"/>
              </v:shape>
            </w:pict>
          </mc:Fallback>
        </mc:AlternateContent>
      </w:r>
      <w:r w:rsidRPr="009E7151">
        <w:rPr>
          <w:b/>
          <w:noProof/>
          <w:lang w:eastAsia="en-GB"/>
        </w:rPr>
        <mc:AlternateContent>
          <mc:Choice Requires="wps">
            <w:drawing>
              <wp:anchor distT="0" distB="0" distL="114300" distR="114300" simplePos="0" relativeHeight="251664384" behindDoc="0" locked="0" layoutInCell="1" allowOverlap="1" wp14:anchorId="7DE6D018" wp14:editId="56E99310">
                <wp:simplePos x="0" y="0"/>
                <wp:positionH relativeFrom="leftMargin">
                  <wp:posOffset>665727</wp:posOffset>
                </wp:positionH>
                <wp:positionV relativeFrom="paragraph">
                  <wp:posOffset>277471</wp:posOffset>
                </wp:positionV>
                <wp:extent cx="295275" cy="361950"/>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6D81" w:rsidRPr="00DA53AC" w:rsidRDefault="00946D81" w:rsidP="00AE02A4">
                            <w:pP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E6D018" id="Text Box 15" o:spid="_x0000_s1032" type="#_x0000_t202" style="position:absolute;left:0;text-align:left;margin-left:52.4pt;margin-top:21.85pt;width:23.25pt;height:28.5pt;z-index:25166438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" fillcolor="white [3201]" stroked="f" strokeweight=".5pt">
                <v:textbox>
                  <w:txbxContent>
                    <w:p w:rsidR="00946D81" w:rsidRPr="00DA53AC" w:rsidRDefault="00946D81" w:rsidP="00AE02A4">
                      <w:pPr>
                        <w:rPr>
                          <w:b/>
                        </w:rPr>
                      </w:pPr>
                      <w:r>
                        <w:rPr>
                          <w:b/>
                        </w:rPr>
                        <w:t>C</w:t>
                      </w:r>
                    </w:p>
                  </w:txbxContent>
                </v:textbox>
                <w10:wrap anchorx="margin"/>
              </v:shape>
            </w:pict>
          </mc:Fallback>
        </mc:AlternateContent>
      </w: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D243F9">
      <w:pPr>
        <w:pStyle w:val="Caption"/>
        <w:rPr>
          <w:rFonts w:cstheme="minorHAnsi"/>
          <w:color w:val="000000" w:themeColor="text1"/>
        </w:rPr>
      </w:pPr>
      <w:bookmarkStart w:id="51" w:name="_Toc513462286"/>
      <w:bookmarkStart w:id="52" w:name="_Toc513706978"/>
      <w:bookmarkStart w:id="53" w:name="_Toc504637578"/>
      <w:bookmarkStart w:id="54" w:name="_Toc504637655"/>
      <w:bookmarkStart w:id="55" w:name="_Toc504637773"/>
      <w:r w:rsidRPr="00D243F9">
        <w:rPr>
          <w:rFonts w:asciiTheme="minorHAnsi" w:hAnsiTheme="minorHAnsi" w:cstheme="minorHAnsi"/>
          <w:color w:val="000000" w:themeColor="text1"/>
          <w:sz w:val="22"/>
          <w:szCs w:val="22"/>
        </w:rPr>
        <w:t xml:space="preserve">Supplementary Figure </w:t>
      </w:r>
      <w:r w:rsidRPr="00D243F9">
        <w:rPr>
          <w:rFonts w:asciiTheme="minorHAnsi" w:hAnsiTheme="minorHAnsi" w:cstheme="minorHAnsi"/>
          <w:color w:val="000000" w:themeColor="text1"/>
          <w:sz w:val="22"/>
          <w:szCs w:val="22"/>
        </w:rPr>
        <w:fldChar w:fldCharType="begin"/>
      </w:r>
      <w:r w:rsidRPr="00D243F9">
        <w:rPr>
          <w:rFonts w:asciiTheme="minorHAnsi" w:hAnsiTheme="minorHAnsi" w:cstheme="minorHAnsi"/>
          <w:color w:val="000000" w:themeColor="text1"/>
          <w:sz w:val="22"/>
          <w:szCs w:val="22"/>
        </w:rPr>
        <w:instrText xml:space="preserve"> SEQ Supplementary_Figure \* ARABIC </w:instrText>
      </w:r>
      <w:r w:rsidRPr="00D243F9">
        <w:rPr>
          <w:rFonts w:asciiTheme="minorHAnsi" w:hAnsiTheme="minorHAnsi" w:cstheme="minorHAnsi"/>
          <w:color w:val="000000" w:themeColor="text1"/>
          <w:sz w:val="22"/>
          <w:szCs w:val="22"/>
        </w:rPr>
        <w:fldChar w:fldCharType="separate"/>
      </w:r>
      <w:r>
        <w:rPr>
          <w:rFonts w:asciiTheme="minorHAnsi" w:hAnsiTheme="minorHAnsi" w:cstheme="minorHAnsi"/>
          <w:noProof/>
          <w:color w:val="000000" w:themeColor="text1"/>
          <w:sz w:val="22"/>
          <w:szCs w:val="22"/>
        </w:rPr>
        <w:t>3</w:t>
      </w:r>
      <w:r w:rsidRPr="00D243F9">
        <w:rPr>
          <w:rFonts w:asciiTheme="minorHAnsi" w:hAnsiTheme="minorHAnsi" w:cstheme="minorHAnsi"/>
          <w:color w:val="000000" w:themeColor="text1"/>
          <w:sz w:val="22"/>
          <w:szCs w:val="22"/>
        </w:rPr>
        <w:fldChar w:fldCharType="end"/>
      </w:r>
      <w:r w:rsidRPr="00D243F9">
        <w:rPr>
          <w:rFonts w:asciiTheme="minorHAnsi" w:hAnsiTheme="minorHAnsi" w:cstheme="minorHAnsi"/>
          <w:color w:val="000000" w:themeColor="text1"/>
          <w:sz w:val="22"/>
          <w:szCs w:val="22"/>
        </w:rPr>
        <w:t xml:space="preserve">.  </w:t>
      </w:r>
      <w:r>
        <w:rPr>
          <w:rFonts w:cstheme="minorHAnsi"/>
          <w:color w:val="000000" w:themeColor="text1"/>
        </w:rPr>
        <w:t>Estimates of a) incremental QALYs, b) costs and c) the cost-effectiveness ratio over time in the reference case, up to 30 years after invitation to screening.</w:t>
      </w:r>
      <w:bookmarkEnd w:id="51"/>
      <w:bookmarkEnd w:id="52"/>
    </w:p>
    <w:p w:rsidR="00946D81" w:rsidRPr="00FC01DF" w:rsidRDefault="00946D81">
      <w:pPr>
        <w:rPr>
          <w:rFonts w:cstheme="minorHAnsi"/>
          <w:color w:val="000000" w:themeColor="text1"/>
        </w:rPr>
      </w:pPr>
      <w:r>
        <w:rPr>
          <w:rFonts w:cstheme="minorHAnsi"/>
          <w:noProof/>
          <w:color w:val="000000" w:themeColor="text1"/>
          <w:lang w:eastAsia="en-GB"/>
        </w:rPr>
        <w:drawing>
          <wp:inline distT="0" distB="0" distL="0" distR="0" wp14:anchorId="74DA6224" wp14:editId="5B019797">
            <wp:extent cx="5731510" cy="4585335"/>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Fig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585335"/>
                    </a:xfrm>
                    <a:prstGeom prst="rect">
                      <a:avLst/>
                    </a:prstGeom>
                  </pic:spPr>
                </pic:pic>
              </a:graphicData>
            </a:graphic>
          </wp:inline>
        </w:drawing>
      </w:r>
      <w:r>
        <w:rPr>
          <w:rFonts w:cstheme="minorHAnsi"/>
          <w:color w:val="000000" w:themeColor="text1"/>
        </w:rPr>
        <w:br w:type="page"/>
      </w:r>
    </w:p>
    <w:p w:rsidR="00946D81" w:rsidRPr="0013238E" w:rsidRDefault="00946D81" w:rsidP="00D243F9">
      <w:pPr>
        <w:pStyle w:val="Caption"/>
        <w:rPr>
          <w:rFonts w:asciiTheme="minorHAnsi" w:hAnsiTheme="minorHAnsi" w:cstheme="minorHAnsi"/>
          <w:b w:val="0"/>
          <w:color w:val="000000" w:themeColor="text1"/>
          <w:sz w:val="22"/>
          <w:szCs w:val="22"/>
        </w:rPr>
      </w:pPr>
      <w:bookmarkStart w:id="56" w:name="_Toc513706979"/>
      <w:r w:rsidRPr="00D243F9">
        <w:rPr>
          <w:rFonts w:asciiTheme="minorHAnsi" w:hAnsiTheme="minorHAnsi" w:cstheme="minorHAnsi"/>
          <w:color w:val="000000" w:themeColor="text1"/>
          <w:sz w:val="22"/>
          <w:szCs w:val="22"/>
        </w:rPr>
        <w:t xml:space="preserve">Supplementary Figure </w:t>
      </w:r>
      <w:r w:rsidRPr="00D243F9">
        <w:rPr>
          <w:rFonts w:asciiTheme="minorHAnsi" w:hAnsiTheme="minorHAnsi" w:cstheme="minorHAnsi"/>
          <w:color w:val="000000" w:themeColor="text1"/>
          <w:sz w:val="22"/>
          <w:szCs w:val="22"/>
        </w:rPr>
        <w:fldChar w:fldCharType="begin"/>
      </w:r>
      <w:r w:rsidRPr="00D243F9">
        <w:rPr>
          <w:rFonts w:asciiTheme="minorHAnsi" w:hAnsiTheme="minorHAnsi" w:cstheme="minorHAnsi"/>
          <w:color w:val="000000" w:themeColor="text1"/>
          <w:sz w:val="22"/>
          <w:szCs w:val="22"/>
        </w:rPr>
        <w:instrText xml:space="preserve"> SEQ Supplementary_Figure \* ARABIC </w:instrText>
      </w:r>
      <w:r w:rsidRPr="00D243F9">
        <w:rPr>
          <w:rFonts w:asciiTheme="minorHAnsi" w:hAnsiTheme="minorHAnsi" w:cstheme="minorHAnsi"/>
          <w:color w:val="000000" w:themeColor="text1"/>
          <w:sz w:val="22"/>
          <w:szCs w:val="22"/>
        </w:rPr>
        <w:fldChar w:fldCharType="separate"/>
      </w:r>
      <w:r w:rsidRPr="00D243F9">
        <w:rPr>
          <w:rFonts w:asciiTheme="minorHAnsi" w:hAnsiTheme="minorHAnsi" w:cstheme="minorHAnsi"/>
          <w:noProof/>
          <w:color w:val="000000" w:themeColor="text1"/>
          <w:sz w:val="22"/>
          <w:szCs w:val="22"/>
        </w:rPr>
        <w:t>4</w:t>
      </w:r>
      <w:r w:rsidRPr="00D243F9">
        <w:rPr>
          <w:rFonts w:asciiTheme="minorHAnsi" w:hAnsiTheme="minorHAnsi" w:cstheme="minorHAnsi"/>
          <w:color w:val="000000" w:themeColor="text1"/>
          <w:sz w:val="22"/>
          <w:szCs w:val="22"/>
        </w:rPr>
        <w:fldChar w:fldCharType="end"/>
      </w:r>
      <w:r>
        <w:t xml:space="preserve">. </w:t>
      </w:r>
      <w:r w:rsidRPr="0013238E">
        <w:rPr>
          <w:rFonts w:asciiTheme="minorHAnsi" w:hAnsiTheme="minorHAnsi" w:cstheme="minorHAnsi"/>
          <w:b w:val="0"/>
          <w:color w:val="000000" w:themeColor="text1"/>
          <w:sz w:val="22"/>
          <w:szCs w:val="22"/>
        </w:rPr>
        <w:t>Cost-effectiveness of invitation to AAA screening with 1,000 probabilistic sensitivity analysis iterations for A) the reference case, and B) the best alternative screening strategy. The blue and red lines indicate willingness-to-pay thresholds of £20,000 and £30,000 per QALY.</w:t>
      </w:r>
      <w:bookmarkEnd w:id="53"/>
      <w:bookmarkEnd w:id="54"/>
      <w:bookmarkEnd w:id="55"/>
      <w:bookmarkEnd w:id="56"/>
    </w:p>
    <w:p w:rsidR="00946D81" w:rsidRDefault="00946D81" w:rsidP="00AE02A4">
      <w:pPr>
        <w:jc w:val="both"/>
      </w:pPr>
      <w:r>
        <w:t>QALY – Quality adjusted life-year.</w:t>
      </w:r>
    </w:p>
    <w:p w:rsidR="00946D81" w:rsidRDefault="00946D81" w:rsidP="00AE02A4">
      <w:pPr>
        <w:jc w:val="both"/>
      </w:pPr>
      <w:r>
        <w:rPr>
          <w:noProof/>
          <w:lang w:eastAsia="en-GB"/>
        </w:rPr>
        <mc:AlternateContent>
          <mc:Choice Requires="wps">
            <w:drawing>
              <wp:anchor distT="0" distB="0" distL="114300" distR="114300" simplePos="0" relativeHeight="251667456" behindDoc="0" locked="0" layoutInCell="1" allowOverlap="1" wp14:anchorId="5A7C414A" wp14:editId="109033D9">
                <wp:simplePos x="0" y="0"/>
                <wp:positionH relativeFrom="column">
                  <wp:posOffset>308758</wp:posOffset>
                </wp:positionH>
                <wp:positionV relativeFrom="paragraph">
                  <wp:posOffset>198276</wp:posOffset>
                </wp:positionV>
                <wp:extent cx="295275" cy="3619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6D81" w:rsidRPr="00DA53AC" w:rsidRDefault="00946D81" w:rsidP="00AE02A4">
                            <w:pPr>
                              <w:rPr>
                                <w:b/>
                              </w:rPr>
                            </w:pPr>
                            <w:r>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C414A" id="Text Box 18" o:spid="_x0000_s1033" type="#_x0000_t202" style="position:absolute;left:0;text-align:left;margin-left:24.3pt;margin-top:15.6pt;width:23.25pt;height:2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" fillcolor="white [3201]" stroked="f" strokeweight=".5pt">
                <v:textbox>
                  <w:txbxContent>
                    <w:p w:rsidR="00946D81" w:rsidRPr="00DA53AC" w:rsidRDefault="00946D81" w:rsidP="00AE02A4">
                      <w:pPr>
                        <w:rPr>
                          <w:b/>
                        </w:rPr>
                      </w:pPr>
                      <w:r>
                        <w:rPr>
                          <w:b/>
                        </w:rPr>
                        <w:t>A</w:t>
                      </w:r>
                    </w:p>
                  </w:txbxContent>
                </v:textbox>
              </v:shape>
            </w:pict>
          </mc:Fallback>
        </mc:AlternateContent>
      </w:r>
      <w:r>
        <w:rPr>
          <w:noProof/>
          <w:lang w:eastAsia="en-GB"/>
        </w:rPr>
        <w:drawing>
          <wp:anchor distT="0" distB="0" distL="114300" distR="114300" simplePos="0" relativeHeight="251666432" behindDoc="1" locked="0" layoutInCell="1" allowOverlap="1" wp14:anchorId="4A95FAE2" wp14:editId="0721D75D">
            <wp:simplePos x="0" y="0"/>
            <wp:positionH relativeFrom="margin">
              <wp:posOffset>510639</wp:posOffset>
            </wp:positionH>
            <wp:positionV relativeFrom="paragraph">
              <wp:posOffset>158717</wp:posOffset>
            </wp:positionV>
            <wp:extent cx="3600000" cy="3600000"/>
            <wp:effectExtent l="0" t="0" r="635"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SA.iterations_3.0_.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14:sizeRelH relativeFrom="page">
              <wp14:pctWidth>0</wp14:pctWidth>
            </wp14:sizeRelH>
            <wp14:sizeRelV relativeFrom="page">
              <wp14:pctHeight>0</wp14:pctHeight>
            </wp14:sizeRelV>
          </wp:anchor>
        </w:drawing>
      </w: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pPr>
        <w:jc w:val="both"/>
      </w:pPr>
    </w:p>
    <w:p w:rsidR="00946D81" w:rsidRDefault="00946D81" w:rsidP="00AE02A4">
      <w:r>
        <w:rPr>
          <w:noProof/>
          <w:lang w:eastAsia="en-GB"/>
        </w:rPr>
        <w:t xml:space="preserve"> </w:t>
      </w:r>
    </w:p>
    <w:p w:rsidR="00946D81" w:rsidRDefault="00946D81" w:rsidP="00AE02A4"/>
    <w:p w:rsidR="00946D81" w:rsidRDefault="00946D81" w:rsidP="00AE02A4"/>
    <w:p w:rsidR="00946D81" w:rsidRDefault="00946D81" w:rsidP="00AE02A4"/>
    <w:p w:rsidR="00946D81" w:rsidRDefault="00946D81" w:rsidP="00AE02A4"/>
    <w:p w:rsidR="00946D81" w:rsidRDefault="00946D81" w:rsidP="00AE02A4"/>
    <w:p w:rsidR="00946D81" w:rsidRDefault="00946D81" w:rsidP="00AE02A4"/>
    <w:p w:rsidR="00946D81" w:rsidRDefault="00946D81" w:rsidP="00AE02A4"/>
    <w:p w:rsidR="00946D81" w:rsidRDefault="00946D81" w:rsidP="00AE02A4">
      <w:r>
        <w:rPr>
          <w:noProof/>
          <w:lang w:eastAsia="en-GB"/>
        </w:rPr>
        <w:drawing>
          <wp:anchor distT="0" distB="0" distL="114300" distR="114300" simplePos="0" relativeHeight="251660288" behindDoc="1" locked="0" layoutInCell="1" allowOverlap="1" wp14:anchorId="394AB85D" wp14:editId="384FC1DC">
            <wp:simplePos x="0" y="0"/>
            <wp:positionH relativeFrom="margin">
              <wp:posOffset>459798</wp:posOffset>
            </wp:positionH>
            <wp:positionV relativeFrom="paragraph">
              <wp:posOffset>272646</wp:posOffset>
            </wp:positionV>
            <wp:extent cx="3600000" cy="3600000"/>
            <wp:effectExtent l="0" t="0" r="635"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SA.iterations_4.1_.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0" cy="3600000"/>
                    </a:xfrm>
                    <a:prstGeom prst="rect">
                      <a:avLst/>
                    </a:prstGeom>
                  </pic:spPr>
                </pic:pic>
              </a:graphicData>
            </a:graphic>
            <wp14:sizeRelH relativeFrom="page">
              <wp14:pctWidth>0</wp14:pctWidth>
            </wp14:sizeRelH>
            <wp14:sizeRelV relativeFrom="page">
              <wp14:pctHeight>0</wp14:pctHeight>
            </wp14:sizeRelV>
          </wp:anchor>
        </w:drawing>
      </w:r>
    </w:p>
    <w:p w:rsidR="00946D81" w:rsidRDefault="00946D81" w:rsidP="00AE02A4">
      <w:r>
        <w:rPr>
          <w:noProof/>
          <w:lang w:eastAsia="en-GB"/>
        </w:rPr>
        <mc:AlternateContent>
          <mc:Choice Requires="wps">
            <w:drawing>
              <wp:anchor distT="0" distB="0" distL="114300" distR="114300" simplePos="0" relativeHeight="251661312" behindDoc="0" locked="0" layoutInCell="1" allowOverlap="1" wp14:anchorId="57EB2ED1" wp14:editId="66CCDBCD">
                <wp:simplePos x="0" y="0"/>
                <wp:positionH relativeFrom="column">
                  <wp:posOffset>262272</wp:posOffset>
                </wp:positionH>
                <wp:positionV relativeFrom="paragraph">
                  <wp:posOffset>4750</wp:posOffset>
                </wp:positionV>
                <wp:extent cx="295275" cy="361950"/>
                <wp:effectExtent l="0" t="0" r="0" b="0"/>
                <wp:wrapNone/>
                <wp:docPr id="1" name="Text Box 1"/>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6D81" w:rsidRPr="00DA53AC" w:rsidRDefault="00946D81" w:rsidP="00AE02A4">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EB2ED1" id="Text Box 1" o:spid="_x0000_s1034" type="#_x0000_t202" style="position:absolute;margin-left:20.65pt;margin-top:.35pt;width:23.25pt;height:2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" fillcolor="white [3201]" stroked="f" strokeweight=".5pt">
                <v:textbox>
                  <w:txbxContent>
                    <w:p w:rsidR="00946D81" w:rsidRPr="00DA53AC" w:rsidRDefault="00946D81" w:rsidP="00AE02A4">
                      <w:pPr>
                        <w:rPr>
                          <w:b/>
                        </w:rPr>
                      </w:pPr>
                      <w:r>
                        <w:rPr>
                          <w:b/>
                        </w:rPr>
                        <w:t>B</w:t>
                      </w:r>
                    </w:p>
                  </w:txbxContent>
                </v:textbox>
              </v:shape>
            </w:pict>
          </mc:Fallback>
        </mc:AlternateContent>
      </w:r>
    </w:p>
    <w:p w:rsidR="00946D81" w:rsidRDefault="00946D81" w:rsidP="00AE02A4"/>
    <w:p w:rsidR="00946D81" w:rsidRDefault="00946D81" w:rsidP="00AE02A4"/>
    <w:p w:rsidR="00946D81" w:rsidRDefault="00946D81" w:rsidP="00AE02A4"/>
    <w:p w:rsidR="00946D81" w:rsidRDefault="00946D81" w:rsidP="00AE02A4"/>
    <w:p w:rsidR="00946D81" w:rsidRDefault="00946D81" w:rsidP="00AE02A4"/>
    <w:p w:rsidR="00946D81" w:rsidRDefault="00946D81" w:rsidP="00AE02A4"/>
    <w:p w:rsidR="00946D81" w:rsidRPr="00BE519D" w:rsidRDefault="00946D81" w:rsidP="00AE02A4"/>
    <w:p w:rsidR="00946D81" w:rsidRDefault="00946D81" w:rsidP="00AE02A4"/>
    <w:p w:rsidR="00946D81" w:rsidRDefault="00946D81" w:rsidP="00AE02A4"/>
    <w:p w:rsidR="00946D81" w:rsidRDefault="00946D81" w:rsidP="00AE02A4"/>
    <w:p w:rsidR="00946D81" w:rsidRDefault="00946D81" w:rsidP="00AE02A4"/>
    <w:p w:rsidR="00946D81" w:rsidRPr="0013238E" w:rsidRDefault="00946D81" w:rsidP="00D243F9">
      <w:pPr>
        <w:pStyle w:val="Caption"/>
        <w:rPr>
          <w:rFonts w:asciiTheme="minorHAnsi" w:hAnsiTheme="minorHAnsi" w:cstheme="minorHAnsi"/>
          <w:b w:val="0"/>
          <w:color w:val="000000" w:themeColor="text1"/>
          <w:sz w:val="22"/>
          <w:szCs w:val="22"/>
        </w:rPr>
      </w:pPr>
      <w:bookmarkStart w:id="57" w:name="_Toc513462288"/>
      <w:bookmarkStart w:id="58" w:name="_Toc513707207"/>
      <w:r w:rsidRPr="00D243F9">
        <w:rPr>
          <w:rFonts w:asciiTheme="minorHAnsi" w:hAnsiTheme="minorHAnsi" w:cstheme="minorHAnsi"/>
          <w:color w:val="000000" w:themeColor="text1"/>
          <w:sz w:val="22"/>
          <w:szCs w:val="22"/>
        </w:rPr>
        <w:t xml:space="preserve">Supplementary Table  </w:t>
      </w:r>
      <w:r w:rsidRPr="00D243F9">
        <w:rPr>
          <w:rFonts w:asciiTheme="minorHAnsi" w:hAnsiTheme="minorHAnsi" w:cstheme="minorHAnsi"/>
          <w:color w:val="000000" w:themeColor="text1"/>
          <w:sz w:val="22"/>
          <w:szCs w:val="22"/>
        </w:rPr>
        <w:fldChar w:fldCharType="begin"/>
      </w:r>
      <w:r w:rsidRPr="00D243F9">
        <w:rPr>
          <w:rFonts w:asciiTheme="minorHAnsi" w:hAnsiTheme="minorHAnsi" w:cstheme="minorHAnsi"/>
          <w:color w:val="000000" w:themeColor="text1"/>
          <w:sz w:val="22"/>
          <w:szCs w:val="22"/>
        </w:rPr>
        <w:instrText xml:space="preserve"> SEQ Supplementary_Table_ \* ARABIC </w:instrText>
      </w:r>
      <w:r w:rsidRPr="00D243F9">
        <w:rPr>
          <w:rFonts w:asciiTheme="minorHAnsi" w:hAnsiTheme="minorHAnsi" w:cstheme="minorHAnsi"/>
          <w:color w:val="000000" w:themeColor="text1"/>
          <w:sz w:val="22"/>
          <w:szCs w:val="22"/>
        </w:rPr>
        <w:fldChar w:fldCharType="separate"/>
      </w:r>
      <w:r>
        <w:rPr>
          <w:rFonts w:asciiTheme="minorHAnsi" w:hAnsiTheme="minorHAnsi" w:cstheme="minorHAnsi"/>
          <w:noProof/>
          <w:color w:val="000000" w:themeColor="text1"/>
          <w:sz w:val="22"/>
          <w:szCs w:val="22"/>
        </w:rPr>
        <w:t>2</w:t>
      </w:r>
      <w:r w:rsidRPr="00D243F9">
        <w:rPr>
          <w:rFonts w:asciiTheme="minorHAnsi" w:hAnsiTheme="minorHAnsi" w:cstheme="minorHAnsi"/>
          <w:color w:val="000000" w:themeColor="text1"/>
          <w:sz w:val="22"/>
          <w:szCs w:val="22"/>
        </w:rPr>
        <w:fldChar w:fldCharType="end"/>
      </w:r>
      <w:r w:rsidRPr="0013238E">
        <w:rPr>
          <w:rFonts w:asciiTheme="minorHAnsi" w:hAnsiTheme="minorHAnsi" w:cstheme="minorHAnsi"/>
          <w:color w:val="000000" w:themeColor="text1"/>
          <w:sz w:val="22"/>
          <w:szCs w:val="22"/>
        </w:rPr>
        <w:t xml:space="preserve">. </w:t>
      </w:r>
      <w:r w:rsidRPr="0013238E">
        <w:rPr>
          <w:rFonts w:asciiTheme="minorHAnsi" w:hAnsiTheme="minorHAnsi" w:cstheme="minorHAnsi"/>
          <w:b w:val="0"/>
          <w:color w:val="000000" w:themeColor="text1"/>
          <w:sz w:val="22"/>
          <w:szCs w:val="22"/>
        </w:rPr>
        <w:t xml:space="preserve">Numbers of AAA ruptures in the reference </w:t>
      </w:r>
      <w:r>
        <w:rPr>
          <w:rFonts w:asciiTheme="minorHAnsi" w:hAnsiTheme="minorHAnsi" w:cstheme="minorHAnsi"/>
          <w:b w:val="0"/>
          <w:color w:val="000000" w:themeColor="text1"/>
          <w:sz w:val="22"/>
          <w:szCs w:val="22"/>
        </w:rPr>
        <w:t>case</w:t>
      </w:r>
      <w:r w:rsidRPr="0013238E">
        <w:rPr>
          <w:rFonts w:asciiTheme="minorHAnsi" w:hAnsiTheme="minorHAnsi" w:cstheme="minorHAnsi"/>
          <w:b w:val="0"/>
          <w:color w:val="000000" w:themeColor="text1"/>
          <w:sz w:val="22"/>
          <w:szCs w:val="22"/>
        </w:rPr>
        <w:t xml:space="preserve"> and best alternative strategy, for 1 million women</w:t>
      </w:r>
      <w:bookmarkEnd w:id="43"/>
      <w:bookmarkEnd w:id="44"/>
      <w:bookmarkEnd w:id="45"/>
      <w:bookmarkEnd w:id="46"/>
      <w:bookmarkEnd w:id="47"/>
      <w:bookmarkEnd w:id="48"/>
      <w:bookmarkEnd w:id="57"/>
      <w:bookmarkEnd w:id="58"/>
    </w:p>
    <w:p w:rsidR="00946D81" w:rsidRDefault="00946D81" w:rsidP="00DC264B">
      <w:pPr>
        <w:jc w:val="both"/>
        <w:rPr>
          <w:b/>
        </w:rPr>
      </w:pPr>
    </w:p>
    <w:tbl>
      <w:tblPr>
        <w:tblStyle w:val="TableGrid"/>
        <w:tblW w:w="7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0"/>
        <w:gridCol w:w="1443"/>
        <w:gridCol w:w="1434"/>
        <w:gridCol w:w="1418"/>
        <w:gridCol w:w="1393"/>
      </w:tblGrid>
      <w:tr w:rsidR="00946D81" w:rsidRPr="00F5030F" w:rsidTr="00DC264B">
        <w:trPr>
          <w:trHeight w:val="296"/>
          <w:jc w:val="center"/>
        </w:trPr>
        <w:tc>
          <w:tcPr>
            <w:tcW w:w="2050" w:type="dxa"/>
            <w:tcBorders>
              <w:bottom w:val="single" w:sz="4" w:space="0" w:color="auto"/>
              <w:right w:val="single" w:sz="4" w:space="0" w:color="auto"/>
            </w:tcBorders>
            <w:vAlign w:val="center"/>
          </w:tcPr>
          <w:p w:rsidR="00946D81" w:rsidRPr="00F5030F" w:rsidRDefault="00946D81" w:rsidP="00DC264B">
            <w:pPr>
              <w:spacing w:line="276" w:lineRule="auto"/>
              <w:jc w:val="center"/>
            </w:pPr>
          </w:p>
        </w:tc>
        <w:tc>
          <w:tcPr>
            <w:tcW w:w="2877" w:type="dxa"/>
            <w:gridSpan w:val="2"/>
            <w:tcBorders>
              <w:bottom w:val="single" w:sz="4" w:space="0" w:color="auto"/>
              <w:right w:val="single" w:sz="4" w:space="0" w:color="auto"/>
            </w:tcBorders>
            <w:vAlign w:val="center"/>
          </w:tcPr>
          <w:p w:rsidR="00946D81" w:rsidRPr="00F5030F" w:rsidRDefault="00946D81" w:rsidP="00DC264B">
            <w:pPr>
              <w:spacing w:line="276" w:lineRule="auto"/>
              <w:jc w:val="center"/>
              <w:rPr>
                <w:b/>
              </w:rPr>
            </w:pPr>
            <w:r w:rsidRPr="00F5030F">
              <w:rPr>
                <w:b/>
              </w:rPr>
              <w:t>Reference case</w:t>
            </w:r>
          </w:p>
        </w:tc>
        <w:tc>
          <w:tcPr>
            <w:tcW w:w="2811" w:type="dxa"/>
            <w:gridSpan w:val="2"/>
            <w:tcBorders>
              <w:bottom w:val="single" w:sz="4" w:space="0" w:color="auto"/>
            </w:tcBorders>
            <w:vAlign w:val="center"/>
          </w:tcPr>
          <w:p w:rsidR="00946D81" w:rsidRPr="00F5030F" w:rsidRDefault="00946D81" w:rsidP="00DC264B">
            <w:pPr>
              <w:spacing w:line="276" w:lineRule="auto"/>
              <w:jc w:val="center"/>
            </w:pPr>
            <w:r>
              <w:rPr>
                <w:b/>
              </w:rPr>
              <w:t>Best alternative</w:t>
            </w:r>
          </w:p>
        </w:tc>
      </w:tr>
      <w:tr w:rsidR="00946D81" w:rsidRPr="00F5030F" w:rsidTr="00DC264B">
        <w:trPr>
          <w:trHeight w:val="296"/>
          <w:jc w:val="center"/>
        </w:trPr>
        <w:tc>
          <w:tcPr>
            <w:tcW w:w="2050" w:type="dxa"/>
            <w:tcBorders>
              <w:bottom w:val="single" w:sz="4" w:space="0" w:color="auto"/>
              <w:right w:val="single" w:sz="4" w:space="0" w:color="auto"/>
            </w:tcBorders>
            <w:vAlign w:val="center"/>
          </w:tcPr>
          <w:p w:rsidR="00946D81" w:rsidRPr="00F33680" w:rsidRDefault="00946D81" w:rsidP="00DC264B">
            <w:pPr>
              <w:spacing w:line="276" w:lineRule="auto"/>
              <w:jc w:val="center"/>
              <w:rPr>
                <w:b/>
              </w:rPr>
            </w:pPr>
            <w:r w:rsidRPr="00F33680">
              <w:rPr>
                <w:b/>
              </w:rPr>
              <w:t>Number of AAA ruptures</w:t>
            </w:r>
          </w:p>
        </w:tc>
        <w:tc>
          <w:tcPr>
            <w:tcW w:w="1443" w:type="dxa"/>
            <w:tcBorders>
              <w:bottom w:val="single" w:sz="4" w:space="0" w:color="auto"/>
            </w:tcBorders>
            <w:vAlign w:val="center"/>
          </w:tcPr>
          <w:p w:rsidR="00946D81" w:rsidRDefault="00946D81" w:rsidP="00DC264B">
            <w:pPr>
              <w:spacing w:line="276" w:lineRule="auto"/>
              <w:jc w:val="center"/>
            </w:pPr>
            <w:r w:rsidRPr="00F5030F">
              <w:t>No</w:t>
            </w:r>
            <w:r>
              <w:t>t invited to</w:t>
            </w:r>
            <w:r w:rsidRPr="00F5030F">
              <w:t xml:space="preserve"> screening</w:t>
            </w:r>
          </w:p>
          <w:p w:rsidR="00946D81" w:rsidRDefault="00946D81" w:rsidP="00DC264B">
            <w:pPr>
              <w:spacing w:line="276" w:lineRule="auto"/>
              <w:jc w:val="center"/>
            </w:pPr>
          </w:p>
          <w:p w:rsidR="00946D81" w:rsidRPr="00F5030F" w:rsidRDefault="00946D81" w:rsidP="00E36F2A">
            <w:pPr>
              <w:spacing w:line="276" w:lineRule="auto"/>
              <w:jc w:val="center"/>
            </w:pPr>
            <w:r>
              <w:t>N=9,235 (100%)</w:t>
            </w:r>
          </w:p>
        </w:tc>
        <w:tc>
          <w:tcPr>
            <w:tcW w:w="1434" w:type="dxa"/>
            <w:tcBorders>
              <w:bottom w:val="single" w:sz="4" w:space="0" w:color="auto"/>
              <w:right w:val="single" w:sz="4" w:space="0" w:color="auto"/>
            </w:tcBorders>
            <w:vAlign w:val="center"/>
          </w:tcPr>
          <w:p w:rsidR="00946D81" w:rsidRDefault="00946D81" w:rsidP="00DC264B">
            <w:pPr>
              <w:spacing w:line="276" w:lineRule="auto"/>
              <w:jc w:val="center"/>
            </w:pPr>
            <w:r>
              <w:t>Invited to s</w:t>
            </w:r>
            <w:r w:rsidRPr="00F5030F">
              <w:t>creening</w:t>
            </w:r>
          </w:p>
          <w:p w:rsidR="00946D81" w:rsidRDefault="00946D81" w:rsidP="00DC264B">
            <w:pPr>
              <w:spacing w:line="276" w:lineRule="auto"/>
              <w:jc w:val="center"/>
            </w:pPr>
          </w:p>
          <w:p w:rsidR="00946D81" w:rsidRPr="00F5030F" w:rsidRDefault="00946D81" w:rsidP="00E36F2A">
            <w:pPr>
              <w:spacing w:line="276" w:lineRule="auto"/>
              <w:jc w:val="center"/>
            </w:pPr>
            <w:r>
              <w:t>N=8,839 (100%)</w:t>
            </w:r>
          </w:p>
        </w:tc>
        <w:tc>
          <w:tcPr>
            <w:tcW w:w="1418" w:type="dxa"/>
            <w:tcBorders>
              <w:left w:val="single" w:sz="4" w:space="0" w:color="auto"/>
              <w:bottom w:val="single" w:sz="4" w:space="0" w:color="auto"/>
            </w:tcBorders>
            <w:vAlign w:val="center"/>
          </w:tcPr>
          <w:p w:rsidR="00946D81" w:rsidRDefault="00946D81" w:rsidP="00DC264B">
            <w:pPr>
              <w:spacing w:line="276" w:lineRule="auto"/>
              <w:jc w:val="center"/>
            </w:pPr>
            <w:r w:rsidRPr="00F5030F">
              <w:t>No</w:t>
            </w:r>
            <w:r>
              <w:t>t invited to</w:t>
            </w:r>
            <w:r w:rsidRPr="00F5030F">
              <w:t xml:space="preserve"> screening</w:t>
            </w:r>
          </w:p>
          <w:p w:rsidR="00946D81" w:rsidRDefault="00946D81" w:rsidP="00DC264B">
            <w:pPr>
              <w:spacing w:line="276" w:lineRule="auto"/>
              <w:jc w:val="center"/>
            </w:pPr>
          </w:p>
          <w:p w:rsidR="00946D81" w:rsidRPr="00F5030F" w:rsidRDefault="00946D81" w:rsidP="00E36F2A">
            <w:pPr>
              <w:spacing w:line="276" w:lineRule="auto"/>
              <w:jc w:val="center"/>
            </w:pPr>
            <w:r>
              <w:t>N=7,465 (100%)</w:t>
            </w:r>
          </w:p>
        </w:tc>
        <w:tc>
          <w:tcPr>
            <w:tcW w:w="1393" w:type="dxa"/>
            <w:tcBorders>
              <w:bottom w:val="single" w:sz="4" w:space="0" w:color="auto"/>
            </w:tcBorders>
            <w:vAlign w:val="center"/>
          </w:tcPr>
          <w:p w:rsidR="00946D81" w:rsidRDefault="00946D81" w:rsidP="00DC264B">
            <w:pPr>
              <w:spacing w:line="276" w:lineRule="auto"/>
              <w:jc w:val="center"/>
            </w:pPr>
            <w:r>
              <w:t>Invited to s</w:t>
            </w:r>
            <w:r w:rsidRPr="00F5030F">
              <w:t>creening</w:t>
            </w:r>
          </w:p>
          <w:p w:rsidR="00946D81" w:rsidRDefault="00946D81" w:rsidP="00DC264B">
            <w:pPr>
              <w:spacing w:line="276" w:lineRule="auto"/>
              <w:jc w:val="center"/>
            </w:pPr>
          </w:p>
          <w:p w:rsidR="00946D81" w:rsidRPr="00F5030F" w:rsidRDefault="00946D81" w:rsidP="00E36F2A">
            <w:pPr>
              <w:spacing w:line="276" w:lineRule="auto"/>
              <w:jc w:val="center"/>
            </w:pPr>
            <w:r>
              <w:t>N=6,555 (100%)</w:t>
            </w:r>
          </w:p>
        </w:tc>
      </w:tr>
      <w:tr w:rsidR="00946D81" w:rsidRPr="00F5030F" w:rsidTr="00DC264B">
        <w:trPr>
          <w:trHeight w:val="242"/>
          <w:jc w:val="center"/>
        </w:trPr>
        <w:tc>
          <w:tcPr>
            <w:tcW w:w="2050" w:type="dxa"/>
            <w:tcBorders>
              <w:top w:val="single" w:sz="4" w:space="0" w:color="auto"/>
              <w:right w:val="single" w:sz="4" w:space="0" w:color="auto"/>
            </w:tcBorders>
          </w:tcPr>
          <w:p w:rsidR="00946D81" w:rsidRPr="00F5030F" w:rsidRDefault="00946D81" w:rsidP="00DC264B">
            <w:pPr>
              <w:spacing w:line="276" w:lineRule="auto"/>
            </w:pPr>
            <w:r>
              <w:t>Screened normal, no further contact</w:t>
            </w:r>
          </w:p>
        </w:tc>
        <w:tc>
          <w:tcPr>
            <w:tcW w:w="1443" w:type="dxa"/>
            <w:tcBorders>
              <w:top w:val="single" w:sz="4" w:space="0" w:color="auto"/>
            </w:tcBorders>
          </w:tcPr>
          <w:p w:rsidR="00946D81" w:rsidRPr="00F5030F" w:rsidRDefault="00946D81" w:rsidP="00DC264B">
            <w:pPr>
              <w:spacing w:line="276" w:lineRule="auto"/>
              <w:jc w:val="center"/>
            </w:pPr>
            <w:r>
              <w:t>-</w:t>
            </w:r>
          </w:p>
        </w:tc>
        <w:tc>
          <w:tcPr>
            <w:tcW w:w="1434" w:type="dxa"/>
            <w:tcBorders>
              <w:top w:val="single" w:sz="4" w:space="0" w:color="auto"/>
              <w:right w:val="single" w:sz="4" w:space="0" w:color="auto"/>
            </w:tcBorders>
          </w:tcPr>
          <w:p w:rsidR="00946D81" w:rsidRPr="00F5030F" w:rsidRDefault="00946D81" w:rsidP="00E36F2A">
            <w:pPr>
              <w:spacing w:line="276" w:lineRule="auto"/>
              <w:jc w:val="center"/>
            </w:pPr>
            <w:r>
              <w:t>4,273 (48%)</w:t>
            </w:r>
          </w:p>
        </w:tc>
        <w:tc>
          <w:tcPr>
            <w:tcW w:w="1418" w:type="dxa"/>
            <w:tcBorders>
              <w:top w:val="single" w:sz="4" w:space="0" w:color="auto"/>
              <w:left w:val="single" w:sz="4" w:space="0" w:color="auto"/>
            </w:tcBorders>
          </w:tcPr>
          <w:p w:rsidR="00946D81" w:rsidRPr="00F5030F" w:rsidRDefault="00946D81" w:rsidP="00DC264B">
            <w:pPr>
              <w:spacing w:line="276" w:lineRule="auto"/>
              <w:jc w:val="center"/>
            </w:pPr>
            <w:r>
              <w:t>-</w:t>
            </w:r>
          </w:p>
        </w:tc>
        <w:tc>
          <w:tcPr>
            <w:tcW w:w="1393" w:type="dxa"/>
            <w:tcBorders>
              <w:top w:val="single" w:sz="4" w:space="0" w:color="auto"/>
            </w:tcBorders>
          </w:tcPr>
          <w:p w:rsidR="00946D81" w:rsidRPr="00F5030F" w:rsidRDefault="00946D81" w:rsidP="00E36F2A">
            <w:pPr>
              <w:spacing w:line="276" w:lineRule="auto"/>
              <w:jc w:val="center"/>
            </w:pPr>
            <w:r>
              <w:t>1,761 (27%)</w:t>
            </w:r>
          </w:p>
        </w:tc>
      </w:tr>
      <w:tr w:rsidR="00946D81" w:rsidRPr="00F5030F" w:rsidTr="00DC264B">
        <w:trPr>
          <w:trHeight w:val="242"/>
          <w:jc w:val="center"/>
        </w:trPr>
        <w:tc>
          <w:tcPr>
            <w:tcW w:w="2050" w:type="dxa"/>
            <w:tcBorders>
              <w:top w:val="dotted" w:sz="4" w:space="0" w:color="auto"/>
              <w:right w:val="single" w:sz="4" w:space="0" w:color="auto"/>
            </w:tcBorders>
            <w:vAlign w:val="center"/>
          </w:tcPr>
          <w:p w:rsidR="00946D81" w:rsidRPr="00F5030F" w:rsidRDefault="00946D81" w:rsidP="00DC264B">
            <w:pPr>
              <w:spacing w:line="276" w:lineRule="auto"/>
            </w:pPr>
            <w:r>
              <w:t>Failed to attend (not invited in no screening arm) or non-visualised aorta</w:t>
            </w:r>
          </w:p>
        </w:tc>
        <w:tc>
          <w:tcPr>
            <w:tcW w:w="1443" w:type="dxa"/>
            <w:tcBorders>
              <w:top w:val="dotted" w:sz="4" w:space="0" w:color="auto"/>
            </w:tcBorders>
          </w:tcPr>
          <w:p w:rsidR="00946D81" w:rsidRPr="00F5030F" w:rsidRDefault="00946D81" w:rsidP="00E36F2A">
            <w:pPr>
              <w:spacing w:line="276" w:lineRule="auto"/>
              <w:jc w:val="center"/>
            </w:pPr>
            <w:r>
              <w:t>7,465 (81%)</w:t>
            </w:r>
          </w:p>
        </w:tc>
        <w:tc>
          <w:tcPr>
            <w:tcW w:w="1434" w:type="dxa"/>
            <w:tcBorders>
              <w:top w:val="dotted" w:sz="4" w:space="0" w:color="auto"/>
              <w:right w:val="single" w:sz="4" w:space="0" w:color="auto"/>
            </w:tcBorders>
          </w:tcPr>
          <w:p w:rsidR="00946D81" w:rsidRPr="00F5030F" w:rsidRDefault="00946D81" w:rsidP="00E36F2A">
            <w:pPr>
              <w:spacing w:line="276" w:lineRule="auto"/>
              <w:jc w:val="center"/>
            </w:pPr>
            <w:r>
              <w:t>2,048 (23%)</w:t>
            </w:r>
          </w:p>
        </w:tc>
        <w:tc>
          <w:tcPr>
            <w:tcW w:w="1418" w:type="dxa"/>
            <w:tcBorders>
              <w:top w:val="dotted" w:sz="4" w:space="0" w:color="auto"/>
              <w:left w:val="single" w:sz="4" w:space="0" w:color="auto"/>
            </w:tcBorders>
          </w:tcPr>
          <w:p w:rsidR="00946D81" w:rsidRPr="00F5030F" w:rsidRDefault="00946D81" w:rsidP="00E36F2A">
            <w:pPr>
              <w:spacing w:line="276" w:lineRule="auto"/>
              <w:jc w:val="center"/>
            </w:pPr>
            <w:r>
              <w:t>6,101 (82%)</w:t>
            </w:r>
          </w:p>
        </w:tc>
        <w:tc>
          <w:tcPr>
            <w:tcW w:w="1393" w:type="dxa"/>
            <w:tcBorders>
              <w:top w:val="dotted" w:sz="4" w:space="0" w:color="auto"/>
            </w:tcBorders>
          </w:tcPr>
          <w:p w:rsidR="00946D81" w:rsidRPr="00F5030F" w:rsidRDefault="00946D81" w:rsidP="00E36F2A">
            <w:pPr>
              <w:spacing w:line="276" w:lineRule="auto"/>
              <w:jc w:val="center"/>
            </w:pPr>
            <w:r>
              <w:t>1,991 (30%)</w:t>
            </w:r>
          </w:p>
        </w:tc>
      </w:tr>
      <w:tr w:rsidR="00946D81" w:rsidRPr="00F5030F" w:rsidTr="00DC264B">
        <w:trPr>
          <w:trHeight w:val="242"/>
          <w:jc w:val="center"/>
        </w:trPr>
        <w:tc>
          <w:tcPr>
            <w:tcW w:w="2050" w:type="dxa"/>
            <w:tcBorders>
              <w:top w:val="dotted" w:sz="4" w:space="0" w:color="auto"/>
              <w:right w:val="single" w:sz="4" w:space="0" w:color="auto"/>
            </w:tcBorders>
            <w:vAlign w:val="center"/>
          </w:tcPr>
          <w:p w:rsidR="00946D81" w:rsidRPr="00F5030F" w:rsidRDefault="00946D81" w:rsidP="00DC264B">
            <w:pPr>
              <w:spacing w:line="276" w:lineRule="auto"/>
            </w:pPr>
            <w:r>
              <w:t>Under surveillance</w:t>
            </w:r>
          </w:p>
        </w:tc>
        <w:tc>
          <w:tcPr>
            <w:tcW w:w="1443" w:type="dxa"/>
            <w:tcBorders>
              <w:top w:val="dotted" w:sz="4" w:space="0" w:color="auto"/>
            </w:tcBorders>
          </w:tcPr>
          <w:p w:rsidR="00946D81" w:rsidRPr="00F5030F" w:rsidRDefault="00946D81" w:rsidP="00E36F2A">
            <w:pPr>
              <w:spacing w:line="276" w:lineRule="auto"/>
              <w:jc w:val="center"/>
            </w:pPr>
            <w:r>
              <w:t>515 (6%)</w:t>
            </w:r>
          </w:p>
        </w:tc>
        <w:tc>
          <w:tcPr>
            <w:tcW w:w="1434" w:type="dxa"/>
            <w:tcBorders>
              <w:top w:val="dotted" w:sz="4" w:space="0" w:color="auto"/>
              <w:right w:val="single" w:sz="4" w:space="0" w:color="auto"/>
            </w:tcBorders>
          </w:tcPr>
          <w:p w:rsidR="00946D81" w:rsidRPr="00F5030F" w:rsidRDefault="00946D81" w:rsidP="00E36F2A">
            <w:pPr>
              <w:spacing w:line="276" w:lineRule="auto"/>
              <w:jc w:val="center"/>
            </w:pPr>
            <w:r>
              <w:t>689 (8%)</w:t>
            </w:r>
          </w:p>
        </w:tc>
        <w:tc>
          <w:tcPr>
            <w:tcW w:w="1418" w:type="dxa"/>
            <w:tcBorders>
              <w:top w:val="dotted" w:sz="4" w:space="0" w:color="auto"/>
              <w:left w:val="single" w:sz="4" w:space="0" w:color="auto"/>
            </w:tcBorders>
          </w:tcPr>
          <w:p w:rsidR="00946D81" w:rsidRPr="00F5030F" w:rsidRDefault="00946D81" w:rsidP="00E36F2A">
            <w:pPr>
              <w:spacing w:line="276" w:lineRule="auto"/>
              <w:jc w:val="center"/>
            </w:pPr>
            <w:r>
              <w:t>358 (5%)</w:t>
            </w:r>
          </w:p>
        </w:tc>
        <w:tc>
          <w:tcPr>
            <w:tcW w:w="1393" w:type="dxa"/>
            <w:tcBorders>
              <w:top w:val="dotted" w:sz="4" w:space="0" w:color="auto"/>
            </w:tcBorders>
          </w:tcPr>
          <w:p w:rsidR="00946D81" w:rsidRPr="00F5030F" w:rsidRDefault="00946D81" w:rsidP="00E36F2A">
            <w:pPr>
              <w:spacing w:line="276" w:lineRule="auto"/>
              <w:jc w:val="center"/>
            </w:pPr>
            <w:r>
              <w:t>646 (10%)</w:t>
            </w:r>
          </w:p>
        </w:tc>
      </w:tr>
      <w:tr w:rsidR="00946D81" w:rsidRPr="00F5030F" w:rsidTr="00DC264B">
        <w:trPr>
          <w:trHeight w:val="242"/>
          <w:jc w:val="center"/>
        </w:trPr>
        <w:tc>
          <w:tcPr>
            <w:tcW w:w="2050" w:type="dxa"/>
            <w:tcBorders>
              <w:top w:val="dotted" w:sz="4" w:space="0" w:color="auto"/>
              <w:right w:val="single" w:sz="4" w:space="0" w:color="auto"/>
            </w:tcBorders>
          </w:tcPr>
          <w:p w:rsidR="00946D81" w:rsidRPr="00F5030F" w:rsidRDefault="00946D81" w:rsidP="00DC264B">
            <w:pPr>
              <w:spacing w:line="276" w:lineRule="auto"/>
            </w:pPr>
            <w:r>
              <w:t xml:space="preserve">After dropping out of </w:t>
            </w:r>
            <w:r w:rsidRPr="00A96FC2">
              <w:t>surveillance</w:t>
            </w:r>
          </w:p>
        </w:tc>
        <w:tc>
          <w:tcPr>
            <w:tcW w:w="1443" w:type="dxa"/>
            <w:tcBorders>
              <w:top w:val="dotted" w:sz="4" w:space="0" w:color="auto"/>
            </w:tcBorders>
          </w:tcPr>
          <w:p w:rsidR="00946D81" w:rsidRPr="00F5030F" w:rsidRDefault="00946D81" w:rsidP="00E36F2A">
            <w:pPr>
              <w:spacing w:line="276" w:lineRule="auto"/>
              <w:jc w:val="center"/>
            </w:pPr>
            <w:r>
              <w:t>514 (6%)</w:t>
            </w:r>
          </w:p>
        </w:tc>
        <w:tc>
          <w:tcPr>
            <w:tcW w:w="1434" w:type="dxa"/>
            <w:tcBorders>
              <w:top w:val="dotted" w:sz="4" w:space="0" w:color="auto"/>
              <w:right w:val="single" w:sz="4" w:space="0" w:color="auto"/>
            </w:tcBorders>
          </w:tcPr>
          <w:p w:rsidR="00946D81" w:rsidRPr="00F5030F" w:rsidRDefault="00946D81" w:rsidP="00E36F2A">
            <w:pPr>
              <w:spacing w:line="276" w:lineRule="auto"/>
              <w:jc w:val="center"/>
            </w:pPr>
            <w:r>
              <w:t>891 (10%)</w:t>
            </w:r>
          </w:p>
        </w:tc>
        <w:tc>
          <w:tcPr>
            <w:tcW w:w="1418" w:type="dxa"/>
            <w:tcBorders>
              <w:top w:val="dotted" w:sz="4" w:space="0" w:color="auto"/>
              <w:left w:val="single" w:sz="4" w:space="0" w:color="auto"/>
            </w:tcBorders>
          </w:tcPr>
          <w:p w:rsidR="00946D81" w:rsidRPr="00F5030F" w:rsidRDefault="00946D81" w:rsidP="00E36F2A">
            <w:pPr>
              <w:spacing w:line="276" w:lineRule="auto"/>
              <w:jc w:val="center"/>
            </w:pPr>
            <w:r>
              <w:t>371 (5%)</w:t>
            </w:r>
          </w:p>
        </w:tc>
        <w:tc>
          <w:tcPr>
            <w:tcW w:w="1393" w:type="dxa"/>
            <w:tcBorders>
              <w:top w:val="dotted" w:sz="4" w:space="0" w:color="auto"/>
            </w:tcBorders>
          </w:tcPr>
          <w:p w:rsidR="00946D81" w:rsidRPr="00F5030F" w:rsidRDefault="00946D81" w:rsidP="00E36F2A">
            <w:pPr>
              <w:spacing w:line="276" w:lineRule="auto"/>
              <w:jc w:val="center"/>
            </w:pPr>
            <w:r>
              <w:t>1,027 (16%)</w:t>
            </w:r>
          </w:p>
        </w:tc>
      </w:tr>
      <w:tr w:rsidR="00946D81" w:rsidRPr="00F5030F" w:rsidTr="00DC264B">
        <w:trPr>
          <w:trHeight w:val="242"/>
          <w:jc w:val="center"/>
        </w:trPr>
        <w:tc>
          <w:tcPr>
            <w:tcW w:w="2050" w:type="dxa"/>
            <w:tcBorders>
              <w:top w:val="dotted" w:sz="4" w:space="0" w:color="auto"/>
              <w:bottom w:val="dotted" w:sz="4" w:space="0" w:color="auto"/>
              <w:right w:val="single" w:sz="4" w:space="0" w:color="auto"/>
            </w:tcBorders>
          </w:tcPr>
          <w:p w:rsidR="00946D81" w:rsidRPr="00F5030F" w:rsidRDefault="00946D81" w:rsidP="00DC264B">
            <w:pPr>
              <w:spacing w:line="276" w:lineRule="auto"/>
            </w:pPr>
            <w:r>
              <w:t>After undergoing vascular consultation, but before surgery</w:t>
            </w:r>
          </w:p>
        </w:tc>
        <w:tc>
          <w:tcPr>
            <w:tcW w:w="1443" w:type="dxa"/>
            <w:tcBorders>
              <w:top w:val="dotted" w:sz="4" w:space="0" w:color="auto"/>
              <w:bottom w:val="dotted" w:sz="4" w:space="0" w:color="auto"/>
            </w:tcBorders>
          </w:tcPr>
          <w:p w:rsidR="00946D81" w:rsidRPr="00F5030F" w:rsidRDefault="00946D81" w:rsidP="00E36F2A">
            <w:pPr>
              <w:spacing w:line="276" w:lineRule="auto"/>
              <w:jc w:val="center"/>
            </w:pPr>
            <w:r>
              <w:t>44 (0.5%)</w:t>
            </w:r>
          </w:p>
        </w:tc>
        <w:tc>
          <w:tcPr>
            <w:tcW w:w="1434" w:type="dxa"/>
            <w:tcBorders>
              <w:top w:val="dotted" w:sz="4" w:space="0" w:color="auto"/>
              <w:bottom w:val="dotted" w:sz="4" w:space="0" w:color="auto"/>
              <w:right w:val="single" w:sz="4" w:space="0" w:color="auto"/>
            </w:tcBorders>
          </w:tcPr>
          <w:p w:rsidR="00946D81" w:rsidRPr="00F5030F" w:rsidRDefault="00946D81" w:rsidP="00E36F2A">
            <w:pPr>
              <w:spacing w:line="276" w:lineRule="auto"/>
              <w:jc w:val="center"/>
            </w:pPr>
            <w:r>
              <w:t>48 (0.5%)</w:t>
            </w:r>
          </w:p>
        </w:tc>
        <w:tc>
          <w:tcPr>
            <w:tcW w:w="1418" w:type="dxa"/>
            <w:tcBorders>
              <w:top w:val="dotted" w:sz="4" w:space="0" w:color="auto"/>
              <w:left w:val="single" w:sz="4" w:space="0" w:color="auto"/>
              <w:bottom w:val="dotted" w:sz="4" w:space="0" w:color="auto"/>
            </w:tcBorders>
          </w:tcPr>
          <w:p w:rsidR="00946D81" w:rsidRPr="00F5030F" w:rsidRDefault="00946D81" w:rsidP="00E36F2A">
            <w:pPr>
              <w:spacing w:line="276" w:lineRule="auto"/>
              <w:jc w:val="center"/>
            </w:pPr>
            <w:r>
              <w:t>32 (0.4%)</w:t>
            </w:r>
          </w:p>
        </w:tc>
        <w:tc>
          <w:tcPr>
            <w:tcW w:w="1393" w:type="dxa"/>
            <w:tcBorders>
              <w:top w:val="dotted" w:sz="4" w:space="0" w:color="auto"/>
              <w:bottom w:val="dotted" w:sz="4" w:space="0" w:color="auto"/>
            </w:tcBorders>
          </w:tcPr>
          <w:p w:rsidR="00946D81" w:rsidRPr="00F5030F" w:rsidRDefault="00946D81" w:rsidP="00E36F2A">
            <w:pPr>
              <w:spacing w:line="276" w:lineRule="auto"/>
              <w:jc w:val="center"/>
            </w:pPr>
            <w:r>
              <w:t>41 (0.6%)</w:t>
            </w:r>
          </w:p>
        </w:tc>
      </w:tr>
      <w:tr w:rsidR="00946D81" w:rsidRPr="00F5030F" w:rsidTr="00DC264B">
        <w:trPr>
          <w:trHeight w:val="242"/>
          <w:jc w:val="center"/>
        </w:trPr>
        <w:tc>
          <w:tcPr>
            <w:tcW w:w="2050" w:type="dxa"/>
            <w:tcBorders>
              <w:top w:val="dotted" w:sz="4" w:space="0" w:color="auto"/>
              <w:bottom w:val="single" w:sz="4" w:space="0" w:color="auto"/>
              <w:right w:val="single" w:sz="4" w:space="0" w:color="auto"/>
            </w:tcBorders>
          </w:tcPr>
          <w:p w:rsidR="00946D81" w:rsidRPr="00F5030F" w:rsidRDefault="00946D81" w:rsidP="00DC264B">
            <w:pPr>
              <w:spacing w:line="276" w:lineRule="auto"/>
            </w:pPr>
            <w:r>
              <w:t>After being turned down for surgery</w:t>
            </w:r>
          </w:p>
        </w:tc>
        <w:tc>
          <w:tcPr>
            <w:tcW w:w="1443" w:type="dxa"/>
            <w:tcBorders>
              <w:top w:val="dotted" w:sz="4" w:space="0" w:color="auto"/>
              <w:bottom w:val="single" w:sz="4" w:space="0" w:color="auto"/>
            </w:tcBorders>
          </w:tcPr>
          <w:p w:rsidR="00946D81" w:rsidRPr="00F5030F" w:rsidRDefault="00946D81" w:rsidP="00E36F2A">
            <w:pPr>
              <w:spacing w:line="276" w:lineRule="auto"/>
              <w:jc w:val="center"/>
            </w:pPr>
            <w:r>
              <w:t>697 (8%)</w:t>
            </w:r>
          </w:p>
        </w:tc>
        <w:tc>
          <w:tcPr>
            <w:tcW w:w="1434" w:type="dxa"/>
            <w:tcBorders>
              <w:top w:val="dotted" w:sz="4" w:space="0" w:color="auto"/>
              <w:bottom w:val="single" w:sz="4" w:space="0" w:color="auto"/>
              <w:right w:val="single" w:sz="4" w:space="0" w:color="auto"/>
            </w:tcBorders>
          </w:tcPr>
          <w:p w:rsidR="00946D81" w:rsidRPr="00F5030F" w:rsidRDefault="00946D81" w:rsidP="00E36F2A">
            <w:pPr>
              <w:spacing w:line="276" w:lineRule="auto"/>
              <w:jc w:val="center"/>
            </w:pPr>
            <w:r>
              <w:t>890 (10%)</w:t>
            </w:r>
          </w:p>
        </w:tc>
        <w:tc>
          <w:tcPr>
            <w:tcW w:w="1418" w:type="dxa"/>
            <w:tcBorders>
              <w:top w:val="dotted" w:sz="4" w:space="0" w:color="auto"/>
              <w:left w:val="single" w:sz="4" w:space="0" w:color="auto"/>
              <w:bottom w:val="single" w:sz="4" w:space="0" w:color="auto"/>
            </w:tcBorders>
          </w:tcPr>
          <w:p w:rsidR="00946D81" w:rsidRPr="00F5030F" w:rsidRDefault="00946D81" w:rsidP="00E36F2A">
            <w:pPr>
              <w:spacing w:line="276" w:lineRule="auto"/>
              <w:jc w:val="center"/>
            </w:pPr>
            <w:r>
              <w:t>603 (8%)</w:t>
            </w:r>
          </w:p>
        </w:tc>
        <w:tc>
          <w:tcPr>
            <w:tcW w:w="1393" w:type="dxa"/>
            <w:tcBorders>
              <w:top w:val="dotted" w:sz="4" w:space="0" w:color="auto"/>
              <w:bottom w:val="single" w:sz="4" w:space="0" w:color="auto"/>
            </w:tcBorders>
          </w:tcPr>
          <w:p w:rsidR="00946D81" w:rsidRPr="00F5030F" w:rsidRDefault="00946D81" w:rsidP="00E36F2A">
            <w:pPr>
              <w:spacing w:line="276" w:lineRule="auto"/>
              <w:jc w:val="center"/>
            </w:pPr>
            <w:r>
              <w:t>1,089 (17%)</w:t>
            </w:r>
          </w:p>
        </w:tc>
      </w:tr>
    </w:tbl>
    <w:p w:rsidR="00946D81" w:rsidRDefault="00946D81" w:rsidP="00DC264B">
      <w:pPr>
        <w:jc w:val="both"/>
      </w:pPr>
    </w:p>
    <w:p w:rsidR="00946D81" w:rsidRDefault="00946D81" w:rsidP="00DC264B">
      <w:pPr>
        <w:rPr>
          <w:b/>
        </w:rPr>
        <w:sectPr w:rsidR="00946D81" w:rsidSect="00423A1B">
          <w:pgSz w:w="11906" w:h="16838"/>
          <w:pgMar w:top="1440" w:right="1440" w:bottom="1440" w:left="1440" w:header="708" w:footer="708" w:gutter="0"/>
          <w:lnNumType w:countBy="1" w:restart="continuous"/>
          <w:cols w:space="708"/>
          <w:docGrid w:linePitch="360"/>
        </w:sectPr>
      </w:pPr>
      <w:r>
        <w:rPr>
          <w:b/>
        </w:rPr>
        <w:br w:type="page"/>
      </w:r>
    </w:p>
    <w:p w:rsidR="00946D81" w:rsidRPr="0013238E" w:rsidRDefault="00946D81" w:rsidP="00D243F9">
      <w:pPr>
        <w:pStyle w:val="Caption"/>
        <w:rPr>
          <w:rFonts w:asciiTheme="minorHAnsi" w:hAnsiTheme="minorHAnsi" w:cstheme="minorHAnsi"/>
          <w:b w:val="0"/>
          <w:color w:val="000000" w:themeColor="text1"/>
          <w:sz w:val="22"/>
          <w:szCs w:val="22"/>
        </w:rPr>
      </w:pPr>
      <w:bookmarkStart w:id="59" w:name="_Toc513707208"/>
      <w:bookmarkStart w:id="60" w:name="_Toc504637553"/>
      <w:bookmarkStart w:id="61" w:name="_Toc504637604"/>
      <w:bookmarkStart w:id="62" w:name="_Toc504637662"/>
      <w:bookmarkStart w:id="63" w:name="_Toc504637787"/>
      <w:bookmarkStart w:id="64" w:name="_Toc504637802"/>
      <w:bookmarkStart w:id="65" w:name="_Toc504637832"/>
      <w:r w:rsidRPr="00D243F9">
        <w:rPr>
          <w:rFonts w:asciiTheme="minorHAnsi" w:hAnsiTheme="minorHAnsi" w:cstheme="minorHAnsi"/>
          <w:color w:val="000000" w:themeColor="text1"/>
          <w:sz w:val="22"/>
          <w:szCs w:val="22"/>
        </w:rPr>
        <w:t xml:space="preserve">Supplementary Table  </w:t>
      </w:r>
      <w:r w:rsidRPr="00D243F9">
        <w:rPr>
          <w:rFonts w:asciiTheme="minorHAnsi" w:hAnsiTheme="minorHAnsi" w:cstheme="minorHAnsi"/>
          <w:color w:val="000000" w:themeColor="text1"/>
          <w:sz w:val="22"/>
          <w:szCs w:val="22"/>
        </w:rPr>
        <w:fldChar w:fldCharType="begin"/>
      </w:r>
      <w:r w:rsidRPr="00D243F9">
        <w:rPr>
          <w:rFonts w:asciiTheme="minorHAnsi" w:hAnsiTheme="minorHAnsi" w:cstheme="minorHAnsi"/>
          <w:color w:val="000000" w:themeColor="text1"/>
          <w:sz w:val="22"/>
          <w:szCs w:val="22"/>
        </w:rPr>
        <w:instrText xml:space="preserve"> SEQ Supplementary_Table_ \* ARABIC </w:instrText>
      </w:r>
      <w:r w:rsidRPr="00D243F9">
        <w:rPr>
          <w:rFonts w:asciiTheme="minorHAnsi" w:hAnsiTheme="minorHAnsi" w:cstheme="minorHAnsi"/>
          <w:color w:val="000000" w:themeColor="text1"/>
          <w:sz w:val="22"/>
          <w:szCs w:val="22"/>
        </w:rPr>
        <w:fldChar w:fldCharType="separate"/>
      </w:r>
      <w:r w:rsidRPr="00D243F9">
        <w:rPr>
          <w:rFonts w:asciiTheme="minorHAnsi" w:hAnsiTheme="minorHAnsi" w:cstheme="minorHAnsi"/>
          <w:noProof/>
          <w:color w:val="000000" w:themeColor="text1"/>
          <w:sz w:val="22"/>
          <w:szCs w:val="22"/>
        </w:rPr>
        <w:t>3</w:t>
      </w:r>
      <w:r w:rsidRPr="00D243F9">
        <w:rPr>
          <w:rFonts w:asciiTheme="minorHAnsi" w:hAnsiTheme="minorHAnsi" w:cstheme="minorHAnsi"/>
          <w:color w:val="000000" w:themeColor="text1"/>
          <w:sz w:val="22"/>
          <w:szCs w:val="22"/>
        </w:rPr>
        <w:fldChar w:fldCharType="end"/>
      </w:r>
      <w:r w:rsidRPr="0013238E">
        <w:rPr>
          <w:rFonts w:asciiTheme="minorHAnsi" w:hAnsiTheme="minorHAnsi" w:cstheme="minorHAnsi"/>
          <w:color w:val="000000" w:themeColor="text1"/>
          <w:sz w:val="22"/>
          <w:szCs w:val="22"/>
        </w:rPr>
        <w:t xml:space="preserve">. </w:t>
      </w:r>
      <w:r>
        <w:rPr>
          <w:rFonts w:asciiTheme="minorHAnsi" w:hAnsiTheme="minorHAnsi" w:cstheme="minorHAnsi"/>
          <w:b w:val="0"/>
          <w:color w:val="000000" w:themeColor="text1"/>
          <w:sz w:val="22"/>
          <w:szCs w:val="22"/>
        </w:rPr>
        <w:t>Effect of health related quality of life decrements on mean QALYs and the incremental cost-effectiveness ratio</w:t>
      </w:r>
      <w:bookmarkEnd w:id="59"/>
    </w:p>
    <w:tbl>
      <w:tblPr>
        <w:tblStyle w:val="TableGrid"/>
        <w:tblW w:w="5000" w:type="pct"/>
        <w:tblLook w:val="04A0" w:firstRow="1" w:lastRow="0" w:firstColumn="1" w:lastColumn="0" w:noHBand="0" w:noVBand="1"/>
      </w:tblPr>
      <w:tblGrid>
        <w:gridCol w:w="2551"/>
        <w:gridCol w:w="2048"/>
        <w:gridCol w:w="1279"/>
        <w:gridCol w:w="1297"/>
        <w:gridCol w:w="1300"/>
        <w:gridCol w:w="1372"/>
        <w:gridCol w:w="1370"/>
        <w:gridCol w:w="1367"/>
        <w:gridCol w:w="1364"/>
      </w:tblGrid>
      <w:tr w:rsidR="00946D81" w:rsidRPr="00494B17" w:rsidTr="00EA4F4A">
        <w:trPr>
          <w:trHeight w:val="283"/>
        </w:trPr>
        <w:tc>
          <w:tcPr>
            <w:tcW w:w="914" w:type="pct"/>
            <w:vMerge w:val="restart"/>
            <w:vAlign w:val="center"/>
          </w:tcPr>
          <w:p w:rsidR="00946D81" w:rsidRPr="00494B17" w:rsidRDefault="00946D81" w:rsidP="00EA4F4A">
            <w:pPr>
              <w:spacing w:line="276" w:lineRule="auto"/>
              <w:ind w:firstLine="31"/>
              <w:jc w:val="center"/>
              <w:rPr>
                <w:rFonts w:cs="Times New Roman"/>
              </w:rPr>
            </w:pPr>
            <w:r w:rsidRPr="00494B17">
              <w:rPr>
                <w:rFonts w:cs="Times New Roman"/>
              </w:rPr>
              <w:t>Quality adjustment</w:t>
            </w:r>
          </w:p>
        </w:tc>
        <w:tc>
          <w:tcPr>
            <w:tcW w:w="734" w:type="pct"/>
            <w:vMerge w:val="restart"/>
          </w:tcPr>
          <w:p w:rsidR="00946D81" w:rsidRPr="00494B17" w:rsidRDefault="00946D81" w:rsidP="00EA4F4A">
            <w:pPr>
              <w:spacing w:line="276" w:lineRule="auto"/>
              <w:jc w:val="center"/>
              <w:rPr>
                <w:rFonts w:cs="Times New Roman"/>
              </w:rPr>
            </w:pPr>
            <w:r w:rsidRPr="00494B17">
              <w:rPr>
                <w:rFonts w:cs="Times New Roman"/>
              </w:rPr>
              <w:t xml:space="preserve">QoL weights </w:t>
            </w:r>
          </w:p>
        </w:tc>
        <w:tc>
          <w:tcPr>
            <w:tcW w:w="458" w:type="pct"/>
            <w:vMerge w:val="restart"/>
          </w:tcPr>
          <w:p w:rsidR="00946D81" w:rsidRPr="00494B17" w:rsidRDefault="00946D81" w:rsidP="00EA4F4A">
            <w:pPr>
              <w:spacing w:line="276" w:lineRule="auto"/>
              <w:jc w:val="center"/>
              <w:rPr>
                <w:rFonts w:cs="Times New Roman"/>
              </w:rPr>
            </w:pPr>
            <w:r w:rsidRPr="00494B17">
              <w:rPr>
                <w:rFonts w:cs="Times New Roman"/>
              </w:rPr>
              <w:t>Length of change</w:t>
            </w:r>
          </w:p>
        </w:tc>
        <w:tc>
          <w:tcPr>
            <w:tcW w:w="1423" w:type="pct"/>
            <w:gridSpan w:val="3"/>
            <w:vAlign w:val="center"/>
          </w:tcPr>
          <w:p w:rsidR="00946D81" w:rsidRPr="00494B17" w:rsidRDefault="00946D81" w:rsidP="00EA4F4A">
            <w:pPr>
              <w:spacing w:line="276" w:lineRule="auto"/>
              <w:jc w:val="center"/>
              <w:rPr>
                <w:rFonts w:cs="Times New Roman"/>
              </w:rPr>
            </w:pPr>
            <w:r w:rsidRPr="00494B17">
              <w:rPr>
                <w:rFonts w:cs="Times New Roman"/>
              </w:rPr>
              <w:t>Reference case</w:t>
            </w:r>
          </w:p>
        </w:tc>
        <w:tc>
          <w:tcPr>
            <w:tcW w:w="1470" w:type="pct"/>
            <w:gridSpan w:val="3"/>
          </w:tcPr>
          <w:p w:rsidR="00946D81" w:rsidRPr="00494B17" w:rsidRDefault="00946D81" w:rsidP="00EA4F4A">
            <w:pPr>
              <w:spacing w:line="276" w:lineRule="auto"/>
              <w:jc w:val="center"/>
              <w:rPr>
                <w:rFonts w:cs="Times New Roman"/>
              </w:rPr>
            </w:pPr>
            <w:r w:rsidRPr="00494B17">
              <w:rPr>
                <w:rFonts w:cs="Times New Roman"/>
              </w:rPr>
              <w:t>Alternative scenario</w:t>
            </w:r>
          </w:p>
        </w:tc>
      </w:tr>
      <w:tr w:rsidR="00946D81" w:rsidRPr="00494B17" w:rsidTr="00EA4F4A">
        <w:trPr>
          <w:trHeight w:val="283"/>
        </w:trPr>
        <w:tc>
          <w:tcPr>
            <w:tcW w:w="914" w:type="pct"/>
            <w:vMerge/>
            <w:vAlign w:val="center"/>
          </w:tcPr>
          <w:p w:rsidR="00946D81" w:rsidRPr="00494B17" w:rsidRDefault="00946D81" w:rsidP="00EA4F4A">
            <w:pPr>
              <w:spacing w:line="276" w:lineRule="auto"/>
              <w:ind w:firstLine="31"/>
              <w:jc w:val="center"/>
              <w:rPr>
                <w:rFonts w:cs="Times New Roman"/>
              </w:rPr>
            </w:pPr>
          </w:p>
        </w:tc>
        <w:tc>
          <w:tcPr>
            <w:tcW w:w="734" w:type="pct"/>
            <w:vMerge/>
          </w:tcPr>
          <w:p w:rsidR="00946D81" w:rsidRPr="00494B17" w:rsidRDefault="00946D81" w:rsidP="00EA4F4A">
            <w:pPr>
              <w:spacing w:line="276" w:lineRule="auto"/>
              <w:jc w:val="center"/>
              <w:rPr>
                <w:rFonts w:cs="Times New Roman"/>
              </w:rPr>
            </w:pPr>
          </w:p>
        </w:tc>
        <w:tc>
          <w:tcPr>
            <w:tcW w:w="458" w:type="pct"/>
            <w:vMerge/>
          </w:tcPr>
          <w:p w:rsidR="00946D81" w:rsidRPr="00494B17" w:rsidRDefault="00946D81" w:rsidP="00EA4F4A">
            <w:pPr>
              <w:spacing w:line="276" w:lineRule="auto"/>
              <w:jc w:val="center"/>
              <w:rPr>
                <w:rFonts w:cs="Times New Roman"/>
              </w:rPr>
            </w:pPr>
          </w:p>
        </w:tc>
        <w:tc>
          <w:tcPr>
            <w:tcW w:w="931" w:type="pct"/>
            <w:gridSpan w:val="2"/>
            <w:vAlign w:val="center"/>
          </w:tcPr>
          <w:p w:rsidR="00946D81" w:rsidRPr="00494B17" w:rsidRDefault="00946D81" w:rsidP="00EA4F4A">
            <w:pPr>
              <w:spacing w:line="276" w:lineRule="auto"/>
              <w:jc w:val="center"/>
              <w:rPr>
                <w:rFonts w:cs="Times New Roman"/>
              </w:rPr>
            </w:pPr>
            <w:r w:rsidRPr="00494B17">
              <w:rPr>
                <w:rFonts w:cs="Times New Roman"/>
              </w:rPr>
              <w:t xml:space="preserve">Mean QALYs </w:t>
            </w:r>
          </w:p>
        </w:tc>
        <w:tc>
          <w:tcPr>
            <w:tcW w:w="492" w:type="pct"/>
            <w:vMerge w:val="restart"/>
            <w:vAlign w:val="center"/>
          </w:tcPr>
          <w:p w:rsidR="00946D81" w:rsidRPr="00494B17" w:rsidRDefault="00946D81" w:rsidP="00EA4F4A">
            <w:pPr>
              <w:spacing w:line="276" w:lineRule="auto"/>
              <w:jc w:val="center"/>
              <w:rPr>
                <w:rFonts w:cs="Times New Roman"/>
              </w:rPr>
            </w:pPr>
            <w:r w:rsidRPr="00494B17">
              <w:rPr>
                <w:rFonts w:cs="Times New Roman"/>
              </w:rPr>
              <w:t xml:space="preserve">ICER </w:t>
            </w:r>
          </w:p>
          <w:p w:rsidR="00946D81" w:rsidRPr="00494B17" w:rsidRDefault="00946D81" w:rsidP="00943E7D">
            <w:pPr>
              <w:spacing w:line="276" w:lineRule="auto"/>
              <w:jc w:val="center"/>
              <w:rPr>
                <w:rFonts w:cs="Times New Roman"/>
              </w:rPr>
            </w:pPr>
          </w:p>
        </w:tc>
        <w:tc>
          <w:tcPr>
            <w:tcW w:w="981" w:type="pct"/>
            <w:gridSpan w:val="2"/>
          </w:tcPr>
          <w:p w:rsidR="00946D81" w:rsidRPr="00494B17" w:rsidRDefault="00946D81" w:rsidP="00EA4F4A">
            <w:pPr>
              <w:spacing w:line="276" w:lineRule="auto"/>
              <w:jc w:val="center"/>
              <w:rPr>
                <w:rFonts w:cs="Times New Roman"/>
              </w:rPr>
            </w:pPr>
            <w:r w:rsidRPr="00494B17">
              <w:rPr>
                <w:rFonts w:cs="Times New Roman"/>
              </w:rPr>
              <w:t>Mean QALYs</w:t>
            </w:r>
          </w:p>
        </w:tc>
        <w:tc>
          <w:tcPr>
            <w:tcW w:w="489" w:type="pct"/>
            <w:vMerge w:val="restart"/>
          </w:tcPr>
          <w:p w:rsidR="00946D81" w:rsidRPr="00494B17" w:rsidRDefault="00946D81" w:rsidP="00EA4F4A">
            <w:pPr>
              <w:spacing w:line="276" w:lineRule="auto"/>
              <w:jc w:val="center"/>
              <w:rPr>
                <w:rFonts w:cs="Times New Roman"/>
              </w:rPr>
            </w:pPr>
            <w:r w:rsidRPr="00494B17">
              <w:rPr>
                <w:rFonts w:cs="Times New Roman"/>
              </w:rPr>
              <w:t xml:space="preserve">ICER </w:t>
            </w:r>
          </w:p>
          <w:p w:rsidR="00946D81" w:rsidRPr="00494B17" w:rsidRDefault="00946D81" w:rsidP="00943E7D">
            <w:pPr>
              <w:spacing w:line="276" w:lineRule="auto"/>
              <w:jc w:val="center"/>
              <w:rPr>
                <w:rFonts w:cs="Times New Roman"/>
              </w:rPr>
            </w:pPr>
          </w:p>
        </w:tc>
      </w:tr>
      <w:tr w:rsidR="00946D81" w:rsidRPr="00494B17" w:rsidTr="00EA4F4A">
        <w:trPr>
          <w:trHeight w:val="283"/>
        </w:trPr>
        <w:tc>
          <w:tcPr>
            <w:tcW w:w="914" w:type="pct"/>
            <w:vMerge/>
            <w:vAlign w:val="center"/>
          </w:tcPr>
          <w:p w:rsidR="00946D81" w:rsidRPr="00494B17" w:rsidRDefault="00946D81" w:rsidP="00EA4F4A">
            <w:pPr>
              <w:spacing w:line="276" w:lineRule="auto"/>
              <w:ind w:firstLine="31"/>
              <w:jc w:val="center"/>
              <w:rPr>
                <w:rFonts w:cs="Times New Roman"/>
              </w:rPr>
            </w:pPr>
          </w:p>
        </w:tc>
        <w:tc>
          <w:tcPr>
            <w:tcW w:w="734" w:type="pct"/>
            <w:vMerge/>
          </w:tcPr>
          <w:p w:rsidR="00946D81" w:rsidRPr="00494B17" w:rsidRDefault="00946D81" w:rsidP="00EA4F4A">
            <w:pPr>
              <w:spacing w:line="276" w:lineRule="auto"/>
              <w:jc w:val="center"/>
              <w:rPr>
                <w:rFonts w:cs="Times New Roman"/>
              </w:rPr>
            </w:pPr>
          </w:p>
        </w:tc>
        <w:tc>
          <w:tcPr>
            <w:tcW w:w="458" w:type="pct"/>
            <w:vMerge/>
          </w:tcPr>
          <w:p w:rsidR="00946D81" w:rsidRPr="00494B17" w:rsidRDefault="00946D81" w:rsidP="00EA4F4A">
            <w:pPr>
              <w:spacing w:line="276" w:lineRule="auto"/>
              <w:jc w:val="center"/>
              <w:rPr>
                <w:rFonts w:cs="Times New Roman"/>
              </w:rPr>
            </w:pPr>
          </w:p>
        </w:tc>
        <w:tc>
          <w:tcPr>
            <w:tcW w:w="465" w:type="pct"/>
            <w:vAlign w:val="center"/>
          </w:tcPr>
          <w:p w:rsidR="00946D81" w:rsidRPr="00494B17" w:rsidRDefault="00946D81" w:rsidP="00EA4F4A">
            <w:pPr>
              <w:spacing w:line="276" w:lineRule="auto"/>
              <w:jc w:val="center"/>
              <w:rPr>
                <w:rFonts w:cs="Times New Roman"/>
              </w:rPr>
            </w:pPr>
            <w:r w:rsidRPr="00494B17">
              <w:rPr>
                <w:rFonts w:cs="Times New Roman"/>
              </w:rPr>
              <w:t>Not invited</w:t>
            </w:r>
          </w:p>
        </w:tc>
        <w:tc>
          <w:tcPr>
            <w:tcW w:w="466" w:type="pct"/>
          </w:tcPr>
          <w:p w:rsidR="00946D81" w:rsidRPr="00494B17" w:rsidRDefault="00946D81" w:rsidP="00EA4F4A">
            <w:pPr>
              <w:spacing w:line="276" w:lineRule="auto"/>
              <w:jc w:val="center"/>
              <w:rPr>
                <w:rFonts w:cs="Times New Roman"/>
              </w:rPr>
            </w:pPr>
            <w:r w:rsidRPr="00494B17">
              <w:rPr>
                <w:rFonts w:cs="Times New Roman"/>
              </w:rPr>
              <w:t>Invited</w:t>
            </w:r>
          </w:p>
        </w:tc>
        <w:tc>
          <w:tcPr>
            <w:tcW w:w="492" w:type="pct"/>
            <w:vMerge/>
            <w:vAlign w:val="center"/>
          </w:tcPr>
          <w:p w:rsidR="00946D81" w:rsidRPr="00494B17" w:rsidRDefault="00946D81" w:rsidP="00EA4F4A">
            <w:pPr>
              <w:spacing w:line="276" w:lineRule="auto"/>
              <w:jc w:val="center"/>
              <w:rPr>
                <w:rFonts w:cs="Times New Roman"/>
              </w:rPr>
            </w:pPr>
          </w:p>
        </w:tc>
        <w:tc>
          <w:tcPr>
            <w:tcW w:w="491" w:type="pct"/>
          </w:tcPr>
          <w:p w:rsidR="00946D81" w:rsidRPr="00494B17" w:rsidRDefault="00946D81" w:rsidP="00EA4F4A">
            <w:pPr>
              <w:spacing w:line="276" w:lineRule="auto"/>
              <w:jc w:val="center"/>
              <w:rPr>
                <w:rFonts w:cs="Times New Roman"/>
              </w:rPr>
            </w:pPr>
            <w:r w:rsidRPr="00494B17">
              <w:rPr>
                <w:rFonts w:cs="Times New Roman"/>
              </w:rPr>
              <w:t>Not invited</w:t>
            </w:r>
          </w:p>
        </w:tc>
        <w:tc>
          <w:tcPr>
            <w:tcW w:w="490" w:type="pct"/>
          </w:tcPr>
          <w:p w:rsidR="00946D81" w:rsidRPr="00494B17" w:rsidRDefault="00946D81" w:rsidP="00EA4F4A">
            <w:pPr>
              <w:spacing w:line="276" w:lineRule="auto"/>
              <w:jc w:val="center"/>
              <w:rPr>
                <w:rFonts w:cs="Times New Roman"/>
              </w:rPr>
            </w:pPr>
            <w:r w:rsidRPr="00494B17">
              <w:rPr>
                <w:rFonts w:cs="Times New Roman"/>
              </w:rPr>
              <w:t>Invited</w:t>
            </w:r>
          </w:p>
        </w:tc>
        <w:tc>
          <w:tcPr>
            <w:tcW w:w="489" w:type="pct"/>
            <w:vMerge/>
          </w:tcPr>
          <w:p w:rsidR="00946D81" w:rsidRPr="00494B17" w:rsidRDefault="00946D81" w:rsidP="00EA4F4A">
            <w:pPr>
              <w:spacing w:line="276" w:lineRule="auto"/>
              <w:jc w:val="center"/>
              <w:rPr>
                <w:rFonts w:cs="Times New Roman"/>
              </w:rPr>
            </w:pPr>
          </w:p>
        </w:tc>
      </w:tr>
      <w:tr w:rsidR="00946D81" w:rsidRPr="00494B17" w:rsidTr="00EA4F4A">
        <w:trPr>
          <w:trHeight w:val="283"/>
        </w:trPr>
        <w:tc>
          <w:tcPr>
            <w:tcW w:w="914" w:type="pct"/>
          </w:tcPr>
          <w:p w:rsidR="00946D81" w:rsidRPr="00494B17" w:rsidRDefault="00946D81" w:rsidP="00EA4F4A">
            <w:pPr>
              <w:spacing w:line="276" w:lineRule="auto"/>
              <w:jc w:val="center"/>
              <w:rPr>
                <w:rFonts w:cs="Times New Roman"/>
              </w:rPr>
            </w:pPr>
            <w:r w:rsidRPr="00494B17">
              <w:rPr>
                <w:rFonts w:cs="Times New Roman"/>
              </w:rPr>
              <w:t>Age only</w:t>
            </w:r>
          </w:p>
          <w:p w:rsidR="00946D81" w:rsidRPr="00494B17" w:rsidRDefault="00946D81" w:rsidP="00EA4F4A">
            <w:pPr>
              <w:spacing w:line="276" w:lineRule="auto"/>
              <w:rPr>
                <w:rFonts w:cs="Times New Roman"/>
              </w:rPr>
            </w:pPr>
          </w:p>
        </w:tc>
        <w:tc>
          <w:tcPr>
            <w:tcW w:w="734" w:type="pct"/>
          </w:tcPr>
          <w:p w:rsidR="00946D81" w:rsidRPr="00494B17" w:rsidRDefault="00946D81" w:rsidP="00EA4F4A">
            <w:pPr>
              <w:spacing w:line="276" w:lineRule="auto"/>
              <w:jc w:val="center"/>
              <w:rPr>
                <w:rFonts w:cs="Times New Roman"/>
              </w:rPr>
            </w:pPr>
            <w:r w:rsidRPr="00494B17">
              <w:rPr>
                <w:rFonts w:cs="Times New Roman"/>
              </w:rPr>
              <w:t xml:space="preserve">0.78 (Age&lt;75) </w:t>
            </w:r>
          </w:p>
          <w:p w:rsidR="00946D81" w:rsidRPr="00494B17" w:rsidRDefault="00946D81" w:rsidP="00EA4F4A">
            <w:pPr>
              <w:spacing w:line="276" w:lineRule="auto"/>
              <w:jc w:val="center"/>
              <w:rPr>
                <w:rFonts w:cs="Times New Roman"/>
              </w:rPr>
            </w:pPr>
            <w:r w:rsidRPr="00494B17">
              <w:rPr>
                <w:rFonts w:cs="Times New Roman"/>
              </w:rPr>
              <w:t xml:space="preserve">0.71 (Age </w:t>
            </w:r>
            <m:oMath>
              <m:r>
                <w:rPr>
                  <w:rFonts w:ascii="Cambria Math" w:hAnsi="Cambria Math" w:cs="Times New Roman"/>
                </w:rPr>
                <m:t>≥75</m:t>
              </m:r>
            </m:oMath>
            <w:r w:rsidRPr="00494B17">
              <w:rPr>
                <w:rFonts w:eastAsiaTheme="minorEastAsia" w:cs="Times New Roman"/>
              </w:rPr>
              <w:t>)</w:t>
            </w:r>
          </w:p>
        </w:tc>
        <w:tc>
          <w:tcPr>
            <w:tcW w:w="458" w:type="pct"/>
          </w:tcPr>
          <w:p w:rsidR="00946D81" w:rsidRPr="00494B17" w:rsidRDefault="00946D81" w:rsidP="00EA4F4A">
            <w:pPr>
              <w:spacing w:line="276" w:lineRule="auto"/>
              <w:jc w:val="center"/>
              <w:rPr>
                <w:rFonts w:cs="Times New Roman"/>
              </w:rPr>
            </w:pPr>
            <w:r w:rsidRPr="00494B17">
              <w:rPr>
                <w:rFonts w:cs="Times New Roman"/>
              </w:rPr>
              <w:t>-</w:t>
            </w:r>
          </w:p>
        </w:tc>
        <w:tc>
          <w:tcPr>
            <w:tcW w:w="465" w:type="pct"/>
          </w:tcPr>
          <w:p w:rsidR="00946D81" w:rsidRPr="00494B17" w:rsidRDefault="00946D81" w:rsidP="00EA4F4A">
            <w:pPr>
              <w:spacing w:line="276" w:lineRule="auto"/>
              <w:jc w:val="center"/>
              <w:rPr>
                <w:rFonts w:cs="Times New Roman"/>
              </w:rPr>
            </w:pPr>
            <w:r w:rsidRPr="00494B17">
              <w:rPr>
                <w:rFonts w:cs="Times New Roman"/>
              </w:rPr>
              <w:t>10.4484</w:t>
            </w:r>
          </w:p>
        </w:tc>
        <w:tc>
          <w:tcPr>
            <w:tcW w:w="466" w:type="pct"/>
          </w:tcPr>
          <w:p w:rsidR="00946D81" w:rsidRPr="00494B17" w:rsidRDefault="00946D81" w:rsidP="00EA4F4A">
            <w:pPr>
              <w:spacing w:line="276" w:lineRule="auto"/>
              <w:jc w:val="center"/>
              <w:rPr>
                <w:rFonts w:cs="Times New Roman"/>
              </w:rPr>
            </w:pPr>
            <w:r w:rsidRPr="00494B17">
              <w:rPr>
                <w:rFonts w:cs="Times New Roman"/>
              </w:rPr>
              <w:t>10.4495</w:t>
            </w:r>
          </w:p>
        </w:tc>
        <w:tc>
          <w:tcPr>
            <w:tcW w:w="492" w:type="pct"/>
          </w:tcPr>
          <w:p w:rsidR="00946D81" w:rsidRPr="00494B17" w:rsidRDefault="00946D81" w:rsidP="00EA4F4A">
            <w:pPr>
              <w:spacing w:line="276" w:lineRule="auto"/>
              <w:jc w:val="center"/>
              <w:rPr>
                <w:rFonts w:cs="Times New Roman"/>
              </w:rPr>
            </w:pPr>
            <w:r w:rsidRPr="00494B17">
              <w:rPr>
                <w:rFonts w:cs="Times New Roman"/>
              </w:rPr>
              <w:t>30,000</w:t>
            </w:r>
          </w:p>
        </w:tc>
        <w:tc>
          <w:tcPr>
            <w:tcW w:w="491" w:type="pct"/>
          </w:tcPr>
          <w:p w:rsidR="00946D81" w:rsidRPr="00494B17" w:rsidRDefault="00946D81" w:rsidP="00EA4F4A">
            <w:pPr>
              <w:spacing w:line="276" w:lineRule="auto"/>
              <w:jc w:val="center"/>
              <w:rPr>
                <w:rFonts w:cs="Times New Roman"/>
              </w:rPr>
            </w:pPr>
            <w:r>
              <w:rPr>
                <w:rFonts w:cs="Times New Roman"/>
              </w:rPr>
              <w:t>8.7257</w:t>
            </w:r>
          </w:p>
        </w:tc>
        <w:tc>
          <w:tcPr>
            <w:tcW w:w="490" w:type="pct"/>
          </w:tcPr>
          <w:p w:rsidR="00946D81" w:rsidRPr="00494B17" w:rsidRDefault="00946D81" w:rsidP="00EA4F4A">
            <w:pPr>
              <w:spacing w:line="276" w:lineRule="auto"/>
              <w:jc w:val="center"/>
              <w:rPr>
                <w:rFonts w:cs="Times New Roman"/>
              </w:rPr>
            </w:pPr>
            <w:r>
              <w:rPr>
                <w:rFonts w:cs="Times New Roman"/>
              </w:rPr>
              <w:t>8.7277</w:t>
            </w:r>
          </w:p>
        </w:tc>
        <w:tc>
          <w:tcPr>
            <w:tcW w:w="489" w:type="pct"/>
          </w:tcPr>
          <w:p w:rsidR="00946D81" w:rsidRPr="00494B17" w:rsidRDefault="00946D81" w:rsidP="00EA4F4A">
            <w:pPr>
              <w:spacing w:line="276" w:lineRule="auto"/>
              <w:jc w:val="center"/>
              <w:rPr>
                <w:rFonts w:cs="Times New Roman"/>
              </w:rPr>
            </w:pPr>
            <w:r>
              <w:rPr>
                <w:rFonts w:cs="Times New Roman"/>
              </w:rPr>
              <w:t>23,000</w:t>
            </w:r>
          </w:p>
        </w:tc>
      </w:tr>
      <w:tr w:rsidR="00946D81" w:rsidRPr="00494B17" w:rsidTr="00EA4F4A">
        <w:trPr>
          <w:trHeight w:val="283"/>
        </w:trPr>
        <w:tc>
          <w:tcPr>
            <w:tcW w:w="914" w:type="pct"/>
          </w:tcPr>
          <w:p w:rsidR="00946D81" w:rsidRPr="00494B17" w:rsidRDefault="00946D81" w:rsidP="00EA4F4A">
            <w:pPr>
              <w:spacing w:line="276" w:lineRule="auto"/>
              <w:jc w:val="center"/>
              <w:rPr>
                <w:rFonts w:cs="Times New Roman"/>
              </w:rPr>
            </w:pPr>
            <w:r w:rsidRPr="00494B17">
              <w:rPr>
                <w:rFonts w:cs="Times New Roman"/>
              </w:rPr>
              <w:t>AAA diagnosis†</w:t>
            </w:r>
          </w:p>
          <w:p w:rsidR="00946D81" w:rsidRPr="00494B17" w:rsidRDefault="00946D81" w:rsidP="00EA4F4A">
            <w:pPr>
              <w:spacing w:line="276" w:lineRule="auto"/>
              <w:jc w:val="center"/>
              <w:rPr>
                <w:rFonts w:cs="Times New Roman"/>
              </w:rPr>
            </w:pPr>
          </w:p>
        </w:tc>
        <w:tc>
          <w:tcPr>
            <w:tcW w:w="734" w:type="pct"/>
          </w:tcPr>
          <w:p w:rsidR="00946D81" w:rsidRPr="00494B17" w:rsidRDefault="00946D81" w:rsidP="00EA4F4A">
            <w:pPr>
              <w:spacing w:line="276" w:lineRule="auto"/>
              <w:jc w:val="center"/>
              <w:rPr>
                <w:rFonts w:cs="Times New Roman"/>
              </w:rPr>
            </w:pPr>
            <w:r w:rsidRPr="00494B17">
              <w:rPr>
                <w:rFonts w:cs="Times New Roman"/>
              </w:rPr>
              <w:t>-0.01</w:t>
            </w:r>
          </w:p>
          <w:p w:rsidR="00946D81" w:rsidRPr="00494B17" w:rsidRDefault="00946D81" w:rsidP="00EA4F4A">
            <w:pPr>
              <w:spacing w:line="276" w:lineRule="auto"/>
              <w:jc w:val="center"/>
              <w:rPr>
                <w:rFonts w:cs="Times New Roman"/>
              </w:rPr>
            </w:pPr>
          </w:p>
        </w:tc>
        <w:tc>
          <w:tcPr>
            <w:tcW w:w="458" w:type="pct"/>
          </w:tcPr>
          <w:p w:rsidR="00946D81" w:rsidRPr="00494B17" w:rsidRDefault="00946D81" w:rsidP="00EA4F4A">
            <w:pPr>
              <w:spacing w:line="276" w:lineRule="auto"/>
              <w:jc w:val="center"/>
              <w:rPr>
                <w:rFonts w:cs="Times New Roman"/>
              </w:rPr>
            </w:pPr>
            <w:r w:rsidRPr="00494B17">
              <w:rPr>
                <w:rFonts w:cs="Times New Roman"/>
              </w:rPr>
              <w:t>Under surveillance</w:t>
            </w:r>
          </w:p>
        </w:tc>
        <w:tc>
          <w:tcPr>
            <w:tcW w:w="465" w:type="pct"/>
          </w:tcPr>
          <w:p w:rsidR="00946D81" w:rsidRPr="008961E6" w:rsidRDefault="00946D81" w:rsidP="00EA4F4A">
            <w:pPr>
              <w:spacing w:line="276" w:lineRule="auto"/>
              <w:jc w:val="center"/>
              <w:rPr>
                <w:rFonts w:cs="Times New Roman"/>
              </w:rPr>
            </w:pPr>
            <w:r w:rsidRPr="008961E6">
              <w:rPr>
                <w:rFonts w:cs="Times New Roman"/>
              </w:rPr>
              <w:t>10.4478</w:t>
            </w:r>
          </w:p>
        </w:tc>
        <w:tc>
          <w:tcPr>
            <w:tcW w:w="466" w:type="pct"/>
          </w:tcPr>
          <w:p w:rsidR="00946D81" w:rsidRPr="008961E6" w:rsidRDefault="00946D81" w:rsidP="00EA4F4A">
            <w:pPr>
              <w:spacing w:line="276" w:lineRule="auto"/>
              <w:jc w:val="center"/>
              <w:rPr>
                <w:rFonts w:cs="Times New Roman"/>
              </w:rPr>
            </w:pPr>
            <w:r w:rsidRPr="008961E6">
              <w:rPr>
                <w:rFonts w:cs="Times New Roman"/>
              </w:rPr>
              <w:t>10.4486</w:t>
            </w:r>
          </w:p>
        </w:tc>
        <w:tc>
          <w:tcPr>
            <w:tcW w:w="492" w:type="pct"/>
          </w:tcPr>
          <w:p w:rsidR="00946D81" w:rsidRPr="008961E6" w:rsidRDefault="00946D81" w:rsidP="00EA4F4A">
            <w:pPr>
              <w:spacing w:line="276" w:lineRule="auto"/>
              <w:jc w:val="center"/>
              <w:rPr>
                <w:rFonts w:cs="Times New Roman"/>
              </w:rPr>
            </w:pPr>
            <w:r w:rsidRPr="008961E6">
              <w:rPr>
                <w:rFonts w:cs="Times New Roman"/>
              </w:rPr>
              <w:t>4</w:t>
            </w:r>
            <w:r>
              <w:rPr>
                <w:rFonts w:cs="Times New Roman"/>
              </w:rPr>
              <w:t>3</w:t>
            </w:r>
            <w:r w:rsidRPr="008961E6">
              <w:rPr>
                <w:rFonts w:cs="Times New Roman"/>
              </w:rPr>
              <w:t>,</w:t>
            </w:r>
            <w:r>
              <w:rPr>
                <w:rFonts w:cs="Times New Roman"/>
              </w:rPr>
              <w:t>000</w:t>
            </w:r>
          </w:p>
          <w:p w:rsidR="00946D81" w:rsidRPr="008961E6" w:rsidRDefault="00946D81" w:rsidP="00EA4F4A">
            <w:pPr>
              <w:spacing w:line="276" w:lineRule="auto"/>
              <w:jc w:val="center"/>
              <w:rPr>
                <w:rFonts w:cs="Times New Roman"/>
              </w:rPr>
            </w:pPr>
          </w:p>
        </w:tc>
        <w:tc>
          <w:tcPr>
            <w:tcW w:w="491" w:type="pct"/>
          </w:tcPr>
          <w:p w:rsidR="00946D81" w:rsidRPr="008961E6" w:rsidRDefault="00946D81" w:rsidP="00EA4F4A">
            <w:pPr>
              <w:spacing w:line="276" w:lineRule="auto"/>
              <w:jc w:val="center"/>
              <w:rPr>
                <w:rFonts w:cs="Times New Roman"/>
              </w:rPr>
            </w:pPr>
            <w:r w:rsidRPr="008961E6">
              <w:rPr>
                <w:rFonts w:cs="Times New Roman"/>
              </w:rPr>
              <w:t>8.7247</w:t>
            </w:r>
          </w:p>
        </w:tc>
        <w:tc>
          <w:tcPr>
            <w:tcW w:w="490" w:type="pct"/>
          </w:tcPr>
          <w:p w:rsidR="00946D81" w:rsidRPr="008961E6" w:rsidRDefault="00946D81" w:rsidP="00EA4F4A">
            <w:pPr>
              <w:spacing w:line="276" w:lineRule="auto"/>
              <w:jc w:val="center"/>
              <w:rPr>
                <w:rFonts w:cs="Times New Roman"/>
              </w:rPr>
            </w:pPr>
            <w:r w:rsidRPr="008961E6">
              <w:rPr>
                <w:rFonts w:cs="Times New Roman"/>
              </w:rPr>
              <w:t>8.7253</w:t>
            </w:r>
          </w:p>
        </w:tc>
        <w:tc>
          <w:tcPr>
            <w:tcW w:w="489" w:type="pct"/>
          </w:tcPr>
          <w:p w:rsidR="00946D81" w:rsidRPr="008961E6" w:rsidRDefault="00946D81" w:rsidP="006C4F84">
            <w:pPr>
              <w:spacing w:line="276" w:lineRule="auto"/>
              <w:jc w:val="center"/>
              <w:rPr>
                <w:rFonts w:cs="Times New Roman"/>
              </w:rPr>
            </w:pPr>
            <w:r w:rsidRPr="008961E6">
              <w:rPr>
                <w:rFonts w:cs="Times New Roman"/>
              </w:rPr>
              <w:t>7</w:t>
            </w:r>
            <w:r>
              <w:rPr>
                <w:rFonts w:cs="Times New Roman"/>
              </w:rPr>
              <w:t>6</w:t>
            </w:r>
            <w:r w:rsidRPr="008961E6">
              <w:rPr>
                <w:rFonts w:cs="Times New Roman"/>
              </w:rPr>
              <w:t>,</w:t>
            </w:r>
            <w:r>
              <w:rPr>
                <w:rFonts w:cs="Times New Roman"/>
              </w:rPr>
              <w:t>000</w:t>
            </w:r>
          </w:p>
        </w:tc>
      </w:tr>
      <w:tr w:rsidR="00946D81" w:rsidRPr="00494B17" w:rsidTr="00EA4F4A">
        <w:trPr>
          <w:trHeight w:val="581"/>
        </w:trPr>
        <w:tc>
          <w:tcPr>
            <w:tcW w:w="914" w:type="pct"/>
          </w:tcPr>
          <w:p w:rsidR="00946D81" w:rsidRPr="00494B17" w:rsidRDefault="00946D81" w:rsidP="00EA4F4A">
            <w:pPr>
              <w:spacing w:line="276" w:lineRule="auto"/>
              <w:jc w:val="center"/>
              <w:rPr>
                <w:rFonts w:cs="Times New Roman"/>
              </w:rPr>
            </w:pPr>
            <w:r w:rsidRPr="00494B17">
              <w:rPr>
                <w:rFonts w:cs="Times New Roman"/>
              </w:rPr>
              <w:t>Elective surgery‡</w:t>
            </w:r>
          </w:p>
        </w:tc>
        <w:tc>
          <w:tcPr>
            <w:tcW w:w="734" w:type="pct"/>
          </w:tcPr>
          <w:p w:rsidR="00946D81" w:rsidRPr="00494B17" w:rsidRDefault="00946D81" w:rsidP="00EA4F4A">
            <w:pPr>
              <w:spacing w:line="276" w:lineRule="auto"/>
              <w:jc w:val="center"/>
              <w:rPr>
                <w:rFonts w:cs="Times New Roman"/>
              </w:rPr>
            </w:pPr>
            <w:r w:rsidRPr="00494B17">
              <w:rPr>
                <w:rFonts w:cs="Times New Roman"/>
              </w:rPr>
              <w:t>-0.0</w:t>
            </w:r>
            <w:r>
              <w:rPr>
                <w:rFonts w:cs="Times New Roman"/>
              </w:rPr>
              <w:t>2</w:t>
            </w:r>
            <w:r w:rsidRPr="00494B17">
              <w:rPr>
                <w:rFonts w:cs="Times New Roman"/>
              </w:rPr>
              <w:t xml:space="preserve"> [EVAR]</w:t>
            </w:r>
          </w:p>
          <w:p w:rsidR="00946D81" w:rsidRPr="00494B17" w:rsidRDefault="00946D81" w:rsidP="00EA4F4A">
            <w:pPr>
              <w:spacing w:line="276" w:lineRule="auto"/>
              <w:jc w:val="center"/>
              <w:rPr>
                <w:rFonts w:cs="Times New Roman"/>
              </w:rPr>
            </w:pPr>
            <w:r w:rsidRPr="00494B17">
              <w:rPr>
                <w:rFonts w:cs="Times New Roman"/>
              </w:rPr>
              <w:t>-0.07  [Open]</w:t>
            </w:r>
          </w:p>
        </w:tc>
        <w:tc>
          <w:tcPr>
            <w:tcW w:w="458" w:type="pct"/>
          </w:tcPr>
          <w:p w:rsidR="00946D81" w:rsidRPr="00494B17" w:rsidRDefault="00946D81" w:rsidP="00EA4F4A">
            <w:pPr>
              <w:spacing w:line="276" w:lineRule="auto"/>
              <w:jc w:val="center"/>
              <w:rPr>
                <w:rFonts w:cs="Times New Roman"/>
              </w:rPr>
            </w:pPr>
            <w:r w:rsidRPr="00494B17">
              <w:rPr>
                <w:rFonts w:cs="Times New Roman"/>
              </w:rPr>
              <w:t>3 months</w:t>
            </w:r>
          </w:p>
        </w:tc>
        <w:tc>
          <w:tcPr>
            <w:tcW w:w="465" w:type="pct"/>
          </w:tcPr>
          <w:p w:rsidR="00946D81" w:rsidRPr="008961E6" w:rsidRDefault="00946D81" w:rsidP="00EA4F4A">
            <w:pPr>
              <w:spacing w:line="276" w:lineRule="auto"/>
              <w:jc w:val="center"/>
              <w:rPr>
                <w:rFonts w:cs="Times New Roman"/>
              </w:rPr>
            </w:pPr>
            <w:r w:rsidRPr="008961E6">
              <w:rPr>
                <w:rFonts w:cs="Times New Roman"/>
              </w:rPr>
              <w:t>10.4483</w:t>
            </w:r>
          </w:p>
        </w:tc>
        <w:tc>
          <w:tcPr>
            <w:tcW w:w="466" w:type="pct"/>
          </w:tcPr>
          <w:p w:rsidR="00946D81" w:rsidRPr="008961E6" w:rsidRDefault="00946D81" w:rsidP="00EA4F4A">
            <w:pPr>
              <w:spacing w:line="276" w:lineRule="auto"/>
              <w:jc w:val="center"/>
              <w:rPr>
                <w:rFonts w:cs="Times New Roman"/>
              </w:rPr>
            </w:pPr>
            <w:r w:rsidRPr="008961E6">
              <w:rPr>
                <w:rFonts w:cs="Times New Roman"/>
              </w:rPr>
              <w:t>10.4495</w:t>
            </w:r>
          </w:p>
        </w:tc>
        <w:tc>
          <w:tcPr>
            <w:tcW w:w="492" w:type="pct"/>
          </w:tcPr>
          <w:p w:rsidR="00946D81" w:rsidRPr="008961E6" w:rsidRDefault="00946D81" w:rsidP="002A5999">
            <w:pPr>
              <w:spacing w:line="276" w:lineRule="auto"/>
              <w:jc w:val="center"/>
              <w:rPr>
                <w:rFonts w:cs="Times New Roman"/>
              </w:rPr>
            </w:pPr>
            <w:r w:rsidRPr="008961E6">
              <w:rPr>
                <w:rFonts w:cs="Times New Roman"/>
              </w:rPr>
              <w:t>30,</w:t>
            </w:r>
            <w:r>
              <w:rPr>
                <w:rFonts w:cs="Times New Roman"/>
              </w:rPr>
              <w:t>000</w:t>
            </w:r>
            <w:r w:rsidRPr="008961E6">
              <w:rPr>
                <w:rFonts w:cs="Times New Roman"/>
              </w:rPr>
              <w:t xml:space="preserve"> </w:t>
            </w:r>
          </w:p>
        </w:tc>
        <w:tc>
          <w:tcPr>
            <w:tcW w:w="491" w:type="pct"/>
          </w:tcPr>
          <w:p w:rsidR="00946D81" w:rsidRPr="008961E6" w:rsidRDefault="00946D81" w:rsidP="00EA4F4A">
            <w:pPr>
              <w:spacing w:line="276" w:lineRule="auto"/>
              <w:jc w:val="center"/>
              <w:rPr>
                <w:rFonts w:cs="Times New Roman"/>
              </w:rPr>
            </w:pPr>
            <w:r w:rsidRPr="008961E6">
              <w:rPr>
                <w:rFonts w:cs="Times New Roman"/>
              </w:rPr>
              <w:t>8.7257</w:t>
            </w:r>
          </w:p>
        </w:tc>
        <w:tc>
          <w:tcPr>
            <w:tcW w:w="490" w:type="pct"/>
          </w:tcPr>
          <w:p w:rsidR="00946D81" w:rsidRPr="008961E6" w:rsidRDefault="00946D81" w:rsidP="00EA4F4A">
            <w:pPr>
              <w:spacing w:line="276" w:lineRule="auto"/>
              <w:jc w:val="center"/>
              <w:rPr>
                <w:rFonts w:cs="Times New Roman"/>
              </w:rPr>
            </w:pPr>
            <w:r w:rsidRPr="008961E6">
              <w:rPr>
                <w:rFonts w:cs="Times New Roman"/>
              </w:rPr>
              <w:t>8.7276</w:t>
            </w:r>
          </w:p>
        </w:tc>
        <w:tc>
          <w:tcPr>
            <w:tcW w:w="489" w:type="pct"/>
          </w:tcPr>
          <w:p w:rsidR="00946D81" w:rsidRPr="008961E6" w:rsidRDefault="00946D81" w:rsidP="006C4F84">
            <w:pPr>
              <w:spacing w:line="276" w:lineRule="auto"/>
              <w:jc w:val="center"/>
              <w:rPr>
                <w:rFonts w:cs="Times New Roman"/>
              </w:rPr>
            </w:pPr>
            <w:r w:rsidRPr="008961E6">
              <w:rPr>
                <w:rFonts w:cs="Times New Roman"/>
              </w:rPr>
              <w:t>23,</w:t>
            </w:r>
            <w:r>
              <w:rPr>
                <w:rFonts w:cs="Times New Roman"/>
              </w:rPr>
              <w:t>000</w:t>
            </w:r>
          </w:p>
        </w:tc>
      </w:tr>
      <w:tr w:rsidR="00946D81" w:rsidRPr="00494B17" w:rsidTr="00EA4F4A">
        <w:trPr>
          <w:trHeight w:val="283"/>
        </w:trPr>
        <w:tc>
          <w:tcPr>
            <w:tcW w:w="914" w:type="pct"/>
          </w:tcPr>
          <w:p w:rsidR="00946D81" w:rsidRPr="00494B17" w:rsidRDefault="00946D81" w:rsidP="00EA4F4A">
            <w:pPr>
              <w:spacing w:line="276" w:lineRule="auto"/>
              <w:jc w:val="center"/>
              <w:rPr>
                <w:rFonts w:cs="Times New Roman"/>
              </w:rPr>
            </w:pPr>
            <w:r w:rsidRPr="00494B17">
              <w:rPr>
                <w:rFonts w:cs="Times New Roman"/>
              </w:rPr>
              <w:t>Emergency surgery¥</w:t>
            </w:r>
          </w:p>
          <w:p w:rsidR="00946D81" w:rsidRPr="00494B17" w:rsidRDefault="00946D81" w:rsidP="00EA4F4A">
            <w:pPr>
              <w:spacing w:line="276" w:lineRule="auto"/>
              <w:rPr>
                <w:rFonts w:cs="Times New Roman"/>
              </w:rPr>
            </w:pPr>
          </w:p>
        </w:tc>
        <w:tc>
          <w:tcPr>
            <w:tcW w:w="734" w:type="pct"/>
          </w:tcPr>
          <w:p w:rsidR="00946D81" w:rsidRPr="00494B17" w:rsidRDefault="00946D81" w:rsidP="00EA4F4A">
            <w:pPr>
              <w:spacing w:line="276" w:lineRule="auto"/>
              <w:jc w:val="center"/>
              <w:rPr>
                <w:rFonts w:cs="Times New Roman"/>
              </w:rPr>
            </w:pPr>
            <w:r w:rsidRPr="00494B17">
              <w:rPr>
                <w:rFonts w:cs="Times New Roman"/>
              </w:rPr>
              <w:t>-0.04 [EVAR]</w:t>
            </w:r>
          </w:p>
          <w:p w:rsidR="00946D81" w:rsidRPr="00494B17" w:rsidRDefault="00946D81" w:rsidP="00EA4F4A">
            <w:pPr>
              <w:spacing w:line="276" w:lineRule="auto"/>
              <w:jc w:val="center"/>
              <w:rPr>
                <w:rFonts w:cs="Times New Roman"/>
              </w:rPr>
            </w:pPr>
            <w:r w:rsidRPr="00494B17">
              <w:rPr>
                <w:rFonts w:cs="Times New Roman"/>
              </w:rPr>
              <w:t>-0.10 [Open]</w:t>
            </w:r>
          </w:p>
        </w:tc>
        <w:tc>
          <w:tcPr>
            <w:tcW w:w="458" w:type="pct"/>
          </w:tcPr>
          <w:p w:rsidR="00946D81" w:rsidRPr="00494B17" w:rsidRDefault="00946D81" w:rsidP="00EA4F4A">
            <w:pPr>
              <w:spacing w:line="276" w:lineRule="auto"/>
              <w:jc w:val="center"/>
              <w:rPr>
                <w:rFonts w:cs="Times New Roman"/>
              </w:rPr>
            </w:pPr>
            <w:r w:rsidRPr="00494B17">
              <w:rPr>
                <w:rFonts w:cs="Times New Roman"/>
              </w:rPr>
              <w:t>3 years</w:t>
            </w:r>
          </w:p>
        </w:tc>
        <w:tc>
          <w:tcPr>
            <w:tcW w:w="465" w:type="pct"/>
          </w:tcPr>
          <w:p w:rsidR="00946D81" w:rsidRPr="008961E6" w:rsidRDefault="00946D81" w:rsidP="00EA4F4A">
            <w:pPr>
              <w:spacing w:line="276" w:lineRule="auto"/>
              <w:jc w:val="center"/>
              <w:rPr>
                <w:rFonts w:cs="Times New Roman"/>
              </w:rPr>
            </w:pPr>
            <w:r w:rsidRPr="008961E6">
              <w:rPr>
                <w:rFonts w:cs="Times New Roman"/>
              </w:rPr>
              <w:t>10.4481</w:t>
            </w:r>
          </w:p>
        </w:tc>
        <w:tc>
          <w:tcPr>
            <w:tcW w:w="466" w:type="pct"/>
          </w:tcPr>
          <w:p w:rsidR="00946D81" w:rsidRPr="008961E6" w:rsidRDefault="00946D81" w:rsidP="00EA4F4A">
            <w:pPr>
              <w:spacing w:line="276" w:lineRule="auto"/>
              <w:jc w:val="center"/>
              <w:rPr>
                <w:rFonts w:cs="Times New Roman"/>
              </w:rPr>
            </w:pPr>
            <w:r w:rsidRPr="008961E6">
              <w:rPr>
                <w:rFonts w:cs="Times New Roman"/>
              </w:rPr>
              <w:t>10.4492</w:t>
            </w:r>
          </w:p>
        </w:tc>
        <w:tc>
          <w:tcPr>
            <w:tcW w:w="492" w:type="pct"/>
          </w:tcPr>
          <w:p w:rsidR="00946D81" w:rsidRPr="008961E6" w:rsidRDefault="00946D81" w:rsidP="0089707C">
            <w:pPr>
              <w:spacing w:line="276" w:lineRule="auto"/>
              <w:jc w:val="center"/>
              <w:rPr>
                <w:rFonts w:cs="Times New Roman"/>
              </w:rPr>
            </w:pPr>
            <w:r>
              <w:rPr>
                <w:rFonts w:cs="Times New Roman"/>
              </w:rPr>
              <w:t>30,000</w:t>
            </w:r>
            <w:r w:rsidRPr="008961E6">
              <w:rPr>
                <w:rFonts w:cs="Times New Roman"/>
              </w:rPr>
              <w:t xml:space="preserve"> </w:t>
            </w:r>
          </w:p>
        </w:tc>
        <w:tc>
          <w:tcPr>
            <w:tcW w:w="491" w:type="pct"/>
          </w:tcPr>
          <w:p w:rsidR="00946D81" w:rsidRPr="008961E6" w:rsidRDefault="00946D81" w:rsidP="00EA4F4A">
            <w:pPr>
              <w:spacing w:line="276" w:lineRule="auto"/>
              <w:jc w:val="center"/>
              <w:rPr>
                <w:rFonts w:cs="Times New Roman"/>
              </w:rPr>
            </w:pPr>
            <w:r w:rsidRPr="008961E6">
              <w:rPr>
                <w:rFonts w:cs="Times New Roman"/>
              </w:rPr>
              <w:t>8.7255</w:t>
            </w:r>
          </w:p>
        </w:tc>
        <w:tc>
          <w:tcPr>
            <w:tcW w:w="490" w:type="pct"/>
          </w:tcPr>
          <w:p w:rsidR="00946D81" w:rsidRPr="008961E6" w:rsidRDefault="00946D81" w:rsidP="00EA4F4A">
            <w:pPr>
              <w:spacing w:line="276" w:lineRule="auto"/>
              <w:jc w:val="center"/>
              <w:rPr>
                <w:rFonts w:cs="Times New Roman"/>
              </w:rPr>
            </w:pPr>
            <w:r w:rsidRPr="008961E6">
              <w:rPr>
                <w:rFonts w:cs="Times New Roman"/>
              </w:rPr>
              <w:t>8.7275</w:t>
            </w:r>
          </w:p>
        </w:tc>
        <w:tc>
          <w:tcPr>
            <w:tcW w:w="489" w:type="pct"/>
          </w:tcPr>
          <w:p w:rsidR="00946D81" w:rsidRPr="008961E6" w:rsidRDefault="00946D81" w:rsidP="006C4F84">
            <w:pPr>
              <w:spacing w:line="276" w:lineRule="auto"/>
              <w:jc w:val="center"/>
              <w:rPr>
                <w:rFonts w:cs="Times New Roman"/>
              </w:rPr>
            </w:pPr>
            <w:r w:rsidRPr="008961E6">
              <w:rPr>
                <w:rFonts w:cs="Times New Roman"/>
              </w:rPr>
              <w:t>2</w:t>
            </w:r>
            <w:r>
              <w:rPr>
                <w:rFonts w:cs="Times New Roman"/>
              </w:rPr>
              <w:t>3</w:t>
            </w:r>
            <w:r w:rsidRPr="008961E6">
              <w:rPr>
                <w:rFonts w:cs="Times New Roman"/>
              </w:rPr>
              <w:t>,</w:t>
            </w:r>
            <w:r>
              <w:rPr>
                <w:rFonts w:cs="Times New Roman"/>
              </w:rPr>
              <w:t>000</w:t>
            </w:r>
          </w:p>
        </w:tc>
      </w:tr>
      <w:tr w:rsidR="00946D81" w:rsidRPr="00494B17" w:rsidTr="00EA4F4A">
        <w:trPr>
          <w:trHeight w:val="283"/>
        </w:trPr>
        <w:tc>
          <w:tcPr>
            <w:tcW w:w="914" w:type="pct"/>
          </w:tcPr>
          <w:p w:rsidR="00946D81" w:rsidRPr="00494B17" w:rsidRDefault="00946D81" w:rsidP="00EA4F4A">
            <w:pPr>
              <w:spacing w:line="276" w:lineRule="auto"/>
              <w:jc w:val="center"/>
              <w:rPr>
                <w:rFonts w:cs="Times New Roman"/>
              </w:rPr>
            </w:pPr>
            <w:r w:rsidRPr="00494B17">
              <w:rPr>
                <w:rFonts w:cs="Times New Roman"/>
              </w:rPr>
              <w:t>Elective surgery contraindicated*</w:t>
            </w:r>
          </w:p>
        </w:tc>
        <w:tc>
          <w:tcPr>
            <w:tcW w:w="734" w:type="pct"/>
          </w:tcPr>
          <w:p w:rsidR="00946D81" w:rsidRPr="00494B17" w:rsidRDefault="00946D81" w:rsidP="00EA4F4A">
            <w:pPr>
              <w:spacing w:line="276" w:lineRule="auto"/>
              <w:jc w:val="center"/>
              <w:rPr>
                <w:rFonts w:cs="Times New Roman"/>
              </w:rPr>
            </w:pPr>
            <w:r w:rsidRPr="00494B17">
              <w:rPr>
                <w:rFonts w:cs="Times New Roman"/>
              </w:rPr>
              <w:t>-0.10</w:t>
            </w:r>
          </w:p>
        </w:tc>
        <w:tc>
          <w:tcPr>
            <w:tcW w:w="458" w:type="pct"/>
          </w:tcPr>
          <w:p w:rsidR="00946D81" w:rsidRPr="00494B17" w:rsidRDefault="00946D81" w:rsidP="00EA4F4A">
            <w:pPr>
              <w:spacing w:line="276" w:lineRule="auto"/>
              <w:jc w:val="center"/>
              <w:rPr>
                <w:rFonts w:cs="Times New Roman"/>
              </w:rPr>
            </w:pPr>
            <w:r>
              <w:rPr>
                <w:rFonts w:cs="Times New Roman"/>
              </w:rPr>
              <w:t>Lifetime</w:t>
            </w:r>
          </w:p>
        </w:tc>
        <w:tc>
          <w:tcPr>
            <w:tcW w:w="465" w:type="pct"/>
          </w:tcPr>
          <w:p w:rsidR="00946D81" w:rsidRPr="008961E6" w:rsidRDefault="00946D81" w:rsidP="00EA4F4A">
            <w:pPr>
              <w:spacing w:line="276" w:lineRule="auto"/>
              <w:jc w:val="center"/>
              <w:rPr>
                <w:rFonts w:cs="Times New Roman"/>
              </w:rPr>
            </w:pPr>
            <w:r w:rsidRPr="008961E6">
              <w:rPr>
                <w:rFonts w:cs="Times New Roman"/>
              </w:rPr>
              <w:t>10.4479</w:t>
            </w:r>
          </w:p>
        </w:tc>
        <w:tc>
          <w:tcPr>
            <w:tcW w:w="466" w:type="pct"/>
          </w:tcPr>
          <w:p w:rsidR="00946D81" w:rsidRPr="008961E6" w:rsidRDefault="00946D81" w:rsidP="00EA4F4A">
            <w:pPr>
              <w:spacing w:line="276" w:lineRule="auto"/>
              <w:jc w:val="center"/>
              <w:rPr>
                <w:rFonts w:cs="Times New Roman"/>
              </w:rPr>
            </w:pPr>
            <w:r w:rsidRPr="008961E6">
              <w:rPr>
                <w:rFonts w:cs="Times New Roman"/>
              </w:rPr>
              <w:t>10.4488</w:t>
            </w:r>
          </w:p>
        </w:tc>
        <w:tc>
          <w:tcPr>
            <w:tcW w:w="492" w:type="pct"/>
          </w:tcPr>
          <w:p w:rsidR="00946D81" w:rsidRPr="008961E6" w:rsidRDefault="00946D81" w:rsidP="00EA4F4A">
            <w:pPr>
              <w:spacing w:line="276" w:lineRule="auto"/>
              <w:jc w:val="center"/>
              <w:rPr>
                <w:rFonts w:cs="Times New Roman"/>
              </w:rPr>
            </w:pPr>
            <w:r w:rsidRPr="008961E6">
              <w:rPr>
                <w:rFonts w:cs="Times New Roman"/>
              </w:rPr>
              <w:t>3</w:t>
            </w:r>
            <w:r>
              <w:rPr>
                <w:rFonts w:cs="Times New Roman"/>
              </w:rPr>
              <w:t>5</w:t>
            </w:r>
            <w:r w:rsidRPr="008961E6">
              <w:rPr>
                <w:rFonts w:cs="Times New Roman"/>
              </w:rPr>
              <w:t>,</w:t>
            </w:r>
            <w:r>
              <w:rPr>
                <w:rFonts w:cs="Times New Roman"/>
              </w:rPr>
              <w:t>000</w:t>
            </w:r>
          </w:p>
          <w:p w:rsidR="00946D81" w:rsidRPr="008961E6" w:rsidRDefault="00946D81" w:rsidP="00EA4F4A">
            <w:pPr>
              <w:spacing w:line="276" w:lineRule="auto"/>
              <w:jc w:val="center"/>
              <w:rPr>
                <w:rFonts w:cs="Times New Roman"/>
              </w:rPr>
            </w:pPr>
          </w:p>
        </w:tc>
        <w:tc>
          <w:tcPr>
            <w:tcW w:w="491" w:type="pct"/>
          </w:tcPr>
          <w:p w:rsidR="00946D81" w:rsidRPr="008961E6" w:rsidRDefault="00946D81" w:rsidP="00EA4F4A">
            <w:pPr>
              <w:spacing w:line="276" w:lineRule="auto"/>
              <w:jc w:val="center"/>
              <w:rPr>
                <w:rFonts w:cs="Times New Roman"/>
              </w:rPr>
            </w:pPr>
            <w:r w:rsidRPr="008961E6">
              <w:rPr>
                <w:rFonts w:cs="Times New Roman"/>
              </w:rPr>
              <w:t>8.7251</w:t>
            </w:r>
          </w:p>
        </w:tc>
        <w:tc>
          <w:tcPr>
            <w:tcW w:w="490" w:type="pct"/>
          </w:tcPr>
          <w:p w:rsidR="00946D81" w:rsidRPr="008961E6" w:rsidRDefault="00946D81" w:rsidP="00EA4F4A">
            <w:pPr>
              <w:spacing w:line="276" w:lineRule="auto"/>
              <w:jc w:val="center"/>
              <w:rPr>
                <w:rFonts w:cs="Times New Roman"/>
              </w:rPr>
            </w:pPr>
            <w:r w:rsidRPr="008961E6">
              <w:rPr>
                <w:rFonts w:cs="Times New Roman"/>
              </w:rPr>
              <w:t>8.7266</w:t>
            </w:r>
          </w:p>
        </w:tc>
        <w:tc>
          <w:tcPr>
            <w:tcW w:w="489" w:type="pct"/>
          </w:tcPr>
          <w:p w:rsidR="00946D81" w:rsidRPr="008961E6" w:rsidRDefault="00946D81" w:rsidP="006C4F84">
            <w:pPr>
              <w:spacing w:line="276" w:lineRule="auto"/>
              <w:jc w:val="center"/>
              <w:rPr>
                <w:rFonts w:cs="Times New Roman"/>
              </w:rPr>
            </w:pPr>
            <w:r w:rsidRPr="008961E6">
              <w:rPr>
                <w:rFonts w:cs="Times New Roman"/>
              </w:rPr>
              <w:t>30,</w:t>
            </w:r>
            <w:r>
              <w:rPr>
                <w:rFonts w:cs="Times New Roman"/>
              </w:rPr>
              <w:t>000</w:t>
            </w:r>
          </w:p>
        </w:tc>
      </w:tr>
      <w:tr w:rsidR="00946D81" w:rsidRPr="00494B17" w:rsidTr="00EA4F4A">
        <w:trPr>
          <w:trHeight w:val="283"/>
        </w:trPr>
        <w:tc>
          <w:tcPr>
            <w:tcW w:w="914" w:type="pct"/>
          </w:tcPr>
          <w:p w:rsidR="00946D81" w:rsidRPr="00494B17" w:rsidRDefault="00946D81" w:rsidP="00EA4F4A">
            <w:pPr>
              <w:spacing w:line="276" w:lineRule="auto"/>
              <w:jc w:val="center"/>
              <w:rPr>
                <w:rFonts w:cs="Times New Roman"/>
              </w:rPr>
            </w:pPr>
            <w:r>
              <w:rPr>
                <w:rFonts w:cs="Times New Roman"/>
              </w:rPr>
              <w:t>AAA diagnosis, elective &amp; emergency surgery and contraindication</w:t>
            </w:r>
          </w:p>
        </w:tc>
        <w:tc>
          <w:tcPr>
            <w:tcW w:w="734" w:type="pct"/>
          </w:tcPr>
          <w:p w:rsidR="00946D81" w:rsidRPr="00494B17" w:rsidRDefault="00946D81" w:rsidP="00EA4F4A">
            <w:pPr>
              <w:spacing w:line="276" w:lineRule="auto"/>
              <w:jc w:val="center"/>
              <w:rPr>
                <w:rFonts w:cs="Times New Roman"/>
              </w:rPr>
            </w:pPr>
            <w:r>
              <w:rPr>
                <w:rFonts w:cs="Times New Roman"/>
              </w:rPr>
              <w:t>All of the above</w:t>
            </w:r>
          </w:p>
        </w:tc>
        <w:tc>
          <w:tcPr>
            <w:tcW w:w="458" w:type="pct"/>
          </w:tcPr>
          <w:p w:rsidR="00946D81" w:rsidRPr="00494B17" w:rsidRDefault="00946D81" w:rsidP="00EA4F4A">
            <w:pPr>
              <w:spacing w:line="276" w:lineRule="auto"/>
              <w:jc w:val="center"/>
              <w:rPr>
                <w:rFonts w:cs="Times New Roman"/>
              </w:rPr>
            </w:pPr>
            <w:r>
              <w:rPr>
                <w:rFonts w:cs="Times New Roman"/>
              </w:rPr>
              <w:t>As above</w:t>
            </w:r>
          </w:p>
        </w:tc>
        <w:tc>
          <w:tcPr>
            <w:tcW w:w="465" w:type="pct"/>
          </w:tcPr>
          <w:p w:rsidR="00946D81" w:rsidRPr="008961E6" w:rsidRDefault="00946D81" w:rsidP="00EA4F4A">
            <w:pPr>
              <w:spacing w:line="276" w:lineRule="auto"/>
              <w:jc w:val="center"/>
              <w:rPr>
                <w:rFonts w:cs="Times New Roman"/>
              </w:rPr>
            </w:pPr>
            <w:r w:rsidRPr="008961E6">
              <w:rPr>
                <w:rFonts w:cs="Times New Roman"/>
              </w:rPr>
              <w:t>10.4469</w:t>
            </w:r>
          </w:p>
        </w:tc>
        <w:tc>
          <w:tcPr>
            <w:tcW w:w="466" w:type="pct"/>
          </w:tcPr>
          <w:p w:rsidR="00946D81" w:rsidRPr="008961E6" w:rsidRDefault="00946D81" w:rsidP="00EA4F4A">
            <w:pPr>
              <w:spacing w:line="276" w:lineRule="auto"/>
              <w:jc w:val="center"/>
              <w:rPr>
                <w:rFonts w:cs="Times New Roman"/>
              </w:rPr>
            </w:pPr>
            <w:r w:rsidRPr="008961E6">
              <w:rPr>
                <w:rFonts w:cs="Times New Roman"/>
              </w:rPr>
              <w:t>10.4476</w:t>
            </w:r>
          </w:p>
        </w:tc>
        <w:tc>
          <w:tcPr>
            <w:tcW w:w="492" w:type="pct"/>
          </w:tcPr>
          <w:p w:rsidR="00946D81" w:rsidRPr="008961E6" w:rsidRDefault="00946D81" w:rsidP="00EA4F4A">
            <w:pPr>
              <w:spacing w:line="276" w:lineRule="auto"/>
              <w:jc w:val="center"/>
              <w:rPr>
                <w:rFonts w:cs="Times New Roman"/>
              </w:rPr>
            </w:pPr>
            <w:r w:rsidRPr="008961E6">
              <w:rPr>
                <w:rFonts w:cs="Times New Roman"/>
              </w:rPr>
              <w:t>5</w:t>
            </w:r>
            <w:r>
              <w:rPr>
                <w:rFonts w:cs="Times New Roman"/>
              </w:rPr>
              <w:t>2</w:t>
            </w:r>
            <w:r w:rsidRPr="008961E6">
              <w:rPr>
                <w:rFonts w:cs="Times New Roman"/>
              </w:rPr>
              <w:t>,</w:t>
            </w:r>
            <w:r>
              <w:rPr>
                <w:rFonts w:cs="Times New Roman"/>
              </w:rPr>
              <w:t>000</w:t>
            </w:r>
          </w:p>
          <w:p w:rsidR="00946D81" w:rsidRPr="008961E6" w:rsidRDefault="00946D81" w:rsidP="00EA4F4A">
            <w:pPr>
              <w:spacing w:line="276" w:lineRule="auto"/>
              <w:jc w:val="center"/>
              <w:rPr>
                <w:rFonts w:cs="Times New Roman"/>
              </w:rPr>
            </w:pPr>
          </w:p>
        </w:tc>
        <w:tc>
          <w:tcPr>
            <w:tcW w:w="491" w:type="pct"/>
          </w:tcPr>
          <w:p w:rsidR="00946D81" w:rsidRPr="008961E6" w:rsidRDefault="00946D81" w:rsidP="00EA4F4A">
            <w:pPr>
              <w:spacing w:line="276" w:lineRule="auto"/>
              <w:jc w:val="center"/>
              <w:rPr>
                <w:rFonts w:cs="Times New Roman"/>
              </w:rPr>
            </w:pPr>
            <w:r w:rsidRPr="008961E6">
              <w:rPr>
                <w:rFonts w:cs="Times New Roman"/>
              </w:rPr>
              <w:t>8.7239</w:t>
            </w:r>
          </w:p>
        </w:tc>
        <w:tc>
          <w:tcPr>
            <w:tcW w:w="490" w:type="pct"/>
          </w:tcPr>
          <w:p w:rsidR="00946D81" w:rsidRPr="008961E6" w:rsidRDefault="00946D81" w:rsidP="00EA4F4A">
            <w:pPr>
              <w:spacing w:line="276" w:lineRule="auto"/>
              <w:jc w:val="center"/>
              <w:rPr>
                <w:rFonts w:cs="Times New Roman"/>
              </w:rPr>
            </w:pPr>
            <w:r w:rsidRPr="008961E6">
              <w:rPr>
                <w:rFonts w:cs="Times New Roman"/>
              </w:rPr>
              <w:t>8.7241</w:t>
            </w:r>
          </w:p>
        </w:tc>
        <w:tc>
          <w:tcPr>
            <w:tcW w:w="489" w:type="pct"/>
          </w:tcPr>
          <w:p w:rsidR="00946D81" w:rsidRPr="008961E6" w:rsidRDefault="00946D81" w:rsidP="006C4F84">
            <w:pPr>
              <w:spacing w:line="276" w:lineRule="auto"/>
              <w:jc w:val="center"/>
              <w:rPr>
                <w:rFonts w:cs="Times New Roman"/>
              </w:rPr>
            </w:pPr>
            <w:r w:rsidRPr="008961E6">
              <w:rPr>
                <w:rFonts w:cs="Times New Roman"/>
              </w:rPr>
              <w:t>27</w:t>
            </w:r>
            <w:r>
              <w:rPr>
                <w:rFonts w:cs="Times New Roman"/>
              </w:rPr>
              <w:t>8</w:t>
            </w:r>
            <w:r w:rsidRPr="008961E6">
              <w:rPr>
                <w:rFonts w:cs="Times New Roman"/>
              </w:rPr>
              <w:t>,</w:t>
            </w:r>
            <w:r>
              <w:rPr>
                <w:rFonts w:cs="Times New Roman"/>
              </w:rPr>
              <w:t>0</w:t>
            </w:r>
            <w:r w:rsidRPr="008961E6">
              <w:rPr>
                <w:rFonts w:cs="Times New Roman"/>
              </w:rPr>
              <w:t>0</w:t>
            </w:r>
            <w:r>
              <w:rPr>
                <w:rFonts w:cs="Times New Roman"/>
              </w:rPr>
              <w:t>0</w:t>
            </w:r>
          </w:p>
        </w:tc>
      </w:tr>
    </w:tbl>
    <w:p w:rsidR="00946D81" w:rsidRDefault="00946D81" w:rsidP="00DD1700">
      <w:pPr>
        <w:rPr>
          <w:rFonts w:ascii="Times New Roman" w:hAnsi="Times New Roman" w:cs="Times New Roman"/>
        </w:rPr>
      </w:pPr>
      <w:r>
        <w:rPr>
          <w:rFonts w:ascii="Times New Roman" w:hAnsi="Times New Roman" w:cs="Times New Roman"/>
        </w:rPr>
        <w:t>QoL – Quality of life,</w:t>
      </w:r>
      <w:r w:rsidRPr="00D01571">
        <w:rPr>
          <w:rFonts w:ascii="Times New Roman" w:hAnsi="Times New Roman" w:cs="Times New Roman"/>
        </w:rPr>
        <w:t xml:space="preserve"> </w:t>
      </w:r>
      <w:r w:rsidRPr="004577E5">
        <w:rPr>
          <w:rFonts w:ascii="Times New Roman" w:hAnsi="Times New Roman" w:cs="Times New Roman"/>
        </w:rPr>
        <w:t>QALY – Quality adjusted life-year, ICER – Incremental cost-effectiveness ratio</w:t>
      </w:r>
      <w:r>
        <w:rPr>
          <w:rFonts w:ascii="Times New Roman" w:hAnsi="Times New Roman" w:cs="Times New Roman"/>
        </w:rPr>
        <w:t xml:space="preserve"> (£ per QALY)</w:t>
      </w:r>
    </w:p>
    <w:p w:rsidR="00946D81" w:rsidRDefault="00946D81" w:rsidP="00DD1700">
      <w:pPr>
        <w:rPr>
          <w:rFonts w:ascii="Times New Roman" w:hAnsi="Times New Roman" w:cs="Times New Roman"/>
        </w:rPr>
      </w:pPr>
      <w:r>
        <w:rPr>
          <w:rFonts w:ascii="Times New Roman" w:hAnsi="Times New Roman" w:cs="Times New Roman"/>
        </w:rPr>
        <w:t xml:space="preserve">† Investigating reduction in EQ-5D of 0.01 from diagnosis to end of surveillance. </w:t>
      </w:r>
    </w:p>
    <w:p w:rsidR="00946D81" w:rsidRDefault="00946D81" w:rsidP="00DD1700">
      <w:pPr>
        <w:rPr>
          <w:rFonts w:ascii="Times New Roman" w:hAnsi="Times New Roman" w:cs="Times New Roman"/>
        </w:rPr>
      </w:pPr>
      <w:r>
        <w:rPr>
          <w:rFonts w:ascii="Times New Roman" w:hAnsi="Times New Roman" w:cs="Times New Roman"/>
        </w:rPr>
        <w:t>‡ Evidence from EVAR-1 randomised controlled trial showed a 3% reduction in QoL for EVAR and a 9% reduction for open repair from 0-3 months post-surgery</w:t>
      </w:r>
      <w:r w:rsidRPr="00E8037A">
        <w:rPr>
          <w:rFonts w:ascii="Times New Roman" w:hAnsi="Times New Roman" w:cs="Times New Roman"/>
          <w:noProof/>
          <w:vertAlign w:val="superscript"/>
        </w:rPr>
        <w:t>17</w:t>
      </w:r>
      <w:r>
        <w:rPr>
          <w:rFonts w:ascii="Times New Roman" w:hAnsi="Times New Roman" w:cs="Times New Roman"/>
        </w:rPr>
        <w:t>. Hence, we investigate a reduction of EQ-5D of 0.02 in those undergoing EVAR and 0.07 in those undergoing open repair.</w:t>
      </w:r>
    </w:p>
    <w:p w:rsidR="00946D81" w:rsidRDefault="00946D81" w:rsidP="00DD1700">
      <w:pPr>
        <w:rPr>
          <w:rFonts w:ascii="Times New Roman" w:hAnsi="Times New Roman" w:cs="Times New Roman"/>
        </w:rPr>
      </w:pPr>
      <w:r>
        <w:rPr>
          <w:rFonts w:ascii="Times New Roman" w:hAnsi="Times New Roman" w:cs="Times New Roman"/>
        </w:rPr>
        <w:t>¥ Evidence from IMPROVE trial showed EQ-5D of 0.76 (EVAR) and 0.66 (open repair) at 3 months, 0.78 (EVAR) and 0.71 (open repair) at 12 months and 0.74 (EVAR) and 0.73 (open repair) at 36 months post-surgery</w:t>
      </w:r>
      <w:r w:rsidRPr="00E8037A">
        <w:rPr>
          <w:rFonts w:ascii="Times New Roman" w:hAnsi="Times New Roman" w:cs="Times New Roman"/>
          <w:noProof/>
          <w:vertAlign w:val="superscript"/>
        </w:rPr>
        <w:t>18</w:t>
      </w:r>
      <w:r>
        <w:rPr>
          <w:rFonts w:ascii="Times New Roman" w:hAnsi="Times New Roman" w:cs="Times New Roman"/>
        </w:rPr>
        <w:t xml:space="preserve">. Assuming EQ-5D of zero at operation, a return to usual quality of life by 12 months for EVAR and 36 months for open repair, we investigate an average reduction in utility of 0.04 and 0.10 for EVAR and open repair, respectively over 3 years. </w:t>
      </w:r>
    </w:p>
    <w:p w:rsidR="00946D81" w:rsidRDefault="00946D81">
      <w:pPr>
        <w:rPr>
          <w:rFonts w:eastAsiaTheme="minorEastAsia" w:cstheme="minorHAnsi"/>
          <w:b/>
          <w:bCs/>
          <w:color w:val="000000" w:themeColor="text1"/>
          <w:lang w:eastAsia="en-GB"/>
        </w:rPr>
      </w:pPr>
      <w:r w:rsidRPr="00DD1700">
        <w:rPr>
          <w:rFonts w:ascii="Times New Roman" w:hAnsi="Times New Roman" w:cs="Times New Roman"/>
        </w:rPr>
        <w:t xml:space="preserve">* </w:t>
      </w:r>
      <w:r>
        <w:rPr>
          <w:rFonts w:ascii="Times New Roman" w:hAnsi="Times New Roman" w:cs="Times New Roman"/>
        </w:rPr>
        <w:t>Investigating reduction in EQ-5D of 0.10 for remaining life from non-intervention for surgery. Reduced l</w:t>
      </w:r>
      <w:r w:rsidRPr="0089707C">
        <w:rPr>
          <w:rFonts w:ascii="Times New Roman" w:hAnsi="Times New Roman" w:cs="Times New Roman"/>
        </w:rPr>
        <w:t xml:space="preserve">ife-years in those contraindicated </w:t>
      </w:r>
      <w:r>
        <w:rPr>
          <w:rFonts w:ascii="Times New Roman" w:hAnsi="Times New Roman" w:cs="Times New Roman"/>
        </w:rPr>
        <w:t>not accounted for in the model, l</w:t>
      </w:r>
      <w:r w:rsidRPr="0089707C">
        <w:rPr>
          <w:rFonts w:ascii="Times New Roman" w:hAnsi="Times New Roman" w:cs="Times New Roman"/>
        </w:rPr>
        <w:t xml:space="preserve">ikely resulting in too severe </w:t>
      </w:r>
      <w:r>
        <w:rPr>
          <w:rFonts w:ascii="Times New Roman" w:hAnsi="Times New Roman" w:cs="Times New Roman"/>
        </w:rPr>
        <w:t xml:space="preserve">a </w:t>
      </w:r>
      <w:r w:rsidRPr="0089707C">
        <w:rPr>
          <w:rFonts w:ascii="Times New Roman" w:hAnsi="Times New Roman" w:cs="Times New Roman"/>
        </w:rPr>
        <w:t>reduction in mean QALYs</w:t>
      </w:r>
      <w:r>
        <w:rPr>
          <w:rFonts w:ascii="Times New Roman" w:hAnsi="Times New Roman" w:cs="Times New Roman"/>
        </w:rPr>
        <w:t>.</w:t>
      </w:r>
      <w:r>
        <w:rPr>
          <w:rFonts w:cstheme="minorHAnsi"/>
          <w:color w:val="000000" w:themeColor="text1"/>
        </w:rPr>
        <w:br w:type="page"/>
      </w:r>
    </w:p>
    <w:p w:rsidR="00946D81" w:rsidRDefault="00946D81" w:rsidP="00DC264B">
      <w:pPr>
        <w:pStyle w:val="Caption"/>
        <w:rPr>
          <w:rFonts w:asciiTheme="minorHAnsi" w:hAnsiTheme="minorHAnsi" w:cstheme="minorHAnsi"/>
          <w:color w:val="000000" w:themeColor="text1"/>
          <w:sz w:val="22"/>
          <w:szCs w:val="22"/>
        </w:rPr>
        <w:sectPr w:rsidR="00946D81" w:rsidSect="00423A1B">
          <w:pgSz w:w="16838" w:h="11906" w:orient="landscape"/>
          <w:pgMar w:top="1440" w:right="1440" w:bottom="1440" w:left="1440" w:header="709" w:footer="709" w:gutter="0"/>
          <w:lnNumType w:countBy="1" w:restart="continuous"/>
          <w:cols w:space="708"/>
          <w:docGrid w:linePitch="360"/>
        </w:sectPr>
      </w:pPr>
    </w:p>
    <w:p w:rsidR="00946D81" w:rsidRPr="00D243F9" w:rsidRDefault="00946D81" w:rsidP="00D243F9">
      <w:pPr>
        <w:pStyle w:val="Heading2"/>
        <w:rPr>
          <w:rFonts w:asciiTheme="minorHAnsi" w:hAnsiTheme="minorHAnsi" w:cstheme="minorHAnsi"/>
          <w:color w:val="000000" w:themeColor="text1"/>
          <w:sz w:val="22"/>
          <w:szCs w:val="22"/>
        </w:rPr>
      </w:pPr>
      <w:bookmarkStart w:id="66" w:name="_Toc504637745"/>
      <w:bookmarkStart w:id="67" w:name="_Toc504637935"/>
      <w:bookmarkStart w:id="68" w:name="_Toc506974553"/>
      <w:bookmarkStart w:id="69" w:name="_Toc513707573"/>
      <w:bookmarkEnd w:id="60"/>
      <w:bookmarkEnd w:id="61"/>
      <w:bookmarkEnd w:id="62"/>
      <w:bookmarkEnd w:id="63"/>
      <w:bookmarkEnd w:id="64"/>
      <w:bookmarkEnd w:id="65"/>
      <w:r w:rsidRPr="00D243F9">
        <w:rPr>
          <w:rFonts w:asciiTheme="minorHAnsi" w:hAnsiTheme="minorHAnsi" w:cstheme="minorHAnsi"/>
          <w:color w:val="000000" w:themeColor="text1"/>
          <w:sz w:val="22"/>
          <w:szCs w:val="22"/>
        </w:rPr>
        <w:t>References</w:t>
      </w:r>
      <w:bookmarkEnd w:id="66"/>
      <w:bookmarkEnd w:id="67"/>
      <w:bookmarkEnd w:id="68"/>
      <w:bookmarkEnd w:id="69"/>
    </w:p>
    <w:p w:rsidR="00946D81" w:rsidRPr="00F53FEE" w:rsidRDefault="00946D81" w:rsidP="00F53FEE">
      <w:pPr>
        <w:pStyle w:val="EndNoteBibliography"/>
        <w:spacing w:after="0"/>
      </w:pPr>
      <w:r w:rsidRPr="00F53FEE">
        <w:t>1.</w:t>
      </w:r>
      <w:r w:rsidRPr="00F53FEE">
        <w:tab/>
        <w:t xml:space="preserve">Jacomelli J, Summers L, Stevenson A, Lees T, Earnshaw JJ. Impact of the first 5 years of a national abdominal aortic aneurysm screening programme. </w:t>
      </w:r>
      <w:r w:rsidRPr="00F53FEE">
        <w:rPr>
          <w:i/>
        </w:rPr>
        <w:t>Br J Surg</w:t>
      </w:r>
      <w:r w:rsidRPr="00F53FEE">
        <w:t xml:space="preserve"> 2016; </w:t>
      </w:r>
      <w:r w:rsidRPr="00F53FEE">
        <w:rPr>
          <w:b/>
        </w:rPr>
        <w:t>103</w:t>
      </w:r>
      <w:r w:rsidRPr="00F53FEE">
        <w:t>(9): 1125-31.</w:t>
      </w:r>
    </w:p>
    <w:p w:rsidR="00946D81" w:rsidRPr="00F53FEE" w:rsidRDefault="00946D81" w:rsidP="00F53FEE">
      <w:pPr>
        <w:pStyle w:val="EndNoteBibliography"/>
        <w:spacing w:after="0"/>
      </w:pPr>
      <w:r w:rsidRPr="00F53FEE">
        <w:t>2.</w:t>
      </w:r>
      <w:r w:rsidRPr="00F53FEE">
        <w:tab/>
        <w:t xml:space="preserve">Svensjö S, Björck M, Wanhainen A. Current prevalence of abdominal aortic aneurysm in 70‐year‐old women. </w:t>
      </w:r>
      <w:r w:rsidRPr="00F53FEE">
        <w:rPr>
          <w:i/>
        </w:rPr>
        <w:t>British Journal of Surgery</w:t>
      </w:r>
      <w:r w:rsidRPr="00F53FEE">
        <w:t xml:space="preserve"> 2013; </w:t>
      </w:r>
      <w:r w:rsidRPr="00F53FEE">
        <w:rPr>
          <w:b/>
        </w:rPr>
        <w:t>100</w:t>
      </w:r>
      <w:r w:rsidRPr="00F53FEE">
        <w:t>(3): 367-72.</w:t>
      </w:r>
    </w:p>
    <w:p w:rsidR="00946D81" w:rsidRPr="00F53FEE" w:rsidRDefault="00946D81" w:rsidP="00F53FEE">
      <w:pPr>
        <w:pStyle w:val="EndNoteBibliography"/>
        <w:spacing w:after="0"/>
      </w:pPr>
      <w:r w:rsidRPr="00F53FEE">
        <w:t>3.</w:t>
      </w:r>
      <w:r w:rsidRPr="00F53FEE">
        <w:tab/>
        <w:t xml:space="preserve">Ulug P, Powell J, Sweeting M, Bown M, Thompson S. Meta‐analysis of the current prevalence of screen‐detected abdominal aortic aneurysm in women. </w:t>
      </w:r>
      <w:r w:rsidRPr="00F53FEE">
        <w:rPr>
          <w:i/>
        </w:rPr>
        <w:t>British Journal of Surgery</w:t>
      </w:r>
      <w:r w:rsidRPr="00F53FEE">
        <w:t xml:space="preserve"> 2016; </w:t>
      </w:r>
      <w:r w:rsidRPr="00F53FEE">
        <w:rPr>
          <w:b/>
        </w:rPr>
        <w:t>103</w:t>
      </w:r>
      <w:r w:rsidRPr="00F53FEE">
        <w:t>(9): 1097-104.</w:t>
      </w:r>
    </w:p>
    <w:p w:rsidR="00946D81" w:rsidRPr="00F53FEE" w:rsidRDefault="00946D81" w:rsidP="00F53FEE">
      <w:pPr>
        <w:pStyle w:val="EndNoteBibliography"/>
        <w:spacing w:after="0"/>
      </w:pPr>
      <w:r w:rsidRPr="00F53FEE">
        <w:t>4.</w:t>
      </w:r>
      <w:r w:rsidRPr="00F53FEE">
        <w:tab/>
        <w:t xml:space="preserve">Kent KC. Clinical practice. Abdominal aortic aneurysms. </w:t>
      </w:r>
      <w:r w:rsidRPr="00F53FEE">
        <w:rPr>
          <w:i/>
        </w:rPr>
        <w:t>N Engl J Med</w:t>
      </w:r>
      <w:r w:rsidRPr="00F53FEE">
        <w:t xml:space="preserve"> 2014; </w:t>
      </w:r>
      <w:r w:rsidRPr="00F53FEE">
        <w:rPr>
          <w:b/>
        </w:rPr>
        <w:t>371</w:t>
      </w:r>
      <w:r w:rsidRPr="00F53FEE">
        <w:t>(22): 2101-8.</w:t>
      </w:r>
    </w:p>
    <w:p w:rsidR="00946D81" w:rsidRPr="00F53FEE" w:rsidRDefault="00946D81" w:rsidP="00F53FEE">
      <w:pPr>
        <w:pStyle w:val="EndNoteBibliography"/>
        <w:spacing w:after="0"/>
      </w:pPr>
      <w:r w:rsidRPr="00F53FEE">
        <w:t>5.</w:t>
      </w:r>
      <w:r w:rsidRPr="00F53FEE">
        <w:tab/>
        <w:t xml:space="preserve">Thompson SG, Brown LC, Sweeting MJ, et al. Systematic review and meta-analysis of the growth and rupture rates of small abdominal aortic aneurysms: implications for surveillance intervals and their cost-effectiveness. </w:t>
      </w:r>
      <w:r w:rsidRPr="00F53FEE">
        <w:rPr>
          <w:i/>
        </w:rPr>
        <w:t>Health technology assessment (Winchester, England)</w:t>
      </w:r>
      <w:r w:rsidRPr="00F53FEE">
        <w:t xml:space="preserve"> 2013; </w:t>
      </w:r>
      <w:r w:rsidRPr="00F53FEE">
        <w:rPr>
          <w:b/>
        </w:rPr>
        <w:t>17</w:t>
      </w:r>
      <w:r w:rsidRPr="00F53FEE">
        <w:t>(41): 1-118.</w:t>
      </w:r>
    </w:p>
    <w:p w:rsidR="00946D81" w:rsidRPr="00F53FEE" w:rsidRDefault="00946D81" w:rsidP="00F53FEE">
      <w:pPr>
        <w:pStyle w:val="EndNoteBibliography"/>
        <w:spacing w:after="0"/>
      </w:pPr>
      <w:r w:rsidRPr="00F53FEE">
        <w:t>6.</w:t>
      </w:r>
      <w:r w:rsidRPr="00F53FEE">
        <w:tab/>
        <w:t xml:space="preserve">Darwood R, Earnshaw JJ, Turton G, et al. Twenty-year review of abdominal aortic aneurysm screening in men in the county of Gloucestershire, United Kingdom. </w:t>
      </w:r>
      <w:r w:rsidRPr="00F53FEE">
        <w:rPr>
          <w:i/>
        </w:rPr>
        <w:t>J Vasc Surg</w:t>
      </w:r>
      <w:r w:rsidRPr="00F53FEE">
        <w:t xml:space="preserve"> 2012; </w:t>
      </w:r>
      <w:r w:rsidRPr="00F53FEE">
        <w:rPr>
          <w:b/>
        </w:rPr>
        <w:t>56</w:t>
      </w:r>
      <w:r w:rsidRPr="00F53FEE">
        <w:t>(1): 8-13.</w:t>
      </w:r>
    </w:p>
    <w:p w:rsidR="00946D81" w:rsidRPr="00F53FEE" w:rsidRDefault="00946D81" w:rsidP="00F53FEE">
      <w:pPr>
        <w:pStyle w:val="EndNoteBibliography"/>
        <w:spacing w:after="0"/>
      </w:pPr>
      <w:r w:rsidRPr="00F53FEE">
        <w:t>7.</w:t>
      </w:r>
      <w:r w:rsidRPr="00F53FEE">
        <w:tab/>
        <w:t xml:space="preserve">Glover MJ, Jones E, Masconi KL, Sweeting MJ, Thompson SG, collaborators S. Discrete event simulation for decision making in health care: lessons from abdominal aortic aneurysm screening. </w:t>
      </w:r>
      <w:r w:rsidRPr="00F53FEE">
        <w:rPr>
          <w:i/>
        </w:rPr>
        <w:t>Med Decis Making</w:t>
      </w:r>
      <w:r w:rsidRPr="00F53FEE">
        <w:t xml:space="preserve"> 2018; </w:t>
      </w:r>
      <w:r w:rsidRPr="00F53FEE">
        <w:rPr>
          <w:b/>
        </w:rPr>
        <w:t>38</w:t>
      </w:r>
      <w:r w:rsidRPr="00F53FEE">
        <w:t>(4): 439-51.</w:t>
      </w:r>
    </w:p>
    <w:p w:rsidR="00946D81" w:rsidRPr="00F53FEE" w:rsidRDefault="00946D81" w:rsidP="00F53FEE">
      <w:pPr>
        <w:pStyle w:val="EndNoteBibliography"/>
        <w:spacing w:after="0"/>
      </w:pPr>
      <w:r w:rsidRPr="00F53FEE">
        <w:t>8.</w:t>
      </w:r>
      <w:r w:rsidRPr="00F53FEE">
        <w:tab/>
        <w:t>Vascular Services Quality Improvement Programme. NVR annual report, 2015.</w:t>
      </w:r>
    </w:p>
    <w:p w:rsidR="00946D81" w:rsidRPr="00F53FEE" w:rsidRDefault="00946D81" w:rsidP="00F53FEE">
      <w:pPr>
        <w:pStyle w:val="EndNoteBibliography"/>
        <w:spacing w:after="0"/>
      </w:pPr>
      <w:r w:rsidRPr="00F53FEE">
        <w:t>9.</w:t>
      </w:r>
      <w:r w:rsidRPr="00F53FEE">
        <w:tab/>
        <w:t>NHS Digital. Hospital Episode Statistics. 2016.</w:t>
      </w:r>
    </w:p>
    <w:p w:rsidR="00946D81" w:rsidRPr="00F53FEE" w:rsidRDefault="00946D81" w:rsidP="00F53FEE">
      <w:pPr>
        <w:pStyle w:val="EndNoteBibliography"/>
        <w:spacing w:after="0"/>
      </w:pPr>
      <w:r w:rsidRPr="00F53FEE">
        <w:t>10.</w:t>
      </w:r>
      <w:r w:rsidRPr="00F53FEE">
        <w:tab/>
        <w:t xml:space="preserve">Sidloff DA, Saratzis A, Sweeting MJ, et al. Sex differences in mortality after abdominal aortic aneurysm repair in the UK. </w:t>
      </w:r>
      <w:r w:rsidRPr="00F53FEE">
        <w:rPr>
          <w:i/>
        </w:rPr>
        <w:t>Br J Surg</w:t>
      </w:r>
      <w:r w:rsidRPr="00F53FEE">
        <w:t xml:space="preserve"> 2017; </w:t>
      </w:r>
      <w:r w:rsidRPr="00F53FEE">
        <w:rPr>
          <w:b/>
        </w:rPr>
        <w:t>104</w:t>
      </w:r>
      <w:r w:rsidRPr="00F53FEE">
        <w:t>(12): 1656-64.</w:t>
      </w:r>
    </w:p>
    <w:p w:rsidR="00946D81" w:rsidRPr="00F53FEE" w:rsidRDefault="00946D81" w:rsidP="00F53FEE">
      <w:pPr>
        <w:pStyle w:val="EndNoteBibliography"/>
        <w:spacing w:after="0"/>
      </w:pPr>
      <w:r w:rsidRPr="00F53FEE">
        <w:t>11.</w:t>
      </w:r>
      <w:r w:rsidRPr="00F53FEE">
        <w:tab/>
        <w:t xml:space="preserve">Ulug P, Sweeting MJ, von Allmen RS, Thompson SG, Powell JT, SWAN Collaborators. Morphological suitability for endovascular repair, non-intervention rates, and operative mortality in women and men assessed for intact abdominal aortic aneurysm repair: systematic reviews with meta-analysis. </w:t>
      </w:r>
      <w:r w:rsidRPr="00F53FEE">
        <w:rPr>
          <w:i/>
        </w:rPr>
        <w:t>The Lancet</w:t>
      </w:r>
      <w:r w:rsidRPr="00F53FEE">
        <w:t xml:space="preserve"> 2017; </w:t>
      </w:r>
      <w:r w:rsidRPr="00F53FEE">
        <w:rPr>
          <w:b/>
        </w:rPr>
        <w:t>389</w:t>
      </w:r>
      <w:r w:rsidRPr="00F53FEE">
        <w:t>(10088): 2482-91.</w:t>
      </w:r>
    </w:p>
    <w:p w:rsidR="00946D81" w:rsidRPr="00F53FEE" w:rsidRDefault="00946D81" w:rsidP="00F53FEE">
      <w:pPr>
        <w:pStyle w:val="EndNoteBibliography"/>
        <w:spacing w:after="0"/>
      </w:pPr>
      <w:r w:rsidRPr="00F53FEE">
        <w:t>12.</w:t>
      </w:r>
      <w:r w:rsidRPr="00F53FEE">
        <w:tab/>
        <w:t xml:space="preserve">Khashram M, Jones G, Roake J. Prevalence of abdominal aortic aneurysm (AAA) in a population undergoing computed tomography colonography in Canterbury, New Zealand. </w:t>
      </w:r>
      <w:r w:rsidRPr="00F53FEE">
        <w:rPr>
          <w:i/>
        </w:rPr>
        <w:t>European Journal of Vascular and Endovascular Surgery</w:t>
      </w:r>
      <w:r w:rsidRPr="00F53FEE">
        <w:t xml:space="preserve"> 2015; </w:t>
      </w:r>
      <w:r w:rsidRPr="00F53FEE">
        <w:rPr>
          <w:b/>
        </w:rPr>
        <w:t>50</w:t>
      </w:r>
      <w:r w:rsidRPr="00F53FEE">
        <w:t>(2): 199-205.</w:t>
      </w:r>
    </w:p>
    <w:p w:rsidR="00946D81" w:rsidRPr="00F53FEE" w:rsidRDefault="00946D81" w:rsidP="00F53FEE">
      <w:pPr>
        <w:pStyle w:val="EndNoteBibliography"/>
        <w:spacing w:after="0"/>
      </w:pPr>
      <w:r w:rsidRPr="00F53FEE">
        <w:t>13.</w:t>
      </w:r>
      <w:r w:rsidRPr="00F53FEE">
        <w:tab/>
        <w:t xml:space="preserve">Glover M, Kim L, Sweeting M, Thompson S, Buxton M. Cost‐effectiveness of the National Health Service abdominal aortic aneurysm screening programme in England. </w:t>
      </w:r>
      <w:r w:rsidRPr="00F53FEE">
        <w:rPr>
          <w:i/>
        </w:rPr>
        <w:t>British Journal of Surgery</w:t>
      </w:r>
      <w:r w:rsidRPr="00F53FEE">
        <w:t xml:space="preserve"> 2014; </w:t>
      </w:r>
      <w:r w:rsidRPr="00F53FEE">
        <w:rPr>
          <w:b/>
        </w:rPr>
        <w:t>101</w:t>
      </w:r>
      <w:r w:rsidRPr="00F53FEE">
        <w:t>(8): 976-82.</w:t>
      </w:r>
    </w:p>
    <w:p w:rsidR="00946D81" w:rsidRPr="00F53FEE" w:rsidRDefault="00946D81" w:rsidP="00F53FEE">
      <w:pPr>
        <w:pStyle w:val="EndNoteBibliography"/>
        <w:spacing w:after="0"/>
      </w:pPr>
      <w:r w:rsidRPr="00F53FEE">
        <w:t>14.</w:t>
      </w:r>
      <w:r w:rsidRPr="00F53FEE">
        <w:tab/>
        <w:t>Her Majesty’s Treasury. The green book: appraisal and evaluation in central government. London TSO; 2003.</w:t>
      </w:r>
    </w:p>
    <w:p w:rsidR="00946D81" w:rsidRPr="00F53FEE" w:rsidRDefault="00946D81" w:rsidP="00F53FEE">
      <w:pPr>
        <w:pStyle w:val="EndNoteBibliography"/>
        <w:spacing w:after="0"/>
      </w:pPr>
      <w:r w:rsidRPr="00F53FEE">
        <w:t>15.</w:t>
      </w:r>
      <w:r w:rsidRPr="00F53FEE">
        <w:tab/>
        <w:t xml:space="preserve">Scott R, Bridgewater S, Ashton H. Randomized clinical trial of screening for abdominal aortic aneurysm in women. </w:t>
      </w:r>
      <w:r w:rsidRPr="00F53FEE">
        <w:rPr>
          <w:i/>
        </w:rPr>
        <w:t>British Journal of Surgery</w:t>
      </w:r>
      <w:r w:rsidRPr="00F53FEE">
        <w:t xml:space="preserve"> 2002; </w:t>
      </w:r>
      <w:r w:rsidRPr="00F53FEE">
        <w:rPr>
          <w:b/>
        </w:rPr>
        <w:t>89</w:t>
      </w:r>
      <w:r w:rsidRPr="00F53FEE">
        <w:t>(3): 283-5.</w:t>
      </w:r>
    </w:p>
    <w:p w:rsidR="00946D81" w:rsidRPr="00F53FEE" w:rsidRDefault="00946D81" w:rsidP="00F53FEE">
      <w:pPr>
        <w:pStyle w:val="EndNoteBibliography"/>
        <w:spacing w:after="0"/>
      </w:pPr>
      <w:r w:rsidRPr="00F53FEE">
        <w:t>16.</w:t>
      </w:r>
      <w:r w:rsidRPr="00F53FEE">
        <w:tab/>
        <w:t xml:space="preserve">Singh K, Jacobsen BK, Solberg S, et al. Intra- and interobserver variability in the measurements of abdominal aortic and common iliac artery diameter with computed tomography. The Tromso study. </w:t>
      </w:r>
      <w:r w:rsidRPr="00F53FEE">
        <w:rPr>
          <w:i/>
        </w:rPr>
        <w:t>Eur J Vasc Endovasc Surg</w:t>
      </w:r>
      <w:r w:rsidRPr="00F53FEE">
        <w:t xml:space="preserve"> 2003; </w:t>
      </w:r>
      <w:r w:rsidRPr="00F53FEE">
        <w:rPr>
          <w:b/>
        </w:rPr>
        <w:t>25</w:t>
      </w:r>
      <w:r w:rsidRPr="00F53FEE">
        <w:t>(5): 399-407.</w:t>
      </w:r>
    </w:p>
    <w:p w:rsidR="00946D81" w:rsidRPr="00F53FEE" w:rsidRDefault="00946D81" w:rsidP="00F53FEE">
      <w:pPr>
        <w:pStyle w:val="EndNoteBibliography"/>
        <w:spacing w:after="0"/>
      </w:pPr>
      <w:r w:rsidRPr="00F53FEE">
        <w:t>17.</w:t>
      </w:r>
      <w:r w:rsidRPr="00F53FEE">
        <w:tab/>
        <w:t xml:space="preserve">Patel R, Sweeting MJ, Powell JT, Greenhalgh RM, investigators Et. Endovascular versus open repair of abdominal aortic aneurysm in 15-years' follow-up of the UK endovascular aneurysm repair trial 1 (EVAR trial 1): a randomised controlled trial. </w:t>
      </w:r>
      <w:r w:rsidRPr="00F53FEE">
        <w:rPr>
          <w:i/>
        </w:rPr>
        <w:t>Lancet</w:t>
      </w:r>
      <w:r w:rsidRPr="00F53FEE">
        <w:t xml:space="preserve"> 2016; </w:t>
      </w:r>
      <w:r w:rsidRPr="00F53FEE">
        <w:rPr>
          <w:b/>
        </w:rPr>
        <w:t>388</w:t>
      </w:r>
      <w:r w:rsidRPr="00F53FEE">
        <w:t>(10058): 2366-74.</w:t>
      </w:r>
    </w:p>
    <w:p w:rsidR="00946D81" w:rsidRPr="00F53FEE" w:rsidRDefault="00946D81" w:rsidP="00F53FEE">
      <w:pPr>
        <w:pStyle w:val="EndNoteBibliography"/>
        <w:spacing w:after="0"/>
      </w:pPr>
      <w:r w:rsidRPr="00F53FEE">
        <w:t>18.</w:t>
      </w:r>
      <w:r w:rsidRPr="00F53FEE">
        <w:tab/>
        <w:t xml:space="preserve">IMPROVE Trial Investigators. Comparative clinical effectiveness and cost effectiveness of endovascular strategy v open repair for ruptured abdominal aortic aneurysm: three year results of the IMPROVE randomised trial. </w:t>
      </w:r>
      <w:r w:rsidRPr="00F53FEE">
        <w:rPr>
          <w:i/>
        </w:rPr>
        <w:t>BMJ</w:t>
      </w:r>
      <w:r w:rsidRPr="00F53FEE">
        <w:t xml:space="preserve"> 2017; </w:t>
      </w:r>
      <w:r w:rsidRPr="00F53FEE">
        <w:rPr>
          <w:b/>
        </w:rPr>
        <w:t>359</w:t>
      </w:r>
      <w:r w:rsidRPr="00F53FEE">
        <w:t>: j4859.</w:t>
      </w:r>
    </w:p>
    <w:p w:rsidR="00946D81" w:rsidRPr="00F53FEE" w:rsidRDefault="00946D81" w:rsidP="00F53FEE">
      <w:pPr>
        <w:pStyle w:val="EndNoteBibliography"/>
        <w:spacing w:after="0"/>
      </w:pPr>
      <w:r w:rsidRPr="00F53FEE">
        <w:t>19.</w:t>
      </w:r>
      <w:r w:rsidRPr="00F53FEE">
        <w:tab/>
        <w:t xml:space="preserve">Thompson SG, Ashton HA, Gao L, Buxton MJ, Scott RA, Multicentre Aneurysm Screening Study Group. Final follow-up of the Multicentre Aneurysm Screening Study (MASS) randomized trial of abdominal aortic aneurysm screening. </w:t>
      </w:r>
      <w:r w:rsidRPr="00F53FEE">
        <w:rPr>
          <w:i/>
        </w:rPr>
        <w:t>Br J Surg</w:t>
      </w:r>
      <w:r w:rsidRPr="00F53FEE">
        <w:t xml:space="preserve"> 2012; </w:t>
      </w:r>
      <w:r w:rsidRPr="00F53FEE">
        <w:rPr>
          <w:b/>
        </w:rPr>
        <w:t>99</w:t>
      </w:r>
      <w:r w:rsidRPr="00F53FEE">
        <w:t>(12): 1649-56.</w:t>
      </w:r>
    </w:p>
    <w:p w:rsidR="00F97CC8" w:rsidRPr="00946D81" w:rsidRDefault="00946D81" w:rsidP="00946D81">
      <w:pPr>
        <w:pStyle w:val="EndNoteBibliography"/>
        <w:rPr>
          <w:b/>
        </w:rPr>
      </w:pPr>
      <w:r w:rsidRPr="00F53FEE">
        <w:t>20.</w:t>
      </w:r>
      <w:r w:rsidRPr="00F53FEE">
        <w:tab/>
        <w:t xml:space="preserve">Ashton H, Buxton M, Day N, Kim L, Marteau T, Scott R. The Multicentre Aneurysm Screening Study (MASS) into the effect of abdominal aortic aneurysm screening on mortality in men: a randomised controlled trial. </w:t>
      </w:r>
      <w:r w:rsidRPr="00F53FEE">
        <w:rPr>
          <w:i/>
        </w:rPr>
        <w:t>The Lancet</w:t>
      </w:r>
      <w:r w:rsidRPr="00F53FEE">
        <w:t xml:space="preserve"> 2002; </w:t>
      </w:r>
      <w:r w:rsidRPr="00F53FEE">
        <w:rPr>
          <w:b/>
        </w:rPr>
        <w:t>360</w:t>
      </w:r>
      <w:r w:rsidRPr="00F53FEE">
        <w:t>(9345): 1531-9.</w:t>
      </w:r>
    </w:p>
    <w:sectPr w:rsidR="00F97CC8" w:rsidRPr="00946D81" w:rsidSect="00423A1B">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744" w:rsidRDefault="00DF0744">
      <w:pPr>
        <w:spacing w:after="0" w:line="240" w:lineRule="auto"/>
      </w:pPr>
      <w:r>
        <w:separator/>
      </w:r>
    </w:p>
  </w:endnote>
  <w:endnote w:type="continuationSeparator" w:id="0">
    <w:p w:rsidR="00DF0744" w:rsidRDefault="00DF0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MS P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089764"/>
      <w:docPartObj>
        <w:docPartGallery w:val="Page Numbers (Bottom of Page)"/>
        <w:docPartUnique/>
      </w:docPartObj>
    </w:sdtPr>
    <w:sdtEndPr>
      <w:rPr>
        <w:noProof/>
      </w:rPr>
    </w:sdtEndPr>
    <w:sdtContent>
      <w:p w:rsidR="00B70EB9" w:rsidRDefault="00946D81">
        <w:pPr>
          <w:pStyle w:val="Footer"/>
          <w:jc w:val="right"/>
        </w:pPr>
        <w:r>
          <w:fldChar w:fldCharType="begin"/>
        </w:r>
        <w:r>
          <w:instrText xml:space="preserve"> PAGE   \* MERGEFORMAT </w:instrText>
        </w:r>
        <w:r>
          <w:fldChar w:fldCharType="separate"/>
        </w:r>
        <w:r w:rsidR="00E80212">
          <w:rPr>
            <w:noProof/>
          </w:rPr>
          <w:t>2</w:t>
        </w:r>
        <w:r>
          <w:rPr>
            <w:noProof/>
          </w:rPr>
          <w:fldChar w:fldCharType="end"/>
        </w:r>
      </w:p>
    </w:sdtContent>
  </w:sdt>
  <w:p w:rsidR="00B70EB9" w:rsidRDefault="00DF0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744" w:rsidRDefault="00DF0744">
      <w:pPr>
        <w:spacing w:after="0" w:line="240" w:lineRule="auto"/>
      </w:pPr>
      <w:r>
        <w:separator/>
      </w:r>
    </w:p>
  </w:footnote>
  <w:footnote w:type="continuationSeparator" w:id="0">
    <w:p w:rsidR="00DF0744" w:rsidRDefault="00DF0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71154"/>
    <w:multiLevelType w:val="hybridMultilevel"/>
    <w:tmpl w:val="164A5A9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E78A9"/>
    <w:multiLevelType w:val="hybridMultilevel"/>
    <w:tmpl w:val="7548C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60304"/>
    <w:multiLevelType w:val="hybridMultilevel"/>
    <w:tmpl w:val="A8C2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625271"/>
    <w:multiLevelType w:val="hybridMultilevel"/>
    <w:tmpl w:val="E0C44802"/>
    <w:lvl w:ilvl="0" w:tplc="DCAC656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079F3"/>
    <w:multiLevelType w:val="hybridMultilevel"/>
    <w:tmpl w:val="4C34D9AA"/>
    <w:lvl w:ilvl="0" w:tplc="DCAC656E">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D91EF6"/>
    <w:multiLevelType w:val="hybridMultilevel"/>
    <w:tmpl w:val="12222332"/>
    <w:lvl w:ilvl="0" w:tplc="3FB08F6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DF6C9E"/>
    <w:multiLevelType w:val="hybridMultilevel"/>
    <w:tmpl w:val="5F7C8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1A0E53"/>
    <w:multiLevelType w:val="hybridMultilevel"/>
    <w:tmpl w:val="7F50C510"/>
    <w:lvl w:ilvl="0" w:tplc="5A109F80">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B777F"/>
    <w:multiLevelType w:val="hybridMultilevel"/>
    <w:tmpl w:val="BA30635C"/>
    <w:lvl w:ilvl="0" w:tplc="719CE690">
      <w:start w:val="1"/>
      <w:numFmt w:val="lowerLetter"/>
      <w:lvlText w:val="%1)"/>
      <w:lvlJc w:val="left"/>
      <w:pPr>
        <w:ind w:left="720" w:hanging="360"/>
      </w:pPr>
      <w:rPr>
        <w:rFonts w:eastAsia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42349A"/>
    <w:multiLevelType w:val="hybridMultilevel"/>
    <w:tmpl w:val="15721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8F75AE"/>
    <w:multiLevelType w:val="hybridMultilevel"/>
    <w:tmpl w:val="F0101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D14885"/>
    <w:multiLevelType w:val="hybridMultilevel"/>
    <w:tmpl w:val="DEC6D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1A18D6"/>
    <w:multiLevelType w:val="hybridMultilevel"/>
    <w:tmpl w:val="24B2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D766B7"/>
    <w:multiLevelType w:val="hybridMultilevel"/>
    <w:tmpl w:val="4F3E5DF0"/>
    <w:lvl w:ilvl="0" w:tplc="CC50B7E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C7FD5"/>
    <w:multiLevelType w:val="hybridMultilevel"/>
    <w:tmpl w:val="D5B0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1F6004"/>
    <w:multiLevelType w:val="hybridMultilevel"/>
    <w:tmpl w:val="7EFCFD0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9CA3E53"/>
    <w:multiLevelType w:val="hybridMultilevel"/>
    <w:tmpl w:val="4BC2CE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934D41"/>
    <w:multiLevelType w:val="hybridMultilevel"/>
    <w:tmpl w:val="D6DC3D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4D04B5"/>
    <w:multiLevelType w:val="hybridMultilevel"/>
    <w:tmpl w:val="3646AA3E"/>
    <w:lvl w:ilvl="0" w:tplc="F64A15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8678AA"/>
    <w:multiLevelType w:val="hybridMultilevel"/>
    <w:tmpl w:val="9E000116"/>
    <w:lvl w:ilvl="0" w:tplc="DCAC656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374704"/>
    <w:multiLevelType w:val="hybridMultilevel"/>
    <w:tmpl w:val="E42C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871DCF"/>
    <w:multiLevelType w:val="hybridMultilevel"/>
    <w:tmpl w:val="29B8BF26"/>
    <w:lvl w:ilvl="0" w:tplc="0EBCB32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A4D3FB3"/>
    <w:multiLevelType w:val="hybridMultilevel"/>
    <w:tmpl w:val="24D449EA"/>
    <w:lvl w:ilvl="0" w:tplc="2F3677CA">
      <w:start w:val="1"/>
      <w:numFmt w:val="lowerLetter"/>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3"/>
  </w:num>
  <w:num w:numId="3">
    <w:abstractNumId w:val="5"/>
  </w:num>
  <w:num w:numId="4">
    <w:abstractNumId w:val="19"/>
  </w:num>
  <w:num w:numId="5">
    <w:abstractNumId w:val="4"/>
  </w:num>
  <w:num w:numId="6">
    <w:abstractNumId w:val="3"/>
  </w:num>
  <w:num w:numId="7">
    <w:abstractNumId w:val="10"/>
  </w:num>
  <w:num w:numId="8">
    <w:abstractNumId w:val="6"/>
  </w:num>
  <w:num w:numId="9">
    <w:abstractNumId w:val="0"/>
  </w:num>
  <w:num w:numId="10">
    <w:abstractNumId w:val="20"/>
  </w:num>
  <w:num w:numId="11">
    <w:abstractNumId w:val="12"/>
  </w:num>
  <w:num w:numId="12">
    <w:abstractNumId w:val="14"/>
  </w:num>
  <w:num w:numId="13">
    <w:abstractNumId w:val="17"/>
  </w:num>
  <w:num w:numId="14">
    <w:abstractNumId w:val="9"/>
  </w:num>
  <w:num w:numId="15">
    <w:abstractNumId w:val="15"/>
  </w:num>
  <w:num w:numId="16">
    <w:abstractNumId w:val="2"/>
  </w:num>
  <w:num w:numId="17">
    <w:abstractNumId w:val="16"/>
  </w:num>
  <w:num w:numId="18">
    <w:abstractNumId w:val="7"/>
  </w:num>
  <w:num w:numId="19">
    <w:abstractNumId w:val="1"/>
  </w:num>
  <w:num w:numId="20">
    <w:abstractNumId w:val="11"/>
  </w:num>
  <w:num w:numId="21">
    <w:abstractNumId w:val="21"/>
  </w:num>
  <w:num w:numId="22">
    <w:abstractNumId w:val="8"/>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46D81"/>
    <w:rsid w:val="00946D81"/>
    <w:rsid w:val="00DF0744"/>
    <w:rsid w:val="00E80212"/>
    <w:rsid w:val="00F97C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E1BD99-7EA8-4818-A38F-FFF6A093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D81"/>
  </w:style>
  <w:style w:type="paragraph" w:styleId="Heading1">
    <w:name w:val="heading 1"/>
    <w:basedOn w:val="Normal"/>
    <w:next w:val="Normal"/>
    <w:link w:val="Heading1Char"/>
    <w:uiPriority w:val="9"/>
    <w:qFormat/>
    <w:rsid w:val="00946D8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46D8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D8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46D81"/>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946D81"/>
    <w:pPr>
      <w:ind w:left="720"/>
      <w:contextualSpacing/>
    </w:pPr>
  </w:style>
  <w:style w:type="table" w:styleId="TableGrid">
    <w:name w:val="Table Grid"/>
    <w:basedOn w:val="TableNormal"/>
    <w:uiPriority w:val="59"/>
    <w:rsid w:val="00946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D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D81"/>
    <w:rPr>
      <w:rFonts w:ascii="Tahoma" w:hAnsi="Tahoma" w:cs="Tahoma"/>
      <w:sz w:val="16"/>
      <w:szCs w:val="16"/>
    </w:rPr>
  </w:style>
  <w:style w:type="character" w:styleId="CommentReference">
    <w:name w:val="annotation reference"/>
    <w:basedOn w:val="DefaultParagraphFont"/>
    <w:uiPriority w:val="99"/>
    <w:semiHidden/>
    <w:unhideWhenUsed/>
    <w:rsid w:val="00946D81"/>
    <w:rPr>
      <w:sz w:val="16"/>
      <w:szCs w:val="16"/>
    </w:rPr>
  </w:style>
  <w:style w:type="paragraph" w:styleId="CommentText">
    <w:name w:val="annotation text"/>
    <w:basedOn w:val="Normal"/>
    <w:link w:val="CommentTextChar"/>
    <w:uiPriority w:val="99"/>
    <w:unhideWhenUsed/>
    <w:rsid w:val="00946D81"/>
    <w:pPr>
      <w:spacing w:line="240" w:lineRule="auto"/>
    </w:pPr>
    <w:rPr>
      <w:sz w:val="20"/>
      <w:szCs w:val="20"/>
    </w:rPr>
  </w:style>
  <w:style w:type="character" w:customStyle="1" w:styleId="CommentTextChar">
    <w:name w:val="Comment Text Char"/>
    <w:basedOn w:val="DefaultParagraphFont"/>
    <w:link w:val="CommentText"/>
    <w:uiPriority w:val="99"/>
    <w:rsid w:val="00946D81"/>
    <w:rPr>
      <w:sz w:val="20"/>
      <w:szCs w:val="20"/>
    </w:rPr>
  </w:style>
  <w:style w:type="paragraph" w:styleId="CommentSubject">
    <w:name w:val="annotation subject"/>
    <w:basedOn w:val="CommentText"/>
    <w:next w:val="CommentText"/>
    <w:link w:val="CommentSubjectChar"/>
    <w:uiPriority w:val="99"/>
    <w:semiHidden/>
    <w:unhideWhenUsed/>
    <w:rsid w:val="00946D81"/>
    <w:rPr>
      <w:b/>
      <w:bCs/>
    </w:rPr>
  </w:style>
  <w:style w:type="character" w:customStyle="1" w:styleId="CommentSubjectChar">
    <w:name w:val="Comment Subject Char"/>
    <w:basedOn w:val="CommentTextChar"/>
    <w:link w:val="CommentSubject"/>
    <w:uiPriority w:val="99"/>
    <w:semiHidden/>
    <w:rsid w:val="00946D81"/>
    <w:rPr>
      <w:b/>
      <w:bCs/>
      <w:sz w:val="20"/>
      <w:szCs w:val="20"/>
    </w:rPr>
  </w:style>
  <w:style w:type="character" w:styleId="PlaceholderText">
    <w:name w:val="Placeholder Text"/>
    <w:basedOn w:val="DefaultParagraphFont"/>
    <w:uiPriority w:val="99"/>
    <w:semiHidden/>
    <w:rsid w:val="00946D81"/>
    <w:rPr>
      <w:color w:val="808080"/>
    </w:rPr>
  </w:style>
  <w:style w:type="paragraph" w:styleId="Header">
    <w:name w:val="header"/>
    <w:basedOn w:val="Normal"/>
    <w:link w:val="HeaderChar"/>
    <w:uiPriority w:val="99"/>
    <w:unhideWhenUsed/>
    <w:rsid w:val="00946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D81"/>
  </w:style>
  <w:style w:type="paragraph" w:styleId="Footer">
    <w:name w:val="footer"/>
    <w:basedOn w:val="Normal"/>
    <w:link w:val="FooterChar"/>
    <w:uiPriority w:val="99"/>
    <w:unhideWhenUsed/>
    <w:rsid w:val="00946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D81"/>
  </w:style>
  <w:style w:type="paragraph" w:customStyle="1" w:styleId="EndNoteBibliographyTitle">
    <w:name w:val="EndNote Bibliography Title"/>
    <w:basedOn w:val="Normal"/>
    <w:link w:val="EndNoteBibliographyTitleChar"/>
    <w:rsid w:val="00946D81"/>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946D81"/>
    <w:rPr>
      <w:rFonts w:ascii="Calibri" w:hAnsi="Calibri"/>
      <w:noProof/>
      <w:lang w:val="en-US"/>
    </w:rPr>
  </w:style>
  <w:style w:type="paragraph" w:customStyle="1" w:styleId="EndNoteBibliography">
    <w:name w:val="EndNote Bibliography"/>
    <w:basedOn w:val="Normal"/>
    <w:link w:val="EndNoteBibliographyChar"/>
    <w:rsid w:val="00946D81"/>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946D81"/>
    <w:rPr>
      <w:rFonts w:ascii="Calibri" w:hAnsi="Calibri"/>
      <w:noProof/>
      <w:lang w:val="en-US"/>
    </w:rPr>
  </w:style>
  <w:style w:type="paragraph" w:styleId="NoSpacing">
    <w:name w:val="No Spacing"/>
    <w:uiPriority w:val="1"/>
    <w:qFormat/>
    <w:rsid w:val="00946D81"/>
    <w:pPr>
      <w:spacing w:after="0" w:line="240" w:lineRule="auto"/>
    </w:pPr>
  </w:style>
  <w:style w:type="paragraph" w:styleId="Caption">
    <w:name w:val="caption"/>
    <w:basedOn w:val="Normal"/>
    <w:next w:val="Normal"/>
    <w:uiPriority w:val="35"/>
    <w:unhideWhenUsed/>
    <w:qFormat/>
    <w:rsid w:val="00946D81"/>
    <w:pPr>
      <w:widowControl w:val="0"/>
      <w:autoSpaceDE w:val="0"/>
      <w:autoSpaceDN w:val="0"/>
      <w:adjustRightInd w:val="0"/>
      <w:spacing w:after="200" w:line="240" w:lineRule="auto"/>
    </w:pPr>
    <w:rPr>
      <w:rFonts w:ascii="Arial" w:eastAsiaTheme="minorEastAsia" w:hAnsi="Arial" w:cs="Arial"/>
      <w:b/>
      <w:bCs/>
      <w:color w:val="5B9BD5" w:themeColor="accent1"/>
      <w:sz w:val="18"/>
      <w:szCs w:val="18"/>
      <w:lang w:eastAsia="en-GB"/>
    </w:rPr>
  </w:style>
  <w:style w:type="paragraph" w:styleId="Revision">
    <w:name w:val="Revision"/>
    <w:hidden/>
    <w:uiPriority w:val="99"/>
    <w:semiHidden/>
    <w:rsid w:val="00946D81"/>
    <w:pPr>
      <w:spacing w:after="0" w:line="240" w:lineRule="auto"/>
    </w:pPr>
  </w:style>
  <w:style w:type="paragraph" w:styleId="TOC1">
    <w:name w:val="toc 1"/>
    <w:basedOn w:val="Normal"/>
    <w:next w:val="Normal"/>
    <w:autoRedefine/>
    <w:uiPriority w:val="39"/>
    <w:unhideWhenUsed/>
    <w:qFormat/>
    <w:rsid w:val="00946D81"/>
    <w:pPr>
      <w:spacing w:before="240" w:after="120"/>
    </w:pPr>
    <w:rPr>
      <w:rFonts w:cstheme="minorHAnsi"/>
      <w:b/>
      <w:bCs/>
      <w:sz w:val="20"/>
      <w:szCs w:val="20"/>
    </w:rPr>
  </w:style>
  <w:style w:type="paragraph" w:styleId="TOC2">
    <w:name w:val="toc 2"/>
    <w:basedOn w:val="Normal"/>
    <w:next w:val="Normal"/>
    <w:autoRedefine/>
    <w:uiPriority w:val="39"/>
    <w:unhideWhenUsed/>
    <w:qFormat/>
    <w:rsid w:val="00946D81"/>
    <w:pPr>
      <w:tabs>
        <w:tab w:val="right" w:leader="dot" w:pos="9016"/>
      </w:tabs>
      <w:spacing w:before="120" w:after="0"/>
      <w:ind w:left="220"/>
    </w:pPr>
    <w:rPr>
      <w:rFonts w:cstheme="minorHAnsi"/>
      <w:iCs/>
      <w:noProof/>
      <w:color w:val="000000" w:themeColor="text1"/>
      <w:sz w:val="20"/>
      <w:szCs w:val="20"/>
    </w:rPr>
  </w:style>
  <w:style w:type="paragraph" w:styleId="TOC3">
    <w:name w:val="toc 3"/>
    <w:basedOn w:val="Normal"/>
    <w:next w:val="Normal"/>
    <w:autoRedefine/>
    <w:uiPriority w:val="39"/>
    <w:unhideWhenUsed/>
    <w:qFormat/>
    <w:rsid w:val="00946D81"/>
    <w:pPr>
      <w:spacing w:after="0"/>
      <w:ind w:left="440"/>
    </w:pPr>
    <w:rPr>
      <w:rFonts w:cstheme="minorHAnsi"/>
      <w:sz w:val="20"/>
      <w:szCs w:val="20"/>
    </w:rPr>
  </w:style>
  <w:style w:type="paragraph" w:styleId="TOC4">
    <w:name w:val="toc 4"/>
    <w:basedOn w:val="Normal"/>
    <w:next w:val="Normal"/>
    <w:autoRedefine/>
    <w:uiPriority w:val="39"/>
    <w:unhideWhenUsed/>
    <w:rsid w:val="00946D81"/>
    <w:pPr>
      <w:spacing w:after="0"/>
      <w:ind w:left="660"/>
    </w:pPr>
    <w:rPr>
      <w:rFonts w:cstheme="minorHAnsi"/>
      <w:sz w:val="20"/>
      <w:szCs w:val="20"/>
    </w:rPr>
  </w:style>
  <w:style w:type="paragraph" w:styleId="TOC5">
    <w:name w:val="toc 5"/>
    <w:basedOn w:val="Normal"/>
    <w:next w:val="Normal"/>
    <w:autoRedefine/>
    <w:uiPriority w:val="39"/>
    <w:unhideWhenUsed/>
    <w:rsid w:val="00946D81"/>
    <w:pPr>
      <w:spacing w:after="0"/>
      <w:ind w:left="880"/>
    </w:pPr>
    <w:rPr>
      <w:rFonts w:cstheme="minorHAnsi"/>
      <w:sz w:val="20"/>
      <w:szCs w:val="20"/>
    </w:rPr>
  </w:style>
  <w:style w:type="paragraph" w:styleId="TOC6">
    <w:name w:val="toc 6"/>
    <w:basedOn w:val="Normal"/>
    <w:next w:val="Normal"/>
    <w:autoRedefine/>
    <w:uiPriority w:val="39"/>
    <w:unhideWhenUsed/>
    <w:rsid w:val="00946D81"/>
    <w:pPr>
      <w:spacing w:after="0"/>
      <w:ind w:left="1100"/>
    </w:pPr>
    <w:rPr>
      <w:rFonts w:cstheme="minorHAnsi"/>
      <w:sz w:val="20"/>
      <w:szCs w:val="20"/>
    </w:rPr>
  </w:style>
  <w:style w:type="paragraph" w:styleId="TOC7">
    <w:name w:val="toc 7"/>
    <w:basedOn w:val="Normal"/>
    <w:next w:val="Normal"/>
    <w:autoRedefine/>
    <w:uiPriority w:val="39"/>
    <w:unhideWhenUsed/>
    <w:rsid w:val="00946D81"/>
    <w:pPr>
      <w:spacing w:after="0"/>
      <w:ind w:left="1320"/>
    </w:pPr>
    <w:rPr>
      <w:rFonts w:cstheme="minorHAnsi"/>
      <w:sz w:val="20"/>
      <w:szCs w:val="20"/>
    </w:rPr>
  </w:style>
  <w:style w:type="paragraph" w:styleId="TOC8">
    <w:name w:val="toc 8"/>
    <w:basedOn w:val="Normal"/>
    <w:next w:val="Normal"/>
    <w:autoRedefine/>
    <w:uiPriority w:val="39"/>
    <w:unhideWhenUsed/>
    <w:rsid w:val="00946D81"/>
    <w:pPr>
      <w:spacing w:after="0"/>
      <w:ind w:left="1540"/>
    </w:pPr>
    <w:rPr>
      <w:rFonts w:cstheme="minorHAnsi"/>
      <w:sz w:val="20"/>
      <w:szCs w:val="20"/>
    </w:rPr>
  </w:style>
  <w:style w:type="paragraph" w:styleId="TOC9">
    <w:name w:val="toc 9"/>
    <w:basedOn w:val="Normal"/>
    <w:next w:val="Normal"/>
    <w:autoRedefine/>
    <w:uiPriority w:val="39"/>
    <w:unhideWhenUsed/>
    <w:rsid w:val="00946D81"/>
    <w:pPr>
      <w:spacing w:after="0"/>
      <w:ind w:left="1760"/>
    </w:pPr>
    <w:rPr>
      <w:rFonts w:cstheme="minorHAnsi"/>
      <w:sz w:val="20"/>
      <w:szCs w:val="20"/>
    </w:rPr>
  </w:style>
  <w:style w:type="paragraph" w:styleId="TableofFigures">
    <w:name w:val="table of figures"/>
    <w:basedOn w:val="Normal"/>
    <w:next w:val="Normal"/>
    <w:uiPriority w:val="99"/>
    <w:unhideWhenUsed/>
    <w:rsid w:val="00946D81"/>
    <w:pPr>
      <w:spacing w:after="0"/>
      <w:ind w:left="440" w:hanging="440"/>
    </w:pPr>
    <w:rPr>
      <w:rFonts w:cstheme="minorHAnsi"/>
      <w:b/>
      <w:bCs/>
      <w:sz w:val="20"/>
      <w:szCs w:val="20"/>
    </w:rPr>
  </w:style>
  <w:style w:type="character" w:styleId="Hyperlink">
    <w:name w:val="Hyperlink"/>
    <w:basedOn w:val="DefaultParagraphFont"/>
    <w:uiPriority w:val="99"/>
    <w:unhideWhenUsed/>
    <w:rsid w:val="00946D81"/>
    <w:rPr>
      <w:color w:val="0563C1" w:themeColor="hyperlink"/>
      <w:u w:val="single"/>
    </w:rPr>
  </w:style>
  <w:style w:type="character" w:styleId="FollowedHyperlink">
    <w:name w:val="FollowedHyperlink"/>
    <w:basedOn w:val="DefaultParagraphFont"/>
    <w:uiPriority w:val="99"/>
    <w:semiHidden/>
    <w:unhideWhenUsed/>
    <w:rsid w:val="00946D81"/>
    <w:rPr>
      <w:color w:val="954F72" w:themeColor="followedHyperlink"/>
      <w:u w:val="single"/>
    </w:rPr>
  </w:style>
  <w:style w:type="character" w:styleId="LineNumber">
    <w:name w:val="line number"/>
    <w:basedOn w:val="DefaultParagraphFont"/>
    <w:uiPriority w:val="99"/>
    <w:semiHidden/>
    <w:unhideWhenUsed/>
    <w:rsid w:val="00946D81"/>
  </w:style>
  <w:style w:type="paragraph" w:styleId="TOCHeading">
    <w:name w:val="TOC Heading"/>
    <w:basedOn w:val="Heading1"/>
    <w:next w:val="Normal"/>
    <w:uiPriority w:val="39"/>
    <w:semiHidden/>
    <w:unhideWhenUsed/>
    <w:qFormat/>
    <w:rsid w:val="00946D81"/>
    <w:pPr>
      <w:spacing w:line="276" w:lineRule="auto"/>
      <w:outlineLvl w:val="9"/>
    </w:pPr>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5685</Words>
  <Characters>32407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Sweeting, Michael (Dr.)</dc:creator>
  <cp:keywords/>
  <dc:description/>
  <cp:lastModifiedBy>Stevie Mordey</cp:lastModifiedBy>
  <cp:revision>2</cp:revision>
  <dcterms:created xsi:type="dcterms:W3CDTF">2018-05-24T08:43:00Z</dcterms:created>
  <dcterms:modified xsi:type="dcterms:W3CDTF">2018-05-24T08:43:00Z</dcterms:modified>
</cp:coreProperties>
</file>