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88D08CE" w14:textId="58910C53" w:rsidR="0087320A" w:rsidRPr="00DE1E8C" w:rsidRDefault="0087320A" w:rsidP="00495B07">
      <w:pPr>
        <w:spacing w:after="160" w:line="360" w:lineRule="auto"/>
        <w:contextualSpacing/>
        <w:jc w:val="both"/>
        <w:rPr>
          <w:b/>
          <w:lang w:val="en-GB"/>
        </w:rPr>
      </w:pPr>
      <w:r w:rsidRPr="00DE1E8C">
        <w:rPr>
          <w:b/>
          <w:lang w:val="en-GB"/>
        </w:rPr>
        <w:t>Impaired sensory evidence accumulation and network</w:t>
      </w:r>
      <w:r w:rsidR="00797FBC" w:rsidRPr="00DE1E8C">
        <w:rPr>
          <w:b/>
          <w:lang w:val="en-GB"/>
        </w:rPr>
        <w:t xml:space="preserve"> function in Lewy body dementia</w:t>
      </w:r>
    </w:p>
    <w:p w14:paraId="4F92BF77" w14:textId="77777777" w:rsidR="00C55553" w:rsidRPr="00DE1E8C" w:rsidRDefault="00C55553" w:rsidP="00495B07">
      <w:pPr>
        <w:spacing w:after="160" w:line="360" w:lineRule="auto"/>
        <w:contextualSpacing/>
        <w:jc w:val="both"/>
        <w:rPr>
          <w:b/>
          <w:lang w:val="en-GB"/>
        </w:rPr>
      </w:pPr>
    </w:p>
    <w:p w14:paraId="73561D42" w14:textId="49BB85A9" w:rsidR="00357EFB" w:rsidRPr="00DE1E8C" w:rsidRDefault="00357EFB" w:rsidP="00495B07">
      <w:pPr>
        <w:spacing w:after="160" w:line="360" w:lineRule="auto"/>
        <w:contextualSpacing/>
        <w:jc w:val="both"/>
        <w:rPr>
          <w:vertAlign w:val="superscript"/>
          <w:lang w:val="en-GB"/>
        </w:rPr>
      </w:pPr>
      <w:r w:rsidRPr="00DE1E8C">
        <w:rPr>
          <w:lang w:val="en-GB"/>
        </w:rPr>
        <w:t>Claire O’Callaghan</w:t>
      </w:r>
      <w:r w:rsidRPr="00DE1E8C">
        <w:rPr>
          <w:vertAlign w:val="superscript"/>
          <w:lang w:val="en-GB"/>
        </w:rPr>
        <w:t>1,2</w:t>
      </w:r>
      <w:r w:rsidRPr="00DE1E8C">
        <w:rPr>
          <w:lang w:val="en-GB"/>
        </w:rPr>
        <w:t>,</w:t>
      </w:r>
      <w:r w:rsidR="001562FB" w:rsidRPr="00DE1E8C">
        <w:rPr>
          <w:lang w:val="en-GB"/>
        </w:rPr>
        <w:t xml:space="preserve"> Michael Firbank</w:t>
      </w:r>
      <w:r w:rsidR="00911042" w:rsidRPr="00DE1E8C">
        <w:rPr>
          <w:vertAlign w:val="superscript"/>
          <w:lang w:val="en-GB"/>
        </w:rPr>
        <w:t>3</w:t>
      </w:r>
      <w:r w:rsidR="00A256C5" w:rsidRPr="00DE1E8C">
        <w:rPr>
          <w:lang w:val="en-GB"/>
        </w:rPr>
        <w:t>,</w:t>
      </w:r>
      <w:r w:rsidR="00ED3B50" w:rsidRPr="00DE1E8C">
        <w:rPr>
          <w:lang w:val="en-GB"/>
        </w:rPr>
        <w:t xml:space="preserve"> Alessandro</w:t>
      </w:r>
      <w:r w:rsidR="00B85B94" w:rsidRPr="00DE1E8C">
        <w:rPr>
          <w:lang w:val="en-GB"/>
        </w:rPr>
        <w:t xml:space="preserve"> </w:t>
      </w:r>
      <w:r w:rsidR="00ED3B50" w:rsidRPr="00DE1E8C">
        <w:rPr>
          <w:lang w:val="en-GB"/>
        </w:rPr>
        <w:t>Tomassini</w:t>
      </w:r>
      <w:r w:rsidR="00C432BC" w:rsidRPr="00DE1E8C">
        <w:rPr>
          <w:vertAlign w:val="superscript"/>
          <w:lang w:val="en-GB"/>
        </w:rPr>
        <w:t>4</w:t>
      </w:r>
      <w:r w:rsidR="001562FB" w:rsidRPr="00DE1E8C">
        <w:rPr>
          <w:lang w:val="en-GB"/>
        </w:rPr>
        <w:t>,</w:t>
      </w:r>
      <w:r w:rsidR="007573BA" w:rsidRPr="00DE1E8C">
        <w:rPr>
          <w:lang w:val="en-GB"/>
        </w:rPr>
        <w:t xml:space="preserve"> Julia Schumacher</w:t>
      </w:r>
      <w:r w:rsidR="00EE62D4" w:rsidRPr="00DE1E8C">
        <w:rPr>
          <w:vertAlign w:val="superscript"/>
          <w:lang w:val="en-GB"/>
        </w:rPr>
        <w:t>3</w:t>
      </w:r>
      <w:r w:rsidR="007573BA" w:rsidRPr="00DE1E8C">
        <w:rPr>
          <w:lang w:val="en-GB"/>
        </w:rPr>
        <w:t xml:space="preserve">, </w:t>
      </w:r>
      <w:r w:rsidR="001D73FF" w:rsidRPr="00DE1E8C">
        <w:rPr>
          <w:lang w:val="en-GB"/>
        </w:rPr>
        <w:t xml:space="preserve">John </w:t>
      </w:r>
      <w:r w:rsidR="00515B69" w:rsidRPr="00DE1E8C">
        <w:rPr>
          <w:lang w:val="en-GB"/>
        </w:rPr>
        <w:t xml:space="preserve">T </w:t>
      </w:r>
      <w:r w:rsidR="001D73FF" w:rsidRPr="00DE1E8C">
        <w:rPr>
          <w:lang w:val="en-GB"/>
        </w:rPr>
        <w:t>O’Brien</w:t>
      </w:r>
      <w:r w:rsidR="00C55553" w:rsidRPr="00DE1E8C">
        <w:rPr>
          <w:vertAlign w:val="superscript"/>
          <w:lang w:val="en-GB"/>
        </w:rPr>
        <w:t>2</w:t>
      </w:r>
      <w:r w:rsidR="001D73FF" w:rsidRPr="00DE1E8C">
        <w:rPr>
          <w:lang w:val="en-GB"/>
        </w:rPr>
        <w:t>,</w:t>
      </w:r>
      <w:r w:rsidR="001562FB" w:rsidRPr="00DE1E8C">
        <w:rPr>
          <w:lang w:val="en-GB"/>
        </w:rPr>
        <w:t xml:space="preserve"> John-Paul Taylor</w:t>
      </w:r>
      <w:r w:rsidR="00D41802" w:rsidRPr="00DE1E8C">
        <w:rPr>
          <w:vertAlign w:val="superscript"/>
          <w:lang w:val="en-GB"/>
        </w:rPr>
        <w:t>3</w:t>
      </w:r>
    </w:p>
    <w:p w14:paraId="49AD6803" w14:textId="77777777" w:rsidR="00357EFB" w:rsidRPr="00DE1E8C" w:rsidRDefault="00357EFB" w:rsidP="00495B07">
      <w:pPr>
        <w:pStyle w:val="ListParagraph"/>
        <w:numPr>
          <w:ilvl w:val="0"/>
          <w:numId w:val="4"/>
        </w:numPr>
        <w:spacing w:after="160" w:line="360" w:lineRule="auto"/>
        <w:jc w:val="both"/>
        <w:rPr>
          <w:rFonts w:cs="Times New Roman"/>
          <w:lang w:val="en-GB"/>
        </w:rPr>
      </w:pPr>
      <w:r w:rsidRPr="00DE1E8C">
        <w:rPr>
          <w:rFonts w:cs="Times New Roman"/>
          <w:lang w:val="en-GB"/>
        </w:rPr>
        <w:t>Brain and Mind Centre and School of Medical Sciences, Faculty of Medicine and Health, University of Sydney, Australia</w:t>
      </w:r>
    </w:p>
    <w:p w14:paraId="1C7C0F63" w14:textId="79D41240" w:rsidR="00357EFB" w:rsidRPr="00DE1E8C" w:rsidRDefault="00357EFB" w:rsidP="00495B07">
      <w:pPr>
        <w:pStyle w:val="ListParagraph"/>
        <w:numPr>
          <w:ilvl w:val="0"/>
          <w:numId w:val="4"/>
        </w:numPr>
        <w:spacing w:after="160" w:line="360" w:lineRule="auto"/>
        <w:jc w:val="both"/>
        <w:rPr>
          <w:rFonts w:cs="Times New Roman"/>
          <w:lang w:val="en-GB"/>
        </w:rPr>
      </w:pPr>
      <w:r w:rsidRPr="00DE1E8C">
        <w:rPr>
          <w:rFonts w:cs="Times New Roman"/>
          <w:lang w:val="en-GB"/>
        </w:rPr>
        <w:t>Department of Psychiatry, University of Cambridge, UK</w:t>
      </w:r>
    </w:p>
    <w:p w14:paraId="523586F7" w14:textId="6CD734EA" w:rsidR="007A59BC" w:rsidRPr="00DE1E8C" w:rsidRDefault="00C16330" w:rsidP="00C16330">
      <w:pPr>
        <w:pStyle w:val="ListParagraph"/>
        <w:numPr>
          <w:ilvl w:val="0"/>
          <w:numId w:val="4"/>
        </w:numPr>
        <w:spacing w:line="360" w:lineRule="auto"/>
        <w:rPr>
          <w:rFonts w:cs="Times New Roman"/>
          <w:lang w:val="en-GB"/>
        </w:rPr>
      </w:pPr>
      <w:r w:rsidRPr="00DE1E8C">
        <w:rPr>
          <w:rFonts w:cs="Times New Roman"/>
          <w:lang w:val="en-GB"/>
        </w:rPr>
        <w:t>Translational and Clinical Research Institute, Newcastle University, Campus for Ageing and Vitality</w:t>
      </w:r>
      <w:r w:rsidR="007A59BC" w:rsidRPr="00DE1E8C">
        <w:rPr>
          <w:rFonts w:cs="Times New Roman"/>
          <w:lang w:val="en-GB"/>
        </w:rPr>
        <w:t>, Newcastle upon Tyne,</w:t>
      </w:r>
      <w:r w:rsidR="00032266" w:rsidRPr="00DE1E8C">
        <w:rPr>
          <w:rFonts w:cs="Times New Roman"/>
          <w:lang w:val="en-GB"/>
        </w:rPr>
        <w:t xml:space="preserve"> </w:t>
      </w:r>
      <w:r w:rsidR="007A59BC" w:rsidRPr="00DE1E8C">
        <w:rPr>
          <w:rFonts w:cs="Times New Roman"/>
          <w:lang w:val="en-GB"/>
        </w:rPr>
        <w:t xml:space="preserve">UK </w:t>
      </w:r>
    </w:p>
    <w:p w14:paraId="03DCFAFC" w14:textId="420811CD" w:rsidR="001562FB" w:rsidRPr="00DE1E8C" w:rsidRDefault="00032266" w:rsidP="00495B07">
      <w:pPr>
        <w:pStyle w:val="ListParagraph"/>
        <w:numPr>
          <w:ilvl w:val="0"/>
          <w:numId w:val="4"/>
        </w:numPr>
        <w:spacing w:after="160" w:line="360" w:lineRule="auto"/>
        <w:jc w:val="both"/>
        <w:rPr>
          <w:rFonts w:cs="Times New Roman"/>
          <w:lang w:val="en-GB"/>
        </w:rPr>
      </w:pPr>
      <w:r w:rsidRPr="00DE1E8C">
        <w:rPr>
          <w:rFonts w:cs="Times New Roman"/>
          <w:lang w:val="en-GB"/>
        </w:rPr>
        <w:t>MRC Cognition and Brain Sciences Unit, University of Cambridge, UK</w:t>
      </w:r>
    </w:p>
    <w:p w14:paraId="73949E19" w14:textId="77777777" w:rsidR="00364D4F" w:rsidRPr="00DE1E8C" w:rsidRDefault="00364D4F" w:rsidP="00495B07">
      <w:pPr>
        <w:spacing w:after="160" w:line="360" w:lineRule="auto"/>
        <w:contextualSpacing/>
        <w:jc w:val="both"/>
        <w:rPr>
          <w:b/>
          <w:lang w:val="en-GB"/>
        </w:rPr>
      </w:pPr>
    </w:p>
    <w:p w14:paraId="287D449E" w14:textId="3FD543BE" w:rsidR="00357EFB" w:rsidRPr="00DE1E8C" w:rsidRDefault="00357EFB" w:rsidP="00495B07">
      <w:pPr>
        <w:spacing w:after="160" w:line="360" w:lineRule="auto"/>
        <w:contextualSpacing/>
        <w:jc w:val="both"/>
        <w:rPr>
          <w:lang w:val="en-GB"/>
        </w:rPr>
      </w:pPr>
      <w:r w:rsidRPr="00DE1E8C">
        <w:rPr>
          <w:b/>
          <w:lang w:val="en-GB"/>
        </w:rPr>
        <w:t>Corresponding autho</w:t>
      </w:r>
      <w:r w:rsidR="003D141E" w:rsidRPr="00DE1E8C">
        <w:rPr>
          <w:b/>
          <w:lang w:val="en-GB"/>
        </w:rPr>
        <w:t>r</w:t>
      </w:r>
      <w:r w:rsidRPr="00DE1E8C">
        <w:rPr>
          <w:b/>
          <w:lang w:val="en-GB"/>
        </w:rPr>
        <w:t xml:space="preserve">: </w:t>
      </w:r>
    </w:p>
    <w:p w14:paraId="68BE3085" w14:textId="77777777" w:rsidR="00357EFB" w:rsidRPr="00DE1E8C" w:rsidRDefault="00357EFB" w:rsidP="00495B07">
      <w:pPr>
        <w:spacing w:after="160" w:line="360" w:lineRule="auto"/>
        <w:contextualSpacing/>
        <w:jc w:val="both"/>
        <w:rPr>
          <w:lang w:val="en-GB"/>
        </w:rPr>
      </w:pPr>
      <w:r w:rsidRPr="00DE1E8C">
        <w:rPr>
          <w:lang w:val="en-GB"/>
        </w:rPr>
        <w:t>Claire O’Callaghan</w:t>
      </w:r>
    </w:p>
    <w:p w14:paraId="63585753" w14:textId="77777777" w:rsidR="00357EFB" w:rsidRPr="00DE1E8C" w:rsidRDefault="00357EFB" w:rsidP="00495B07">
      <w:pPr>
        <w:spacing w:after="160" w:line="360" w:lineRule="auto"/>
        <w:contextualSpacing/>
        <w:jc w:val="both"/>
        <w:rPr>
          <w:lang w:val="en-GB"/>
        </w:rPr>
      </w:pPr>
      <w:r w:rsidRPr="00DE1E8C">
        <w:rPr>
          <w:lang w:val="en-GB"/>
        </w:rPr>
        <w:t>Brain and Mind Centre</w:t>
      </w:r>
      <w:r w:rsidRPr="00DE1E8C">
        <w:rPr>
          <w:lang w:val="en-GB"/>
        </w:rPr>
        <w:tab/>
      </w:r>
    </w:p>
    <w:p w14:paraId="57D23ECB" w14:textId="7EB4D7BF" w:rsidR="00357EFB" w:rsidRPr="00DE1E8C" w:rsidRDefault="00357EFB" w:rsidP="00495B07">
      <w:pPr>
        <w:spacing w:after="160" w:line="360" w:lineRule="auto"/>
        <w:contextualSpacing/>
        <w:jc w:val="both"/>
        <w:rPr>
          <w:lang w:val="en-GB"/>
        </w:rPr>
      </w:pPr>
      <w:r w:rsidRPr="00DE1E8C">
        <w:rPr>
          <w:lang w:val="en-GB"/>
        </w:rPr>
        <w:t>94 Mallett Street, Camperdown NSW 2050</w:t>
      </w:r>
      <w:r w:rsidR="003D141E" w:rsidRPr="00DE1E8C">
        <w:rPr>
          <w:lang w:val="en-GB"/>
        </w:rPr>
        <w:t xml:space="preserve">, </w:t>
      </w:r>
      <w:r w:rsidRPr="00DE1E8C">
        <w:rPr>
          <w:lang w:val="en-GB"/>
        </w:rPr>
        <w:t>Australia</w:t>
      </w:r>
    </w:p>
    <w:p w14:paraId="585038DB" w14:textId="7F1EA8ED" w:rsidR="00357EFB" w:rsidRPr="00DE1E8C" w:rsidRDefault="00357EFB" w:rsidP="00495B07">
      <w:pPr>
        <w:spacing w:after="160" w:line="360" w:lineRule="auto"/>
        <w:contextualSpacing/>
        <w:jc w:val="both"/>
        <w:rPr>
          <w:lang w:val="en-GB"/>
        </w:rPr>
      </w:pPr>
      <w:r w:rsidRPr="00DE1E8C">
        <w:rPr>
          <w:lang w:val="en-GB"/>
        </w:rPr>
        <w:t>+61 (02) 9351 0702</w:t>
      </w:r>
      <w:r w:rsidR="003D141E" w:rsidRPr="00DE1E8C">
        <w:rPr>
          <w:lang w:val="en-GB"/>
        </w:rPr>
        <w:t xml:space="preserve">; </w:t>
      </w:r>
      <w:hyperlink r:id="rId8" w:history="1">
        <w:r w:rsidR="003D141E" w:rsidRPr="00DE1E8C">
          <w:rPr>
            <w:rStyle w:val="Hyperlink"/>
            <w:lang w:val="en-GB"/>
          </w:rPr>
          <w:t>claire.ocallaghan@sydney.edu.au</w:t>
        </w:r>
      </w:hyperlink>
    </w:p>
    <w:p w14:paraId="0EBD8C18" w14:textId="3D21C45A" w:rsidR="00357EFB" w:rsidRPr="00DE1E8C" w:rsidRDefault="00357EFB" w:rsidP="00495B07">
      <w:pPr>
        <w:spacing w:after="160" w:line="360" w:lineRule="auto"/>
        <w:contextualSpacing/>
        <w:jc w:val="both"/>
        <w:rPr>
          <w:lang w:val="en-GB"/>
        </w:rPr>
      </w:pPr>
    </w:p>
    <w:p w14:paraId="53768105" w14:textId="04406BDF" w:rsidR="00364D4F" w:rsidRPr="00DE1E8C" w:rsidRDefault="00364D4F" w:rsidP="00495B07">
      <w:pPr>
        <w:spacing w:after="160" w:line="360" w:lineRule="auto"/>
        <w:contextualSpacing/>
        <w:jc w:val="both"/>
        <w:rPr>
          <w:lang w:val="en-GB"/>
        </w:rPr>
      </w:pPr>
    </w:p>
    <w:p w14:paraId="19ADAFB0" w14:textId="407B1072" w:rsidR="00364D4F" w:rsidRPr="00DE1E8C" w:rsidRDefault="00364D4F" w:rsidP="00495B07">
      <w:pPr>
        <w:spacing w:after="160" w:line="360" w:lineRule="auto"/>
        <w:contextualSpacing/>
        <w:jc w:val="both"/>
        <w:rPr>
          <w:lang w:val="en-GB"/>
        </w:rPr>
      </w:pPr>
      <w:r w:rsidRPr="00DE1E8C">
        <w:rPr>
          <w:b/>
          <w:bCs/>
          <w:lang w:val="en-GB"/>
        </w:rPr>
        <w:t xml:space="preserve">Figures: </w:t>
      </w:r>
      <w:r w:rsidR="004153E1" w:rsidRPr="00DE1E8C">
        <w:rPr>
          <w:lang w:val="en-GB"/>
        </w:rPr>
        <w:t>5</w:t>
      </w:r>
      <w:r w:rsidRPr="00DE1E8C">
        <w:rPr>
          <w:lang w:val="en-GB"/>
        </w:rPr>
        <w:tab/>
      </w:r>
      <w:r w:rsidRPr="00DE1E8C">
        <w:rPr>
          <w:lang w:val="en-GB"/>
        </w:rPr>
        <w:tab/>
      </w:r>
      <w:r w:rsidRPr="00DE1E8C">
        <w:rPr>
          <w:b/>
          <w:bCs/>
          <w:lang w:val="en-GB"/>
        </w:rPr>
        <w:t xml:space="preserve">Tables: </w:t>
      </w:r>
      <w:r w:rsidR="004153E1" w:rsidRPr="00DE1E8C">
        <w:rPr>
          <w:lang w:val="en-GB"/>
        </w:rPr>
        <w:t>1</w:t>
      </w:r>
    </w:p>
    <w:p w14:paraId="3739A0B8" w14:textId="55BF56EE" w:rsidR="00364D4F" w:rsidRPr="00DE1E8C" w:rsidRDefault="00511120" w:rsidP="00495B07">
      <w:pPr>
        <w:spacing w:line="360" w:lineRule="auto"/>
        <w:contextualSpacing/>
        <w:jc w:val="both"/>
        <w:rPr>
          <w:b/>
          <w:lang w:val="en-GB"/>
        </w:rPr>
      </w:pPr>
      <w:r w:rsidRPr="00DE1E8C">
        <w:rPr>
          <w:b/>
          <w:bCs/>
          <w:lang w:val="en-GB"/>
        </w:rPr>
        <w:t>Short</w:t>
      </w:r>
      <w:r w:rsidR="00364D4F" w:rsidRPr="00DE1E8C">
        <w:rPr>
          <w:b/>
          <w:bCs/>
          <w:lang w:val="en-GB"/>
        </w:rPr>
        <w:t xml:space="preserve"> title:</w:t>
      </w:r>
      <w:r w:rsidR="008408FD" w:rsidRPr="00DE1E8C">
        <w:rPr>
          <w:b/>
          <w:bCs/>
          <w:lang w:val="en-GB"/>
        </w:rPr>
        <w:t xml:space="preserve"> </w:t>
      </w:r>
      <w:r w:rsidR="008950E0" w:rsidRPr="00DE1E8C">
        <w:rPr>
          <w:lang w:val="en-GB"/>
        </w:rPr>
        <w:t xml:space="preserve">Drift diffusion </w:t>
      </w:r>
      <w:r w:rsidR="00B74AD8" w:rsidRPr="00DE1E8C">
        <w:rPr>
          <w:lang w:val="en-GB"/>
        </w:rPr>
        <w:t>model</w:t>
      </w:r>
      <w:r w:rsidR="008950E0" w:rsidRPr="00DE1E8C">
        <w:rPr>
          <w:lang w:val="en-GB"/>
        </w:rPr>
        <w:t xml:space="preserve"> </w:t>
      </w:r>
      <w:r w:rsidR="008408FD" w:rsidRPr="00DE1E8C">
        <w:rPr>
          <w:bCs/>
          <w:lang w:val="en-GB"/>
        </w:rPr>
        <w:t>Lewy body dementia</w:t>
      </w:r>
    </w:p>
    <w:p w14:paraId="445EF493" w14:textId="77777777" w:rsidR="00364D4F" w:rsidRPr="00DE1E8C" w:rsidRDefault="00364D4F" w:rsidP="00364D4F">
      <w:pPr>
        <w:spacing w:line="360" w:lineRule="auto"/>
        <w:contextualSpacing/>
        <w:jc w:val="both"/>
        <w:rPr>
          <w:b/>
          <w:lang w:val="en-GB"/>
        </w:rPr>
      </w:pPr>
    </w:p>
    <w:p w14:paraId="052C19CB" w14:textId="77777777" w:rsidR="00364D4F" w:rsidRPr="00DE1E8C" w:rsidRDefault="00364D4F" w:rsidP="00364D4F">
      <w:pPr>
        <w:spacing w:line="360" w:lineRule="auto"/>
        <w:contextualSpacing/>
        <w:jc w:val="both"/>
        <w:rPr>
          <w:bCs/>
          <w:lang w:val="en-GB"/>
        </w:rPr>
      </w:pPr>
    </w:p>
    <w:p w14:paraId="3676EF54" w14:textId="77777777" w:rsidR="00364D4F" w:rsidRPr="00DE1E8C" w:rsidRDefault="00364D4F" w:rsidP="00357EFB">
      <w:pPr>
        <w:spacing w:after="160" w:line="276" w:lineRule="auto"/>
        <w:jc w:val="both"/>
        <w:rPr>
          <w:lang w:val="en-GB"/>
        </w:rPr>
      </w:pPr>
    </w:p>
    <w:p w14:paraId="74A36CBF" w14:textId="77777777" w:rsidR="00357EFB" w:rsidRPr="00DE1E8C" w:rsidRDefault="00357EFB" w:rsidP="00357EFB">
      <w:pPr>
        <w:spacing w:after="160" w:line="276" w:lineRule="auto"/>
        <w:jc w:val="both"/>
        <w:rPr>
          <w:lang w:val="en-GB"/>
        </w:rPr>
        <w:sectPr w:rsidR="00357EFB" w:rsidRPr="00DE1E8C" w:rsidSect="00064E68">
          <w:headerReference w:type="even" r:id="rId9"/>
          <w:headerReference w:type="default" r:id="rId10"/>
          <w:footerReference w:type="even" r:id="rId11"/>
          <w:footerReference w:type="default" r:id="rId12"/>
          <w:type w:val="continuous"/>
          <w:pgSz w:w="11900" w:h="16840"/>
          <w:pgMar w:top="1440" w:right="1440" w:bottom="1440" w:left="1440" w:header="708" w:footer="708" w:gutter="0"/>
          <w:cols w:space="230"/>
          <w:titlePg/>
          <w:docGrid w:linePitch="360"/>
        </w:sectPr>
      </w:pPr>
    </w:p>
    <w:p w14:paraId="101E15F7" w14:textId="40D14085" w:rsidR="000B5F87" w:rsidRPr="00DE1E8C" w:rsidRDefault="000B5F87" w:rsidP="00551517">
      <w:pPr>
        <w:spacing w:line="360" w:lineRule="auto"/>
        <w:contextualSpacing/>
        <w:jc w:val="both"/>
        <w:rPr>
          <w:b/>
          <w:lang w:val="en-GB"/>
        </w:rPr>
      </w:pPr>
      <w:r w:rsidRPr="00DE1E8C">
        <w:rPr>
          <w:b/>
          <w:lang w:val="en-GB"/>
        </w:rPr>
        <w:lastRenderedPageBreak/>
        <w:t>Abstract</w:t>
      </w:r>
    </w:p>
    <w:p w14:paraId="61149043" w14:textId="4577C75C" w:rsidR="00C217FA" w:rsidRPr="00DE1E8C" w:rsidRDefault="00C206E5" w:rsidP="00551517">
      <w:pPr>
        <w:spacing w:line="360" w:lineRule="auto"/>
        <w:contextualSpacing/>
        <w:jc w:val="both"/>
        <w:rPr>
          <w:bCs/>
          <w:lang w:val="en-GB"/>
        </w:rPr>
      </w:pPr>
      <w:r w:rsidRPr="00DE1E8C">
        <w:rPr>
          <w:bCs/>
          <w:lang w:val="en-GB"/>
        </w:rPr>
        <w:t xml:space="preserve">Deficits in attention underpin many of the cognitive and neuropsychiatric </w:t>
      </w:r>
      <w:r w:rsidR="00346908" w:rsidRPr="00DE1E8C">
        <w:rPr>
          <w:bCs/>
          <w:lang w:val="en-GB"/>
        </w:rPr>
        <w:t>features of Lewy body dementia. These attention-related symptoms remain difficult</w:t>
      </w:r>
      <w:r w:rsidR="00BD1DF3" w:rsidRPr="00DE1E8C">
        <w:rPr>
          <w:bCs/>
          <w:lang w:val="en-GB"/>
        </w:rPr>
        <w:t xml:space="preserve"> to treat</w:t>
      </w:r>
      <w:r w:rsidR="00346908" w:rsidRPr="00DE1E8C">
        <w:rPr>
          <w:bCs/>
          <w:lang w:val="en-GB"/>
        </w:rPr>
        <w:t xml:space="preserve"> </w:t>
      </w:r>
      <w:r w:rsidR="00FE7422" w:rsidRPr="00DE1E8C">
        <w:rPr>
          <w:bCs/>
          <w:lang w:val="en-GB"/>
        </w:rPr>
        <w:t>and there are many gaps in our understanding of their neurobiology.</w:t>
      </w:r>
      <w:r w:rsidR="00BD1DF3" w:rsidRPr="00DE1E8C">
        <w:rPr>
          <w:bCs/>
          <w:lang w:val="en-GB"/>
        </w:rPr>
        <w:t xml:space="preserve"> </w:t>
      </w:r>
      <w:r w:rsidR="00832B1B" w:rsidRPr="00DE1E8C">
        <w:rPr>
          <w:bCs/>
          <w:lang w:val="en-GB"/>
        </w:rPr>
        <w:t xml:space="preserve">An improved understanding of attention-related impairments can be achieved </w:t>
      </w:r>
      <w:r w:rsidR="00366A0C" w:rsidRPr="00DE1E8C">
        <w:rPr>
          <w:bCs/>
          <w:lang w:val="en-GB"/>
        </w:rPr>
        <w:t>via mathematical modelling approaches</w:t>
      </w:r>
      <w:r w:rsidR="00E20544" w:rsidRPr="00DE1E8C">
        <w:rPr>
          <w:bCs/>
          <w:lang w:val="en-GB"/>
        </w:rPr>
        <w:t xml:space="preserve">, which </w:t>
      </w:r>
      <w:r w:rsidR="00646425" w:rsidRPr="00DE1E8C">
        <w:rPr>
          <w:bCs/>
          <w:lang w:val="en-GB"/>
        </w:rPr>
        <w:t>identify cognitive parameters</w:t>
      </w:r>
      <w:r w:rsidR="00E20544" w:rsidRPr="00DE1E8C">
        <w:rPr>
          <w:bCs/>
          <w:lang w:val="en-GB"/>
        </w:rPr>
        <w:t xml:space="preserve"> to</w:t>
      </w:r>
      <w:r w:rsidR="00AD7E84" w:rsidRPr="00DE1E8C">
        <w:rPr>
          <w:bCs/>
          <w:lang w:val="en-GB"/>
        </w:rPr>
        <w:t xml:space="preserve"> provide an intermediate level between observed behavioural data and its underlying neural correlat</w:t>
      </w:r>
      <w:r w:rsidR="008B383C" w:rsidRPr="00DE1E8C">
        <w:rPr>
          <w:bCs/>
          <w:lang w:val="en-GB"/>
        </w:rPr>
        <w:t>e.</w:t>
      </w:r>
      <w:r w:rsidR="000856BA" w:rsidRPr="00DE1E8C">
        <w:rPr>
          <w:bCs/>
          <w:lang w:val="en-GB"/>
        </w:rPr>
        <w:t xml:space="preserve"> </w:t>
      </w:r>
      <w:r w:rsidR="00B458CF" w:rsidRPr="00DE1E8C">
        <w:rPr>
          <w:bCs/>
          <w:lang w:val="en-GB"/>
        </w:rPr>
        <w:t xml:space="preserve">Here, we apply this </w:t>
      </w:r>
      <w:r w:rsidR="00816526" w:rsidRPr="00DE1E8C">
        <w:rPr>
          <w:bCs/>
          <w:lang w:val="en-GB"/>
        </w:rPr>
        <w:t>approach</w:t>
      </w:r>
      <w:r w:rsidR="00585398" w:rsidRPr="00DE1E8C">
        <w:rPr>
          <w:bCs/>
          <w:lang w:val="en-GB"/>
        </w:rPr>
        <w:t xml:space="preserve"> to identify the role of impaired sensory evidence accumulation in the attention deficits that characterise Lewy body dementia.</w:t>
      </w:r>
      <w:r w:rsidR="00CC26EE" w:rsidRPr="00DE1E8C">
        <w:rPr>
          <w:bCs/>
          <w:lang w:val="en-GB"/>
        </w:rPr>
        <w:t xml:space="preserve"> </w:t>
      </w:r>
      <w:r w:rsidR="00A833FC" w:rsidRPr="00DE1E8C">
        <w:rPr>
          <w:bCs/>
          <w:lang w:val="en-GB"/>
        </w:rPr>
        <w:t xml:space="preserve">In </w:t>
      </w:r>
      <w:r w:rsidR="00A833FC" w:rsidRPr="00DE1E8C">
        <w:rPr>
          <w:lang w:val="en-GB"/>
        </w:rPr>
        <w:t>31 people with Lewy body dementia (including 13 Parkinson’s disease dementia and 18 dementia with Lewy bodies cases), 16 people with Alzheimer’s disease, and 23 healthy controls</w:t>
      </w:r>
      <w:r w:rsidR="00144730" w:rsidRPr="00DE1E8C">
        <w:rPr>
          <w:lang w:val="en-GB"/>
        </w:rPr>
        <w:t xml:space="preserve">, we administered </w:t>
      </w:r>
      <w:r w:rsidR="00823CE9" w:rsidRPr="00DE1E8C">
        <w:rPr>
          <w:lang w:val="en-GB"/>
        </w:rPr>
        <w:t xml:space="preserve">an attention task </w:t>
      </w:r>
      <w:r w:rsidR="008B5599" w:rsidRPr="00DE1E8C">
        <w:rPr>
          <w:lang w:val="en-GB"/>
        </w:rPr>
        <w:t xml:space="preserve">whilst they underwent </w:t>
      </w:r>
      <w:r w:rsidR="008B5599" w:rsidRPr="00DE1E8C">
        <w:rPr>
          <w:bCs/>
          <w:lang w:val="en-GB"/>
        </w:rPr>
        <w:t xml:space="preserve">functional </w:t>
      </w:r>
      <w:r w:rsidR="00515B69" w:rsidRPr="00DE1E8C">
        <w:rPr>
          <w:bCs/>
          <w:lang w:val="en-GB"/>
        </w:rPr>
        <w:t xml:space="preserve">3T </w:t>
      </w:r>
      <w:r w:rsidR="008B5599" w:rsidRPr="00DE1E8C">
        <w:rPr>
          <w:bCs/>
          <w:lang w:val="en-GB"/>
        </w:rPr>
        <w:t>MRI</w:t>
      </w:r>
      <w:r w:rsidR="006B0071" w:rsidRPr="00DE1E8C">
        <w:rPr>
          <w:lang w:val="en-GB"/>
        </w:rPr>
        <w:t xml:space="preserve">. </w:t>
      </w:r>
      <w:r w:rsidR="006127A6" w:rsidRPr="00DE1E8C">
        <w:rPr>
          <w:lang w:val="en-GB"/>
        </w:rPr>
        <w:t>Using</w:t>
      </w:r>
      <w:r w:rsidR="00823CE9" w:rsidRPr="00DE1E8C">
        <w:rPr>
          <w:lang w:val="en-GB"/>
        </w:rPr>
        <w:t xml:space="preserve"> </w:t>
      </w:r>
      <w:r w:rsidR="006C72D9" w:rsidRPr="00DE1E8C">
        <w:rPr>
          <w:lang w:val="en-GB"/>
        </w:rPr>
        <w:t>hierarchical Bayesian estimation of a drift diffusion model</w:t>
      </w:r>
      <w:r w:rsidR="006127A6" w:rsidRPr="00DE1E8C">
        <w:rPr>
          <w:lang w:val="en-GB"/>
        </w:rPr>
        <w:t>, we</w:t>
      </w:r>
      <w:r w:rsidR="00E11EFC" w:rsidRPr="00DE1E8C">
        <w:rPr>
          <w:lang w:val="en-GB"/>
        </w:rPr>
        <w:t xml:space="preserve"> </w:t>
      </w:r>
      <w:r w:rsidR="0053675E" w:rsidRPr="00DE1E8C">
        <w:rPr>
          <w:lang w:val="en-GB"/>
        </w:rPr>
        <w:t>decompose</w:t>
      </w:r>
      <w:r w:rsidR="006127A6" w:rsidRPr="00DE1E8C">
        <w:rPr>
          <w:lang w:val="en-GB"/>
        </w:rPr>
        <w:t>d</w:t>
      </w:r>
      <w:r w:rsidR="0053675E" w:rsidRPr="00DE1E8C">
        <w:rPr>
          <w:lang w:val="en-GB"/>
        </w:rPr>
        <w:t xml:space="preserve"> task</w:t>
      </w:r>
      <w:r w:rsidR="002345A2" w:rsidRPr="00DE1E8C">
        <w:rPr>
          <w:lang w:val="en-GB"/>
        </w:rPr>
        <w:t xml:space="preserve"> </w:t>
      </w:r>
      <w:r w:rsidR="0081469E" w:rsidRPr="00DE1E8C">
        <w:rPr>
          <w:lang w:val="en-GB"/>
        </w:rPr>
        <w:t>performance</w:t>
      </w:r>
      <w:r w:rsidR="0053675E" w:rsidRPr="00DE1E8C">
        <w:rPr>
          <w:lang w:val="en-GB"/>
        </w:rPr>
        <w:t xml:space="preserve"> into drift rate and decision boundary parameters.</w:t>
      </w:r>
      <w:r w:rsidR="00753055" w:rsidRPr="00DE1E8C">
        <w:rPr>
          <w:lang w:val="en-GB"/>
        </w:rPr>
        <w:t xml:space="preserve"> </w:t>
      </w:r>
      <w:r w:rsidR="0053675E" w:rsidRPr="00DE1E8C">
        <w:rPr>
          <w:lang w:val="en-GB"/>
        </w:rPr>
        <w:t xml:space="preserve">We </w:t>
      </w:r>
      <w:r w:rsidR="006C72D9" w:rsidRPr="00DE1E8C">
        <w:rPr>
          <w:lang w:val="en-GB"/>
        </w:rPr>
        <w:t>test</w:t>
      </w:r>
      <w:r w:rsidR="006B0071" w:rsidRPr="00DE1E8C">
        <w:rPr>
          <w:lang w:val="en-GB"/>
        </w:rPr>
        <w:t>ed</w:t>
      </w:r>
      <w:r w:rsidR="006C72D9" w:rsidRPr="00DE1E8C">
        <w:rPr>
          <w:lang w:val="en-GB"/>
        </w:rPr>
        <w:t xml:space="preserve"> the hypothesis that </w:t>
      </w:r>
      <w:r w:rsidR="00585398" w:rsidRPr="00DE1E8C">
        <w:rPr>
          <w:lang w:val="en-GB"/>
        </w:rPr>
        <w:t>the drift rate</w:t>
      </w:r>
      <w:r w:rsidR="00BD3ABA" w:rsidRPr="00DE1E8C">
        <w:rPr>
          <w:lang w:val="en-GB"/>
        </w:rPr>
        <w:t xml:space="preserve"> – </w:t>
      </w:r>
      <w:r w:rsidR="00585398" w:rsidRPr="00DE1E8C">
        <w:rPr>
          <w:lang w:val="en-GB"/>
        </w:rPr>
        <w:t>a measure of the quality of sensory evidence accumulation</w:t>
      </w:r>
      <w:r w:rsidR="00BD3ABA" w:rsidRPr="00DE1E8C">
        <w:rPr>
          <w:lang w:val="en-GB"/>
        </w:rPr>
        <w:t xml:space="preserve"> –</w:t>
      </w:r>
      <w:r w:rsidR="00585398" w:rsidRPr="00DE1E8C">
        <w:rPr>
          <w:lang w:val="en-GB"/>
        </w:rPr>
        <w:t xml:space="preserve"> is specifically impaired in </w:t>
      </w:r>
      <w:r w:rsidR="00585398" w:rsidRPr="00DE1E8C">
        <w:rPr>
          <w:bCs/>
          <w:lang w:val="en-GB"/>
        </w:rPr>
        <w:t>Lewy body dementia, compared to Alzheimer’s disease</w:t>
      </w:r>
      <w:r w:rsidR="00E11EFC" w:rsidRPr="00DE1E8C">
        <w:rPr>
          <w:bCs/>
          <w:lang w:val="en-GB"/>
        </w:rPr>
        <w:t>.</w:t>
      </w:r>
      <w:r w:rsidR="006B0071" w:rsidRPr="00DE1E8C">
        <w:rPr>
          <w:bCs/>
          <w:lang w:val="en-GB"/>
        </w:rPr>
        <w:t xml:space="preserve"> </w:t>
      </w:r>
      <w:r w:rsidR="003D5AE0" w:rsidRPr="00DE1E8C">
        <w:rPr>
          <w:bCs/>
          <w:lang w:val="en-GB"/>
        </w:rPr>
        <w:t xml:space="preserve">We further explored whether trial-by-trial variations in the drift rate related to activity within the default and dorsal attention networks, to determine whether </w:t>
      </w:r>
      <w:r w:rsidR="00DF5D4C" w:rsidRPr="00DE1E8C">
        <w:rPr>
          <w:bCs/>
          <w:lang w:val="en-GB"/>
        </w:rPr>
        <w:t>altered</w:t>
      </w:r>
      <w:r w:rsidR="003D5AE0" w:rsidRPr="00DE1E8C">
        <w:rPr>
          <w:bCs/>
          <w:lang w:val="en-GB"/>
        </w:rPr>
        <w:t xml:space="preserve"> activity in</w:t>
      </w:r>
      <w:r w:rsidR="0094690F" w:rsidRPr="00DE1E8C">
        <w:rPr>
          <w:bCs/>
          <w:lang w:val="en-GB"/>
        </w:rPr>
        <w:t xml:space="preserve"> </w:t>
      </w:r>
      <w:r w:rsidR="003D5AE0" w:rsidRPr="00DE1E8C">
        <w:rPr>
          <w:bCs/>
          <w:lang w:val="en-GB"/>
        </w:rPr>
        <w:t xml:space="preserve">these networks </w:t>
      </w:r>
      <w:r w:rsidR="009E6B57" w:rsidRPr="00DE1E8C">
        <w:rPr>
          <w:bCs/>
          <w:lang w:val="en-GB"/>
        </w:rPr>
        <w:t>wa</w:t>
      </w:r>
      <w:r w:rsidR="001A45B9" w:rsidRPr="00DE1E8C">
        <w:rPr>
          <w:bCs/>
          <w:lang w:val="en-GB"/>
        </w:rPr>
        <w:t>s</w:t>
      </w:r>
      <w:r w:rsidR="003D5AE0" w:rsidRPr="00DE1E8C">
        <w:rPr>
          <w:bCs/>
          <w:lang w:val="en-GB"/>
        </w:rPr>
        <w:t xml:space="preserve"> associated with slowed drift rates in Lewy body dementia.</w:t>
      </w:r>
      <w:r w:rsidR="009D4AC6" w:rsidRPr="00DE1E8C">
        <w:rPr>
          <w:bCs/>
          <w:lang w:val="en-GB"/>
        </w:rPr>
        <w:t xml:space="preserve"> </w:t>
      </w:r>
      <w:r w:rsidR="000818AB" w:rsidRPr="00DE1E8C">
        <w:rPr>
          <w:bCs/>
          <w:lang w:val="en-GB"/>
        </w:rPr>
        <w:t>Our results</w:t>
      </w:r>
      <w:r w:rsidR="002359EE" w:rsidRPr="00DE1E8C">
        <w:rPr>
          <w:bCs/>
          <w:lang w:val="en-GB"/>
        </w:rPr>
        <w:t xml:space="preserve"> revealed </w:t>
      </w:r>
      <w:r w:rsidR="007560A1" w:rsidRPr="00DE1E8C">
        <w:rPr>
          <w:bCs/>
          <w:iCs/>
          <w:lang w:val="en-GB"/>
        </w:rPr>
        <w:t>slower drift rates in the Lewy body dementia</w:t>
      </w:r>
      <w:r w:rsidR="00515B69" w:rsidRPr="00DE1E8C">
        <w:rPr>
          <w:bCs/>
          <w:iCs/>
          <w:lang w:val="en-GB"/>
        </w:rPr>
        <w:t xml:space="preserve"> compared to the Alzheimer’s disease group</w:t>
      </w:r>
      <w:r w:rsidR="007560A1" w:rsidRPr="00DE1E8C">
        <w:rPr>
          <w:bCs/>
          <w:iCs/>
          <w:lang w:val="en-GB"/>
        </w:rPr>
        <w:t xml:space="preserve">, whereas the patient groups were equivalent for their decision boundaries. </w:t>
      </w:r>
      <w:r w:rsidR="00D67C2F" w:rsidRPr="00DE1E8C">
        <w:rPr>
          <w:bCs/>
          <w:iCs/>
          <w:lang w:val="en-GB"/>
        </w:rPr>
        <w:t xml:space="preserve">The </w:t>
      </w:r>
      <w:r w:rsidR="00643D41" w:rsidRPr="00DE1E8C">
        <w:rPr>
          <w:bCs/>
          <w:iCs/>
          <w:lang w:val="en-GB"/>
        </w:rPr>
        <w:t>pa</w:t>
      </w:r>
      <w:r w:rsidR="00D67C2F" w:rsidRPr="00DE1E8C">
        <w:rPr>
          <w:bCs/>
          <w:iCs/>
          <w:lang w:val="en-GB"/>
        </w:rPr>
        <w:t xml:space="preserve">tient groups were reduced relative to controls for both parameters. </w:t>
      </w:r>
      <w:r w:rsidR="007560A1" w:rsidRPr="00DE1E8C">
        <w:rPr>
          <w:bCs/>
          <w:iCs/>
          <w:lang w:val="en-GB"/>
        </w:rPr>
        <w:t>This highlights sensory evidence accumulation</w:t>
      </w:r>
      <w:r w:rsidR="00753055" w:rsidRPr="00DE1E8C">
        <w:rPr>
          <w:bCs/>
          <w:iCs/>
          <w:lang w:val="en-GB"/>
        </w:rPr>
        <w:t xml:space="preserve"> deficits as a</w:t>
      </w:r>
      <w:r w:rsidR="007560A1" w:rsidRPr="00DE1E8C">
        <w:rPr>
          <w:bCs/>
          <w:iCs/>
          <w:lang w:val="en-GB"/>
        </w:rPr>
        <w:t xml:space="preserve"> key </w:t>
      </w:r>
      <w:r w:rsidR="00FE0551" w:rsidRPr="00DE1E8C">
        <w:rPr>
          <w:bCs/>
          <w:iCs/>
          <w:lang w:val="en-GB"/>
        </w:rPr>
        <w:t>feature</w:t>
      </w:r>
      <w:r w:rsidR="007560A1" w:rsidRPr="00DE1E8C">
        <w:rPr>
          <w:bCs/>
          <w:iCs/>
          <w:lang w:val="en-GB"/>
        </w:rPr>
        <w:t xml:space="preserve"> that distinguishes attention impairments in Lewy body dementia</w:t>
      </w:r>
      <w:r w:rsidR="00A461E8" w:rsidRPr="00DE1E8C">
        <w:rPr>
          <w:bCs/>
          <w:iCs/>
          <w:lang w:val="en-GB"/>
        </w:rPr>
        <w:t xml:space="preserve">, </w:t>
      </w:r>
      <w:r w:rsidR="00A86692" w:rsidRPr="00DE1E8C">
        <w:rPr>
          <w:bCs/>
          <w:iCs/>
          <w:lang w:val="en-GB"/>
        </w:rPr>
        <w:t xml:space="preserve">consistent with </w:t>
      </w:r>
      <w:r w:rsidR="004A1A1C" w:rsidRPr="00DE1E8C">
        <w:rPr>
          <w:bCs/>
          <w:iCs/>
          <w:lang w:val="en-GB"/>
        </w:rPr>
        <w:t>impaired ability</w:t>
      </w:r>
      <w:r w:rsidR="00873A42" w:rsidRPr="00DE1E8C">
        <w:rPr>
          <w:lang w:val="en-GB"/>
        </w:rPr>
        <w:t xml:space="preserve"> </w:t>
      </w:r>
      <w:r w:rsidR="004A1A1C" w:rsidRPr="00DE1E8C">
        <w:rPr>
          <w:lang w:val="en-GB"/>
        </w:rPr>
        <w:t>to</w:t>
      </w:r>
      <w:r w:rsidR="00873A42" w:rsidRPr="00DE1E8C">
        <w:rPr>
          <w:lang w:val="en-GB"/>
        </w:rPr>
        <w:t xml:space="preserve"> efficiently process information from the environment to guide behaviour.</w:t>
      </w:r>
      <w:r w:rsidR="00371E78" w:rsidRPr="00DE1E8C">
        <w:rPr>
          <w:lang w:val="en-GB"/>
        </w:rPr>
        <w:t xml:space="preserve"> </w:t>
      </w:r>
      <w:r w:rsidR="007560A1" w:rsidRPr="00DE1E8C">
        <w:rPr>
          <w:bCs/>
          <w:iCs/>
          <w:lang w:val="en-GB"/>
        </w:rPr>
        <w:t xml:space="preserve">We </w:t>
      </w:r>
      <w:r w:rsidR="0041363C" w:rsidRPr="00DE1E8C">
        <w:rPr>
          <w:bCs/>
          <w:iCs/>
          <w:lang w:val="en-GB"/>
        </w:rPr>
        <w:t>also</w:t>
      </w:r>
      <w:r w:rsidR="007560A1" w:rsidRPr="00DE1E8C">
        <w:rPr>
          <w:bCs/>
          <w:iCs/>
          <w:lang w:val="en-GB"/>
        </w:rPr>
        <w:t xml:space="preserve"> </w:t>
      </w:r>
      <w:r w:rsidR="0041363C" w:rsidRPr="00DE1E8C">
        <w:rPr>
          <w:bCs/>
          <w:iCs/>
          <w:lang w:val="en-GB"/>
        </w:rPr>
        <w:t>found</w:t>
      </w:r>
      <w:r w:rsidR="007560A1" w:rsidRPr="00DE1E8C">
        <w:rPr>
          <w:bCs/>
          <w:iCs/>
          <w:lang w:val="en-GB"/>
        </w:rPr>
        <w:t xml:space="preserve"> that the drift rate was strongly related to activity in the dorsal attention network across all three groups, whereas the Lewy body dementia group </w:t>
      </w:r>
      <w:r w:rsidR="0041363C" w:rsidRPr="00DE1E8C">
        <w:rPr>
          <w:bCs/>
          <w:iCs/>
          <w:lang w:val="en-GB"/>
        </w:rPr>
        <w:t>showed</w:t>
      </w:r>
      <w:r w:rsidR="007560A1" w:rsidRPr="00DE1E8C">
        <w:rPr>
          <w:bCs/>
          <w:iCs/>
          <w:lang w:val="en-GB"/>
        </w:rPr>
        <w:t xml:space="preserve"> a divergent relationship</w:t>
      </w:r>
      <w:r w:rsidR="00016432" w:rsidRPr="00DE1E8C">
        <w:rPr>
          <w:bCs/>
          <w:iCs/>
          <w:lang w:val="en-GB"/>
        </w:rPr>
        <w:t xml:space="preserve"> relative to the Alzheimer’s disease and control groups </w:t>
      </w:r>
      <w:r w:rsidR="007560A1" w:rsidRPr="00DE1E8C">
        <w:rPr>
          <w:bCs/>
          <w:iCs/>
          <w:lang w:val="en-GB"/>
        </w:rPr>
        <w:t>for the default network, consistent with altered default network modulation being associated with impaired evidence accumulation.</w:t>
      </w:r>
      <w:r w:rsidR="000C3519" w:rsidRPr="00DE1E8C">
        <w:rPr>
          <w:bCs/>
          <w:iCs/>
          <w:lang w:val="en-GB"/>
        </w:rPr>
        <w:t xml:space="preserve"> </w:t>
      </w:r>
      <w:r w:rsidR="00222E67" w:rsidRPr="00DE1E8C">
        <w:rPr>
          <w:bCs/>
          <w:iCs/>
          <w:lang w:val="en-GB"/>
        </w:rPr>
        <w:t xml:space="preserve">Together, </w:t>
      </w:r>
      <w:r w:rsidR="00222E67" w:rsidRPr="00DE1E8C">
        <w:rPr>
          <w:bCs/>
          <w:lang w:val="en-GB"/>
        </w:rPr>
        <w:t>o</w:t>
      </w:r>
      <w:r w:rsidR="006319BD" w:rsidRPr="00DE1E8C">
        <w:rPr>
          <w:bCs/>
          <w:lang w:val="en-GB"/>
        </w:rPr>
        <w:t xml:space="preserve">ur findings </w:t>
      </w:r>
      <w:r w:rsidR="00FD5B76" w:rsidRPr="00DE1E8C">
        <w:rPr>
          <w:bCs/>
          <w:lang w:val="en-GB"/>
        </w:rPr>
        <w:t xml:space="preserve">reveal </w:t>
      </w:r>
      <w:r w:rsidR="006319BD" w:rsidRPr="00DE1E8C">
        <w:rPr>
          <w:bCs/>
          <w:lang w:val="en-GB"/>
        </w:rPr>
        <w:t xml:space="preserve">impaired sensory evidence accumulation </w:t>
      </w:r>
      <w:r w:rsidR="00222E67" w:rsidRPr="00DE1E8C">
        <w:rPr>
          <w:bCs/>
          <w:lang w:val="en-GB"/>
        </w:rPr>
        <w:t>a</w:t>
      </w:r>
      <w:r w:rsidR="006319BD" w:rsidRPr="00DE1E8C">
        <w:rPr>
          <w:bCs/>
          <w:lang w:val="en-GB"/>
        </w:rPr>
        <w:t xml:space="preserve">s a specific marker of attention problems in Lewy body dementia, which may relate to large-scale network </w:t>
      </w:r>
      <w:r w:rsidR="009E0B4E" w:rsidRPr="00DE1E8C">
        <w:rPr>
          <w:bCs/>
          <w:lang w:val="en-GB"/>
        </w:rPr>
        <w:t>abnormalities</w:t>
      </w:r>
      <w:r w:rsidR="006319BD" w:rsidRPr="00DE1E8C">
        <w:rPr>
          <w:bCs/>
          <w:lang w:val="en-GB"/>
        </w:rPr>
        <w:t>.</w:t>
      </w:r>
      <w:r w:rsidR="00FD5B76" w:rsidRPr="00DE1E8C">
        <w:rPr>
          <w:lang w:val="en-GB"/>
        </w:rPr>
        <w:t xml:space="preserve"> </w:t>
      </w:r>
      <w:r w:rsidR="009564C1" w:rsidRPr="00DE1E8C">
        <w:rPr>
          <w:bCs/>
          <w:lang w:val="en-GB"/>
        </w:rPr>
        <w:t xml:space="preserve">By </w:t>
      </w:r>
      <w:r w:rsidR="00FD5B76" w:rsidRPr="00DE1E8C">
        <w:rPr>
          <w:bCs/>
          <w:lang w:val="en-GB"/>
        </w:rPr>
        <w:t xml:space="preserve">identifying </w:t>
      </w:r>
      <w:r w:rsidR="00D01A1B" w:rsidRPr="00DE1E8C">
        <w:rPr>
          <w:bCs/>
          <w:lang w:val="en-GB"/>
        </w:rPr>
        <w:t xml:space="preserve">impairments in </w:t>
      </w:r>
      <w:r w:rsidR="009564C1" w:rsidRPr="00DE1E8C">
        <w:rPr>
          <w:bCs/>
          <w:lang w:val="en-GB"/>
        </w:rPr>
        <w:t xml:space="preserve">a </w:t>
      </w:r>
      <w:r w:rsidR="00A842CF" w:rsidRPr="00DE1E8C">
        <w:rPr>
          <w:bCs/>
          <w:lang w:val="en-GB"/>
        </w:rPr>
        <w:t>specific sub-process</w:t>
      </w:r>
      <w:r w:rsidR="009564C1" w:rsidRPr="00DE1E8C">
        <w:rPr>
          <w:bCs/>
          <w:lang w:val="en-GB"/>
        </w:rPr>
        <w:t xml:space="preserve"> of attention, these findings</w:t>
      </w:r>
      <w:r w:rsidR="005962AC" w:rsidRPr="00DE1E8C">
        <w:rPr>
          <w:bCs/>
          <w:lang w:val="en-GB"/>
        </w:rPr>
        <w:t xml:space="preserve"> </w:t>
      </w:r>
      <w:r w:rsidR="00917930" w:rsidRPr="00DE1E8C">
        <w:rPr>
          <w:bCs/>
          <w:lang w:val="en-GB"/>
        </w:rPr>
        <w:t xml:space="preserve">will inform </w:t>
      </w:r>
      <w:r w:rsidR="005962AC" w:rsidRPr="00DE1E8C">
        <w:rPr>
          <w:bCs/>
          <w:lang w:val="en-GB"/>
        </w:rPr>
        <w:t xml:space="preserve">future </w:t>
      </w:r>
      <w:r w:rsidR="005962AC" w:rsidRPr="00DE1E8C">
        <w:rPr>
          <w:bCs/>
          <w:lang w:val="en-GB"/>
        </w:rPr>
        <w:lastRenderedPageBreak/>
        <w:t xml:space="preserve">exploratory and intervention studies that aim to understand and treat attention-related symptoms </w:t>
      </w:r>
      <w:r w:rsidR="00515B69" w:rsidRPr="00DE1E8C">
        <w:rPr>
          <w:bCs/>
          <w:lang w:val="en-GB"/>
        </w:rPr>
        <w:t xml:space="preserve">that are a key feature of </w:t>
      </w:r>
      <w:r w:rsidR="005962AC" w:rsidRPr="00DE1E8C">
        <w:rPr>
          <w:bCs/>
          <w:lang w:val="en-GB"/>
        </w:rPr>
        <w:t xml:space="preserve">Lewy body dementia. </w:t>
      </w:r>
      <w:r w:rsidR="009564C1" w:rsidRPr="00DE1E8C">
        <w:rPr>
          <w:bCs/>
          <w:lang w:val="en-GB"/>
        </w:rPr>
        <w:t xml:space="preserve">  </w:t>
      </w:r>
      <w:r w:rsidR="00A842CF" w:rsidRPr="00DE1E8C">
        <w:rPr>
          <w:bCs/>
          <w:lang w:val="en-GB"/>
        </w:rPr>
        <w:t xml:space="preserve">  </w:t>
      </w:r>
    </w:p>
    <w:p w14:paraId="1F27F96D" w14:textId="5B989EBE" w:rsidR="00375AC8" w:rsidRPr="00DE1E8C" w:rsidRDefault="00375AC8" w:rsidP="00551517">
      <w:pPr>
        <w:spacing w:line="360" w:lineRule="auto"/>
        <w:contextualSpacing/>
        <w:jc w:val="both"/>
        <w:rPr>
          <w:bCs/>
          <w:lang w:val="en-GB"/>
        </w:rPr>
      </w:pPr>
    </w:p>
    <w:p w14:paraId="14BCE920" w14:textId="77777777" w:rsidR="00375AC8" w:rsidRPr="00DE1E8C" w:rsidRDefault="00375AC8" w:rsidP="00375AC8">
      <w:pPr>
        <w:spacing w:after="160" w:line="360" w:lineRule="auto"/>
        <w:contextualSpacing/>
        <w:jc w:val="both"/>
        <w:rPr>
          <w:lang w:val="en-GB"/>
        </w:rPr>
      </w:pPr>
      <w:r w:rsidRPr="00DE1E8C">
        <w:rPr>
          <w:b/>
          <w:bCs/>
          <w:lang w:val="en-GB"/>
        </w:rPr>
        <w:t xml:space="preserve">Key words: </w:t>
      </w:r>
      <w:r w:rsidRPr="00DE1E8C">
        <w:rPr>
          <w:bCs/>
          <w:lang w:val="en-GB"/>
        </w:rPr>
        <w:t>Lewy body dementia; Parkinson’s disease dementia; hierarchical drift diffusion model; sensory evidence accumulation; default mode network</w:t>
      </w:r>
    </w:p>
    <w:p w14:paraId="090EB831" w14:textId="77777777" w:rsidR="00375AC8" w:rsidRPr="00DE1E8C" w:rsidRDefault="00375AC8" w:rsidP="00551517">
      <w:pPr>
        <w:spacing w:line="360" w:lineRule="auto"/>
        <w:contextualSpacing/>
        <w:jc w:val="both"/>
        <w:rPr>
          <w:bCs/>
          <w:iCs/>
          <w:lang w:val="en-GB"/>
        </w:rPr>
      </w:pPr>
    </w:p>
    <w:p w14:paraId="1DC01159" w14:textId="77777777" w:rsidR="00FF060C" w:rsidRPr="00DE1E8C" w:rsidRDefault="00BD62EA" w:rsidP="00932ACC">
      <w:pPr>
        <w:spacing w:line="360" w:lineRule="auto"/>
        <w:contextualSpacing/>
        <w:jc w:val="both"/>
        <w:rPr>
          <w:b/>
          <w:lang w:val="en-GB"/>
        </w:rPr>
      </w:pPr>
      <w:r w:rsidRPr="00DE1E8C">
        <w:rPr>
          <w:b/>
          <w:lang w:val="en-GB"/>
        </w:rPr>
        <w:t>Abbreviation</w:t>
      </w:r>
      <w:r w:rsidR="008D3F85" w:rsidRPr="00DE1E8C">
        <w:rPr>
          <w:b/>
          <w:lang w:val="en-GB"/>
        </w:rPr>
        <w:t>s</w:t>
      </w:r>
      <w:r w:rsidR="008C060C" w:rsidRPr="00DE1E8C">
        <w:rPr>
          <w:b/>
          <w:lang w:val="en-GB"/>
        </w:rPr>
        <w:t>:</w:t>
      </w:r>
      <w:r w:rsidR="00FF060C" w:rsidRPr="00DE1E8C">
        <w:rPr>
          <w:b/>
          <w:lang w:val="en-GB"/>
        </w:rPr>
        <w:t xml:space="preserve"> </w:t>
      </w:r>
    </w:p>
    <w:p w14:paraId="4C8E04C7" w14:textId="6630DE66" w:rsidR="00FF060C" w:rsidRPr="00DE1E8C" w:rsidRDefault="00FF060C" w:rsidP="00932ACC">
      <w:pPr>
        <w:spacing w:line="360" w:lineRule="auto"/>
        <w:contextualSpacing/>
        <w:jc w:val="both"/>
        <w:rPr>
          <w:lang w:val="en-GB"/>
        </w:rPr>
      </w:pPr>
      <w:r w:rsidRPr="00DE1E8C">
        <w:rPr>
          <w:lang w:val="en-GB"/>
        </w:rPr>
        <w:t>ANT = Attention Network Task</w:t>
      </w:r>
    </w:p>
    <w:p w14:paraId="3EC3D228" w14:textId="147E21F1" w:rsidR="008D3F85" w:rsidRPr="00DE1E8C" w:rsidRDefault="00FF060C" w:rsidP="00932ACC">
      <w:pPr>
        <w:spacing w:line="360" w:lineRule="auto"/>
        <w:contextualSpacing/>
        <w:jc w:val="both"/>
        <w:rPr>
          <w:color w:val="1A1718"/>
          <w:lang w:val="en-GB"/>
        </w:rPr>
      </w:pPr>
      <w:r w:rsidRPr="00DE1E8C">
        <w:rPr>
          <w:color w:val="1A1718"/>
          <w:lang w:val="en-GB"/>
        </w:rPr>
        <w:t>CAF = Clinician Assessment of Fluctuation</w:t>
      </w:r>
    </w:p>
    <w:p w14:paraId="71AE2A0C" w14:textId="77777777" w:rsidR="00FF060C" w:rsidRPr="00DE1E8C" w:rsidRDefault="00FF060C" w:rsidP="00FF060C">
      <w:pPr>
        <w:spacing w:line="360" w:lineRule="auto"/>
        <w:contextualSpacing/>
        <w:jc w:val="both"/>
        <w:rPr>
          <w:color w:val="1A1718"/>
          <w:lang w:val="en-GB"/>
        </w:rPr>
      </w:pPr>
      <w:r w:rsidRPr="00DE1E8C">
        <w:rPr>
          <w:color w:val="1A1718"/>
          <w:lang w:val="en-GB"/>
        </w:rPr>
        <w:t>CAMCOG = Cambridge Cognitive Examination</w:t>
      </w:r>
    </w:p>
    <w:p w14:paraId="569B7C58" w14:textId="4B3B45BA" w:rsidR="00FF060C" w:rsidRPr="00DE1E8C" w:rsidRDefault="00FF060C" w:rsidP="00FF060C">
      <w:pPr>
        <w:spacing w:line="360" w:lineRule="auto"/>
        <w:contextualSpacing/>
        <w:jc w:val="both"/>
        <w:rPr>
          <w:color w:val="1A1718"/>
          <w:lang w:val="en-GB"/>
        </w:rPr>
      </w:pPr>
      <w:r w:rsidRPr="00DE1E8C">
        <w:rPr>
          <w:color w:val="1A1718"/>
          <w:lang w:val="en-GB"/>
        </w:rPr>
        <w:t xml:space="preserve">hDDM = </w:t>
      </w:r>
      <w:r w:rsidRPr="00DE1E8C">
        <w:rPr>
          <w:lang w:val="en-GB"/>
        </w:rPr>
        <w:t xml:space="preserve">Hierarchical drift diffusion model </w:t>
      </w:r>
    </w:p>
    <w:p w14:paraId="3CDEE118" w14:textId="5AEF1359" w:rsidR="00417384" w:rsidRPr="00DE1E8C" w:rsidRDefault="00FF060C" w:rsidP="00932ACC">
      <w:pPr>
        <w:spacing w:line="360" w:lineRule="auto"/>
        <w:contextualSpacing/>
        <w:jc w:val="both"/>
        <w:rPr>
          <w:lang w:val="en-GB"/>
        </w:rPr>
      </w:pPr>
      <w:r w:rsidRPr="00DE1E8C">
        <w:rPr>
          <w:lang w:val="en-GB"/>
        </w:rPr>
        <w:t>MMSE =</w:t>
      </w:r>
      <w:r w:rsidRPr="00DE1E8C">
        <w:rPr>
          <w:b/>
          <w:lang w:val="en-GB"/>
        </w:rPr>
        <w:t xml:space="preserve"> </w:t>
      </w:r>
      <w:r w:rsidR="009F75A2" w:rsidRPr="00DE1E8C">
        <w:rPr>
          <w:lang w:val="en-GB"/>
        </w:rPr>
        <w:t>Mini Mental State Examination</w:t>
      </w:r>
    </w:p>
    <w:p w14:paraId="673EF044" w14:textId="6E8D893F" w:rsidR="00C70ED6" w:rsidRPr="00DE1E8C" w:rsidRDefault="00FF060C" w:rsidP="00932ACC">
      <w:pPr>
        <w:spacing w:line="360" w:lineRule="auto"/>
        <w:contextualSpacing/>
        <w:jc w:val="both"/>
        <w:rPr>
          <w:color w:val="1A1718"/>
          <w:lang w:val="en-GB"/>
        </w:rPr>
      </w:pPr>
      <w:r w:rsidRPr="00DE1E8C">
        <w:rPr>
          <w:color w:val="1A1718"/>
          <w:lang w:val="en-GB"/>
        </w:rPr>
        <w:t xml:space="preserve">UPDRS-III = </w:t>
      </w:r>
      <w:r w:rsidR="004D23E0" w:rsidRPr="00DE1E8C">
        <w:rPr>
          <w:color w:val="1A1718"/>
          <w:lang w:val="en-GB"/>
        </w:rPr>
        <w:t>Unified Parkinson’s disease rating scale</w:t>
      </w:r>
      <w:r w:rsidRPr="00DE1E8C">
        <w:rPr>
          <w:color w:val="1A1718"/>
          <w:lang w:val="en-GB"/>
        </w:rPr>
        <w:t xml:space="preserve"> motor component</w:t>
      </w:r>
    </w:p>
    <w:p w14:paraId="79BB6872" w14:textId="77777777" w:rsidR="00C70ED6" w:rsidRPr="00DE1E8C" w:rsidRDefault="00C70ED6" w:rsidP="00932ACC">
      <w:pPr>
        <w:spacing w:line="360" w:lineRule="auto"/>
        <w:contextualSpacing/>
        <w:jc w:val="both"/>
        <w:rPr>
          <w:b/>
          <w:lang w:val="en-GB"/>
        </w:rPr>
      </w:pPr>
    </w:p>
    <w:p w14:paraId="70627314" w14:textId="77777777" w:rsidR="00C70ED6" w:rsidRPr="00DE1E8C" w:rsidRDefault="00C70ED6" w:rsidP="00932ACC">
      <w:pPr>
        <w:spacing w:line="360" w:lineRule="auto"/>
        <w:contextualSpacing/>
        <w:jc w:val="both"/>
        <w:rPr>
          <w:b/>
          <w:lang w:val="en-GB"/>
        </w:rPr>
      </w:pPr>
    </w:p>
    <w:p w14:paraId="08076669" w14:textId="77777777" w:rsidR="00C70ED6" w:rsidRPr="00DE1E8C" w:rsidRDefault="00C70ED6" w:rsidP="00932ACC">
      <w:pPr>
        <w:spacing w:line="360" w:lineRule="auto"/>
        <w:contextualSpacing/>
        <w:jc w:val="both"/>
        <w:rPr>
          <w:b/>
          <w:lang w:val="en-GB"/>
        </w:rPr>
      </w:pPr>
    </w:p>
    <w:p w14:paraId="0DD60E7E" w14:textId="77777777" w:rsidR="00C70ED6" w:rsidRPr="00DE1E8C" w:rsidRDefault="00C70ED6" w:rsidP="00932ACC">
      <w:pPr>
        <w:spacing w:line="360" w:lineRule="auto"/>
        <w:contextualSpacing/>
        <w:jc w:val="both"/>
        <w:rPr>
          <w:b/>
          <w:lang w:val="en-GB"/>
        </w:rPr>
      </w:pPr>
    </w:p>
    <w:p w14:paraId="7FB249C9" w14:textId="77777777" w:rsidR="00C70ED6" w:rsidRPr="00DE1E8C" w:rsidRDefault="00C70ED6" w:rsidP="00932ACC">
      <w:pPr>
        <w:spacing w:line="360" w:lineRule="auto"/>
        <w:contextualSpacing/>
        <w:jc w:val="both"/>
        <w:rPr>
          <w:b/>
          <w:lang w:val="en-GB"/>
        </w:rPr>
      </w:pPr>
    </w:p>
    <w:p w14:paraId="39FD933F" w14:textId="77777777" w:rsidR="00C70ED6" w:rsidRPr="00DE1E8C" w:rsidRDefault="00C70ED6" w:rsidP="00932ACC">
      <w:pPr>
        <w:spacing w:line="360" w:lineRule="auto"/>
        <w:contextualSpacing/>
        <w:jc w:val="both"/>
        <w:rPr>
          <w:b/>
          <w:lang w:val="en-GB"/>
        </w:rPr>
      </w:pPr>
    </w:p>
    <w:p w14:paraId="299E181C" w14:textId="77777777" w:rsidR="00C70ED6" w:rsidRPr="00DE1E8C" w:rsidRDefault="00C70ED6" w:rsidP="00932ACC">
      <w:pPr>
        <w:spacing w:line="360" w:lineRule="auto"/>
        <w:contextualSpacing/>
        <w:jc w:val="both"/>
        <w:rPr>
          <w:b/>
          <w:lang w:val="en-GB"/>
        </w:rPr>
      </w:pPr>
    </w:p>
    <w:p w14:paraId="41D75BAE" w14:textId="77777777" w:rsidR="00C70ED6" w:rsidRPr="00DE1E8C" w:rsidRDefault="00C70ED6" w:rsidP="00932ACC">
      <w:pPr>
        <w:spacing w:line="360" w:lineRule="auto"/>
        <w:contextualSpacing/>
        <w:jc w:val="both"/>
        <w:rPr>
          <w:b/>
          <w:lang w:val="en-GB"/>
        </w:rPr>
      </w:pPr>
    </w:p>
    <w:p w14:paraId="549AD0E9" w14:textId="77777777" w:rsidR="00C70ED6" w:rsidRPr="00DE1E8C" w:rsidRDefault="00C70ED6" w:rsidP="00932ACC">
      <w:pPr>
        <w:spacing w:line="360" w:lineRule="auto"/>
        <w:contextualSpacing/>
        <w:jc w:val="both"/>
        <w:rPr>
          <w:b/>
          <w:lang w:val="en-GB"/>
        </w:rPr>
      </w:pPr>
    </w:p>
    <w:p w14:paraId="7E1BCEC8" w14:textId="77777777" w:rsidR="00C70ED6" w:rsidRPr="00DE1E8C" w:rsidRDefault="00C70ED6" w:rsidP="00932ACC">
      <w:pPr>
        <w:spacing w:line="360" w:lineRule="auto"/>
        <w:contextualSpacing/>
        <w:jc w:val="both"/>
        <w:rPr>
          <w:b/>
          <w:lang w:val="en-GB"/>
        </w:rPr>
      </w:pPr>
    </w:p>
    <w:p w14:paraId="16486DE6" w14:textId="77777777" w:rsidR="00C70ED6" w:rsidRPr="00DE1E8C" w:rsidRDefault="00C70ED6" w:rsidP="00932ACC">
      <w:pPr>
        <w:spacing w:line="360" w:lineRule="auto"/>
        <w:contextualSpacing/>
        <w:jc w:val="both"/>
        <w:rPr>
          <w:b/>
          <w:lang w:val="en-GB"/>
        </w:rPr>
      </w:pPr>
    </w:p>
    <w:p w14:paraId="45D5197C" w14:textId="77777777" w:rsidR="00C70ED6" w:rsidRPr="00DE1E8C" w:rsidRDefault="00C70ED6" w:rsidP="00932ACC">
      <w:pPr>
        <w:spacing w:line="360" w:lineRule="auto"/>
        <w:contextualSpacing/>
        <w:jc w:val="both"/>
        <w:rPr>
          <w:b/>
          <w:lang w:val="en-GB"/>
        </w:rPr>
      </w:pPr>
    </w:p>
    <w:p w14:paraId="6D37FE35" w14:textId="77777777" w:rsidR="00C70ED6" w:rsidRPr="00DE1E8C" w:rsidRDefault="00C70ED6" w:rsidP="00932ACC">
      <w:pPr>
        <w:spacing w:line="360" w:lineRule="auto"/>
        <w:contextualSpacing/>
        <w:jc w:val="both"/>
        <w:rPr>
          <w:b/>
          <w:lang w:val="en-GB"/>
        </w:rPr>
      </w:pPr>
    </w:p>
    <w:p w14:paraId="2233CC58" w14:textId="77777777" w:rsidR="00C70ED6" w:rsidRPr="00DE1E8C" w:rsidRDefault="00C70ED6" w:rsidP="00932ACC">
      <w:pPr>
        <w:spacing w:line="360" w:lineRule="auto"/>
        <w:contextualSpacing/>
        <w:jc w:val="both"/>
        <w:rPr>
          <w:b/>
          <w:lang w:val="en-GB"/>
        </w:rPr>
      </w:pPr>
    </w:p>
    <w:p w14:paraId="1CD9AC66" w14:textId="77777777" w:rsidR="00C70ED6" w:rsidRPr="00DE1E8C" w:rsidRDefault="00C70ED6" w:rsidP="00932ACC">
      <w:pPr>
        <w:spacing w:line="360" w:lineRule="auto"/>
        <w:contextualSpacing/>
        <w:jc w:val="both"/>
        <w:rPr>
          <w:b/>
          <w:lang w:val="en-GB"/>
        </w:rPr>
      </w:pPr>
    </w:p>
    <w:p w14:paraId="4EE4B98C" w14:textId="77777777" w:rsidR="00C70ED6" w:rsidRPr="00DE1E8C" w:rsidRDefault="00C70ED6" w:rsidP="00932ACC">
      <w:pPr>
        <w:spacing w:line="360" w:lineRule="auto"/>
        <w:contextualSpacing/>
        <w:jc w:val="both"/>
        <w:rPr>
          <w:b/>
          <w:lang w:val="en-GB"/>
        </w:rPr>
      </w:pPr>
    </w:p>
    <w:p w14:paraId="5030D3EA" w14:textId="77777777" w:rsidR="00C70ED6" w:rsidRPr="00DE1E8C" w:rsidRDefault="00C70ED6" w:rsidP="00932ACC">
      <w:pPr>
        <w:spacing w:line="360" w:lineRule="auto"/>
        <w:contextualSpacing/>
        <w:jc w:val="both"/>
        <w:rPr>
          <w:b/>
          <w:lang w:val="en-GB"/>
        </w:rPr>
      </w:pPr>
    </w:p>
    <w:p w14:paraId="0A288415" w14:textId="77777777" w:rsidR="00C70ED6" w:rsidRPr="00DE1E8C" w:rsidRDefault="00C70ED6" w:rsidP="00932ACC">
      <w:pPr>
        <w:spacing w:line="360" w:lineRule="auto"/>
        <w:contextualSpacing/>
        <w:jc w:val="both"/>
        <w:rPr>
          <w:b/>
          <w:lang w:val="en-GB"/>
        </w:rPr>
      </w:pPr>
    </w:p>
    <w:p w14:paraId="28A59DFC" w14:textId="77777777" w:rsidR="00C70ED6" w:rsidRPr="00DE1E8C" w:rsidRDefault="00C70ED6" w:rsidP="00932ACC">
      <w:pPr>
        <w:spacing w:line="360" w:lineRule="auto"/>
        <w:contextualSpacing/>
        <w:jc w:val="both"/>
        <w:rPr>
          <w:b/>
          <w:lang w:val="en-GB"/>
        </w:rPr>
      </w:pPr>
    </w:p>
    <w:p w14:paraId="4D40295E" w14:textId="77777777" w:rsidR="00C70ED6" w:rsidRPr="00DE1E8C" w:rsidRDefault="00C70ED6" w:rsidP="00932ACC">
      <w:pPr>
        <w:spacing w:line="360" w:lineRule="auto"/>
        <w:contextualSpacing/>
        <w:jc w:val="both"/>
        <w:rPr>
          <w:b/>
          <w:lang w:val="en-GB"/>
        </w:rPr>
      </w:pPr>
    </w:p>
    <w:p w14:paraId="47E151EF" w14:textId="77777777" w:rsidR="00494B92" w:rsidRPr="00DE1E8C" w:rsidRDefault="00494B92" w:rsidP="00932ACC">
      <w:pPr>
        <w:spacing w:line="360" w:lineRule="auto"/>
        <w:contextualSpacing/>
        <w:jc w:val="both"/>
        <w:rPr>
          <w:b/>
          <w:lang w:val="en-GB"/>
        </w:rPr>
      </w:pPr>
    </w:p>
    <w:p w14:paraId="211D3FDE" w14:textId="46D72CDF" w:rsidR="003E139F" w:rsidRPr="00DE1E8C" w:rsidRDefault="003E139F" w:rsidP="00932ACC">
      <w:pPr>
        <w:spacing w:line="360" w:lineRule="auto"/>
        <w:contextualSpacing/>
        <w:jc w:val="both"/>
        <w:rPr>
          <w:b/>
          <w:lang w:val="en-GB"/>
        </w:rPr>
      </w:pPr>
      <w:r w:rsidRPr="00DE1E8C">
        <w:rPr>
          <w:b/>
          <w:lang w:val="en-GB"/>
        </w:rPr>
        <w:lastRenderedPageBreak/>
        <w:t>Introduction</w:t>
      </w:r>
    </w:p>
    <w:p w14:paraId="0B3142CA" w14:textId="18481A14" w:rsidR="00EE7DA3" w:rsidRPr="00DE1E8C" w:rsidRDefault="00292680" w:rsidP="00932ACC">
      <w:pPr>
        <w:spacing w:line="360" w:lineRule="auto"/>
        <w:contextualSpacing/>
        <w:jc w:val="both"/>
        <w:rPr>
          <w:bCs/>
          <w:lang w:val="en-GB"/>
        </w:rPr>
      </w:pPr>
      <w:r w:rsidRPr="00DE1E8C">
        <w:rPr>
          <w:bCs/>
          <w:lang w:val="en-GB"/>
        </w:rPr>
        <w:t>Deficits in attention</w:t>
      </w:r>
      <w:r w:rsidR="00E7611B" w:rsidRPr="00DE1E8C">
        <w:rPr>
          <w:bCs/>
          <w:lang w:val="en-GB"/>
        </w:rPr>
        <w:t xml:space="preserve"> </w:t>
      </w:r>
      <w:r w:rsidRPr="00DE1E8C">
        <w:rPr>
          <w:bCs/>
          <w:lang w:val="en-GB"/>
        </w:rPr>
        <w:t xml:space="preserve">are a prominent feature of </w:t>
      </w:r>
      <w:r w:rsidR="002C7BD5" w:rsidRPr="00DE1E8C">
        <w:rPr>
          <w:bCs/>
          <w:lang w:val="en-GB"/>
        </w:rPr>
        <w:t>Lewy body dementia</w:t>
      </w:r>
      <w:r w:rsidR="00E7611B" w:rsidRPr="00DE1E8C">
        <w:rPr>
          <w:bCs/>
          <w:lang w:val="en-GB"/>
        </w:rPr>
        <w:t xml:space="preserve"> – an </w:t>
      </w:r>
      <w:r w:rsidRPr="00DE1E8C">
        <w:rPr>
          <w:bCs/>
          <w:lang w:val="en-GB"/>
        </w:rPr>
        <w:t>umbrella term</w:t>
      </w:r>
      <w:r w:rsidR="0016600B" w:rsidRPr="00DE1E8C">
        <w:rPr>
          <w:bCs/>
          <w:lang w:val="en-GB"/>
        </w:rPr>
        <w:t xml:space="preserve"> that</w:t>
      </w:r>
      <w:r w:rsidRPr="00DE1E8C">
        <w:rPr>
          <w:bCs/>
          <w:lang w:val="en-GB"/>
        </w:rPr>
        <w:t xml:space="preserve"> includes dementia with </w:t>
      </w:r>
      <w:r w:rsidR="001729CE" w:rsidRPr="00DE1E8C">
        <w:rPr>
          <w:bCs/>
          <w:lang w:val="en-GB"/>
        </w:rPr>
        <w:t>Lewy bodies and Parkinson’s disease</w:t>
      </w:r>
      <w:r w:rsidR="00AC66D3" w:rsidRPr="00DE1E8C">
        <w:rPr>
          <w:bCs/>
          <w:lang w:val="en-GB"/>
        </w:rPr>
        <w:t xml:space="preserve"> dementia.</w:t>
      </w:r>
      <w:r w:rsidR="00FE3E40" w:rsidRPr="00DE1E8C">
        <w:rPr>
          <w:bCs/>
          <w:lang w:val="en-GB"/>
        </w:rPr>
        <w:t xml:space="preserve"> Core </w:t>
      </w:r>
      <w:r w:rsidR="005B0647" w:rsidRPr="00DE1E8C">
        <w:rPr>
          <w:bCs/>
          <w:lang w:val="en-GB"/>
        </w:rPr>
        <w:t>symptoms</w:t>
      </w:r>
      <w:r w:rsidR="00FE3E40" w:rsidRPr="00DE1E8C">
        <w:rPr>
          <w:bCs/>
          <w:lang w:val="en-GB"/>
        </w:rPr>
        <w:t xml:space="preserve"> of these diseases, including a dysexecutive profile, </w:t>
      </w:r>
      <w:r w:rsidR="00515B69" w:rsidRPr="00DE1E8C">
        <w:rPr>
          <w:bCs/>
          <w:lang w:val="en-GB"/>
        </w:rPr>
        <w:t xml:space="preserve">recurrent </w:t>
      </w:r>
      <w:r w:rsidR="00FE3E40" w:rsidRPr="00DE1E8C">
        <w:rPr>
          <w:bCs/>
          <w:lang w:val="en-GB"/>
        </w:rPr>
        <w:t>v</w:t>
      </w:r>
      <w:r w:rsidR="002C58AF" w:rsidRPr="00DE1E8C">
        <w:rPr>
          <w:bCs/>
          <w:lang w:val="en-GB"/>
        </w:rPr>
        <w:t>isual hallucinations and c</w:t>
      </w:r>
      <w:r w:rsidR="002E1488" w:rsidRPr="00DE1E8C">
        <w:rPr>
          <w:bCs/>
          <w:lang w:val="en-GB"/>
        </w:rPr>
        <w:t>ognitive fluctuations</w:t>
      </w:r>
      <w:r w:rsidR="00FE3E40" w:rsidRPr="00DE1E8C">
        <w:rPr>
          <w:bCs/>
          <w:lang w:val="en-GB"/>
        </w:rPr>
        <w:t xml:space="preserve"> </w:t>
      </w:r>
      <w:r w:rsidR="000C01A7" w:rsidRPr="00DE1E8C">
        <w:rPr>
          <w:bCs/>
          <w:lang w:val="en-GB"/>
        </w:rPr>
        <w:t>have all been related to attentional impairments</w:t>
      </w:r>
      <w:r w:rsidR="00B6468D" w:rsidRPr="00DE1E8C">
        <w:rPr>
          <w:bCs/>
          <w:lang w:val="en-GB"/>
        </w:rPr>
        <w:t xml:space="preserve"> </w:t>
      </w:r>
      <w:r w:rsidR="001F7B38" w:rsidRPr="00DE1E8C">
        <w:rPr>
          <w:bCs/>
          <w:lang w:val="en-GB"/>
        </w:rPr>
        <w:fldChar w:fldCharType="begin"/>
      </w:r>
      <w:r w:rsidR="00E805F6" w:rsidRPr="00DE1E8C">
        <w:rPr>
          <w:bCs/>
          <w:lang w:val="en-GB"/>
        </w:rPr>
        <w:instrText xml:space="preserve"> ADDIN ZOTERO_ITEM CSL_CITATION {"citationID":"arffkklsu2","properties":{"formattedCitation":"(Ballard {\\i{}et al.}, 2002; Mosimann {\\i{}et al.}, 2006; Emre {\\i{}et al.}, 2007; McKeith {\\i{}et al.}, 2017)","plainCitation":"(Ballard et al., 2002; Mosimann et al., 2006; Emre et al., 2007; McKeith et al., 2017)","noteIndex":0},"citationItems":[{"id":14243,"uris":["http://zotero.org/users/local/xUwQuTPV/items/LMYLYFX9"],"uri":["http://zotero.org/users/local/xUwQuTPV/items/LMYLYFX9"],"itemData":{"id":14243,"type":"article-journal","abstract":"BACKGROUND: Marked impairments in and fluctuation of attention are characteristic of dementia with Lewy bodies (DLB). The comparative impairment of these cognitive domains in PD and PD dementia (PD dementia) has not been studied, and is important to the conceptual understanding of parkinsonian dementias.\nMETHOD: Detailed evaluations of attention and fluctuating attention (Cognitive Drug Research computerized battery) were undertaken in 278 subjects (50 DLB, 48 PD dementia, 50 PD, 80 AD, 50 elderly controls) from the Newcastle dementia register and the Stavanger PD register (controls, PD, and PD dementia patients were recruited from both centers). DLB, AD, PD, and PD dementia were diagnosed using operationalized criteria.\nRESULTS: Impairments in reaction time, vigilance, and fluctuating attention were comparable in patients with DLB and PD dementia, but were less substantially impaired in patients with DLB without parkinsonism. Patients with PD had significantly greater impairment of cognitive reaction time than elderly controls, and comparable impairments of cognitive reaction time to patients with AD. Patients with PD, however, did not exhibit fluctuation of attention.\nCONCLUSION: The profile of attentional impairments and fluctuating attention is similar in PD dementia and DLB with parkinsonism. The current findings do not support the current arbitrary distinctions between these patient groups. Importantly, patients with PD do not experience fluctuating attention.","container-title":"Neurology","DOI":"10.1212/01.wnl.0000036908.39696.fd","ISSN":"0028-3878","issue":"11","journalAbbreviation":"Neurology","language":"eng","note":"PMID: 12473758","page":"1714-1720","source":"PubMed","title":"Fluctuations in attention: PD dementia vs DLB with parkinsonism","title-short":"Fluctuations in attention","volume":"59","author":[{"family":"Ballard","given":"C. G."},{"family":"Aarsland","given":"D."},{"family":"McKeith","given":"I."},{"family":"O'Brien","given":"J."},{"family":"Gray","given":"A."},{"family":"Cormack","given":"F."},{"family":"Burn","given":"D."},{"family":"Cassidy","given":"T."},{"family":"Starfeldt","given":"R."},{"family":"Larsen","given":"J.-P."},{"family":"Brown","given":"R."},{"family":"Tovee","given":"M."}],"issued":{"date-parts":[["2002",12,10]]}}},{"id":14246,"uris":["http://zotero.org/users/local/xUwQuTPV/items/EUUGPYQV"],"uri":["http://zotero.org/users/local/xUwQuTPV/items/EUUGPYQV"],"itemData":{"id":14246,"type":"article-journal","container-title":"The American Journal of Geriatric Psychiatry","DOI":"10.1097/01.JGP.0000192480.89813.80","ISSN":"10647481","issue":"2","journalAbbreviation":"The American Journal of Geriatric Psychiatry","language":"en","page":"153-160","source":"DOI.org (Crossref)","title":"Characteristics of Visual Hallucinations in Parkinson Disease Dementia and Dementia With Lewy Bodies","volume":"14","author":[{"family":"Mosimann","given":"Urs P."},{"family":"Rowan","given":"Elise N."},{"family":"Partington","given":"Cassie E."},{"family":"Collerton","given":"Daniel"},{"family":"Littlewood","given":"Elizabeth"},{"family":"O'Brien","given":"John T."},{"family":"Burn","given":"David J."},{"family":"McKeith","given":"Ian G."}],"issued":{"date-parts":[["2006",2]]}}},{"id":13913,"uris":["http://zotero.org/users/local/xUwQuTPV/items/9F7TUXNN"],"uri":["http://zotero.org/users/local/xUwQuTPV/items/9F7TUXNN"],"itemData":{"id":13913,"type":"article-journal","abstract":"Dementia has been increasingly more recognized to be a common feature in patients with Parkinson's disease (PD), especially in old age. Specific criteria for the clinical diagnosis of dementia associated with PD (PD-D), however, have been lacking. A Task Force, organized by the Movement Disorder Study, was charged with the development of clinical diagnostic criteria for PD-D. The Task Force members were assigned to sub-committees and performed a systematic review of the literature, based on pre-defined selection criteria, in order to identify the epidemiological, clinical, auxillary, and pathological features of PD-D. Clinical diagnostic criteria were then developed based on these findings and group consensus. The incidence of dementia in PD is increased up to six times, point-prevelance is close to 30%, older age and akinetic-rigid form are associated with higher risk. PD-D is characterized by impairment in attention, memory, executive and visuo-spatial functions, behavioral symptoms such as affective changes, hallucinations, and apathy are frequent. There are no specific ancillary investigations for the diagnosis; the main pathological correlate is Lewy body-type degeneration in cerebral cortex and limbic structures. Based on the characteristic features associated with this condition, clinical diagnostic criteria for probable and possible PD-D are proposed. © 2007 Movement Disorder Society","container-title":"Movement Disorders","DOI":"10.1002/mds.21507","ISSN":"1531-8257","issue":"12","language":"en","note":"_eprint: https://onlinelibrary.wiley.com/doi/pdf/10.1002/mds.21507","page":"1689-1707","source":"Wiley Online Library","title":"Clinical diagnostic criteria for dementia associated with Parkinson's disease","volume":"22","author":[{"family":"Emre","given":"Murat"},{"family":"Aarsland","given":"Dag"},{"family":"Brown","given":"Richard"},{"family":"Burn","given":"David J."},{"family":"Duyckaerts","given":"Charles"},{"family":"Mizuno","given":"Yoshikino"},{"family":"Broe","given":"Gerald Anthony"},{"family":"Cummings","given":"Jeffrey"},{"family":"Dickson","given":"Dennis W."},{"family":"Gauthier","given":"Serge"},{"family":"Goldman","given":"Jennifer"},{"family":"Goetz","given":"Christopher"},{"family":"Korczyn","given":"Amos"},{"family":"Lees","given":"Andrew"},{"family":"Levy","given":"Richard"},{"family":"Litvan","given":"Irene"},{"family":"McKeith","given":"Ian"},{"family":"Olanow","given":"Warren"},{"family":"Poewe","given":"Werner"},{"family":"Quinn","given":"Niall"},{"family":"Sampaio","given":"Christina"},{"family":"Tolosa","given":"Eduardo"},{"family":"Dubois","given":"Bruno"}],"issued":{"date-parts":[["2007"]]}}},{"id":14240,"uris":["http://zotero.org/users/local/xUwQuTPV/items/VKJ4U376"],"uri":["http://zotero.org/users/local/xUwQuTPV/items/VKJ4U376"],"itemData":{"id":14240,"type":"article-journal","abstract":"The Dementia with Lewy Bodies (DLB) Consortium has refined its recommendations about the clinical and pathologic diagnosis of DLB, updating the previous report, which has been in widespread use for the last decade. The revised DLB consensus criteria now distinguish clearly between clinical features and diagnostic biomarkers, and give guidance about optimal methods to establish and interpret these. Substantial new information has been incorporated about previously reported aspects of DLB, with increased diagnostic weighting given to REM sleep behavior disorder and\n              123\n              iodine-metaiodobenzylguanidine (MIBG) myocardial scintigraphy. The diagnostic role of other neuroimaging, electrophysiologic, and laboratory investigations is also described. Minor modifications to pathologic methods and criteria are recommended to take account of Alzheimer disease neuropathologic change, to add previously omitted Lewy-related pathology categories, and to include assessments for substantia nigra neuronal loss. Recommendations about clinical management are largely based upon expert opinion since randomized controlled trials in DLB are few. Substantial progress has been made since the previous report in the detection and recognition of DLB as a common and important clinical disorder. During that period it has been incorporated into DSM-5, as major neurocognitive disorder with Lewy bodies. There remains a pressing need to understand the underlying neurobiology and pathophysiology of DLB, to develop and deliver clinical trials with both symptomatic and disease-modifying agents, and to help patients and carers worldwide to inform themselves about the disease, its prognosis, best available treatments, ongoing research, and how to get adequate support.","container-title":"Neurology","DOI":"10.1212/WNL.0000000000004058","ISSN":"0028-3878, 1526-632X","issue":"1","journalAbbreviation":"Neurology","language":"en","page":"88-100","source":"DOI.org (Crossref)","title":"Diagnosis and management of dementia with Lewy bodies: Fourth consensus report of the DLB Consortium","title-short":"Diagnosis and management of dementia with Lewy bodies","volume":"89","author":[{"family":"McKeith","given":"Ian G."},{"family":"Boeve","given":"Bradley F."},{"family":"Dickson","given":"Dennis W."},{"family":"Halliday","given":"Glenda"},{"family":"Taylor","given":"John-Paul"},{"family":"Weintraub","given":"Daniel"},{"family":"Aarsland","given":"Dag"},{"family":"Galvin","given":"James"},{"family":"Attems","given":"Johannes"},{"family":"Ballard","given":"Clive G."},{"family":"Bayston","given":"Ashley"},{"family":"Beach","given":"Thomas G."},{"family":"Blanc","given":"Frédéric"},{"family":"Bohnen","given":"Nicolaas"},{"family":"Bonanni","given":"Laura"},{"family":"Bras","given":"Jose"},{"family":"Brundin","given":"Patrik"},{"family":"Burn","given":"David"},{"family":"Chen-Plotkin","given":"Alice"},{"family":"Duda","given":"John E."},{"family":"El-Agnaf","given":"Omar"},{"family":"Feldman","given":"Howard"},{"family":"Ferman","given":"Tanis J."},{"family":"ffytche","given":"Dominic"},{"family":"Fujishiro","given":"Hiroshige"},{"family":"Galasko","given":"Douglas"},{"family":"Goldman","given":"Jennifer G."},{"family":"Gomperts","given":"Stephen N."},{"family":"Graff-Radford","given":"Neill R."},{"family":"Honig","given":"Lawrence S."},{"family":"Iranzo","given":"Alex"},{"family":"Kantarci","given":"Kejal"},{"family":"Kaufer","given":"Daniel"},{"family":"Kukull","given":"Walter"},{"family":"Lee","given":"Virginia M.Y."},{"family":"Leverenz","given":"James B."},{"family":"Lewis","given":"Simon"},{"family":"Lippa","given":"Carol"},{"family":"Lunde","given":"Angela"},{"family":"Masellis","given":"Mario"},{"family":"Masliah","given":"Eliezer"},{"family":"McLean","given":"Pamela"},{"family":"Mollenhauer","given":"Brit"},{"family":"Montine","given":"Thomas J."},{"family":"Moreno","given":"Emilio"},{"family":"Mori","given":"Etsuro"},{"family":"Murray","given":"Melissa"},{"family":"O'Brien","given":"John T."},{"family":"Orimo","given":"Sotoshi"},{"family":"Postuma","given":"Ronald B."},{"family":"Ramaswamy","given":"Shankar"},{"family":"Ross","given":"Owen A."},{"family":"Salmon","given":"David P."},{"family":"Singleton","given":"Andrew"},{"family":"Taylor","given":"Angela"},{"family":"Thomas","given":"Alan"},{"family":"Tiraboschi","given":"Pietro"},{"family":"Toledo","given":"Jon B."},{"family":"Trojanowski","given":"John Q."},{"family":"Tsuang","given":"Debby"},{"family":"Walker","given":"Zuzana"},{"family":"Yamada","given":"Masahito"},{"family":"Kosaka","given":"Kenji"}],"issued":{"date-parts":[["2017",7,4]]}}}],"schema":"https://github.com/citation-style-language/schema/raw/master/csl-citation.json"} </w:instrText>
      </w:r>
      <w:r w:rsidR="001F7B38" w:rsidRPr="00DE1E8C">
        <w:rPr>
          <w:bCs/>
          <w:lang w:val="en-GB"/>
        </w:rPr>
        <w:fldChar w:fldCharType="separate"/>
      </w:r>
      <w:r w:rsidR="00E805F6" w:rsidRPr="00DE1E8C">
        <w:rPr>
          <w:lang w:val="en-GB"/>
        </w:rPr>
        <w:t xml:space="preserve">(Ballard </w:t>
      </w:r>
      <w:r w:rsidR="00E805F6" w:rsidRPr="00DE1E8C">
        <w:rPr>
          <w:i/>
          <w:iCs/>
          <w:lang w:val="en-GB"/>
        </w:rPr>
        <w:t>et al.</w:t>
      </w:r>
      <w:r w:rsidR="00E805F6" w:rsidRPr="00DE1E8C">
        <w:rPr>
          <w:lang w:val="en-GB"/>
        </w:rPr>
        <w:t xml:space="preserve">, 2002; Mosimann </w:t>
      </w:r>
      <w:r w:rsidR="00E805F6" w:rsidRPr="00DE1E8C">
        <w:rPr>
          <w:i/>
          <w:iCs/>
          <w:lang w:val="en-GB"/>
        </w:rPr>
        <w:t>et al.</w:t>
      </w:r>
      <w:r w:rsidR="00E805F6" w:rsidRPr="00DE1E8C">
        <w:rPr>
          <w:lang w:val="en-GB"/>
        </w:rPr>
        <w:t xml:space="preserve">, 2006; Emre </w:t>
      </w:r>
      <w:r w:rsidR="00E805F6" w:rsidRPr="00DE1E8C">
        <w:rPr>
          <w:i/>
          <w:iCs/>
          <w:lang w:val="en-GB"/>
        </w:rPr>
        <w:t>et al.</w:t>
      </w:r>
      <w:r w:rsidR="00E805F6" w:rsidRPr="00DE1E8C">
        <w:rPr>
          <w:lang w:val="en-GB"/>
        </w:rPr>
        <w:t xml:space="preserve">, 2007; McKeith </w:t>
      </w:r>
      <w:r w:rsidR="00E805F6" w:rsidRPr="00DE1E8C">
        <w:rPr>
          <w:i/>
          <w:iCs/>
          <w:lang w:val="en-GB"/>
        </w:rPr>
        <w:t>et al.</w:t>
      </w:r>
      <w:r w:rsidR="00E805F6" w:rsidRPr="00DE1E8C">
        <w:rPr>
          <w:lang w:val="en-GB"/>
        </w:rPr>
        <w:t>, 2017)</w:t>
      </w:r>
      <w:r w:rsidR="001F7B38" w:rsidRPr="00DE1E8C">
        <w:rPr>
          <w:bCs/>
          <w:lang w:val="en-GB"/>
        </w:rPr>
        <w:fldChar w:fldCharType="end"/>
      </w:r>
      <w:r w:rsidR="001F7B38" w:rsidRPr="00DE1E8C">
        <w:rPr>
          <w:bCs/>
          <w:lang w:val="en-GB"/>
        </w:rPr>
        <w:t>.</w:t>
      </w:r>
      <w:r w:rsidR="007716E3" w:rsidRPr="00DE1E8C">
        <w:rPr>
          <w:bCs/>
          <w:lang w:val="en-GB"/>
        </w:rPr>
        <w:t xml:space="preserve"> </w:t>
      </w:r>
      <w:r w:rsidR="00A6092F" w:rsidRPr="00DE1E8C">
        <w:rPr>
          <w:bCs/>
          <w:lang w:val="en-GB"/>
        </w:rPr>
        <w:t>These</w:t>
      </w:r>
      <w:r w:rsidR="005B0647" w:rsidRPr="00DE1E8C">
        <w:rPr>
          <w:bCs/>
          <w:lang w:val="en-GB"/>
        </w:rPr>
        <w:t xml:space="preserve"> </w:t>
      </w:r>
      <w:r w:rsidR="00A6092F" w:rsidRPr="00DE1E8C">
        <w:rPr>
          <w:bCs/>
          <w:lang w:val="en-GB"/>
        </w:rPr>
        <w:t>pose a difficult constellation of symptoms to treat</w:t>
      </w:r>
      <w:r w:rsidR="00380A18" w:rsidRPr="00DE1E8C">
        <w:rPr>
          <w:bCs/>
          <w:lang w:val="en-GB"/>
        </w:rPr>
        <w:t>,</w:t>
      </w:r>
      <w:r w:rsidR="00FE737A" w:rsidRPr="00DE1E8C">
        <w:rPr>
          <w:bCs/>
          <w:lang w:val="en-GB"/>
        </w:rPr>
        <w:t xml:space="preserve"> and there are still many gaps in our understanding of their underlying neurobiology. </w:t>
      </w:r>
      <w:r w:rsidR="00F874C8" w:rsidRPr="00DE1E8C">
        <w:rPr>
          <w:bCs/>
          <w:lang w:val="en-GB"/>
        </w:rPr>
        <w:t>A potential</w:t>
      </w:r>
      <w:r w:rsidR="00210B43" w:rsidRPr="00DE1E8C">
        <w:rPr>
          <w:bCs/>
          <w:lang w:val="en-GB"/>
        </w:rPr>
        <w:t xml:space="preserve"> wa</w:t>
      </w:r>
      <w:r w:rsidR="00D12085" w:rsidRPr="00DE1E8C">
        <w:rPr>
          <w:bCs/>
          <w:lang w:val="en-GB"/>
        </w:rPr>
        <w:t>y</w:t>
      </w:r>
      <w:r w:rsidR="00210B43" w:rsidRPr="00DE1E8C">
        <w:rPr>
          <w:bCs/>
          <w:lang w:val="en-GB"/>
        </w:rPr>
        <w:t xml:space="preserve"> forward is to move away from</w:t>
      </w:r>
      <w:r w:rsidR="000A3E05" w:rsidRPr="00DE1E8C">
        <w:rPr>
          <w:bCs/>
          <w:lang w:val="en-GB"/>
        </w:rPr>
        <w:t xml:space="preserve"> lumping </w:t>
      </w:r>
      <w:r w:rsidR="00264CE8" w:rsidRPr="00DE1E8C">
        <w:rPr>
          <w:bCs/>
          <w:lang w:val="en-GB"/>
        </w:rPr>
        <w:t>deficits together</w:t>
      </w:r>
      <w:r w:rsidR="000A3E05" w:rsidRPr="00DE1E8C">
        <w:rPr>
          <w:bCs/>
          <w:lang w:val="en-GB"/>
        </w:rPr>
        <w:t xml:space="preserve"> under the </w:t>
      </w:r>
      <w:r w:rsidR="007D4CA6" w:rsidRPr="00DE1E8C">
        <w:rPr>
          <w:bCs/>
          <w:lang w:val="en-GB"/>
        </w:rPr>
        <w:t>somewhat nebulous and poorly specified construct of attention</w:t>
      </w:r>
      <w:r w:rsidR="00A07934" w:rsidRPr="00DE1E8C">
        <w:rPr>
          <w:bCs/>
          <w:lang w:val="en-GB"/>
        </w:rPr>
        <w:t xml:space="preserve"> dysfunction</w:t>
      </w:r>
      <w:r w:rsidR="009712C5" w:rsidRPr="00DE1E8C">
        <w:rPr>
          <w:bCs/>
          <w:lang w:val="en-GB"/>
        </w:rPr>
        <w:t xml:space="preserve"> </w:t>
      </w:r>
      <w:r w:rsidR="0016733C" w:rsidRPr="00DE1E8C">
        <w:rPr>
          <w:bCs/>
          <w:lang w:val="en-GB"/>
        </w:rPr>
        <w:fldChar w:fldCharType="begin"/>
      </w:r>
      <w:r w:rsidR="00E805F6" w:rsidRPr="00DE1E8C">
        <w:rPr>
          <w:bCs/>
          <w:lang w:val="en-GB"/>
        </w:rPr>
        <w:instrText xml:space="preserve"> ADDIN ZOTERO_ITEM CSL_CITATION {"citationID":"a14m4hbnrjt","properties":{"formattedCitation":"(Hommel {\\i{}et al.}, 2019; Buzs\\uc0\\u225{}ki, 2020)","plainCitation":"(Hommel et al., 2019; Buzsáki, 2020)","noteIndex":0},"citationItems":[{"id":14157,"uris":["http://zotero.org/users/local/xUwQuTPV/items/992VTXZH"],"uri":["http://zotero.org/users/local/xUwQuTPV/items/992VTXZH"],"itemData":{"id":14157,"type":"article-journal","abstract":"In this article, we challenge the usefulness of “attention” as a unitary construct and/or neural system. We point out that the concept has too many meanings to justify a single term, and that “attention” is used to refer to both the explanandum (the set of phenomena in need of explanation) and the explanans (the set of processes doing the explaining). To illustrate these points, we focus our discussion on visual selective attention. It is argued that selectivity in processing has emerged through evolution as a design feature of a complex multi-channel sensorimotor system, which generates selective phenomena of “attention” as one of many by-products. Instead of the traditional analytic approach to attention, we suggest a synthetic approach that starts with well-understood mechanisms that do not need to be dedicated to attention, and yet account for the selectivity phenomena under investigation. We conclude that what would serve scientific progress best would be to drop the term “attention” as a label for a specific functional or neural system and instead focus on behaviorally relevant selection processes and the many systems that implement them.","container-title":"Attention, Perception, &amp; Psychophysics","DOI":"10.3758/s13414-019-01846-w","ISSN":"1943-3921, 1943-393X","issue":"7","journalAbbreviation":"Atten Percept Psychophys","language":"en","page":"2288-2303","source":"DOI.org (Crossref)","title":"No one knows what attention is","volume":"81","author":[{"family":"Hommel","given":"Bernhard"},{"family":"Chapman","given":"Craig S."},{"family":"Cisek","given":"Paul"},{"family":"Neyedli","given":"Heather F."},{"family":"Song","given":"Joo-Hyun"},{"family":"Welsh","given":"Timothy N."}],"issued":{"date-parts":[["2019",10]]}}},{"id":14151,"uris":["http://zotero.org/users/local/xUwQuTPV/items/NLIRHBDE"],"uri":["http://zotero.org/users/local/xUwQuTPV/items/NLIRHBDE"],"itemData":{"id":14151,"type":"article-journal","container-title":"eneuro","DOI":"10.1523/ENEURO.0069-20.2020","ISSN":"2373-2822","issue":"4","journalAbbreviation":"eNeuro","language":"en","page":"ENEURO.0069-20.2020","source":"DOI.org (Crossref)","title":"The Brain–Cognitive Behavior Problem: A Retrospective","title-short":"The Brain–Cognitive Behavior Problem","volume":"7","author":[{"family":"Buzsáki","given":"György"}],"issued":{"date-parts":[["2020",7]]}}}],"schema":"https://github.com/citation-style-language/schema/raw/master/csl-citation.json"} </w:instrText>
      </w:r>
      <w:r w:rsidR="0016733C" w:rsidRPr="00DE1E8C">
        <w:rPr>
          <w:bCs/>
          <w:lang w:val="en-GB"/>
        </w:rPr>
        <w:fldChar w:fldCharType="separate"/>
      </w:r>
      <w:r w:rsidR="00E805F6" w:rsidRPr="00DE1E8C">
        <w:rPr>
          <w:lang w:val="en-GB"/>
        </w:rPr>
        <w:t xml:space="preserve">(Hommel </w:t>
      </w:r>
      <w:r w:rsidR="00E805F6" w:rsidRPr="00DE1E8C">
        <w:rPr>
          <w:i/>
          <w:iCs/>
          <w:lang w:val="en-GB"/>
        </w:rPr>
        <w:t>et al.</w:t>
      </w:r>
      <w:r w:rsidR="00E805F6" w:rsidRPr="00DE1E8C">
        <w:rPr>
          <w:lang w:val="en-GB"/>
        </w:rPr>
        <w:t>, 2019; Buzsáki, 2020)</w:t>
      </w:r>
      <w:r w:rsidR="0016733C" w:rsidRPr="00DE1E8C">
        <w:rPr>
          <w:bCs/>
          <w:lang w:val="en-GB"/>
        </w:rPr>
        <w:fldChar w:fldCharType="end"/>
      </w:r>
      <w:r w:rsidR="0016733C" w:rsidRPr="00DE1E8C">
        <w:rPr>
          <w:bCs/>
          <w:lang w:val="en-GB"/>
        </w:rPr>
        <w:t>, and identify</w:t>
      </w:r>
      <w:r w:rsidR="00381030" w:rsidRPr="00DE1E8C">
        <w:rPr>
          <w:bCs/>
          <w:lang w:val="en-GB"/>
        </w:rPr>
        <w:t xml:space="preserve"> more specific processes that</w:t>
      </w:r>
      <w:r w:rsidR="005B0647" w:rsidRPr="00DE1E8C">
        <w:rPr>
          <w:bCs/>
          <w:lang w:val="en-GB"/>
        </w:rPr>
        <w:t xml:space="preserve"> are </w:t>
      </w:r>
      <w:r w:rsidR="00264CE8" w:rsidRPr="00DE1E8C">
        <w:rPr>
          <w:bCs/>
          <w:lang w:val="en-GB"/>
        </w:rPr>
        <w:t>impaired</w:t>
      </w:r>
      <w:r w:rsidR="00CB2C67" w:rsidRPr="00DE1E8C">
        <w:rPr>
          <w:bCs/>
          <w:lang w:val="en-GB"/>
        </w:rPr>
        <w:t>.</w:t>
      </w:r>
      <w:r w:rsidR="00264CE8" w:rsidRPr="00DE1E8C">
        <w:rPr>
          <w:bCs/>
          <w:lang w:val="en-GB"/>
        </w:rPr>
        <w:t xml:space="preserve"> </w:t>
      </w:r>
      <w:r w:rsidR="007D4CA6" w:rsidRPr="00DE1E8C">
        <w:rPr>
          <w:bCs/>
          <w:lang w:val="en-GB"/>
        </w:rPr>
        <w:t xml:space="preserve"> </w:t>
      </w:r>
      <w:r w:rsidR="000A3E05" w:rsidRPr="00DE1E8C">
        <w:rPr>
          <w:bCs/>
          <w:lang w:val="en-GB"/>
        </w:rPr>
        <w:t xml:space="preserve"> </w:t>
      </w:r>
      <w:r w:rsidR="00210B43" w:rsidRPr="00DE1E8C">
        <w:rPr>
          <w:bCs/>
          <w:lang w:val="en-GB"/>
        </w:rPr>
        <w:t xml:space="preserve"> </w:t>
      </w:r>
      <w:r w:rsidR="00F874C8" w:rsidRPr="00DE1E8C">
        <w:rPr>
          <w:bCs/>
          <w:lang w:val="en-GB"/>
        </w:rPr>
        <w:t xml:space="preserve"> </w:t>
      </w:r>
      <w:r w:rsidR="00A6092F" w:rsidRPr="00DE1E8C">
        <w:rPr>
          <w:bCs/>
          <w:lang w:val="en-GB"/>
        </w:rPr>
        <w:t xml:space="preserve">  </w:t>
      </w:r>
      <w:r w:rsidR="00AF3121" w:rsidRPr="00DE1E8C">
        <w:rPr>
          <w:bCs/>
          <w:lang w:val="en-GB"/>
        </w:rPr>
        <w:t xml:space="preserve"> </w:t>
      </w:r>
    </w:p>
    <w:p w14:paraId="18FC0162" w14:textId="77777777" w:rsidR="00EE7DA3" w:rsidRPr="00DE1E8C" w:rsidRDefault="00EE7DA3" w:rsidP="00932ACC">
      <w:pPr>
        <w:spacing w:line="360" w:lineRule="auto"/>
        <w:contextualSpacing/>
        <w:jc w:val="both"/>
        <w:rPr>
          <w:bCs/>
          <w:lang w:val="en-GB"/>
        </w:rPr>
      </w:pPr>
    </w:p>
    <w:p w14:paraId="0126557A" w14:textId="11313C98" w:rsidR="000A6E79" w:rsidRPr="00DE1E8C" w:rsidRDefault="00237EF4" w:rsidP="00F93BDF">
      <w:pPr>
        <w:spacing w:line="360" w:lineRule="auto"/>
        <w:contextualSpacing/>
        <w:jc w:val="both"/>
        <w:rPr>
          <w:bCs/>
          <w:lang w:val="en-GB"/>
        </w:rPr>
      </w:pPr>
      <w:r w:rsidRPr="00DE1E8C">
        <w:rPr>
          <w:bCs/>
          <w:lang w:val="en-GB"/>
        </w:rPr>
        <w:t xml:space="preserve">One </w:t>
      </w:r>
      <w:r w:rsidR="003B44CC" w:rsidRPr="00DE1E8C">
        <w:rPr>
          <w:bCs/>
          <w:lang w:val="en-GB"/>
        </w:rPr>
        <w:t xml:space="preserve">strategy is to </w:t>
      </w:r>
      <w:r w:rsidR="00E22D19" w:rsidRPr="00DE1E8C">
        <w:rPr>
          <w:bCs/>
          <w:lang w:val="en-GB"/>
        </w:rPr>
        <w:t xml:space="preserve">apply </w:t>
      </w:r>
      <w:r w:rsidR="00F70180" w:rsidRPr="00DE1E8C">
        <w:rPr>
          <w:bCs/>
          <w:lang w:val="en-GB"/>
        </w:rPr>
        <w:t xml:space="preserve">mathematical modelling approaches that decompose behavioural tasks into their </w:t>
      </w:r>
      <w:r w:rsidR="004D5858" w:rsidRPr="00DE1E8C">
        <w:rPr>
          <w:bCs/>
          <w:lang w:val="en-GB"/>
        </w:rPr>
        <w:t>constituent</w:t>
      </w:r>
      <w:r w:rsidR="00F70180" w:rsidRPr="00DE1E8C">
        <w:rPr>
          <w:bCs/>
          <w:lang w:val="en-GB"/>
        </w:rPr>
        <w:t xml:space="preserve"> sub-processes</w:t>
      </w:r>
      <w:r w:rsidR="004D5858" w:rsidRPr="00DE1E8C">
        <w:rPr>
          <w:bCs/>
          <w:lang w:val="en-GB"/>
        </w:rPr>
        <w:t xml:space="preserve"> </w:t>
      </w:r>
      <w:r w:rsidR="005656FC" w:rsidRPr="00DE1E8C">
        <w:rPr>
          <w:bCs/>
          <w:lang w:val="en-GB"/>
        </w:rPr>
        <w:fldChar w:fldCharType="begin"/>
      </w:r>
      <w:r w:rsidR="00E805F6" w:rsidRPr="00DE1E8C">
        <w:rPr>
          <w:bCs/>
          <w:lang w:val="en-GB"/>
        </w:rPr>
        <w:instrText xml:space="preserve"> ADDIN ZOTERO_ITEM CSL_CITATION {"citationID":"a105mbd2rd4","properties":{"formattedCitation":"(Forstmann {\\i{}et al.}, 2016)","plainCitation":"(Forstmann et al., 2016)","noteIndex":0},"citationItems":[{"id":14279,"uris":["http://zotero.org/users/local/xUwQuTPV/items/SPIQYLUW"],"uri":["http://zotero.org/users/local/xUwQuTPV/items/SPIQYLUW"],"itemData":{"id":14279,"type":"article-journal","abstract":"Sequential sampling models assume that people make speeded decisions by gradually accumulating noisy information until a threshold of evidence is reached. In cognitive science, one such model—the diffusion decision model—is now regularly used to decompose task performance into underlying processes such as the quality of information processing, response caution, and a priori bias. In the cognitive neurosciences, the diffusion decision model has recently been adopted as a quantitative tool to study the neural basis of decision making under time pressure. We present a selective overview of several recent applications and extensions of the diffusion decision model in the cognitive neurosciences.","container-title":"Annual Review of Psychology","DOI":"10.1146/annurev-psych-122414-033645","issue":"1","note":"_eprint: https://doi.org/10.1146/annurev-psych-122414-033645\nPMID: 26393872","page":"641-666","source":"Annual Reviews","title":"Sequential Sampling Models in Cognitive Neuroscience: Advantages, Applications, and Extensions","title-short":"Sequential Sampling Models in Cognitive Neuroscience","volume":"67","author":[{"family":"Forstmann","given":"B.U."},{"family":"Ratcliff","given":"R."},{"family":"Wagenmakers","given":"E.-J."}],"issued":{"date-parts":[["2016"]]}}}],"schema":"https://github.com/citation-style-language/schema/raw/master/csl-citation.json"} </w:instrText>
      </w:r>
      <w:r w:rsidR="005656FC" w:rsidRPr="00DE1E8C">
        <w:rPr>
          <w:bCs/>
          <w:lang w:val="en-GB"/>
        </w:rPr>
        <w:fldChar w:fldCharType="separate"/>
      </w:r>
      <w:r w:rsidR="00E805F6" w:rsidRPr="00DE1E8C">
        <w:rPr>
          <w:lang w:val="en-GB"/>
        </w:rPr>
        <w:t xml:space="preserve">(Forstmann </w:t>
      </w:r>
      <w:r w:rsidR="00E805F6" w:rsidRPr="00DE1E8C">
        <w:rPr>
          <w:i/>
          <w:iCs/>
          <w:lang w:val="en-GB"/>
        </w:rPr>
        <w:t>et al.</w:t>
      </w:r>
      <w:r w:rsidR="00E805F6" w:rsidRPr="00DE1E8C">
        <w:rPr>
          <w:lang w:val="en-GB"/>
        </w:rPr>
        <w:t>, 2016)</w:t>
      </w:r>
      <w:r w:rsidR="005656FC" w:rsidRPr="00DE1E8C">
        <w:rPr>
          <w:bCs/>
          <w:lang w:val="en-GB"/>
        </w:rPr>
        <w:fldChar w:fldCharType="end"/>
      </w:r>
      <w:r w:rsidR="005656FC" w:rsidRPr="00DE1E8C">
        <w:rPr>
          <w:bCs/>
          <w:lang w:val="en-GB"/>
        </w:rPr>
        <w:t>.</w:t>
      </w:r>
      <w:r w:rsidR="00C03A15" w:rsidRPr="00DE1E8C">
        <w:rPr>
          <w:bCs/>
          <w:lang w:val="en-GB"/>
        </w:rPr>
        <w:t xml:space="preserve"> </w:t>
      </w:r>
      <w:r w:rsidR="004012B7" w:rsidRPr="00DE1E8C">
        <w:rPr>
          <w:bCs/>
          <w:lang w:val="en-GB"/>
        </w:rPr>
        <w:t>Such</w:t>
      </w:r>
      <w:r w:rsidR="008A21E5" w:rsidRPr="00DE1E8C">
        <w:rPr>
          <w:bCs/>
          <w:lang w:val="en-GB"/>
        </w:rPr>
        <w:t xml:space="preserve"> </w:t>
      </w:r>
      <w:r w:rsidR="00C03A15" w:rsidRPr="00DE1E8C">
        <w:rPr>
          <w:bCs/>
          <w:lang w:val="en-GB"/>
        </w:rPr>
        <w:t>models</w:t>
      </w:r>
      <w:r w:rsidR="00203323" w:rsidRPr="00DE1E8C">
        <w:rPr>
          <w:bCs/>
          <w:lang w:val="en-GB"/>
        </w:rPr>
        <w:t xml:space="preserve"> aim to</w:t>
      </w:r>
      <w:r w:rsidR="00C03A15" w:rsidRPr="00DE1E8C">
        <w:rPr>
          <w:bCs/>
          <w:lang w:val="en-GB"/>
        </w:rPr>
        <w:t xml:space="preserve"> provide an intermediate </w:t>
      </w:r>
      <w:r w:rsidR="00797B9A" w:rsidRPr="00DE1E8C">
        <w:rPr>
          <w:bCs/>
          <w:lang w:val="en-GB"/>
        </w:rPr>
        <w:t>level between observed behavioural data and</w:t>
      </w:r>
      <w:r w:rsidR="003C3B2B" w:rsidRPr="00DE1E8C">
        <w:rPr>
          <w:bCs/>
          <w:lang w:val="en-GB"/>
        </w:rPr>
        <w:t xml:space="preserve"> its</w:t>
      </w:r>
      <w:r w:rsidR="00797B9A" w:rsidRPr="00DE1E8C">
        <w:rPr>
          <w:bCs/>
          <w:lang w:val="en-GB"/>
        </w:rPr>
        <w:t xml:space="preserve"> underlying</w:t>
      </w:r>
      <w:r w:rsidR="003C3B2B" w:rsidRPr="00DE1E8C">
        <w:rPr>
          <w:bCs/>
          <w:lang w:val="en-GB"/>
        </w:rPr>
        <w:t xml:space="preserve"> neural correlate</w:t>
      </w:r>
      <w:r w:rsidR="00194D02" w:rsidRPr="00DE1E8C">
        <w:rPr>
          <w:bCs/>
          <w:lang w:val="en-GB"/>
        </w:rPr>
        <w:t xml:space="preserve"> </w:t>
      </w:r>
      <w:r w:rsidR="00AB7422" w:rsidRPr="00DE1E8C">
        <w:rPr>
          <w:bCs/>
          <w:lang w:val="en-GB"/>
        </w:rPr>
        <w:fldChar w:fldCharType="begin"/>
      </w:r>
      <w:r w:rsidR="00E805F6" w:rsidRPr="00DE1E8C">
        <w:rPr>
          <w:bCs/>
          <w:lang w:val="en-GB"/>
        </w:rPr>
        <w:instrText xml:space="preserve"> ADDIN ZOTERO_ITEM CSL_CITATION {"citationID":"a2n4i3l5837","properties":{"formattedCitation":"(Mulder {\\i{}et al.}, 2014)","plainCitation":"(Mulder et al., 2014)","noteIndex":0},"citationItems":[{"id":14292,"uris":["http://zotero.org/users/local/xUwQuTPV/items/WT8UYQYK"],"uri":["http://zotero.org/users/local/xUwQuTPV/items/WT8UYQYK"],"itemData":{"id":14292,"type":"article-journal","abstract":"In this review we summarize ﬁndings published over the past 10 years focusing on the neural correlates of perceptual decision-making. Importantly, this review highlights only studies that employ a model-based approach, i.e., they use quantitative cognitive models in combination with neuroscientiﬁc data. The model-based approach allows capturing latent decision-making processes such as strategic adjustments of response thresholds and relate these to interindividual diﬀerences or single-trial blood-oxygenated level dependent (BOLD) functional Magnetic Resonance Imaging (fMRI) responses. The review shows that diﬀerent cortico-subcortical networks are responsive to diﬀerent latent decision-making processes. More concretely, we show that evidence accumulation is associated with a frontoparietal network which is partly overlapping with choice bias in perceptual decision making. The setting of decision thresholds is associated with fronto-basal ganglia networks which are also found for choice bias. In sum, we argue that the model-based approach holds great promises to understand the neural correlates of latent cognitive processes. Ó 2014 IBRO. Published by Elsevier Ltd. All rights reserved.","container-title":"Neuroscience","DOI":"10.1016/j.neuroscience.2014.07.031","ISSN":"03064522","journalAbbreviation":"Neuroscience","language":"en","page":"872-884","source":"DOI.org (Crossref)","title":"Perceptual decision neurosciences – A model-based review","volume":"277","author":[{"family":"Mulder","given":"M.J."},{"family":"Maanen","given":"L.","non-dropping-particle":"van"},{"family":"Forstmann","given":"B.U."}],"issued":{"date-parts":[["2014",9]]}}}],"schema":"https://github.com/citation-style-language/schema/raw/master/csl-citation.json"} </w:instrText>
      </w:r>
      <w:r w:rsidR="00AB7422" w:rsidRPr="00DE1E8C">
        <w:rPr>
          <w:bCs/>
          <w:lang w:val="en-GB"/>
        </w:rPr>
        <w:fldChar w:fldCharType="separate"/>
      </w:r>
      <w:r w:rsidR="00E805F6" w:rsidRPr="00DE1E8C">
        <w:rPr>
          <w:lang w:val="en-GB"/>
        </w:rPr>
        <w:t xml:space="preserve">(Mulder </w:t>
      </w:r>
      <w:r w:rsidR="00E805F6" w:rsidRPr="00DE1E8C">
        <w:rPr>
          <w:i/>
          <w:iCs/>
          <w:lang w:val="en-GB"/>
        </w:rPr>
        <w:t>et al.</w:t>
      </w:r>
      <w:r w:rsidR="00E805F6" w:rsidRPr="00DE1E8C">
        <w:rPr>
          <w:lang w:val="en-GB"/>
        </w:rPr>
        <w:t>, 2014)</w:t>
      </w:r>
      <w:r w:rsidR="00AB7422" w:rsidRPr="00DE1E8C">
        <w:rPr>
          <w:bCs/>
          <w:lang w:val="en-GB"/>
        </w:rPr>
        <w:fldChar w:fldCharType="end"/>
      </w:r>
      <w:r w:rsidR="00AB7422" w:rsidRPr="00DE1E8C">
        <w:rPr>
          <w:bCs/>
          <w:lang w:val="en-GB"/>
        </w:rPr>
        <w:t xml:space="preserve">. </w:t>
      </w:r>
      <w:r w:rsidR="00D958EF" w:rsidRPr="00DE1E8C">
        <w:rPr>
          <w:bCs/>
          <w:lang w:val="en-GB"/>
        </w:rPr>
        <w:t>In neuro</w:t>
      </w:r>
      <w:r w:rsidR="00FD597B" w:rsidRPr="00DE1E8C">
        <w:rPr>
          <w:bCs/>
          <w:lang w:val="en-GB"/>
        </w:rPr>
        <w:t>de</w:t>
      </w:r>
      <w:r w:rsidR="00D958EF" w:rsidRPr="00DE1E8C">
        <w:rPr>
          <w:bCs/>
          <w:lang w:val="en-GB"/>
        </w:rPr>
        <w:t xml:space="preserve">generative </w:t>
      </w:r>
      <w:r w:rsidR="00695414" w:rsidRPr="00DE1E8C">
        <w:rPr>
          <w:bCs/>
          <w:lang w:val="en-GB"/>
        </w:rPr>
        <w:t>conditions</w:t>
      </w:r>
      <w:r w:rsidR="00CB12FC" w:rsidRPr="00DE1E8C">
        <w:rPr>
          <w:bCs/>
          <w:lang w:val="en-GB"/>
        </w:rPr>
        <w:t xml:space="preserve">, parameters derived from </w:t>
      </w:r>
      <w:r w:rsidR="008A21E5" w:rsidRPr="00DE1E8C">
        <w:rPr>
          <w:bCs/>
          <w:lang w:val="en-GB"/>
        </w:rPr>
        <w:t>these</w:t>
      </w:r>
      <w:r w:rsidR="00CB12FC" w:rsidRPr="00DE1E8C">
        <w:rPr>
          <w:bCs/>
          <w:lang w:val="en-GB"/>
        </w:rPr>
        <w:t xml:space="preserve"> models </w:t>
      </w:r>
      <w:r w:rsidR="00C177CE" w:rsidRPr="00DE1E8C">
        <w:rPr>
          <w:bCs/>
          <w:lang w:val="en-GB"/>
        </w:rPr>
        <w:t>have been</w:t>
      </w:r>
      <w:r w:rsidR="00CB12FC" w:rsidRPr="00DE1E8C">
        <w:rPr>
          <w:bCs/>
          <w:lang w:val="en-GB"/>
        </w:rPr>
        <w:t xml:space="preserve"> informative in classifying </w:t>
      </w:r>
      <w:r w:rsidR="00695414" w:rsidRPr="00DE1E8C">
        <w:rPr>
          <w:bCs/>
          <w:lang w:val="en-GB"/>
        </w:rPr>
        <w:t xml:space="preserve">syndromes </w:t>
      </w:r>
      <w:r w:rsidR="006613E1" w:rsidRPr="00DE1E8C">
        <w:rPr>
          <w:bCs/>
          <w:lang w:val="en-GB"/>
        </w:rPr>
        <w:fldChar w:fldCharType="begin"/>
      </w:r>
      <w:r w:rsidR="00A867A4" w:rsidRPr="00DE1E8C">
        <w:rPr>
          <w:bCs/>
          <w:lang w:val="en-GB"/>
        </w:rPr>
        <w:instrText xml:space="preserve"> ADDIN ZOTERO_ITEM CSL_CITATION {"citationID":"alvnhfjcd8","properties":{"formattedCitation":"(Zhang {\\i{}et al.}, 2016, O\\uc0\\u8217{}Callaghan {\\i{}et al.}, 2017{\\i{}a})","plainCitation":"(Zhang et al., 2016, O’Callaghan et al., 2017a)","noteIndex":0},"citationItems":[{"id":11788,"uris":["http://zotero.org/users/local/xUwQuTPV/items/Q77YKAAC"],"uri":["http://zotero.org/users/local/xUwQuTPV/items/Q77YKAAC"],"itemData":{"id":11788,"type":"article-journal","container-title":"Brain","DOI":"10.1093/brain/awv331","ISSN":"0006-8950, 1460-2156","issue":"1","journalAbbreviation":"Brain","language":"en","page":"161-173","source":"DOI.org (Crossref)","title":"Different decision deficits impair response inhibition in progressive supranuclear palsy and Parkinson’s disease","volume":"139","author":[{"family":"Zhang","given":"Jiaxiang"},{"family":"Rittman","given":"Timothy"},{"family":"Nombela","given":"Cristina"},{"family":"Fois","given":"Alessandro"},{"family":"Coyle-Gilchrist","given":"Ian"},{"family":"Barker","given":"Roger A."},{"family":"Hughes","given":"Laura E."},{"family":"Rowe","given":"James B."}],"issued":{"date-parts":[["2016",1]]}}},{"id":"pCIaS5xB/Faayigvl","uris":["http://zotero.org/users/local/xUwQuTPV/items/7BPW3P5C"],"uri":["http://zotero.org/users/local/xUwQuTPV/items/7BPW3P5C"],"itemData":{"id":"9qlmzM1L/iWCXqJhc","type":"article-journal","abstract":"Biological Psychiatry: Cognitive Neuroscience and Neuroimaging, 2 (2017) 680-688. doi:10.1016/j.bpsc.2017.04.007","container-title":"Biological Psychiatry: Cognitive Neuroscience and Neuroimaging","DOI":"10.1016/j.bpsc.2017.04.007","issue":"8","journalAbbreviation":"Biological Psychiatry: Cognitive Neuroscience and Neuroimaging","page":"680-688","title":"Visual Hallucinations Are Characterized by Impaired Sensory Evidence Accumulation: Insights From Hierarchical Drift Diffusion Modeling in Parkinson's Disease","volume":"2","author":[{"family":"O'Callaghan","given":"Claire"},{"family":"Hall","given":"Julie M."},{"family":"Tomassini","given":"Alessandro"},{"family":"Muller","given":"Alana J."},{"family":"Walpola","given":"Ishan C."},{"family":"Moustafa","given":"Ahmed A."},{"family":"Shine","given":"James M."},{"family":"Lewis","given":"Simon J. G."}],"issued":{"date-parts":[["2017",11,1]]}}}],"schema":"https://github.com/citation-style-language/schema/raw/master/csl-citation.json"} </w:instrText>
      </w:r>
      <w:r w:rsidR="006613E1" w:rsidRPr="00DE1E8C">
        <w:rPr>
          <w:bCs/>
          <w:lang w:val="en-GB"/>
        </w:rPr>
        <w:fldChar w:fldCharType="separate"/>
      </w:r>
      <w:r w:rsidR="00E805F6" w:rsidRPr="00DE1E8C">
        <w:rPr>
          <w:lang w:val="en-GB"/>
        </w:rPr>
        <w:t xml:space="preserve">(Zhang </w:t>
      </w:r>
      <w:r w:rsidR="00E805F6" w:rsidRPr="00DE1E8C">
        <w:rPr>
          <w:i/>
          <w:iCs/>
          <w:lang w:val="en-GB"/>
        </w:rPr>
        <w:t>et al.</w:t>
      </w:r>
      <w:r w:rsidR="00E805F6" w:rsidRPr="00DE1E8C">
        <w:rPr>
          <w:lang w:val="en-GB"/>
        </w:rPr>
        <w:t xml:space="preserve">, 2016, O’Callaghan </w:t>
      </w:r>
      <w:r w:rsidR="00E805F6" w:rsidRPr="00DE1E8C">
        <w:rPr>
          <w:i/>
          <w:iCs/>
          <w:lang w:val="en-GB"/>
        </w:rPr>
        <w:t>et al.</w:t>
      </w:r>
      <w:r w:rsidR="00E805F6" w:rsidRPr="00DE1E8C">
        <w:rPr>
          <w:lang w:val="en-GB"/>
        </w:rPr>
        <w:t>, 2017</w:t>
      </w:r>
      <w:r w:rsidR="00E805F6" w:rsidRPr="00DE1E8C">
        <w:rPr>
          <w:i/>
          <w:iCs/>
          <w:lang w:val="en-GB"/>
        </w:rPr>
        <w:t>a</w:t>
      </w:r>
      <w:r w:rsidR="00E805F6" w:rsidRPr="00DE1E8C">
        <w:rPr>
          <w:lang w:val="en-GB"/>
        </w:rPr>
        <w:t>)</w:t>
      </w:r>
      <w:r w:rsidR="006613E1" w:rsidRPr="00DE1E8C">
        <w:rPr>
          <w:bCs/>
          <w:lang w:val="en-GB"/>
        </w:rPr>
        <w:fldChar w:fldCharType="end"/>
      </w:r>
      <w:r w:rsidR="00757BBE" w:rsidRPr="00DE1E8C">
        <w:rPr>
          <w:bCs/>
          <w:lang w:val="en-GB"/>
        </w:rPr>
        <w:t xml:space="preserve"> and in </w:t>
      </w:r>
      <w:r w:rsidR="003C6978" w:rsidRPr="00DE1E8C">
        <w:rPr>
          <w:bCs/>
          <w:lang w:val="en-GB"/>
        </w:rPr>
        <w:t>measuring</w:t>
      </w:r>
      <w:r w:rsidR="00757BBE" w:rsidRPr="00DE1E8C">
        <w:rPr>
          <w:bCs/>
          <w:lang w:val="en-GB"/>
        </w:rPr>
        <w:t xml:space="preserve"> the effects of treatment interventions </w:t>
      </w:r>
      <w:r w:rsidR="0080290E" w:rsidRPr="00DE1E8C">
        <w:rPr>
          <w:bCs/>
          <w:lang w:val="en-GB"/>
        </w:rPr>
        <w:fldChar w:fldCharType="begin"/>
      </w:r>
      <w:r w:rsidR="00316CE9" w:rsidRPr="00DE1E8C">
        <w:rPr>
          <w:bCs/>
          <w:lang w:val="en-GB"/>
        </w:rPr>
        <w:instrText xml:space="preserve"> ADDIN ZOTERO_ITEM CSL_CITATION {"citationID":"a170ehmis2n","properties":{"formattedCitation":"(Herz {\\i{}et al.}, 2018; Tomassini {\\i{}et al.}, 2019; O\\uc0\\u8217{}Callaghan {\\i{}et al.}, 2020)","plainCitation":"(Herz et al., 2018; Tomassini et al., 2019; O’Callaghan et al., 2020)","noteIndex":0},"citationItems":[{"id":5417,"uris":["http://zotero.org/users/local/xUwQuTPV/items/Z8M4LWQT"],"uri":["http://zotero.org/users/local/xUwQuTPV/items/Z8M4LWQT"],"itemData":{"id":5417,"type":"article-journal","abstract":"Current Biology, 28 (2018) 1169-1184. doi:10.1016/j.cub.2018.02.057","container-title":"CURBIO","DOI":"10.1016/j.cub.2018.02.057","issue":"8","journalAbbreviation":"CURBIO","page":"1169-1178.e6","title":"Mechanisms Underlying Decision-Making as Revealed by Deep-Brain Stimulation in Patients with Parkinson's Disease","volume":"28","author":[{"family":"Herz","given":"Damian M."},{"family":"Little","given":"Simon"},{"family":"Pedrosa","given":"David J."},{"family":"Tinkhauser","given":"Gerd"},{"family":"Cheeran","given":"Binith"},{"family":"Foltynie","given":"Tom"},{"family":"Bogacz","given":"Rafal"},{"family":"Brown","given":"Peter"}],"issued":{"date-parts":[["2018",4,23]]}}},{"id":14499,"uris":["http://zotero.org/users/local/xUwQuTPV/items/FI3EK3H6"],"uri":["http://zotero.org/users/local/xUwQuTPV/items/FI3EK3H6"],"itemData":{"id":14499,"type":"article-journal","abstract":"The prolonged reaction times seen in Parkinson's disease (PD) have been linked to a dopaminergic-dependent deficit in using prior information to prepare responses, but also have been explained by an altered temporal processing. However, an underlying cognitive mechanism linking dopamine, temporal processing and response preparation remains elusive.","container-title":"Neuropsychologia","DOI":"10.1016/j.neuropsychologia.2019.02.003","ISSN":"00283932","journalAbbreviation":"Neuropsychologia","language":"en","page":"9-18","source":"DOI.org (Crossref)","title":"Learning from the past and expecting the future in Parkinsonism: Dopaminergic influence on predictions about the timing of future events","title-short":"Learning from the past and expecting the future in Parkinsonism","volume":"127","author":[{"family":"Tomassini","given":"Alessandro"},{"family":"Pollak","given":"Thomas A."},{"family":"Edwards","given":"Mark J."},{"family":"Bestmann","given":"Sven"}],"issued":{"date-parts":[["2019",4]]}}},{"id":14752,"uris":["http://zotero.org/users/local/xUwQuTPV/items/KSYCE859"],"uri":["http://zotero.org/users/local/xUwQuTPV/items/KSYCE859"],"itemData":{"id":14752,"type":"article-journal","abstract":"Cognitive decline is a common feature of Parkinson’s disease, and many of these cognitive deficits fail to respond to dopaminergic therapy. Therefore, targeting other neuromodulatory systems represents an important therapeutic strategy. Among these, the locus coeruleusnoradrenaline system has been extensively implicated in response inhibition deficits. Restoring noradrenaline levels using the noradrenergic reuptake inhibitor atomoxetine can improve response inhibition in some patients with Parkinson’s disease, but there is considerable heterogeneity in treatment response. Accurately predicting the patients who would benefit from therapies targeting this neurotransmitter system remains a critical goal, in order to design the necessary clinical trials with stratified patient selection to establish the therapeutic potential of atomoxetine. Here, we test the hypothesis that integrity of the noradrenergic locus coeruleus explains the variation in improvement of response inhibition following atomoxetine. In a double-blind placebo-controlled randomised crossover design, 19 people with Parkinson’s disease completed an acute psychopharmacological challenge with 40 mg of oral atomoxetine or placebo. A stop-signal task was used to measure response inhibition, with stop-signal reaction times obtained through hierarchical Bayesian estimation of an ex-Gaussian race model. Twenty-six control subjects completed the same task without undergoing the drug manipulation. In a separate session, patients and controls underwent ultra-high field 7T imaging of the locus coeruleus using a neuromelanin-sensitive magnetisation transfer sequence. The principal result was that atomoxetine improved stop-signal reaction times in those patients with lower locus coeruleus integrity. This was in the context of a general impairment in response inhibition, as patients on placebo had longer stop-signal reaction times compared to controls. We also found that the caudal portion of the locus coeruleus showed the largest neuromelanin signal decrease in the patients compared to controls. Our results highlight a link between the integrity of the noradrenergic locus coeruleus and response inhibition in Parkinson’s disease patients. Furthermore, they demonstrate the importance of baseline noradrenergic state in determining the response to atomoxetine. We suggest that locus coeruleus neuromelanin imaging offers a marker of noradrenergic capacity that could be used to stratify patients in trials of noradrenergic therapy and to ultimately inform personalised treatment approaches.","language":"en","note":"DOI: 10.1101/2020.09.03.20176800","source":"DOI.org (Crossref)","title":"Locus coeruleus integrity and the effect of atomoxetine on response inhibition in Parkinson's disease","URL":"http://medrxiv.org/lookup/doi/10.1101/2020.09.03.20176800","author":[{"family":"O'Callaghan","given":"Claire"},{"family":"Hezemans","given":"Frank Hubert"},{"family":"Ye","given":"Rong"},{"family":"Rua","given":"Catarina"},{"family":"Jones","given":"P Simon"},{"family":"Murley","given":"Alexander G"},{"family":"Holland","given":"Negin"},{"family":"Regenthal","given":"Ralf"},{"family":"Tsvetanov","given":"Kamen"},{"family":"Wolpe","given":"Noham"},{"family":"Barker","given":"Roger"},{"family":"Williams-Gray","given":"Caroline"},{"family":"Robbins","given":"Trevor"},{"family":"Passamonti","given":"Luca"},{"family":"Rowe","given":"James"}],"accessed":{"date-parts":[["2020",12,27]]},"issued":{"date-parts":[["2020",9,3]]}}}],"schema":"https://github.com/citation-style-language/schema/raw/master/csl-citation.json"} </w:instrText>
      </w:r>
      <w:r w:rsidR="0080290E" w:rsidRPr="00DE1E8C">
        <w:rPr>
          <w:bCs/>
          <w:lang w:val="en-GB"/>
        </w:rPr>
        <w:fldChar w:fldCharType="separate"/>
      </w:r>
      <w:r w:rsidR="00316CE9" w:rsidRPr="00DE1E8C">
        <w:rPr>
          <w:lang w:val="en-GB"/>
        </w:rPr>
        <w:t xml:space="preserve">(Herz </w:t>
      </w:r>
      <w:r w:rsidR="00316CE9" w:rsidRPr="00DE1E8C">
        <w:rPr>
          <w:i/>
          <w:iCs/>
          <w:lang w:val="en-GB"/>
        </w:rPr>
        <w:t>et al.</w:t>
      </w:r>
      <w:r w:rsidR="00316CE9" w:rsidRPr="00DE1E8C">
        <w:rPr>
          <w:lang w:val="en-GB"/>
        </w:rPr>
        <w:t xml:space="preserve">, 2018; Tomassini </w:t>
      </w:r>
      <w:r w:rsidR="00316CE9" w:rsidRPr="00DE1E8C">
        <w:rPr>
          <w:i/>
          <w:iCs/>
          <w:lang w:val="en-GB"/>
        </w:rPr>
        <w:t>et al.</w:t>
      </w:r>
      <w:r w:rsidR="00316CE9" w:rsidRPr="00DE1E8C">
        <w:rPr>
          <w:lang w:val="en-GB"/>
        </w:rPr>
        <w:t xml:space="preserve">, 2019; O’Callaghan </w:t>
      </w:r>
      <w:r w:rsidR="00316CE9" w:rsidRPr="00DE1E8C">
        <w:rPr>
          <w:i/>
          <w:iCs/>
          <w:lang w:val="en-GB"/>
        </w:rPr>
        <w:t>et al.</w:t>
      </w:r>
      <w:r w:rsidR="00316CE9" w:rsidRPr="00DE1E8C">
        <w:rPr>
          <w:lang w:val="en-GB"/>
        </w:rPr>
        <w:t>, 2020)</w:t>
      </w:r>
      <w:r w:rsidR="0080290E" w:rsidRPr="00DE1E8C">
        <w:rPr>
          <w:bCs/>
          <w:lang w:val="en-GB"/>
        </w:rPr>
        <w:fldChar w:fldCharType="end"/>
      </w:r>
      <w:r w:rsidR="0080290E" w:rsidRPr="00DE1E8C">
        <w:rPr>
          <w:bCs/>
          <w:lang w:val="en-GB"/>
        </w:rPr>
        <w:t xml:space="preserve">. </w:t>
      </w:r>
      <w:r w:rsidR="00CF70F3" w:rsidRPr="00DE1E8C">
        <w:rPr>
          <w:bCs/>
          <w:lang w:val="en-GB"/>
        </w:rPr>
        <w:t>A</w:t>
      </w:r>
      <w:r w:rsidR="007D4500" w:rsidRPr="00DE1E8C">
        <w:rPr>
          <w:bCs/>
          <w:lang w:val="en-GB"/>
        </w:rPr>
        <w:t xml:space="preserve"> class of models that can be used to explore sub-processes related to attention are drift diffusion models</w:t>
      </w:r>
      <w:r w:rsidR="00856337" w:rsidRPr="00DE1E8C">
        <w:rPr>
          <w:bCs/>
          <w:lang w:val="en-GB"/>
        </w:rPr>
        <w:t xml:space="preserve">. </w:t>
      </w:r>
      <w:r w:rsidR="00846AC1" w:rsidRPr="00DE1E8C">
        <w:rPr>
          <w:bCs/>
          <w:lang w:val="en-GB"/>
        </w:rPr>
        <w:t xml:space="preserve">In these models, perceptual decision making </w:t>
      </w:r>
      <w:r w:rsidR="00534030" w:rsidRPr="00DE1E8C">
        <w:rPr>
          <w:bCs/>
          <w:lang w:val="en-GB"/>
        </w:rPr>
        <w:t xml:space="preserve">is conceptualised as the accumulation of noisy sensory evidence over time, until </w:t>
      </w:r>
      <w:r w:rsidR="00392C21" w:rsidRPr="00DE1E8C">
        <w:rPr>
          <w:bCs/>
          <w:lang w:val="en-GB"/>
        </w:rPr>
        <w:t>it reaches a threshold where a choice is made</w:t>
      </w:r>
      <w:r w:rsidR="009C120A" w:rsidRPr="00DE1E8C">
        <w:rPr>
          <w:bCs/>
          <w:lang w:val="en-GB"/>
        </w:rPr>
        <w:t xml:space="preserve"> </w:t>
      </w:r>
      <w:r w:rsidR="009C120A" w:rsidRPr="00DE1E8C">
        <w:rPr>
          <w:bCs/>
          <w:lang w:val="en-GB"/>
        </w:rPr>
        <w:fldChar w:fldCharType="begin"/>
      </w:r>
      <w:r w:rsidR="009C120A" w:rsidRPr="00DE1E8C">
        <w:rPr>
          <w:bCs/>
          <w:lang w:val="en-GB"/>
        </w:rPr>
        <w:instrText xml:space="preserve"> ADDIN ZOTERO_ITEM CSL_CITATION {"citationID":"a1bahfr4ub1","properties":{"formattedCitation":"(Gold and Shadlen, 2007; Ratcliff and McKoon, 2008; Voss {\\i{}et al.}, 2013)","plainCitation":"(Gold and Shadlen, 2007; Ratcliff and McKoon, 2008; Voss et al., 2013)","noteIndex":0},"citationItems":[{"id":14300,"uris":["http://zotero.org/users/local/xUwQuTPV/items/2A6UXBAG"],"uri":["http://zotero.org/users/local/xUwQuTPV/items/2A6UXBAG"],"itemData":{"id":14300,"type":"article-journal","abstract":"AbstractThe study of decision making spans such varied fields as neuroscience, psychology, economics, statistics, political science, and computer science. Despite this diversity of applications, most decisions share common elements including deliberation and commitment. Here we evaluate recent progress in understanding how these basic elements of decision formation are implemented in the brain. We focus on simple decisions that can be studied in the laboratory but emphasize general principles likely to extend to other settings.","container-title":"Annual Review of Neuroscience","DOI":"10.1146/annurev.neuro.29.051605.113038","issue":"1","note":"_eprint: https://doi.org/10.1146/annurev.neuro.29.051605.113038\nPMID: 17600525","page":"535-574","source":"Annual Reviews","title":"The Neural Basis of Decision Making","volume":"30","author":[{"family":"Gold","given":"Joshua I."},{"family":"Shadlen","given":"Michael N."}],"issued":{"date-parts":[["2007"]]}}},{"id":12451,"uris":["http://zotero.org/users/local/xUwQuTPV/items/DN635RWV"],"uri":["http://zotero.org/users/local/xUwQuTPV/items/DN635RWV"],"itemData":{"id":12451,"type":"article-journal","abstract":"The diffusion decision model allows detailed explanations of behavior in two-choice discrimination tasks. In this article, the model is reviewed to show how it translates behavioral data-accuracy, mean response times, and response time distributions-into components of cognitive processing. Three experiments are used to illustrate experimental manipulations of three components: stimulus difficulty affects the quality of information on which a decision is based; instructions emphasizing either speed or accuracy affect the criterial amounts of information that a subject requires before initiating a response; and the relative proportions of the two stimuli affect biases in drift rate and starting point. The experiments also illustrate the strong constraints that ensure the model is empirically testable and potentially falsifiable. The broad range of applications of the model is also reviewed, including research in the domains of aging and neurophysiology.","container-title":"Neural computation","DOI":"10.1162/neco.2008.12-06-420","issue":"4","journalAbbreviation":"Neural Comput","language":"English","note":"PMCID: PMC2474742","page":"873-922","title":"The diffusion decision model: theory and data for two-choice decision tasks.","volume":"20","author":[{"family":"Ratcliff","given":"Roger"},{"family":"McKoon","given":"Gail"}],"issued":{"date-parts":[["2008",4]]}}},{"id":14297,"uris":["http://zotero.org/users/local/xUwQuTPV/items/DHHKTFKL"],"uri":["http://zotero.org/users/local/xUwQuTPV/items/DHHKTFKL"],"itemData":{"id":14297,"type":"article-journal","abstract":"Stochastic diffusion models (Ratcliff, 1978) can be used to analyze response time data from binary decision tasks. They provide detailed information about cognitive processes underlying the performance in such tasks. Most importantly, different parameters are estimated from the response time distributions of correct responses and errors that map (1) the speed of information uptake, (2) the amount of information used to make a decision, (3) possible decision biases, and (4) the duration of nondecisional processes. Although this kind of model can be applied to many experimental paradigms and provides much more insight than the analysis of mean response times can, it is still rarely used in cognitive psychology. In the present paper, we provide comprehensive information on the theory of the diffusion model, as well as on practical issues that have to be considered for implementing the model. (PsycINFO Database Record (c) 2016 APA, all rights reserved)","container-title":"Experimental Psychology","DOI":"10.1027/1618-3169/a000218","ISSN":"2190-5142(Electronic),1618-3169(Print)","issue":"6","note":"publisher-place: Germany\npublisher: Hogrefe Publishing","page":"385-402","source":"APA PsycNET","title":"Diffusion models in experimental psychology: A practical introduction","title-short":"Diffusion models in experimental psychology","volume":"60","author":[{"family":"Voss","given":"Andreas"},{"family":"Nagler","given":"Markus"},{"family":"Lerche","given":"Veronika"}],"issued":{"date-parts":[["2013"]]}}}],"schema":"https://github.com/citation-style-language/schema/raw/master/csl-citation.json"} </w:instrText>
      </w:r>
      <w:r w:rsidR="009C120A" w:rsidRPr="00DE1E8C">
        <w:rPr>
          <w:bCs/>
          <w:lang w:val="en-GB"/>
        </w:rPr>
        <w:fldChar w:fldCharType="separate"/>
      </w:r>
      <w:r w:rsidR="009C120A" w:rsidRPr="00DE1E8C">
        <w:rPr>
          <w:lang w:val="en-GB"/>
        </w:rPr>
        <w:t xml:space="preserve">(Gold and Shadlen, 2007; Ratcliff and McKoon, 2008; Voss </w:t>
      </w:r>
      <w:r w:rsidR="009C120A" w:rsidRPr="00DE1E8C">
        <w:rPr>
          <w:i/>
          <w:iCs/>
          <w:lang w:val="en-GB"/>
        </w:rPr>
        <w:t>et al.</w:t>
      </w:r>
      <w:r w:rsidR="009C120A" w:rsidRPr="00DE1E8C">
        <w:rPr>
          <w:lang w:val="en-GB"/>
        </w:rPr>
        <w:t>, 2013)</w:t>
      </w:r>
      <w:r w:rsidR="009C120A" w:rsidRPr="00DE1E8C">
        <w:rPr>
          <w:bCs/>
          <w:lang w:val="en-GB"/>
        </w:rPr>
        <w:fldChar w:fldCharType="end"/>
      </w:r>
      <w:r w:rsidR="003108ED" w:rsidRPr="00DE1E8C">
        <w:rPr>
          <w:bCs/>
          <w:lang w:val="en-GB"/>
        </w:rPr>
        <w:t>.</w:t>
      </w:r>
      <w:r w:rsidR="00E93881" w:rsidRPr="00DE1E8C">
        <w:rPr>
          <w:bCs/>
          <w:lang w:val="en-GB"/>
        </w:rPr>
        <w:t xml:space="preserve"> </w:t>
      </w:r>
      <w:r w:rsidR="00106D59" w:rsidRPr="00DE1E8C">
        <w:rPr>
          <w:bCs/>
          <w:lang w:val="en-GB"/>
        </w:rPr>
        <w:t xml:space="preserve">The ability to efficiently </w:t>
      </w:r>
      <w:r w:rsidR="00D63A25" w:rsidRPr="00DE1E8C">
        <w:rPr>
          <w:bCs/>
          <w:lang w:val="en-GB"/>
        </w:rPr>
        <w:t xml:space="preserve">select and </w:t>
      </w:r>
      <w:r w:rsidR="00106D59" w:rsidRPr="00DE1E8C">
        <w:rPr>
          <w:bCs/>
          <w:lang w:val="en-GB"/>
        </w:rPr>
        <w:t>accumulate sensory information</w:t>
      </w:r>
      <w:r w:rsidR="003936EF" w:rsidRPr="00DE1E8C">
        <w:rPr>
          <w:bCs/>
          <w:lang w:val="en-GB"/>
        </w:rPr>
        <w:t>, in order</w:t>
      </w:r>
      <w:r w:rsidR="00106D59" w:rsidRPr="00DE1E8C">
        <w:rPr>
          <w:bCs/>
          <w:lang w:val="en-GB"/>
        </w:rPr>
        <w:t xml:space="preserve"> to </w:t>
      </w:r>
      <w:r w:rsidR="000A6E79" w:rsidRPr="00DE1E8C">
        <w:rPr>
          <w:bCs/>
          <w:lang w:val="en-GB"/>
        </w:rPr>
        <w:t>prioritise and shape interactions with the environment</w:t>
      </w:r>
      <w:r w:rsidR="003936EF" w:rsidRPr="00DE1E8C">
        <w:rPr>
          <w:bCs/>
          <w:lang w:val="en-GB"/>
        </w:rPr>
        <w:t>,</w:t>
      </w:r>
      <w:r w:rsidR="000A6E79" w:rsidRPr="00DE1E8C">
        <w:rPr>
          <w:bCs/>
          <w:lang w:val="en-GB"/>
        </w:rPr>
        <w:t xml:space="preserve"> </w:t>
      </w:r>
      <w:r w:rsidR="00CB46CE" w:rsidRPr="00DE1E8C">
        <w:rPr>
          <w:bCs/>
          <w:lang w:val="en-GB"/>
        </w:rPr>
        <w:t>forms a key component of what is broadly termed “attention”</w:t>
      </w:r>
      <w:r w:rsidR="00E93881" w:rsidRPr="00DE1E8C">
        <w:rPr>
          <w:bCs/>
          <w:lang w:val="en-GB"/>
        </w:rPr>
        <w:t xml:space="preserve"> </w:t>
      </w:r>
      <w:r w:rsidR="006556D0" w:rsidRPr="00DE1E8C">
        <w:rPr>
          <w:bCs/>
          <w:lang w:val="en-GB"/>
        </w:rPr>
        <w:fldChar w:fldCharType="begin"/>
      </w:r>
      <w:r w:rsidR="00E805F6" w:rsidRPr="00DE1E8C">
        <w:rPr>
          <w:bCs/>
          <w:lang w:val="en-GB"/>
        </w:rPr>
        <w:instrText xml:space="preserve"> ADDIN ZOTERO_ITEM CSL_CITATION {"citationID":"a2kkf5n1ulo","properties":{"formattedCitation":"(Feldman and Friston, 2010; Hommel {\\i{}et al.}, 2019)","plainCitation":"(Feldman and Friston, 2010; Hommel et al., 2019)","noteIndex":0},"citationItems":[{"id":14303,"uris":["http://zotero.org/users/local/xUwQuTPV/items/EK2H6YN5"],"uri":["http://zotero.org/users/local/xUwQuTPV/items/EK2H6YN5"],"itemData":{"id":14303,"type":"article-journal","abstract":"We suggested recently that attention can be understood as inferring the level of uncertainty or precision during hierarchical perception. In this paper, we try to substantiate this claim using neuronal simulations of directed spatial attention and biased competition. These simulations assume that neuronal activity encodes a probabilistic representation of the world that optimizes free-energy in a Bayesian fashion. Because free-energy bounds surprise or the (negative) log-evidence for internal models of the world, this optimization can be regarded as evidence accumulation or (generalized) predictive coding. Crucially, both predictions about the state of the world generating sensory data and the precision of those data have to be optimized. Here, we show that if the precision depends on the states, one can explain many aspects of attention. We illustrate this in the context of the Posner paradigm, using the simulations to generate both psychophysical and electrophysiological responses.These simulated responses are consistent with attentional bias or gating, competition for attentional resources, attentional capture and associated speed-accuracy trade-offs. Furthermore, if we present both attended and nonattended stimuli simultaneously, biased competition for neuronal representation emerges as a principled and straightforward property of Bayes-optimal perception.","container-title":"Frontiers in Human Neuroscience","DOI":"10.3389/fnhum.2010.00215","ISSN":"1662-5161","journalAbbreviation":"Front. Hum. Neurosci.","language":"en","source":"DOI.org (Crossref)","title":"Attention, Uncertainty, and Free-Energy","URL":"http://journal.frontiersin.org/article/10.3389/fnhum.2010.00215/abstract","volume":"4","author":[{"family":"Feldman","given":"Harriet"},{"family":"Friston","given":"Karl J."}],"accessed":{"date-parts":[["2020",10,16]]},"issued":{"date-parts":[["2010"]]}}},{"id":14157,"uris":["http://zotero.org/users/local/xUwQuTPV/items/992VTXZH"],"uri":["http://zotero.org/users/local/xUwQuTPV/items/992VTXZH"],"itemData":{"id":14157,"type":"article-journal","abstract":"In this article, we challenge the usefulness of “attention” as a unitary construct and/or neural system. We point out that the concept has too many meanings to justify a single term, and that “attention” is used to refer to both the explanandum (the set of phenomena in need of explanation) and the explanans (the set of processes doing the explaining). To illustrate these points, we focus our discussion on visual selective attention. It is argued that selectivity in processing has emerged through evolution as a design feature of a complex multi-channel sensorimotor system, which generates selective phenomena of “attention” as one of many by-products. Instead of the traditional analytic approach to attention, we suggest a synthetic approach that starts with well-understood mechanisms that do not need to be dedicated to attention, and yet account for the selectivity phenomena under investigation. We conclude that what would serve scientific progress best would be to drop the term “attention” as a label for a specific functional or neural system and instead focus on behaviorally relevant selection processes and the many systems that implement them.","container-title":"Attention, Perception, &amp; Psychophysics","DOI":"10.3758/s13414-019-01846-w","ISSN":"1943-3921, 1943-393X","issue":"7","journalAbbreviation":"Atten Percept Psychophys","language":"en","page":"2288-2303","source":"DOI.org (Crossref)","title":"No one knows what attention is","volume":"81","author":[{"family":"Hommel","given":"Bernhard"},{"family":"Chapman","given":"Craig S."},{"family":"Cisek","given":"Paul"},{"family":"Neyedli","given":"Heather F."},{"family":"Song","given":"Joo-Hyun"},{"family":"Welsh","given":"Timothy N."}],"issued":{"date-parts":[["2019",10]]}}}],"schema":"https://github.com/citation-style-language/schema/raw/master/csl-citation.json"} </w:instrText>
      </w:r>
      <w:r w:rsidR="006556D0" w:rsidRPr="00DE1E8C">
        <w:rPr>
          <w:bCs/>
          <w:lang w:val="en-GB"/>
        </w:rPr>
        <w:fldChar w:fldCharType="separate"/>
      </w:r>
      <w:r w:rsidR="00E805F6" w:rsidRPr="00DE1E8C">
        <w:rPr>
          <w:lang w:val="en-GB"/>
        </w:rPr>
        <w:t xml:space="preserve">(Feldman and Friston, 2010; Hommel </w:t>
      </w:r>
      <w:r w:rsidR="00E805F6" w:rsidRPr="00DE1E8C">
        <w:rPr>
          <w:i/>
          <w:iCs/>
          <w:lang w:val="en-GB"/>
        </w:rPr>
        <w:t>et al.</w:t>
      </w:r>
      <w:r w:rsidR="00E805F6" w:rsidRPr="00DE1E8C">
        <w:rPr>
          <w:lang w:val="en-GB"/>
        </w:rPr>
        <w:t>, 2019)</w:t>
      </w:r>
      <w:r w:rsidR="006556D0" w:rsidRPr="00DE1E8C">
        <w:rPr>
          <w:bCs/>
          <w:lang w:val="en-GB"/>
        </w:rPr>
        <w:fldChar w:fldCharType="end"/>
      </w:r>
      <w:r w:rsidR="006556D0" w:rsidRPr="00DE1E8C">
        <w:rPr>
          <w:bCs/>
          <w:lang w:val="en-GB"/>
        </w:rPr>
        <w:t xml:space="preserve">. </w:t>
      </w:r>
      <w:r w:rsidR="00D63A25" w:rsidRPr="00DE1E8C">
        <w:rPr>
          <w:bCs/>
          <w:lang w:val="en-GB"/>
        </w:rPr>
        <w:t xml:space="preserve"> </w:t>
      </w:r>
      <w:r w:rsidR="00CB46CE" w:rsidRPr="00DE1E8C">
        <w:rPr>
          <w:bCs/>
          <w:lang w:val="en-GB"/>
        </w:rPr>
        <w:t xml:space="preserve"> </w:t>
      </w:r>
      <w:r w:rsidR="000A6E79" w:rsidRPr="00DE1E8C">
        <w:rPr>
          <w:bCs/>
          <w:lang w:val="en-GB"/>
        </w:rPr>
        <w:t xml:space="preserve"> </w:t>
      </w:r>
    </w:p>
    <w:p w14:paraId="41D4F3E7" w14:textId="219DB28C" w:rsidR="00360FC4" w:rsidRPr="00DE1E8C" w:rsidRDefault="00360FC4" w:rsidP="00F93BDF">
      <w:pPr>
        <w:spacing w:line="360" w:lineRule="auto"/>
        <w:contextualSpacing/>
        <w:jc w:val="both"/>
        <w:rPr>
          <w:bCs/>
          <w:lang w:val="en-GB"/>
        </w:rPr>
      </w:pPr>
    </w:p>
    <w:p w14:paraId="7AC5030B" w14:textId="68C67B19" w:rsidR="00821449" w:rsidRPr="00DE1E8C" w:rsidRDefault="00596E06" w:rsidP="00952E80">
      <w:pPr>
        <w:spacing w:line="360" w:lineRule="auto"/>
        <w:contextualSpacing/>
        <w:jc w:val="both"/>
        <w:rPr>
          <w:bCs/>
          <w:lang w:val="en-GB"/>
        </w:rPr>
      </w:pPr>
      <w:r w:rsidRPr="00DE1E8C">
        <w:rPr>
          <w:bCs/>
          <w:lang w:val="en-GB"/>
        </w:rPr>
        <w:t>Process</w:t>
      </w:r>
      <w:r w:rsidR="004E1E4D" w:rsidRPr="00DE1E8C">
        <w:rPr>
          <w:bCs/>
          <w:lang w:val="en-GB"/>
        </w:rPr>
        <w:t>es</w:t>
      </w:r>
      <w:r w:rsidRPr="00DE1E8C">
        <w:rPr>
          <w:bCs/>
          <w:lang w:val="en-GB"/>
        </w:rPr>
        <w:t xml:space="preserve"> that </w:t>
      </w:r>
      <w:r w:rsidR="006F536B" w:rsidRPr="00DE1E8C">
        <w:rPr>
          <w:bCs/>
          <w:lang w:val="en-GB"/>
        </w:rPr>
        <w:t>contribute to efficient sensory evidence accumulation are affected in Lewy body dementia</w:t>
      </w:r>
      <w:r w:rsidR="00765261" w:rsidRPr="00DE1E8C">
        <w:rPr>
          <w:bCs/>
          <w:lang w:val="en-GB"/>
        </w:rPr>
        <w:t xml:space="preserve">. </w:t>
      </w:r>
      <w:r w:rsidR="00963E9B" w:rsidRPr="00DE1E8C">
        <w:rPr>
          <w:bCs/>
          <w:lang w:val="en-GB"/>
        </w:rPr>
        <w:t>Visual dysfunction is common</w:t>
      </w:r>
      <w:r w:rsidR="00765261" w:rsidRPr="00DE1E8C">
        <w:rPr>
          <w:bCs/>
          <w:lang w:val="en-GB"/>
        </w:rPr>
        <w:t>, ranging from deficits in early</w:t>
      </w:r>
      <w:r w:rsidR="00641C35" w:rsidRPr="00DE1E8C">
        <w:rPr>
          <w:bCs/>
          <w:lang w:val="en-GB"/>
        </w:rPr>
        <w:t xml:space="preserve"> </w:t>
      </w:r>
      <w:r w:rsidR="00765261" w:rsidRPr="00DE1E8C">
        <w:rPr>
          <w:bCs/>
          <w:lang w:val="en-GB"/>
        </w:rPr>
        <w:t xml:space="preserve">processes such as contrast and colour discrimination, to impairments in higher-order object perception </w:t>
      </w:r>
      <w:r w:rsidR="006D20A1" w:rsidRPr="00DE1E8C">
        <w:rPr>
          <w:bCs/>
          <w:lang w:val="en-GB"/>
        </w:rPr>
        <w:fldChar w:fldCharType="begin"/>
      </w:r>
      <w:r w:rsidR="00E805F6" w:rsidRPr="00DE1E8C">
        <w:rPr>
          <w:bCs/>
          <w:lang w:val="en-GB"/>
        </w:rPr>
        <w:instrText xml:space="preserve"> ADDIN ZOTERO_ITEM CSL_CITATION {"citationID":"aa4m6bl578","properties":{"formattedCitation":"(Metzler-Baddeley, 2007; Weil {\\i{}et al.}, 2016)","plainCitation":"(Metzler-Baddeley, 2007; Weil et al., 2016)","noteIndex":0},"citationItems":[{"id":14313,"uris":["http://zotero.org/users/local/xUwQuTPV/items/UENB7NA7"],"uri":["http://zotero.org/users/local/xUwQuTPV/items/UENB7NA7"],"itemData":{"id":14313,"type":"article-journal","abstract":"Dementia with Lewy bodies (DLB) has recently been identified as a separate disease but diagnosis can be difficult, in particular the differentiation from related dementias of Alzheimer’s disease (AD) and Parkinson’s disease with dementia (PDD). Careful cognitive assessment may aid differential diagnosis between these different types of dementia and can provide theoretical insight into the nature of the underlying impairments. Recent reviews on DLB have primarily dealt with medical issues of clinical diagnostic criteria, pathology, epidemiology and treatment (Ballard, 2004; Barber et al., 2001; Cercy and Bylsma, 1997; Cummings, 2004; Kaufer, 2004; McKeith, 2002; McKeith et al., 2004a; Rampello et al., 2004) and only a few papers have reviewed cognitive impairments in DLB (Collerton et al., 2003; Lambon-Ralph et al., 2001; Simard et al., 2000). The present paper is more specifically targeted to a neuropsychological audience. It provides an upto-date, detailed and comprehensive review of the available evidence regarding visual and olfactory perception, attention, cognitive fluctuation, frontal-executive functions, working memory, episodic memory, and semantic memory in DLB relative to AD and PDD. In addition, an attempt is made to relate available data to current theoretical frameworks of cognition. Implications for future research and clinical issues such as the problem of differential diagnosis, and the relation between cognitive impairments and clinical features of visual hallucinations and cognitive fluctuation will be discussed.","container-title":"Cortex","DOI":"10.1016/S0010-9452(08)70489-1","ISSN":"00109452","issue":"5","journalAbbreviation":"Cortex","language":"en","page":"583-600","source":"DOI.org (Crossref)","title":"A Review of Cognitive Impairments in Dementia with Lewy Bodies Relative to Alzheimer's Disease and Parkinson's Disease with Dementia","volume":"43","author":[{"family":"Metzler-Baddeley","given":"Claudia"}],"issued":{"date-parts":[["2007",1]]}}},{"id":3629,"uris":["http://zotero.org/users/local/xUwQuTPV/items/2IGL4UMX"],"uri":["http://zotero.org/users/local/xUwQuTPV/items/2IGL4UMX"],"itemData":{"id":3629,"type":"article-journal","abstract":"Patients with Parkinson&amp;apos;s disease have a number of specific visual disturbances. These include changes in colour vision and contrast sensitivity and difficulties with complex visual tasks such as mental rotation and emotion recognition. We review changes in visual function at each stage of visual processing from retinal deficits, including contrast sensitivity and colour vision deficits to higher cortical processing impairments such as object and motion processing and neglect. We consider changes in visual function in patients with common Parkinson&amp;apos;s disease-associated genetic mutations including GBA and LRRK2 . We discuss the association between visual deficits and clinical features of Parkinson&amp;apos;s disease such as rapid eye movement sleep behavioural disorder and the postural instability and gait disorder phenotype. We review the link between abnormal visual function and visual hallucinations, considering current models for mechanisms of visual hallucinations. Finally, we discuss the role of visuo-perceptual testing as a biomarker of disease and predictor of dementia in Parkinson&amp;apos;s disease.","container-title":"Brain","DOI":"10.1093/brain/aww175","issue":"11","journalAbbreviation":"Brain","language":"English","note":"PMCID: PMC5091042","page":"2827-2843","title":"Visual dysfunction in Parkinson's disease.","volume":"139","author":[{"family":"Weil","given":"Rimona S."},{"family":"Schrag","given":"Anette E."},{"family":"Warren","given":"Jason D."},{"family":"Crutch","given":"Sebastian J."},{"family":"Lees","given":"Andrew J."},{"family":"Morris","given":"Huw R."}],"issued":{"date-parts":[["2016",11,1]]}}}],"schema":"https://github.com/citation-style-language/schema/raw/master/csl-citation.json"} </w:instrText>
      </w:r>
      <w:r w:rsidR="006D20A1" w:rsidRPr="00DE1E8C">
        <w:rPr>
          <w:bCs/>
          <w:lang w:val="en-GB"/>
        </w:rPr>
        <w:fldChar w:fldCharType="separate"/>
      </w:r>
      <w:r w:rsidR="00E805F6" w:rsidRPr="00DE1E8C">
        <w:rPr>
          <w:lang w:val="en-GB"/>
        </w:rPr>
        <w:t xml:space="preserve">(Metzler-Baddeley, 2007; Weil </w:t>
      </w:r>
      <w:r w:rsidR="00E805F6" w:rsidRPr="00DE1E8C">
        <w:rPr>
          <w:i/>
          <w:iCs/>
          <w:lang w:val="en-GB"/>
        </w:rPr>
        <w:t>et al.</w:t>
      </w:r>
      <w:r w:rsidR="00E805F6" w:rsidRPr="00DE1E8C">
        <w:rPr>
          <w:lang w:val="en-GB"/>
        </w:rPr>
        <w:t>, 2016)</w:t>
      </w:r>
      <w:r w:rsidR="006D20A1" w:rsidRPr="00DE1E8C">
        <w:rPr>
          <w:bCs/>
          <w:lang w:val="en-GB"/>
        </w:rPr>
        <w:fldChar w:fldCharType="end"/>
      </w:r>
      <w:r w:rsidR="006D20A1" w:rsidRPr="00DE1E8C">
        <w:rPr>
          <w:bCs/>
          <w:lang w:val="en-GB"/>
        </w:rPr>
        <w:t>.</w:t>
      </w:r>
      <w:r w:rsidR="00FD36F8" w:rsidRPr="00DE1E8C">
        <w:rPr>
          <w:bCs/>
          <w:lang w:val="en-GB"/>
        </w:rPr>
        <w:t xml:space="preserve"> </w:t>
      </w:r>
      <w:r w:rsidR="00BB0F56" w:rsidRPr="00DE1E8C">
        <w:rPr>
          <w:bCs/>
          <w:lang w:val="en-GB"/>
        </w:rPr>
        <w:t xml:space="preserve">Likewise, the co-ordination of brain networks subserving </w:t>
      </w:r>
      <w:r w:rsidR="00850416" w:rsidRPr="00DE1E8C">
        <w:rPr>
          <w:bCs/>
          <w:lang w:val="en-GB"/>
        </w:rPr>
        <w:t xml:space="preserve">externally vs. </w:t>
      </w:r>
      <w:r w:rsidR="00C1006E" w:rsidRPr="00DE1E8C">
        <w:rPr>
          <w:bCs/>
          <w:lang w:val="en-GB"/>
        </w:rPr>
        <w:t>internally</w:t>
      </w:r>
      <w:r w:rsidR="00850416" w:rsidRPr="00DE1E8C">
        <w:rPr>
          <w:bCs/>
          <w:lang w:val="en-GB"/>
        </w:rPr>
        <w:t xml:space="preserve"> </w:t>
      </w:r>
      <w:r w:rsidR="00E40F69" w:rsidRPr="00DE1E8C">
        <w:rPr>
          <w:bCs/>
          <w:lang w:val="en-GB"/>
        </w:rPr>
        <w:t>driven orienting</w:t>
      </w:r>
      <w:r w:rsidR="00BB0F56" w:rsidRPr="00DE1E8C">
        <w:rPr>
          <w:bCs/>
          <w:lang w:val="en-GB"/>
        </w:rPr>
        <w:t xml:space="preserve"> processes are impaired</w:t>
      </w:r>
      <w:r w:rsidR="00E40F69" w:rsidRPr="00DE1E8C">
        <w:rPr>
          <w:bCs/>
          <w:lang w:val="en-GB"/>
        </w:rPr>
        <w:t xml:space="preserve"> </w:t>
      </w:r>
      <w:r w:rsidR="00E40F69" w:rsidRPr="00DE1E8C">
        <w:rPr>
          <w:bCs/>
          <w:lang w:val="en-GB"/>
        </w:rPr>
        <w:fldChar w:fldCharType="begin"/>
      </w:r>
      <w:r w:rsidR="00E805F6" w:rsidRPr="00DE1E8C">
        <w:rPr>
          <w:bCs/>
          <w:lang w:val="en-GB"/>
        </w:rPr>
        <w:instrText xml:space="preserve"> ADDIN ZOTERO_ITEM CSL_CITATION {"citationID":"a2jhlqcbmuo","properties":{"formattedCitation":"(Shine {\\i{}et al.}, 2014; Gratwicke {\\i{}et al.}, 2015; O\\uc0\\u8217{}Dowd {\\i{}et al.}, 2019)","plainCitation":"(Shine et al., 2014; Gratwicke et al., 2015; O’Dowd et al., 2019)","noteIndex":0},"citationItems":[{"id":3812,"uris":["http://zotero.org/users/local/xUwQuTPV/items/MA4L2YMQ"],"uri":["http://zotero.org/users/local/xUwQuTPV/items/MA4L2YMQ"],"itemData":{"id":3812,"type":"article-journal","abstract":"Progress in Neurobiology, Corrected proof. doi:10.1016/j.pneurobio.2014.01.004","container-title":"Progress in Neurobiology","DOI":"10.1016/j.pneurobio.2014.01.004","journalAbbreviation":"Progress in Neurobiology","page":"1-8","title":"Tricks of the mind: Visual hallucinations as disorders of attention","author":[{"family":"Shine","given":"James M."},{"family":"O'Callaghan","given":"Claire"},{"family":"Halliday","given":"Glenda M."},{"family":"Lewis","given":"Simon J. G."}],"issued":{"date-parts":[["2014",2,26]]}}},{"id":9321,"uris":["http://zotero.org/users/local/xUwQuTPV/items/RYFZUFJK"],"uri":["http://zotero.org/users/local/xUwQuTPV/items/RYFZUFJK"],"itemData":{"id":9321,"type":"article-journal","container-title":"Brain","DOI":"10.1093/brain/awv104","issue":"6","journalAbbreviation":"Brain","language":"English","page":"1454-1476","title":"Parkinson’s disease dementia: a neural networks perspective","volume":"138","author":[{"family":"Gratwicke","given":"James"},{"family":"Jahanshahi","given":"Marjan"},{"family":"Foltynie","given":"Thomas"}],"issued":{"date-parts":[["2015",5,26]]}}},{"id":14276,"uris":["http://zotero.org/users/local/xUwQuTPV/items/UTQ7Q49Z"],"uri":["http://zotero.org/users/local/xUwQuTPV/items/UTQ7Q49Z"],"itemData":{"id":14276,"type":"article-journal","abstract":"Fluctuating cognition is a core diagnostic feature of the Lewy body dementias, but it can be clinically challenging to identify and characterise and remains poorly understood. O’Dowd et al. review the clinical features and explore the possible aetiological mechanisms underpinning this phenomenon. They also identify potential future research avenues.","container-title":"Brain","DOI":"10.1093/brain/awz235","ISSN":"0006-8950, 1460-2156","issue":"11","language":"en","page":"3338-3350","source":"DOI.org (Crossref)","title":"Fluctuating cognition in the Lewy body dementias","volume":"142","author":[{"family":"O’Dowd","given":"Seán"},{"family":"Schumacher","given":"Julia"},{"family":"Burn","given":"David J"},{"family":"Bonanni","given":"Laura"},{"family":"Onofrj","given":"Marco"},{"family":"Thomas","given":"Alan"},{"family":"Taylor","given":"John-Paul"}],"issued":{"date-parts":[["2019",11,1]]}}}],"schema":"https://github.com/citation-style-language/schema/raw/master/csl-citation.json"} </w:instrText>
      </w:r>
      <w:r w:rsidR="00E40F69" w:rsidRPr="00DE1E8C">
        <w:rPr>
          <w:bCs/>
          <w:lang w:val="en-GB"/>
        </w:rPr>
        <w:fldChar w:fldCharType="separate"/>
      </w:r>
      <w:r w:rsidR="00E805F6" w:rsidRPr="00DE1E8C">
        <w:rPr>
          <w:lang w:val="en-GB"/>
        </w:rPr>
        <w:t xml:space="preserve">(Shine </w:t>
      </w:r>
      <w:r w:rsidR="00E805F6" w:rsidRPr="00DE1E8C">
        <w:rPr>
          <w:i/>
          <w:iCs/>
          <w:lang w:val="en-GB"/>
        </w:rPr>
        <w:t>et al.</w:t>
      </w:r>
      <w:r w:rsidR="00E805F6" w:rsidRPr="00DE1E8C">
        <w:rPr>
          <w:lang w:val="en-GB"/>
        </w:rPr>
        <w:t xml:space="preserve">, 2014; Gratwicke </w:t>
      </w:r>
      <w:r w:rsidR="00E805F6" w:rsidRPr="00DE1E8C">
        <w:rPr>
          <w:i/>
          <w:iCs/>
          <w:lang w:val="en-GB"/>
        </w:rPr>
        <w:t>et al.</w:t>
      </w:r>
      <w:r w:rsidR="00E805F6" w:rsidRPr="00DE1E8C">
        <w:rPr>
          <w:lang w:val="en-GB"/>
        </w:rPr>
        <w:t xml:space="preserve">, 2015; O’Dowd </w:t>
      </w:r>
      <w:r w:rsidR="00E805F6" w:rsidRPr="00DE1E8C">
        <w:rPr>
          <w:i/>
          <w:iCs/>
          <w:lang w:val="en-GB"/>
        </w:rPr>
        <w:t>et al.</w:t>
      </w:r>
      <w:r w:rsidR="00E805F6" w:rsidRPr="00DE1E8C">
        <w:rPr>
          <w:lang w:val="en-GB"/>
        </w:rPr>
        <w:t xml:space="preserve">, </w:t>
      </w:r>
      <w:r w:rsidR="00E805F6" w:rsidRPr="00DE1E8C">
        <w:rPr>
          <w:lang w:val="en-GB"/>
        </w:rPr>
        <w:lastRenderedPageBreak/>
        <w:t>2019)</w:t>
      </w:r>
      <w:r w:rsidR="00E40F69" w:rsidRPr="00DE1E8C">
        <w:rPr>
          <w:bCs/>
          <w:lang w:val="en-GB"/>
        </w:rPr>
        <w:fldChar w:fldCharType="end"/>
      </w:r>
      <w:r w:rsidR="00605927" w:rsidRPr="00DE1E8C">
        <w:rPr>
          <w:bCs/>
          <w:lang w:val="en-GB"/>
        </w:rPr>
        <w:t>.</w:t>
      </w:r>
      <w:r w:rsidR="0013177E" w:rsidRPr="00DE1E8C">
        <w:rPr>
          <w:bCs/>
          <w:lang w:val="en-GB"/>
        </w:rPr>
        <w:t xml:space="preserve"> </w:t>
      </w:r>
      <w:r w:rsidR="005F2A1D" w:rsidRPr="00DE1E8C">
        <w:rPr>
          <w:bCs/>
          <w:lang w:val="en-GB"/>
        </w:rPr>
        <w:t>In Lewy body dementia, t</w:t>
      </w:r>
      <w:r w:rsidR="00952E80" w:rsidRPr="00DE1E8C">
        <w:rPr>
          <w:bCs/>
          <w:lang w:val="en-GB"/>
        </w:rPr>
        <w:t>here has been a growing focus on the interplay between the default network, which is typically supressed during externally-oriented</w:t>
      </w:r>
      <w:r w:rsidR="003A52F0" w:rsidRPr="00DE1E8C">
        <w:rPr>
          <w:bCs/>
          <w:lang w:val="en-GB"/>
        </w:rPr>
        <w:t>,</w:t>
      </w:r>
      <w:r w:rsidR="00952E80" w:rsidRPr="00DE1E8C">
        <w:rPr>
          <w:bCs/>
          <w:lang w:val="en-GB"/>
        </w:rPr>
        <w:t xml:space="preserve"> demanding tasks, and the dorsal attention system which is engaged during such tasks </w:t>
      </w:r>
      <w:r w:rsidR="00952E80" w:rsidRPr="00DE1E8C">
        <w:rPr>
          <w:bCs/>
          <w:lang w:val="en-GB"/>
        </w:rPr>
        <w:fldChar w:fldCharType="begin"/>
      </w:r>
      <w:r w:rsidR="00E805F6" w:rsidRPr="00DE1E8C">
        <w:rPr>
          <w:bCs/>
          <w:lang w:val="en-GB"/>
        </w:rPr>
        <w:instrText xml:space="preserve"> ADDIN ZOTERO_ITEM CSL_CITATION {"citationID":"ahe2thkmm3","properties":{"formattedCitation":"(Corbetta and Shulman, 2002; Dixon {\\i{}et al.}, 2017; Buckner and DiNicola, 2019)","plainCitation":"(Corbetta and Shulman, 2002; Dixon et al., 2017; Buckner and DiNicola, 2019)","noteIndex":0},"citationItems":[{"id":6480,"uris":["http://zotero.org/users/local/xUwQuTPV/items/S8CCHC63"],"uri":["http://zotero.org/users/local/xUwQuTPV/items/S8CCHC63"],"itemData":{"id":6480,"type":"article-journal","container-title":"Nature reviews. Neuroscience","DOI":"10.1038/nrn755","issue":"3","journalAbbreviation":"Nat. Rev. Neurosci.","language":"English","page":"201-215","title":"Control of goal-directed and stimulus-driven attention in the brain","volume":"3","author":[{"family":"Corbetta","given":"Maurizio"},{"family":"Shulman","given":"Gordon L."}],"issued":{"date-parts":[["2002",3,1]]}}},{"id":2818,"uris":["http://zotero.org/users/local/xUwQuTPV/items/IBFUSNR3"],"uri":["http://zotero.org/users/local/xUwQuTPV/items/IBFUSNR3"],"itemData":{"id":2818,"type":"article-journal","abstract":"NeuroImage, 147 + (2017) 632-649. doi:10.1016/j.neuroimage.2016.12.073","container-title":"NeuroImage","DOI":"10.1016/j.neuroimage.2016.12.073","issue":"C","journalAbbreviation":"NeuroImage","page":"632-649","title":"Interactions between the default network and dorsal attention network vary across default subsystems, time, and cognitive states","volume":"147","author":[{"family":"Dixon","given":"Matthew L."},{"family":"Andrews-Hanna","given":"Jessica R."},{"family":"Spreng","given":"R. Nathan"},{"family":"Irving","given":"Zachary C."},{"family":"Mills","given":"Caitlin"},{"family":"Girn","given":"Manesh"},{"family":"Christoff","given":"Kalina"}],"issued":{"date-parts":[["2017",2,15]]}}},{"id":2608,"uris":["http://zotero.org/users/local/xUwQuTPV/items/IN364X7S"],"uri":["http://zotero.org/users/local/xUwQuTPV/items/IN364X7S"],"itemData":{"id":2608,"type":"article-journal","abstract":"Nature Reviews Neuroscience, doi:10.1038/s41583-019-0212-7","container-title":"Nature reviews. Neuroscience","DOI":"10.1038/s41583-019-0212-7","journalAbbreviation":"Nat. Rev. Neurosci.","page":"1-16","title":"The brain’s default network: updated anatomy, physiology and evolving insights","author":[{"family":"Buckner","given":"Randy L."},{"family":"DiNicola","given":"Lauren M."}],"issued":{"date-parts":[["2019",9,12]]}}}],"schema":"https://github.com/citation-style-language/schema/raw/master/csl-citation.json"} </w:instrText>
      </w:r>
      <w:r w:rsidR="00952E80" w:rsidRPr="00DE1E8C">
        <w:rPr>
          <w:bCs/>
          <w:lang w:val="en-GB"/>
        </w:rPr>
        <w:fldChar w:fldCharType="separate"/>
      </w:r>
      <w:r w:rsidR="00E805F6" w:rsidRPr="00DE1E8C">
        <w:rPr>
          <w:lang w:val="en-GB"/>
        </w:rPr>
        <w:t xml:space="preserve">(Corbetta and Shulman, 2002; Dixon </w:t>
      </w:r>
      <w:r w:rsidR="00E805F6" w:rsidRPr="00DE1E8C">
        <w:rPr>
          <w:i/>
          <w:iCs/>
          <w:lang w:val="en-GB"/>
        </w:rPr>
        <w:t>et al.</w:t>
      </w:r>
      <w:r w:rsidR="00E805F6" w:rsidRPr="00DE1E8C">
        <w:rPr>
          <w:lang w:val="en-GB"/>
        </w:rPr>
        <w:t>, 2017; Buckner and DiNicola, 2019)</w:t>
      </w:r>
      <w:r w:rsidR="00952E80" w:rsidRPr="00DE1E8C">
        <w:rPr>
          <w:bCs/>
          <w:lang w:val="en-GB"/>
        </w:rPr>
        <w:fldChar w:fldCharType="end"/>
      </w:r>
      <w:r w:rsidR="00DF05EB" w:rsidRPr="00DE1E8C">
        <w:rPr>
          <w:bCs/>
          <w:lang w:val="en-GB"/>
        </w:rPr>
        <w:t>.</w:t>
      </w:r>
      <w:r w:rsidR="004C5078" w:rsidRPr="00DE1E8C">
        <w:rPr>
          <w:bCs/>
          <w:lang w:val="en-GB"/>
        </w:rPr>
        <w:t xml:space="preserve"> </w:t>
      </w:r>
      <w:r w:rsidR="00FD7E60" w:rsidRPr="00DE1E8C">
        <w:rPr>
          <w:bCs/>
          <w:lang w:val="en-GB"/>
        </w:rPr>
        <w:t xml:space="preserve">Across the Lewy body disease spectrum, impaired performance on attention-related tasks has been linked to </w:t>
      </w:r>
      <w:r w:rsidR="003B73D9" w:rsidRPr="00DE1E8C">
        <w:rPr>
          <w:bCs/>
          <w:lang w:val="en-GB"/>
        </w:rPr>
        <w:t>altered</w:t>
      </w:r>
      <w:r w:rsidR="00F41FF2" w:rsidRPr="00DE1E8C">
        <w:rPr>
          <w:bCs/>
          <w:lang w:val="en-GB"/>
        </w:rPr>
        <w:t xml:space="preserve"> co-ordination between the </w:t>
      </w:r>
      <w:r w:rsidR="00731AF1" w:rsidRPr="00DE1E8C">
        <w:rPr>
          <w:bCs/>
          <w:lang w:val="en-GB"/>
        </w:rPr>
        <w:t xml:space="preserve">default network </w:t>
      </w:r>
      <w:r w:rsidR="000323D1" w:rsidRPr="00DE1E8C">
        <w:rPr>
          <w:bCs/>
          <w:lang w:val="en-GB"/>
        </w:rPr>
        <w:t>and</w:t>
      </w:r>
      <w:r w:rsidR="00731AF1" w:rsidRPr="00DE1E8C">
        <w:rPr>
          <w:bCs/>
          <w:lang w:val="en-GB"/>
        </w:rPr>
        <w:t xml:space="preserve"> dorsal attention or primary visual networks</w:t>
      </w:r>
      <w:r w:rsidR="001F7163" w:rsidRPr="00DE1E8C">
        <w:rPr>
          <w:bCs/>
          <w:lang w:val="en-GB"/>
        </w:rPr>
        <w:t xml:space="preserve"> </w:t>
      </w:r>
      <w:r w:rsidR="001F7163" w:rsidRPr="00DE1E8C">
        <w:rPr>
          <w:bCs/>
          <w:lang w:val="en-GB"/>
        </w:rPr>
        <w:fldChar w:fldCharType="begin"/>
      </w:r>
      <w:r w:rsidR="00E805F6" w:rsidRPr="00DE1E8C">
        <w:rPr>
          <w:bCs/>
          <w:lang w:val="en-GB"/>
        </w:rPr>
        <w:instrText xml:space="preserve"> ADDIN ZOTERO_ITEM CSL_CITATION {"citationID":"aj4omo8qj8","properties":{"formattedCitation":"(Sauer {\\i{}et al.}, 2006; Shine {\\i{}et al.}, 2015; Firbank {\\i{}et al.}, 2016, 2018; Kobeleva {\\i{}et al.}, 2017; Onofrj {\\i{}et al.}, 2019; Walpola {\\i{}et al.}, 2020)","plainCitation":"(Sauer et al., 2006; Shine et al., 2015; Firbank et al., 2016, 2018; Kobeleva et al., 2017; Onofrj et al., 2019; Walpola et al., 2020)","noteIndex":0},"citationItems":[{"id":14309,"uris":["http://zotero.org/users/local/xUwQuTPV/items/6Q2LVA39"],"uri":["http://zotero.org/users/local/xUwQuTPV/items/6Q2LVA39"],"itemData":{"id":14309,"type":"article-journal","abstract":"Abstract.  We investigated whether previously reported differences between Alzheimer's disease and dementia with Lewy bodies (DLB) in resting occipital activity","container-title":"Brain","DOI":"10.1093/brain/awl102","ISSN":"0006-8950","issue":"7","journalAbbreviation":"Brain","language":"en","note":"publisher: Oxford Academic","page":"1780-1788","source":"academic.oup.com","title":"Differences between Alzheimer's disease and dementia with Lewy bodies: an fMRI study of task-related brain activity","title-short":"Differences between Alzheimer's disease and dementia with Lewy bodies","volume":"129","author":[{"family":"Sauer","given":"Justin"},{"family":"Ffytche","given":"Dominic H."},{"family":"Ballard","given":"Clive"},{"family":"Brown","given":"Richard G."},{"family":"Howard","given":"Robert"}],"issued":{"date-parts":[["2006",7,1]]}}},{"id":14304,"uris":["http://zotero.org/users/local/xUwQuTPV/items/Z68F9C5B"],"uri":["http://zotero.org/users/local/xUwQuTPV/items/Z68F9C5B"],"itemData":{"id":14304,"type":"article-journal","abstract":"The neural substrates of visual hallucinations remain an enigma, due primarily to the difficulties associated with directly interrogating the brain during hallucinatory episodes.","container-title":"npj Parkinson's Disease","DOI":"10.1038/npjparkd.2015.3","ISSN":"2373-8057","issue":"1","language":"en","note":"number: 1\npublisher: Nature Publishing Group","page":"1-8","source":"www.nature.com","title":"Abnormal connectivity between the default mode and the visual system underlies the manifestation of visual hallucinations in Parkinson’s disease: a task-based fMRI study","title-short":"Abnormal connectivity between the default mode and the visual system underlies the manifestation of visual hallucinations in Parkinson’s disease","volume":"1","author":[{"family":"Shine","given":"James M."},{"family":"Muller","given":"Alana J."},{"family":"O’Callaghan","given":"Claire"},{"family":"Hornberger","given":"Michael"},{"family":"Halliday","given":"Glenda M."},{"family":"Lewis","given":"Simon JG"}],"issued":{"date-parts":[["2015",4,22]]}}},{"id":5533,"uris":["http://zotero.org/users/local/xUwQuTPV/items/9FMHWJCZ"],"uri":["http://zotero.org/users/local/xUwQuTPV/items/9FMHWJCZ"],"itemData":{"id":5533,"type":"article-journal","abstract":"Attentional and executive dysfunction contribute to cognitive impairment in both Lewy body dementia and Alzheimer&amp;apos;s disease. Using functional MRI, we examined the neural correlates of three components of attention (alerting, orienting, and executive/conflict function) in 23 patients with Alzheimer&amp;apos;s disease, 32 patients with Lewy body dementia (19 with dementia with Lewy bodies and 13 with Parkinson&amp;apos;s disease with dementia), and 23 healthy controls using a modified Attention Network Test. Although the functional MRI demonstrated a similar fronto-parieto-occipital network activation in all groups, Alzheimer&amp;apos;s disease and Lewy body dementia patients had greater activation of this network for incongruent and more difficult trials, which were also accompanied by slower reaction times. There was no recruitment of additional brain regions or, conversely, regional deficits in brain activation. The default mode network, however, displayed diverging activity patterns in the dementia groups. The Alzheimer&amp;apos;s disease group had limited task related deactivations of the default mode network, whereas patients with Lewy body dementia showed heightened deactivation to all trials, which might be an attempt to allocate neural resources to impaired attentional networks. We posit that, despite a common endpoint of attention-executive disturbances in both dementias, the pathophysiological basis of these is very different between these diseases.","container-title":"Human Brain Mapping","DOI":"10.1002/hbm.23100","issue":"3","journalAbbreviation":"Hum. Brain Mapp.","language":"English","note":"PMCID: PMC4784171","page":"1254-1270","title":"Neural correlates of attention-executive dysfunction in lewy body dementia and Alzheimer's disease.","volume":"37","author":[{"family":"Firbank","given":"Michael"},{"family":"Kobeleva","given":"Xenia"},{"family":"Cherry","given":"George"},{"family":"Killen","given":"Alison"},{"family":"Gallagher","given":"Peter"},{"family":"Burn","given":"David J."},{"family":"Thomas","given":"Alan J."},{"family":"O&amp;apos;Brien","given":"John T."},{"family":"Taylor","given":"John-Paul"}],"issued":{"date-parts":[["2016",3]]}}},{"id":5529,"uris":["http://zotero.org/users/local/xUwQuTPV/items/I7JY88G5"],"uri":["http://zotero.org/users/local/xUwQuTPV/items/I7JY88G5"],"itemData":{"id":5529,"type":"article-journal","abstract":"A significant symptom of Lewy body dementia (LBD) is slow cognitive processing or bradyphrenia. In a previous fMRI task-based study, we found slower responses in LBD, accompanied by greater deactivation in the default mode network. In this study, we investigated the timing and magnitude of the activations and deactivations with respect to reaction time to determine whether the slower responses in LBD were associated with delayed neuronal activity. Using fMRI, we examined the magnitude and latency of activations and deactivations during an event-related attention task in 32 patients with LBD and 23 healthy controls using predefined regions of interest. Default mode network deactivations did not significantly differ in their timing between groups or task conditions, while the task-related activations in the parietal, occipital, frontal, and motor cortex were all significantly later in the LBD group. Repeating the analysis with reaction time as a parametric modulator of activation magnitude produced similar findings, with the reaction time modulator being significant in a number of regions including the default mode network, suggesting that the increased deactivation in LBD is partly explained by slower task completion. Our data suggest that the default mode network deactivation is initiated at the start of the task, and remains deactivated until its end, with the increased magnitude of deactivation in LBD reflecting the more prolonged cognitive processing in these patients. These data add substantially to our understanding of the neural origins of bradyphrenia, which will be essential for determining optimum therapeutic strategies for cognitive impairment in LBD. Hum Brain Mapp 39:633-643, 2018. © 2017 The Authors Human Brain Mapping Published by Wiley Periodicals, Inc.","container-title":"Human Brain Mapping","DOI":"10.1002/hbm.23866","issue":"2","journalAbbreviation":"Hum. Brain Mapp.","language":"English","note":"PMCID: PMC5813138","page":"633-643","title":"Long reaction times are associated with delayed brain activity in lewy body dementia.","volume":"39","author":[{"family":"Firbank","given":"Michael J."},{"family":"O'Brien","given":"John T."},{"family":"Taylor","given":"John-Paul"}],"issued":{"date-parts":[["2018",2]]}}},{"id":5541,"uris":["http://zotero.org/users/local/xUwQuTPV/items/BX4JHC79"],"uri":["http://zotero.org/users/local/xUwQuTPV/items/BX4JHC79"],"itemData":{"id":5541,"type":"article-journal","abstract":"CORTEX, 92 (2017) 8-18. doi:10.1016/j.cortex.2017.02.016","container-title":"CORTEX","DOI":"10.1016/j.cortex.2017.02.016","journalAbbreviation":"CORTEX","page":"8-18","title":"Divergent functional connectivity during attentional processing in Lewy body dementia and Alzheimer's disease","volume":"92","author":[{"family":"Kobeleva","given":"Xenia"},{"family":"Firbank","given":"Michael"},{"family":"Peraza","given":"Luis"},{"family":"Gallagher","given":"Peter"},{"family":"Thomas","given":"Alan"},{"family":"Burn","given":"David J."},{"family":"O&amp;apos;Brien","given":"John"},{"family":"Taylor","given":"John-Paul"}],"issued":{"date-parts":[["2017",7,1]]}}},{"id":3369,"uris":["http://zotero.org/users/local/xUwQuTPV/items/FLCURRNG"],"uri":["http://zotero.org/users/local/xUwQuTPV/items/FLCURRNG"],"itemData":{"id":3369,"type":"article-journal","abstract":"Hallucinations, delusions, and functional neurological manifestations (conversion and somatic symptom disorders) of Parkinson&amp;apos;s disease (PD) and dementia with Lewy bodies increase in frequency with disease progression, predict the onset of cognitive decline, and eventually blend with and are concealed by dementia. These symptoms share the absence of reality constraints and can be considered comparable elements of the PD-dementia with Lewy bodies psychosis. We propose that PD-dementia with Lewy bodies psychotic disorders depend on thalamic dysfunction promoting a theta burst mode and subsequent thalamocortical dysrhythmia with focal cortical coherence to theta electroencephalogram rhythms. This theta electroencephalogram activity, also called fast-theta or pre-alpha, has been shown to predict cognitive decline and fluctuations in Parkinson&amp;apos;s disease with dementia and dementia with Lewy bodies. These electroencephalogram alterations are now considered a predictive marker for progression to dementia. The resulting thalamocortical dysrhythmia inhibits the frontal attentional network and favors the decoupling of the default mode network. As the default mode network is involved in integration of self-referential information into conscious perception, unconstrained default mode network activity, as revealed by recent imaging studies, leads to random formation of connections that link strong autobiographical correlates to trivial stimuli, thereby producing hallucinations, delusions, and functional neurological disorders. The thalamocortical dysrhythmia default mode network decoupling hypothesis provides the rationale for the design and testing of novel therapeutic pharmacological and nonpharmacological interventions in the context of PD, PD with dementia, and dementia with Lewy bodies. © 2019 International Parkinson and Movement Disorder Society.","container-title":"Movement Disorders","DOI":"10.1002/mds.27781","issue":"8","journalAbbreviation":"Mov Disord.","language":"English","note":"PMCID: PMC6707070","page":"1100-1111","title":"Hallucinations, somatic-functional disorders of PD-DLB as expressions of thalamic dysfunction.","volume":"34","author":[{"family":"Onofrj","given":"Marco"},{"family":"Espay","given":"Alberto J."},{"family":"Bonanni","given":"Laura"},{"family":"Delli Pizzi","given":"Stefano"},{"family":"Sensi","given":"Stefano L."}],"issued":{"date-parts":[["2019",8]]}}},{"id":2509,"uris":["http://zotero.org/users/local/xUwQuTPV/items/2DTCTBG5"],"uri":["http://zotero.org/users/local/xUwQuTPV/items/2DTCTBG5"],"itemData":{"id":2509,"type":"article-journal","abstract":"CORTEX, 125 (2020) 233-245. doi:10.1016/j.cortex.2019.12.023","container-title":"CORTEX","DOI":"10.1016/j.cortex.2019.12.023","journalAbbreviation":"CORTEX","page":"233-245","title":"Mind-wandering in Parkinson's disease hallucinations reflects primary visual and default network coupling","volume":"125","author":[{"family":"Walpola","given":"Ishan C."},{"family":"Muller","given":"Alana J."},{"family":"Hall","given":"Julie M."},{"family":"Andrews-Hanna","given":"Jessica R."},{"family":"Irish","given":"Muireann"},{"family":"Lewis","given":"Simon J. G."},{"family":"Shine","given":"James M."},{"family":"O'Callaghan","given":"Claire"}],"issued":{"date-parts":[["2020",4,1]]}}}],"schema":"https://github.com/citation-style-language/schema/raw/master/csl-citation.json"} </w:instrText>
      </w:r>
      <w:r w:rsidR="001F7163" w:rsidRPr="00DE1E8C">
        <w:rPr>
          <w:bCs/>
          <w:lang w:val="en-GB"/>
        </w:rPr>
        <w:fldChar w:fldCharType="separate"/>
      </w:r>
      <w:r w:rsidR="00E805F6" w:rsidRPr="00DE1E8C">
        <w:rPr>
          <w:lang w:val="en-GB"/>
        </w:rPr>
        <w:t xml:space="preserve">(Sauer </w:t>
      </w:r>
      <w:r w:rsidR="00E805F6" w:rsidRPr="00DE1E8C">
        <w:rPr>
          <w:i/>
          <w:iCs/>
          <w:lang w:val="en-GB"/>
        </w:rPr>
        <w:t>et al.</w:t>
      </w:r>
      <w:r w:rsidR="00E805F6" w:rsidRPr="00DE1E8C">
        <w:rPr>
          <w:lang w:val="en-GB"/>
        </w:rPr>
        <w:t xml:space="preserve">, 2006; Shine </w:t>
      </w:r>
      <w:r w:rsidR="00E805F6" w:rsidRPr="00DE1E8C">
        <w:rPr>
          <w:i/>
          <w:iCs/>
          <w:lang w:val="en-GB"/>
        </w:rPr>
        <w:t>et al.</w:t>
      </w:r>
      <w:r w:rsidR="00E805F6" w:rsidRPr="00DE1E8C">
        <w:rPr>
          <w:lang w:val="en-GB"/>
        </w:rPr>
        <w:t xml:space="preserve">, 2015; Firbank </w:t>
      </w:r>
      <w:r w:rsidR="00E805F6" w:rsidRPr="00DE1E8C">
        <w:rPr>
          <w:i/>
          <w:iCs/>
          <w:lang w:val="en-GB"/>
        </w:rPr>
        <w:t>et al.</w:t>
      </w:r>
      <w:r w:rsidR="00E805F6" w:rsidRPr="00DE1E8C">
        <w:rPr>
          <w:lang w:val="en-GB"/>
        </w:rPr>
        <w:t xml:space="preserve">, 2016, 2018; Kobeleva </w:t>
      </w:r>
      <w:r w:rsidR="00E805F6" w:rsidRPr="00DE1E8C">
        <w:rPr>
          <w:i/>
          <w:iCs/>
          <w:lang w:val="en-GB"/>
        </w:rPr>
        <w:t>et al.</w:t>
      </w:r>
      <w:r w:rsidR="00E805F6" w:rsidRPr="00DE1E8C">
        <w:rPr>
          <w:lang w:val="en-GB"/>
        </w:rPr>
        <w:t xml:space="preserve">, 2017; Onofrj </w:t>
      </w:r>
      <w:r w:rsidR="00E805F6" w:rsidRPr="00DE1E8C">
        <w:rPr>
          <w:i/>
          <w:iCs/>
          <w:lang w:val="en-GB"/>
        </w:rPr>
        <w:t>et al.</w:t>
      </w:r>
      <w:r w:rsidR="00E805F6" w:rsidRPr="00DE1E8C">
        <w:rPr>
          <w:lang w:val="en-GB"/>
        </w:rPr>
        <w:t xml:space="preserve">, 2019; Walpola </w:t>
      </w:r>
      <w:r w:rsidR="00E805F6" w:rsidRPr="00DE1E8C">
        <w:rPr>
          <w:i/>
          <w:iCs/>
          <w:lang w:val="en-GB"/>
        </w:rPr>
        <w:t>et al.</w:t>
      </w:r>
      <w:r w:rsidR="00E805F6" w:rsidRPr="00DE1E8C">
        <w:rPr>
          <w:lang w:val="en-GB"/>
        </w:rPr>
        <w:t>, 2020)</w:t>
      </w:r>
      <w:r w:rsidR="001F7163" w:rsidRPr="00DE1E8C">
        <w:rPr>
          <w:bCs/>
          <w:lang w:val="en-GB"/>
        </w:rPr>
        <w:fldChar w:fldCharType="end"/>
      </w:r>
      <w:r w:rsidR="00556848" w:rsidRPr="00DE1E8C">
        <w:rPr>
          <w:bCs/>
          <w:lang w:val="en-GB"/>
        </w:rPr>
        <w:t>.</w:t>
      </w:r>
      <w:r w:rsidR="00911722" w:rsidRPr="00DE1E8C">
        <w:rPr>
          <w:bCs/>
          <w:lang w:val="en-GB"/>
        </w:rPr>
        <w:t xml:space="preserve"> </w:t>
      </w:r>
      <w:r w:rsidR="004C5B66" w:rsidRPr="00DE1E8C">
        <w:rPr>
          <w:bCs/>
          <w:lang w:val="en-GB"/>
        </w:rPr>
        <w:t xml:space="preserve">Overall, these studies have pointed towards impaired engagement of externally orienting systems, coupled with </w:t>
      </w:r>
      <w:r w:rsidR="00911722" w:rsidRPr="00DE1E8C">
        <w:rPr>
          <w:bCs/>
          <w:lang w:val="en-GB"/>
        </w:rPr>
        <w:t xml:space="preserve">a </w:t>
      </w:r>
      <w:r w:rsidR="004C5B66" w:rsidRPr="00DE1E8C">
        <w:rPr>
          <w:bCs/>
          <w:lang w:val="en-GB"/>
        </w:rPr>
        <w:t xml:space="preserve">reduced ability to modulate the </w:t>
      </w:r>
      <w:r w:rsidR="00533EBB" w:rsidRPr="00DE1E8C">
        <w:rPr>
          <w:bCs/>
          <w:lang w:val="en-GB"/>
        </w:rPr>
        <w:t>default network</w:t>
      </w:r>
      <w:r w:rsidR="00911722" w:rsidRPr="00DE1E8C">
        <w:rPr>
          <w:bCs/>
          <w:lang w:val="en-GB"/>
        </w:rPr>
        <w:t xml:space="preserve">. </w:t>
      </w:r>
      <w:r w:rsidR="005F41FB" w:rsidRPr="00DE1E8C">
        <w:rPr>
          <w:bCs/>
          <w:lang w:val="en-GB"/>
        </w:rPr>
        <w:t>Related to</w:t>
      </w:r>
      <w:r w:rsidR="0064450C" w:rsidRPr="00DE1E8C">
        <w:rPr>
          <w:bCs/>
          <w:lang w:val="en-GB"/>
        </w:rPr>
        <w:t xml:space="preserve"> this</w:t>
      </w:r>
      <w:r w:rsidR="005F41FB" w:rsidRPr="00DE1E8C">
        <w:rPr>
          <w:bCs/>
          <w:lang w:val="en-GB"/>
        </w:rPr>
        <w:t xml:space="preserve"> are</w:t>
      </w:r>
      <w:r w:rsidR="00861734" w:rsidRPr="00DE1E8C">
        <w:rPr>
          <w:bCs/>
          <w:lang w:val="en-GB"/>
        </w:rPr>
        <w:t xml:space="preserve"> </w:t>
      </w:r>
      <w:r w:rsidR="005F41FB" w:rsidRPr="00DE1E8C">
        <w:rPr>
          <w:bCs/>
          <w:lang w:val="en-GB"/>
        </w:rPr>
        <w:t xml:space="preserve">findings in Lewy body dementia that show a </w:t>
      </w:r>
      <w:r w:rsidR="00900A42" w:rsidRPr="00DE1E8C">
        <w:rPr>
          <w:bCs/>
          <w:lang w:val="en-GB"/>
        </w:rPr>
        <w:t>reduced variability</w:t>
      </w:r>
      <w:r w:rsidR="005F41FB" w:rsidRPr="00DE1E8C">
        <w:rPr>
          <w:bCs/>
          <w:lang w:val="en-GB"/>
        </w:rPr>
        <w:t xml:space="preserve"> of global brain network efficiency </w:t>
      </w:r>
      <w:r w:rsidR="00037E7B" w:rsidRPr="00DE1E8C">
        <w:rPr>
          <w:bCs/>
          <w:lang w:val="en-GB"/>
        </w:rPr>
        <w:fldChar w:fldCharType="begin"/>
      </w:r>
      <w:r w:rsidR="00E805F6" w:rsidRPr="00DE1E8C">
        <w:rPr>
          <w:bCs/>
          <w:lang w:val="en-GB"/>
        </w:rPr>
        <w:instrText xml:space="preserve"> ADDIN ZOTERO_ITEM CSL_CITATION {"citationID":"a6vkmkb5vh","properties":{"formattedCitation":"(Schumacher {\\i{}et al.}, 2019{\\i{}a})","plainCitation":"(Schumacher et al., 2019a)","noteIndex":0},"citationItems":[{"id":14342,"uris":["http://zotero.org/users/local/xUwQuTPV/items/TJ7DNDKG"],"uri":["http://zotero.org/users/local/xUwQuTPV/items/TJ7DNDKG"],"itemData":{"id":14342,"type":"article-journal","abstract":"We studied the dynamic functional connectivity proﬁle of dementia with Lewy bodies (DLB) and Alzheimer's disease (AD) compared to controls, how it diﬀers between the two dementia subtypes, and a possible relation between dynamic connectivity alterations and temporally transient clinical symptoms in DLB.","container-title":"NeuroImage: Clinical","DOI":"10.1016/j.nicl.2019.101812","ISSN":"22131582","journalAbbreviation":"NeuroImage: Clinical","language":"en","page":"101812","source":"DOI.org (Crossref)","title":"Dynamic functional connectivity changes in dementia with Lewy bodies and Alzheimer's disease","volume":"22","author":[{"family":"Schumacher","given":"Julia"},{"family":"Peraza","given":"Luis R."},{"family":"Firbank","given":"Michael"},{"family":"Thomas","given":"Alan J."},{"family":"Kaiser","given":"Marcus"},{"family":"Gallagher","given":"Peter"},{"family":"O'Brien","given":"John T."},{"family":"Blamire","given":"Andrew M."},{"family":"Taylor","given":"John-Paul"}],"issued":{"date-parts":[["2019"]]}}}],"schema":"https://github.com/citation-style-language/schema/raw/master/csl-citation.json"} </w:instrText>
      </w:r>
      <w:r w:rsidR="00037E7B" w:rsidRPr="00DE1E8C">
        <w:rPr>
          <w:bCs/>
          <w:lang w:val="en-GB"/>
        </w:rPr>
        <w:fldChar w:fldCharType="separate"/>
      </w:r>
      <w:r w:rsidR="00E805F6" w:rsidRPr="00DE1E8C">
        <w:rPr>
          <w:lang w:val="en-GB"/>
        </w:rPr>
        <w:t xml:space="preserve">(Schumacher </w:t>
      </w:r>
      <w:r w:rsidR="00E805F6" w:rsidRPr="00DE1E8C">
        <w:rPr>
          <w:i/>
          <w:iCs/>
          <w:lang w:val="en-GB"/>
        </w:rPr>
        <w:t>et al.</w:t>
      </w:r>
      <w:r w:rsidR="00E805F6" w:rsidRPr="00DE1E8C">
        <w:rPr>
          <w:lang w:val="en-GB"/>
        </w:rPr>
        <w:t>, 2019</w:t>
      </w:r>
      <w:r w:rsidR="00E805F6" w:rsidRPr="00DE1E8C">
        <w:rPr>
          <w:i/>
          <w:iCs/>
          <w:lang w:val="en-GB"/>
        </w:rPr>
        <w:t>a</w:t>
      </w:r>
      <w:r w:rsidR="00E805F6" w:rsidRPr="00DE1E8C">
        <w:rPr>
          <w:lang w:val="en-GB"/>
        </w:rPr>
        <w:t>)</w:t>
      </w:r>
      <w:r w:rsidR="00037E7B" w:rsidRPr="00DE1E8C">
        <w:rPr>
          <w:bCs/>
          <w:lang w:val="en-GB"/>
        </w:rPr>
        <w:fldChar w:fldCharType="end"/>
      </w:r>
      <w:r w:rsidR="00037E7B" w:rsidRPr="00DE1E8C">
        <w:rPr>
          <w:bCs/>
          <w:lang w:val="en-GB"/>
        </w:rPr>
        <w:t xml:space="preserve"> and </w:t>
      </w:r>
      <w:r w:rsidR="00BB0880" w:rsidRPr="00DE1E8C">
        <w:rPr>
          <w:bCs/>
          <w:lang w:val="en-GB"/>
        </w:rPr>
        <w:t>slowed microstate dynamics</w:t>
      </w:r>
      <w:r w:rsidR="00A6426A" w:rsidRPr="00DE1E8C">
        <w:rPr>
          <w:bCs/>
          <w:lang w:val="en-GB"/>
        </w:rPr>
        <w:t xml:space="preserve"> </w:t>
      </w:r>
      <w:r w:rsidR="00A6426A" w:rsidRPr="00DE1E8C">
        <w:rPr>
          <w:bCs/>
          <w:lang w:val="en-GB"/>
        </w:rPr>
        <w:fldChar w:fldCharType="begin"/>
      </w:r>
      <w:r w:rsidR="00E805F6" w:rsidRPr="00DE1E8C">
        <w:rPr>
          <w:bCs/>
          <w:lang w:val="en-GB"/>
        </w:rPr>
        <w:instrText xml:space="preserve"> ADDIN ZOTERO_ITEM CSL_CITATION {"citationID":"a2c8lh0ct68","properties":{"formattedCitation":"(Schumacher {\\i{}et al.}, 2019{\\i{}b})","plainCitation":"(Schumacher et al., 2019b)","noteIndex":0},"citationItems":[{"id":14236,"uris":["http://zotero.org/users/local/xUwQuTPV/items/SSM47WV6"],"uri":["http://zotero.org/users/local/xUwQuTPV/items/SSM47WV6"],"itemData":{"id":14236,"type":"article-journal","container-title":"Brain","DOI":"10.1093/brain/awz069","ISSN":"0006-8950, 1460-2156","issue":"6","language":"en","page":"1767-1782","source":"DOI.org (Crossref)","title":"Dysfunctional brain dynamics and their origin in Lewy body dementia","volume":"142","author":[{"family":"Schumacher","given":"Julia"},{"family":"Peraza","given":"Luis R"},{"family":"Firbank","given":"Michael"},{"family":"Thomas","given":"Alan J"},{"family":"Kaiser","given":"Marcus"},{"family":"Gallagher","given":"Peter"},{"family":"O’Brien","given":"John T"},{"family":"Blamire","given":"Andrew M"},{"family":"Taylor","given":"John-Paul"}],"issued":{"date-parts":[["2019",6,1]]}}}],"schema":"https://github.com/citation-style-language/schema/raw/master/csl-citation.json"} </w:instrText>
      </w:r>
      <w:r w:rsidR="00A6426A" w:rsidRPr="00DE1E8C">
        <w:rPr>
          <w:bCs/>
          <w:lang w:val="en-GB"/>
        </w:rPr>
        <w:fldChar w:fldCharType="separate"/>
      </w:r>
      <w:r w:rsidR="00E805F6" w:rsidRPr="00DE1E8C">
        <w:rPr>
          <w:lang w:val="en-GB"/>
        </w:rPr>
        <w:t xml:space="preserve">(Schumacher </w:t>
      </w:r>
      <w:r w:rsidR="00E805F6" w:rsidRPr="00DE1E8C">
        <w:rPr>
          <w:i/>
          <w:iCs/>
          <w:lang w:val="en-GB"/>
        </w:rPr>
        <w:t>et al.</w:t>
      </w:r>
      <w:r w:rsidR="00E805F6" w:rsidRPr="00DE1E8C">
        <w:rPr>
          <w:lang w:val="en-GB"/>
        </w:rPr>
        <w:t>, 2019</w:t>
      </w:r>
      <w:r w:rsidR="00E805F6" w:rsidRPr="00DE1E8C">
        <w:rPr>
          <w:i/>
          <w:iCs/>
          <w:lang w:val="en-GB"/>
        </w:rPr>
        <w:t>b</w:t>
      </w:r>
      <w:r w:rsidR="00E805F6" w:rsidRPr="00DE1E8C">
        <w:rPr>
          <w:lang w:val="en-GB"/>
        </w:rPr>
        <w:t>)</w:t>
      </w:r>
      <w:r w:rsidR="00A6426A" w:rsidRPr="00DE1E8C">
        <w:rPr>
          <w:bCs/>
          <w:lang w:val="en-GB"/>
        </w:rPr>
        <w:fldChar w:fldCharType="end"/>
      </w:r>
      <w:r w:rsidR="004C64D8" w:rsidRPr="00DE1E8C">
        <w:rPr>
          <w:bCs/>
          <w:lang w:val="en-GB"/>
        </w:rPr>
        <w:t xml:space="preserve"> – consistent with</w:t>
      </w:r>
      <w:r w:rsidR="00A6426A" w:rsidRPr="00DE1E8C">
        <w:rPr>
          <w:bCs/>
          <w:lang w:val="en-GB"/>
        </w:rPr>
        <w:t xml:space="preserve"> abnormally rigid brain networks </w:t>
      </w:r>
      <w:r w:rsidR="000040EB" w:rsidRPr="00DE1E8C">
        <w:rPr>
          <w:bCs/>
          <w:lang w:val="en-GB"/>
        </w:rPr>
        <w:t xml:space="preserve">that </w:t>
      </w:r>
      <w:r w:rsidR="0009307B" w:rsidRPr="00DE1E8C">
        <w:rPr>
          <w:bCs/>
          <w:lang w:val="en-GB"/>
        </w:rPr>
        <w:t xml:space="preserve">lack the </w:t>
      </w:r>
      <w:r w:rsidR="00021F57" w:rsidRPr="00DE1E8C">
        <w:rPr>
          <w:bCs/>
          <w:lang w:val="en-GB"/>
        </w:rPr>
        <w:t>necessary</w:t>
      </w:r>
      <w:r w:rsidR="00A74655" w:rsidRPr="00DE1E8C">
        <w:rPr>
          <w:bCs/>
          <w:lang w:val="en-GB"/>
        </w:rPr>
        <w:t xml:space="preserve"> flexibility</w:t>
      </w:r>
      <w:r w:rsidR="0009307B" w:rsidRPr="00DE1E8C">
        <w:rPr>
          <w:bCs/>
          <w:lang w:val="en-GB"/>
        </w:rPr>
        <w:t xml:space="preserve"> to respond to </w:t>
      </w:r>
      <w:r w:rsidR="004D1214" w:rsidRPr="00DE1E8C">
        <w:rPr>
          <w:bCs/>
          <w:lang w:val="en-GB"/>
        </w:rPr>
        <w:t>environmental</w:t>
      </w:r>
      <w:r w:rsidR="0009307B" w:rsidRPr="00DE1E8C">
        <w:rPr>
          <w:bCs/>
          <w:lang w:val="en-GB"/>
        </w:rPr>
        <w:t xml:space="preserve"> demand</w:t>
      </w:r>
      <w:r w:rsidR="00425C90" w:rsidRPr="00DE1E8C">
        <w:rPr>
          <w:bCs/>
          <w:lang w:val="en-GB"/>
        </w:rPr>
        <w:t xml:space="preserve">s, </w:t>
      </w:r>
      <w:r w:rsidR="004C408F" w:rsidRPr="00DE1E8C">
        <w:rPr>
          <w:bCs/>
          <w:lang w:val="en-GB"/>
        </w:rPr>
        <w:t xml:space="preserve">such as sensory evidence </w:t>
      </w:r>
      <w:r w:rsidR="003A2D51" w:rsidRPr="00DE1E8C">
        <w:rPr>
          <w:bCs/>
          <w:lang w:val="en-GB"/>
        </w:rPr>
        <w:t>accumulation</w:t>
      </w:r>
      <w:r w:rsidR="00425C90" w:rsidRPr="00DE1E8C">
        <w:rPr>
          <w:bCs/>
          <w:lang w:val="en-GB"/>
        </w:rPr>
        <w:t>.</w:t>
      </w:r>
      <w:r w:rsidR="0089498E" w:rsidRPr="00DE1E8C">
        <w:rPr>
          <w:bCs/>
          <w:lang w:val="en-GB"/>
        </w:rPr>
        <w:t xml:space="preserve"> </w:t>
      </w:r>
      <w:r w:rsidR="00425C90" w:rsidRPr="00DE1E8C">
        <w:rPr>
          <w:bCs/>
          <w:lang w:val="en-GB"/>
        </w:rPr>
        <w:t xml:space="preserve"> </w:t>
      </w:r>
    </w:p>
    <w:p w14:paraId="2F954F00" w14:textId="77777777" w:rsidR="00821449" w:rsidRPr="00DE1E8C" w:rsidRDefault="00821449" w:rsidP="00952E80">
      <w:pPr>
        <w:spacing w:line="360" w:lineRule="auto"/>
        <w:contextualSpacing/>
        <w:jc w:val="both"/>
        <w:rPr>
          <w:bCs/>
          <w:lang w:val="en-GB"/>
        </w:rPr>
      </w:pPr>
    </w:p>
    <w:p w14:paraId="4050F4A5" w14:textId="132BDB7A" w:rsidR="001A4C4C" w:rsidRPr="00DE1E8C" w:rsidRDefault="00C76D94" w:rsidP="00952E80">
      <w:pPr>
        <w:spacing w:line="360" w:lineRule="auto"/>
        <w:contextualSpacing/>
        <w:jc w:val="both"/>
        <w:rPr>
          <w:bCs/>
          <w:lang w:val="en-GB"/>
        </w:rPr>
      </w:pPr>
      <w:r w:rsidRPr="00DE1E8C">
        <w:rPr>
          <w:bCs/>
          <w:lang w:val="en-GB"/>
        </w:rPr>
        <w:t>Much of the</w:t>
      </w:r>
      <w:r w:rsidR="007B42B0" w:rsidRPr="00DE1E8C">
        <w:rPr>
          <w:bCs/>
          <w:lang w:val="en-GB"/>
        </w:rPr>
        <w:t xml:space="preserve"> existing</w:t>
      </w:r>
      <w:r w:rsidR="00822A5B" w:rsidRPr="00DE1E8C">
        <w:rPr>
          <w:bCs/>
          <w:lang w:val="en-GB"/>
        </w:rPr>
        <w:t xml:space="preserve"> work in sensory evidence accumulation</w:t>
      </w:r>
      <w:r w:rsidRPr="00DE1E8C">
        <w:rPr>
          <w:bCs/>
          <w:lang w:val="en-GB"/>
        </w:rPr>
        <w:t xml:space="preserve"> has</w:t>
      </w:r>
      <w:r w:rsidR="008545CB" w:rsidRPr="00DE1E8C">
        <w:rPr>
          <w:bCs/>
          <w:lang w:val="en-GB"/>
        </w:rPr>
        <w:t xml:space="preserve"> </w:t>
      </w:r>
      <w:r w:rsidR="00684429" w:rsidRPr="00DE1E8C">
        <w:rPr>
          <w:bCs/>
          <w:lang w:val="en-GB"/>
        </w:rPr>
        <w:t>involved single-</w:t>
      </w:r>
      <w:r w:rsidR="00E74E22" w:rsidRPr="00DE1E8C">
        <w:rPr>
          <w:bCs/>
          <w:lang w:val="en-GB"/>
        </w:rPr>
        <w:t>unit</w:t>
      </w:r>
      <w:r w:rsidR="00684429" w:rsidRPr="00DE1E8C">
        <w:rPr>
          <w:bCs/>
          <w:lang w:val="en-GB"/>
        </w:rPr>
        <w:t xml:space="preserve"> recordings in non-human primates</w:t>
      </w:r>
      <w:r w:rsidR="006C1725" w:rsidRPr="00DE1E8C">
        <w:rPr>
          <w:bCs/>
          <w:lang w:val="en-GB"/>
        </w:rPr>
        <w:t>,</w:t>
      </w:r>
      <w:r w:rsidR="00684429" w:rsidRPr="00DE1E8C">
        <w:rPr>
          <w:bCs/>
          <w:lang w:val="en-GB"/>
        </w:rPr>
        <w:t xml:space="preserve"> </w:t>
      </w:r>
      <w:r w:rsidR="009C2640" w:rsidRPr="00DE1E8C">
        <w:rPr>
          <w:bCs/>
          <w:lang w:val="en-GB"/>
        </w:rPr>
        <w:t>identifying</w:t>
      </w:r>
      <w:r w:rsidR="00684429" w:rsidRPr="00DE1E8C">
        <w:rPr>
          <w:bCs/>
          <w:lang w:val="en-GB"/>
        </w:rPr>
        <w:t xml:space="preserve"> “accumulator regions”</w:t>
      </w:r>
      <w:r w:rsidR="00C56B29" w:rsidRPr="00DE1E8C">
        <w:rPr>
          <w:bCs/>
          <w:lang w:val="en-GB"/>
        </w:rPr>
        <w:t xml:space="preserve"> – for example, in the lateral intraparietal area, frontal eye fields and superior colliculus – where </w:t>
      </w:r>
      <w:r w:rsidR="00AC34FE" w:rsidRPr="00DE1E8C">
        <w:rPr>
          <w:bCs/>
          <w:lang w:val="en-GB"/>
        </w:rPr>
        <w:t>activity increases in a ramp-like</w:t>
      </w:r>
      <w:r w:rsidR="00C229F9" w:rsidRPr="00DE1E8C">
        <w:rPr>
          <w:bCs/>
          <w:lang w:val="en-GB"/>
        </w:rPr>
        <w:t>,</w:t>
      </w:r>
      <w:r w:rsidR="00AC34FE" w:rsidRPr="00DE1E8C">
        <w:rPr>
          <w:bCs/>
          <w:lang w:val="en-GB"/>
        </w:rPr>
        <w:t xml:space="preserve"> or drift</w:t>
      </w:r>
      <w:r w:rsidR="00C229F9" w:rsidRPr="00DE1E8C">
        <w:rPr>
          <w:bCs/>
          <w:lang w:val="en-GB"/>
        </w:rPr>
        <w:t>,</w:t>
      </w:r>
      <w:r w:rsidR="00AC34FE" w:rsidRPr="00DE1E8C">
        <w:rPr>
          <w:bCs/>
          <w:lang w:val="en-GB"/>
        </w:rPr>
        <w:t xml:space="preserve"> fashion </w:t>
      </w:r>
      <w:r w:rsidR="007D161A" w:rsidRPr="00DE1E8C">
        <w:rPr>
          <w:bCs/>
          <w:lang w:val="en-GB"/>
        </w:rPr>
        <w:t>as information is integrated towards</w:t>
      </w:r>
      <w:r w:rsidR="00AC34FE" w:rsidRPr="00DE1E8C">
        <w:rPr>
          <w:bCs/>
          <w:lang w:val="en-GB"/>
        </w:rPr>
        <w:t xml:space="preserve"> a choice </w:t>
      </w:r>
      <w:r w:rsidR="00563B61" w:rsidRPr="00DE1E8C">
        <w:rPr>
          <w:bCs/>
          <w:lang w:val="en-GB"/>
        </w:rPr>
        <w:fldChar w:fldCharType="begin"/>
      </w:r>
      <w:r w:rsidR="00E805F6" w:rsidRPr="00DE1E8C">
        <w:rPr>
          <w:bCs/>
          <w:lang w:val="en-GB"/>
        </w:rPr>
        <w:instrText xml:space="preserve"> ADDIN ZOTERO_ITEM CSL_CITATION {"citationID":"a25iduvl4na","properties":{"formattedCitation":"(Horwitz and Newsome, 1999; Shadlen and Newsome, 2001; Roitman and Shadlen, 2002; Ding and Gold, 2012)","plainCitation":"(Horwitz and Newsome, 1999; Shadlen and Newsome, 2001; Roitman and Shadlen, 2002; Ding and Gold, 2012)","noteIndex":0},"citationItems":[{"id":14370,"uris":["http://zotero.org/users/local/xUwQuTPV/items/JKT4XXVR"],"uri":["http://zotero.org/users/local/xUwQuTPV/items/JKT4XXVR"],"itemData":{"id":14370,"type":"article-journal","abstract":"At any given instant, multiple potential targets for saccades are present in the visual world, implying that a “selection process” within the brain determines the target of the next eye movement. Some superior colliculus (SC) neurons begin discharging seconds before saccade initiation, suggesting involvement in target selection or, alternatively, in postselectional saccade preparation. SC neurons were recorded in monkeys who selected saccade targets on the basis of motion direction in a visual display. Some neurons carried a direction-selective visual signal, consistent with a role in target selection in this task, whereas other SC neurons appeared to be more involved in postselection specification of saccade parameters.","container-title":"Science","DOI":"10.1126/science.284.5417.1158","ISSN":"0036-8075, 1095-9203","issue":"5417","language":"en","note":"publisher: American Association for the Advancement of Science\nsection: Report\nPMID: 10325224","page":"1158-1161","source":"science.sciencemag.org","title":"Separate Signals for Target Selection and Movement Specification in the Superior Colliculus","volume":"284","author":[{"family":"Horwitz","given":"Gregory D."},{"family":"Newsome","given":"William T."}],"issued":{"date-parts":[["1999",5,14]]}}},{"id":14375,"uris":["http://zotero.org/users/local/xUwQuTPV/items/H5ZLJXDG"],"uri":["http://zotero.org/users/local/xUwQuTPV/items/H5ZLJXDG"],"itemData":{"id":14375,"type":"article-journal","abstract":"We recorded the activity of single neurons in the posterior parietal cortex (area LIP) of two rhesus monkeys while they discriminated the direction of motion in random-dot visual stimuli. The visual task was similar to a motion discrimination task that has been used in previous investigations of motion-sensitive regions of the extrastriate cortex. The monkeys were trained to decide whether the direction of motion was toward one of two choice targets that appeared on either side of the random-dot stimulus. At the end of the trial, the monkeys reported their direction judgment by making an eye movement to the appropriate target. We studied neurons in LIP that exhibited spatially selective persistent activity during delayed saccadic eye movement tasks. These neurons are thought to carry high-level signals appropriate for identifying salient visual targets and for guiding saccadic eye movements. We arranged the motion discrimination task so that one of the choice targets was in the LIP neuron's response field (RF) while the other target was positioned well away from the RF. During motion viewing, neurons in LIP altered their firing rate in a manner that predicted the saccadic eye movement that the monkey would make at the end of the trial. The activity thus predicted the monkey's judgment of motion direction. This predictive activity began early in the motion-viewing period and became increasingly reliable as the monkey viewed the random-dot motion. The neural activity predicted the monkey's direction judgment on both easy and difficult trials (strong and weak motion), whether or not the judgment was correct. In addition, the timing and magnitude of the response was affected by the strength of the motion signal in the stimulus. When the direction of motion was toward the RF, stronger motion led to larger neural responses earlier in the motion-viewing period. When motion was away from the RF, stronger motion led to greater suppression of ongoing activity. Thus the activity of single neurons in area LIP reflects both the direction of an impending gaze shift and the quality of the sensory information that instructs such a response. The time course of the neural response suggests that LIP accumulates sensory signals relevant to the selection of a target for an eye movement.","container-title":"Journal of Neurophysiology","DOI":"10.1152/jn.2001.86.4.1916","ISSN":"0022-3077","issue":"4","note":"publisher: American Physiological Society","page":"1916-1936","source":"journals.physiology.org (Atypon)","title":"Neural Basis of a Perceptual Decision in the Parietal Cortex (Area LIP) of the Rhesus Monkey","volume":"86","author":[{"family":"Shadlen","given":"Michael N."},{"family":"Newsome","given":"William T."}],"issued":{"date-parts":[["2001",10,1]]}}},{"id":14366,"uris":["http://zotero.org/users/local/xUwQuTPV/items/Q7JEZPVA"],"uri":["http://zotero.org/users/local/xUwQuTPV/items/Q7JEZPVA"],"itemData":{"id":14366,"type":"article-journal","container-title":"The Journal of Neuroscience","DOI":"10.1523/JNEUROSCI.22-21-09475.2002","ISSN":"0270-6474, 1529-2401","issue":"21","journalAbbreviation":"J. Neurosci.","language":"en","page":"9475-9489","source":"DOI.org (Crossref)","title":"Response of Neurons in the Lateral Intraparietal Area during a Combined Visual Discrimination Reaction Time Task","volume":"22","author":[{"family":"Roitman","given":"Jamie D."},{"family":"Shadlen","given":"Michael N."}],"issued":{"date-parts":[["2002",11,1]]}}},{"id":14367,"uris":["http://zotero.org/users/local/xUwQuTPV/items/ERIEW5HR"],"uri":["http://zotero.org/users/local/xUwQuTPV/items/ERIEW5HR"],"itemData":{"id":14367,"type":"article-journal","abstract":"Abstract.  Perceptual decision making requires a complex set of computations to implement, evaluate, and adjust the conversion of sensory input into a categoric","container-title":"Cerebral Cortex","DOI":"10.1093/cercor/bhr178","ISSN":"1047-3211","issue":"5","journalAbbreviation":"Cereb Cortex","language":"en","note":"publisher: Oxford Academic","page":"1052-1067","source":"academic.oup.com","title":"Neural Correlates of Perceptual Decision Making before, during, and after Decision Commitment in Monkey Frontal Eye Field","volume":"22","author":[{"family":"Ding","given":"Long"},{"family":"Gold","given":"Joshua I."}],"issued":{"date-parts":[["2012",5,1]]}}}],"schema":"https://github.com/citation-style-language/schema/raw/master/csl-citation.json"} </w:instrText>
      </w:r>
      <w:r w:rsidR="00563B61" w:rsidRPr="00DE1E8C">
        <w:rPr>
          <w:bCs/>
          <w:lang w:val="en-GB"/>
        </w:rPr>
        <w:fldChar w:fldCharType="separate"/>
      </w:r>
      <w:r w:rsidR="00E805F6" w:rsidRPr="00DE1E8C">
        <w:rPr>
          <w:lang w:val="en-GB"/>
        </w:rPr>
        <w:t>(Horwitz and Newsome, 1999; Shadlen and Newsome, 2001; Roitman and Shadlen, 2002; Ding and Gold, 2012)</w:t>
      </w:r>
      <w:r w:rsidR="00563B61" w:rsidRPr="00DE1E8C">
        <w:rPr>
          <w:bCs/>
          <w:lang w:val="en-GB"/>
        </w:rPr>
        <w:fldChar w:fldCharType="end"/>
      </w:r>
      <w:r w:rsidRPr="00DE1E8C">
        <w:rPr>
          <w:bCs/>
          <w:lang w:val="en-GB"/>
        </w:rPr>
        <w:t xml:space="preserve">. </w:t>
      </w:r>
      <w:r w:rsidR="00FF3E05" w:rsidRPr="00DE1E8C">
        <w:rPr>
          <w:bCs/>
          <w:lang w:val="en-GB"/>
        </w:rPr>
        <w:t>In contrast, fMRI studies have attempted to provide a more holistic</w:t>
      </w:r>
      <w:r w:rsidR="00F61BC9" w:rsidRPr="00DE1E8C">
        <w:rPr>
          <w:bCs/>
          <w:lang w:val="en-GB"/>
        </w:rPr>
        <w:t>, systems-level</w:t>
      </w:r>
      <w:r w:rsidR="00FF3E05" w:rsidRPr="00DE1E8C">
        <w:rPr>
          <w:bCs/>
          <w:lang w:val="en-GB"/>
        </w:rPr>
        <w:t xml:space="preserve"> view of evidence accumulation correlates across the brain </w:t>
      </w:r>
      <w:r w:rsidR="002046B4" w:rsidRPr="00DE1E8C">
        <w:rPr>
          <w:bCs/>
          <w:lang w:val="en-GB"/>
        </w:rPr>
        <w:fldChar w:fldCharType="begin"/>
      </w:r>
      <w:r w:rsidR="00E805F6" w:rsidRPr="00DE1E8C">
        <w:rPr>
          <w:bCs/>
          <w:lang w:val="en-GB"/>
        </w:rPr>
        <w:instrText xml:space="preserve"> ADDIN ZOTERO_ITEM CSL_CITATION {"citationID":"akvfv4u1k","properties":{"formattedCitation":"(O\\uc0\\u8217{}Connell {\\i{}et al.}, 2018; Yau {\\i{}et al.}, 2020)","plainCitation":"(O’Connell et al., 2018; Yau et al., 2020)","noteIndex":0},"citationItems":[{"id":14384,"uris":["http://zotero.org/users/local/xUwQuTPV/items/A556KK3Y"],"uri":["http://zotero.org/users/local/xUwQuTPV/items/A556KK3Y"],"itemData":{"id":14384,"type":"article-journal","container-title":"Trends in Neurosciences","DOI":"10.1016/j.tins.2018.06.005","ISSN":"01662236","issue":"11","journalAbbreviation":"Trends in Neurosciences","language":"en","page":"838-852","source":"DOI.org (Crossref)","title":"Bridging Neural and Computational Viewpoints on Perceptual Decision-Making","volume":"41","author":[{"family":"O’Connell","given":"Redmond G."},{"family":"Shadlen","given":"Michael N."},{"family":"Wong-Lin","given":"KongFatt"},{"family":"Kelly","given":"Simon P."}],"issued":{"date-parts":[["2018",11]]}}},{"id":14344,"uris":["http://zotero.org/users/local/xUwQuTPV/items/V29AVXVA"],"uri":["http://zotero.org/users/local/xUwQuTPV/items/V29AVXVA"],"itemData":{"id":14344,"type":"article-journal","abstract":"Current models of decision-making assume that the brain gradually accumulates evidence and drifts toward a threshold that, once crossed, results in a choice selection. These models have been especially successful in primate research; however, transposing them to human fMRI paradigms has proved it to be challenging. Here, we exploit the face-selective visual system and test whether decoded emotional facial features from multivariate fMRI signals during a dynamic perceptual decision-making task are related to the parameters of computational models of decision-making. We show that trial-by-trial variations in the pattern of neural activity in the fusiform gyrus ref lect facial emotional information and modulate drift rates during deliberation. We also observed an inverse-urgency signal based in the caudate nucleus that was independent of sensory information but appeared to slow decisions, particularly when information in the task was ambiguous. Taken together, our results characterize how decision parameters from a computational model (i.e., drift rate and urgency signal) are involved in perceptual decision-making and ref lected in the activity of the human brain.","container-title":"Cerebral Cortex","DOI":"10.1093/cercor/bhaa129","ISSN":"1047-3211, 1460-2199","issue":"10","language":"en","page":"5471-5483","source":"DOI.org (Crossref)","title":"Neural Correlates of Evidence and Urgency During Human Perceptual Decision-Making in Dynamically Changing Conditions","volume":"30","author":[{"family":"Yau","given":"Y"},{"family":"Dadar","given":"M"},{"family":"Taylor","given":"M"},{"family":"Zeighami","given":"Y"},{"family":"Fellows","given":"L K"},{"family":"Cisek","given":"P"},{"family":"Dagher","given":"A"}],"issued":{"date-parts":[["2020",9,3]]}}}],"schema":"https://github.com/citation-style-language/schema/raw/master/csl-citation.json"} </w:instrText>
      </w:r>
      <w:r w:rsidR="002046B4" w:rsidRPr="00DE1E8C">
        <w:rPr>
          <w:bCs/>
          <w:lang w:val="en-GB"/>
        </w:rPr>
        <w:fldChar w:fldCharType="separate"/>
      </w:r>
      <w:r w:rsidR="00E805F6" w:rsidRPr="00DE1E8C">
        <w:rPr>
          <w:lang w:val="en-GB"/>
        </w:rPr>
        <w:t xml:space="preserve">(O’Connell </w:t>
      </w:r>
      <w:r w:rsidR="00E805F6" w:rsidRPr="00DE1E8C">
        <w:rPr>
          <w:i/>
          <w:iCs/>
          <w:lang w:val="en-GB"/>
        </w:rPr>
        <w:t>et al.</w:t>
      </w:r>
      <w:r w:rsidR="00E805F6" w:rsidRPr="00DE1E8C">
        <w:rPr>
          <w:lang w:val="en-GB"/>
        </w:rPr>
        <w:t xml:space="preserve">, 2018; Yau </w:t>
      </w:r>
      <w:r w:rsidR="00E805F6" w:rsidRPr="00DE1E8C">
        <w:rPr>
          <w:i/>
          <w:iCs/>
          <w:lang w:val="en-GB"/>
        </w:rPr>
        <w:t>et al.</w:t>
      </w:r>
      <w:r w:rsidR="00E805F6" w:rsidRPr="00DE1E8C">
        <w:rPr>
          <w:lang w:val="en-GB"/>
        </w:rPr>
        <w:t>, 2020)</w:t>
      </w:r>
      <w:r w:rsidR="002046B4" w:rsidRPr="00DE1E8C">
        <w:rPr>
          <w:bCs/>
          <w:lang w:val="en-GB"/>
        </w:rPr>
        <w:fldChar w:fldCharType="end"/>
      </w:r>
      <w:r w:rsidR="002046B4" w:rsidRPr="00DE1E8C">
        <w:rPr>
          <w:bCs/>
          <w:lang w:val="en-GB"/>
        </w:rPr>
        <w:t>. These have broadly implicated a</w:t>
      </w:r>
      <w:r w:rsidR="00384328" w:rsidRPr="00DE1E8C">
        <w:rPr>
          <w:bCs/>
          <w:lang w:val="en-GB"/>
        </w:rPr>
        <w:t xml:space="preserve"> frontoparietal network</w:t>
      </w:r>
      <w:r w:rsidR="00D73BFD" w:rsidRPr="00DE1E8C">
        <w:rPr>
          <w:bCs/>
          <w:lang w:val="en-GB"/>
        </w:rPr>
        <w:t xml:space="preserve"> </w:t>
      </w:r>
      <w:r w:rsidR="008A25FC" w:rsidRPr="00DE1E8C">
        <w:rPr>
          <w:bCs/>
          <w:lang w:val="en-GB"/>
        </w:rPr>
        <w:t>i</w:t>
      </w:r>
      <w:r w:rsidR="00FB491F" w:rsidRPr="00DE1E8C">
        <w:rPr>
          <w:bCs/>
          <w:lang w:val="en-GB"/>
        </w:rPr>
        <w:t>nvolved</w:t>
      </w:r>
      <w:r w:rsidR="008A25FC" w:rsidRPr="00DE1E8C">
        <w:rPr>
          <w:bCs/>
          <w:lang w:val="en-GB"/>
        </w:rPr>
        <w:t xml:space="preserve"> in </w:t>
      </w:r>
      <w:r w:rsidR="00695AC7" w:rsidRPr="00DE1E8C">
        <w:rPr>
          <w:bCs/>
          <w:lang w:val="en-GB"/>
        </w:rPr>
        <w:t xml:space="preserve">externally oriented attention </w:t>
      </w:r>
      <w:r w:rsidR="007C1789" w:rsidRPr="00DE1E8C">
        <w:rPr>
          <w:bCs/>
          <w:lang w:val="en-GB"/>
        </w:rPr>
        <w:fldChar w:fldCharType="begin"/>
      </w:r>
      <w:r w:rsidR="00E805F6" w:rsidRPr="00DE1E8C">
        <w:rPr>
          <w:bCs/>
          <w:lang w:val="en-GB"/>
        </w:rPr>
        <w:instrText xml:space="preserve"> ADDIN ZOTERO_ITEM CSL_CITATION {"citationID":"a1f26hthbrv","properties":{"formattedCitation":"(Heekeren {\\i{}et al.}, 2004; Ho {\\i{}et al.}, 2009; Liu and Pleskac, 2011; Mulder {\\i{}et al.}, 2014)","plainCitation":"(Heekeren et al., 2004; Ho et al., 2009; Liu and Pleskac, 2011; Mulder et al., 2014)","noteIndex":0},"citationItems":[{"id":14362,"uris":["http://zotero.org/users/local/xUwQuTPV/items/7V93M7P4"],"uri":["http://zotero.org/users/local/xUwQuTPV/items/7V93M7P4"],"itemData":{"id":14362,"type":"article-journal","abstract":"Findings from single-cell recording studies suggest that a comparison of the outputs of different pools of selectively tuned lower-level sensory neurons may be a general mechanism by which higher-level brain regions compute perceptual decisions. For example, when monkeys must decide whether a noisy field of dots is moving upward or downward, a decision can be formed by computing the difference in responses between lower-level neurons sensitive to upward motion and those sensitive to downward motion1,2,3,4. Here we use functional magnetic resonance imaging and a categorization task in which subjects decide whether an image presented is a face or a house to test whether a similar mechanism is also at work for more complex decisions in the human brain and, if so, where in the brain this computation might be performed. Activity within the left dorsolateral prefrontal cortex is greater during easy decisions than during difficult decisions, covaries with the difference signal between face- and house-selective regions in the ventral temporal cortex, and predicts behavioural performance in the categorization task. These findings show that even for complex object categories, the comparison of the outputs of different pools of selectively tuned neurons could be a general mechanism by which the human brain computes perceptual decisions.","container-title":"Nature","DOI":"10.1038/nature02966","ISSN":"1476-4687","issue":"7010","language":"en","note":"number: 7010\npublisher: Nature Publishing Group","page":"859-862","source":"www.nature.com","title":"A general mechanism for perceptual decision-making in the human brain","volume":"431","author":[{"family":"Heekeren","given":"H. R."},{"family":"Marrett","given":"S."},{"family":"Bandettini","given":"P. A."},{"family":"Ungerleider","given":"L. G."}],"issued":{"date-parts":[["2004",10]]}}},{"id":14353,"uris":["http://zotero.org/users/local/xUwQuTPV/items/JAEBGWYZ"],"uri":["http://zotero.org/users/local/xUwQuTPV/items/JAEBGWYZ"],"itemData":{"id":14353,"type":"article-journal","container-title":"Journal of Neuroscience","DOI":"10.1523/JNEUROSCI.5984-08.2009","ISSN":"0270-6474, 1529-2401","issue":"27","journalAbbreviation":"Journal of Neuroscience","language":"en","page":"8675-8687","source":"DOI.org (Crossref)","title":"Domain General Mechanisms of Perceptual Decision Making in Human Cortex","volume":"29","author":[{"family":"Ho","given":"T. C."},{"family":"Brown","given":"S."},{"family":"Serences","given":"J. T."}],"issued":{"date-parts":[["2009",7,8]]}}},{"id":14351,"uris":["http://zotero.org/users/local/xUwQuTPV/items/BJ8U52ZL"],"uri":["http://zotero.org/users/local/xUwQuTPV/items/BJ8U52ZL"],"itemData":{"id":14351,"type":"article-journal","abstract":"Sequential sampling models provide a useful framework for understanding human decision making. A key component of these models is an evidence accumulation process in which information is accrued over time to a threshold, at which point a choice is made. Previous neurophysiological studies on perceptual decision making have suggested accumulation occurs only in sensorimotor areas involved in making the action for the choice. Here we investigated the neural correlates of evidence accumulation in the human brain using functional magnetic resonance imaging (fMRI) while manipulating the quality of sensory evidence, the response modality, and the foreknowledge of the response modality. We trained subjects to perform a random dot motion direction discrimination task by either moving their eyes or pressing buttons to make their responses. In addition, they were cued about the response modality either in advance of the stimulus or after a delay. We isolated fMRI responses for perceptual decisions in both independently defined sensorimotor areas and task-defined nonsensorimotor areas. We found neural signatures of evidence accumulation, a higher fMRI response on low coherence trials than high coherence trials, primarily in saccade-related sensorimotor areas (frontal eye field and intraparietal sulcus) and nonsensorimotor areas in anterior insula and inferior frontal sulcus. Critically, such neural signatures did not depend on response modality or foreknowledge. These results help establish human brain areas involved in evidence accumulation and suggest that the neural mechanism for evidence accumulation is not specific to effectors. Instead, the neural system might accumulate evidence for particular stimulus features relevant to a perceptual task.","container-title":"Journal of Neurophysiology","DOI":"10.1152/jn.00413.2011","ISSN":"0022-3077, 1522-1598","issue":"5","journalAbbreviation":"Journal of Neurophysiology","language":"en","page":"2383-2398","source":"DOI.org (Crossref)","title":"Neural correlates of evidence accumulation in a perceptual decision task","volume":"106","author":[{"family":"Liu","given":"Taosheng"},{"family":"Pleskac","given":"Timothy J."}],"issued":{"date-parts":[["2011",11]]}}},{"id":14292,"uris":["http://zotero.org/users/local/xUwQuTPV/items/WT8UYQYK"],"uri":["http://zotero.org/users/local/xUwQuTPV/items/WT8UYQYK"],"itemData":{"id":14292,"type":"article-journal","abstract":"In this review we summarize ﬁndings published over the past 10 years focusing on the neural correlates of perceptual decision-making. Importantly, this review highlights only studies that employ a model-based approach, i.e., they use quantitative cognitive models in combination with neuroscientiﬁc data. The model-based approach allows capturing latent decision-making processes such as strategic adjustments of response thresholds and relate these to interindividual diﬀerences or single-trial blood-oxygenated level dependent (BOLD) functional Magnetic Resonance Imaging (fMRI) responses. The review shows that diﬀerent cortico-subcortical networks are responsive to diﬀerent latent decision-making processes. More concretely, we show that evidence accumulation is associated with a frontoparietal network which is partly overlapping with choice bias in perceptual decision making. The setting of decision thresholds is associated with fronto-basal ganglia networks which are also found for choice bias. In sum, we argue that the model-based approach holds great promises to understand the neural correlates of latent cognitive processes. Ó 2014 IBRO. Published by Elsevier Ltd. All rights reserved.","container-title":"Neuroscience","DOI":"10.1016/j.neuroscience.2014.07.031","ISSN":"03064522","journalAbbreviation":"Neuroscience","language":"en","page":"872-884","source":"DOI.org (Crossref)","title":"Perceptual decision neurosciences – A model-based review","volume":"277","author":[{"family":"Mulder","given":"M.J."},{"family":"Maanen","given":"L.","non-dropping-particle":"van"},{"family":"Forstmann","given":"B.U."}],"issued":{"date-parts":[["2014",9]]}}}],"schema":"https://github.com/citation-style-language/schema/raw/master/csl-citation.json"} </w:instrText>
      </w:r>
      <w:r w:rsidR="007C1789" w:rsidRPr="00DE1E8C">
        <w:rPr>
          <w:bCs/>
          <w:lang w:val="en-GB"/>
        </w:rPr>
        <w:fldChar w:fldCharType="separate"/>
      </w:r>
      <w:r w:rsidR="00E805F6" w:rsidRPr="00DE1E8C">
        <w:rPr>
          <w:lang w:val="en-GB"/>
        </w:rPr>
        <w:t xml:space="preserve">(Heekeren </w:t>
      </w:r>
      <w:r w:rsidR="00E805F6" w:rsidRPr="00DE1E8C">
        <w:rPr>
          <w:i/>
          <w:iCs/>
          <w:lang w:val="en-GB"/>
        </w:rPr>
        <w:t>et al.</w:t>
      </w:r>
      <w:r w:rsidR="00E805F6" w:rsidRPr="00DE1E8C">
        <w:rPr>
          <w:lang w:val="en-GB"/>
        </w:rPr>
        <w:t xml:space="preserve">, 2004; Ho </w:t>
      </w:r>
      <w:r w:rsidR="00E805F6" w:rsidRPr="00DE1E8C">
        <w:rPr>
          <w:i/>
          <w:iCs/>
          <w:lang w:val="en-GB"/>
        </w:rPr>
        <w:t>et al.</w:t>
      </w:r>
      <w:r w:rsidR="00E805F6" w:rsidRPr="00DE1E8C">
        <w:rPr>
          <w:lang w:val="en-GB"/>
        </w:rPr>
        <w:t xml:space="preserve">, 2009; Liu and Pleskac, 2011; Mulder </w:t>
      </w:r>
      <w:r w:rsidR="00E805F6" w:rsidRPr="00DE1E8C">
        <w:rPr>
          <w:i/>
          <w:iCs/>
          <w:lang w:val="en-GB"/>
        </w:rPr>
        <w:t>et al.</w:t>
      </w:r>
      <w:r w:rsidR="00E805F6" w:rsidRPr="00DE1E8C">
        <w:rPr>
          <w:lang w:val="en-GB"/>
        </w:rPr>
        <w:t>, 2014)</w:t>
      </w:r>
      <w:r w:rsidR="007C1789" w:rsidRPr="00DE1E8C">
        <w:rPr>
          <w:bCs/>
          <w:lang w:val="en-GB"/>
        </w:rPr>
        <w:fldChar w:fldCharType="end"/>
      </w:r>
      <w:r w:rsidR="006966BC" w:rsidRPr="00DE1E8C">
        <w:rPr>
          <w:bCs/>
          <w:lang w:val="en-GB"/>
        </w:rPr>
        <w:t>, suggesting that accumulation processes t</w:t>
      </w:r>
      <w:r w:rsidR="00D3104E" w:rsidRPr="00DE1E8C">
        <w:rPr>
          <w:bCs/>
          <w:lang w:val="en-GB"/>
        </w:rPr>
        <w:t>hat</w:t>
      </w:r>
      <w:r w:rsidR="006966BC" w:rsidRPr="00DE1E8C">
        <w:rPr>
          <w:bCs/>
          <w:lang w:val="en-GB"/>
        </w:rPr>
        <w:t xml:space="preserve"> guide </w:t>
      </w:r>
      <w:r w:rsidR="00D2303B" w:rsidRPr="00DE1E8C">
        <w:rPr>
          <w:bCs/>
          <w:lang w:val="en-GB"/>
        </w:rPr>
        <w:t>choices</w:t>
      </w:r>
      <w:r w:rsidR="006966BC" w:rsidRPr="00DE1E8C">
        <w:rPr>
          <w:bCs/>
          <w:lang w:val="en-GB"/>
        </w:rPr>
        <w:t xml:space="preserve"> </w:t>
      </w:r>
      <w:r w:rsidR="000B56DD" w:rsidRPr="00DE1E8C">
        <w:rPr>
          <w:bCs/>
          <w:lang w:val="en-GB"/>
        </w:rPr>
        <w:t>rely on the flexible engagement of large scale networks.</w:t>
      </w:r>
      <w:r w:rsidR="00921710" w:rsidRPr="00DE1E8C">
        <w:rPr>
          <w:bCs/>
          <w:lang w:val="en-GB"/>
        </w:rPr>
        <w:t xml:space="preserve"> </w:t>
      </w:r>
      <w:r w:rsidR="000B56DD" w:rsidRPr="00DE1E8C">
        <w:rPr>
          <w:bCs/>
          <w:lang w:val="en-GB"/>
        </w:rPr>
        <w:t xml:space="preserve"> </w:t>
      </w:r>
      <w:r w:rsidR="00D73BFD" w:rsidRPr="00DE1E8C">
        <w:rPr>
          <w:bCs/>
          <w:lang w:val="en-GB"/>
        </w:rPr>
        <w:t xml:space="preserve"> </w:t>
      </w:r>
    </w:p>
    <w:p w14:paraId="17E882F6" w14:textId="4DF4D81B" w:rsidR="00381487" w:rsidRPr="00DE1E8C" w:rsidRDefault="00381487" w:rsidP="00952E80">
      <w:pPr>
        <w:spacing w:line="360" w:lineRule="auto"/>
        <w:contextualSpacing/>
        <w:jc w:val="both"/>
        <w:rPr>
          <w:bCs/>
          <w:lang w:val="en-GB"/>
        </w:rPr>
      </w:pPr>
    </w:p>
    <w:p w14:paraId="7FE6F02D" w14:textId="49231576" w:rsidR="00E361EF" w:rsidRPr="00DE1E8C" w:rsidRDefault="00874240" w:rsidP="00952E80">
      <w:pPr>
        <w:spacing w:line="360" w:lineRule="auto"/>
        <w:contextualSpacing/>
        <w:jc w:val="both"/>
        <w:rPr>
          <w:bCs/>
          <w:lang w:val="en-GB"/>
        </w:rPr>
      </w:pPr>
      <w:r w:rsidRPr="00DE1E8C">
        <w:rPr>
          <w:bCs/>
          <w:lang w:val="en-GB"/>
        </w:rPr>
        <w:t>H</w:t>
      </w:r>
      <w:r w:rsidR="00730036" w:rsidRPr="00DE1E8C">
        <w:rPr>
          <w:bCs/>
          <w:lang w:val="en-GB"/>
        </w:rPr>
        <w:t>ere</w:t>
      </w:r>
      <w:r w:rsidR="00215A0F" w:rsidRPr="00DE1E8C">
        <w:rPr>
          <w:bCs/>
          <w:lang w:val="en-GB"/>
        </w:rPr>
        <w:t>,</w:t>
      </w:r>
      <w:r w:rsidR="00730036" w:rsidRPr="00DE1E8C">
        <w:rPr>
          <w:bCs/>
          <w:lang w:val="en-GB"/>
        </w:rPr>
        <w:t xml:space="preserve"> we</w:t>
      </w:r>
      <w:r w:rsidR="00215A0F" w:rsidRPr="00DE1E8C">
        <w:rPr>
          <w:bCs/>
          <w:lang w:val="en-GB"/>
        </w:rPr>
        <w:t xml:space="preserve"> apply a drift diffusion model to a</w:t>
      </w:r>
      <w:r w:rsidR="003526A9" w:rsidRPr="00DE1E8C">
        <w:rPr>
          <w:bCs/>
          <w:lang w:val="en-GB"/>
        </w:rPr>
        <w:t xml:space="preserve"> paradigm</w:t>
      </w:r>
      <w:r w:rsidR="00D83AF5" w:rsidRPr="00DE1E8C">
        <w:rPr>
          <w:bCs/>
          <w:lang w:val="en-GB"/>
        </w:rPr>
        <w:t xml:space="preserve"> </w:t>
      </w:r>
      <w:r w:rsidR="003A0528" w:rsidRPr="00DE1E8C">
        <w:rPr>
          <w:bCs/>
          <w:lang w:val="en-GB"/>
        </w:rPr>
        <w:t xml:space="preserve">commonly used to measure </w:t>
      </w:r>
      <w:r w:rsidR="00306136" w:rsidRPr="00DE1E8C">
        <w:rPr>
          <w:bCs/>
          <w:lang w:val="en-GB"/>
        </w:rPr>
        <w:t>attention</w:t>
      </w:r>
      <w:r w:rsidR="004B1E82" w:rsidRPr="00DE1E8C">
        <w:rPr>
          <w:bCs/>
          <w:lang w:val="en-GB"/>
        </w:rPr>
        <w:t xml:space="preserve">: </w:t>
      </w:r>
      <w:r w:rsidR="00E87AE0" w:rsidRPr="00DE1E8C">
        <w:rPr>
          <w:bCs/>
          <w:lang w:val="en-GB"/>
        </w:rPr>
        <w:t>the</w:t>
      </w:r>
      <w:r w:rsidR="003526A9" w:rsidRPr="00DE1E8C">
        <w:rPr>
          <w:bCs/>
          <w:lang w:val="en-GB"/>
        </w:rPr>
        <w:t xml:space="preserve"> </w:t>
      </w:r>
      <w:r w:rsidR="003526A9" w:rsidRPr="00DE1E8C">
        <w:rPr>
          <w:lang w:val="en-GB"/>
        </w:rPr>
        <w:t>Attention Network Task</w:t>
      </w:r>
      <w:r w:rsidR="00231E78" w:rsidRPr="00DE1E8C">
        <w:rPr>
          <w:lang w:val="en-GB"/>
        </w:rPr>
        <w:t xml:space="preserve"> </w:t>
      </w:r>
      <w:r w:rsidR="00C33362" w:rsidRPr="00DE1E8C">
        <w:rPr>
          <w:lang w:val="en-GB"/>
        </w:rPr>
        <w:fldChar w:fldCharType="begin"/>
      </w:r>
      <w:r w:rsidR="00E805F6" w:rsidRPr="00DE1E8C">
        <w:rPr>
          <w:lang w:val="en-GB"/>
        </w:rPr>
        <w:instrText xml:space="preserve"> ADDIN ZOTERO_ITEM CSL_CITATION {"citationID":"a45dkduoei","properties":{"formattedCitation":"(Fan {\\i{}et al.}, 2002)","plainCitation":"(Fan et al., 2002)","noteIndex":0},"citationItems":[{"id":14102,"uris":["http://zotero.org/users/local/xUwQuTPV/items/A234IEDQ"],"uri":["http://zotero.org/users/local/xUwQuTPV/items/A234IEDQ"],"itemData":{"id":14102,"type":"article-journal","abstract":"In recent years, three attentional networks have been defined in anatomical and functional terms. These functions involve alerting, orienting, and executive attention. Reaction time measures can be used to quantify the processing efficiency within each of these three networks. The Attention Network Test (ANT) is designed to evaluate alerting, orienting, and executive attention within a single 30-min testing session that can be easily performed by children, patients, and monkeys. A study with 40 normal adult subjects indicates that the ANT produces reliable single subject estimates of alerting, orienting, and executive function, and further suggests that the efficiencies of these three networks are uncorrelated. There are, however, some interactions in which alerting and orienting can modulate the degree of interference from flankers. This procedure may prove to be convenient and useful in evaluating attentional abnormalities associated with cases of brain injury, stroke, schizophrenia, and attention-deficit disorder. The ANT may also serve as an activation task for neuroimaging studies and as a phenotype for the study of the influence of genes on attentional networks.","container-title":"Journal of Cognitive Neuroscience","DOI":"10.1162/089892902317361886","ISSN":"0898-929X, 1530-8898","issue":"3","journalAbbreviation":"Journal of Cognitive Neuroscience","language":"en","page":"340-347","source":"DOI.org (Crossref)","title":"Testing the Efficiency and Independence of Attentional Networks","volume":"14","author":[{"family":"Fan","given":"Jin"},{"family":"McCandliss","given":"Bruce D."},{"family":"Sommer","given":"Tobias"},{"family":"Raz","given":"Amir"},{"family":"Posner","given":"Michael I."}],"issued":{"date-parts":[["2002",4,1]]}}}],"schema":"https://github.com/citation-style-language/schema/raw/master/csl-citation.json"} </w:instrText>
      </w:r>
      <w:r w:rsidR="00C33362" w:rsidRPr="00DE1E8C">
        <w:rPr>
          <w:lang w:val="en-GB"/>
        </w:rPr>
        <w:fldChar w:fldCharType="separate"/>
      </w:r>
      <w:r w:rsidR="00E805F6" w:rsidRPr="00DE1E8C">
        <w:rPr>
          <w:lang w:val="en-GB"/>
        </w:rPr>
        <w:t xml:space="preserve">(Fan </w:t>
      </w:r>
      <w:r w:rsidR="00E805F6" w:rsidRPr="00DE1E8C">
        <w:rPr>
          <w:i/>
          <w:iCs/>
          <w:lang w:val="en-GB"/>
        </w:rPr>
        <w:t>et al.</w:t>
      </w:r>
      <w:r w:rsidR="00E805F6" w:rsidRPr="00DE1E8C">
        <w:rPr>
          <w:lang w:val="en-GB"/>
        </w:rPr>
        <w:t>, 2002)</w:t>
      </w:r>
      <w:r w:rsidR="00C33362" w:rsidRPr="00DE1E8C">
        <w:rPr>
          <w:lang w:val="en-GB"/>
        </w:rPr>
        <w:fldChar w:fldCharType="end"/>
      </w:r>
      <w:r w:rsidR="00715348" w:rsidRPr="00DE1E8C">
        <w:rPr>
          <w:lang w:val="en-GB"/>
        </w:rPr>
        <w:t xml:space="preserve">. </w:t>
      </w:r>
      <w:r w:rsidR="00B01689" w:rsidRPr="00DE1E8C">
        <w:rPr>
          <w:lang w:val="en-GB"/>
        </w:rPr>
        <w:t xml:space="preserve">We test the hypothesis that </w:t>
      </w:r>
      <w:r w:rsidR="004B1E82" w:rsidRPr="00DE1E8C">
        <w:rPr>
          <w:lang w:val="en-GB"/>
        </w:rPr>
        <w:t xml:space="preserve">the </w:t>
      </w:r>
      <w:r w:rsidR="004B1E82" w:rsidRPr="00DE1E8C">
        <w:rPr>
          <w:i/>
          <w:iCs/>
          <w:lang w:val="en-GB"/>
        </w:rPr>
        <w:t>drift rate</w:t>
      </w:r>
      <w:r w:rsidR="00A7743F" w:rsidRPr="00DE1E8C">
        <w:rPr>
          <w:lang w:val="en-GB"/>
        </w:rPr>
        <w:t xml:space="preserve">, </w:t>
      </w:r>
      <w:r w:rsidR="004B1E82" w:rsidRPr="00DE1E8C">
        <w:rPr>
          <w:lang w:val="en-GB"/>
        </w:rPr>
        <w:t>a measure of the quality of sensory evidence accumulation</w:t>
      </w:r>
      <w:r w:rsidR="00403637" w:rsidRPr="00DE1E8C">
        <w:rPr>
          <w:lang w:val="en-GB"/>
        </w:rPr>
        <w:t>,</w:t>
      </w:r>
      <w:r w:rsidR="004B1E82" w:rsidRPr="00DE1E8C">
        <w:rPr>
          <w:lang w:val="en-GB"/>
        </w:rPr>
        <w:t xml:space="preserve"> is specifically impaired in</w:t>
      </w:r>
      <w:r w:rsidR="004556BB" w:rsidRPr="00DE1E8C">
        <w:rPr>
          <w:lang w:val="en-GB"/>
        </w:rPr>
        <w:t xml:space="preserve"> </w:t>
      </w:r>
      <w:r w:rsidR="004556BB" w:rsidRPr="00DE1E8C">
        <w:rPr>
          <w:bCs/>
          <w:lang w:val="en-GB"/>
        </w:rPr>
        <w:t>Lewy body dementia</w:t>
      </w:r>
      <w:r w:rsidR="00824D5A" w:rsidRPr="00DE1E8C">
        <w:rPr>
          <w:bCs/>
          <w:lang w:val="en-GB"/>
        </w:rPr>
        <w:t>, compared to Alzheimer’s disease.</w:t>
      </w:r>
      <w:r w:rsidR="005E7021" w:rsidRPr="00DE1E8C">
        <w:rPr>
          <w:bCs/>
          <w:lang w:val="en-GB"/>
        </w:rPr>
        <w:t xml:space="preserve"> In this way, we contrast two related neurodegenerative conditions </w:t>
      </w:r>
      <w:r w:rsidR="000513CB" w:rsidRPr="00DE1E8C">
        <w:rPr>
          <w:bCs/>
          <w:lang w:val="en-GB"/>
        </w:rPr>
        <w:t xml:space="preserve">that both </w:t>
      </w:r>
      <w:r w:rsidR="00A63A42" w:rsidRPr="00DE1E8C">
        <w:rPr>
          <w:bCs/>
          <w:lang w:val="en-GB"/>
        </w:rPr>
        <w:t xml:space="preserve">manifest attentional </w:t>
      </w:r>
      <w:r w:rsidR="00A63A42" w:rsidRPr="00DE1E8C">
        <w:rPr>
          <w:bCs/>
          <w:lang w:val="en-GB"/>
        </w:rPr>
        <w:lastRenderedPageBreak/>
        <w:t xml:space="preserve">impairments, to determine </w:t>
      </w:r>
      <w:r w:rsidR="00343F5E" w:rsidRPr="00DE1E8C">
        <w:rPr>
          <w:bCs/>
          <w:lang w:val="en-GB"/>
        </w:rPr>
        <w:t xml:space="preserve">whether impaired </w:t>
      </w:r>
      <w:r w:rsidR="00A63A42" w:rsidRPr="00DE1E8C">
        <w:rPr>
          <w:bCs/>
          <w:lang w:val="en-GB"/>
        </w:rPr>
        <w:t>sensory evidence accumulation</w:t>
      </w:r>
      <w:r w:rsidR="00343F5E" w:rsidRPr="00DE1E8C">
        <w:rPr>
          <w:bCs/>
          <w:lang w:val="en-GB"/>
        </w:rPr>
        <w:t xml:space="preserve"> may be </w:t>
      </w:r>
      <w:r w:rsidR="007D6373" w:rsidRPr="00DE1E8C">
        <w:rPr>
          <w:bCs/>
          <w:lang w:val="en-GB"/>
        </w:rPr>
        <w:t>a</w:t>
      </w:r>
      <w:r w:rsidR="009C2B12" w:rsidRPr="00DE1E8C">
        <w:rPr>
          <w:bCs/>
          <w:lang w:val="en-GB"/>
        </w:rPr>
        <w:t xml:space="preserve"> specific</w:t>
      </w:r>
      <w:r w:rsidR="007D6373" w:rsidRPr="00DE1E8C">
        <w:rPr>
          <w:bCs/>
          <w:lang w:val="en-GB"/>
        </w:rPr>
        <w:t xml:space="preserve"> feature of</w:t>
      </w:r>
      <w:r w:rsidR="00343F5E" w:rsidRPr="00DE1E8C">
        <w:rPr>
          <w:bCs/>
          <w:lang w:val="en-GB"/>
        </w:rPr>
        <w:t xml:space="preserve"> Lewy body dementia</w:t>
      </w:r>
      <w:r w:rsidR="007D6373" w:rsidRPr="00DE1E8C">
        <w:rPr>
          <w:bCs/>
          <w:lang w:val="en-GB"/>
        </w:rPr>
        <w:t xml:space="preserve">. </w:t>
      </w:r>
      <w:r w:rsidR="00824D5A" w:rsidRPr="00DE1E8C">
        <w:rPr>
          <w:bCs/>
          <w:lang w:val="en-GB"/>
        </w:rPr>
        <w:t xml:space="preserve">As participants performed the task whilst undergoing functional MRI, </w:t>
      </w:r>
      <w:r w:rsidR="00A26A07" w:rsidRPr="00DE1E8C">
        <w:rPr>
          <w:bCs/>
          <w:lang w:val="en-GB"/>
        </w:rPr>
        <w:t xml:space="preserve">we further explored whether </w:t>
      </w:r>
      <w:r w:rsidR="009B54F0" w:rsidRPr="00DE1E8C">
        <w:rPr>
          <w:bCs/>
          <w:lang w:val="en-GB"/>
        </w:rPr>
        <w:t xml:space="preserve">trial-by-trial variations in the drift rate </w:t>
      </w:r>
      <w:r w:rsidR="00AC3CC4" w:rsidRPr="00DE1E8C">
        <w:rPr>
          <w:bCs/>
          <w:lang w:val="en-GB"/>
        </w:rPr>
        <w:t xml:space="preserve">related to activity within the </w:t>
      </w:r>
      <w:r w:rsidR="002B435B" w:rsidRPr="00DE1E8C">
        <w:rPr>
          <w:bCs/>
          <w:lang w:val="en-GB"/>
        </w:rPr>
        <w:t>default and dorsal attention networks</w:t>
      </w:r>
      <w:r w:rsidR="00E361EF" w:rsidRPr="00DE1E8C">
        <w:rPr>
          <w:bCs/>
          <w:lang w:val="en-GB"/>
        </w:rPr>
        <w:t xml:space="preserve">, to determine whether divergent activity in either, or both, of these networks might be associated with slowed drift rates in Lewy body dementia. </w:t>
      </w:r>
      <w:r w:rsidR="00F00F39" w:rsidRPr="00DE1E8C">
        <w:rPr>
          <w:bCs/>
          <w:lang w:val="en-GB"/>
        </w:rPr>
        <w:t xml:space="preserve"> </w:t>
      </w:r>
    </w:p>
    <w:p w14:paraId="24EC334F" w14:textId="77777777" w:rsidR="00E361EF" w:rsidRPr="00DE1E8C" w:rsidRDefault="00E361EF" w:rsidP="00F93BDF">
      <w:pPr>
        <w:spacing w:line="360" w:lineRule="auto"/>
        <w:contextualSpacing/>
        <w:jc w:val="both"/>
        <w:rPr>
          <w:bCs/>
          <w:lang w:val="en-GB"/>
        </w:rPr>
      </w:pPr>
    </w:p>
    <w:p w14:paraId="4D863395" w14:textId="0E58B574" w:rsidR="00B50FD8" w:rsidRPr="00DE1E8C" w:rsidRDefault="00D752CF" w:rsidP="00551517">
      <w:pPr>
        <w:spacing w:line="360" w:lineRule="auto"/>
        <w:contextualSpacing/>
        <w:jc w:val="both"/>
        <w:rPr>
          <w:b/>
          <w:lang w:val="en-GB"/>
        </w:rPr>
      </w:pPr>
      <w:r w:rsidRPr="00DE1E8C">
        <w:rPr>
          <w:b/>
          <w:lang w:val="en-GB"/>
        </w:rPr>
        <w:t>Methods</w:t>
      </w:r>
    </w:p>
    <w:p w14:paraId="65984450" w14:textId="1D819937" w:rsidR="008A36D6" w:rsidRPr="00DE1E8C" w:rsidRDefault="008A36D6" w:rsidP="00551517">
      <w:pPr>
        <w:spacing w:line="360" w:lineRule="auto"/>
        <w:contextualSpacing/>
        <w:jc w:val="both"/>
        <w:rPr>
          <w:b/>
          <w:i/>
          <w:lang w:val="en-GB"/>
        </w:rPr>
      </w:pPr>
      <w:r w:rsidRPr="00DE1E8C">
        <w:rPr>
          <w:b/>
          <w:i/>
          <w:lang w:val="en-GB"/>
        </w:rPr>
        <w:t>Case selection</w:t>
      </w:r>
    </w:p>
    <w:p w14:paraId="2822C055" w14:textId="40E2313C" w:rsidR="006533C9" w:rsidRPr="00DE1E8C" w:rsidRDefault="00716B43" w:rsidP="00551517">
      <w:pPr>
        <w:spacing w:line="360" w:lineRule="auto"/>
        <w:contextualSpacing/>
        <w:jc w:val="both"/>
        <w:rPr>
          <w:lang w:val="en-GB"/>
        </w:rPr>
      </w:pPr>
      <w:r w:rsidRPr="00DE1E8C">
        <w:rPr>
          <w:lang w:val="en-GB"/>
        </w:rPr>
        <w:t xml:space="preserve">The </w:t>
      </w:r>
      <w:r w:rsidR="000C27A0" w:rsidRPr="00DE1E8C">
        <w:rPr>
          <w:lang w:val="en-GB"/>
        </w:rPr>
        <w:t>study involved</w:t>
      </w:r>
      <w:r w:rsidRPr="00DE1E8C">
        <w:rPr>
          <w:lang w:val="en-GB"/>
        </w:rPr>
        <w:t xml:space="preserve"> 31</w:t>
      </w:r>
      <w:r w:rsidR="00B901B1" w:rsidRPr="00DE1E8C">
        <w:rPr>
          <w:lang w:val="en-GB"/>
        </w:rPr>
        <w:t xml:space="preserve"> </w:t>
      </w:r>
      <w:r w:rsidR="00277651" w:rsidRPr="00DE1E8C">
        <w:rPr>
          <w:lang w:val="en-GB"/>
        </w:rPr>
        <w:t>people</w:t>
      </w:r>
      <w:r w:rsidRPr="00DE1E8C">
        <w:rPr>
          <w:lang w:val="en-GB"/>
        </w:rPr>
        <w:t xml:space="preserve"> with </w:t>
      </w:r>
      <w:r w:rsidR="00B901B1" w:rsidRPr="00DE1E8C">
        <w:rPr>
          <w:lang w:val="en-GB"/>
        </w:rPr>
        <w:t>Lew</w:t>
      </w:r>
      <w:r w:rsidRPr="00DE1E8C">
        <w:rPr>
          <w:lang w:val="en-GB"/>
        </w:rPr>
        <w:t>y body d</w:t>
      </w:r>
      <w:r w:rsidR="00CE0039" w:rsidRPr="00DE1E8C">
        <w:rPr>
          <w:lang w:val="en-GB"/>
        </w:rPr>
        <w:t>ementia</w:t>
      </w:r>
      <w:r w:rsidRPr="00DE1E8C">
        <w:rPr>
          <w:lang w:val="en-GB"/>
        </w:rPr>
        <w:t xml:space="preserve"> (</w:t>
      </w:r>
      <w:r w:rsidR="00B901B1" w:rsidRPr="00DE1E8C">
        <w:rPr>
          <w:lang w:val="en-GB"/>
        </w:rPr>
        <w:t>1</w:t>
      </w:r>
      <w:r w:rsidRPr="00DE1E8C">
        <w:rPr>
          <w:lang w:val="en-GB"/>
        </w:rPr>
        <w:t xml:space="preserve">3 </w:t>
      </w:r>
      <w:r w:rsidR="00F32363" w:rsidRPr="00DE1E8C">
        <w:rPr>
          <w:lang w:val="en-GB"/>
        </w:rPr>
        <w:t>Parkinson’s disease dementia</w:t>
      </w:r>
      <w:r w:rsidR="00B07F9D" w:rsidRPr="00DE1E8C">
        <w:rPr>
          <w:lang w:val="en-GB"/>
        </w:rPr>
        <w:t xml:space="preserve"> </w:t>
      </w:r>
      <w:r w:rsidR="00B901B1" w:rsidRPr="00DE1E8C">
        <w:rPr>
          <w:lang w:val="en-GB"/>
        </w:rPr>
        <w:t xml:space="preserve">and </w:t>
      </w:r>
      <w:r w:rsidRPr="00DE1E8C">
        <w:rPr>
          <w:lang w:val="en-GB"/>
        </w:rPr>
        <w:t xml:space="preserve">18 </w:t>
      </w:r>
      <w:r w:rsidR="00F32363" w:rsidRPr="00DE1E8C">
        <w:rPr>
          <w:lang w:val="en-GB"/>
        </w:rPr>
        <w:t>dementia with Lewy bodies</w:t>
      </w:r>
      <w:r w:rsidR="00B07F9D" w:rsidRPr="00DE1E8C">
        <w:rPr>
          <w:lang w:val="en-GB"/>
        </w:rPr>
        <w:t xml:space="preserve"> </w:t>
      </w:r>
      <w:r w:rsidR="00F32363" w:rsidRPr="00DE1E8C">
        <w:rPr>
          <w:lang w:val="en-GB"/>
        </w:rPr>
        <w:t>cases</w:t>
      </w:r>
      <w:r w:rsidR="00270426" w:rsidRPr="00DE1E8C">
        <w:rPr>
          <w:lang w:val="en-GB"/>
        </w:rPr>
        <w:t xml:space="preserve">), 16 </w:t>
      </w:r>
      <w:r w:rsidR="00277651" w:rsidRPr="00DE1E8C">
        <w:rPr>
          <w:lang w:val="en-GB"/>
        </w:rPr>
        <w:t>people</w:t>
      </w:r>
      <w:r w:rsidR="00270426" w:rsidRPr="00DE1E8C">
        <w:rPr>
          <w:lang w:val="en-GB"/>
        </w:rPr>
        <w:t xml:space="preserve"> with Alzheimer’s disease</w:t>
      </w:r>
      <w:r w:rsidR="00F32363" w:rsidRPr="00DE1E8C">
        <w:rPr>
          <w:lang w:val="en-GB"/>
        </w:rPr>
        <w:t>,</w:t>
      </w:r>
      <w:r w:rsidR="00270426" w:rsidRPr="00DE1E8C">
        <w:rPr>
          <w:lang w:val="en-GB"/>
        </w:rPr>
        <w:t xml:space="preserve"> and 23 healthy controls. </w:t>
      </w:r>
      <w:r w:rsidR="00F32363" w:rsidRPr="00DE1E8C">
        <w:rPr>
          <w:lang w:val="en-GB"/>
        </w:rPr>
        <w:t>The participants were</w:t>
      </w:r>
      <w:r w:rsidR="0023593D" w:rsidRPr="00DE1E8C">
        <w:rPr>
          <w:lang w:val="en-GB"/>
        </w:rPr>
        <w:t xml:space="preserve"> a subset drawn from our previous study</w:t>
      </w:r>
      <w:r w:rsidR="008D0632" w:rsidRPr="00DE1E8C">
        <w:rPr>
          <w:lang w:val="en-GB"/>
        </w:rPr>
        <w:t xml:space="preserve"> </w:t>
      </w:r>
      <w:r w:rsidR="008D0632" w:rsidRPr="00DE1E8C">
        <w:rPr>
          <w:lang w:val="en-GB"/>
        </w:rPr>
        <w:fldChar w:fldCharType="begin"/>
      </w:r>
      <w:r w:rsidR="00E805F6" w:rsidRPr="00DE1E8C">
        <w:rPr>
          <w:lang w:val="en-GB"/>
        </w:rPr>
        <w:instrText xml:space="preserve"> ADDIN ZOTERO_ITEM CSL_CITATION {"citationID":"pqHcEci1","properties":{"formattedCitation":"(Firbank {\\i{}et al.}, 2016, 2018)","plainCitation":"(Firbank et al., 2016, 2018)","noteIndex":0},"citationItems":[{"id":5533,"uris":["http://zotero.org/users/local/xUwQuTPV/items/9FMHWJCZ"],"uri":["http://zotero.org/users/local/xUwQuTPV/items/9FMHWJCZ"],"itemData":{"id":5533,"type":"article-journal","abstract":"Attentional and executive dysfunction contribute to cognitive impairment in both Lewy body dementia and Alzheimer&amp;apos;s disease. Using functional MRI, we examined the neural correlates of three components of attention (alerting, orienting, and executive/conflict function) in 23 patients with Alzheimer&amp;apos;s disease, 32 patients with Lewy body dementia (19 with dementia with Lewy bodies and 13 with Parkinson&amp;apos;s disease with dementia), and 23 healthy controls using a modified Attention Network Test. Although the functional MRI demonstrated a similar fronto-parieto-occipital network activation in all groups, Alzheimer&amp;apos;s disease and Lewy body dementia patients had greater activation of this network for incongruent and more difficult trials, which were also accompanied by slower reaction times. There was no recruitment of additional brain regions or, conversely, regional deficits in brain activation. The default mode network, however, displayed diverging activity patterns in the dementia groups. The Alzheimer&amp;apos;s disease group had limited task related deactivations of the default mode network, whereas patients with Lewy body dementia showed heightened deactivation to all trials, which might be an attempt to allocate neural resources to impaired attentional networks. We posit that, despite a common endpoint of attention-executive disturbances in both dementias, the pathophysiological basis of these is very different between these diseases.","container-title":"Human Brain Mapping","DOI":"10.1002/hbm.23100","issue":"3","journalAbbreviation":"Hum. Brain Mapp.","language":"English","note":"PMCID: PMC4784171","page":"1254-1270","title":"Neural correlates of attention-executive dysfunction in lewy body dementia and Alzheimer's disease.","volume":"37","author":[{"family":"Firbank","given":"Michael"},{"family":"Kobeleva","given":"Xenia"},{"family":"Cherry","given":"George"},{"family":"Killen","given":"Alison"},{"family":"Gallagher","given":"Peter"},{"family":"Burn","given":"David J."},{"family":"Thomas","given":"Alan J."},{"family":"O&amp;apos;Brien","given":"John T."},{"family":"Taylor","given":"John-Paul"}],"issued":{"date-parts":[["2016",3]]}}},{"id":5529,"uris":["http://zotero.org/users/local/xUwQuTPV/items/I7JY88G5"],"uri":["http://zotero.org/users/local/xUwQuTPV/items/I7JY88G5"],"itemData":{"id":5529,"type":"article-journal","abstract":"A significant symptom of Lewy body dementia (LBD) is slow cognitive processing or bradyphrenia. In a previous fMRI task-based study, we found slower responses in LBD, accompanied by greater deactivation in the default mode network. In this study, we investigated the timing and magnitude of the activations and deactivations with respect to reaction time to determine whether the slower responses in LBD were associated with delayed neuronal activity. Using fMRI, we examined the magnitude and latency of activations and deactivations during an event-related attention task in 32 patients with LBD and 23 healthy controls using predefined regions of interest. Default mode network deactivations did not significantly differ in their timing between groups or task conditions, while the task-related activations in the parietal, occipital, frontal, and motor cortex were all significantly later in the LBD group. Repeating the analysis with reaction time as a parametric modulator of activation magnitude produced similar findings, with the reaction time modulator being significant in a number of regions including the default mode network, suggesting that the increased deactivation in LBD is partly explained by slower task completion. Our data suggest that the default mode network deactivation is initiated at the start of the task, and remains deactivated until its end, with the increased magnitude of deactivation in LBD reflecting the more prolonged cognitive processing in these patients. These data add substantially to our understanding of the neural origins of bradyphrenia, which will be essential for determining optimum therapeutic strategies for cognitive impairment in LBD. Hum Brain Mapp 39:633-643, 2018. © 2017 The Authors Human Brain Mapping Published by Wiley Periodicals, Inc.","container-title":"Human Brain Mapping","DOI":"10.1002/hbm.23866","issue":"2","journalAbbreviation":"Hum. Brain Mapp.","language":"English","note":"PMCID: PMC5813138","page":"633-643","title":"Long reaction times are associated with delayed brain activity in lewy body dementia.","volume":"39","author":[{"family":"Firbank","given":"Michael J."},{"family":"O'Brien","given":"John T."},{"family":"Taylor","given":"John-Paul"}],"issued":{"date-parts":[["2018",2]]}}}],"schema":"https://github.com/citation-style-language/schema/raw/master/csl-citation.json"} </w:instrText>
      </w:r>
      <w:r w:rsidR="008D0632" w:rsidRPr="00DE1E8C">
        <w:rPr>
          <w:lang w:val="en-GB"/>
        </w:rPr>
        <w:fldChar w:fldCharType="separate"/>
      </w:r>
      <w:r w:rsidR="00E805F6" w:rsidRPr="00DE1E8C">
        <w:rPr>
          <w:lang w:val="en-GB"/>
        </w:rPr>
        <w:t xml:space="preserve">(Firbank </w:t>
      </w:r>
      <w:r w:rsidR="00E805F6" w:rsidRPr="00DE1E8C">
        <w:rPr>
          <w:i/>
          <w:iCs/>
          <w:lang w:val="en-GB"/>
        </w:rPr>
        <w:t>et al.</w:t>
      </w:r>
      <w:r w:rsidR="00E805F6" w:rsidRPr="00DE1E8C">
        <w:rPr>
          <w:lang w:val="en-GB"/>
        </w:rPr>
        <w:t>, 2016, 2018)</w:t>
      </w:r>
      <w:r w:rsidR="008D0632" w:rsidRPr="00DE1E8C">
        <w:rPr>
          <w:lang w:val="en-GB"/>
        </w:rPr>
        <w:fldChar w:fldCharType="end"/>
      </w:r>
      <w:r w:rsidR="00C376B9" w:rsidRPr="00DE1E8C">
        <w:rPr>
          <w:lang w:val="en-GB"/>
        </w:rPr>
        <w:t>.</w:t>
      </w:r>
      <w:r w:rsidR="00EA045F" w:rsidRPr="00DE1E8C">
        <w:rPr>
          <w:lang w:val="en-GB"/>
        </w:rPr>
        <w:t xml:space="preserve"> </w:t>
      </w:r>
      <w:r w:rsidR="00C376B9" w:rsidRPr="00DE1E8C">
        <w:rPr>
          <w:lang w:val="en-GB"/>
        </w:rPr>
        <w:t>That study originally involved 23 controls, 30 Alzheimer’s disease patients, and 4</w:t>
      </w:r>
      <w:r w:rsidR="00D621D9" w:rsidRPr="00DE1E8C">
        <w:rPr>
          <w:lang w:val="en-GB"/>
        </w:rPr>
        <w:t>6</w:t>
      </w:r>
      <w:r w:rsidR="00C376B9" w:rsidRPr="00DE1E8C">
        <w:rPr>
          <w:lang w:val="en-GB"/>
        </w:rPr>
        <w:t xml:space="preserve"> Lewy body dementia patients (</w:t>
      </w:r>
      <w:r w:rsidR="00D621D9" w:rsidRPr="00DE1E8C">
        <w:rPr>
          <w:lang w:val="en-GB"/>
        </w:rPr>
        <w:t>22</w:t>
      </w:r>
      <w:r w:rsidR="00C376B9" w:rsidRPr="00DE1E8C">
        <w:rPr>
          <w:lang w:val="en-GB"/>
        </w:rPr>
        <w:t xml:space="preserve"> Parkinson’s disease dementia and </w:t>
      </w:r>
      <w:r w:rsidR="00C619AA" w:rsidRPr="00DE1E8C">
        <w:rPr>
          <w:lang w:val="en-GB"/>
        </w:rPr>
        <w:t>24</w:t>
      </w:r>
      <w:r w:rsidR="00C376B9" w:rsidRPr="00DE1E8C">
        <w:rPr>
          <w:lang w:val="en-GB"/>
        </w:rPr>
        <w:t xml:space="preserve"> dementia with Lewy bodies cases)</w:t>
      </w:r>
      <w:r w:rsidR="0099096E" w:rsidRPr="00DE1E8C">
        <w:rPr>
          <w:lang w:val="en-GB"/>
        </w:rPr>
        <w:t>. Four people were excluded due to technical difficulties with the response device (1 Alzheimer’s disease; 3 Parkinson’s disease dementia)</w:t>
      </w:r>
      <w:r w:rsidR="004002B9" w:rsidRPr="00DE1E8C">
        <w:rPr>
          <w:lang w:val="en-GB"/>
        </w:rPr>
        <w:t>;</w:t>
      </w:r>
      <w:r w:rsidR="00E51BBB" w:rsidRPr="00DE1E8C">
        <w:rPr>
          <w:lang w:val="en-GB"/>
        </w:rPr>
        <w:t xml:space="preserve"> 6 people were excluded due to scanner failures (3 Alzheimer’s disease; 2 Parkinson’s disease dementia; 1 dementia with Lewy bodies);</w:t>
      </w:r>
      <w:r w:rsidR="00E00011" w:rsidRPr="00DE1E8C">
        <w:rPr>
          <w:lang w:val="en-GB"/>
        </w:rPr>
        <w:t xml:space="preserve"> </w:t>
      </w:r>
      <w:r w:rsidR="004002B9" w:rsidRPr="00DE1E8C">
        <w:rPr>
          <w:lang w:val="en-GB"/>
        </w:rPr>
        <w:t>6 people were excluded after failing MRI quality checks (3 Alzheimer’s disease; 3 Parkinson’s disease dementia)</w:t>
      </w:r>
      <w:r w:rsidR="005F542C" w:rsidRPr="00DE1E8C">
        <w:rPr>
          <w:lang w:val="en-GB"/>
        </w:rPr>
        <w:t xml:space="preserve">; 5 were excluded </w:t>
      </w:r>
      <w:r w:rsidR="00640C58" w:rsidRPr="00DE1E8C">
        <w:rPr>
          <w:lang w:val="en-GB"/>
        </w:rPr>
        <w:t xml:space="preserve">for </w:t>
      </w:r>
      <w:r w:rsidR="004C0C73" w:rsidRPr="00DE1E8C">
        <w:rPr>
          <w:lang w:val="en-GB"/>
        </w:rPr>
        <w:t>insufficiently accurate task performance</w:t>
      </w:r>
      <w:r w:rsidR="001B4BD3" w:rsidRPr="00DE1E8C">
        <w:rPr>
          <w:lang w:val="en-GB"/>
        </w:rPr>
        <w:t xml:space="preserve"> (i.e., </w:t>
      </w:r>
      <w:r w:rsidR="004C0C73" w:rsidRPr="00DE1E8C">
        <w:rPr>
          <w:lang w:val="en-GB"/>
        </w:rPr>
        <w:t>less than</w:t>
      </w:r>
      <w:r w:rsidR="001B4BD3" w:rsidRPr="00DE1E8C">
        <w:rPr>
          <w:lang w:val="en-GB"/>
        </w:rPr>
        <w:t xml:space="preserve"> 7</w:t>
      </w:r>
      <w:r w:rsidR="004C0C73" w:rsidRPr="00DE1E8C">
        <w:rPr>
          <w:lang w:val="en-GB"/>
        </w:rPr>
        <w:t>0</w:t>
      </w:r>
      <w:r w:rsidR="001B4BD3" w:rsidRPr="00DE1E8C">
        <w:rPr>
          <w:lang w:val="en-GB"/>
        </w:rPr>
        <w:t xml:space="preserve">% </w:t>
      </w:r>
      <w:r w:rsidR="004C0C73" w:rsidRPr="00DE1E8C">
        <w:rPr>
          <w:lang w:val="en-GB"/>
        </w:rPr>
        <w:t>correct trials</w:t>
      </w:r>
      <w:r w:rsidR="001B4BD3" w:rsidRPr="00DE1E8C">
        <w:rPr>
          <w:lang w:val="en-GB"/>
        </w:rPr>
        <w:t>; 1 Parkinson’s disease dementia; 4 dementia with Lewy bodies).</w:t>
      </w:r>
      <w:r w:rsidR="00EA045F" w:rsidRPr="00DE1E8C">
        <w:rPr>
          <w:lang w:val="en-GB"/>
        </w:rPr>
        <w:t xml:space="preserve"> This resulted in a cohort of </w:t>
      </w:r>
      <w:r w:rsidR="00BC1101" w:rsidRPr="00DE1E8C">
        <w:rPr>
          <w:lang w:val="en-GB"/>
        </w:rPr>
        <w:t>23 controls, 23 Alzheimer’s disease patients, and 32 Lewy body dementia patients (13 Parkinson’s disease dementia and 19 dementia with Lewy bodies cases)</w:t>
      </w:r>
      <w:r w:rsidR="000E2807" w:rsidRPr="00DE1E8C">
        <w:rPr>
          <w:lang w:val="en-GB"/>
        </w:rPr>
        <w:t xml:space="preserve">, from which the participants of the current study were </w:t>
      </w:r>
      <w:r w:rsidR="00F32363" w:rsidRPr="00DE1E8C">
        <w:rPr>
          <w:lang w:val="en-GB"/>
        </w:rPr>
        <w:t>selected</w:t>
      </w:r>
      <w:r w:rsidR="001C4D9C" w:rsidRPr="00DE1E8C">
        <w:rPr>
          <w:lang w:val="en-GB"/>
        </w:rPr>
        <w:t xml:space="preserve"> on the basis </w:t>
      </w:r>
      <w:r w:rsidR="00EB49E5" w:rsidRPr="00DE1E8C">
        <w:rPr>
          <w:lang w:val="en-GB"/>
        </w:rPr>
        <w:t>of completing a sufficient number of trials in the experiment</w:t>
      </w:r>
      <w:r w:rsidR="00F32363" w:rsidRPr="00DE1E8C">
        <w:rPr>
          <w:lang w:val="en-GB"/>
        </w:rPr>
        <w:t>al</w:t>
      </w:r>
      <w:r w:rsidR="00EB49E5" w:rsidRPr="00DE1E8C">
        <w:rPr>
          <w:lang w:val="en-GB"/>
        </w:rPr>
        <w:t xml:space="preserve"> task (further </w:t>
      </w:r>
      <w:r w:rsidR="00CF2AB6" w:rsidRPr="00DE1E8C">
        <w:rPr>
          <w:lang w:val="en-GB"/>
        </w:rPr>
        <w:t>details</w:t>
      </w:r>
      <w:r w:rsidR="00EB49E5" w:rsidRPr="00DE1E8C">
        <w:rPr>
          <w:lang w:val="en-GB"/>
        </w:rPr>
        <w:t xml:space="preserve"> below).</w:t>
      </w:r>
    </w:p>
    <w:p w14:paraId="27D54424" w14:textId="77777777" w:rsidR="006533C9" w:rsidRPr="00DE1E8C" w:rsidRDefault="006533C9" w:rsidP="00551517">
      <w:pPr>
        <w:spacing w:line="360" w:lineRule="auto"/>
        <w:contextualSpacing/>
        <w:jc w:val="both"/>
        <w:rPr>
          <w:lang w:val="en-GB"/>
        </w:rPr>
      </w:pPr>
    </w:p>
    <w:p w14:paraId="061B1323" w14:textId="72F44207" w:rsidR="009455BA" w:rsidRPr="00DE1E8C" w:rsidRDefault="001444CD" w:rsidP="00551517">
      <w:pPr>
        <w:spacing w:line="360" w:lineRule="auto"/>
        <w:contextualSpacing/>
        <w:jc w:val="both"/>
        <w:rPr>
          <w:lang w:val="en-GB"/>
        </w:rPr>
      </w:pPr>
      <w:r w:rsidRPr="00DE1E8C">
        <w:rPr>
          <w:lang w:val="en-GB"/>
        </w:rPr>
        <w:t>The patient groups</w:t>
      </w:r>
      <w:r w:rsidR="00DF385C" w:rsidRPr="00DE1E8C">
        <w:rPr>
          <w:lang w:val="en-GB"/>
        </w:rPr>
        <w:t xml:space="preserve"> </w:t>
      </w:r>
      <w:r w:rsidR="005528BC" w:rsidRPr="00DE1E8C">
        <w:rPr>
          <w:lang w:val="en-GB"/>
        </w:rPr>
        <w:t>were</w:t>
      </w:r>
      <w:r w:rsidR="00DF385C" w:rsidRPr="00DE1E8C">
        <w:rPr>
          <w:lang w:val="en-GB"/>
        </w:rPr>
        <w:t xml:space="preserve"> prospectively recruited from a population of community-dwelling individuals</w:t>
      </w:r>
      <w:r w:rsidR="00931037" w:rsidRPr="00DE1E8C">
        <w:rPr>
          <w:lang w:val="en-GB"/>
        </w:rPr>
        <w:t xml:space="preserve"> </w:t>
      </w:r>
      <w:r w:rsidR="00DF385C" w:rsidRPr="00DE1E8C">
        <w:rPr>
          <w:lang w:val="en-GB"/>
        </w:rPr>
        <w:t>referred to local neurology and old age psychiatry services</w:t>
      </w:r>
      <w:r w:rsidR="0065042B" w:rsidRPr="00DE1E8C">
        <w:rPr>
          <w:lang w:val="en-GB"/>
        </w:rPr>
        <w:t>, aged 60 years or older</w:t>
      </w:r>
      <w:r w:rsidR="00DF385C" w:rsidRPr="00DE1E8C">
        <w:rPr>
          <w:lang w:val="en-GB"/>
        </w:rPr>
        <w:t xml:space="preserve"> with mild to moderate dementia (</w:t>
      </w:r>
      <w:r w:rsidR="00244C32" w:rsidRPr="00DE1E8C">
        <w:rPr>
          <w:lang w:val="en-GB"/>
        </w:rPr>
        <w:t>Min</w:t>
      </w:r>
      <w:r w:rsidR="005D0923" w:rsidRPr="00DE1E8C">
        <w:rPr>
          <w:lang w:val="en-GB"/>
        </w:rPr>
        <w:t>i</w:t>
      </w:r>
      <w:r w:rsidR="00244C32" w:rsidRPr="00DE1E8C">
        <w:rPr>
          <w:lang w:val="en-GB"/>
        </w:rPr>
        <w:t xml:space="preserve"> M</w:t>
      </w:r>
      <w:r w:rsidR="00DF385C" w:rsidRPr="00DE1E8C">
        <w:rPr>
          <w:lang w:val="en-GB"/>
        </w:rPr>
        <w:t xml:space="preserve">ental State Examination (MMSE) score &gt;12). </w:t>
      </w:r>
      <w:r w:rsidR="00D732AC" w:rsidRPr="00DE1E8C">
        <w:rPr>
          <w:lang w:val="en-GB"/>
        </w:rPr>
        <w:t>Diagnose</w:t>
      </w:r>
      <w:r w:rsidR="00E3740D" w:rsidRPr="00DE1E8C">
        <w:rPr>
          <w:lang w:val="en-GB"/>
        </w:rPr>
        <w:t xml:space="preserve">s of </w:t>
      </w:r>
      <w:r w:rsidR="003A3D9E" w:rsidRPr="00DE1E8C">
        <w:rPr>
          <w:lang w:val="en-GB"/>
        </w:rPr>
        <w:t>prob</w:t>
      </w:r>
      <w:r w:rsidR="00E3740D" w:rsidRPr="00DE1E8C">
        <w:rPr>
          <w:lang w:val="en-GB"/>
        </w:rPr>
        <w:t xml:space="preserve">able </w:t>
      </w:r>
      <w:r w:rsidR="00694EFB" w:rsidRPr="00DE1E8C">
        <w:rPr>
          <w:lang w:val="en-GB"/>
        </w:rPr>
        <w:t>dementia with Lewy bodies</w:t>
      </w:r>
      <w:r w:rsidR="00E3740D" w:rsidRPr="00DE1E8C">
        <w:rPr>
          <w:lang w:val="en-GB"/>
        </w:rPr>
        <w:t xml:space="preserve"> and P</w:t>
      </w:r>
      <w:r w:rsidR="00694EFB" w:rsidRPr="00DE1E8C">
        <w:rPr>
          <w:lang w:val="en-GB"/>
        </w:rPr>
        <w:t>arkinson’s disease dementia</w:t>
      </w:r>
      <w:r w:rsidR="00E3740D" w:rsidRPr="00DE1E8C">
        <w:rPr>
          <w:lang w:val="en-GB"/>
        </w:rPr>
        <w:t xml:space="preserve"> </w:t>
      </w:r>
      <w:r w:rsidR="00D732AC" w:rsidRPr="00DE1E8C">
        <w:rPr>
          <w:lang w:val="en-GB"/>
        </w:rPr>
        <w:t xml:space="preserve">were made using </w:t>
      </w:r>
      <w:r w:rsidR="003A3D9E" w:rsidRPr="00DE1E8C">
        <w:rPr>
          <w:lang w:val="en-GB"/>
        </w:rPr>
        <w:t>the re</w:t>
      </w:r>
      <w:r w:rsidR="00D732AC" w:rsidRPr="00DE1E8C">
        <w:rPr>
          <w:lang w:val="en-GB"/>
        </w:rPr>
        <w:t>vised Interna</w:t>
      </w:r>
      <w:r w:rsidR="003A3D9E" w:rsidRPr="00DE1E8C">
        <w:rPr>
          <w:lang w:val="en-GB"/>
        </w:rPr>
        <w:t>tional Consensus Guidelines for dementia with Lewy bodies</w:t>
      </w:r>
      <w:r w:rsidR="00521331" w:rsidRPr="00DE1E8C">
        <w:rPr>
          <w:lang w:val="en-GB"/>
        </w:rPr>
        <w:t xml:space="preserve"> </w:t>
      </w:r>
      <w:r w:rsidR="000D4076" w:rsidRPr="00DE1E8C">
        <w:rPr>
          <w:lang w:val="en-GB"/>
        </w:rPr>
        <w:fldChar w:fldCharType="begin"/>
      </w:r>
      <w:r w:rsidR="00E805F6" w:rsidRPr="00DE1E8C">
        <w:rPr>
          <w:lang w:val="en-GB"/>
        </w:rPr>
        <w:instrText xml:space="preserve"> ADDIN ZOTERO_ITEM CSL_CITATION {"citationID":"JG6PAPRM","properties":{"formattedCitation":"(McKeith {\\i{}et al.}, 2005)","plainCitation":"(McKeith et al., 2005)","noteIndex":0},"citationItems":[{"id":14099,"uris":["http://zotero.org/users/local/xUwQuTPV/items/FLN4TM49"],"uri":["http://zotero.org/users/local/xUwQuTPV/items/FLN4TM49"],"itemData":{"id":14099,"type":"article-journal","abstract":"The dementia with Lewy bodies (DLB) Consortium has revised criteria for the clinical and pathologic diagnosis of DLB incorporating new information about the core clinical features and suggesting improved methods to assess them. REM sleep behavior disorder, severe neuroleptic sensitivity, and reduced striatal dopamine transporter activity on functional neuroimaging are given greater diagnostic weighting as features suggestive of a DLB diagnosis. The 1-year rule distinguishing between DLB and Parkinson disease with dementia may be difficult to apply in clinical settings and in such cases the term most appropriate to each individual patient should be used. Generic terms such as Lewy body (LB) disease are often helpful. The authors propose a new scheme for the pathologic assessment of LBs and Lewy neurites (LN) using alpha-synuclein immunohistochemistry and semiquantitative grading of lesion density, with the pattern of regional involvement being more important than total LB count. The new criteria take into account both Lewy-related and Alzheimer disease (AD)-type pathology to allocate a probability that these are associated with the clinical DLB syndrome. Finally, the authors suggest patient management guidelines including the need for accurate diagnosis, a target symptom approach, and use of appropriate outcome measures. There is limited evidence about specific interventions but available data suggest only a partial response of motor symptoms to levodopa: severe sensitivity to typical and atypical antipsychotics in approximately 50%, and improvements in attention, visual hallucinations, and sleep disorders with cholinesterase inhibitors.","container-title":"Neurology","DOI":"10.1212/01.wnl.0000187889.17253.b1","ISSN":"1526-632X","issue":"12","journalAbbreviation":"Neurology","language":"eng","note":"PMID: 16237129","page":"1863-1872","source":"PubMed","title":"Diagnosis and management of dementia with Lewy bodies: third report of the DLB Consortium","title-short":"Diagnosis and management of dementia with Lewy bodies","volume":"65","author":[{"family":"McKeith","given":"I. G."},{"family":"Dickson","given":"D. W."},{"family":"Lowe","given":"J."},{"family":"Emre","given":"M."},{"family":"O'Brien","given":"J. T."},{"family":"Feldman","given":"H."},{"family":"Cummings","given":"J."},{"family":"Duda","given":"J. E."},{"family":"Lippa","given":"C."},{"family":"Perry","given":"E. K."},{"family":"Aarsland","given":"D."},{"family":"Arai","given":"H."},{"family":"Ballard","given":"C. G."},{"family":"Boeve","given":"B."},{"family":"Burn","given":"D. J."},{"family":"Costa","given":"D."},{"family":"Del Ser","given":"T."},{"family":"Dubois","given":"B."},{"family":"Galasko","given":"D."},{"family":"Gauthier","given":"S."},{"family":"Goetz","given":"C. G."},{"family":"Gomez-Tortosa","given":"E."},{"family":"Halliday","given":"G."},{"family":"Hansen","given":"L. A."},{"family":"Hardy","given":"J."},{"family":"Iwatsubo","given":"T."},{"family":"Kalaria","given":"R. N."},{"family":"Kaufer","given":"D."},{"family":"Kenny","given":"R. A."},{"family":"Korczyn","given":"A."},{"family":"Kosaka","given":"K."},{"family":"Lee","given":"V. M. Y."},{"family":"Lees","given":"A."},{"family":"Litvan","given":"I."},{"family":"Londos","given":"E."},{"family":"Lopez","given":"O. L."},{"family":"Minoshima","given":"S."},{"family":"Mizuno","given":"Y."},{"family":"Molina","given":"J. A."},{"family":"Mukaetova-Ladinska","given":"E. B."},{"family":"Pasquier","given":"F."},{"family":"Perry","given":"R. H."},{"family":"Schulz","given":"J. B."},{"family":"Trojanowski","given":"J. Q."},{"family":"Yamada","given":"M."},{"literal":"Consortium on DLB"}],"issued":{"date-parts":[["2005",12,27]]}}}],"schema":"https://github.com/citation-style-language/schema/raw/master/csl-citation.json"} </w:instrText>
      </w:r>
      <w:r w:rsidR="000D4076" w:rsidRPr="00DE1E8C">
        <w:rPr>
          <w:lang w:val="en-GB"/>
        </w:rPr>
        <w:fldChar w:fldCharType="separate"/>
      </w:r>
      <w:r w:rsidR="00E805F6" w:rsidRPr="00DE1E8C">
        <w:rPr>
          <w:lang w:val="en-GB"/>
        </w:rPr>
        <w:t xml:space="preserve">(McKeith </w:t>
      </w:r>
      <w:r w:rsidR="00E805F6" w:rsidRPr="00DE1E8C">
        <w:rPr>
          <w:i/>
          <w:iCs/>
          <w:lang w:val="en-GB"/>
        </w:rPr>
        <w:t>et al.</w:t>
      </w:r>
      <w:r w:rsidR="00E805F6" w:rsidRPr="00DE1E8C">
        <w:rPr>
          <w:lang w:val="en-GB"/>
        </w:rPr>
        <w:t>, 2005)</w:t>
      </w:r>
      <w:r w:rsidR="000D4076" w:rsidRPr="00DE1E8C">
        <w:rPr>
          <w:lang w:val="en-GB"/>
        </w:rPr>
        <w:fldChar w:fldCharType="end"/>
      </w:r>
      <w:r w:rsidR="000D4076" w:rsidRPr="00DE1E8C">
        <w:rPr>
          <w:lang w:val="en-GB"/>
        </w:rPr>
        <w:t xml:space="preserve"> </w:t>
      </w:r>
      <w:r w:rsidR="003A3D9E" w:rsidRPr="00DE1E8C">
        <w:rPr>
          <w:lang w:val="en-GB"/>
        </w:rPr>
        <w:t>and diagnostic criteria for Parkinson’s disea</w:t>
      </w:r>
      <w:r w:rsidR="00D732AC" w:rsidRPr="00DE1E8C">
        <w:rPr>
          <w:lang w:val="en-GB"/>
        </w:rPr>
        <w:t>se dementia</w:t>
      </w:r>
      <w:r w:rsidR="000D4076" w:rsidRPr="00DE1E8C">
        <w:rPr>
          <w:lang w:val="en-GB"/>
        </w:rPr>
        <w:t xml:space="preserve"> </w:t>
      </w:r>
      <w:r w:rsidR="009851A2" w:rsidRPr="00DE1E8C">
        <w:rPr>
          <w:lang w:val="en-GB"/>
        </w:rPr>
        <w:fldChar w:fldCharType="begin"/>
      </w:r>
      <w:r w:rsidR="00E805F6" w:rsidRPr="00DE1E8C">
        <w:rPr>
          <w:lang w:val="en-GB"/>
        </w:rPr>
        <w:instrText xml:space="preserve"> ADDIN ZOTERO_ITEM CSL_CITATION {"citationID":"wy2QXGnh","properties":{"formattedCitation":"(Emre {\\i{}et al.}, 2007)","plainCitation":"(Emre et al., 2007)","noteIndex":0},"citationItems":[{"id":13913,"uris":["http://zotero.org/users/local/xUwQuTPV/items/9F7TUXNN"],"uri":["http://zotero.org/users/local/xUwQuTPV/items/9F7TUXNN"],"itemData":{"id":13913,"type":"article-journal","abstract":"Dementia has been increasingly more recognized to be a common feature in patients with Parkinson's disease (PD), especially in old age. Specific criteria for the clinical diagnosis of dementia associated with PD (PD-D), however, have been lacking. A Task Force, organized by the Movement Disorder Study, was charged with the development of clinical diagnostic criteria for PD-D. The Task Force members were assigned to sub-committees and performed a systematic review of the literature, based on pre-defined selection criteria, in order to identify the epidemiological, clinical, auxillary, and pathological features of PD-D. Clinical diagnostic criteria were then developed based on these findings and group consensus. The incidence of dementia in PD is increased up to six times, point-prevelance is close to 30%, older age and akinetic-rigid form are associated with higher risk. PD-D is characterized by impairment in attention, memory, executive and visuo-spatial functions, behavioral symptoms such as affective changes, hallucinations, and apathy are frequent. There are no specific ancillary investigations for the diagnosis; the main pathological correlate is Lewy body-type degeneration in cerebral cortex and limbic structures. Based on the characteristic features associated with this condition, clinical diagnostic criteria for probable and possible PD-D are proposed. © 2007 Movement Disorder Society","container-title":"Movement Disorders","DOI":"10.1002/mds.21507","ISSN":"1531-8257","issue":"12","language":"en","note":"_eprint: https://onlinelibrary.wiley.com/doi/pdf/10.1002/mds.21507","page":"1689-1707","source":"Wiley Online Library","title":"Clinical diagnostic criteria for dementia associated with Parkinson's disease","volume":"22","author":[{"family":"Emre","given":"Murat"},{"family":"Aarsland","given":"Dag"},{"family":"Brown","given":"Richard"},{"family":"Burn","given":"David J."},{"family":"Duyckaerts","given":"Charles"},{"family":"Mizuno","given":"Yoshikino"},{"family":"Broe","given":"Gerald Anthony"},{"family":"Cummings","given":"Jeffrey"},{"family":"Dickson","given":"Dennis W."},{"family":"Gauthier","given":"Serge"},{"family":"Goldman","given":"Jennifer"},{"family":"Goetz","given":"Christopher"},{"family":"Korczyn","given":"Amos"},{"family":"Lees","given":"Andrew"},{"family":"Levy","given":"Richard"},{"family":"Litvan","given":"Irene"},{"family":"McKeith","given":"Ian"},{"family":"Olanow","given":"Warren"},{"family":"Poewe","given":"Werner"},{"family":"Quinn","given":"Niall"},{"family":"Sampaio","given":"Christina"},{"family":"Tolosa","given":"Eduardo"},{"family":"Dubois","given":"Bruno"}],"issued":{"date-parts":[["2007"]]}}}],"schema":"https://github.com/citation-style-language/schema/raw/master/csl-citation.json"} </w:instrText>
      </w:r>
      <w:r w:rsidR="009851A2" w:rsidRPr="00DE1E8C">
        <w:rPr>
          <w:lang w:val="en-GB"/>
        </w:rPr>
        <w:fldChar w:fldCharType="separate"/>
      </w:r>
      <w:r w:rsidR="00E805F6" w:rsidRPr="00DE1E8C">
        <w:rPr>
          <w:lang w:val="en-GB"/>
        </w:rPr>
        <w:t xml:space="preserve">(Emre </w:t>
      </w:r>
      <w:r w:rsidR="00E805F6" w:rsidRPr="00DE1E8C">
        <w:rPr>
          <w:i/>
          <w:iCs/>
          <w:lang w:val="en-GB"/>
        </w:rPr>
        <w:t>et al.</w:t>
      </w:r>
      <w:r w:rsidR="00E805F6" w:rsidRPr="00DE1E8C">
        <w:rPr>
          <w:lang w:val="en-GB"/>
        </w:rPr>
        <w:t>, 2007)</w:t>
      </w:r>
      <w:r w:rsidR="009851A2" w:rsidRPr="00DE1E8C">
        <w:rPr>
          <w:lang w:val="en-GB"/>
        </w:rPr>
        <w:fldChar w:fldCharType="end"/>
      </w:r>
      <w:r w:rsidR="001B43E4" w:rsidRPr="00DE1E8C">
        <w:rPr>
          <w:lang w:val="en-GB"/>
        </w:rPr>
        <w:t>; probable A</w:t>
      </w:r>
      <w:r w:rsidR="00015516" w:rsidRPr="00DE1E8C">
        <w:rPr>
          <w:lang w:val="en-GB"/>
        </w:rPr>
        <w:t xml:space="preserve">lzheimer’s </w:t>
      </w:r>
      <w:r w:rsidR="00015516" w:rsidRPr="00DE1E8C">
        <w:rPr>
          <w:lang w:val="en-GB"/>
        </w:rPr>
        <w:lastRenderedPageBreak/>
        <w:t>disease</w:t>
      </w:r>
      <w:r w:rsidR="001B43E4" w:rsidRPr="00DE1E8C">
        <w:rPr>
          <w:lang w:val="en-GB"/>
        </w:rPr>
        <w:t xml:space="preserve"> was diagnosed based on </w:t>
      </w:r>
      <w:r w:rsidR="009455BA" w:rsidRPr="00DE1E8C">
        <w:rPr>
          <w:lang w:val="en-GB"/>
        </w:rPr>
        <w:t>the National Institute on Aging-Alzhei</w:t>
      </w:r>
      <w:r w:rsidR="001B43E4" w:rsidRPr="00DE1E8C">
        <w:rPr>
          <w:lang w:val="en-GB"/>
        </w:rPr>
        <w:t>mer’s Association cri</w:t>
      </w:r>
      <w:r w:rsidR="009455BA" w:rsidRPr="00DE1E8C">
        <w:rPr>
          <w:lang w:val="en-GB"/>
        </w:rPr>
        <w:t>teria</w:t>
      </w:r>
      <w:r w:rsidR="00E96967" w:rsidRPr="00DE1E8C">
        <w:rPr>
          <w:lang w:val="en-GB"/>
        </w:rPr>
        <w:t xml:space="preserve"> </w:t>
      </w:r>
      <w:r w:rsidR="00772E4A" w:rsidRPr="00DE1E8C">
        <w:rPr>
          <w:lang w:val="en-GB"/>
        </w:rPr>
        <w:fldChar w:fldCharType="begin"/>
      </w:r>
      <w:r w:rsidR="00A867A4" w:rsidRPr="00DE1E8C">
        <w:rPr>
          <w:lang w:val="en-GB"/>
        </w:rPr>
        <w:instrText xml:space="preserve"> ADDIN ZOTERO_ITEM CSL_CITATION {"citationID":"HNans2k4","properties":{"formattedCitation":"(McKhann {\\i{}et al.}, 2011)","plainCitation":"(McKhann et al., 2011)","noteIndex":0},"citationItems":[{"id":"pCIaS5xB/TvittGq4","uris":["http://zotero.org/users/local/xUwQuTPV/items/7A67YJWH"],"uri":["http://zotero.org/users/local/xUwQuTPV/items/7A67YJWH"],"itemData":{"id":1025,"type":"article-journal","abstract":"The National Institute on Aging and the Alzheimer's Association charged a workgroup with the task of revising the 1984 criteria for Alzheimer's disease (AD) dementia. The workgroup sought to ensure that the revised criteria would be flexible enough to be used by both general healthcare providers without access to neuropsychological testing, advanced imaging, and cerebrospinal fluid measures, and specialized investigators involved in research or in clinical trial studies who would have these tools available. We present criteria for all-cause dementia and for AD dementia. We retained the general framework of probable AD dementia from the 1984 criteria. On the basis of the past 27 years of experience, we made several changes in the clinical criteria for the diagnosis. We also retained the term possible AD dementia, but redefined it in a manner more focused than before. Biomarker evidence was also integrated into the diagnostic formulations for probable and possible AD dementia for use in research settings. The core clinical criteria for AD dementia will continue to be the cornerstone of the diagnosis in clinical practice, but biomarker evidence is expected to enhance the pathophysiological specificity of the diagnosis of AD dementia. Much work lies ahead for validating the biomarker diagnosis of AD dementia.","container-title":"Alzheimer's &amp; Dementia","DOI":"10.1016/j.jalz.2011.03.005","ISSN":"1552-5260","issue":"3","journalAbbreviation":"Alzheimer's &amp; Dementia","note":"publisher: John Wiley &amp; Sons, Ltd","page":"263-269","source":"alz-journals.onlinelibrary.wiley.com (Atypon)","title":"The diagnosis of dementia due to Alzheimer's disease: Recommendations from the National Institute on Aging-Alzheimer's Association workgroups on diagnostic guidelines for Alzheimer's disease","title-short":"The diagnosis of dementia due to Alzheimer's disease","volume":"7","author":[{"family":"McKhann","given":"Guy M."},{"family":"Knopman","given":"David S."},{"family":"Chertkow","given":"Howard"},{"family":"Hyman","given":"Bradley T."},{"family":"Jack Jr.","given":"Clifford R."},{"family":"Kawas","given":"Claudia H."},{"family":"Klunk","given":"William E."},{"family":"Koroshetz","given":"Walter J."},{"family":"Manly","given":"Jennifer J."},{"family":"Mayeux","given":"Richard"},{"family":"Mohs","given":"Richard C."},{"family":"Morris","given":"John C."},{"family":"Rossor","given":"Martin N."},{"family":"Scheltens","given":"Philip"},{"family":"Carrillo","given":"Maria C."},{"family":"Thies","given":"Bill"},{"family":"Weintraub","given":"Sandra"},{"family":"Phelps","given":"Creighton H."}],"issued":{"date-parts":[["2011",5,1]]}}}],"schema":"https://github.com/citation-style-language/schema/raw/master/csl-citation.json"} </w:instrText>
      </w:r>
      <w:r w:rsidR="00772E4A" w:rsidRPr="00DE1E8C">
        <w:rPr>
          <w:lang w:val="en-GB"/>
        </w:rPr>
        <w:fldChar w:fldCharType="separate"/>
      </w:r>
      <w:r w:rsidR="00E805F6" w:rsidRPr="00DE1E8C">
        <w:rPr>
          <w:lang w:val="en-GB"/>
        </w:rPr>
        <w:t xml:space="preserve">(McKhann </w:t>
      </w:r>
      <w:r w:rsidR="00E805F6" w:rsidRPr="00DE1E8C">
        <w:rPr>
          <w:i/>
          <w:iCs/>
          <w:lang w:val="en-GB"/>
        </w:rPr>
        <w:t>et al.</w:t>
      </w:r>
      <w:r w:rsidR="00E805F6" w:rsidRPr="00DE1E8C">
        <w:rPr>
          <w:lang w:val="en-GB"/>
        </w:rPr>
        <w:t>, 2011)</w:t>
      </w:r>
      <w:r w:rsidR="00772E4A" w:rsidRPr="00DE1E8C">
        <w:rPr>
          <w:lang w:val="en-GB"/>
        </w:rPr>
        <w:fldChar w:fldCharType="end"/>
      </w:r>
      <w:r w:rsidR="001B43E4" w:rsidRPr="00DE1E8C">
        <w:rPr>
          <w:lang w:val="en-GB"/>
        </w:rPr>
        <w:t xml:space="preserve">. </w:t>
      </w:r>
      <w:r w:rsidR="009D449F" w:rsidRPr="00DE1E8C">
        <w:rPr>
          <w:lang w:val="en-GB"/>
        </w:rPr>
        <w:t>Heal</w:t>
      </w:r>
      <w:r w:rsidR="00B44483" w:rsidRPr="00DE1E8C">
        <w:rPr>
          <w:lang w:val="en-GB"/>
        </w:rPr>
        <w:t>thy controls were friends or</w:t>
      </w:r>
      <w:r w:rsidR="009D449F" w:rsidRPr="00DE1E8C">
        <w:rPr>
          <w:lang w:val="en-GB"/>
        </w:rPr>
        <w:t xml:space="preserve"> spouses of participants. The study was approved by the local ethics committee and written</w:t>
      </w:r>
      <w:r w:rsidR="004C4C84" w:rsidRPr="00DE1E8C">
        <w:rPr>
          <w:lang w:val="en-GB"/>
        </w:rPr>
        <w:t xml:space="preserve"> informed</w:t>
      </w:r>
      <w:r w:rsidR="009D449F" w:rsidRPr="00DE1E8C">
        <w:rPr>
          <w:lang w:val="en-GB"/>
        </w:rPr>
        <w:t xml:space="preserve"> consen</w:t>
      </w:r>
      <w:r w:rsidR="002A6F21" w:rsidRPr="00DE1E8C">
        <w:rPr>
          <w:lang w:val="en-GB"/>
        </w:rPr>
        <w:t>t was obtained from all participants</w:t>
      </w:r>
      <w:r w:rsidR="009D449F" w:rsidRPr="00DE1E8C">
        <w:rPr>
          <w:lang w:val="en-GB"/>
        </w:rPr>
        <w:t>.</w:t>
      </w:r>
      <w:r w:rsidR="004C4C84" w:rsidRPr="00DE1E8C">
        <w:rPr>
          <w:lang w:val="en-GB"/>
        </w:rPr>
        <w:t xml:space="preserve"> </w:t>
      </w:r>
    </w:p>
    <w:p w14:paraId="07F9DA8E" w14:textId="77777777" w:rsidR="00B44483" w:rsidRPr="00DE1E8C" w:rsidRDefault="00B44483" w:rsidP="00551517">
      <w:pPr>
        <w:spacing w:line="360" w:lineRule="auto"/>
        <w:contextualSpacing/>
        <w:jc w:val="both"/>
        <w:rPr>
          <w:lang w:val="en-GB"/>
        </w:rPr>
      </w:pPr>
    </w:p>
    <w:p w14:paraId="09831A66" w14:textId="5149805F" w:rsidR="00BE7136" w:rsidRPr="00DE1E8C" w:rsidRDefault="006C2DB3" w:rsidP="00551517">
      <w:pPr>
        <w:spacing w:line="360" w:lineRule="auto"/>
        <w:contextualSpacing/>
        <w:jc w:val="both"/>
        <w:rPr>
          <w:color w:val="1A1718"/>
          <w:lang w:val="en-GB"/>
        </w:rPr>
      </w:pPr>
      <w:r w:rsidRPr="00DE1E8C">
        <w:rPr>
          <w:lang w:val="en-GB"/>
        </w:rPr>
        <w:t xml:space="preserve">All participants underwent </w:t>
      </w:r>
      <w:r w:rsidR="00F701EE" w:rsidRPr="00DE1E8C">
        <w:rPr>
          <w:lang w:val="en-GB"/>
        </w:rPr>
        <w:t>general cognitive assessment</w:t>
      </w:r>
      <w:r w:rsidR="00BE3037" w:rsidRPr="00DE1E8C">
        <w:rPr>
          <w:lang w:val="en-GB"/>
        </w:rPr>
        <w:t xml:space="preserve"> using the </w:t>
      </w:r>
      <w:r w:rsidR="00F701EE" w:rsidRPr="00DE1E8C">
        <w:rPr>
          <w:color w:val="1A1718"/>
          <w:lang w:val="en-GB"/>
        </w:rPr>
        <w:t>Cambridge Cognitive Examinatio</w:t>
      </w:r>
      <w:r w:rsidR="00BE3037" w:rsidRPr="00DE1E8C">
        <w:rPr>
          <w:color w:val="1A1718"/>
          <w:lang w:val="en-GB"/>
        </w:rPr>
        <w:t>n</w:t>
      </w:r>
      <w:r w:rsidR="009E2F76" w:rsidRPr="00DE1E8C">
        <w:rPr>
          <w:color w:val="1A1718"/>
          <w:lang w:val="en-GB"/>
        </w:rPr>
        <w:t xml:space="preserve"> (CAMCOG</w:t>
      </w:r>
      <w:r w:rsidR="00C53FA2" w:rsidRPr="00DE1E8C">
        <w:rPr>
          <w:color w:val="1A1718"/>
          <w:lang w:val="en-GB"/>
        </w:rPr>
        <w:t xml:space="preserve">; </w:t>
      </w:r>
      <w:r w:rsidR="00262A27" w:rsidRPr="00DE1E8C">
        <w:rPr>
          <w:color w:val="1A1718"/>
          <w:lang w:val="en-GB"/>
        </w:rPr>
        <w:fldChar w:fldCharType="begin"/>
      </w:r>
      <w:r w:rsidR="003863D7" w:rsidRPr="00DE1E8C">
        <w:rPr>
          <w:color w:val="1A1718"/>
          <w:lang w:val="en-GB"/>
        </w:rPr>
        <w:instrText xml:space="preserve"> ADDIN ZOTERO_ITEM CSL_CITATION {"citationID":"aksheu79eu","properties":{"formattedCitation":"(Roth {\\i{}et al.}, 1986)","plainCitation":"(Roth et al., 1986)","noteIndex":0},"citationItems":[{"id":14776,"uris":["http://zotero.org/users/local/xUwQuTPV/items/YU5G8EXD"],"uri":["http://zotero.org/users/local/xUwQuTPV/items/YU5G8EXD"],"itemData":{"id":14776,"type":"article-journal","container-title":"The British journal of psychiatry","issue":"6","note":"ISBN: 0007-1250\npublisher: Cambridge University Press","page":"698-709","title":"CAMDEX: a standardised instrument for the diagnosis of mental disorder in the elderly with special reference to the early detection of dementia","volume":"149","author":[{"family":"Roth","given":"Martin"},{"family":"Tym","given":"E."},{"family":"Mountjoy","given":"C. Qp"},{"family":"Huppert","given":"Felicia A."},{"family":"Hendrie","given":"H."},{"family":"Verma","given":"S."},{"family":"Goddard","given":"R."}],"issued":{"date-parts":[["1986"]]}}}],"schema":"https://github.com/citation-style-language/schema/raw/master/csl-citation.json"} </w:instrText>
      </w:r>
      <w:r w:rsidR="00262A27" w:rsidRPr="00DE1E8C">
        <w:rPr>
          <w:color w:val="1A1718"/>
          <w:lang w:val="en-GB"/>
        </w:rPr>
        <w:fldChar w:fldCharType="separate"/>
      </w:r>
      <w:r w:rsidR="003863D7" w:rsidRPr="00DE1E8C">
        <w:rPr>
          <w:color w:val="000000"/>
          <w:lang w:val="en-GB"/>
        </w:rPr>
        <w:t xml:space="preserve">(Roth </w:t>
      </w:r>
      <w:r w:rsidR="003863D7" w:rsidRPr="00DE1E8C">
        <w:rPr>
          <w:i/>
          <w:iCs/>
          <w:color w:val="000000"/>
          <w:lang w:val="en-GB"/>
        </w:rPr>
        <w:t>et al.</w:t>
      </w:r>
      <w:r w:rsidR="003863D7" w:rsidRPr="00DE1E8C">
        <w:rPr>
          <w:color w:val="000000"/>
          <w:lang w:val="en-GB"/>
        </w:rPr>
        <w:t>, 1986)</w:t>
      </w:r>
      <w:r w:rsidR="00262A27" w:rsidRPr="00DE1E8C">
        <w:rPr>
          <w:color w:val="1A1718"/>
          <w:lang w:val="en-GB"/>
        </w:rPr>
        <w:fldChar w:fldCharType="end"/>
      </w:r>
      <w:r w:rsidR="009E2F76" w:rsidRPr="00DE1E8C">
        <w:rPr>
          <w:color w:val="1A1718"/>
          <w:lang w:val="en-GB"/>
        </w:rPr>
        <w:t>)</w:t>
      </w:r>
      <w:r w:rsidR="00BE3037" w:rsidRPr="00DE1E8C">
        <w:rPr>
          <w:color w:val="1A1718"/>
          <w:lang w:val="en-GB"/>
        </w:rPr>
        <w:t xml:space="preserve"> </w:t>
      </w:r>
      <w:r w:rsidR="009E2F76" w:rsidRPr="00DE1E8C">
        <w:rPr>
          <w:color w:val="1A1718"/>
          <w:lang w:val="en-GB"/>
        </w:rPr>
        <w:t xml:space="preserve">and the MMSE. Presence and severity of </w:t>
      </w:r>
      <w:r w:rsidR="00433AA9" w:rsidRPr="00DE1E8C">
        <w:rPr>
          <w:color w:val="1A1718"/>
          <w:lang w:val="en-GB"/>
        </w:rPr>
        <w:t>extrapyramidal signs was assessed using the motor component of the Unified Parkinson’s disease rating scale (UPDRS-III).</w:t>
      </w:r>
      <w:r w:rsidR="0039602F" w:rsidRPr="00DE1E8C">
        <w:rPr>
          <w:color w:val="1A1718"/>
          <w:lang w:val="en-GB"/>
        </w:rPr>
        <w:t xml:space="preserve"> Cognitive fluctuations were assessed </w:t>
      </w:r>
      <w:r w:rsidR="00A552A2" w:rsidRPr="00DE1E8C">
        <w:rPr>
          <w:color w:val="1A1718"/>
          <w:lang w:val="en-GB"/>
        </w:rPr>
        <w:t>using</w:t>
      </w:r>
      <w:r w:rsidR="0039602F" w:rsidRPr="00DE1E8C">
        <w:rPr>
          <w:color w:val="1A1718"/>
          <w:lang w:val="en-GB"/>
        </w:rPr>
        <w:t xml:space="preserve"> the Clinician Assessment of Fluctuation (CAF</w:t>
      </w:r>
      <w:r w:rsidR="00D45DFA" w:rsidRPr="00DE1E8C">
        <w:rPr>
          <w:color w:val="1A1718"/>
          <w:lang w:val="en-GB"/>
        </w:rPr>
        <w:t xml:space="preserve">; </w:t>
      </w:r>
      <w:r w:rsidR="00A552A2" w:rsidRPr="00DE1E8C">
        <w:rPr>
          <w:color w:val="1A1718"/>
          <w:lang w:val="en-GB"/>
        </w:rPr>
        <w:fldChar w:fldCharType="begin"/>
      </w:r>
      <w:r w:rsidR="00415789" w:rsidRPr="00DE1E8C">
        <w:rPr>
          <w:color w:val="1A1718"/>
          <w:lang w:val="en-GB"/>
        </w:rPr>
        <w:instrText xml:space="preserve"> ADDIN ZOTERO_ITEM CSL_CITATION {"citationID":"a1g3k4e8h4r","properties":{"formattedCitation":"(Walker {\\i{}et al.}, 2000{\\i{}c})","plainCitation":"(Walker et al., 2000c)","noteIndex":0},"citationItems":[{"id":14753,"uris":["http://zotero.org/users/local/xUwQuTPV/items/G4RJA33H"],"uri":["http://zotero.org/users/local/xUwQuTPV/items/G4RJA33H"],"itemData":{"id":14753,"type":"article-journal","abstract":"Fluctuating cognition (FC) is a common and important symptom in dementia, particularly dementia with Lewy bodies (DLB), although it has not been empirically quantified or characterised. Forty subjects (15 DLB, 15 AD, 10 elderly controls) were evaluated using a clinical FC severity scale, as well as receiving measures of variability in attentional performance and slow EEG rhythms across 90 s, 1 h and 1 week. DLB patients had significantly more severe FC and more severe variability in attentional and slow electrocortical measures than either AD patients or normal controls in all time frames. Attentional and EEG variability also correlated significantly with independent clinical ratings of FC. Clinical quantification and measures of attention and EEG variability can therefore make an important and standardised contribution to the assessment of FC in dementia, facilitating future treatment studies with important implications for the potential causative mechanisms and differential diagnosis.","container-title":"Dementia and Geriatric Cognitive Disorders","DOI":"10.1159/000017262","ISSN":"1420-8008, 1421-9824","issue":"6","journalAbbreviation":"DEM","language":"english","note":"publisher: Karger Publishers\nPMID: 11044778","page":"327-335","source":"www.karger.com","title":"Quantification and Characterisation of Fluctuating Cognition in Dementia with Lewy Bodies and Alzheimer’s Disease","volume":"11","author":[{"family":"Walker","given":"M. P."},{"family":"Ayre","given":"G. A."},{"family":"Perry","given":"E. K."},{"family":"Wesnes","given":"K."},{"family":"McKeith","given":"I. G."},{"family":"Tovee","given":"M."},{"family":"Edwardson","given":"J. A."},{"family":"Ballard","given":"C. G."}],"issued":{"date-parts":[["2000"]]}}}],"schema":"https://github.com/citation-style-language/schema/raw/master/csl-citation.json"} </w:instrText>
      </w:r>
      <w:r w:rsidR="00A552A2" w:rsidRPr="00DE1E8C">
        <w:rPr>
          <w:color w:val="1A1718"/>
          <w:lang w:val="en-GB"/>
        </w:rPr>
        <w:fldChar w:fldCharType="separate"/>
      </w:r>
      <w:r w:rsidR="00415789" w:rsidRPr="00DE1E8C">
        <w:rPr>
          <w:color w:val="000000"/>
          <w:lang w:val="en-GB"/>
        </w:rPr>
        <w:t xml:space="preserve">(Walker </w:t>
      </w:r>
      <w:r w:rsidR="00415789" w:rsidRPr="00DE1E8C">
        <w:rPr>
          <w:i/>
          <w:iCs/>
          <w:color w:val="000000"/>
          <w:lang w:val="en-GB"/>
        </w:rPr>
        <w:t>et al.</w:t>
      </w:r>
      <w:r w:rsidR="00415789" w:rsidRPr="00DE1E8C">
        <w:rPr>
          <w:color w:val="000000"/>
          <w:lang w:val="en-GB"/>
        </w:rPr>
        <w:t>, 2000</w:t>
      </w:r>
      <w:r w:rsidR="00415789" w:rsidRPr="00DE1E8C">
        <w:rPr>
          <w:i/>
          <w:iCs/>
          <w:color w:val="000000"/>
          <w:lang w:val="en-GB"/>
        </w:rPr>
        <w:t>c</w:t>
      </w:r>
      <w:r w:rsidR="00415789" w:rsidRPr="00DE1E8C">
        <w:rPr>
          <w:color w:val="000000"/>
          <w:lang w:val="en-GB"/>
        </w:rPr>
        <w:t>)</w:t>
      </w:r>
      <w:r w:rsidR="00A552A2" w:rsidRPr="00DE1E8C">
        <w:rPr>
          <w:color w:val="1A1718"/>
          <w:lang w:val="en-GB"/>
        </w:rPr>
        <w:fldChar w:fldCharType="end"/>
      </w:r>
      <w:r w:rsidR="00A552A2" w:rsidRPr="00DE1E8C">
        <w:rPr>
          <w:color w:val="1A1718"/>
          <w:lang w:val="en-GB"/>
        </w:rPr>
        <w:t xml:space="preserve">), which measures duration and frequency of fluctuations, and the Mayo Fluctuation Scale </w:t>
      </w:r>
      <w:r w:rsidR="00B96B61" w:rsidRPr="00DE1E8C">
        <w:rPr>
          <w:color w:val="1A1718"/>
          <w:lang w:val="en-GB"/>
        </w:rPr>
        <w:fldChar w:fldCharType="begin"/>
      </w:r>
      <w:r w:rsidR="00415789" w:rsidRPr="00DE1E8C">
        <w:rPr>
          <w:color w:val="1A1718"/>
          <w:lang w:val="en-GB"/>
        </w:rPr>
        <w:instrText xml:space="preserve"> ADDIN ZOTERO_ITEM CSL_CITATION {"citationID":"a2eaevepfaf","properties":{"formattedCitation":"(Ferman {\\i{}et al.}, 2004)","plainCitation":"(Ferman et al., 2004)","noteIndex":0},"citationItems":[{"id":14756,"uris":["http://zotero.org/users/local/xUwQuTPV/items/X2VPV6DS"],"uri":["http://zotero.org/users/local/xUwQuTPV/items/X2VPV6DS"],"itemData":{"id":14756,"type":"article-journal","container-title":"Neurology","issue":"2","note":"ISBN: 0028-3878\npublisher: AAN Enterprises","page":"181-187","title":"DLB fluctuations: specific features that reliably differentiate DLB from AD and normal aging","volume":"62","author":[{"family":"Ferman","given":"Tanis Jill"},{"family":"Smith","given":"G. E."},{"family":"Boeve","given":"Bradley F."},{"family":"Ivnik","given":"R. J."},{"family":"Petersen","given":"Ronald Carl"},{"family":"Knopman","given":"D."},{"family":"Graff-Radford","given":"N."},{"family":"Parisi","given":"J."},{"family":"Dickson","given":"Dennis W."}],"issued":{"date-parts":[["2004"]]}}}],"schema":"https://github.com/citation-style-language/schema/raw/master/csl-citation.json"} </w:instrText>
      </w:r>
      <w:r w:rsidR="00B96B61" w:rsidRPr="00DE1E8C">
        <w:rPr>
          <w:color w:val="1A1718"/>
          <w:lang w:val="en-GB"/>
        </w:rPr>
        <w:fldChar w:fldCharType="separate"/>
      </w:r>
      <w:r w:rsidR="00415789" w:rsidRPr="00DE1E8C">
        <w:rPr>
          <w:color w:val="000000"/>
          <w:lang w:val="en-GB"/>
        </w:rPr>
        <w:t xml:space="preserve">(Ferman </w:t>
      </w:r>
      <w:r w:rsidR="00415789" w:rsidRPr="00DE1E8C">
        <w:rPr>
          <w:i/>
          <w:iCs/>
          <w:color w:val="000000"/>
          <w:lang w:val="en-GB"/>
        </w:rPr>
        <w:t>et al.</w:t>
      </w:r>
      <w:r w:rsidR="00415789" w:rsidRPr="00DE1E8C">
        <w:rPr>
          <w:color w:val="000000"/>
          <w:lang w:val="en-GB"/>
        </w:rPr>
        <w:t>, 2004)</w:t>
      </w:r>
      <w:r w:rsidR="00B96B61" w:rsidRPr="00DE1E8C">
        <w:rPr>
          <w:color w:val="1A1718"/>
          <w:lang w:val="en-GB"/>
        </w:rPr>
        <w:fldChar w:fldCharType="end"/>
      </w:r>
      <w:r w:rsidR="0076764E" w:rsidRPr="00DE1E8C">
        <w:rPr>
          <w:color w:val="1A1718"/>
          <w:lang w:val="en-GB"/>
        </w:rPr>
        <w:t xml:space="preserve"> which includes two dimensions of fluctuations: cognitive-attention and arousal-alertness subscales</w:t>
      </w:r>
      <w:r w:rsidR="00E10E8D" w:rsidRPr="00DE1E8C">
        <w:rPr>
          <w:color w:val="1A1718"/>
          <w:lang w:val="en-GB"/>
        </w:rPr>
        <w:t xml:space="preserve"> </w:t>
      </w:r>
      <w:r w:rsidR="00E10E8D" w:rsidRPr="00DE1E8C">
        <w:rPr>
          <w:color w:val="1A1718"/>
          <w:lang w:val="en-GB"/>
        </w:rPr>
        <w:fldChar w:fldCharType="begin"/>
      </w:r>
      <w:r w:rsidR="00415789" w:rsidRPr="00DE1E8C">
        <w:rPr>
          <w:color w:val="1A1718"/>
          <w:lang w:val="en-GB"/>
        </w:rPr>
        <w:instrText xml:space="preserve"> ADDIN ZOTERO_ITEM CSL_CITATION {"citationID":"a2fjs17chfu","properties":{"formattedCitation":"(Bliwise {\\i{}et al.}, 2014)","plainCitation":"(Bliwise et al., 2014)","noteIndex":0},"citationItems":[{"id":14757,"uris":["http://zotero.org/users/local/xUwQuTPV/items/SL82PFZQ"],"uri":["http://zotero.org/users/local/xUwQuTPV/items/SL82PFZQ"],"itemData":{"id":14757,"type":"article-journal","abstract":"Fluctuations in mental status are 1 of the core diagnostic criteria for dementia with Lewy bodies (DLB) and are thought to reflect variability in daytime alertness. Previous attempts to study fluctuations have been limited to caregiver reports, observer rating scales, short segments of electroencephalography, or motor-dependent, reaction time tests. Concordance among such measures is often poor, and fluctuations remain difficult to quantify. We compared fluctuations in cognition and alertness in patients with DLB (n = 13) and idiopathic Parkinson's disease (PD) (n = 64), a condition associated with deficits in daytime alertness. We systematically and repeatedly collected cognitive and physiologic measures during a 48-hour inpatient protocol in a sound-attenuated sleep laboratory in a geriatric hospital. Cognitive fluctuations were analyzed using coefficients of variation (COVs) derived from performance on a bedside examination familiar to clinicians (digit span). Alertness fluctuations were assessed objectively using COVs from the polysomnographically-based Maintenance of Wakefulness Test. Despite predictably lower mean digit span performances, DLB patients demonstrated significantly greater cognitive fluctuations than PD patients (P &lt; 0.001), even when groups were matched on general cognitive impairment. There were no group differences in alertness fluctuations, although DLB patients were less alert than PD patients not receiving dopaminergics. The prevailing assumption that fluctuations in cognition in DLB are reflected in fluctuations in daytime alertness was not supported by objective, physiological measurements. Fluctuating mental status in DLB patients can be detected with repeated administration of a simple bedside exam that can be adapted to a clinic setting. © 2013 International Parkinson and Movement Disorder Society.","container-title":"Movement Disorders","DOI":"https://doi.org/10.1002/mds.25707","ISSN":"1531-8257","issue":"1","language":"en","note":"_eprint: https://movementdisorders.onlinelibrary.wiley.com/doi/pdf/10.1002/mds.25707","page":"83-89","source":"Wiley Online Library","title":"Fluctuations in cognition and alertness vary independently in dementia with Lewy bodies","volume":"29","author":[{"family":"Bliwise","given":"Donald L."},{"family":"Scullin","given":"Michael K."},{"family":"Trotti","given":"Lynn Marie"}],"issued":{"date-parts":[["2014"]]}}}],"schema":"https://github.com/citation-style-language/schema/raw/master/csl-citation.json"} </w:instrText>
      </w:r>
      <w:r w:rsidR="00E10E8D" w:rsidRPr="00DE1E8C">
        <w:rPr>
          <w:color w:val="1A1718"/>
          <w:lang w:val="en-GB"/>
        </w:rPr>
        <w:fldChar w:fldCharType="separate"/>
      </w:r>
      <w:r w:rsidR="00415789" w:rsidRPr="00DE1E8C">
        <w:rPr>
          <w:color w:val="000000"/>
          <w:lang w:val="en-GB"/>
        </w:rPr>
        <w:t xml:space="preserve">(Bliwise </w:t>
      </w:r>
      <w:r w:rsidR="00415789" w:rsidRPr="00DE1E8C">
        <w:rPr>
          <w:i/>
          <w:iCs/>
          <w:color w:val="000000"/>
          <w:lang w:val="en-GB"/>
        </w:rPr>
        <w:t>et al.</w:t>
      </w:r>
      <w:r w:rsidR="00415789" w:rsidRPr="00DE1E8C">
        <w:rPr>
          <w:color w:val="000000"/>
          <w:lang w:val="en-GB"/>
        </w:rPr>
        <w:t>, 2014)</w:t>
      </w:r>
      <w:r w:rsidR="00E10E8D" w:rsidRPr="00DE1E8C">
        <w:rPr>
          <w:color w:val="1A1718"/>
          <w:lang w:val="en-GB"/>
        </w:rPr>
        <w:fldChar w:fldCharType="end"/>
      </w:r>
      <w:r w:rsidR="00E10E8D" w:rsidRPr="00DE1E8C">
        <w:rPr>
          <w:color w:val="1A1718"/>
          <w:lang w:val="en-GB"/>
        </w:rPr>
        <w:t xml:space="preserve">. </w:t>
      </w:r>
      <w:r w:rsidR="00E7663E" w:rsidRPr="00DE1E8C">
        <w:rPr>
          <w:color w:val="1A1718"/>
          <w:lang w:val="en-GB"/>
        </w:rPr>
        <w:t xml:space="preserve">Patients underwent </w:t>
      </w:r>
      <w:r w:rsidR="00234CB4" w:rsidRPr="00DE1E8C">
        <w:rPr>
          <w:color w:val="1A1718"/>
          <w:lang w:val="en-GB"/>
        </w:rPr>
        <w:t xml:space="preserve">these </w:t>
      </w:r>
      <w:r w:rsidR="00E7663E" w:rsidRPr="00DE1E8C">
        <w:rPr>
          <w:color w:val="1A1718"/>
          <w:lang w:val="en-GB"/>
        </w:rPr>
        <w:t>general assessment</w:t>
      </w:r>
      <w:r w:rsidR="00234CB4" w:rsidRPr="00DE1E8C">
        <w:rPr>
          <w:color w:val="1A1718"/>
          <w:lang w:val="en-GB"/>
        </w:rPr>
        <w:t>s</w:t>
      </w:r>
      <w:r w:rsidR="00E7663E" w:rsidRPr="00DE1E8C">
        <w:rPr>
          <w:color w:val="1A1718"/>
          <w:lang w:val="en-GB"/>
        </w:rPr>
        <w:t xml:space="preserve"> and the fMRI experi</w:t>
      </w:r>
      <w:r w:rsidR="004D787E" w:rsidRPr="00DE1E8C">
        <w:rPr>
          <w:color w:val="1A1718"/>
          <w:lang w:val="en-GB"/>
        </w:rPr>
        <w:t>mental</w:t>
      </w:r>
      <w:r w:rsidR="00E7663E" w:rsidRPr="00DE1E8C">
        <w:rPr>
          <w:color w:val="1A1718"/>
          <w:lang w:val="en-GB"/>
        </w:rPr>
        <w:t xml:space="preserve"> ta</w:t>
      </w:r>
      <w:r w:rsidR="008D0702" w:rsidRPr="00DE1E8C">
        <w:rPr>
          <w:color w:val="1A1718"/>
          <w:lang w:val="en-GB"/>
        </w:rPr>
        <w:t xml:space="preserve">sk on their regular medications, with all </w:t>
      </w:r>
      <w:r w:rsidR="00434FDA" w:rsidRPr="00DE1E8C">
        <w:rPr>
          <w:lang w:val="en-GB"/>
        </w:rPr>
        <w:t>Lewy body dementia</w:t>
      </w:r>
      <w:r w:rsidR="008D0702" w:rsidRPr="00DE1E8C">
        <w:rPr>
          <w:color w:val="1A1718"/>
          <w:lang w:val="en-GB"/>
        </w:rPr>
        <w:t xml:space="preserve"> patients in an “</w:t>
      </w:r>
      <w:r w:rsidR="00687210" w:rsidRPr="00DE1E8C">
        <w:rPr>
          <w:color w:val="1A1718"/>
          <w:lang w:val="en-GB"/>
        </w:rPr>
        <w:t>on</w:t>
      </w:r>
      <w:r w:rsidR="008D0702" w:rsidRPr="00DE1E8C">
        <w:rPr>
          <w:color w:val="1A1718"/>
          <w:lang w:val="en-GB"/>
        </w:rPr>
        <w:t>” motor state, typically 1-3 hours</w:t>
      </w:r>
      <w:r w:rsidR="00FF5F3C" w:rsidRPr="00DE1E8C">
        <w:rPr>
          <w:color w:val="1A1718"/>
          <w:lang w:val="en-GB"/>
        </w:rPr>
        <w:t xml:space="preserve"> after</w:t>
      </w:r>
      <w:r w:rsidR="008D0702" w:rsidRPr="00DE1E8C">
        <w:rPr>
          <w:color w:val="1A1718"/>
          <w:lang w:val="en-GB"/>
        </w:rPr>
        <w:t xml:space="preserve"> their</w:t>
      </w:r>
      <w:r w:rsidR="00FF5F3C" w:rsidRPr="00DE1E8C">
        <w:rPr>
          <w:color w:val="1A1718"/>
          <w:lang w:val="en-GB"/>
        </w:rPr>
        <w:t xml:space="preserve"> last dose.</w:t>
      </w:r>
      <w:r w:rsidR="00B41946" w:rsidRPr="00DE1E8C">
        <w:rPr>
          <w:color w:val="1A1718"/>
          <w:lang w:val="en-GB"/>
        </w:rPr>
        <w:t xml:space="preserve"> Where possible, people were scanned in the late morning to maximise attention. </w:t>
      </w:r>
      <w:r w:rsidR="003045C1" w:rsidRPr="00DE1E8C">
        <w:rPr>
          <w:lang w:val="en-GB"/>
        </w:rPr>
        <w:t>Exclu</w:t>
      </w:r>
      <w:r w:rsidR="000B1C69" w:rsidRPr="00DE1E8C">
        <w:rPr>
          <w:lang w:val="en-GB"/>
        </w:rPr>
        <w:t>sion criter</w:t>
      </w:r>
      <w:r w:rsidR="003045C1" w:rsidRPr="00DE1E8C">
        <w:rPr>
          <w:lang w:val="en-GB"/>
        </w:rPr>
        <w:t>ia for all participants included</w:t>
      </w:r>
      <w:r w:rsidR="000B1C69" w:rsidRPr="00DE1E8C">
        <w:rPr>
          <w:lang w:val="en-GB"/>
        </w:rPr>
        <w:t xml:space="preserve"> moderate t</w:t>
      </w:r>
      <w:r w:rsidR="003045C1" w:rsidRPr="00DE1E8C">
        <w:rPr>
          <w:lang w:val="en-GB"/>
        </w:rPr>
        <w:t xml:space="preserve">o severe visual impairment, </w:t>
      </w:r>
      <w:r w:rsidR="000B1C69" w:rsidRPr="00DE1E8C">
        <w:rPr>
          <w:lang w:val="en-GB"/>
        </w:rPr>
        <w:t>history of alcohol or substance misuse, significant neurological or psychiatric hi</w:t>
      </w:r>
      <w:r w:rsidR="003045C1" w:rsidRPr="00DE1E8C">
        <w:rPr>
          <w:lang w:val="en-GB"/>
        </w:rPr>
        <w:t xml:space="preserve">story, moderate to severe cerebral small vessel disease or </w:t>
      </w:r>
      <w:r w:rsidR="000B1C69" w:rsidRPr="00DE1E8C">
        <w:rPr>
          <w:lang w:val="en-GB"/>
        </w:rPr>
        <w:t>foc</w:t>
      </w:r>
      <w:r w:rsidR="00E603DD" w:rsidRPr="00DE1E8C">
        <w:rPr>
          <w:lang w:val="en-GB"/>
        </w:rPr>
        <w:t xml:space="preserve">al brain lesions on </w:t>
      </w:r>
      <w:r w:rsidR="003045C1" w:rsidRPr="00DE1E8C">
        <w:rPr>
          <w:lang w:val="en-GB"/>
        </w:rPr>
        <w:t>imag</w:t>
      </w:r>
      <w:r w:rsidR="000B1C69" w:rsidRPr="00DE1E8C">
        <w:rPr>
          <w:lang w:val="en-GB"/>
        </w:rPr>
        <w:t>ing, or the presence of other severe or unstable medical illness.</w:t>
      </w:r>
      <w:r w:rsidR="003045C1" w:rsidRPr="00DE1E8C">
        <w:rPr>
          <w:lang w:val="en-GB"/>
        </w:rPr>
        <w:t xml:space="preserve"> </w:t>
      </w:r>
      <w:r w:rsidR="00C762C3" w:rsidRPr="00DE1E8C">
        <w:rPr>
          <w:lang w:val="en-GB"/>
        </w:rPr>
        <w:t>Additional criteria for c</w:t>
      </w:r>
      <w:r w:rsidR="00D21EBF" w:rsidRPr="00DE1E8C">
        <w:rPr>
          <w:lang w:val="en-GB"/>
        </w:rPr>
        <w:t xml:space="preserve">ontrol </w:t>
      </w:r>
      <w:r w:rsidR="009919DD" w:rsidRPr="00DE1E8C">
        <w:rPr>
          <w:lang w:val="en-GB"/>
        </w:rPr>
        <w:t>participants</w:t>
      </w:r>
      <w:r w:rsidR="00C762C3" w:rsidRPr="00DE1E8C">
        <w:rPr>
          <w:lang w:val="en-GB"/>
        </w:rPr>
        <w:t xml:space="preserve"> was an absence of cognitive impairment, based on </w:t>
      </w:r>
      <w:r w:rsidR="00291E7C" w:rsidRPr="00DE1E8C">
        <w:rPr>
          <w:lang w:val="en-GB"/>
        </w:rPr>
        <w:t xml:space="preserve">either </w:t>
      </w:r>
      <w:r w:rsidR="00C762C3" w:rsidRPr="00DE1E8C">
        <w:rPr>
          <w:lang w:val="en-GB"/>
        </w:rPr>
        <w:t xml:space="preserve">self-reported history </w:t>
      </w:r>
      <w:r w:rsidR="001D610D" w:rsidRPr="00DE1E8C">
        <w:rPr>
          <w:lang w:val="en-GB"/>
        </w:rPr>
        <w:t>and/</w:t>
      </w:r>
      <w:r w:rsidR="00291E7C" w:rsidRPr="00DE1E8C">
        <w:rPr>
          <w:lang w:val="en-GB"/>
        </w:rPr>
        <w:t>or</w:t>
      </w:r>
      <w:r w:rsidR="00A803BB" w:rsidRPr="00DE1E8C">
        <w:rPr>
          <w:lang w:val="en-GB"/>
        </w:rPr>
        <w:t xml:space="preserve"> </w:t>
      </w:r>
      <w:r w:rsidR="00E603DD" w:rsidRPr="00DE1E8C">
        <w:rPr>
          <w:lang w:val="en-GB"/>
        </w:rPr>
        <w:t xml:space="preserve">a </w:t>
      </w:r>
      <w:r w:rsidR="00C762C3" w:rsidRPr="00DE1E8C">
        <w:rPr>
          <w:color w:val="1A1718"/>
          <w:lang w:val="en-GB"/>
        </w:rPr>
        <w:t>score</w:t>
      </w:r>
      <w:r w:rsidR="00E603DD" w:rsidRPr="00DE1E8C">
        <w:rPr>
          <w:color w:val="1A1718"/>
          <w:lang w:val="en-GB"/>
        </w:rPr>
        <w:t xml:space="preserve"> of </w:t>
      </w:r>
      <w:r w:rsidR="001D610D" w:rsidRPr="00DE1E8C">
        <w:rPr>
          <w:color w:val="1A1718"/>
          <w:lang w:val="en-GB"/>
        </w:rPr>
        <w:t>&lt;</w:t>
      </w:r>
      <w:r w:rsidR="00F701EE" w:rsidRPr="00DE1E8C">
        <w:rPr>
          <w:color w:val="1A1718"/>
          <w:lang w:val="en-GB"/>
        </w:rPr>
        <w:t xml:space="preserve">80 on </w:t>
      </w:r>
      <w:r w:rsidR="00C762C3" w:rsidRPr="00DE1E8C">
        <w:rPr>
          <w:color w:val="1A1718"/>
          <w:lang w:val="en-GB"/>
        </w:rPr>
        <w:t xml:space="preserve">the </w:t>
      </w:r>
      <w:r w:rsidR="00F701EE" w:rsidRPr="00DE1E8C">
        <w:rPr>
          <w:color w:val="1A1718"/>
          <w:lang w:val="en-GB"/>
        </w:rPr>
        <w:t>CAMCOG.</w:t>
      </w:r>
      <w:r w:rsidR="00BE5BA5" w:rsidRPr="00DE1E8C">
        <w:rPr>
          <w:color w:val="1A1718"/>
          <w:lang w:val="en-GB"/>
        </w:rPr>
        <w:t xml:space="preserve"> Demographics and clinical features are reported in </w:t>
      </w:r>
      <w:r w:rsidR="00BE5BA5" w:rsidRPr="00DE1E8C">
        <w:rPr>
          <w:lang w:val="en-GB"/>
        </w:rPr>
        <w:t>T</w:t>
      </w:r>
      <w:r w:rsidR="00BE2063" w:rsidRPr="00DE1E8C">
        <w:rPr>
          <w:lang w:val="en-GB"/>
        </w:rPr>
        <w:t>able 1</w:t>
      </w:r>
      <w:r w:rsidR="00BE5BA5" w:rsidRPr="00DE1E8C">
        <w:rPr>
          <w:lang w:val="en-GB"/>
        </w:rPr>
        <w:t xml:space="preserve">. </w:t>
      </w:r>
    </w:p>
    <w:p w14:paraId="41B75175" w14:textId="77777777" w:rsidR="00BE7136" w:rsidRPr="00DE1E8C" w:rsidRDefault="00BE7136" w:rsidP="00551517">
      <w:pPr>
        <w:spacing w:line="360" w:lineRule="auto"/>
        <w:contextualSpacing/>
        <w:jc w:val="both"/>
        <w:rPr>
          <w:lang w:val="en-GB"/>
        </w:rPr>
      </w:pPr>
    </w:p>
    <w:p w14:paraId="19DA3A00" w14:textId="05986069" w:rsidR="00D22342" w:rsidRPr="00DE1E8C" w:rsidRDefault="0015029E" w:rsidP="00551517">
      <w:pPr>
        <w:spacing w:line="360" w:lineRule="auto"/>
        <w:contextualSpacing/>
        <w:jc w:val="both"/>
        <w:rPr>
          <w:lang w:val="en-GB"/>
        </w:rPr>
      </w:pPr>
      <w:r w:rsidRPr="00DE1E8C">
        <w:rPr>
          <w:b/>
          <w:i/>
          <w:lang w:val="en-GB"/>
        </w:rPr>
        <w:t>Attention</w:t>
      </w:r>
      <w:r w:rsidR="00D22342" w:rsidRPr="00DE1E8C">
        <w:rPr>
          <w:b/>
          <w:i/>
          <w:lang w:val="en-GB"/>
        </w:rPr>
        <w:t xml:space="preserve"> Network Task</w:t>
      </w:r>
      <w:r w:rsidR="000D51C2" w:rsidRPr="00DE1E8C">
        <w:rPr>
          <w:b/>
          <w:i/>
          <w:lang w:val="en-GB"/>
        </w:rPr>
        <w:t xml:space="preserve"> (ANT)</w:t>
      </w:r>
    </w:p>
    <w:p w14:paraId="46362ED5" w14:textId="4E0FB492" w:rsidR="000D51C2" w:rsidRPr="00DE1E8C" w:rsidRDefault="005A28CE" w:rsidP="00551517">
      <w:pPr>
        <w:spacing w:line="360" w:lineRule="auto"/>
        <w:contextualSpacing/>
        <w:jc w:val="both"/>
        <w:rPr>
          <w:lang w:val="en-GB"/>
        </w:rPr>
      </w:pPr>
      <w:r w:rsidRPr="00DE1E8C">
        <w:rPr>
          <w:lang w:val="en-GB"/>
        </w:rPr>
        <w:t>We administered a</w:t>
      </w:r>
      <w:r w:rsidR="00065039" w:rsidRPr="00DE1E8C">
        <w:rPr>
          <w:lang w:val="en-GB"/>
        </w:rPr>
        <w:t xml:space="preserve"> modified ver</w:t>
      </w:r>
      <w:r w:rsidR="0015029E" w:rsidRPr="00DE1E8C">
        <w:rPr>
          <w:lang w:val="en-GB"/>
        </w:rPr>
        <w:t>sion of the</w:t>
      </w:r>
      <w:r w:rsidR="00577E6C" w:rsidRPr="00DE1E8C">
        <w:rPr>
          <w:lang w:val="en-GB"/>
        </w:rPr>
        <w:t xml:space="preserve"> </w:t>
      </w:r>
      <w:r w:rsidR="0015029E" w:rsidRPr="00DE1E8C">
        <w:rPr>
          <w:lang w:val="en-GB"/>
        </w:rPr>
        <w:t>Attention</w:t>
      </w:r>
      <w:r w:rsidR="00065039" w:rsidRPr="00DE1E8C">
        <w:rPr>
          <w:lang w:val="en-GB"/>
        </w:rPr>
        <w:t xml:space="preserve"> Network Task (ANT;</w:t>
      </w:r>
      <w:r w:rsidR="003336BD" w:rsidRPr="00DE1E8C">
        <w:rPr>
          <w:lang w:val="en-GB"/>
        </w:rPr>
        <w:t xml:space="preserve"> </w:t>
      </w:r>
      <w:r w:rsidR="007225A4" w:rsidRPr="00DE1E8C">
        <w:rPr>
          <w:lang w:val="en-GB"/>
        </w:rPr>
        <w:fldChar w:fldCharType="begin"/>
      </w:r>
      <w:r w:rsidR="00E805F6" w:rsidRPr="00DE1E8C">
        <w:rPr>
          <w:lang w:val="en-GB"/>
        </w:rPr>
        <w:instrText xml:space="preserve"> ADDIN ZOTERO_ITEM CSL_CITATION {"citationID":"rce4ns7j","properties":{"formattedCitation":"(Fan {\\i{}et al.}, 2002)","plainCitation":"(Fan et al., 2002)","noteIndex":0},"citationItems":[{"id":14102,"uris":["http://zotero.org/users/local/xUwQuTPV/items/A234IEDQ"],"uri":["http://zotero.org/users/local/xUwQuTPV/items/A234IEDQ"],"itemData":{"id":14102,"type":"article-journal","abstract":"In recent years, three attentional networks have been defined in anatomical and functional terms. These functions involve alerting, orienting, and executive attention. Reaction time measures can be used to quantify the processing efficiency within each of these three networks. The Attention Network Test (ANT) is designed to evaluate alerting, orienting, and executive attention within a single 30-min testing session that can be easily performed by children, patients, and monkeys. A study with 40 normal adult subjects indicates that the ANT produces reliable single subject estimates of alerting, orienting, and executive function, and further suggests that the efficiencies of these three networks are uncorrelated. There are, however, some interactions in which alerting and orienting can modulate the degree of interference from flankers. This procedure may prove to be convenient and useful in evaluating attentional abnormalities associated with cases of brain injury, stroke, schizophrenia, and attention-deficit disorder. The ANT may also serve as an activation task for neuroimaging studies and as a phenotype for the study of the influence of genes on attentional networks.","container-title":"Journal of Cognitive Neuroscience","DOI":"10.1162/089892902317361886","ISSN":"0898-929X, 1530-8898","issue":"3","journalAbbreviation":"Journal of Cognitive Neuroscience","language":"en","page":"340-347","source":"DOI.org (Crossref)","title":"Testing the Efficiency and Independence of Attentional Networks","volume":"14","author":[{"family":"Fan","given":"Jin"},{"family":"McCandliss","given":"Bruce D."},{"family":"Sommer","given":"Tobias"},{"family":"Raz","given":"Amir"},{"family":"Posner","given":"Michael I."}],"issued":{"date-parts":[["2002",4,1]]}}}],"schema":"https://github.com/citation-style-language/schema/raw/master/csl-citation.json"} </w:instrText>
      </w:r>
      <w:r w:rsidR="007225A4" w:rsidRPr="00DE1E8C">
        <w:rPr>
          <w:lang w:val="en-GB"/>
        </w:rPr>
        <w:fldChar w:fldCharType="separate"/>
      </w:r>
      <w:r w:rsidR="00E805F6" w:rsidRPr="00DE1E8C">
        <w:rPr>
          <w:lang w:val="en-GB"/>
        </w:rPr>
        <w:t xml:space="preserve">(Fan </w:t>
      </w:r>
      <w:r w:rsidR="00E805F6" w:rsidRPr="00DE1E8C">
        <w:rPr>
          <w:i/>
          <w:iCs/>
          <w:lang w:val="en-GB"/>
        </w:rPr>
        <w:t>et al.</w:t>
      </w:r>
      <w:r w:rsidR="00E805F6" w:rsidRPr="00DE1E8C">
        <w:rPr>
          <w:lang w:val="en-GB"/>
        </w:rPr>
        <w:t>, 2002)</w:t>
      </w:r>
      <w:r w:rsidR="007225A4" w:rsidRPr="00DE1E8C">
        <w:rPr>
          <w:lang w:val="en-GB"/>
        </w:rPr>
        <w:fldChar w:fldCharType="end"/>
      </w:r>
      <w:r w:rsidR="003336BD" w:rsidRPr="00DE1E8C">
        <w:rPr>
          <w:lang w:val="en-GB"/>
        </w:rPr>
        <w:t>)</w:t>
      </w:r>
      <w:r w:rsidRPr="00DE1E8C">
        <w:rPr>
          <w:lang w:val="en-GB"/>
        </w:rPr>
        <w:t xml:space="preserve">. </w:t>
      </w:r>
      <w:r w:rsidR="005F17B4" w:rsidRPr="00DE1E8C">
        <w:rPr>
          <w:lang w:val="en-GB"/>
        </w:rPr>
        <w:t xml:space="preserve">The original ANT requires </w:t>
      </w:r>
      <w:r w:rsidR="00D61408" w:rsidRPr="00DE1E8C">
        <w:rPr>
          <w:lang w:val="en-GB"/>
        </w:rPr>
        <w:t>participants to determine the direction of a central arrow flanked by flat lines</w:t>
      </w:r>
      <w:r w:rsidR="00971008" w:rsidRPr="00DE1E8C">
        <w:rPr>
          <w:lang w:val="en-GB"/>
        </w:rPr>
        <w:t xml:space="preserve"> (neutral)</w:t>
      </w:r>
      <w:r w:rsidR="00D61408" w:rsidRPr="00DE1E8C">
        <w:rPr>
          <w:lang w:val="en-GB"/>
        </w:rPr>
        <w:t xml:space="preserve"> or by arrows pointing in the same</w:t>
      </w:r>
      <w:r w:rsidR="00971008" w:rsidRPr="00DE1E8C">
        <w:rPr>
          <w:lang w:val="en-GB"/>
        </w:rPr>
        <w:t xml:space="preserve"> (congruent)</w:t>
      </w:r>
      <w:r w:rsidR="00D61408" w:rsidRPr="00DE1E8C">
        <w:rPr>
          <w:lang w:val="en-GB"/>
        </w:rPr>
        <w:t xml:space="preserve"> or different</w:t>
      </w:r>
      <w:r w:rsidR="00971008" w:rsidRPr="00DE1E8C">
        <w:rPr>
          <w:lang w:val="en-GB"/>
        </w:rPr>
        <w:t xml:space="preserve"> (incongruent)</w:t>
      </w:r>
      <w:r w:rsidR="00D61408" w:rsidRPr="00DE1E8C">
        <w:rPr>
          <w:lang w:val="en-GB"/>
        </w:rPr>
        <w:t xml:space="preserve"> direction</w:t>
      </w:r>
      <w:r w:rsidR="00971008" w:rsidRPr="00DE1E8C">
        <w:rPr>
          <w:lang w:val="en-GB"/>
        </w:rPr>
        <w:t>s</w:t>
      </w:r>
      <w:r w:rsidR="00D61408" w:rsidRPr="00DE1E8C">
        <w:rPr>
          <w:lang w:val="en-GB"/>
        </w:rPr>
        <w:t xml:space="preserve">. </w:t>
      </w:r>
      <w:r w:rsidR="00E2561E" w:rsidRPr="00DE1E8C">
        <w:rPr>
          <w:lang w:val="en-GB"/>
        </w:rPr>
        <w:t>The incongruent condition creates perceptual conflict, which is designed to place greater demand on attentional processes relative to the congruent and neutral conditions</w:t>
      </w:r>
      <w:r w:rsidR="00C52F7A" w:rsidRPr="00DE1E8C">
        <w:rPr>
          <w:lang w:val="en-GB"/>
        </w:rPr>
        <w:t xml:space="preserve">. </w:t>
      </w:r>
      <w:r w:rsidR="004F7E1B" w:rsidRPr="00DE1E8C">
        <w:rPr>
          <w:lang w:val="en-GB"/>
        </w:rPr>
        <w:t>The version used in this study</w:t>
      </w:r>
      <w:r w:rsidR="004D1C62" w:rsidRPr="00DE1E8C">
        <w:rPr>
          <w:lang w:val="en-GB"/>
        </w:rPr>
        <w:t xml:space="preserve"> incorporated two levels of perceptual conflict</w:t>
      </w:r>
      <w:r w:rsidR="006233A6" w:rsidRPr="00DE1E8C">
        <w:rPr>
          <w:lang w:val="en-GB"/>
        </w:rPr>
        <w:t xml:space="preserve"> </w:t>
      </w:r>
      <w:r w:rsidR="006233A6" w:rsidRPr="00DE1E8C">
        <w:rPr>
          <w:lang w:val="en-GB"/>
        </w:rPr>
        <w:fldChar w:fldCharType="begin"/>
      </w:r>
      <w:r w:rsidR="00E805F6" w:rsidRPr="00DE1E8C">
        <w:rPr>
          <w:lang w:val="en-GB"/>
        </w:rPr>
        <w:instrText xml:space="preserve"> ADDIN ZOTERO_ITEM CSL_CITATION {"citationID":"YBsSoWOn","properties":{"formattedCitation":"(Firbank {\\i{}et al.}, 2016, 2018)","plainCitation":"(Firbank et al., 2016, 2018)","noteIndex":0},"citationItems":[{"id":5533,"uris":["http://zotero.org/users/local/xUwQuTPV/items/9FMHWJCZ"],"uri":["http://zotero.org/users/local/xUwQuTPV/items/9FMHWJCZ"],"itemData":{"id":5533,"type":"article-journal","abstract":"Attentional and executive dysfunction contribute to cognitive impairment in both Lewy body dementia and Alzheimer&amp;apos;s disease. Using functional MRI, we examined the neural correlates of three components of attention (alerting, orienting, and executive/conflict function) in 23 patients with Alzheimer&amp;apos;s disease, 32 patients with Lewy body dementia (19 with dementia with Lewy bodies and 13 with Parkinson&amp;apos;s disease with dementia), and 23 healthy controls using a modified Attention Network Test. Although the functional MRI demonstrated a similar fronto-parieto-occipital network activation in all groups, Alzheimer&amp;apos;s disease and Lewy body dementia patients had greater activation of this network for incongruent and more difficult trials, which were also accompanied by slower reaction times. There was no recruitment of additional brain regions or, conversely, regional deficits in brain activation. The default mode network, however, displayed diverging activity patterns in the dementia groups. The Alzheimer&amp;apos;s disease group had limited task related deactivations of the default mode network, whereas patients with Lewy body dementia showed heightened deactivation to all trials, which might be an attempt to allocate neural resources to impaired attentional networks. We posit that, despite a common endpoint of attention-executive disturbances in both dementias, the pathophysiological basis of these is very different between these diseases.","container-title":"Human Brain Mapping","DOI":"10.1002/hbm.23100","issue":"3","journalAbbreviation":"Hum. Brain Mapp.","language":"English","note":"PMCID: PMC4784171","page":"1254-1270","title":"Neural correlates of attention-executive dysfunction in lewy body dementia and Alzheimer's disease.","volume":"37","author":[{"family":"Firbank","given":"Michael"},{"family":"Kobeleva","given":"Xenia"},{"family":"Cherry","given":"George"},{"family":"Killen","given":"Alison"},{"family":"Gallagher","given":"Peter"},{"family":"Burn","given":"David J."},{"family":"Thomas","given":"Alan J."},{"family":"O&amp;apos;Brien","given":"John T."},{"family":"Taylor","given":"John-Paul"}],"issued":{"date-parts":[["2016",3]]}}},{"id":5529,"uris":["http://zotero.org/users/local/xUwQuTPV/items/I7JY88G5"],"uri":["http://zotero.org/users/local/xUwQuTPV/items/I7JY88G5"],"itemData":{"id":5529,"type":"article-journal","abstract":"A significant symptom of Lewy body dementia (LBD) is slow cognitive processing or bradyphrenia. In a previous fMRI task-based study, we found slower responses in LBD, accompanied by greater deactivation in the default mode network. In this study, we investigated the timing and magnitude of the activations and deactivations with respect to reaction time to determine whether the slower responses in LBD were associated with delayed neuronal activity. Using fMRI, we examined the magnitude and latency of activations and deactivations during an event-related attention task in 32 patients with LBD and 23 healthy controls using predefined regions of interest. Default mode network deactivations did not significantly differ in their timing between groups or task conditions, while the task-related activations in the parietal, occipital, frontal, and motor cortex were all significantly later in the LBD group. Repeating the analysis with reaction time as a parametric modulator of activation magnitude produced similar findings, with the reaction time modulator being significant in a number of regions including the default mode network, suggesting that the increased deactivation in LBD is partly explained by slower task completion. Our data suggest that the default mode network deactivation is initiated at the start of the task, and remains deactivated until its end, with the increased magnitude of deactivation in LBD reflecting the more prolonged cognitive processing in these patients. These data add substantially to our understanding of the neural origins of bradyphrenia, which will be essential for determining optimum therapeutic strategies for cognitive impairment in LBD. Hum Brain Mapp 39:633-643, 2018. © 2017 The Authors Human Brain Mapping Published by Wiley Periodicals, Inc.","container-title":"Human Brain Mapping","DOI":"10.1002/hbm.23866","issue":"2","journalAbbreviation":"Hum. Brain Mapp.","language":"English","note":"PMCID: PMC5813138","page":"633-643","title":"Long reaction times are associated with delayed brain activity in lewy body dementia.","volume":"39","author":[{"family":"Firbank","given":"Michael J."},{"family":"O'Brien","given":"John T."},{"family":"Taylor","given":"John-Paul"}],"issued":{"date-parts":[["2018",2]]}}}],"schema":"https://github.com/citation-style-language/schema/raw/master/csl-citation.json"} </w:instrText>
      </w:r>
      <w:r w:rsidR="006233A6" w:rsidRPr="00DE1E8C">
        <w:rPr>
          <w:lang w:val="en-GB"/>
        </w:rPr>
        <w:fldChar w:fldCharType="separate"/>
      </w:r>
      <w:r w:rsidR="00E805F6" w:rsidRPr="00DE1E8C">
        <w:rPr>
          <w:lang w:val="en-GB"/>
        </w:rPr>
        <w:t xml:space="preserve">(Firbank </w:t>
      </w:r>
      <w:r w:rsidR="00E805F6" w:rsidRPr="00DE1E8C">
        <w:rPr>
          <w:i/>
          <w:iCs/>
          <w:lang w:val="en-GB"/>
        </w:rPr>
        <w:t>et al.</w:t>
      </w:r>
      <w:r w:rsidR="00E805F6" w:rsidRPr="00DE1E8C">
        <w:rPr>
          <w:lang w:val="en-GB"/>
        </w:rPr>
        <w:t>, 2016, 2018)</w:t>
      </w:r>
      <w:r w:rsidR="006233A6" w:rsidRPr="00DE1E8C">
        <w:rPr>
          <w:lang w:val="en-GB"/>
        </w:rPr>
        <w:fldChar w:fldCharType="end"/>
      </w:r>
      <w:r w:rsidR="009F6F67" w:rsidRPr="00DE1E8C">
        <w:rPr>
          <w:lang w:val="en-GB"/>
        </w:rPr>
        <w:t xml:space="preserve">. In </w:t>
      </w:r>
      <w:r w:rsidR="0097176A" w:rsidRPr="00DE1E8C">
        <w:rPr>
          <w:lang w:val="en-GB"/>
        </w:rPr>
        <w:t>e</w:t>
      </w:r>
      <w:r w:rsidR="009F6F67" w:rsidRPr="00DE1E8C">
        <w:rPr>
          <w:lang w:val="en-GB"/>
        </w:rPr>
        <w:t>ach trial, participants were shown four arrowheads and had to indicate the direction that the majority were pointing.</w:t>
      </w:r>
      <w:r w:rsidR="00E5098A" w:rsidRPr="00DE1E8C">
        <w:rPr>
          <w:lang w:val="en-GB"/>
        </w:rPr>
        <w:t xml:space="preserve"> The four arrowheads were either pointing in the sam</w:t>
      </w:r>
      <w:r w:rsidR="0039079D" w:rsidRPr="00DE1E8C">
        <w:rPr>
          <w:lang w:val="en-GB"/>
        </w:rPr>
        <w:t>e direction (congruent</w:t>
      </w:r>
      <w:r w:rsidR="00E5098A" w:rsidRPr="00DE1E8C">
        <w:rPr>
          <w:lang w:val="en-GB"/>
        </w:rPr>
        <w:t xml:space="preserve">), </w:t>
      </w:r>
      <w:r w:rsidR="00AE526D" w:rsidRPr="00DE1E8C">
        <w:rPr>
          <w:lang w:val="en-GB"/>
        </w:rPr>
        <w:t xml:space="preserve">or one </w:t>
      </w:r>
      <w:r w:rsidR="00AE526D" w:rsidRPr="00DE1E8C">
        <w:rPr>
          <w:lang w:val="en-GB"/>
        </w:rPr>
        <w:lastRenderedPageBreak/>
        <w:t xml:space="preserve">arrowhead would be pointing in </w:t>
      </w:r>
      <w:r w:rsidR="00A874D5" w:rsidRPr="00DE1E8C">
        <w:rPr>
          <w:lang w:val="en-GB"/>
        </w:rPr>
        <w:t>the opposite condition, with it</w:t>
      </w:r>
      <w:r w:rsidR="00AE526D" w:rsidRPr="00DE1E8C">
        <w:rPr>
          <w:lang w:val="en-GB"/>
        </w:rPr>
        <w:t>s position either at the end of the</w:t>
      </w:r>
      <w:r w:rsidR="0039079D" w:rsidRPr="00DE1E8C">
        <w:rPr>
          <w:lang w:val="en-GB"/>
        </w:rPr>
        <w:t xml:space="preserve"> row (incongruent-EASY</w:t>
      </w:r>
      <w:r w:rsidR="00AE526D" w:rsidRPr="00DE1E8C">
        <w:rPr>
          <w:lang w:val="en-GB"/>
        </w:rPr>
        <w:t>) or in the middle of the</w:t>
      </w:r>
      <w:r w:rsidR="0039079D" w:rsidRPr="00DE1E8C">
        <w:rPr>
          <w:lang w:val="en-GB"/>
        </w:rPr>
        <w:t xml:space="preserve"> row (incongruent-HARD</w:t>
      </w:r>
      <w:r w:rsidR="00050FB3" w:rsidRPr="00DE1E8C">
        <w:rPr>
          <w:lang w:val="en-GB"/>
        </w:rPr>
        <w:t>, s</w:t>
      </w:r>
      <w:r w:rsidR="00AE526D" w:rsidRPr="00DE1E8C">
        <w:rPr>
          <w:lang w:val="en-GB"/>
        </w:rPr>
        <w:t>ee Fig</w:t>
      </w:r>
      <w:r w:rsidR="00DF2D1F" w:rsidRPr="00DE1E8C">
        <w:rPr>
          <w:lang w:val="en-GB"/>
        </w:rPr>
        <w:t>. 1A</w:t>
      </w:r>
      <w:r w:rsidR="00AE526D" w:rsidRPr="00DE1E8C">
        <w:rPr>
          <w:lang w:val="en-GB"/>
        </w:rPr>
        <w:t>).</w:t>
      </w:r>
      <w:r w:rsidR="002D0A48" w:rsidRPr="00DE1E8C">
        <w:rPr>
          <w:lang w:val="en-GB"/>
        </w:rPr>
        <w:t xml:space="preserve"> </w:t>
      </w:r>
      <w:r w:rsidR="00E410FA" w:rsidRPr="00DE1E8C">
        <w:rPr>
          <w:lang w:val="en-GB"/>
        </w:rPr>
        <w:t>T</w:t>
      </w:r>
      <w:r w:rsidR="002D0A48" w:rsidRPr="00DE1E8C">
        <w:rPr>
          <w:lang w:val="en-GB"/>
        </w:rPr>
        <w:t>he</w:t>
      </w:r>
      <w:r w:rsidR="006E59A6" w:rsidRPr="00DE1E8C">
        <w:rPr>
          <w:lang w:val="en-GB"/>
        </w:rPr>
        <w:t xml:space="preserve"> three </w:t>
      </w:r>
      <w:r w:rsidR="00DF0310" w:rsidRPr="00DE1E8C">
        <w:rPr>
          <w:lang w:val="en-GB"/>
        </w:rPr>
        <w:t>conditions provide</w:t>
      </w:r>
      <w:r w:rsidR="00E410FA" w:rsidRPr="00DE1E8C">
        <w:rPr>
          <w:lang w:val="en-GB"/>
        </w:rPr>
        <w:t>d</w:t>
      </w:r>
      <w:r w:rsidR="00DF0310" w:rsidRPr="00DE1E8C">
        <w:rPr>
          <w:lang w:val="en-GB"/>
        </w:rPr>
        <w:t xml:space="preserve"> increasing levels of perceptual conflict</w:t>
      </w:r>
      <w:r w:rsidR="001E73C5" w:rsidRPr="00DE1E8C">
        <w:rPr>
          <w:lang w:val="en-GB"/>
        </w:rPr>
        <w:t xml:space="preserve"> and attentional demand</w:t>
      </w:r>
      <w:r w:rsidR="00DF0310" w:rsidRPr="00DE1E8C">
        <w:rPr>
          <w:lang w:val="en-GB"/>
        </w:rPr>
        <w:t xml:space="preserve">. </w:t>
      </w:r>
      <w:r w:rsidR="003D66F4" w:rsidRPr="00DE1E8C">
        <w:rPr>
          <w:lang w:val="en-GB"/>
        </w:rPr>
        <w:t xml:space="preserve">The ANT also contains spatial and warning cues within the three conditions to evaluate alerting and orienting, but these were not analysed in the current study. </w:t>
      </w:r>
      <w:r w:rsidR="006E59A6" w:rsidRPr="00DE1E8C">
        <w:rPr>
          <w:lang w:val="en-GB"/>
        </w:rPr>
        <w:t xml:space="preserve"> </w:t>
      </w:r>
      <w:r w:rsidR="00AE526D" w:rsidRPr="00DE1E8C">
        <w:rPr>
          <w:lang w:val="en-GB"/>
        </w:rPr>
        <w:t xml:space="preserve"> </w:t>
      </w:r>
      <w:r w:rsidR="009F6F67" w:rsidRPr="00DE1E8C">
        <w:rPr>
          <w:lang w:val="en-GB"/>
        </w:rPr>
        <w:t xml:space="preserve">  </w:t>
      </w:r>
      <w:r w:rsidR="007255B4" w:rsidRPr="00DE1E8C">
        <w:rPr>
          <w:lang w:val="en-GB"/>
        </w:rPr>
        <w:t xml:space="preserve"> </w:t>
      </w:r>
      <w:r w:rsidR="00E2561E" w:rsidRPr="00DE1E8C">
        <w:rPr>
          <w:lang w:val="en-GB"/>
        </w:rPr>
        <w:t xml:space="preserve"> </w:t>
      </w:r>
      <w:r w:rsidR="00C15173" w:rsidRPr="00DE1E8C">
        <w:rPr>
          <w:lang w:val="en-GB"/>
        </w:rPr>
        <w:t xml:space="preserve"> </w:t>
      </w:r>
      <w:r w:rsidR="00D61408" w:rsidRPr="00DE1E8C">
        <w:rPr>
          <w:lang w:val="en-GB"/>
        </w:rPr>
        <w:t xml:space="preserve"> </w:t>
      </w:r>
      <w:r w:rsidR="005F17B4" w:rsidRPr="00DE1E8C">
        <w:rPr>
          <w:lang w:val="en-GB"/>
        </w:rPr>
        <w:t xml:space="preserve"> </w:t>
      </w:r>
      <w:r w:rsidRPr="00DE1E8C">
        <w:rPr>
          <w:lang w:val="en-GB"/>
        </w:rPr>
        <w:t xml:space="preserve"> </w:t>
      </w:r>
      <w:r w:rsidR="00065039" w:rsidRPr="00DE1E8C">
        <w:rPr>
          <w:lang w:val="en-GB"/>
        </w:rPr>
        <w:t xml:space="preserve"> </w:t>
      </w:r>
    </w:p>
    <w:p w14:paraId="0F70E3F9" w14:textId="77777777" w:rsidR="009038C5" w:rsidRPr="00DE1E8C" w:rsidRDefault="009038C5" w:rsidP="00551517">
      <w:pPr>
        <w:spacing w:line="360" w:lineRule="auto"/>
        <w:contextualSpacing/>
        <w:jc w:val="both"/>
        <w:rPr>
          <w:lang w:val="en-GB"/>
        </w:rPr>
      </w:pPr>
    </w:p>
    <w:p w14:paraId="3005EA7B" w14:textId="6DF79A5B" w:rsidR="0016551E" w:rsidRPr="00DE1E8C" w:rsidRDefault="003C30CB" w:rsidP="00551517">
      <w:pPr>
        <w:spacing w:line="360" w:lineRule="auto"/>
        <w:contextualSpacing/>
        <w:jc w:val="both"/>
        <w:rPr>
          <w:lang w:val="en-GB"/>
        </w:rPr>
      </w:pPr>
      <w:r w:rsidRPr="00DE1E8C">
        <w:rPr>
          <w:lang w:val="en-GB"/>
        </w:rPr>
        <w:t>Each run of the task involved 36 trials</w:t>
      </w:r>
      <w:r w:rsidR="00AB0C35" w:rsidRPr="00DE1E8C">
        <w:rPr>
          <w:lang w:val="en-GB"/>
        </w:rPr>
        <w:t xml:space="preserve">. </w:t>
      </w:r>
      <w:r w:rsidR="00841BA7" w:rsidRPr="00DE1E8C">
        <w:rPr>
          <w:lang w:val="en-GB"/>
        </w:rPr>
        <w:t xml:space="preserve">For the current study, we selected participants who had completed </w:t>
      </w:r>
      <w:r w:rsidRPr="00DE1E8C">
        <w:rPr>
          <w:lang w:val="en-GB"/>
        </w:rPr>
        <w:t xml:space="preserve">either 5 or 6 runs of the task (a total of </w:t>
      </w:r>
      <w:r w:rsidR="00EF751C" w:rsidRPr="00DE1E8C">
        <w:rPr>
          <w:lang w:val="en-GB"/>
        </w:rPr>
        <w:t>180 or 2</w:t>
      </w:r>
      <w:r w:rsidR="00A525D5" w:rsidRPr="00DE1E8C">
        <w:rPr>
          <w:lang w:val="en-GB"/>
        </w:rPr>
        <w:t>16 trials)</w:t>
      </w:r>
      <w:r w:rsidR="00E8631F" w:rsidRPr="00DE1E8C">
        <w:rPr>
          <w:lang w:val="en-GB"/>
        </w:rPr>
        <w:t xml:space="preserve"> and </w:t>
      </w:r>
      <w:r w:rsidR="003C5E3A" w:rsidRPr="00DE1E8C">
        <w:rPr>
          <w:lang w:val="en-GB"/>
        </w:rPr>
        <w:t xml:space="preserve">with missed responses on more than 10% of trials. </w:t>
      </w:r>
      <w:r w:rsidR="00841BA7" w:rsidRPr="00DE1E8C">
        <w:rPr>
          <w:lang w:val="en-GB"/>
        </w:rPr>
        <w:t xml:space="preserve">This meant excluding </w:t>
      </w:r>
      <w:r w:rsidR="00AF738E" w:rsidRPr="00DE1E8C">
        <w:rPr>
          <w:lang w:val="en-GB"/>
        </w:rPr>
        <w:t>7 Alzheimer’s disease patients and</w:t>
      </w:r>
      <w:r w:rsidR="007E77E4" w:rsidRPr="00DE1E8C">
        <w:rPr>
          <w:lang w:val="en-GB"/>
        </w:rPr>
        <w:t xml:space="preserve"> </w:t>
      </w:r>
      <w:r w:rsidR="00D1694A" w:rsidRPr="00DE1E8C">
        <w:rPr>
          <w:lang w:val="en-GB"/>
        </w:rPr>
        <w:t>one</w:t>
      </w:r>
      <w:r w:rsidR="006C0044" w:rsidRPr="00DE1E8C">
        <w:rPr>
          <w:lang w:val="en-GB"/>
        </w:rPr>
        <w:t xml:space="preserve"> </w:t>
      </w:r>
      <w:r w:rsidR="00AF738E" w:rsidRPr="00DE1E8C">
        <w:rPr>
          <w:lang w:val="en-GB"/>
        </w:rPr>
        <w:t>dementia with Lewy bodies case</w:t>
      </w:r>
      <w:r w:rsidR="006C0044" w:rsidRPr="00DE1E8C">
        <w:rPr>
          <w:lang w:val="en-GB"/>
        </w:rPr>
        <w:t xml:space="preserve"> from the cohort described in</w:t>
      </w:r>
      <w:r w:rsidR="00813EA1" w:rsidRPr="00DE1E8C">
        <w:rPr>
          <w:lang w:val="en-GB"/>
        </w:rPr>
        <w:t xml:space="preserve"> </w:t>
      </w:r>
      <w:r w:rsidR="00CF173C" w:rsidRPr="00DE1E8C">
        <w:rPr>
          <w:lang w:val="en-GB"/>
        </w:rPr>
        <w:t>Firbank et al.</w:t>
      </w:r>
      <w:r w:rsidR="006C0044" w:rsidRPr="00DE1E8C">
        <w:rPr>
          <w:lang w:val="en-GB"/>
        </w:rPr>
        <w:t xml:space="preserve"> </w:t>
      </w:r>
      <w:r w:rsidR="006C0044" w:rsidRPr="00DE1E8C">
        <w:rPr>
          <w:lang w:val="en-GB"/>
        </w:rPr>
        <w:fldChar w:fldCharType="begin"/>
      </w:r>
      <w:r w:rsidR="00AB745A" w:rsidRPr="00DE1E8C">
        <w:rPr>
          <w:lang w:val="en-GB"/>
        </w:rPr>
        <w:instrText xml:space="preserve"> ADDIN ZOTERO_ITEM CSL_CITATION {"citationID":"a1jep77lsv5","properties":{"formattedCitation":"(2016, 2018)","plainCitation":"(2016, 2018)","noteIndex":0},"citationItems":[{"id":5533,"uris":["http://zotero.org/users/local/xUwQuTPV/items/9FMHWJCZ"],"uri":["http://zotero.org/users/local/xUwQuTPV/items/9FMHWJCZ"],"itemData":{"id":5533,"type":"article-journal","abstract":"Attentional and executive dysfunction contribute to cognitive impairment in both Lewy body dementia and Alzheimer&amp;apos;s disease. Using functional MRI, we examined the neural correlates of three components of attention (alerting, orienting, and executive/conflict function) in 23 patients with Alzheimer&amp;apos;s disease, 32 patients with Lewy body dementia (19 with dementia with Lewy bodies and 13 with Parkinson&amp;apos;s disease with dementia), and 23 healthy controls using a modified Attention Network Test. Although the functional MRI demonstrated a similar fronto-parieto-occipital network activation in all groups, Alzheimer&amp;apos;s disease and Lewy body dementia patients had greater activation of this network for incongruent and more difficult trials, which were also accompanied by slower reaction times. There was no recruitment of additional brain regions or, conversely, regional deficits in brain activation. The default mode network, however, displayed diverging activity patterns in the dementia groups. The Alzheimer&amp;apos;s disease group had limited task related deactivations of the default mode network, whereas patients with Lewy body dementia showed heightened deactivation to all trials, which might be an attempt to allocate neural resources to impaired attentional networks. We posit that, despite a common endpoint of attention-executive disturbances in both dementias, the pathophysiological basis of these is very different between these diseases.","container-title":"Human Brain Mapping","DOI":"10.1002/hbm.23100","issue":"3","journalAbbreviation":"Hum. Brain Mapp.","language":"English","note":"PMCID: PMC4784171","page":"1254-1270","title":"Neural correlates of attention-executive dysfunction in lewy body dementia and Alzheimer's disease.","volume":"37","author":[{"family":"Firbank","given":"Michael"},{"family":"Kobeleva","given":"Xenia"},{"family":"Cherry","given":"George"},{"family":"Killen","given":"Alison"},{"family":"Gallagher","given":"Peter"},{"family":"Burn","given":"David J."},{"family":"Thomas","given":"Alan J."},{"family":"O&amp;apos;Brien","given":"John T."},{"family":"Taylor","given":"John-Paul"}],"issued":{"date-parts":[["2016",3]]}},"suppress-author":true},{"id":5529,"uris":["http://zotero.org/users/local/xUwQuTPV/items/I7JY88G5"],"uri":["http://zotero.org/users/local/xUwQuTPV/items/I7JY88G5"],"itemData":{"id":5529,"type":"article-journal","abstract":"A significant symptom of Lewy body dementia (LBD) is slow cognitive processing or bradyphrenia. In a previous fMRI task-based study, we found slower responses in LBD, accompanied by greater deactivation in the default mode network. In this study, we investigated the timing and magnitude of the activations and deactivations with respect to reaction time to determine whether the slower responses in LBD were associated with delayed neuronal activity. Using fMRI, we examined the magnitude and latency of activations and deactivations during an event-related attention task in 32 patients with LBD and 23 healthy controls using predefined regions of interest. Default mode network deactivations did not significantly differ in their timing between groups or task conditions, while the task-related activations in the parietal, occipital, frontal, and motor cortex were all significantly later in the LBD group. Repeating the analysis with reaction time as a parametric modulator of activation magnitude produced similar findings, with the reaction time modulator being significant in a number of regions including the default mode network, suggesting that the increased deactivation in LBD is partly explained by slower task completion. Our data suggest that the default mode network deactivation is initiated at the start of the task, and remains deactivated until its end, with the increased magnitude of deactivation in LBD reflecting the more prolonged cognitive processing in these patients. These data add substantially to our understanding of the neural origins of bradyphrenia, which will be essential for determining optimum therapeutic strategies for cognitive impairment in LBD. Hum Brain Mapp 39:633-643, 2018. © 2017 The Authors Human Brain Mapping Published by Wiley Periodicals, Inc.","container-title":"Human Brain Mapping","DOI":"10.1002/hbm.23866","issue":"2","journalAbbreviation":"Hum. Brain Mapp.","language":"English","note":"PMCID: PMC5813138","page":"633-643","title":"Long reaction times are associated with delayed brain activity in lewy body dementia.","volume":"39","author":[{"family":"Firbank","given":"Michael J."},{"family":"O'Brien","given":"John T."},{"family":"Taylor","given":"John-Paul"}],"issued":{"date-parts":[["2018",2]]}},"suppress-author":true}],"schema":"https://github.com/citation-style-language/schema/raw/master/csl-citation.json"} </w:instrText>
      </w:r>
      <w:r w:rsidR="006C0044" w:rsidRPr="00DE1E8C">
        <w:rPr>
          <w:lang w:val="en-GB"/>
        </w:rPr>
        <w:fldChar w:fldCharType="separate"/>
      </w:r>
      <w:r w:rsidR="00AB745A" w:rsidRPr="00DE1E8C">
        <w:rPr>
          <w:lang w:val="en-GB"/>
        </w:rPr>
        <w:t>(2016, 2018)</w:t>
      </w:r>
      <w:r w:rsidR="006C0044" w:rsidRPr="00DE1E8C">
        <w:rPr>
          <w:lang w:val="en-GB"/>
        </w:rPr>
        <w:fldChar w:fldCharType="end"/>
      </w:r>
      <w:r w:rsidR="002A2D9E" w:rsidRPr="00DE1E8C">
        <w:rPr>
          <w:lang w:val="en-GB"/>
        </w:rPr>
        <w:t>.</w:t>
      </w:r>
      <w:r w:rsidR="003C5E3A" w:rsidRPr="00DE1E8C">
        <w:rPr>
          <w:lang w:val="en-GB"/>
        </w:rPr>
        <w:t xml:space="preserve"> </w:t>
      </w:r>
      <w:r w:rsidR="00AB08A9" w:rsidRPr="00DE1E8C">
        <w:rPr>
          <w:lang w:val="en-GB"/>
        </w:rPr>
        <w:t>These measures ensure</w:t>
      </w:r>
      <w:r w:rsidR="00345A55" w:rsidRPr="00DE1E8C">
        <w:rPr>
          <w:lang w:val="en-GB"/>
        </w:rPr>
        <w:t>d</w:t>
      </w:r>
      <w:r w:rsidR="00AB08A9" w:rsidRPr="00DE1E8C">
        <w:rPr>
          <w:lang w:val="en-GB"/>
        </w:rPr>
        <w:t xml:space="preserve"> that </w:t>
      </w:r>
      <w:r w:rsidR="00D45E42" w:rsidRPr="00DE1E8C">
        <w:rPr>
          <w:lang w:val="en-GB"/>
        </w:rPr>
        <w:t xml:space="preserve">all </w:t>
      </w:r>
      <w:r w:rsidR="00AB08A9" w:rsidRPr="00DE1E8C">
        <w:rPr>
          <w:lang w:val="en-GB"/>
        </w:rPr>
        <w:t xml:space="preserve">participants </w:t>
      </w:r>
      <w:r w:rsidR="0064652A" w:rsidRPr="00DE1E8C">
        <w:rPr>
          <w:lang w:val="en-GB"/>
        </w:rPr>
        <w:t>demonstrated adequate task engagement</w:t>
      </w:r>
      <w:r w:rsidR="005E5247" w:rsidRPr="00DE1E8C">
        <w:rPr>
          <w:lang w:val="en-GB"/>
        </w:rPr>
        <w:t xml:space="preserve"> </w:t>
      </w:r>
      <w:r w:rsidR="0064652A" w:rsidRPr="00DE1E8C">
        <w:rPr>
          <w:lang w:val="en-GB"/>
        </w:rPr>
        <w:t xml:space="preserve">and </w:t>
      </w:r>
      <w:r w:rsidR="00AB08A9" w:rsidRPr="00DE1E8C">
        <w:rPr>
          <w:lang w:val="en-GB"/>
        </w:rPr>
        <w:t xml:space="preserve">completed a sufficient number of trials </w:t>
      </w:r>
      <w:r w:rsidR="00644A55" w:rsidRPr="00DE1E8C">
        <w:rPr>
          <w:lang w:val="en-GB"/>
        </w:rPr>
        <w:t>to support drift diffusion modelling</w:t>
      </w:r>
      <w:r w:rsidR="0064652A" w:rsidRPr="00DE1E8C">
        <w:rPr>
          <w:lang w:val="en-GB"/>
        </w:rPr>
        <w:t xml:space="preserve">. </w:t>
      </w:r>
    </w:p>
    <w:p w14:paraId="42558B32" w14:textId="77777777" w:rsidR="0016551E" w:rsidRPr="00DE1E8C" w:rsidRDefault="0016551E" w:rsidP="00551517">
      <w:pPr>
        <w:spacing w:line="360" w:lineRule="auto"/>
        <w:contextualSpacing/>
        <w:jc w:val="both"/>
        <w:rPr>
          <w:lang w:val="en-GB"/>
        </w:rPr>
      </w:pPr>
    </w:p>
    <w:p w14:paraId="03C61EC5" w14:textId="184F8DBB" w:rsidR="00D30A8C" w:rsidRPr="00DE1E8C" w:rsidRDefault="0016551E" w:rsidP="00551517">
      <w:pPr>
        <w:spacing w:line="360" w:lineRule="auto"/>
        <w:contextualSpacing/>
        <w:jc w:val="both"/>
        <w:rPr>
          <w:color w:val="1A1718"/>
          <w:lang w:val="en-GB"/>
        </w:rPr>
      </w:pPr>
      <w:r w:rsidRPr="00DE1E8C">
        <w:rPr>
          <w:lang w:val="en-GB"/>
        </w:rPr>
        <w:t xml:space="preserve">In the task participants were instructed to respond as quickly and accurately as possible. </w:t>
      </w:r>
      <w:r w:rsidR="00D30A8C" w:rsidRPr="00DE1E8C">
        <w:rPr>
          <w:color w:val="1A1718"/>
          <w:lang w:val="en-GB"/>
        </w:rPr>
        <w:t>On each trial a cue was presented for 200 ms</w:t>
      </w:r>
      <w:r w:rsidR="00E61E73" w:rsidRPr="00DE1E8C">
        <w:rPr>
          <w:color w:val="1A1718"/>
          <w:lang w:val="en-GB"/>
        </w:rPr>
        <w:t>, then the target stimulus (</w:t>
      </w:r>
      <w:r w:rsidR="00382587" w:rsidRPr="00DE1E8C">
        <w:rPr>
          <w:color w:val="1A1718"/>
          <w:lang w:val="en-GB"/>
        </w:rPr>
        <w:t>i.e., the four arrowheads</w:t>
      </w:r>
      <w:r w:rsidR="00E61E73" w:rsidRPr="00DE1E8C">
        <w:rPr>
          <w:color w:val="1A1718"/>
          <w:lang w:val="en-GB"/>
        </w:rPr>
        <w:t>) was</w:t>
      </w:r>
      <w:r w:rsidR="00DB620A" w:rsidRPr="00DE1E8C">
        <w:rPr>
          <w:color w:val="1A1718"/>
          <w:lang w:val="en-GB"/>
        </w:rPr>
        <w:t xml:space="preserve"> displayed until a response was made or for a maximum of 3000 ms.</w:t>
      </w:r>
      <w:r w:rsidR="000E5BD4" w:rsidRPr="00DE1E8C">
        <w:rPr>
          <w:color w:val="1A1718"/>
          <w:lang w:val="en-GB"/>
        </w:rPr>
        <w:t xml:space="preserve"> Response reaction times were recorded up until the appearance of the next cue (which was a minimum of 4300 ms after previous target appearance). </w:t>
      </w:r>
      <w:r w:rsidR="004565CE" w:rsidRPr="00DE1E8C">
        <w:rPr>
          <w:color w:val="1A1718"/>
          <w:lang w:val="en-GB"/>
        </w:rPr>
        <w:t>Participants indicated their choice by pushing a left or right button.</w:t>
      </w:r>
      <w:r w:rsidRPr="00DE1E8C">
        <w:rPr>
          <w:color w:val="1A1718"/>
          <w:lang w:val="en-GB"/>
        </w:rPr>
        <w:t xml:space="preserve"> </w:t>
      </w:r>
      <w:r w:rsidR="00A27AD3" w:rsidRPr="00DE1E8C">
        <w:rPr>
          <w:color w:val="1A1718"/>
          <w:lang w:val="en-GB"/>
        </w:rPr>
        <w:t>T</w:t>
      </w:r>
      <w:r w:rsidR="003A1511" w:rsidRPr="00DE1E8C">
        <w:rPr>
          <w:color w:val="1A1718"/>
          <w:lang w:val="en-GB"/>
        </w:rPr>
        <w:t xml:space="preserve">here was a </w:t>
      </w:r>
      <w:r w:rsidR="002E025F" w:rsidRPr="00DE1E8C">
        <w:rPr>
          <w:color w:val="1A1718"/>
          <w:lang w:val="en-GB"/>
        </w:rPr>
        <w:t xml:space="preserve">variable delay </w:t>
      </w:r>
      <w:r w:rsidR="003A1511" w:rsidRPr="00DE1E8C">
        <w:rPr>
          <w:color w:val="1A1718"/>
          <w:lang w:val="en-GB"/>
        </w:rPr>
        <w:t xml:space="preserve">between </w:t>
      </w:r>
      <w:r w:rsidR="00A27AD3" w:rsidRPr="00DE1E8C">
        <w:rPr>
          <w:color w:val="1A1718"/>
          <w:lang w:val="en-GB"/>
        </w:rPr>
        <w:t xml:space="preserve">the </w:t>
      </w:r>
      <w:r w:rsidR="003A1511" w:rsidRPr="00DE1E8C">
        <w:rPr>
          <w:color w:val="1A1718"/>
          <w:lang w:val="en-GB"/>
        </w:rPr>
        <w:t>disappearance of the cue and onset of the arrowheads (delays were exponen</w:t>
      </w:r>
      <w:r w:rsidR="0065747E" w:rsidRPr="00DE1E8C">
        <w:rPr>
          <w:color w:val="1A1718"/>
          <w:lang w:val="en-GB"/>
        </w:rPr>
        <w:t xml:space="preserve">tially distributed at times </w:t>
      </w:r>
      <w:r w:rsidR="002E025F" w:rsidRPr="00DE1E8C">
        <w:rPr>
          <w:color w:val="1A1718"/>
          <w:lang w:val="en-GB"/>
        </w:rPr>
        <w:t>700, 770, 850, 960, 1080, 1240, 1430, 1660, 1940, 2300, 2700, 3200 ms</w:t>
      </w:r>
      <w:r w:rsidR="003A1511" w:rsidRPr="00DE1E8C">
        <w:rPr>
          <w:color w:val="1A1718"/>
          <w:lang w:val="en-GB"/>
        </w:rPr>
        <w:t>, each occurring</w:t>
      </w:r>
      <w:r w:rsidR="00F72C35" w:rsidRPr="00DE1E8C">
        <w:rPr>
          <w:color w:val="1A1718"/>
          <w:lang w:val="en-GB"/>
        </w:rPr>
        <w:t xml:space="preserve"> three times per run in random order). There was </w:t>
      </w:r>
      <w:r w:rsidR="0065747E" w:rsidRPr="00DE1E8C">
        <w:rPr>
          <w:color w:val="1A1718"/>
          <w:lang w:val="en-GB"/>
        </w:rPr>
        <w:t xml:space="preserve">also a variable delay between the onset of the arrowheads and the onset of the next cue (at times: 4300, 4500, 4750, 5000, 5350, 5700, 6100, 6400, 6800, 7200, 7700, 8300 ms, </w:t>
      </w:r>
      <w:r w:rsidR="00B46027" w:rsidRPr="00DE1E8C">
        <w:rPr>
          <w:color w:val="1A1718"/>
          <w:lang w:val="en-GB"/>
        </w:rPr>
        <w:t xml:space="preserve">each </w:t>
      </w:r>
      <w:r w:rsidR="0065747E" w:rsidRPr="00DE1E8C">
        <w:rPr>
          <w:color w:val="1A1718"/>
          <w:lang w:val="en-GB"/>
        </w:rPr>
        <w:t xml:space="preserve">occurring randomly three times per run). </w:t>
      </w:r>
      <w:r w:rsidR="00585523" w:rsidRPr="00DE1E8C">
        <w:rPr>
          <w:color w:val="1A1718"/>
          <w:lang w:val="en-GB"/>
        </w:rPr>
        <w:t xml:space="preserve">The stimuli were back-projected on to a screen at the foot </w:t>
      </w:r>
      <w:r w:rsidR="00E26136" w:rsidRPr="00DE1E8C">
        <w:rPr>
          <w:color w:val="1A1718"/>
          <w:lang w:val="en-GB"/>
        </w:rPr>
        <w:t>of the scanner and viewed via a mirror positioned at the participants’ eye level. P</w:t>
      </w:r>
      <w:r w:rsidR="00585523" w:rsidRPr="00DE1E8C">
        <w:rPr>
          <w:color w:val="1A1718"/>
          <w:lang w:val="en-GB"/>
        </w:rPr>
        <w:t>articipants</w:t>
      </w:r>
      <w:r w:rsidR="00824C14" w:rsidRPr="00DE1E8C">
        <w:rPr>
          <w:color w:val="1A1718"/>
          <w:lang w:val="en-GB"/>
        </w:rPr>
        <w:t xml:space="preserve">’ best near visual acuity was assessed using </w:t>
      </w:r>
      <w:r w:rsidR="00E26136" w:rsidRPr="00DE1E8C">
        <w:rPr>
          <w:color w:val="1A1718"/>
          <w:lang w:val="en-GB"/>
        </w:rPr>
        <w:t>Land</w:t>
      </w:r>
      <w:r w:rsidR="00585523" w:rsidRPr="00DE1E8C">
        <w:rPr>
          <w:color w:val="1A1718"/>
          <w:lang w:val="en-GB"/>
        </w:rPr>
        <w:t>olt broken rings and fMRI compatible goggles with lenses that ranged from 24.0 to 4.0 diopters (0.5 incr</w:t>
      </w:r>
      <w:r w:rsidR="00B96336" w:rsidRPr="00DE1E8C">
        <w:rPr>
          <w:color w:val="1A1718"/>
          <w:lang w:val="en-GB"/>
        </w:rPr>
        <w:t xml:space="preserve">ement) were used to correct </w:t>
      </w:r>
      <w:r w:rsidR="00585523" w:rsidRPr="00DE1E8C">
        <w:rPr>
          <w:color w:val="1A1718"/>
          <w:lang w:val="en-GB"/>
        </w:rPr>
        <w:t>refract</w:t>
      </w:r>
      <w:r w:rsidR="00824C14" w:rsidRPr="00DE1E8C">
        <w:rPr>
          <w:color w:val="1A1718"/>
          <w:lang w:val="en-GB"/>
        </w:rPr>
        <w:t>ive errors</w:t>
      </w:r>
      <w:r w:rsidR="006D1DAC" w:rsidRPr="00DE1E8C">
        <w:rPr>
          <w:color w:val="1A1718"/>
          <w:lang w:val="en-GB"/>
        </w:rPr>
        <w:t>. The task was programmed in Matlab</w:t>
      </w:r>
      <w:r w:rsidR="00D30A8C" w:rsidRPr="00DE1E8C">
        <w:rPr>
          <w:color w:val="1A1718"/>
          <w:lang w:val="en-GB"/>
        </w:rPr>
        <w:t xml:space="preserve"> using the cogent toolbo</w:t>
      </w:r>
      <w:r w:rsidR="00C44B50" w:rsidRPr="00DE1E8C">
        <w:rPr>
          <w:color w:val="1A1718"/>
          <w:lang w:val="en-GB"/>
        </w:rPr>
        <w:t>x (</w:t>
      </w:r>
      <w:hyperlink r:id="rId13" w:history="1">
        <w:r w:rsidR="00C44B50" w:rsidRPr="00DE1E8C">
          <w:rPr>
            <w:rStyle w:val="Hyperlink"/>
            <w:lang w:val="en-GB"/>
          </w:rPr>
          <w:t>http://www.vislab.ucl.ac.uk/cogent_2000.php</w:t>
        </w:r>
      </w:hyperlink>
      <w:r w:rsidR="00D30A8C" w:rsidRPr="00DE1E8C">
        <w:rPr>
          <w:color w:val="1A1718"/>
          <w:lang w:val="en-GB"/>
        </w:rPr>
        <w:t>)</w:t>
      </w:r>
      <w:r w:rsidR="00C44B50" w:rsidRPr="00DE1E8C">
        <w:rPr>
          <w:color w:val="1A1718"/>
          <w:lang w:val="en-GB"/>
        </w:rPr>
        <w:t xml:space="preserve">. </w:t>
      </w:r>
    </w:p>
    <w:p w14:paraId="4759A414" w14:textId="1CE27D57" w:rsidR="00EB13F6" w:rsidRPr="00DE1E8C" w:rsidRDefault="00EB13F6" w:rsidP="00551517">
      <w:pPr>
        <w:spacing w:line="360" w:lineRule="auto"/>
        <w:contextualSpacing/>
        <w:jc w:val="both"/>
        <w:rPr>
          <w:lang w:val="en-GB"/>
        </w:rPr>
      </w:pPr>
    </w:p>
    <w:p w14:paraId="2BD9A388" w14:textId="77777777" w:rsidR="007160AF" w:rsidRPr="00DE1E8C" w:rsidRDefault="007160AF" w:rsidP="00551517">
      <w:pPr>
        <w:spacing w:line="360" w:lineRule="auto"/>
        <w:contextualSpacing/>
        <w:jc w:val="both"/>
        <w:rPr>
          <w:b/>
          <w:lang w:val="en-GB"/>
        </w:rPr>
      </w:pPr>
    </w:p>
    <w:p w14:paraId="2BB32CC7" w14:textId="706F93AB" w:rsidR="0084105C" w:rsidRPr="00DE1E8C" w:rsidRDefault="004F2CA1" w:rsidP="00551517">
      <w:pPr>
        <w:spacing w:line="360" w:lineRule="auto"/>
        <w:contextualSpacing/>
        <w:jc w:val="both"/>
        <w:rPr>
          <w:b/>
          <w:lang w:val="en-GB"/>
        </w:rPr>
      </w:pPr>
      <w:r w:rsidRPr="00DE1E8C">
        <w:rPr>
          <w:b/>
          <w:noProof/>
          <w:lang w:val="en-GB"/>
        </w:rPr>
        <w:lastRenderedPageBreak/>
        <w:drawing>
          <wp:anchor distT="0" distB="0" distL="114300" distR="114300" simplePos="0" relativeHeight="251669504" behindDoc="0" locked="0" layoutInCell="1" allowOverlap="1" wp14:anchorId="77D1B9D8" wp14:editId="4DC96468">
            <wp:simplePos x="0" y="0"/>
            <wp:positionH relativeFrom="margin">
              <wp:align>center</wp:align>
            </wp:positionH>
            <wp:positionV relativeFrom="paragraph">
              <wp:posOffset>259715</wp:posOffset>
            </wp:positionV>
            <wp:extent cx="3370580" cy="3177540"/>
            <wp:effectExtent l="0" t="0" r="0" b="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370580" cy="3177540"/>
                    </a:xfrm>
                    <a:prstGeom prst="rect">
                      <a:avLst/>
                    </a:prstGeom>
                  </pic:spPr>
                </pic:pic>
              </a:graphicData>
            </a:graphic>
            <wp14:sizeRelH relativeFrom="page">
              <wp14:pctWidth>0</wp14:pctWidth>
            </wp14:sizeRelH>
            <wp14:sizeRelV relativeFrom="page">
              <wp14:pctHeight>0</wp14:pctHeight>
            </wp14:sizeRelV>
          </wp:anchor>
        </w:drawing>
      </w:r>
      <w:r w:rsidR="00DD13BA" w:rsidRPr="00DE1E8C">
        <w:rPr>
          <w:b/>
          <w:lang w:val="en-GB"/>
        </w:rPr>
        <w:t xml:space="preserve">Figure 1. </w:t>
      </w:r>
    </w:p>
    <w:p w14:paraId="35A43091" w14:textId="77777777" w:rsidR="00D33CCD" w:rsidRPr="00DE1E8C" w:rsidRDefault="00D33CCD" w:rsidP="00551517">
      <w:pPr>
        <w:spacing w:line="360" w:lineRule="auto"/>
        <w:contextualSpacing/>
        <w:jc w:val="both"/>
        <w:rPr>
          <w:b/>
          <w:i/>
          <w:sz w:val="20"/>
          <w:szCs w:val="20"/>
          <w:lang w:val="en-GB"/>
        </w:rPr>
      </w:pPr>
    </w:p>
    <w:p w14:paraId="60D28769" w14:textId="6010BDFA" w:rsidR="005E0DAF" w:rsidRPr="00DE1E8C" w:rsidRDefault="004A608C" w:rsidP="006665E7">
      <w:pPr>
        <w:contextualSpacing/>
        <w:jc w:val="both"/>
        <w:rPr>
          <w:sz w:val="20"/>
          <w:szCs w:val="20"/>
          <w:lang w:val="en-GB"/>
        </w:rPr>
      </w:pPr>
      <w:r w:rsidRPr="00DE1E8C">
        <w:rPr>
          <w:b/>
          <w:i/>
          <w:sz w:val="20"/>
          <w:szCs w:val="20"/>
          <w:lang w:val="en-GB"/>
        </w:rPr>
        <w:t>Fig</w:t>
      </w:r>
      <w:r w:rsidR="00DB6E7F" w:rsidRPr="00DE1E8C">
        <w:rPr>
          <w:b/>
          <w:i/>
          <w:sz w:val="20"/>
          <w:szCs w:val="20"/>
          <w:lang w:val="en-GB"/>
        </w:rPr>
        <w:t xml:space="preserve">ure 1 </w:t>
      </w:r>
      <w:r w:rsidR="003470B0" w:rsidRPr="00DE1E8C">
        <w:rPr>
          <w:b/>
          <w:i/>
          <w:sz w:val="20"/>
          <w:szCs w:val="20"/>
          <w:lang w:val="en-GB"/>
        </w:rPr>
        <w:t>–</w:t>
      </w:r>
      <w:r w:rsidR="0035701B" w:rsidRPr="00DE1E8C">
        <w:rPr>
          <w:b/>
          <w:i/>
          <w:sz w:val="20"/>
          <w:szCs w:val="20"/>
          <w:lang w:val="en-GB"/>
        </w:rPr>
        <w:t xml:space="preserve"> </w:t>
      </w:r>
      <w:r w:rsidR="00AE3888" w:rsidRPr="00DE1E8C">
        <w:rPr>
          <w:sz w:val="20"/>
          <w:szCs w:val="20"/>
          <w:lang w:val="en-GB"/>
        </w:rPr>
        <w:t>A</w:t>
      </w:r>
      <w:r w:rsidR="00E73491" w:rsidRPr="00DE1E8C">
        <w:rPr>
          <w:sz w:val="20"/>
          <w:szCs w:val="20"/>
          <w:lang w:val="en-GB"/>
        </w:rPr>
        <w:t xml:space="preserve">) Examples of the three conditions in the </w:t>
      </w:r>
      <w:r w:rsidR="00D871E4" w:rsidRPr="00DE1E8C">
        <w:rPr>
          <w:sz w:val="20"/>
          <w:szCs w:val="20"/>
          <w:lang w:val="en-GB"/>
        </w:rPr>
        <w:t>A</w:t>
      </w:r>
      <w:r w:rsidR="00E73491" w:rsidRPr="00DE1E8C">
        <w:rPr>
          <w:sz w:val="20"/>
          <w:szCs w:val="20"/>
          <w:lang w:val="en-GB"/>
        </w:rPr>
        <w:t xml:space="preserve">ttention </w:t>
      </w:r>
      <w:r w:rsidR="00D871E4" w:rsidRPr="00DE1E8C">
        <w:rPr>
          <w:sz w:val="20"/>
          <w:szCs w:val="20"/>
          <w:lang w:val="en-GB"/>
        </w:rPr>
        <w:t>N</w:t>
      </w:r>
      <w:r w:rsidR="00E73491" w:rsidRPr="00DE1E8C">
        <w:rPr>
          <w:sz w:val="20"/>
          <w:szCs w:val="20"/>
          <w:lang w:val="en-GB"/>
        </w:rPr>
        <w:t xml:space="preserve">etwork </w:t>
      </w:r>
      <w:r w:rsidR="00D871E4" w:rsidRPr="00DE1E8C">
        <w:rPr>
          <w:sz w:val="20"/>
          <w:szCs w:val="20"/>
          <w:lang w:val="en-GB"/>
        </w:rPr>
        <w:t>T</w:t>
      </w:r>
      <w:r w:rsidR="00E73491" w:rsidRPr="00DE1E8C">
        <w:rPr>
          <w:sz w:val="20"/>
          <w:szCs w:val="20"/>
          <w:lang w:val="en-GB"/>
        </w:rPr>
        <w:t>ask</w:t>
      </w:r>
      <w:r w:rsidR="005A31CD" w:rsidRPr="00DE1E8C">
        <w:rPr>
          <w:sz w:val="20"/>
          <w:szCs w:val="20"/>
          <w:lang w:val="en-GB"/>
        </w:rPr>
        <w:t xml:space="preserve">; </w:t>
      </w:r>
      <w:r w:rsidR="00AE3888" w:rsidRPr="00DE1E8C">
        <w:rPr>
          <w:sz w:val="20"/>
          <w:szCs w:val="20"/>
          <w:lang w:val="en-GB"/>
        </w:rPr>
        <w:t>B</w:t>
      </w:r>
      <w:r w:rsidR="005A31CD" w:rsidRPr="00DE1E8C">
        <w:rPr>
          <w:sz w:val="20"/>
          <w:szCs w:val="20"/>
          <w:lang w:val="en-GB"/>
        </w:rPr>
        <w:t xml:space="preserve">) </w:t>
      </w:r>
      <w:r w:rsidR="00E73491" w:rsidRPr="00DE1E8C">
        <w:rPr>
          <w:sz w:val="20"/>
          <w:szCs w:val="20"/>
          <w:lang w:val="en-GB"/>
        </w:rPr>
        <w:t>Schemat</w:t>
      </w:r>
      <w:r w:rsidR="00CF5688" w:rsidRPr="00DE1E8C">
        <w:rPr>
          <w:sz w:val="20"/>
          <w:szCs w:val="20"/>
          <w:lang w:val="en-GB"/>
        </w:rPr>
        <w:t>ic example of drift diffusion model</w:t>
      </w:r>
      <w:r w:rsidR="00EB33C6" w:rsidRPr="00DE1E8C">
        <w:rPr>
          <w:sz w:val="20"/>
          <w:szCs w:val="20"/>
          <w:lang w:val="en-GB"/>
        </w:rPr>
        <w:t xml:space="preserve">. </w:t>
      </w:r>
      <w:r w:rsidR="007160AF" w:rsidRPr="00DE1E8C">
        <w:rPr>
          <w:sz w:val="20"/>
          <w:szCs w:val="20"/>
          <w:lang w:val="en-GB"/>
        </w:rPr>
        <w:t>Two decision boundaries (left and right) are separated by the boundary threshold (</w:t>
      </w:r>
      <w:r w:rsidR="007160AF" w:rsidRPr="00DE1E8C">
        <w:rPr>
          <w:i/>
          <w:sz w:val="20"/>
          <w:szCs w:val="20"/>
          <w:lang w:val="en-GB"/>
        </w:rPr>
        <w:t>a</w:t>
      </w:r>
      <w:r w:rsidR="007160AF" w:rsidRPr="00DE1E8C">
        <w:rPr>
          <w:sz w:val="20"/>
          <w:szCs w:val="20"/>
          <w:lang w:val="en-GB"/>
        </w:rPr>
        <w:t>)</w:t>
      </w:r>
      <w:r w:rsidR="00E16DF2" w:rsidRPr="00DE1E8C">
        <w:rPr>
          <w:sz w:val="20"/>
          <w:szCs w:val="20"/>
          <w:lang w:val="en-GB"/>
        </w:rPr>
        <w:t>. Evidence is nosily accumulated toward a left or right response</w:t>
      </w:r>
      <w:r w:rsidR="00A74D0F" w:rsidRPr="00DE1E8C">
        <w:rPr>
          <w:sz w:val="20"/>
          <w:szCs w:val="20"/>
          <w:lang w:val="en-GB"/>
        </w:rPr>
        <w:t xml:space="preserve">, with the average evidence accumulation denoted by </w:t>
      </w:r>
      <w:r w:rsidR="002314A1" w:rsidRPr="00DE1E8C">
        <w:rPr>
          <w:sz w:val="20"/>
          <w:szCs w:val="20"/>
          <w:lang w:val="en-GB"/>
        </w:rPr>
        <w:t xml:space="preserve">the </w:t>
      </w:r>
      <w:r w:rsidR="00A74D0F" w:rsidRPr="00DE1E8C">
        <w:rPr>
          <w:sz w:val="20"/>
          <w:szCs w:val="20"/>
          <w:lang w:val="en-GB"/>
        </w:rPr>
        <w:t>drift rate (</w:t>
      </w:r>
      <w:r w:rsidR="00A74D0F" w:rsidRPr="00DE1E8C">
        <w:rPr>
          <w:i/>
          <w:sz w:val="20"/>
          <w:szCs w:val="20"/>
          <w:lang w:val="en-GB"/>
        </w:rPr>
        <w:t>v</w:t>
      </w:r>
      <w:r w:rsidR="00A74D0F" w:rsidRPr="00DE1E8C">
        <w:rPr>
          <w:sz w:val="20"/>
          <w:szCs w:val="20"/>
          <w:lang w:val="en-GB"/>
        </w:rPr>
        <w:t>).</w:t>
      </w:r>
      <w:r w:rsidR="00AD1819" w:rsidRPr="00DE1E8C">
        <w:rPr>
          <w:sz w:val="20"/>
          <w:szCs w:val="20"/>
          <w:lang w:val="en-GB"/>
        </w:rPr>
        <w:t xml:space="preserve"> In this way, the drift rate refers to the </w:t>
      </w:r>
      <w:r w:rsidR="002F6901" w:rsidRPr="00DE1E8C">
        <w:rPr>
          <w:sz w:val="20"/>
          <w:szCs w:val="20"/>
          <w:lang w:val="en-GB"/>
        </w:rPr>
        <w:t xml:space="preserve">average amount of sensory evidence gathered per unit of time </w:t>
      </w:r>
      <w:r w:rsidR="00E4269F" w:rsidRPr="00DE1E8C">
        <w:rPr>
          <w:sz w:val="20"/>
          <w:szCs w:val="20"/>
          <w:lang w:val="en-GB"/>
        </w:rPr>
        <w:fldChar w:fldCharType="begin"/>
      </w:r>
      <w:r w:rsidR="00A37FA7" w:rsidRPr="00DE1E8C">
        <w:rPr>
          <w:sz w:val="20"/>
          <w:szCs w:val="20"/>
          <w:lang w:val="en-GB"/>
        </w:rPr>
        <w:instrText xml:space="preserve"> ADDIN ZOTERO_ITEM CSL_CITATION {"citationID":"a21nj70c9nf","properties":{"formattedCitation":"(Zhang and Rowe, 2014)","plainCitation":"(Zhang and Rowe, 2014)","noteIndex":0},"citationItems":[{"id":14782,"uris":["http://zotero.org/users/local/xUwQuTPV/items/7MI8IGVR"],"uri":["http://zotero.org/users/local/xUwQuTPV/items/7MI8IGVR"],"itemData":{"id":14782,"type":"article-journal","container-title":"Frontiers in Neuroscience","DOI":"10.3389/fnins.2014.00069","ISSN":"1662-453X","journalAbbreviation":"Front. Neurosci.","language":"en","source":"DOI.org (Crossref)","title":"Dissociable mechanisms of speed-accuracy tradeoff during visual perceptual learning are revealed by a hierarchical drift-diffusion model","URL":"http://journal.frontiersin.org/article/10.3389/fnins.2014.00069/abstract","volume":"8","author":[{"family":"Zhang","given":"Jiaxiang"},{"family":"Rowe","given":"James B."}],"accessed":{"date-parts":[["2021",1,7]]},"issued":{"date-parts":[["2014",4,9]]}}}],"schema":"https://github.com/citation-style-language/schema/raw/master/csl-citation.json"} </w:instrText>
      </w:r>
      <w:r w:rsidR="00E4269F" w:rsidRPr="00DE1E8C">
        <w:rPr>
          <w:sz w:val="20"/>
          <w:szCs w:val="20"/>
          <w:lang w:val="en-GB"/>
        </w:rPr>
        <w:fldChar w:fldCharType="separate"/>
      </w:r>
      <w:r w:rsidR="00A37FA7" w:rsidRPr="00DE1E8C">
        <w:rPr>
          <w:sz w:val="20"/>
          <w:lang w:val="en-GB"/>
        </w:rPr>
        <w:t>(Zhang and Rowe, 2014)</w:t>
      </w:r>
      <w:r w:rsidR="00E4269F" w:rsidRPr="00DE1E8C">
        <w:rPr>
          <w:sz w:val="20"/>
          <w:szCs w:val="20"/>
          <w:lang w:val="en-GB"/>
        </w:rPr>
        <w:fldChar w:fldCharType="end"/>
      </w:r>
      <w:r w:rsidR="00D00724" w:rsidRPr="00DE1E8C">
        <w:rPr>
          <w:sz w:val="20"/>
          <w:szCs w:val="20"/>
          <w:lang w:val="en-GB"/>
        </w:rPr>
        <w:t>.</w:t>
      </w:r>
      <w:r w:rsidR="00B53D38" w:rsidRPr="00DE1E8C">
        <w:rPr>
          <w:sz w:val="20"/>
          <w:szCs w:val="20"/>
          <w:lang w:val="en-GB"/>
        </w:rPr>
        <w:t xml:space="preserve"> </w:t>
      </w:r>
      <w:r w:rsidR="00E73491" w:rsidRPr="00DE1E8C">
        <w:rPr>
          <w:sz w:val="20"/>
          <w:szCs w:val="20"/>
          <w:lang w:val="en-GB"/>
        </w:rPr>
        <w:t>The evidence accumulation begins after a period of non</w:t>
      </w:r>
      <w:r w:rsidR="002750C7" w:rsidRPr="00DE1E8C">
        <w:rPr>
          <w:sz w:val="20"/>
          <w:szCs w:val="20"/>
          <w:lang w:val="en-GB"/>
        </w:rPr>
        <w:t>-</w:t>
      </w:r>
      <w:r w:rsidR="00E73491" w:rsidRPr="00DE1E8C">
        <w:rPr>
          <w:sz w:val="20"/>
          <w:szCs w:val="20"/>
          <w:lang w:val="en-GB"/>
        </w:rPr>
        <w:t>decision time (</w:t>
      </w:r>
      <w:r w:rsidR="00E73491" w:rsidRPr="00DE1E8C">
        <w:rPr>
          <w:i/>
          <w:sz w:val="20"/>
          <w:szCs w:val="20"/>
          <w:lang w:val="en-GB"/>
        </w:rPr>
        <w:t>T</w:t>
      </w:r>
      <w:r w:rsidR="00E73491" w:rsidRPr="00DE1E8C">
        <w:rPr>
          <w:sz w:val="20"/>
          <w:szCs w:val="20"/>
          <w:lang w:val="en-GB"/>
        </w:rPr>
        <w:t>).</w:t>
      </w:r>
      <w:r w:rsidR="00511623" w:rsidRPr="00DE1E8C">
        <w:rPr>
          <w:sz w:val="20"/>
          <w:szCs w:val="20"/>
          <w:lang w:val="en-GB"/>
        </w:rPr>
        <w:t xml:space="preserve"> </w:t>
      </w:r>
      <w:r w:rsidR="00E73491" w:rsidRPr="00DE1E8C">
        <w:rPr>
          <w:sz w:val="20"/>
          <w:szCs w:val="20"/>
          <w:lang w:val="en-GB"/>
        </w:rPr>
        <w:t>Density plots show the</w:t>
      </w:r>
      <w:r w:rsidR="00EB33C6" w:rsidRPr="00DE1E8C">
        <w:rPr>
          <w:sz w:val="20"/>
          <w:szCs w:val="20"/>
          <w:lang w:val="en-GB"/>
        </w:rPr>
        <w:t xml:space="preserve"> distribution o</w:t>
      </w:r>
      <w:r w:rsidR="002750C7" w:rsidRPr="00DE1E8C">
        <w:rPr>
          <w:sz w:val="20"/>
          <w:szCs w:val="20"/>
          <w:lang w:val="en-GB"/>
        </w:rPr>
        <w:t>f observable re</w:t>
      </w:r>
      <w:r w:rsidR="00E73491" w:rsidRPr="00DE1E8C">
        <w:rPr>
          <w:sz w:val="20"/>
          <w:szCs w:val="20"/>
          <w:lang w:val="en-GB"/>
        </w:rPr>
        <w:t>action times (RT)</w:t>
      </w:r>
      <w:r w:rsidR="00511623" w:rsidRPr="00DE1E8C">
        <w:rPr>
          <w:sz w:val="20"/>
          <w:szCs w:val="20"/>
          <w:lang w:val="en-GB"/>
        </w:rPr>
        <w:t xml:space="preserve"> that are used to calculate the parameters</w:t>
      </w:r>
      <w:r w:rsidR="00EB33C6" w:rsidRPr="00DE1E8C">
        <w:rPr>
          <w:sz w:val="20"/>
          <w:szCs w:val="20"/>
          <w:lang w:val="en-GB"/>
        </w:rPr>
        <w:t>. Adapted from</w:t>
      </w:r>
      <w:r w:rsidR="002B5891" w:rsidRPr="00DE1E8C">
        <w:rPr>
          <w:sz w:val="20"/>
          <w:szCs w:val="20"/>
          <w:lang w:val="en-GB"/>
        </w:rPr>
        <w:t xml:space="preserve"> </w:t>
      </w:r>
      <w:r w:rsidR="004D1A2E" w:rsidRPr="00DE1E8C">
        <w:rPr>
          <w:sz w:val="20"/>
          <w:szCs w:val="20"/>
          <w:lang w:val="en-GB"/>
        </w:rPr>
        <w:fldChar w:fldCharType="begin"/>
      </w:r>
      <w:r w:rsidR="00A867A4" w:rsidRPr="00DE1E8C">
        <w:rPr>
          <w:sz w:val="20"/>
          <w:szCs w:val="20"/>
          <w:lang w:val="en-GB"/>
        </w:rPr>
        <w:instrText xml:space="preserve"> ADDIN ZOTERO_ITEM CSL_CITATION {"citationID":"xMCYUlXO","properties":{"formattedCitation":"(O\\uc0\\u8217{}Callaghan {\\i{}et al.}, 2017{\\i{}a})","plainCitation":"(O’Callaghan et al., 2017a)","noteIndex":0},"citationItems":[{"id":"pCIaS5xB/Faayigvl","uris":["http://zotero.org/users/local/xUwQuTPV/items/7BPW3P5C"],"uri":["http://zotero.org/users/local/xUwQuTPV/items/7BPW3P5C"],"itemData":{"id":3505,"type":"article-journal","abstract":"Biological Psychiatry: Cognitive Neuroscience and Neuroimaging, 2 (2017) 680-688. doi:10.1016/j.bpsc.2017.04.007","container-title":"Biological Psychiatry: Cognitive Neuroscience and Neuroimaging","DOI":"10.1016/j.bpsc.2017.04.007","issue":"8","journalAbbreviation":"Biological Psychiatry: Cognitive Neuroscience and Neuroimaging","page":"680-688","title":"Visual Hallucinations Are Characterized by Impaired Sensory Evidence Accumulation: Insights From Hierarchical Drift Diffusion Modeling in Parkinson's Disease","volume":"2","author":[{"family":"O'Callaghan","given":"Claire"},{"family":"Hall","given":"Julie M."},{"family":"Tomassini","given":"Alessandro"},{"family":"Muller","given":"Alana J."},{"family":"Walpola","given":"Ishan C."},{"family":"Moustafa","given":"Ahmed A."},{"family":"Shine","given":"James M."},{"family":"Lewis","given":"Simon J. G."}],"issued":{"date-parts":[["2017",11,1]]}}}],"schema":"https://github.com/citation-style-language/schema/raw/master/csl-citation.json"} </w:instrText>
      </w:r>
      <w:r w:rsidR="004D1A2E" w:rsidRPr="00DE1E8C">
        <w:rPr>
          <w:sz w:val="20"/>
          <w:szCs w:val="20"/>
          <w:lang w:val="en-GB"/>
        </w:rPr>
        <w:fldChar w:fldCharType="separate"/>
      </w:r>
      <w:r w:rsidR="00E805F6" w:rsidRPr="00DE1E8C">
        <w:rPr>
          <w:sz w:val="20"/>
          <w:lang w:val="en-GB"/>
        </w:rPr>
        <w:t xml:space="preserve">(O’Callaghan </w:t>
      </w:r>
      <w:r w:rsidR="00E805F6" w:rsidRPr="00DE1E8C">
        <w:rPr>
          <w:i/>
          <w:iCs/>
          <w:sz w:val="20"/>
          <w:lang w:val="en-GB"/>
        </w:rPr>
        <w:t>et al.</w:t>
      </w:r>
      <w:r w:rsidR="00E805F6" w:rsidRPr="00DE1E8C">
        <w:rPr>
          <w:sz w:val="20"/>
          <w:lang w:val="en-GB"/>
        </w:rPr>
        <w:t>, 2017</w:t>
      </w:r>
      <w:r w:rsidR="00E805F6" w:rsidRPr="00DE1E8C">
        <w:rPr>
          <w:i/>
          <w:iCs/>
          <w:sz w:val="20"/>
          <w:lang w:val="en-GB"/>
        </w:rPr>
        <w:t>a</w:t>
      </w:r>
      <w:r w:rsidR="00E805F6" w:rsidRPr="00DE1E8C">
        <w:rPr>
          <w:sz w:val="20"/>
          <w:lang w:val="en-GB"/>
        </w:rPr>
        <w:t>)</w:t>
      </w:r>
      <w:r w:rsidR="004D1A2E" w:rsidRPr="00DE1E8C">
        <w:rPr>
          <w:sz w:val="20"/>
          <w:szCs w:val="20"/>
          <w:lang w:val="en-GB"/>
        </w:rPr>
        <w:fldChar w:fldCharType="end"/>
      </w:r>
      <w:r w:rsidR="0084105C" w:rsidRPr="00DE1E8C">
        <w:rPr>
          <w:sz w:val="20"/>
          <w:szCs w:val="20"/>
          <w:lang w:val="en-GB"/>
        </w:rPr>
        <w:t xml:space="preserve">. </w:t>
      </w:r>
    </w:p>
    <w:p w14:paraId="6307E2E9" w14:textId="77777777" w:rsidR="005E0DAF" w:rsidRPr="00DE1E8C" w:rsidRDefault="005E0DAF" w:rsidP="005E0DAF">
      <w:pPr>
        <w:spacing w:line="360" w:lineRule="auto"/>
        <w:contextualSpacing/>
        <w:jc w:val="both"/>
        <w:rPr>
          <w:sz w:val="20"/>
          <w:szCs w:val="20"/>
          <w:lang w:val="en-GB"/>
        </w:rPr>
      </w:pPr>
    </w:p>
    <w:p w14:paraId="0C7EAA13" w14:textId="77777777" w:rsidR="004F2CA1" w:rsidRPr="00DE1E8C" w:rsidRDefault="004F2CA1" w:rsidP="005E0DAF">
      <w:pPr>
        <w:spacing w:line="360" w:lineRule="auto"/>
        <w:contextualSpacing/>
        <w:jc w:val="both"/>
        <w:rPr>
          <w:b/>
          <w:i/>
          <w:lang w:val="en-GB"/>
        </w:rPr>
      </w:pPr>
    </w:p>
    <w:p w14:paraId="652ED003" w14:textId="421DCE43" w:rsidR="008B69F0" w:rsidRPr="00DE1E8C" w:rsidRDefault="008B69F0" w:rsidP="005E0DAF">
      <w:pPr>
        <w:spacing w:line="360" w:lineRule="auto"/>
        <w:contextualSpacing/>
        <w:jc w:val="both"/>
        <w:rPr>
          <w:sz w:val="20"/>
          <w:szCs w:val="20"/>
          <w:lang w:val="en-GB"/>
        </w:rPr>
      </w:pPr>
      <w:r w:rsidRPr="00DE1E8C">
        <w:rPr>
          <w:b/>
          <w:i/>
          <w:lang w:val="en-GB"/>
        </w:rPr>
        <w:t>Statistical analysis</w:t>
      </w:r>
    </w:p>
    <w:p w14:paraId="6736D10D" w14:textId="5D5B1AE4" w:rsidR="008B69F0" w:rsidRPr="00DE1E8C" w:rsidRDefault="008B69F0" w:rsidP="00551517">
      <w:pPr>
        <w:widowControl w:val="0"/>
        <w:autoSpaceDE w:val="0"/>
        <w:autoSpaceDN w:val="0"/>
        <w:adjustRightInd w:val="0"/>
        <w:spacing w:after="240" w:line="360" w:lineRule="auto"/>
        <w:contextualSpacing/>
        <w:jc w:val="both"/>
        <w:rPr>
          <w:lang w:val="en-GB"/>
        </w:rPr>
      </w:pPr>
      <w:r w:rsidRPr="00DE1E8C">
        <w:rPr>
          <w:lang w:val="en-GB"/>
        </w:rPr>
        <w:t>Analyses were performed in R version 3.3.1 (</w:t>
      </w:r>
      <w:hyperlink r:id="rId15" w:history="1">
        <w:r w:rsidRPr="00DE1E8C">
          <w:rPr>
            <w:rStyle w:val="Hyperlink1"/>
            <w:lang w:val="en-GB"/>
          </w:rPr>
          <w:t>http://www.r-project.org/</w:t>
        </w:r>
      </w:hyperlink>
      <w:r w:rsidRPr="00DE1E8C">
        <w:rPr>
          <w:lang w:val="en-GB"/>
        </w:rPr>
        <w:t>). Demographic and clinical variables were analysed using one-way ANOVA and independent samples t-tests. For the ANT, percentage correct and reaction times were analysed in separate mixed effect model repeated measures ANOVAs. The distribution of residuals was checked with Q-Q plots and the Shapiro-Wilk test. Preliminary examination showed that residuals deviated from a normal distribution showing skew and excess leptokurtosis, therefore</w:t>
      </w:r>
      <w:r w:rsidR="00DD2754" w:rsidRPr="00DE1E8C">
        <w:rPr>
          <w:lang w:val="en-GB"/>
        </w:rPr>
        <w:t xml:space="preserve"> reaction times</w:t>
      </w:r>
      <w:r w:rsidR="00F04F74" w:rsidRPr="00DE1E8C">
        <w:rPr>
          <w:lang w:val="en-GB"/>
        </w:rPr>
        <w:t xml:space="preserve"> (positive skew)</w:t>
      </w:r>
      <w:r w:rsidR="00DD2754" w:rsidRPr="00DE1E8C">
        <w:rPr>
          <w:lang w:val="en-GB"/>
        </w:rPr>
        <w:t xml:space="preserve"> were transformed with a log</w:t>
      </w:r>
      <w:r w:rsidR="00DD2754" w:rsidRPr="00DE1E8C">
        <w:rPr>
          <w:vertAlign w:val="subscript"/>
          <w:lang w:val="en-GB"/>
        </w:rPr>
        <w:t>10</w:t>
      </w:r>
      <w:r w:rsidR="001F7FF7" w:rsidRPr="00DE1E8C">
        <w:rPr>
          <w:lang w:val="en-GB"/>
        </w:rPr>
        <w:t xml:space="preserve"> </w:t>
      </w:r>
      <w:r w:rsidR="00DD2754" w:rsidRPr="00DE1E8C">
        <w:rPr>
          <w:lang w:val="en-GB"/>
        </w:rPr>
        <w:t>transformation</w:t>
      </w:r>
      <w:r w:rsidR="00F04F74" w:rsidRPr="00DE1E8C">
        <w:rPr>
          <w:lang w:val="en-GB"/>
        </w:rPr>
        <w:t xml:space="preserve"> and percentage correct (negative skewed) were transformed with a square transformation </w:t>
      </w:r>
      <w:r w:rsidRPr="00DE1E8C">
        <w:rPr>
          <w:lang w:val="en-GB"/>
        </w:rPr>
        <w:t>before performing the final analysis</w:t>
      </w:r>
      <w:r w:rsidR="00F04F74" w:rsidRPr="00DE1E8C">
        <w:rPr>
          <w:lang w:val="en-GB"/>
        </w:rPr>
        <w:t xml:space="preserve"> </w:t>
      </w:r>
      <w:r w:rsidR="00F00FDF" w:rsidRPr="00DE1E8C">
        <w:rPr>
          <w:lang w:val="en-GB"/>
        </w:rPr>
        <w:fldChar w:fldCharType="begin"/>
      </w:r>
      <w:r w:rsidR="00AD1F64" w:rsidRPr="00DE1E8C">
        <w:rPr>
          <w:lang w:val="en-GB"/>
        </w:rPr>
        <w:instrText xml:space="preserve"> ADDIN ZOTERO_ITEM CSL_CITATION {"citationID":"0mh06obK","properties":{"formattedCitation":"(Cardinal and Aitken, 2013)","plainCitation":"(Cardinal and Aitken, 2013)","noteIndex":0},"citationItems":[{"id":8214,"uris":["http://zotero.org/users/local/xUwQuTPV/items/ZDJ7QP8N"],"uri":["http://zotero.org/users/local/xUwQuTPV/items/ZDJ7QP8N"],"itemData":{"id":8214,"type":"book","abstract":"This new book provides a theoretical and practical guide to analysis of variance (ANOVA) for those who have not had a formal course in this technique, but need to use this analysis as part of their research. From their experience in teaching this material and applying it to research problems, the authors have created a summary of the statistical theory underlying ANOVA, together with important issues, guidance, practical methods, references, and hints about using statistical software. These have been organized so that the student can learn …","title":"ANOVA for the behavioral sciences researcher","author":[{"family":"Cardinal","given":"R. N."},{"family":"Aitken","given":"M. R. F."}],"issued":{"date-parts":[["2013"]]}}}],"schema":"https://github.com/citation-style-language/schema/raw/master/csl-citation.json"} </w:instrText>
      </w:r>
      <w:r w:rsidR="00F00FDF" w:rsidRPr="00DE1E8C">
        <w:rPr>
          <w:lang w:val="en-GB"/>
        </w:rPr>
        <w:fldChar w:fldCharType="separate"/>
      </w:r>
      <w:r w:rsidR="00AD1F64" w:rsidRPr="00DE1E8C">
        <w:rPr>
          <w:lang w:val="en-GB"/>
        </w:rPr>
        <w:t>(Cardinal and Aitken, 2013)</w:t>
      </w:r>
      <w:r w:rsidR="00F00FDF" w:rsidRPr="00DE1E8C">
        <w:rPr>
          <w:lang w:val="en-GB"/>
        </w:rPr>
        <w:fldChar w:fldCharType="end"/>
      </w:r>
      <w:r w:rsidRPr="00DE1E8C">
        <w:rPr>
          <w:lang w:val="en-GB"/>
        </w:rPr>
        <w:t>.</w:t>
      </w:r>
      <w:r w:rsidR="000C436D" w:rsidRPr="00DE1E8C">
        <w:rPr>
          <w:lang w:val="en-GB"/>
        </w:rPr>
        <w:t xml:space="preserve"> </w:t>
      </w:r>
      <w:r w:rsidRPr="00DE1E8C">
        <w:rPr>
          <w:lang w:val="en-GB"/>
        </w:rPr>
        <w:t>Following significant main effects, pairwise comparisons were made with Sidak corrections. Significant interactions were followed by tests of simple effects.</w:t>
      </w:r>
    </w:p>
    <w:p w14:paraId="12D795E8" w14:textId="1AA38786" w:rsidR="001C1F03" w:rsidRPr="00DE1E8C" w:rsidRDefault="001C1F03" w:rsidP="00551517">
      <w:pPr>
        <w:widowControl w:val="0"/>
        <w:autoSpaceDE w:val="0"/>
        <w:autoSpaceDN w:val="0"/>
        <w:adjustRightInd w:val="0"/>
        <w:spacing w:after="240" w:line="360" w:lineRule="auto"/>
        <w:contextualSpacing/>
        <w:jc w:val="both"/>
        <w:rPr>
          <w:lang w:val="en-GB"/>
        </w:rPr>
      </w:pPr>
    </w:p>
    <w:p w14:paraId="0E92ECEF" w14:textId="35984AB7" w:rsidR="00B37847" w:rsidRPr="00DE1E8C" w:rsidRDefault="00B37847" w:rsidP="00551517">
      <w:pPr>
        <w:widowControl w:val="0"/>
        <w:autoSpaceDE w:val="0"/>
        <w:autoSpaceDN w:val="0"/>
        <w:adjustRightInd w:val="0"/>
        <w:spacing w:after="240" w:line="360" w:lineRule="auto"/>
        <w:contextualSpacing/>
        <w:jc w:val="both"/>
        <w:rPr>
          <w:lang w:val="en-GB"/>
        </w:rPr>
      </w:pPr>
    </w:p>
    <w:p w14:paraId="69D1D8FF" w14:textId="27902732" w:rsidR="00901F3C" w:rsidRPr="00DE1E8C" w:rsidRDefault="00901F3C" w:rsidP="00551517">
      <w:pPr>
        <w:widowControl w:val="0"/>
        <w:autoSpaceDE w:val="0"/>
        <w:autoSpaceDN w:val="0"/>
        <w:adjustRightInd w:val="0"/>
        <w:spacing w:after="240" w:line="360" w:lineRule="auto"/>
        <w:contextualSpacing/>
        <w:jc w:val="both"/>
        <w:rPr>
          <w:lang w:val="en-GB"/>
        </w:rPr>
      </w:pPr>
      <w:r w:rsidRPr="00DE1E8C">
        <w:rPr>
          <w:b/>
          <w:i/>
          <w:lang w:val="en-GB"/>
        </w:rPr>
        <w:lastRenderedPageBreak/>
        <w:t>Hierarchical drift</w:t>
      </w:r>
      <w:r w:rsidR="00DB57B6" w:rsidRPr="00DE1E8C">
        <w:rPr>
          <w:b/>
          <w:i/>
          <w:lang w:val="en-GB"/>
        </w:rPr>
        <w:t xml:space="preserve"> </w:t>
      </w:r>
      <w:r w:rsidRPr="00DE1E8C">
        <w:rPr>
          <w:b/>
          <w:i/>
          <w:lang w:val="en-GB"/>
        </w:rPr>
        <w:t>diffusion model of the ANT</w:t>
      </w:r>
    </w:p>
    <w:p w14:paraId="2AD2A00E" w14:textId="5ACCCA45" w:rsidR="007D7253" w:rsidRPr="00DE1E8C" w:rsidRDefault="00031D29" w:rsidP="00551517">
      <w:pPr>
        <w:spacing w:line="360" w:lineRule="auto"/>
        <w:contextualSpacing/>
        <w:jc w:val="both"/>
        <w:rPr>
          <w:lang w:val="en-GB"/>
        </w:rPr>
      </w:pPr>
      <w:r w:rsidRPr="00DE1E8C">
        <w:rPr>
          <w:lang w:val="en-GB"/>
        </w:rPr>
        <w:t>D</w:t>
      </w:r>
      <w:r w:rsidR="00F34DE6" w:rsidRPr="00DE1E8C">
        <w:rPr>
          <w:lang w:val="en-GB"/>
        </w:rPr>
        <w:t>rift</w:t>
      </w:r>
      <w:r w:rsidR="00BB0E5B" w:rsidRPr="00DE1E8C">
        <w:rPr>
          <w:lang w:val="en-GB"/>
        </w:rPr>
        <w:t xml:space="preserve"> </w:t>
      </w:r>
      <w:r w:rsidR="00F34DE6" w:rsidRPr="00DE1E8C">
        <w:rPr>
          <w:lang w:val="en-GB"/>
        </w:rPr>
        <w:t>diffusion model</w:t>
      </w:r>
      <w:r w:rsidRPr="00DE1E8C">
        <w:rPr>
          <w:lang w:val="en-GB"/>
        </w:rPr>
        <w:t>s (DDMs) can be fitted to rapid, two-choice decision making tasks</w:t>
      </w:r>
      <w:r w:rsidR="005A3FB0" w:rsidRPr="00DE1E8C">
        <w:rPr>
          <w:lang w:val="en-GB"/>
        </w:rPr>
        <w:t xml:space="preserve"> </w:t>
      </w:r>
      <w:r w:rsidR="000A19E3" w:rsidRPr="00DE1E8C">
        <w:rPr>
          <w:lang w:val="en-GB"/>
        </w:rPr>
        <w:fldChar w:fldCharType="begin"/>
      </w:r>
      <w:r w:rsidR="00E805F6" w:rsidRPr="00DE1E8C">
        <w:rPr>
          <w:lang w:val="en-GB"/>
        </w:rPr>
        <w:instrText xml:space="preserve"> ADDIN ZOTERO_ITEM CSL_CITATION {"citationID":"bYemcCvq","properties":{"formattedCitation":"(Ratcliff and McKoon, 2008; Wagenmakers, 2009; Ratcliff {\\i{}et al.}, 2016)","plainCitation":"(Ratcliff and McKoon, 2008; Wagenmakers, 2009; Ratcliff et al., 2016)","noteIndex":0},"citationItems":[{"id":12451,"uris":["http://zotero.org/users/local/xUwQuTPV/items/DN635RWV"],"uri":["http://zotero.org/users/local/xUwQuTPV/items/DN635RWV"],"itemData":{"id":12451,"type":"article-journal","abstract":"The diffusion decision model allows detailed explanations of behavior in two-choice discrimination tasks. In this article, the model is reviewed to show how it translates behavioral data-accuracy, mean response times, and response time distributions-into components of cognitive processing. Three experiments are used to illustrate experimental manipulations of three components: stimulus difficulty affects the quality of information on which a decision is based; instructions emphasizing either speed or accuracy affect the criterial amounts of information that a subject requires before initiating a response; and the relative proportions of the two stimuli affect biases in drift rate and starting point. The experiments also illustrate the strong constraints that ensure the model is empirically testable and potentially falsifiable. The broad range of applications of the model is also reviewed, including research in the domains of aging and neurophysiology.","container-title":"Neural computation","DOI":"10.1162/neco.2008.12-06-420","issue":"4","journalAbbreviation":"Neural Comput","language":"English","note":"PMCID: PMC2474742","page":"873-922","title":"The diffusion decision model: theory and data for two-choice decision tasks.","volume":"20","author":[{"family":"Ratcliff","given":"Roger"},{"family":"McKoon","given":"Gail"}],"issued":{"date-parts":[["2008",4]]}}},{"id":14104,"uris":["http://zotero.org/users/local/xUwQuTPV/items/PRFAMZCS"],"uri":["http://zotero.org/users/local/xUwQuTPV/items/PRFAMZCS"],"itemData":{"id":14104,"type":"article-journal","container-title":"European Journal of Cognitive Psychology","DOI":"10.1080/09541440802205067","ISSN":"0954-1446, 1464-0635","issue":"5","journalAbbreviation":"European Journal of Cognitive Psychology","language":"en","page":"641-671","source":"DOI.org (Crossref)","title":"Methodological and empirical developments for the Ratcliff diffusion model of response times and accuracy","volume":"21","author":[{"family":"Wagenmakers","given":"Eric-Jan"}],"issued":{"date-parts":[["2009",8]]}}},{"id":11784,"uris":["http://zotero.org/users/local/xUwQuTPV/items/KS9YV8ZR"],"uri":["http://zotero.org/users/local/xUwQuTPV/items/KS9YV8ZR"],"itemData":{"id":11784,"type":"article-journal","container-title":"Trends in Cognitive Sciences","DOI":"10.1016/j.tics.2016.01.007","ISSN":"13646613","issue":"4","journalAbbreviation":"Trends in Cognitive Sciences","language":"en","page":"260-281","source":"DOI.org (Crossref)","title":"Diffusion Decision Model: Current Issues and History","title-short":"Diffusion Decision Model","volume":"20","author":[{"family":"Ratcliff","given":"Roger"},{"family":"Smith","given":"Philip L."},{"family":"Brown","given":"Scott D."},{"family":"McKoon","given":"Gail"}],"issued":{"date-parts":[["2016",4]]}}}],"schema":"https://github.com/citation-style-language/schema/raw/master/csl-citation.json"} </w:instrText>
      </w:r>
      <w:r w:rsidR="000A19E3" w:rsidRPr="00DE1E8C">
        <w:rPr>
          <w:lang w:val="en-GB"/>
        </w:rPr>
        <w:fldChar w:fldCharType="separate"/>
      </w:r>
      <w:r w:rsidR="00E805F6" w:rsidRPr="00DE1E8C">
        <w:rPr>
          <w:lang w:val="en-GB"/>
        </w:rPr>
        <w:t xml:space="preserve">(Ratcliff and McKoon, 2008; Wagenmakers, 2009; Ratcliff </w:t>
      </w:r>
      <w:r w:rsidR="00E805F6" w:rsidRPr="00DE1E8C">
        <w:rPr>
          <w:i/>
          <w:iCs/>
          <w:lang w:val="en-GB"/>
        </w:rPr>
        <w:t>et al.</w:t>
      </w:r>
      <w:r w:rsidR="00E805F6" w:rsidRPr="00DE1E8C">
        <w:rPr>
          <w:lang w:val="en-GB"/>
        </w:rPr>
        <w:t>, 2016)</w:t>
      </w:r>
      <w:r w:rsidR="000A19E3" w:rsidRPr="00DE1E8C">
        <w:rPr>
          <w:lang w:val="en-GB"/>
        </w:rPr>
        <w:fldChar w:fldCharType="end"/>
      </w:r>
      <w:r w:rsidRPr="00DE1E8C">
        <w:rPr>
          <w:lang w:val="en-GB"/>
        </w:rPr>
        <w:t>.</w:t>
      </w:r>
      <w:r w:rsidR="007D7253" w:rsidRPr="00DE1E8C">
        <w:rPr>
          <w:lang w:val="en-GB"/>
        </w:rPr>
        <w:t xml:space="preserve"> Four main parameters are derived from the DDM: drift rate </w:t>
      </w:r>
      <w:r w:rsidR="007D7253" w:rsidRPr="00DE1E8C">
        <w:rPr>
          <w:i/>
          <w:lang w:val="en-GB"/>
        </w:rPr>
        <w:t>v</w:t>
      </w:r>
      <w:r w:rsidR="007D7253" w:rsidRPr="00DE1E8C">
        <w:rPr>
          <w:lang w:val="en-GB"/>
        </w:rPr>
        <w:t xml:space="preserve">, decision boundary </w:t>
      </w:r>
      <w:r w:rsidR="007D7253" w:rsidRPr="00DE1E8C">
        <w:rPr>
          <w:i/>
          <w:lang w:val="en-GB"/>
        </w:rPr>
        <w:t>a</w:t>
      </w:r>
      <w:r w:rsidR="007D7253" w:rsidRPr="00DE1E8C">
        <w:rPr>
          <w:lang w:val="en-GB"/>
        </w:rPr>
        <w:t xml:space="preserve">, decision bias </w:t>
      </w:r>
      <w:r w:rsidR="007D7253" w:rsidRPr="00DE1E8C">
        <w:rPr>
          <w:i/>
          <w:lang w:val="en-GB"/>
        </w:rPr>
        <w:t>z</w:t>
      </w:r>
      <w:r w:rsidR="007D7253" w:rsidRPr="00DE1E8C">
        <w:rPr>
          <w:lang w:val="en-GB"/>
        </w:rPr>
        <w:t xml:space="preserve"> and non-decision time </w:t>
      </w:r>
      <w:r w:rsidR="007D7253" w:rsidRPr="00DE1E8C">
        <w:rPr>
          <w:i/>
          <w:lang w:val="en-GB"/>
        </w:rPr>
        <w:t>T</w:t>
      </w:r>
      <w:r w:rsidR="00BD7565" w:rsidRPr="00DE1E8C">
        <w:rPr>
          <w:lang w:val="en-GB"/>
        </w:rPr>
        <w:t>. In a DDM, t</w:t>
      </w:r>
      <w:r w:rsidR="007D7253" w:rsidRPr="00DE1E8C">
        <w:rPr>
          <w:lang w:val="en-GB"/>
        </w:rPr>
        <w:t>he decision pr</w:t>
      </w:r>
      <w:r w:rsidR="009B3293" w:rsidRPr="00DE1E8C">
        <w:rPr>
          <w:lang w:val="en-GB"/>
        </w:rPr>
        <w:t xml:space="preserve">ocess is modelled as the </w:t>
      </w:r>
      <w:r w:rsidR="007D7253" w:rsidRPr="00DE1E8C">
        <w:rPr>
          <w:lang w:val="en-GB"/>
        </w:rPr>
        <w:t>accumulation of information, reflected by the drift rate, which continues</w:t>
      </w:r>
      <w:r w:rsidR="009B3293" w:rsidRPr="00DE1E8C">
        <w:rPr>
          <w:lang w:val="en-GB"/>
        </w:rPr>
        <w:t xml:space="preserve"> over time</w:t>
      </w:r>
      <w:r w:rsidR="007D7253" w:rsidRPr="00DE1E8C">
        <w:rPr>
          <w:lang w:val="en-GB"/>
        </w:rPr>
        <w:t xml:space="preserve"> until a decision boundary</w:t>
      </w:r>
      <w:r w:rsidR="00DE3F39" w:rsidRPr="00DE1E8C">
        <w:rPr>
          <w:lang w:val="en-GB"/>
        </w:rPr>
        <w:t xml:space="preserve"> (i.e., the criterion for how much evidence is required)</w:t>
      </w:r>
      <w:r w:rsidR="007D7253" w:rsidRPr="00DE1E8C">
        <w:rPr>
          <w:lang w:val="en-GB"/>
        </w:rPr>
        <w:t xml:space="preserve"> is reached</w:t>
      </w:r>
      <w:r w:rsidR="00E82ECC" w:rsidRPr="00DE1E8C">
        <w:rPr>
          <w:lang w:val="en-GB"/>
        </w:rPr>
        <w:t xml:space="preserve"> </w:t>
      </w:r>
      <w:r w:rsidR="00E82ECC" w:rsidRPr="00DE1E8C">
        <w:rPr>
          <w:lang w:val="en-GB"/>
        </w:rPr>
        <w:fldChar w:fldCharType="begin"/>
      </w:r>
      <w:r w:rsidR="00A867A4" w:rsidRPr="00DE1E8C">
        <w:rPr>
          <w:lang w:val="en-GB"/>
        </w:rPr>
        <w:instrText xml:space="preserve"> ADDIN ZOTERO_ITEM CSL_CITATION {"citationID":"iSGVQomV","properties":{"formattedCitation":"(Krypotos {\\i{}et al.}, 2015)","plainCitation":"(Krypotos et al., 2015)","noteIndex":0},"citationItems":[{"id":"pCIaS5xB/w8Ogoy8Z","uris":["http://zotero.org/users/local/xUwQuTPV/items/L4AID4DY"],"uri":["http://zotero.org/users/local/xUwQuTPV/items/L4AID4DY"],"itemData":{"id":5449,"type":"article-journal","abstract":"Common methods for analysing response time (RT) tasks, frequently used across different disciplines of psychology, suffer from a number of limitations such as the failure to directly measure the underlying latent processes of interest and the inability to take into account the uncertainty associated with each individual&amp;apos;s point estimate of performance. Here, we discuss a Bayesian hierarchical diffusion model and apply it to RT data. This model allows researchers to decompose performance into meaningful psychological processes and to account optimally for individual differences and commonalities, even with relatively sparse data. We highlight the advantages of the Bayesian hierarchical diffusion model decomposition by applying it to performance on Approach-Avoidance Tasks, widely used in the emotion and psychopathology literature. Model fits for two experimental data-sets demonstrate that the model performs well. The Bayesian hierarchical diffusion model overcomes important limitations of current analysis procedures and provides deeper insight in latent psychological processes of interest.","container-title":"Cognition and Emotion","DOI":"10.1080/02699931.2014.985635","issue":"8","journalAbbreviation":"Cognition and Emotion","language":"English","note":"PMCID: PMC4673543","page":"1424-1444","title":"A Bayesian hierarchical diffusion model decomposition of performance in Approach-Avoidance Tasks.","volume":"29","author":[{"family":"Krypotos","given":"Angelos-Miltiadis"},{"family":"Beckers","given":"Tom"},{"family":"Kindt","given":"Merel"},{"family":"Wagenmakers","given":"Eric-Jan"}],"issued":{"date-parts":[["2015"]]}}}],"schema":"https://github.com/citation-style-language/schema/raw/master/csl-citation.json"} </w:instrText>
      </w:r>
      <w:r w:rsidR="00E82ECC" w:rsidRPr="00DE1E8C">
        <w:rPr>
          <w:lang w:val="en-GB"/>
        </w:rPr>
        <w:fldChar w:fldCharType="separate"/>
      </w:r>
      <w:r w:rsidR="00E805F6" w:rsidRPr="00DE1E8C">
        <w:rPr>
          <w:lang w:val="en-GB"/>
        </w:rPr>
        <w:t xml:space="preserve">(Krypotos </w:t>
      </w:r>
      <w:r w:rsidR="00E805F6" w:rsidRPr="00DE1E8C">
        <w:rPr>
          <w:i/>
          <w:iCs/>
          <w:lang w:val="en-GB"/>
        </w:rPr>
        <w:t>et al.</w:t>
      </w:r>
      <w:r w:rsidR="00E805F6" w:rsidRPr="00DE1E8C">
        <w:rPr>
          <w:lang w:val="en-GB"/>
        </w:rPr>
        <w:t>, 2015)</w:t>
      </w:r>
      <w:r w:rsidR="00E82ECC" w:rsidRPr="00DE1E8C">
        <w:rPr>
          <w:lang w:val="en-GB"/>
        </w:rPr>
        <w:fldChar w:fldCharType="end"/>
      </w:r>
      <w:r w:rsidR="009B3293" w:rsidRPr="00DE1E8C">
        <w:rPr>
          <w:lang w:val="en-GB"/>
        </w:rPr>
        <w:t>. D</w:t>
      </w:r>
      <w:r w:rsidR="007D7253" w:rsidRPr="00DE1E8C">
        <w:rPr>
          <w:lang w:val="en-GB"/>
        </w:rPr>
        <w:t>ecision bias</w:t>
      </w:r>
      <w:r w:rsidR="009B3293" w:rsidRPr="00DE1E8C">
        <w:rPr>
          <w:lang w:val="en-GB"/>
        </w:rPr>
        <w:t xml:space="preserve"> reflects an</w:t>
      </w:r>
      <w:r w:rsidR="007D7253" w:rsidRPr="00DE1E8C">
        <w:rPr>
          <w:lang w:val="en-GB"/>
        </w:rPr>
        <w:t xml:space="preserve"> </w:t>
      </w:r>
      <w:r w:rsidR="007D7253" w:rsidRPr="00DE1E8C">
        <w:rPr>
          <w:i/>
          <w:lang w:val="en-GB"/>
        </w:rPr>
        <w:t xml:space="preserve">a priori </w:t>
      </w:r>
      <w:r w:rsidR="007D7253" w:rsidRPr="00DE1E8C">
        <w:rPr>
          <w:lang w:val="en-GB"/>
        </w:rPr>
        <w:t xml:space="preserve">bias </w:t>
      </w:r>
      <w:r w:rsidR="009B3293" w:rsidRPr="00DE1E8C">
        <w:rPr>
          <w:lang w:val="en-GB"/>
        </w:rPr>
        <w:t>toward one of the two responses</w:t>
      </w:r>
      <w:r w:rsidR="00815D8B" w:rsidRPr="00DE1E8C">
        <w:rPr>
          <w:lang w:val="en-GB"/>
        </w:rPr>
        <w:t>,</w:t>
      </w:r>
      <w:r w:rsidR="009B3293" w:rsidRPr="00DE1E8C">
        <w:rPr>
          <w:lang w:val="en-GB"/>
        </w:rPr>
        <w:t xml:space="preserve"> and n</w:t>
      </w:r>
      <w:r w:rsidR="007D7253" w:rsidRPr="00DE1E8C">
        <w:rPr>
          <w:lang w:val="en-GB"/>
        </w:rPr>
        <w:t xml:space="preserve">on-decision time </w:t>
      </w:r>
      <w:r w:rsidR="009B3293" w:rsidRPr="00DE1E8C">
        <w:rPr>
          <w:lang w:val="en-GB"/>
        </w:rPr>
        <w:t xml:space="preserve">comprises those aspects </w:t>
      </w:r>
      <w:r w:rsidR="00BA5A89" w:rsidRPr="00DE1E8C">
        <w:rPr>
          <w:lang w:val="en-GB"/>
        </w:rPr>
        <w:t xml:space="preserve">that are </w:t>
      </w:r>
      <w:r w:rsidR="009B3293" w:rsidRPr="00DE1E8C">
        <w:rPr>
          <w:lang w:val="en-GB"/>
        </w:rPr>
        <w:t xml:space="preserve">not part of the </w:t>
      </w:r>
      <w:r w:rsidR="006714E6" w:rsidRPr="00DE1E8C">
        <w:rPr>
          <w:lang w:val="en-GB"/>
        </w:rPr>
        <w:t>decision making</w:t>
      </w:r>
      <w:r w:rsidR="009B3293" w:rsidRPr="00DE1E8C">
        <w:rPr>
          <w:lang w:val="en-GB"/>
        </w:rPr>
        <w:t xml:space="preserve"> </w:t>
      </w:r>
      <w:r w:rsidR="007D7253" w:rsidRPr="00DE1E8C">
        <w:rPr>
          <w:lang w:val="en-GB"/>
        </w:rPr>
        <w:t>proces</w:t>
      </w:r>
      <w:r w:rsidR="00026BE3" w:rsidRPr="00DE1E8C">
        <w:rPr>
          <w:lang w:val="en-GB"/>
        </w:rPr>
        <w:t xml:space="preserve">s, including </w:t>
      </w:r>
      <w:r w:rsidR="007D7253" w:rsidRPr="00DE1E8C">
        <w:rPr>
          <w:lang w:val="en-GB"/>
        </w:rPr>
        <w:t>encoding</w:t>
      </w:r>
      <w:r w:rsidR="00026BE3" w:rsidRPr="00DE1E8C">
        <w:rPr>
          <w:lang w:val="en-GB"/>
        </w:rPr>
        <w:t xml:space="preserve"> the visual stimulus and </w:t>
      </w:r>
      <w:r w:rsidR="007D7253" w:rsidRPr="00DE1E8C">
        <w:rPr>
          <w:lang w:val="en-GB"/>
        </w:rPr>
        <w:t>executing a</w:t>
      </w:r>
      <w:r w:rsidR="00026BE3" w:rsidRPr="00DE1E8C">
        <w:rPr>
          <w:lang w:val="en-GB"/>
        </w:rPr>
        <w:t xml:space="preserve"> motor</w:t>
      </w:r>
      <w:r w:rsidR="007D7253" w:rsidRPr="00DE1E8C">
        <w:rPr>
          <w:lang w:val="en-GB"/>
        </w:rPr>
        <w:t xml:space="preserve"> response</w:t>
      </w:r>
      <w:r w:rsidR="00E82ECC" w:rsidRPr="00DE1E8C">
        <w:rPr>
          <w:lang w:val="en-GB"/>
        </w:rPr>
        <w:t xml:space="preserve"> </w:t>
      </w:r>
      <w:r w:rsidR="00260595" w:rsidRPr="00DE1E8C">
        <w:rPr>
          <w:lang w:val="en-GB"/>
        </w:rPr>
        <w:fldChar w:fldCharType="begin"/>
      </w:r>
      <w:r w:rsidR="00E805F6" w:rsidRPr="00DE1E8C">
        <w:rPr>
          <w:lang w:val="en-GB"/>
        </w:rPr>
        <w:instrText xml:space="preserve"> ADDIN ZOTERO_ITEM CSL_CITATION {"citationID":"dl0jE3Fe","properties":{"formattedCitation":"(Ratcliff {\\i{}et al.}, 2016)","plainCitation":"(Ratcliff et al., 2016)","noteIndex":0},"citationItems":[{"id":11784,"uris":["http://zotero.org/users/local/xUwQuTPV/items/KS9YV8ZR"],"uri":["http://zotero.org/users/local/xUwQuTPV/items/KS9YV8ZR"],"itemData":{"id":11784,"type":"article-journal","container-title":"Trends in Cognitive Sciences","DOI":"10.1016/j.tics.2016.01.007","ISSN":"13646613","issue":"4","journalAbbreviation":"Trends in Cognitive Sciences","language":"en","page":"260-281","source":"DOI.org (Crossref)","title":"Diffusion Decision Model: Current Issues and History","title-short":"Diffusion Decision Model","volume":"20","author":[{"family":"Ratcliff","given":"Roger"},{"family":"Smith","given":"Philip L."},{"family":"Brown","given":"Scott D."},{"family":"McKoon","given":"Gail"}],"issued":{"date-parts":[["2016",4]]}}}],"schema":"https://github.com/citation-style-language/schema/raw/master/csl-citation.json"} </w:instrText>
      </w:r>
      <w:r w:rsidR="00260595" w:rsidRPr="00DE1E8C">
        <w:rPr>
          <w:lang w:val="en-GB"/>
        </w:rPr>
        <w:fldChar w:fldCharType="separate"/>
      </w:r>
      <w:r w:rsidR="00E805F6" w:rsidRPr="00DE1E8C">
        <w:rPr>
          <w:lang w:val="en-GB"/>
        </w:rPr>
        <w:t xml:space="preserve">(Ratcliff </w:t>
      </w:r>
      <w:r w:rsidR="00E805F6" w:rsidRPr="00DE1E8C">
        <w:rPr>
          <w:i/>
          <w:iCs/>
          <w:lang w:val="en-GB"/>
        </w:rPr>
        <w:t>et al.</w:t>
      </w:r>
      <w:r w:rsidR="00E805F6" w:rsidRPr="00DE1E8C">
        <w:rPr>
          <w:lang w:val="en-GB"/>
        </w:rPr>
        <w:t>, 2016)</w:t>
      </w:r>
      <w:r w:rsidR="00260595" w:rsidRPr="00DE1E8C">
        <w:rPr>
          <w:lang w:val="en-GB"/>
        </w:rPr>
        <w:fldChar w:fldCharType="end"/>
      </w:r>
      <w:r w:rsidR="007D7253" w:rsidRPr="00DE1E8C">
        <w:rPr>
          <w:lang w:val="en-GB"/>
        </w:rPr>
        <w:t>.</w:t>
      </w:r>
      <w:r w:rsidR="003812D8" w:rsidRPr="00DE1E8C">
        <w:rPr>
          <w:lang w:val="en-GB"/>
        </w:rPr>
        <w:t xml:space="preserve"> A schematic of the drift diffusion process is illustrated in </w:t>
      </w:r>
      <w:r w:rsidR="00B46027" w:rsidRPr="00DE1E8C">
        <w:rPr>
          <w:lang w:val="en-GB"/>
        </w:rPr>
        <w:t>Fig. 1B</w:t>
      </w:r>
      <w:r w:rsidR="003812D8" w:rsidRPr="00DE1E8C">
        <w:rPr>
          <w:lang w:val="en-GB"/>
        </w:rPr>
        <w:t>).</w:t>
      </w:r>
      <w:r w:rsidR="007D7253" w:rsidRPr="00DE1E8C">
        <w:rPr>
          <w:lang w:val="en-GB"/>
        </w:rPr>
        <w:t xml:space="preserve"> </w:t>
      </w:r>
    </w:p>
    <w:p w14:paraId="1935982D" w14:textId="0BF86F04" w:rsidR="00F34DE6" w:rsidRPr="00DE1E8C" w:rsidRDefault="00031D29" w:rsidP="00551517">
      <w:pPr>
        <w:spacing w:line="360" w:lineRule="auto"/>
        <w:contextualSpacing/>
        <w:jc w:val="both"/>
        <w:rPr>
          <w:lang w:val="en-GB"/>
        </w:rPr>
      </w:pPr>
      <w:r w:rsidRPr="00DE1E8C">
        <w:rPr>
          <w:lang w:val="en-GB"/>
        </w:rPr>
        <w:t xml:space="preserve">  </w:t>
      </w:r>
      <w:r w:rsidR="00F34DE6" w:rsidRPr="00DE1E8C">
        <w:rPr>
          <w:lang w:val="en-GB"/>
        </w:rPr>
        <w:t xml:space="preserve"> </w:t>
      </w:r>
    </w:p>
    <w:p w14:paraId="5FE008DB" w14:textId="255E0D44" w:rsidR="00BA1AFB" w:rsidRPr="00DE1E8C" w:rsidRDefault="00F8672D" w:rsidP="00551517">
      <w:pPr>
        <w:spacing w:line="360" w:lineRule="auto"/>
        <w:contextualSpacing/>
        <w:jc w:val="both"/>
        <w:rPr>
          <w:lang w:val="en-GB"/>
        </w:rPr>
      </w:pPr>
      <w:r w:rsidRPr="00DE1E8C">
        <w:rPr>
          <w:lang w:val="en-GB"/>
        </w:rPr>
        <w:t>W</w:t>
      </w:r>
      <w:r w:rsidR="00B95CD7" w:rsidRPr="00DE1E8C">
        <w:rPr>
          <w:lang w:val="en-GB"/>
        </w:rPr>
        <w:t xml:space="preserve">e applied a hierarchical DDM (hDDM), </w:t>
      </w:r>
      <w:r w:rsidR="00883722" w:rsidRPr="00DE1E8C">
        <w:rPr>
          <w:lang w:val="en-GB"/>
        </w:rPr>
        <w:t xml:space="preserve">implemented in python </w:t>
      </w:r>
      <w:r w:rsidR="00D63E8E" w:rsidRPr="00DE1E8C">
        <w:rPr>
          <w:lang w:val="en-GB"/>
        </w:rPr>
        <w:t xml:space="preserve">2.7 </w:t>
      </w:r>
      <w:r w:rsidR="00B95CD7" w:rsidRPr="00DE1E8C">
        <w:rPr>
          <w:lang w:val="en-GB"/>
        </w:rPr>
        <w:t>using the hDDM toolbox (</w:t>
      </w:r>
      <w:hyperlink r:id="rId16" w:history="1">
        <w:r w:rsidR="00B95CD7" w:rsidRPr="00DE1E8C">
          <w:rPr>
            <w:rStyle w:val="Hyperlink"/>
            <w:lang w:val="en-GB"/>
          </w:rPr>
          <w:t>http://ski.clps.brown.edu/hddm_docs/</w:t>
        </w:r>
      </w:hyperlink>
      <w:r w:rsidR="00C40A67" w:rsidRPr="00DE1E8C">
        <w:rPr>
          <w:rFonts w:eastAsiaTheme="minorEastAsia"/>
          <w:lang w:val="en-GB" w:eastAsia="en-US"/>
        </w:rPr>
        <w:t xml:space="preserve"> </w:t>
      </w:r>
      <w:r w:rsidR="00C40A67" w:rsidRPr="00DE1E8C">
        <w:rPr>
          <w:rFonts w:eastAsiaTheme="minorEastAsia"/>
          <w:lang w:val="en-GB" w:eastAsia="en-US"/>
        </w:rPr>
        <w:fldChar w:fldCharType="begin"/>
      </w:r>
      <w:r w:rsidR="00E805F6" w:rsidRPr="00DE1E8C">
        <w:rPr>
          <w:rFonts w:eastAsiaTheme="minorEastAsia"/>
          <w:lang w:val="en-GB" w:eastAsia="en-US"/>
        </w:rPr>
        <w:instrText xml:space="preserve"> ADDIN ZOTERO_ITEM CSL_CITATION {"citationID":"h88JcBGL","properties":{"formattedCitation":"(Wiecki {\\i{}et al.}, 2013)","plainCitation":"(Wiecki et al., 2013)","noteIndex":0},"citationItems":[{"id":5521,"uris":["http://zotero.org/users/local/xUwQuTPV/items/FNYE4G39"],"uri":["http://zotero.org/users/local/xUwQuTPV/items/FNYE4G39"],"itemData":{"id":5521,"type":"article-journal","abstract":"The diffusion model is a commonly used tool to infer latent psychological processes underlying decision-making, and to link them to neural mechanisms based on response times. Although efficient open source software has been made available to quantitatively fit the model to data, current estimation methods require an abundance of response time measurements to recover meaningful parameters, and only provide point estimates of each parameter. In contrast, hierarchical Bayesian parameter estimation methods are useful for enhancing statistical power, allowing for simultaneous estimation of individual subject parameters and the group distribution that they are drawn from, while also providing measures of uncertainty in these parameters in the posterior distribution. Here, we present a novel Python-based toolbox called HDDM (hierarchical drift diffusion model), which allows fast and flexible estimation of the the drift-diffusion model and the related linear ballistic accumulator model. HDDM requires fewer data per subject/condition than non-hierarchical methods, allows for full Bayesian data analysis, and can handle outliers in the data. Finally, HDDM supports the estimation of how trial-by-trial measurements (e.g., fMRI) influence decision-making parameters. This paper will first describe the theoretical background of the drift diffusion model and Bayesian inference. We then illustrate usage of the toolbox on a real-world data set from our lab. Finally, parameter recovery studies show that HDDM beats alternative fitting methods like the χ(2)-quantile method as well as maximum likelihood estimation. The software and documentation can be downloaded at: http://ski.clps.brown.edu/hddm_docs/","container-title":"Frontiers in neuroinformatics","DOI":"10.3389/fninf.2013.00014","journalAbbreviation":"Front Neuroinform","language":"English","note":"PMCID: PMC3731670","page":"14","title":"HDDM: Hierarchical Bayesian estimation of the Drift-Diffusion Model in Python.","volume":"7","author":[{"family":"Wiecki","given":"Thomas V."},{"family":"Sofer","given":"Imri"},{"family":"Frank","given":"Michael J."}],"issued":{"date-parts":[["2013"]]}}}],"schema":"https://github.com/citation-style-language/schema/raw/master/csl-citation.json"} </w:instrText>
      </w:r>
      <w:r w:rsidR="00C40A67" w:rsidRPr="00DE1E8C">
        <w:rPr>
          <w:rFonts w:eastAsiaTheme="minorEastAsia"/>
          <w:lang w:val="en-GB" w:eastAsia="en-US"/>
        </w:rPr>
        <w:fldChar w:fldCharType="separate"/>
      </w:r>
      <w:r w:rsidR="00E805F6" w:rsidRPr="00DE1E8C">
        <w:rPr>
          <w:lang w:val="en-GB"/>
        </w:rPr>
        <w:t xml:space="preserve">(Wiecki </w:t>
      </w:r>
      <w:r w:rsidR="00E805F6" w:rsidRPr="00DE1E8C">
        <w:rPr>
          <w:i/>
          <w:iCs/>
          <w:lang w:val="en-GB"/>
        </w:rPr>
        <w:t>et al.</w:t>
      </w:r>
      <w:r w:rsidR="00E805F6" w:rsidRPr="00DE1E8C">
        <w:rPr>
          <w:lang w:val="en-GB"/>
        </w:rPr>
        <w:t>, 2013)</w:t>
      </w:r>
      <w:r w:rsidR="00C40A67" w:rsidRPr="00DE1E8C">
        <w:rPr>
          <w:rFonts w:eastAsiaTheme="minorEastAsia"/>
          <w:lang w:val="en-GB" w:eastAsia="en-US"/>
        </w:rPr>
        <w:fldChar w:fldCharType="end"/>
      </w:r>
      <w:r w:rsidR="009E6C28" w:rsidRPr="00DE1E8C">
        <w:rPr>
          <w:rFonts w:eastAsiaTheme="minorEastAsia"/>
          <w:lang w:val="en-GB" w:eastAsia="en-US"/>
        </w:rPr>
        <w:t>)</w:t>
      </w:r>
      <w:r w:rsidR="00B95CD7" w:rsidRPr="00DE1E8C">
        <w:rPr>
          <w:lang w:val="en-GB"/>
        </w:rPr>
        <w:t xml:space="preserve"> to fit the response and reaction time data from the ANT. The hDDM uses Bayesian estimation to generate posterior distributions of DDM parameters at </w:t>
      </w:r>
      <w:r w:rsidR="00AD7220" w:rsidRPr="00DE1E8C">
        <w:rPr>
          <w:lang w:val="en-GB"/>
        </w:rPr>
        <w:t xml:space="preserve">both </w:t>
      </w:r>
      <w:r w:rsidR="00DB6DD4" w:rsidRPr="00DE1E8C">
        <w:rPr>
          <w:lang w:val="en-GB"/>
        </w:rPr>
        <w:t xml:space="preserve">the </w:t>
      </w:r>
      <w:r w:rsidR="00B95CD7" w:rsidRPr="00DE1E8C">
        <w:rPr>
          <w:lang w:val="en-GB"/>
        </w:rPr>
        <w:t xml:space="preserve">group and </w:t>
      </w:r>
      <w:r w:rsidR="00AD7220" w:rsidRPr="00DE1E8C">
        <w:rPr>
          <w:lang w:val="en-GB"/>
        </w:rPr>
        <w:t xml:space="preserve">individual </w:t>
      </w:r>
      <w:r w:rsidR="00B95CD7" w:rsidRPr="00DE1E8C">
        <w:rPr>
          <w:lang w:val="en-GB"/>
        </w:rPr>
        <w:t>subject levels. This approach optimises the trade-off between within</w:t>
      </w:r>
      <w:r w:rsidR="00FB053D" w:rsidRPr="00DE1E8C">
        <w:rPr>
          <w:lang w:val="en-GB"/>
        </w:rPr>
        <w:t>- and between-</w:t>
      </w:r>
      <w:r w:rsidR="00B95CD7" w:rsidRPr="00DE1E8C">
        <w:rPr>
          <w:lang w:val="en-GB"/>
        </w:rPr>
        <w:t>subject random effects, accounting for both within-subject variability and group level similarities, as individual parameters are constrained by a group level distribution.</w:t>
      </w:r>
    </w:p>
    <w:p w14:paraId="385197F1" w14:textId="77777777" w:rsidR="00366782" w:rsidRPr="00DE1E8C" w:rsidRDefault="00366782" w:rsidP="00551517">
      <w:pPr>
        <w:spacing w:line="360" w:lineRule="auto"/>
        <w:contextualSpacing/>
        <w:jc w:val="both"/>
        <w:rPr>
          <w:i/>
          <w:iCs/>
          <w:lang w:val="en-GB"/>
        </w:rPr>
      </w:pPr>
    </w:p>
    <w:p w14:paraId="6BABB71C" w14:textId="676F30C9" w:rsidR="00CD7D64" w:rsidRPr="00DE1E8C" w:rsidRDefault="00995CDC" w:rsidP="00551517">
      <w:pPr>
        <w:spacing w:line="360" w:lineRule="auto"/>
        <w:contextualSpacing/>
        <w:jc w:val="both"/>
        <w:rPr>
          <w:lang w:val="en-GB"/>
        </w:rPr>
      </w:pPr>
      <w:r w:rsidRPr="00DE1E8C">
        <w:rPr>
          <w:lang w:val="en-GB"/>
        </w:rPr>
        <w:t>Given the three different levels of perceptual difficulty in the task, we predicted that decision parameters (</w:t>
      </w:r>
      <w:r w:rsidRPr="00DE1E8C">
        <w:rPr>
          <w:i/>
          <w:lang w:val="en-GB"/>
        </w:rPr>
        <w:t>v</w:t>
      </w:r>
      <w:r w:rsidRPr="00DE1E8C">
        <w:rPr>
          <w:lang w:val="en-GB"/>
        </w:rPr>
        <w:t xml:space="preserve"> and</w:t>
      </w:r>
      <w:r w:rsidRPr="00DE1E8C">
        <w:rPr>
          <w:i/>
          <w:lang w:val="en-GB"/>
        </w:rPr>
        <w:t xml:space="preserve"> a</w:t>
      </w:r>
      <w:r w:rsidRPr="00DE1E8C">
        <w:rPr>
          <w:lang w:val="en-GB"/>
        </w:rPr>
        <w:t>) would vary as a function of condition. Given the comparable stimulus encoding and motor requirements across the three conditions, we assumed that non-decision time (</w:t>
      </w:r>
      <w:r w:rsidRPr="00DE1E8C">
        <w:rPr>
          <w:i/>
          <w:lang w:val="en-GB"/>
        </w:rPr>
        <w:t>T</w:t>
      </w:r>
      <w:r w:rsidRPr="00DE1E8C">
        <w:rPr>
          <w:lang w:val="en-GB"/>
        </w:rPr>
        <w:t>) would not vary across conditions. Left and right responses were counterbalanced, so we assumed an unbiased starting point (</w:t>
      </w:r>
      <w:r w:rsidRPr="00DE1E8C">
        <w:rPr>
          <w:i/>
          <w:lang w:val="en-GB"/>
        </w:rPr>
        <w:t>z</w:t>
      </w:r>
      <w:r w:rsidRPr="00DE1E8C">
        <w:rPr>
          <w:lang w:val="en-GB"/>
        </w:rPr>
        <w:t>).</w:t>
      </w:r>
    </w:p>
    <w:p w14:paraId="2FAF76DF" w14:textId="77777777" w:rsidR="00F96D51" w:rsidRPr="00DE1E8C" w:rsidRDefault="00F96D51" w:rsidP="00551517">
      <w:pPr>
        <w:spacing w:line="360" w:lineRule="auto"/>
        <w:contextualSpacing/>
        <w:jc w:val="both"/>
        <w:rPr>
          <w:lang w:val="en-GB"/>
        </w:rPr>
      </w:pPr>
    </w:p>
    <w:p w14:paraId="1957E5C2" w14:textId="2547FF9B" w:rsidR="008C3B6D" w:rsidRPr="00DE1E8C" w:rsidRDefault="00CD7D64" w:rsidP="004A2993">
      <w:pPr>
        <w:spacing w:line="360" w:lineRule="auto"/>
        <w:contextualSpacing/>
        <w:jc w:val="center"/>
        <w:rPr>
          <w:vertAlign w:val="subscript"/>
          <w:lang w:val="en-GB"/>
        </w:rPr>
      </w:pPr>
      <w:r w:rsidRPr="00DE1E8C">
        <w:rPr>
          <w:i/>
          <w:iCs/>
          <w:lang w:val="en-GB"/>
        </w:rPr>
        <w:t>v</w:t>
      </w:r>
      <w:r w:rsidR="002A7631" w:rsidRPr="00DE1E8C">
        <w:rPr>
          <w:vertAlign w:val="subscript"/>
          <w:lang w:val="en-GB"/>
        </w:rPr>
        <w:t>s</w:t>
      </w:r>
      <w:r w:rsidRPr="00DE1E8C">
        <w:rPr>
          <w:vertAlign w:val="subscript"/>
          <w:lang w:val="en-GB"/>
        </w:rPr>
        <w:t>,</w:t>
      </w:r>
      <w:r w:rsidR="002A7631" w:rsidRPr="00DE1E8C">
        <w:rPr>
          <w:vertAlign w:val="subscript"/>
          <w:lang w:val="en-GB"/>
        </w:rPr>
        <w:t xml:space="preserve">k = </w:t>
      </w:r>
      <w:r w:rsidR="002A7631" w:rsidRPr="00DE1E8C">
        <w:rPr>
          <w:i/>
          <w:iCs/>
          <w:lang w:val="en-GB"/>
        </w:rPr>
        <w:t>v</w:t>
      </w:r>
      <w:r w:rsidR="002A7631" w:rsidRPr="00DE1E8C">
        <w:rPr>
          <w:vertAlign w:val="subscript"/>
          <w:lang w:val="en-GB"/>
        </w:rPr>
        <w:t xml:space="preserve">s </w:t>
      </w:r>
      <w:r w:rsidR="002A7631" w:rsidRPr="00DE1E8C">
        <w:rPr>
          <w:lang w:val="en-GB"/>
        </w:rPr>
        <w:t>+ b</w:t>
      </w:r>
      <w:r w:rsidR="002A7631" w:rsidRPr="00DE1E8C">
        <w:rPr>
          <w:vertAlign w:val="subscript"/>
          <w:lang w:val="en-GB"/>
        </w:rPr>
        <w:t>1</w:t>
      </w:r>
      <w:r w:rsidR="002A7631" w:rsidRPr="00DE1E8C">
        <w:rPr>
          <w:lang w:val="en-GB"/>
        </w:rPr>
        <w:t>Condition</w:t>
      </w:r>
      <w:r w:rsidR="002A7631" w:rsidRPr="00DE1E8C">
        <w:rPr>
          <w:vertAlign w:val="subscript"/>
          <w:lang w:val="en-GB"/>
        </w:rPr>
        <w:t>k</w:t>
      </w:r>
    </w:p>
    <w:p w14:paraId="409B6A40" w14:textId="101C93D7" w:rsidR="00300513" w:rsidRPr="00DE1E8C" w:rsidRDefault="00300513" w:rsidP="004A2993">
      <w:pPr>
        <w:spacing w:line="360" w:lineRule="auto"/>
        <w:contextualSpacing/>
        <w:jc w:val="center"/>
        <w:rPr>
          <w:vertAlign w:val="subscript"/>
          <w:lang w:val="en-GB"/>
        </w:rPr>
      </w:pPr>
      <w:r w:rsidRPr="00DE1E8C">
        <w:rPr>
          <w:i/>
          <w:iCs/>
          <w:lang w:val="en-GB"/>
        </w:rPr>
        <w:t>a</w:t>
      </w:r>
      <w:r w:rsidRPr="00DE1E8C">
        <w:rPr>
          <w:vertAlign w:val="subscript"/>
          <w:lang w:val="en-GB"/>
        </w:rPr>
        <w:t xml:space="preserve">s,k = </w:t>
      </w:r>
      <w:r w:rsidRPr="00DE1E8C">
        <w:rPr>
          <w:i/>
          <w:iCs/>
          <w:lang w:val="en-GB"/>
        </w:rPr>
        <w:t>a</w:t>
      </w:r>
      <w:r w:rsidRPr="00DE1E8C">
        <w:rPr>
          <w:vertAlign w:val="subscript"/>
          <w:lang w:val="en-GB"/>
        </w:rPr>
        <w:t xml:space="preserve">s </w:t>
      </w:r>
      <w:r w:rsidRPr="00DE1E8C">
        <w:rPr>
          <w:lang w:val="en-GB"/>
        </w:rPr>
        <w:t>+ b</w:t>
      </w:r>
      <w:r w:rsidR="00D33251" w:rsidRPr="00DE1E8C">
        <w:rPr>
          <w:vertAlign w:val="subscript"/>
          <w:lang w:val="en-GB"/>
        </w:rPr>
        <w:t>2</w:t>
      </w:r>
      <w:r w:rsidRPr="00DE1E8C">
        <w:rPr>
          <w:lang w:val="en-GB"/>
        </w:rPr>
        <w:t>Condition</w:t>
      </w:r>
      <w:r w:rsidRPr="00DE1E8C">
        <w:rPr>
          <w:vertAlign w:val="subscript"/>
          <w:lang w:val="en-GB"/>
        </w:rPr>
        <w:t>k</w:t>
      </w:r>
    </w:p>
    <w:p w14:paraId="0E474182" w14:textId="01CD0791" w:rsidR="0061059E" w:rsidRPr="00DE1E8C" w:rsidRDefault="00D33251" w:rsidP="009058AB">
      <w:pPr>
        <w:spacing w:line="360" w:lineRule="auto"/>
        <w:contextualSpacing/>
        <w:jc w:val="right"/>
        <w:rPr>
          <w:lang w:val="en-GB"/>
        </w:rPr>
      </w:pPr>
      <w:r w:rsidRPr="00DE1E8C">
        <w:rPr>
          <w:lang w:val="en-GB"/>
        </w:rPr>
        <w:t>(Equation 1)</w:t>
      </w:r>
    </w:p>
    <w:p w14:paraId="31A7FD80" w14:textId="77777777" w:rsidR="009058AB" w:rsidRPr="00DE1E8C" w:rsidRDefault="009058AB" w:rsidP="009058AB">
      <w:pPr>
        <w:spacing w:line="360" w:lineRule="auto"/>
        <w:contextualSpacing/>
        <w:jc w:val="right"/>
        <w:rPr>
          <w:lang w:val="en-GB"/>
        </w:rPr>
      </w:pPr>
    </w:p>
    <w:p w14:paraId="1448B999" w14:textId="5EA8D9A3" w:rsidR="009C5018" w:rsidRPr="00DE1E8C" w:rsidRDefault="00E93D52" w:rsidP="00551517">
      <w:pPr>
        <w:spacing w:line="360" w:lineRule="auto"/>
        <w:contextualSpacing/>
        <w:jc w:val="both"/>
        <w:rPr>
          <w:sz w:val="20"/>
          <w:szCs w:val="20"/>
          <w:lang w:val="en-GB"/>
        </w:rPr>
      </w:pPr>
      <w:r w:rsidRPr="00DE1E8C">
        <w:rPr>
          <w:b/>
          <w:bCs/>
          <w:sz w:val="20"/>
          <w:szCs w:val="20"/>
          <w:lang w:val="en-GB"/>
        </w:rPr>
        <w:t>Equation</w:t>
      </w:r>
      <w:r w:rsidR="0061059E" w:rsidRPr="00DE1E8C">
        <w:rPr>
          <w:b/>
          <w:bCs/>
          <w:sz w:val="20"/>
          <w:szCs w:val="20"/>
          <w:lang w:val="en-GB"/>
        </w:rPr>
        <w:t xml:space="preserve"> </w:t>
      </w:r>
      <w:r w:rsidRPr="00DE1E8C">
        <w:rPr>
          <w:b/>
          <w:bCs/>
          <w:sz w:val="20"/>
          <w:szCs w:val="20"/>
          <w:lang w:val="en-GB"/>
        </w:rPr>
        <w:t>1:</w:t>
      </w:r>
      <w:r w:rsidRPr="00DE1E8C">
        <w:rPr>
          <w:sz w:val="20"/>
          <w:szCs w:val="20"/>
          <w:lang w:val="en-GB"/>
        </w:rPr>
        <w:t xml:space="preserve"> Where </w:t>
      </w:r>
      <w:r w:rsidRPr="00DE1E8C">
        <w:rPr>
          <w:i/>
          <w:iCs/>
          <w:sz w:val="20"/>
          <w:szCs w:val="20"/>
          <w:lang w:val="en-GB"/>
        </w:rPr>
        <w:t>v</w:t>
      </w:r>
      <w:r w:rsidRPr="00DE1E8C">
        <w:rPr>
          <w:sz w:val="20"/>
          <w:szCs w:val="20"/>
          <w:vertAlign w:val="subscript"/>
          <w:lang w:val="en-GB"/>
        </w:rPr>
        <w:t xml:space="preserve">s,k </w:t>
      </w:r>
      <w:r w:rsidRPr="00DE1E8C">
        <w:rPr>
          <w:sz w:val="20"/>
          <w:szCs w:val="20"/>
          <w:lang w:val="en-GB"/>
        </w:rPr>
        <w:t xml:space="preserve">and </w:t>
      </w:r>
      <w:r w:rsidRPr="00DE1E8C">
        <w:rPr>
          <w:i/>
          <w:iCs/>
          <w:sz w:val="20"/>
          <w:szCs w:val="20"/>
          <w:lang w:val="en-GB"/>
        </w:rPr>
        <w:t>a</w:t>
      </w:r>
      <w:r w:rsidRPr="00DE1E8C">
        <w:rPr>
          <w:sz w:val="20"/>
          <w:szCs w:val="20"/>
          <w:vertAlign w:val="subscript"/>
          <w:lang w:val="en-GB"/>
        </w:rPr>
        <w:t xml:space="preserve">s,k </w:t>
      </w:r>
      <w:r w:rsidRPr="00DE1E8C">
        <w:rPr>
          <w:sz w:val="20"/>
          <w:szCs w:val="20"/>
          <w:lang w:val="en-GB"/>
        </w:rPr>
        <w:t>are the drift rate and dec</w:t>
      </w:r>
      <w:r w:rsidR="00EC42DD" w:rsidRPr="00DE1E8C">
        <w:rPr>
          <w:sz w:val="20"/>
          <w:szCs w:val="20"/>
          <w:lang w:val="en-GB"/>
        </w:rPr>
        <w:t>ision</w:t>
      </w:r>
      <w:r w:rsidRPr="00DE1E8C">
        <w:rPr>
          <w:sz w:val="20"/>
          <w:szCs w:val="20"/>
          <w:lang w:val="en-GB"/>
        </w:rPr>
        <w:t xml:space="preserve"> boundary of participant </w:t>
      </w:r>
      <w:r w:rsidRPr="00DE1E8C">
        <w:rPr>
          <w:i/>
          <w:iCs/>
          <w:sz w:val="20"/>
          <w:szCs w:val="20"/>
          <w:lang w:val="en-GB"/>
        </w:rPr>
        <w:t xml:space="preserve">s </w:t>
      </w:r>
      <w:r w:rsidRPr="00DE1E8C">
        <w:rPr>
          <w:sz w:val="20"/>
          <w:szCs w:val="20"/>
          <w:lang w:val="en-GB"/>
        </w:rPr>
        <w:t xml:space="preserve">on trial </w:t>
      </w:r>
      <w:r w:rsidRPr="00DE1E8C">
        <w:rPr>
          <w:i/>
          <w:iCs/>
          <w:sz w:val="20"/>
          <w:szCs w:val="20"/>
          <w:lang w:val="en-GB"/>
        </w:rPr>
        <w:t>k.</w:t>
      </w:r>
      <w:r w:rsidR="00F56311" w:rsidRPr="00DE1E8C">
        <w:rPr>
          <w:i/>
          <w:iCs/>
          <w:sz w:val="20"/>
          <w:szCs w:val="20"/>
          <w:lang w:val="en-GB"/>
        </w:rPr>
        <w:t xml:space="preserve"> </w:t>
      </w:r>
      <w:r w:rsidR="00F56311" w:rsidRPr="00DE1E8C">
        <w:rPr>
          <w:sz w:val="20"/>
          <w:szCs w:val="20"/>
          <w:lang w:val="en-GB"/>
        </w:rPr>
        <w:t>Condition</w:t>
      </w:r>
      <w:r w:rsidR="00F56311" w:rsidRPr="00DE1E8C">
        <w:rPr>
          <w:sz w:val="20"/>
          <w:szCs w:val="20"/>
          <w:vertAlign w:val="subscript"/>
          <w:lang w:val="en-GB"/>
        </w:rPr>
        <w:t xml:space="preserve">k </w:t>
      </w:r>
      <w:r w:rsidR="00F56311" w:rsidRPr="00DE1E8C">
        <w:rPr>
          <w:sz w:val="20"/>
          <w:szCs w:val="20"/>
          <w:lang w:val="en-GB"/>
        </w:rPr>
        <w:t>is the condition (i.e.,</w:t>
      </w:r>
      <w:r w:rsidR="001C112E" w:rsidRPr="00DE1E8C">
        <w:rPr>
          <w:sz w:val="20"/>
          <w:szCs w:val="20"/>
          <w:lang w:val="en-GB"/>
        </w:rPr>
        <w:t xml:space="preserve"> </w:t>
      </w:r>
      <w:r w:rsidR="00EC42DD" w:rsidRPr="00DE1E8C">
        <w:rPr>
          <w:sz w:val="20"/>
          <w:szCs w:val="20"/>
          <w:lang w:val="en-GB"/>
        </w:rPr>
        <w:t xml:space="preserve">congruent, incongruent-EASY, incongruent-HARD) on trial </w:t>
      </w:r>
      <w:r w:rsidR="00EC42DD" w:rsidRPr="00DE1E8C">
        <w:rPr>
          <w:i/>
          <w:iCs/>
          <w:sz w:val="20"/>
          <w:szCs w:val="20"/>
          <w:lang w:val="en-GB"/>
        </w:rPr>
        <w:t>k</w:t>
      </w:r>
      <w:r w:rsidR="00EC42DD" w:rsidRPr="00DE1E8C">
        <w:rPr>
          <w:sz w:val="20"/>
          <w:szCs w:val="20"/>
          <w:lang w:val="en-GB"/>
        </w:rPr>
        <w:t>, and b</w:t>
      </w:r>
      <w:r w:rsidR="00EC42DD" w:rsidRPr="00DE1E8C">
        <w:rPr>
          <w:sz w:val="20"/>
          <w:szCs w:val="20"/>
          <w:vertAlign w:val="subscript"/>
          <w:lang w:val="en-GB"/>
        </w:rPr>
        <w:t>1</w:t>
      </w:r>
      <w:r w:rsidR="00EC42DD" w:rsidRPr="00DE1E8C">
        <w:rPr>
          <w:sz w:val="20"/>
          <w:szCs w:val="20"/>
          <w:lang w:val="en-GB"/>
        </w:rPr>
        <w:t xml:space="preserve"> and b</w:t>
      </w:r>
      <w:r w:rsidR="00EC42DD" w:rsidRPr="00DE1E8C">
        <w:rPr>
          <w:sz w:val="20"/>
          <w:szCs w:val="20"/>
          <w:vertAlign w:val="subscript"/>
          <w:lang w:val="en-GB"/>
        </w:rPr>
        <w:t xml:space="preserve">2 </w:t>
      </w:r>
      <w:r w:rsidR="00EC42DD" w:rsidRPr="00DE1E8C">
        <w:rPr>
          <w:sz w:val="20"/>
          <w:szCs w:val="20"/>
          <w:lang w:val="en-GB"/>
        </w:rPr>
        <w:t xml:space="preserve">the estimated regression coefficients.   </w:t>
      </w:r>
      <w:r w:rsidR="00F56311" w:rsidRPr="00DE1E8C">
        <w:rPr>
          <w:sz w:val="20"/>
          <w:szCs w:val="20"/>
          <w:lang w:val="en-GB"/>
        </w:rPr>
        <w:t xml:space="preserve"> </w:t>
      </w:r>
      <w:r w:rsidRPr="00DE1E8C">
        <w:rPr>
          <w:i/>
          <w:iCs/>
          <w:sz w:val="20"/>
          <w:szCs w:val="20"/>
          <w:lang w:val="en-GB"/>
        </w:rPr>
        <w:t xml:space="preserve"> </w:t>
      </w:r>
      <w:r w:rsidRPr="00DE1E8C">
        <w:rPr>
          <w:sz w:val="20"/>
          <w:szCs w:val="20"/>
          <w:lang w:val="en-GB"/>
        </w:rPr>
        <w:t xml:space="preserve"> </w:t>
      </w:r>
    </w:p>
    <w:p w14:paraId="6C605CA6" w14:textId="77777777" w:rsidR="008C3B6D" w:rsidRPr="00DE1E8C" w:rsidRDefault="008C3B6D" w:rsidP="00551517">
      <w:pPr>
        <w:spacing w:line="360" w:lineRule="auto"/>
        <w:contextualSpacing/>
        <w:jc w:val="both"/>
        <w:rPr>
          <w:lang w:val="en-GB"/>
        </w:rPr>
      </w:pPr>
    </w:p>
    <w:p w14:paraId="1EE648B2" w14:textId="1993C92D" w:rsidR="00901F3C" w:rsidRPr="00DE1E8C" w:rsidRDefault="00F96D51" w:rsidP="00551517">
      <w:pPr>
        <w:spacing w:line="360" w:lineRule="auto"/>
        <w:contextualSpacing/>
        <w:jc w:val="both"/>
        <w:rPr>
          <w:lang w:val="en-GB"/>
        </w:rPr>
      </w:pPr>
      <w:r w:rsidRPr="00DE1E8C">
        <w:rPr>
          <w:lang w:val="en-GB"/>
        </w:rPr>
        <w:t>We tested three models: the first allowed drift rate (</w:t>
      </w:r>
      <w:r w:rsidRPr="00DE1E8C">
        <w:rPr>
          <w:i/>
          <w:lang w:val="en-GB"/>
        </w:rPr>
        <w:t>v</w:t>
      </w:r>
      <w:r w:rsidRPr="00DE1E8C">
        <w:rPr>
          <w:lang w:val="en-GB"/>
        </w:rPr>
        <w:t>) to vary by condition, holding decision boundary (</w:t>
      </w:r>
      <w:r w:rsidRPr="00DE1E8C">
        <w:rPr>
          <w:i/>
          <w:lang w:val="en-GB"/>
        </w:rPr>
        <w:t>a</w:t>
      </w:r>
      <w:r w:rsidRPr="00DE1E8C">
        <w:rPr>
          <w:lang w:val="en-GB"/>
        </w:rPr>
        <w:t xml:space="preserve">) constant; the second allowed </w:t>
      </w:r>
      <w:r w:rsidRPr="00DE1E8C">
        <w:rPr>
          <w:i/>
          <w:lang w:val="en-GB"/>
        </w:rPr>
        <w:t>a</w:t>
      </w:r>
      <w:r w:rsidRPr="00DE1E8C">
        <w:rPr>
          <w:lang w:val="en-GB"/>
        </w:rPr>
        <w:t xml:space="preserve"> to vary across conditions, holding </w:t>
      </w:r>
      <w:r w:rsidRPr="00DE1E8C">
        <w:rPr>
          <w:i/>
          <w:lang w:val="en-GB"/>
        </w:rPr>
        <w:t>v</w:t>
      </w:r>
      <w:r w:rsidRPr="00DE1E8C">
        <w:rPr>
          <w:lang w:val="en-GB"/>
        </w:rPr>
        <w:t xml:space="preserve"> constant; in the third model, </w:t>
      </w:r>
      <w:r w:rsidRPr="00DE1E8C">
        <w:rPr>
          <w:i/>
          <w:lang w:val="en-GB"/>
        </w:rPr>
        <w:t>v</w:t>
      </w:r>
      <w:r w:rsidRPr="00DE1E8C">
        <w:rPr>
          <w:lang w:val="en-GB"/>
        </w:rPr>
        <w:t xml:space="preserve"> and </w:t>
      </w:r>
      <w:r w:rsidRPr="00DE1E8C">
        <w:rPr>
          <w:i/>
          <w:lang w:val="en-GB"/>
        </w:rPr>
        <w:t>a</w:t>
      </w:r>
      <w:r w:rsidRPr="00DE1E8C">
        <w:rPr>
          <w:lang w:val="en-GB"/>
        </w:rPr>
        <w:t xml:space="preserve"> were free to vary across conditions.</w:t>
      </w:r>
      <w:r w:rsidR="004D5247" w:rsidRPr="00DE1E8C">
        <w:rPr>
          <w:lang w:val="en-GB"/>
        </w:rPr>
        <w:t xml:space="preserve"> </w:t>
      </w:r>
      <w:r w:rsidR="00C3238B" w:rsidRPr="00DE1E8C">
        <w:rPr>
          <w:lang w:val="en-GB"/>
        </w:rPr>
        <w:t>For each model</w:t>
      </w:r>
      <w:r w:rsidR="00901F3C" w:rsidRPr="00DE1E8C">
        <w:rPr>
          <w:lang w:val="en-GB"/>
        </w:rPr>
        <w:t xml:space="preserve"> Markov Chain Monte</w:t>
      </w:r>
      <w:r w:rsidR="00C3238B" w:rsidRPr="00DE1E8C">
        <w:rPr>
          <w:lang w:val="en-GB"/>
        </w:rPr>
        <w:t xml:space="preserve"> Carlo simulations </w:t>
      </w:r>
      <w:r w:rsidR="00901F3C" w:rsidRPr="00DE1E8C">
        <w:rPr>
          <w:lang w:val="en-GB"/>
        </w:rPr>
        <w:t>generate</w:t>
      </w:r>
      <w:r w:rsidR="00434433" w:rsidRPr="00DE1E8C">
        <w:rPr>
          <w:lang w:val="en-GB"/>
        </w:rPr>
        <w:t>d</w:t>
      </w:r>
      <w:r w:rsidR="00901F3C" w:rsidRPr="00DE1E8C">
        <w:rPr>
          <w:lang w:val="en-GB"/>
        </w:rPr>
        <w:t xml:space="preserve"> </w:t>
      </w:r>
      <w:r w:rsidR="00405C06" w:rsidRPr="00DE1E8C">
        <w:rPr>
          <w:lang w:val="en-GB"/>
        </w:rPr>
        <w:t>95000</w:t>
      </w:r>
      <w:r w:rsidR="00901F3C" w:rsidRPr="00DE1E8C">
        <w:rPr>
          <w:lang w:val="en-GB"/>
        </w:rPr>
        <w:t xml:space="preserve"> samples from the joint po</w:t>
      </w:r>
      <w:r w:rsidR="00405C06" w:rsidRPr="00DE1E8C">
        <w:rPr>
          <w:lang w:val="en-GB"/>
        </w:rPr>
        <w:t>sterior parameter distribution, with the first 35000</w:t>
      </w:r>
      <w:r w:rsidR="000C1F80" w:rsidRPr="00DE1E8C">
        <w:rPr>
          <w:lang w:val="en-GB"/>
        </w:rPr>
        <w:t xml:space="preserve"> samples </w:t>
      </w:r>
      <w:r w:rsidR="00405C06" w:rsidRPr="00DE1E8C">
        <w:rPr>
          <w:lang w:val="en-GB"/>
        </w:rPr>
        <w:t>discarded as burn-in, using a thinning factor of 5</w:t>
      </w:r>
      <w:r w:rsidR="00434433" w:rsidRPr="00DE1E8C">
        <w:rPr>
          <w:lang w:val="en-GB"/>
        </w:rPr>
        <w:t xml:space="preserve"> with outliers specified at 5%. </w:t>
      </w:r>
      <w:r w:rsidR="00901F3C" w:rsidRPr="00DE1E8C">
        <w:rPr>
          <w:lang w:val="en-GB"/>
        </w:rPr>
        <w:t>Convergence was ass</w:t>
      </w:r>
      <w:r w:rsidR="004B653B" w:rsidRPr="00DE1E8C">
        <w:rPr>
          <w:lang w:val="en-GB"/>
        </w:rPr>
        <w:t>essed by visual</w:t>
      </w:r>
      <w:r w:rsidR="00BC0EDB" w:rsidRPr="00DE1E8C">
        <w:rPr>
          <w:lang w:val="en-GB"/>
        </w:rPr>
        <w:t xml:space="preserve"> inspection of Markov chains</w:t>
      </w:r>
      <w:r w:rsidR="0087188C" w:rsidRPr="00DE1E8C">
        <w:rPr>
          <w:lang w:val="en-GB"/>
        </w:rPr>
        <w:t>,</w:t>
      </w:r>
      <w:r w:rsidR="00BC0EDB" w:rsidRPr="00DE1E8C">
        <w:rPr>
          <w:lang w:val="en-GB"/>
        </w:rPr>
        <w:t xml:space="preserve"> and</w:t>
      </w:r>
      <w:r w:rsidR="0087188C" w:rsidRPr="00DE1E8C">
        <w:rPr>
          <w:lang w:val="en-GB"/>
        </w:rPr>
        <w:t xml:space="preserve"> with</w:t>
      </w:r>
      <w:r w:rsidR="00BC0EDB" w:rsidRPr="00DE1E8C">
        <w:rPr>
          <w:lang w:val="en-GB"/>
        </w:rPr>
        <w:t xml:space="preserve"> </w:t>
      </w:r>
      <w:r w:rsidR="00901F3C" w:rsidRPr="00DE1E8C">
        <w:rPr>
          <w:lang w:val="en-GB"/>
        </w:rPr>
        <w:t>the R-h</w:t>
      </w:r>
      <w:r w:rsidR="0087188C" w:rsidRPr="00DE1E8C">
        <w:rPr>
          <w:lang w:val="en-GB"/>
        </w:rPr>
        <w:t>at Gelman-Rubin statistic where</w:t>
      </w:r>
      <w:r w:rsidR="00BC0EDB" w:rsidRPr="00DE1E8C">
        <w:rPr>
          <w:lang w:val="en-GB"/>
        </w:rPr>
        <w:t xml:space="preserve"> successful co</w:t>
      </w:r>
      <w:r w:rsidR="00C66511" w:rsidRPr="00DE1E8C">
        <w:rPr>
          <w:lang w:val="en-GB"/>
        </w:rPr>
        <w:t>nvergence</w:t>
      </w:r>
      <w:r w:rsidR="0087188C" w:rsidRPr="00DE1E8C">
        <w:rPr>
          <w:lang w:val="en-GB"/>
        </w:rPr>
        <w:t xml:space="preserve"> is</w:t>
      </w:r>
      <w:r w:rsidR="00BC0EDB" w:rsidRPr="00DE1E8C">
        <w:rPr>
          <w:lang w:val="en-GB"/>
        </w:rPr>
        <w:t xml:space="preserve"> </w:t>
      </w:r>
      <w:r w:rsidR="00901F3C" w:rsidRPr="00DE1E8C">
        <w:rPr>
          <w:lang w:val="en-GB"/>
        </w:rPr>
        <w:t>indicated by values &lt;1.1</w:t>
      </w:r>
      <w:r w:rsidR="00114CE2" w:rsidRPr="00DE1E8C">
        <w:rPr>
          <w:lang w:val="en-GB"/>
        </w:rPr>
        <w:t xml:space="preserve"> </w:t>
      </w:r>
      <w:r w:rsidR="00114CE2" w:rsidRPr="00DE1E8C">
        <w:rPr>
          <w:lang w:val="en-GB"/>
        </w:rPr>
        <w:fldChar w:fldCharType="begin"/>
      </w:r>
      <w:r w:rsidR="00A867A4" w:rsidRPr="00DE1E8C">
        <w:rPr>
          <w:lang w:val="en-GB"/>
        </w:rPr>
        <w:instrText xml:space="preserve"> ADDIN ZOTERO_ITEM CSL_CITATION {"citationID":"smlMMtBu","properties":{"formattedCitation":"(Krypotos {\\i{}et al.}, 2015)","plainCitation":"(Krypotos et al., 2015)","noteIndex":0},"citationItems":[{"id":"pCIaS5xB/w8Ogoy8Z","uris":["http://zotero.org/users/local/xUwQuTPV/items/L4AID4DY"],"uri":["http://zotero.org/users/local/xUwQuTPV/items/L4AID4DY"],"itemData":{"id":5449,"type":"article-journal","abstract":"Common methods for analysing response time (RT) tasks, frequently used across different disciplines of psychology, suffer from a number of limitations such as the failure to directly measure the underlying latent processes of interest and the inability to take into account the uncertainty associated with each individual&amp;apos;s point estimate of performance. Here, we discuss a Bayesian hierarchical diffusion model and apply it to RT data. This model allows researchers to decompose performance into meaningful psychological processes and to account optimally for individual differences and commonalities, even with relatively sparse data. We highlight the advantages of the Bayesian hierarchical diffusion model decomposition by applying it to performance on Approach-Avoidance Tasks, widely used in the emotion and psychopathology literature. Model fits for two experimental data-sets demonstrate that the model performs well. The Bayesian hierarchical diffusion model overcomes important limitations of current analysis procedures and provides deeper insight in latent psychological processes of interest.","container-title":"Cognition and Emotion","DOI":"10.1080/02699931.2014.985635","issue":"8","journalAbbreviation":"Cognition and Emotion","language":"English","note":"PMCID: PMC4673543","page":"1424-1444","title":"A Bayesian hierarchical diffusion model decomposition of performance in Approach-Avoidance Tasks.","volume":"29","author":[{"family":"Krypotos","given":"Angelos-Miltiadis"},{"family":"Beckers","given":"Tom"},{"family":"Kindt","given":"Merel"},{"family":"Wagenmakers","given":"Eric-Jan"}],"issued":{"date-parts":[["2015"]]}}}],"schema":"https://github.com/citation-style-language/schema/raw/master/csl-citation.json"} </w:instrText>
      </w:r>
      <w:r w:rsidR="00114CE2" w:rsidRPr="00DE1E8C">
        <w:rPr>
          <w:lang w:val="en-GB"/>
        </w:rPr>
        <w:fldChar w:fldCharType="separate"/>
      </w:r>
      <w:r w:rsidR="00E805F6" w:rsidRPr="00DE1E8C">
        <w:rPr>
          <w:lang w:val="en-GB"/>
        </w:rPr>
        <w:t xml:space="preserve">(Krypotos </w:t>
      </w:r>
      <w:r w:rsidR="00E805F6" w:rsidRPr="00DE1E8C">
        <w:rPr>
          <w:i/>
          <w:iCs/>
          <w:lang w:val="en-GB"/>
        </w:rPr>
        <w:t>et al.</w:t>
      </w:r>
      <w:r w:rsidR="00E805F6" w:rsidRPr="00DE1E8C">
        <w:rPr>
          <w:lang w:val="en-GB"/>
        </w:rPr>
        <w:t>, 2015)</w:t>
      </w:r>
      <w:r w:rsidR="00114CE2" w:rsidRPr="00DE1E8C">
        <w:rPr>
          <w:lang w:val="en-GB"/>
        </w:rPr>
        <w:fldChar w:fldCharType="end"/>
      </w:r>
      <w:r w:rsidR="00901F3C" w:rsidRPr="00DE1E8C">
        <w:rPr>
          <w:lang w:val="en-GB"/>
        </w:rPr>
        <w:t xml:space="preserve">. The best </w:t>
      </w:r>
      <w:r w:rsidR="004B653B" w:rsidRPr="00DE1E8C">
        <w:rPr>
          <w:lang w:val="en-GB"/>
        </w:rPr>
        <w:t xml:space="preserve">fitting </w:t>
      </w:r>
      <w:r w:rsidR="00901F3C" w:rsidRPr="00DE1E8C">
        <w:rPr>
          <w:lang w:val="en-GB"/>
        </w:rPr>
        <w:t>m</w:t>
      </w:r>
      <w:r w:rsidR="004B653B" w:rsidRPr="00DE1E8C">
        <w:rPr>
          <w:lang w:val="en-GB"/>
        </w:rPr>
        <w:t>odel was determined via</w:t>
      </w:r>
      <w:r w:rsidR="00901F3C" w:rsidRPr="00DE1E8C">
        <w:rPr>
          <w:lang w:val="en-GB"/>
        </w:rPr>
        <w:t xml:space="preserve"> the deviance information criterion (DIC) of each model, which evaluates a model’s goodness-of</w:t>
      </w:r>
      <w:r w:rsidR="004B653B" w:rsidRPr="00DE1E8C">
        <w:rPr>
          <w:lang w:val="en-GB"/>
        </w:rPr>
        <w:t xml:space="preserve">-fit while accounting for </w:t>
      </w:r>
      <w:r w:rsidR="00901F3C" w:rsidRPr="00DE1E8C">
        <w:rPr>
          <w:lang w:val="en-GB"/>
        </w:rPr>
        <w:t>complexity (i.e., number of free parameters), with lower DIC values indicating better model fit</w:t>
      </w:r>
      <w:r w:rsidR="00114CE2" w:rsidRPr="00DE1E8C">
        <w:rPr>
          <w:lang w:val="en-GB"/>
        </w:rPr>
        <w:t xml:space="preserve"> </w:t>
      </w:r>
      <w:r w:rsidR="0053503C" w:rsidRPr="00DE1E8C">
        <w:rPr>
          <w:lang w:val="en-GB"/>
        </w:rPr>
        <w:fldChar w:fldCharType="begin"/>
      </w:r>
      <w:r w:rsidR="00E805F6" w:rsidRPr="00DE1E8C">
        <w:rPr>
          <w:lang w:val="en-GB"/>
        </w:rPr>
        <w:instrText xml:space="preserve"> ADDIN ZOTERO_ITEM CSL_CITATION {"citationID":"4bo167BM","properties":{"formattedCitation":"(Spiegelhalter {\\i{}et al.}, 2002)","plainCitation":"(Spiegelhalter et al., 2002)","noteIndex":0},"citationItems":[{"id":14105,"uris":["http://zotero.org/users/local/xUwQuTPV/items/RS599PF7"],"uri":["http://zotero.org/users/local/xUwQuTPV/items/RS599PF7"],"itemData":{"id":14105,"type":"article-journal","abstract":"Summary. We consider the problem of comparing complex hierarchical models in which the number of parameters is not clearly defined. Using an information theoretic argument we derive a measure pD for the effective number of parameters in a model as the difference between the posterior mean of the deviance and the deviance at the posterior means of the parameters of interest. In general pD approximately corresponds to the trace of the product of Fisher's information and the posterior covariance, which in normal models is the trace of the ‘hat’ matrix projecting observations onto fitted values. Its properties in exponential families are explored. The posterior mean deviance is suggested as a Bayesian measure of fit or adequacy, and the contributions of individual observations to the fit and complexity can give rise to a diagnostic plot of deviance residuals against leverages. Adding pD to the posterior mean deviance gives a deviance information criterion for comparing models, which is related to other information criteria and has an approximate decision theoretic justification. The procedure is illustrated in some examples, and comparisons are drawn with alternative Bayesian and classical proposals. Throughout it is emphasized that the quantities required are trivial to compute in a Markov chain Monte Carlo analysis.","container-title":"Journal of the Royal Statistical Society: Series B (Statistical Methodology)","DOI":"10.1111/1467-9868.00353","ISSN":"1467-9868","issue":"4","language":"en","note":"_eprint: https://rss.onlinelibrary.wiley.com/doi/pdf/10.1111/1467-9868.00353","page":"583-639","source":"Wiley Online Library","title":"Bayesian measures of model complexity and fit","volume":"64","author":[{"family":"Spiegelhalter","given":"David J."},{"family":"Best","given":"Nicola G."},{"family":"Carlin","given":"Bradley P."},{"family":"Linde","given":"Angelika Van Der"}],"issued":{"date-parts":[["2002"]]}}}],"schema":"https://github.com/citation-style-language/schema/raw/master/csl-citation.json"} </w:instrText>
      </w:r>
      <w:r w:rsidR="0053503C" w:rsidRPr="00DE1E8C">
        <w:rPr>
          <w:lang w:val="en-GB"/>
        </w:rPr>
        <w:fldChar w:fldCharType="separate"/>
      </w:r>
      <w:r w:rsidR="00E805F6" w:rsidRPr="00DE1E8C">
        <w:rPr>
          <w:lang w:val="en-GB"/>
        </w:rPr>
        <w:t xml:space="preserve">(Spiegelhalter </w:t>
      </w:r>
      <w:r w:rsidR="00E805F6" w:rsidRPr="00DE1E8C">
        <w:rPr>
          <w:i/>
          <w:iCs/>
          <w:lang w:val="en-GB"/>
        </w:rPr>
        <w:t>et al.</w:t>
      </w:r>
      <w:r w:rsidR="00E805F6" w:rsidRPr="00DE1E8C">
        <w:rPr>
          <w:lang w:val="en-GB"/>
        </w:rPr>
        <w:t>, 2002)</w:t>
      </w:r>
      <w:r w:rsidR="0053503C" w:rsidRPr="00DE1E8C">
        <w:rPr>
          <w:lang w:val="en-GB"/>
        </w:rPr>
        <w:fldChar w:fldCharType="end"/>
      </w:r>
      <w:r w:rsidR="00DA039A" w:rsidRPr="00DE1E8C">
        <w:rPr>
          <w:lang w:val="en-GB"/>
        </w:rPr>
        <w:t xml:space="preserve">. </w:t>
      </w:r>
      <w:r w:rsidR="002C4CF4" w:rsidRPr="00DE1E8C">
        <w:rPr>
          <w:lang w:val="en-GB"/>
        </w:rPr>
        <w:t>We ran posterior predictive checks to confirm that the model could reliably reproduce key patterns in the observed data</w:t>
      </w:r>
      <w:r w:rsidR="006B1E73" w:rsidRPr="00DE1E8C">
        <w:rPr>
          <w:rFonts w:eastAsiaTheme="minorEastAsia"/>
          <w:lang w:val="en-GB" w:eastAsia="en-US"/>
        </w:rPr>
        <w:t xml:space="preserve"> </w:t>
      </w:r>
      <w:r w:rsidR="006B1E73" w:rsidRPr="00DE1E8C">
        <w:rPr>
          <w:rFonts w:eastAsiaTheme="minorEastAsia"/>
          <w:lang w:val="en-GB" w:eastAsia="en-US"/>
        </w:rPr>
        <w:fldChar w:fldCharType="begin"/>
      </w:r>
      <w:r w:rsidR="00E805F6" w:rsidRPr="00DE1E8C">
        <w:rPr>
          <w:rFonts w:eastAsiaTheme="minorEastAsia"/>
          <w:lang w:val="en-GB" w:eastAsia="en-US"/>
        </w:rPr>
        <w:instrText xml:space="preserve"> ADDIN ZOTERO_ITEM CSL_CITATION {"citationID":"DEi5EoJB","properties":{"formattedCitation":"(Wiecki {\\i{}et al.}, 2013)","plainCitation":"(Wiecki et al., 2013)","noteIndex":0},"citationItems":[{"id":5521,"uris":["http://zotero.org/users/local/xUwQuTPV/items/FNYE4G39"],"uri":["http://zotero.org/users/local/xUwQuTPV/items/FNYE4G39"],"itemData":{"id":5521,"type":"article-journal","abstract":"The diffusion model is a commonly used tool to infer latent psychological processes underlying decision-making, and to link them to neural mechanisms based on response times. Although efficient open source software has been made available to quantitatively fit the model to data, current estimation methods require an abundance of response time measurements to recover meaningful parameters, and only provide point estimates of each parameter. In contrast, hierarchical Bayesian parameter estimation methods are useful for enhancing statistical power, allowing for simultaneous estimation of individual subject parameters and the group distribution that they are drawn from, while also providing measures of uncertainty in these parameters in the posterior distribution. Here, we present a novel Python-based toolbox called HDDM (hierarchical drift diffusion model), which allows fast and flexible estimation of the the drift-diffusion model and the related linear ballistic accumulator model. HDDM requires fewer data per subject/condition than non-hierarchical methods, allows for full Bayesian data analysis, and can handle outliers in the data. Finally, HDDM supports the estimation of how trial-by-trial measurements (e.g., fMRI) influence decision-making parameters. This paper will first describe the theoretical background of the drift diffusion model and Bayesian inference. We then illustrate usage of the toolbox on a real-world data set from our lab. Finally, parameter recovery studies show that HDDM beats alternative fitting methods like the χ(2)-quantile method as well as maximum likelihood estimation. The software and documentation can be downloaded at: http://ski.clps.brown.edu/hddm_docs/","container-title":"Frontiers in neuroinformatics","DOI":"10.3389/fninf.2013.00014","journalAbbreviation":"Front Neuroinform","language":"English","note":"PMCID: PMC3731670","page":"14","title":"HDDM: Hierarchical Bayesian estimation of the Drift-Diffusion Model in Python.","volume":"7","author":[{"family":"Wiecki","given":"Thomas V."},{"family":"Sofer","given":"Imri"},{"family":"Frank","given":"Michael J."}],"issued":{"date-parts":[["2013"]]}}}],"schema":"https://github.com/citation-style-language/schema/raw/master/csl-citation.json"} </w:instrText>
      </w:r>
      <w:r w:rsidR="006B1E73" w:rsidRPr="00DE1E8C">
        <w:rPr>
          <w:rFonts w:eastAsiaTheme="minorEastAsia"/>
          <w:lang w:val="en-GB" w:eastAsia="en-US"/>
        </w:rPr>
        <w:fldChar w:fldCharType="separate"/>
      </w:r>
      <w:r w:rsidR="00E805F6" w:rsidRPr="00DE1E8C">
        <w:rPr>
          <w:lang w:val="en-GB"/>
        </w:rPr>
        <w:t xml:space="preserve">(Wiecki </w:t>
      </w:r>
      <w:r w:rsidR="00E805F6" w:rsidRPr="00DE1E8C">
        <w:rPr>
          <w:i/>
          <w:iCs/>
          <w:lang w:val="en-GB"/>
        </w:rPr>
        <w:t>et al.</w:t>
      </w:r>
      <w:r w:rsidR="00E805F6" w:rsidRPr="00DE1E8C">
        <w:rPr>
          <w:lang w:val="en-GB"/>
        </w:rPr>
        <w:t>, 2013)</w:t>
      </w:r>
      <w:r w:rsidR="006B1E73" w:rsidRPr="00DE1E8C">
        <w:rPr>
          <w:rFonts w:eastAsiaTheme="minorEastAsia"/>
          <w:lang w:val="en-GB" w:eastAsia="en-US"/>
        </w:rPr>
        <w:fldChar w:fldCharType="end"/>
      </w:r>
      <w:r w:rsidR="002C4CF4" w:rsidRPr="00DE1E8C">
        <w:rPr>
          <w:lang w:val="en-GB"/>
        </w:rPr>
        <w:t xml:space="preserve">. </w:t>
      </w:r>
      <w:r w:rsidR="005837EF" w:rsidRPr="00DE1E8C">
        <w:rPr>
          <w:lang w:val="en-GB"/>
        </w:rPr>
        <w:t>This involved</w:t>
      </w:r>
      <w:r w:rsidR="002C4CF4" w:rsidRPr="00DE1E8C">
        <w:rPr>
          <w:lang w:val="en-GB"/>
        </w:rPr>
        <w:t xml:space="preserve"> </w:t>
      </w:r>
      <w:r w:rsidR="005837EF" w:rsidRPr="00DE1E8C">
        <w:rPr>
          <w:lang w:val="en-GB"/>
        </w:rPr>
        <w:t>simulating</w:t>
      </w:r>
      <w:r w:rsidR="002C4CF4" w:rsidRPr="00DE1E8C">
        <w:rPr>
          <w:lang w:val="en-GB"/>
        </w:rPr>
        <w:t xml:space="preserve"> data based on 500 parameter values from the model’s posterior</w:t>
      </w:r>
      <w:r w:rsidR="001B5424" w:rsidRPr="00DE1E8C">
        <w:rPr>
          <w:lang w:val="en-GB"/>
        </w:rPr>
        <w:t xml:space="preserve"> to compare the simulated with the observed dat</w:t>
      </w:r>
      <w:r w:rsidR="006F5710" w:rsidRPr="00DE1E8C">
        <w:rPr>
          <w:lang w:val="en-GB"/>
        </w:rPr>
        <w:t xml:space="preserve">a. </w:t>
      </w:r>
    </w:p>
    <w:p w14:paraId="071ED70F" w14:textId="452D0AC7" w:rsidR="00C126C0" w:rsidRPr="00DE1E8C" w:rsidRDefault="00C126C0" w:rsidP="00551517">
      <w:pPr>
        <w:spacing w:line="360" w:lineRule="auto"/>
        <w:contextualSpacing/>
        <w:jc w:val="both"/>
        <w:rPr>
          <w:lang w:val="en-GB"/>
        </w:rPr>
      </w:pPr>
    </w:p>
    <w:p w14:paraId="6CB8DC5A" w14:textId="5B67F87F" w:rsidR="00A429D7" w:rsidRPr="00DE1E8C" w:rsidRDefault="00C126C0" w:rsidP="00551517">
      <w:pPr>
        <w:spacing w:line="360" w:lineRule="auto"/>
        <w:contextualSpacing/>
        <w:jc w:val="both"/>
        <w:rPr>
          <w:lang w:val="en-GB"/>
        </w:rPr>
      </w:pPr>
      <w:r w:rsidRPr="00DE1E8C">
        <w:rPr>
          <w:lang w:val="en-GB"/>
        </w:rPr>
        <w:t xml:space="preserve">Results from the hDDM were analysed using Bayesian hypothesis testing to determine the extent of overlap between the samples drawn from two posterior density distributions. Posterior probabilities </w:t>
      </w:r>
      <w:r w:rsidR="00967782" w:rsidRPr="00DE1E8C">
        <w:rPr>
          <w:lang w:val="en-GB"/>
        </w:rPr>
        <w:t>can be</w:t>
      </w:r>
      <w:r w:rsidRPr="00DE1E8C">
        <w:rPr>
          <w:lang w:val="en-GB"/>
        </w:rPr>
        <w:t xml:space="preserve"> considered significantly different if &lt; 5% of the distributions overlap</w:t>
      </w:r>
      <w:r w:rsidR="000842CA" w:rsidRPr="00DE1E8C">
        <w:rPr>
          <w:lang w:val="en-GB"/>
        </w:rPr>
        <w:t xml:space="preserve"> </w:t>
      </w:r>
      <w:r w:rsidR="00670C9B" w:rsidRPr="00DE1E8C">
        <w:rPr>
          <w:lang w:val="en-GB"/>
        </w:rPr>
        <w:fldChar w:fldCharType="begin"/>
      </w:r>
      <w:r w:rsidR="00E805F6" w:rsidRPr="00DE1E8C">
        <w:rPr>
          <w:lang w:val="en-GB"/>
        </w:rPr>
        <w:instrText xml:space="preserve"> ADDIN ZOTERO_ITEM CSL_CITATION {"citationID":"vYuYrxO5","properties":{"formattedCitation":"(Wiecki {\\i{}et al.}, 2013; Cavanagh {\\i{}et al.}, 2014; Herz {\\i{}et al.}, 2016)","plainCitation":"(Wiecki et al., 2013; Cavanagh et al., 2014; Herz et al., 2016)","noteIndex":0},"citationItems":[{"id":5521,"uris":["http://zotero.org/users/local/xUwQuTPV/items/FNYE4G39"],"uri":["http://zotero.org/users/local/xUwQuTPV/items/FNYE4G39"],"itemData":{"id":5521,"type":"article-journal","abstract":"The diffusion model is a commonly used tool to infer latent psychological processes underlying decision-making, and to link them to neural mechanisms based on response times. Although efficient open source software has been made available to quantitatively fit the model to data, current estimation methods require an abundance of response time measurements to recover meaningful parameters, and only provide point estimates of each parameter. In contrast, hierarchical Bayesian parameter estimation methods are useful for enhancing statistical power, allowing for simultaneous estimation of individual subject parameters and the group distribution that they are drawn from, while also providing measures of uncertainty in these parameters in the posterior distribution. Here, we present a novel Python-based toolbox called HDDM (hierarchical drift diffusion model), which allows fast and flexible estimation of the the drift-diffusion model and the related linear ballistic accumulator model. HDDM requires fewer data per subject/condition than non-hierarchical methods, allows for full Bayesian data analysis, and can handle outliers in the data. Finally, HDDM supports the estimation of how trial-by-trial measurements (e.g., fMRI) influence decision-making parameters. This paper will first describe the theoretical background of the drift diffusion model and Bayesian inference. We then illustrate usage of the toolbox on a real-world data set from our lab. Finally, parameter recovery studies show that HDDM beats alternative fitting methods like the χ(2)-quantile method as well as maximum likelihood estimation. The software and documentation can be downloaded at: http://ski.clps.brown.edu/hddm_docs/","container-title":"Frontiers in neuroinformatics","DOI":"10.3389/fninf.2013.00014","journalAbbreviation":"Front Neuroinform","language":"English","note":"PMCID: PMC3731670","page":"14","title":"HDDM: Hierarchical Bayesian estimation of the Drift-Diffusion Model in Python.","volume":"7","author":[{"family":"Wiecki","given":"Thomas V."},{"family":"Sofer","given":"Imri"},{"family":"Frank","given":"Michael J."}],"issued":{"date-parts":[["2013"]]}}},{"id":11774,"uris":["http://zotero.org/users/local/xUwQuTPV/items/V8KK9B29"],"uri":["http://zotero.org/users/local/xUwQuTPV/items/V8KK9B29"],"itemData":{"id":11774,"type":"article-journal","abstract":"Can you predict what people are going to do just by watching them? This is certainly difficult: it would require a clear mapping between observable indicators and unobservable cognitive states. In this report, we demonstrate how this is possible by monitoring eye gaze and pupil dilation, which predict dissociable biases during decision making. We quantified decision making using the drift diffusion model (DDM), which provides an algorithmic account of how evidence accumulation and response caution contribute to decisions through separate latent parameters of drift rate and decision threshold, respectively. We used a hierarchical Bayesian estimation approach to assess the single trial influence of observable physiological signals on these latent DDM parameters. Increased eye gaze dwell time specifically predicted an increased drift rate toward the fixated option, irrespective of the value of the option. In contrast, greater pupil dilation specifically predicted an increase in decision threshold during difficult decisions. These findings suggest that eye tracking and pupillometry reflect the operations of dissociated latent decision processes.","container-title":"Journal of Experimental Psychology: General","DOI":"10.1037/a0035813","ISSN":"1939-2222, 0096-3445","issue":"4","journalAbbreviation":"Journal of Experimental Psychology: General","language":"en","page":"1476-1488","source":"DOI.org (Crossref)","title":"Eye tracking and pupillometry are indicators of dissociable latent decision processes.","volume":"143","author":[{"family":"Cavanagh","given":"James F."},{"family":"Wiecki","given":"Thomas V."},{"family":"Kochar","given":"Angad"},{"family":"Frank","given":"Michael J."}],"issued":{"date-parts":[["2014"]]}}},{"id":11778,"uris":["http://zotero.org/users/local/xUwQuTPV/items/3YYYIJJV"],"uri":["http://zotero.org/users/local/xUwQuTPV/items/3YYYIJJV"],"itemData":{"id":11778,"type":"article-journal","container-title":"Current Biology","DOI":"10.1016/j.cub.2016.01.051","ISSN":"09609822","issue":"7","journalAbbreviation":"Current Biology","language":"en","page":"916-920","source":"DOI.org (Crossref)","title":"Neural Correlates of Decision Thresholds in the Human Subthalamic Nucleus","volume":"26","author":[{"family":"Herz","given":"Damian M."},{"family":"Zavala","given":"Baltazar A."},{"family":"Bogacz","given":"Rafal"},{"family":"Brown","given":"Peter"}],"issued":{"date-parts":[["2016",4]]}}}],"schema":"https://github.com/citation-style-language/schema/raw/master/csl-citation.json"} </w:instrText>
      </w:r>
      <w:r w:rsidR="00670C9B" w:rsidRPr="00DE1E8C">
        <w:rPr>
          <w:lang w:val="en-GB"/>
        </w:rPr>
        <w:fldChar w:fldCharType="separate"/>
      </w:r>
      <w:r w:rsidR="00E805F6" w:rsidRPr="00DE1E8C">
        <w:rPr>
          <w:lang w:val="en-GB"/>
        </w:rPr>
        <w:t xml:space="preserve">(Wiecki </w:t>
      </w:r>
      <w:r w:rsidR="00E805F6" w:rsidRPr="00DE1E8C">
        <w:rPr>
          <w:i/>
          <w:iCs/>
          <w:lang w:val="en-GB"/>
        </w:rPr>
        <w:t>et al.</w:t>
      </w:r>
      <w:r w:rsidR="00E805F6" w:rsidRPr="00DE1E8C">
        <w:rPr>
          <w:lang w:val="en-GB"/>
        </w:rPr>
        <w:t xml:space="preserve">, 2013; Cavanagh </w:t>
      </w:r>
      <w:r w:rsidR="00E805F6" w:rsidRPr="00DE1E8C">
        <w:rPr>
          <w:i/>
          <w:iCs/>
          <w:lang w:val="en-GB"/>
        </w:rPr>
        <w:t>et al.</w:t>
      </w:r>
      <w:r w:rsidR="00E805F6" w:rsidRPr="00DE1E8C">
        <w:rPr>
          <w:lang w:val="en-GB"/>
        </w:rPr>
        <w:t xml:space="preserve">, 2014; Herz </w:t>
      </w:r>
      <w:r w:rsidR="00E805F6" w:rsidRPr="00DE1E8C">
        <w:rPr>
          <w:i/>
          <w:iCs/>
          <w:lang w:val="en-GB"/>
        </w:rPr>
        <w:t>et al.</w:t>
      </w:r>
      <w:r w:rsidR="00E805F6" w:rsidRPr="00DE1E8C">
        <w:rPr>
          <w:lang w:val="en-GB"/>
        </w:rPr>
        <w:t>, 2016)</w:t>
      </w:r>
      <w:r w:rsidR="00670C9B" w:rsidRPr="00DE1E8C">
        <w:rPr>
          <w:lang w:val="en-GB"/>
        </w:rPr>
        <w:fldChar w:fldCharType="end"/>
      </w:r>
      <w:r w:rsidRPr="00DE1E8C">
        <w:rPr>
          <w:lang w:val="en-GB"/>
        </w:rPr>
        <w:t>. The p</w:t>
      </w:r>
      <w:r w:rsidR="00474CCC" w:rsidRPr="00DE1E8C">
        <w:rPr>
          <w:lang w:val="en-GB"/>
        </w:rPr>
        <w:t>ercentage</w:t>
      </w:r>
      <w:r w:rsidRPr="00DE1E8C">
        <w:rPr>
          <w:lang w:val="en-GB"/>
        </w:rPr>
        <w:t xml:space="preserve"> of overlap in the posterior probabilities is denoted by </w:t>
      </w:r>
      <w:r w:rsidRPr="00DE1E8C">
        <w:rPr>
          <w:i/>
          <w:lang w:val="en-GB"/>
        </w:rPr>
        <w:t>P</w:t>
      </w:r>
      <w:r w:rsidRPr="00DE1E8C">
        <w:rPr>
          <w:lang w:val="en-GB"/>
        </w:rPr>
        <w:t xml:space="preserve"> to distinguish it from the classical frequentist </w:t>
      </w:r>
      <w:r w:rsidRPr="00DE1E8C">
        <w:rPr>
          <w:i/>
          <w:lang w:val="en-GB"/>
        </w:rPr>
        <w:t>p</w:t>
      </w:r>
      <w:r w:rsidRPr="00DE1E8C">
        <w:rPr>
          <w:lang w:val="en-GB"/>
        </w:rPr>
        <w:t xml:space="preserve"> values. </w:t>
      </w:r>
    </w:p>
    <w:p w14:paraId="5C51621D" w14:textId="77777777" w:rsidR="00A429D7" w:rsidRPr="00DE1E8C" w:rsidRDefault="00A429D7" w:rsidP="00551517">
      <w:pPr>
        <w:spacing w:line="360" w:lineRule="auto"/>
        <w:contextualSpacing/>
        <w:jc w:val="both"/>
        <w:rPr>
          <w:lang w:val="en-GB"/>
        </w:rPr>
      </w:pPr>
    </w:p>
    <w:p w14:paraId="2E4203DD" w14:textId="2E692777" w:rsidR="00342E23" w:rsidRPr="00DE1E8C" w:rsidRDefault="00DD0A11" w:rsidP="00551517">
      <w:pPr>
        <w:spacing w:line="360" w:lineRule="auto"/>
        <w:contextualSpacing/>
        <w:jc w:val="both"/>
        <w:rPr>
          <w:b/>
          <w:i/>
          <w:lang w:val="en-GB"/>
        </w:rPr>
      </w:pPr>
      <w:r w:rsidRPr="00DE1E8C">
        <w:rPr>
          <w:b/>
          <w:i/>
          <w:lang w:val="en-GB"/>
        </w:rPr>
        <w:t>Regression analysis of t</w:t>
      </w:r>
      <w:r w:rsidR="00342E23" w:rsidRPr="00DE1E8C">
        <w:rPr>
          <w:b/>
          <w:i/>
          <w:lang w:val="en-GB"/>
        </w:rPr>
        <w:t>rial-by-trial</w:t>
      </w:r>
      <w:r w:rsidR="008D7325" w:rsidRPr="00DE1E8C">
        <w:rPr>
          <w:b/>
          <w:i/>
          <w:lang w:val="en-GB"/>
        </w:rPr>
        <w:t xml:space="preserve"> </w:t>
      </w:r>
      <w:r w:rsidR="000F4EB4" w:rsidRPr="00DE1E8C">
        <w:rPr>
          <w:b/>
          <w:i/>
          <w:lang w:val="en-GB"/>
        </w:rPr>
        <w:t xml:space="preserve">network </w:t>
      </w:r>
      <w:r w:rsidR="00342E23" w:rsidRPr="00DE1E8C">
        <w:rPr>
          <w:b/>
          <w:i/>
          <w:lang w:val="en-GB"/>
        </w:rPr>
        <w:t>activity on drift rate</w:t>
      </w:r>
    </w:p>
    <w:p w14:paraId="12B7EB01" w14:textId="1D516B34" w:rsidR="00E31618" w:rsidRPr="00DE1E8C" w:rsidRDefault="005B37ED" w:rsidP="00551517">
      <w:pPr>
        <w:spacing w:line="360" w:lineRule="auto"/>
        <w:contextualSpacing/>
        <w:jc w:val="both"/>
        <w:rPr>
          <w:lang w:val="en-GB"/>
        </w:rPr>
      </w:pPr>
      <w:r w:rsidRPr="00DE1E8C">
        <w:rPr>
          <w:lang w:val="en-GB"/>
        </w:rPr>
        <w:t>The hierarchical drift-diffusion model of the ANT (described in the previous section) identified the drift rate (</w:t>
      </w:r>
      <w:r w:rsidRPr="00DE1E8C">
        <w:rPr>
          <w:i/>
          <w:lang w:val="en-GB"/>
        </w:rPr>
        <w:t>v</w:t>
      </w:r>
      <w:r w:rsidRPr="00DE1E8C">
        <w:rPr>
          <w:lang w:val="en-GB"/>
        </w:rPr>
        <w:t xml:space="preserve">) </w:t>
      </w:r>
      <w:r w:rsidR="00EA313E" w:rsidRPr="00DE1E8C">
        <w:rPr>
          <w:lang w:val="en-GB"/>
        </w:rPr>
        <w:t xml:space="preserve">as the parameter of interest to differentiate between the </w:t>
      </w:r>
      <w:r w:rsidR="00FF7B46" w:rsidRPr="00DE1E8C">
        <w:rPr>
          <w:lang w:val="en-GB"/>
        </w:rPr>
        <w:t>Lewy body dementia</w:t>
      </w:r>
      <w:r w:rsidR="00EA313E" w:rsidRPr="00DE1E8C">
        <w:rPr>
          <w:lang w:val="en-GB"/>
        </w:rPr>
        <w:t xml:space="preserve"> and </w:t>
      </w:r>
      <w:r w:rsidR="00FF7B46" w:rsidRPr="00DE1E8C">
        <w:rPr>
          <w:lang w:val="en-GB"/>
        </w:rPr>
        <w:t>Alzheimer’s disease</w:t>
      </w:r>
      <w:r w:rsidR="00EA313E" w:rsidRPr="00DE1E8C">
        <w:rPr>
          <w:lang w:val="en-GB"/>
        </w:rPr>
        <w:t xml:space="preserve"> groups. </w:t>
      </w:r>
      <w:r w:rsidR="000F4EB4" w:rsidRPr="00DE1E8C">
        <w:rPr>
          <w:lang w:val="en-GB"/>
        </w:rPr>
        <w:t xml:space="preserve">To </w:t>
      </w:r>
      <w:r w:rsidR="00D117C9" w:rsidRPr="00DE1E8C">
        <w:rPr>
          <w:lang w:val="en-GB"/>
        </w:rPr>
        <w:t>explore</w:t>
      </w:r>
      <w:r w:rsidR="000F4EB4" w:rsidRPr="00DE1E8C">
        <w:rPr>
          <w:lang w:val="en-GB"/>
        </w:rPr>
        <w:t xml:space="preserve"> the relationship between fMRI activation and drift rate, we constructed a</w:t>
      </w:r>
      <w:r w:rsidR="004465F1" w:rsidRPr="00DE1E8C">
        <w:rPr>
          <w:lang w:val="en-GB"/>
        </w:rPr>
        <w:t xml:space="preserve"> regression</w:t>
      </w:r>
      <w:r w:rsidR="000F4EB4" w:rsidRPr="00DE1E8C">
        <w:rPr>
          <w:lang w:val="en-GB"/>
        </w:rPr>
        <w:t xml:space="preserve"> model to determine the</w:t>
      </w:r>
      <w:r w:rsidR="007944B9" w:rsidRPr="00DE1E8C">
        <w:rPr>
          <w:lang w:val="en-GB"/>
        </w:rPr>
        <w:t xml:space="preserve"> relationship between</w:t>
      </w:r>
      <w:r w:rsidR="000F4EB4" w:rsidRPr="00DE1E8C">
        <w:rPr>
          <w:lang w:val="en-GB"/>
        </w:rPr>
        <w:t xml:space="preserve"> trial-by-trial</w:t>
      </w:r>
      <w:r w:rsidR="007944B9" w:rsidRPr="00DE1E8C">
        <w:rPr>
          <w:lang w:val="en-GB"/>
        </w:rPr>
        <w:t xml:space="preserve"> </w:t>
      </w:r>
      <w:r w:rsidR="000F4EB4" w:rsidRPr="00DE1E8C">
        <w:rPr>
          <w:lang w:val="en-GB"/>
        </w:rPr>
        <w:t>activation in the dorsal attention and default networks</w:t>
      </w:r>
      <w:r w:rsidR="007E2B65" w:rsidRPr="00DE1E8C">
        <w:rPr>
          <w:lang w:val="en-GB"/>
        </w:rPr>
        <w:t>, and</w:t>
      </w:r>
      <w:r w:rsidR="000F4EB4" w:rsidRPr="00DE1E8C">
        <w:rPr>
          <w:lang w:val="en-GB"/>
        </w:rPr>
        <w:t xml:space="preserve"> the drift rate.</w:t>
      </w:r>
      <w:r w:rsidR="00EE5B34" w:rsidRPr="00DE1E8C">
        <w:rPr>
          <w:lang w:val="en-GB"/>
        </w:rPr>
        <w:t xml:space="preserve"> </w:t>
      </w:r>
      <w:r w:rsidR="008073DC" w:rsidRPr="00DE1E8C">
        <w:rPr>
          <w:lang w:val="en-GB"/>
        </w:rPr>
        <w:t xml:space="preserve">This </w:t>
      </w:r>
      <w:r w:rsidR="007951AA" w:rsidRPr="00DE1E8C">
        <w:rPr>
          <w:lang w:val="en-GB"/>
        </w:rPr>
        <w:t xml:space="preserve">regression model </w:t>
      </w:r>
      <w:r w:rsidR="00936BEB" w:rsidRPr="00DE1E8C">
        <w:rPr>
          <w:lang w:val="en-GB"/>
        </w:rPr>
        <w:t>allows estimation of</w:t>
      </w:r>
      <w:r w:rsidR="007951AA" w:rsidRPr="00DE1E8C">
        <w:rPr>
          <w:lang w:val="en-GB"/>
        </w:rPr>
        <w:t xml:space="preserve"> the relationship between</w:t>
      </w:r>
      <w:r w:rsidR="00936BEB" w:rsidRPr="00DE1E8C">
        <w:rPr>
          <w:lang w:val="en-GB"/>
        </w:rPr>
        <w:t xml:space="preserve"> </w:t>
      </w:r>
      <w:r w:rsidR="008073DC" w:rsidRPr="00DE1E8C">
        <w:rPr>
          <w:lang w:val="en-GB"/>
        </w:rPr>
        <w:t xml:space="preserve">trial-by-trial </w:t>
      </w:r>
      <w:r w:rsidR="007951AA" w:rsidRPr="00DE1E8C">
        <w:rPr>
          <w:lang w:val="en-GB"/>
        </w:rPr>
        <w:t>variations</w:t>
      </w:r>
      <w:r w:rsidR="008073DC" w:rsidRPr="00DE1E8C">
        <w:rPr>
          <w:lang w:val="en-GB"/>
        </w:rPr>
        <w:t xml:space="preserve"> in</w:t>
      </w:r>
      <w:r w:rsidR="00936BEB" w:rsidRPr="00DE1E8C">
        <w:rPr>
          <w:lang w:val="en-GB"/>
        </w:rPr>
        <w:t xml:space="preserve"> a covariate (e.g., BOLD activation) </w:t>
      </w:r>
      <w:r w:rsidR="007951AA" w:rsidRPr="00DE1E8C">
        <w:rPr>
          <w:lang w:val="en-GB"/>
        </w:rPr>
        <w:t>and the DDM parameter</w:t>
      </w:r>
      <w:r w:rsidR="00473296" w:rsidRPr="00DE1E8C">
        <w:rPr>
          <w:lang w:val="en-GB"/>
        </w:rPr>
        <w:t>s</w:t>
      </w:r>
      <w:r w:rsidR="00237AFA" w:rsidRPr="00DE1E8C">
        <w:rPr>
          <w:lang w:val="en-GB"/>
        </w:rPr>
        <w:t xml:space="preserve"> </w:t>
      </w:r>
      <w:r w:rsidR="00012208" w:rsidRPr="00DE1E8C">
        <w:rPr>
          <w:lang w:val="en-GB"/>
        </w:rPr>
        <w:fldChar w:fldCharType="begin"/>
      </w:r>
      <w:r w:rsidR="00E805F6" w:rsidRPr="00DE1E8C">
        <w:rPr>
          <w:lang w:val="en-GB"/>
        </w:rPr>
        <w:instrText xml:space="preserve"> ADDIN ZOTERO_ITEM CSL_CITATION {"citationID":"a2fhu6scnlo","properties":{"formattedCitation":"(Cavanagh {\\i{}et al.}, 2011; Wiecki {\\i{}et al.}, 2013; Herz {\\i{}et al.}, 2018)","plainCitation":"(Cavanagh et al., 2011; Wiecki et al., 2013; Herz et al., 2018)","noteIndex":0},"citationItems":[{"id":14322,"uris":["http://zotero.org/users/local/xUwQuTPV/items/548YJ5ZS"],"uri":["http://zotero.org/users/local/xUwQuTPV/items/548YJ5ZS"],"itemData":{"id":14322,"type":"article-journal","abstract":"One mechanism by which medial prefontal cortex (mPFC) exerts cognitive control is thought to involve the subthalamic nucleus (STN), which acts as a temporary brake on behavior. Here the authors found increases in mPFC and STN theta power as a function of decision conflict. Increases in mPFC theta power predicted increased decision thresholds. STN deep brain stimulation reversed this relationship, resulting in impulsive choice.","container-title":"Nature Neuroscience","DOI":"10.1038/nn.2925","ISSN":"1546-1726","issue":"11","language":"en","note":"number: 11\npublisher: Nature Publishing Group","page":"1462-1467","source":"www.nature.com","title":"Subthalamic nucleus stimulation reverses mediofrontal influence over decision threshold","volume":"14","author":[{"family":"Cavanagh","given":"James F."},{"family":"Wiecki","given":"Thomas V."},{"family":"Cohen","given":"Michael X."},{"family":"Figueroa","given":"Christina M."},{"family":"Samanta","given":"Johan"},{"family":"Sherman","given":"Scott J."},{"family":"Frank","given":"Michael J."}],"issued":{"date-parts":[["2011",11]]}}},{"id":5521,"uris":["http://zotero.org/users/local/xUwQuTPV/items/FNYE4G39"],"uri":["http://zotero.org/users/local/xUwQuTPV/items/FNYE4G39"],"itemData":{"id":5521,"type":"article-journal","abstract":"The diffusion model is a commonly used tool to infer latent psychological processes underlying decision-making, and to link them to neural mechanisms based on response times. Although efficient open source software has been made available to quantitatively fit the model to data, current estimation methods require an abundance of response time measurements to recover meaningful parameters, and only provide point estimates of each parameter. In contrast, hierarchical Bayesian parameter estimation methods are useful for enhancing statistical power, allowing for simultaneous estimation of individual subject parameters and the group distribution that they are drawn from, while also providing measures of uncertainty in these parameters in the posterior distribution. Here, we present a novel Python-based toolbox called HDDM (hierarchical drift diffusion model), which allows fast and flexible estimation of the the drift-diffusion model and the related linear ballistic accumulator model. HDDM requires fewer data per subject/condition than non-hierarchical methods, allows for full Bayesian data analysis, and can handle outliers in the data. Finally, HDDM supports the estimation of how trial-by-trial measurements (e.g., fMRI) influence decision-making parameters. This paper will first describe the theoretical background of the drift diffusion model and Bayesian inference. We then illustrate usage of the toolbox on a real-world data set from our lab. Finally, parameter recovery studies show that HDDM beats alternative fitting methods like the χ(2)-quantile method as well as maximum likelihood estimation. The software and documentation can be downloaded at: http://ski.clps.brown.edu/hddm_docs/","container-title":"Frontiers in neuroinformatics","DOI":"10.3389/fninf.2013.00014","journalAbbreviation":"Front Neuroinform","language":"English","note":"PMCID: PMC3731670","page":"14","title":"HDDM: Hierarchical Bayesian estimation of the Drift-Diffusion Model in Python.","volume":"7","author":[{"family":"Wiecki","given":"Thomas V."},{"family":"Sofer","given":"Imri"},{"family":"Frank","given":"Michael J."}],"issued":{"date-parts":[["2013"]]}}},{"id":5417,"uris":["http://zotero.org/users/local/xUwQuTPV/items/Z8M4LWQT"],"uri":["http://zotero.org/users/local/xUwQuTPV/items/Z8M4LWQT"],"itemData":{"id":5417,"type":"article-journal","abstract":"Current Biology, 28 (2018) 1169-1184. doi:10.1016/j.cub.2018.02.057","container-title":"CURBIO","DOI":"10.1016/j.cub.2018.02.057","issue":"8","journalAbbreviation":"CURBIO","page":"1169-1178.e6","title":"Mechanisms Underlying Decision-Making as Revealed by Deep-Brain Stimulation in Patients with Parkinson's Disease","volume":"28","author":[{"family":"Herz","given":"Damian M."},{"family":"Little","given":"Simon"},{"family":"Pedrosa","given":"David J."},{"family":"Tinkhauser","given":"Gerd"},{"family":"Cheeran","given":"Binith"},{"family":"Foltynie","given":"Tom"},{"family":"Bogacz","given":"Rafal"},{"family":"Brown","given":"Peter"}],"issued":{"date-parts":[["2018",4,23]]}}}],"schema":"https://github.com/citation-style-language/schema/raw/master/csl-citation.json"} </w:instrText>
      </w:r>
      <w:r w:rsidR="00012208" w:rsidRPr="00DE1E8C">
        <w:rPr>
          <w:lang w:val="en-GB"/>
        </w:rPr>
        <w:fldChar w:fldCharType="separate"/>
      </w:r>
      <w:r w:rsidR="00E805F6" w:rsidRPr="00DE1E8C">
        <w:rPr>
          <w:lang w:val="en-GB"/>
        </w:rPr>
        <w:t xml:space="preserve">(Cavanagh </w:t>
      </w:r>
      <w:r w:rsidR="00E805F6" w:rsidRPr="00DE1E8C">
        <w:rPr>
          <w:i/>
          <w:iCs/>
          <w:lang w:val="en-GB"/>
        </w:rPr>
        <w:t>et al.</w:t>
      </w:r>
      <w:r w:rsidR="00E805F6" w:rsidRPr="00DE1E8C">
        <w:rPr>
          <w:lang w:val="en-GB"/>
        </w:rPr>
        <w:t xml:space="preserve">, 2011; Wiecki </w:t>
      </w:r>
      <w:r w:rsidR="00E805F6" w:rsidRPr="00DE1E8C">
        <w:rPr>
          <w:i/>
          <w:iCs/>
          <w:lang w:val="en-GB"/>
        </w:rPr>
        <w:t>et al.</w:t>
      </w:r>
      <w:r w:rsidR="00E805F6" w:rsidRPr="00DE1E8C">
        <w:rPr>
          <w:lang w:val="en-GB"/>
        </w:rPr>
        <w:t xml:space="preserve">, 2013; Herz </w:t>
      </w:r>
      <w:r w:rsidR="00E805F6" w:rsidRPr="00DE1E8C">
        <w:rPr>
          <w:i/>
          <w:iCs/>
          <w:lang w:val="en-GB"/>
        </w:rPr>
        <w:t>et al.</w:t>
      </w:r>
      <w:r w:rsidR="00E805F6" w:rsidRPr="00DE1E8C">
        <w:rPr>
          <w:lang w:val="en-GB"/>
        </w:rPr>
        <w:t>, 2018)</w:t>
      </w:r>
      <w:r w:rsidR="00012208" w:rsidRPr="00DE1E8C">
        <w:rPr>
          <w:lang w:val="en-GB"/>
        </w:rPr>
        <w:fldChar w:fldCharType="end"/>
      </w:r>
      <w:r w:rsidR="00B3194E" w:rsidRPr="00DE1E8C">
        <w:rPr>
          <w:rFonts w:eastAsiaTheme="minorEastAsia"/>
          <w:lang w:val="en-GB" w:eastAsia="en-US"/>
        </w:rPr>
        <w:t xml:space="preserve">. </w:t>
      </w:r>
      <w:r w:rsidR="006A5D07" w:rsidRPr="00DE1E8C">
        <w:rPr>
          <w:lang w:val="en-GB"/>
        </w:rPr>
        <w:t>To achieve this, trial-by-trial beta series were extracted from the networks</w:t>
      </w:r>
      <w:r w:rsidR="009E4C80" w:rsidRPr="00DE1E8C">
        <w:rPr>
          <w:lang w:val="en-GB"/>
        </w:rPr>
        <w:t xml:space="preserve"> and z-scored</w:t>
      </w:r>
      <w:r w:rsidR="006A5D07" w:rsidRPr="00DE1E8C">
        <w:rPr>
          <w:lang w:val="en-GB"/>
        </w:rPr>
        <w:t xml:space="preserve"> (detailed </w:t>
      </w:r>
      <w:r w:rsidR="006A5D07" w:rsidRPr="00DE1E8C">
        <w:rPr>
          <w:lang w:val="en-GB"/>
        </w:rPr>
        <w:lastRenderedPageBreak/>
        <w:t>in the following section)</w:t>
      </w:r>
      <w:r w:rsidR="00F15EA6" w:rsidRPr="00DE1E8C">
        <w:rPr>
          <w:lang w:val="en-GB"/>
        </w:rPr>
        <w:t>.</w:t>
      </w:r>
      <w:r w:rsidR="00E31618" w:rsidRPr="00DE1E8C">
        <w:rPr>
          <w:lang w:val="en-GB"/>
        </w:rPr>
        <w:t xml:space="preserve"> </w:t>
      </w:r>
      <w:r w:rsidR="001D347E" w:rsidRPr="00DE1E8C">
        <w:rPr>
          <w:lang w:val="en-GB"/>
        </w:rPr>
        <w:t>As the</w:t>
      </w:r>
      <w:r w:rsidR="00181505" w:rsidRPr="00DE1E8C">
        <w:rPr>
          <w:lang w:val="en-GB"/>
        </w:rPr>
        <w:t xml:space="preserve"> </w:t>
      </w:r>
      <w:r w:rsidR="00F6436C" w:rsidRPr="00DE1E8C">
        <w:rPr>
          <w:lang w:val="en-GB"/>
        </w:rPr>
        <w:t>Lewy body dementia</w:t>
      </w:r>
      <w:r w:rsidR="00181505" w:rsidRPr="00DE1E8C">
        <w:rPr>
          <w:lang w:val="en-GB"/>
        </w:rPr>
        <w:t>, A</w:t>
      </w:r>
      <w:r w:rsidR="00F6436C" w:rsidRPr="00DE1E8C">
        <w:rPr>
          <w:lang w:val="en-GB"/>
        </w:rPr>
        <w:t>lzheimer’s disease</w:t>
      </w:r>
      <w:r w:rsidR="00181505" w:rsidRPr="00DE1E8C">
        <w:rPr>
          <w:lang w:val="en-GB"/>
        </w:rPr>
        <w:t xml:space="preserve"> and contro</w:t>
      </w:r>
      <w:r w:rsidR="00C77CF2" w:rsidRPr="00DE1E8C">
        <w:rPr>
          <w:lang w:val="en-GB"/>
        </w:rPr>
        <w:t>l</w:t>
      </w:r>
      <w:r w:rsidR="00181505" w:rsidRPr="00DE1E8C">
        <w:rPr>
          <w:lang w:val="en-GB"/>
        </w:rPr>
        <w:t xml:space="preserve"> groups</w:t>
      </w:r>
      <w:r w:rsidR="00C77CF2" w:rsidRPr="00DE1E8C">
        <w:rPr>
          <w:lang w:val="en-GB"/>
        </w:rPr>
        <w:t xml:space="preserve"> showed similar relationships across the three condition types in</w:t>
      </w:r>
      <w:r w:rsidR="00F567DC" w:rsidRPr="00DE1E8C">
        <w:rPr>
          <w:lang w:val="en-GB"/>
        </w:rPr>
        <w:t xml:space="preserve"> the </w:t>
      </w:r>
      <w:r w:rsidR="00C77CF2" w:rsidRPr="00DE1E8C">
        <w:rPr>
          <w:lang w:val="en-GB"/>
        </w:rPr>
        <w:t xml:space="preserve">hDDM </w:t>
      </w:r>
      <w:r w:rsidR="006B1D4E" w:rsidRPr="00DE1E8C">
        <w:rPr>
          <w:lang w:val="en-GB"/>
        </w:rPr>
        <w:t>model</w:t>
      </w:r>
      <w:r w:rsidR="00776A81" w:rsidRPr="00DE1E8C">
        <w:rPr>
          <w:lang w:val="en-GB"/>
        </w:rPr>
        <w:t xml:space="preserve"> described in the previous section, </w:t>
      </w:r>
      <w:r w:rsidR="007D102C" w:rsidRPr="00DE1E8C">
        <w:rPr>
          <w:lang w:val="en-GB"/>
        </w:rPr>
        <w:t xml:space="preserve">we tested whether trial-by-trial variations </w:t>
      </w:r>
      <w:r w:rsidR="00AE66C8" w:rsidRPr="00DE1E8C">
        <w:rPr>
          <w:lang w:val="en-GB"/>
        </w:rPr>
        <w:t>in network activity</w:t>
      </w:r>
      <w:r w:rsidR="00CE7FCA" w:rsidRPr="00DE1E8C">
        <w:rPr>
          <w:lang w:val="en-GB"/>
        </w:rPr>
        <w:t xml:space="preserve"> </w:t>
      </w:r>
      <w:r w:rsidR="00235A82" w:rsidRPr="00DE1E8C">
        <w:rPr>
          <w:lang w:val="en-GB"/>
        </w:rPr>
        <w:t>predicted changes in the drift rate irrespective of condition type.</w:t>
      </w:r>
      <w:r w:rsidR="006B1D4E" w:rsidRPr="00DE1E8C">
        <w:rPr>
          <w:lang w:val="en-GB"/>
        </w:rPr>
        <w:t xml:space="preserve"> As per the previous hDDM model (see Equation 1), we allowed the drift rate and decision boundary to vary across </w:t>
      </w:r>
      <w:r w:rsidR="00417393" w:rsidRPr="00DE1E8C">
        <w:rPr>
          <w:lang w:val="en-GB"/>
        </w:rPr>
        <w:t>conditions</w:t>
      </w:r>
      <w:r w:rsidR="006B1D4E" w:rsidRPr="00DE1E8C">
        <w:rPr>
          <w:lang w:val="en-GB"/>
        </w:rPr>
        <w:t xml:space="preserve">, whilst </w:t>
      </w:r>
      <w:r w:rsidR="00417393" w:rsidRPr="00DE1E8C">
        <w:rPr>
          <w:lang w:val="en-GB"/>
        </w:rPr>
        <w:t>holding non-</w:t>
      </w:r>
      <w:r w:rsidR="00261DBA" w:rsidRPr="00DE1E8C">
        <w:rPr>
          <w:lang w:val="en-GB"/>
        </w:rPr>
        <w:t>decision</w:t>
      </w:r>
      <w:r w:rsidR="00417393" w:rsidRPr="00DE1E8C">
        <w:rPr>
          <w:lang w:val="en-GB"/>
        </w:rPr>
        <w:t xml:space="preserve"> time constant. Following</w:t>
      </w:r>
      <w:r w:rsidR="00CD5D7E" w:rsidRPr="00DE1E8C">
        <w:rPr>
          <w:lang w:val="en-GB"/>
        </w:rPr>
        <w:t xml:space="preserve"> </w:t>
      </w:r>
      <w:r w:rsidR="00906D2E" w:rsidRPr="00DE1E8C">
        <w:rPr>
          <w:lang w:val="en-GB"/>
        </w:rPr>
        <w:fldChar w:fldCharType="begin"/>
      </w:r>
      <w:r w:rsidR="00E805F6" w:rsidRPr="00DE1E8C">
        <w:rPr>
          <w:lang w:val="en-GB"/>
        </w:rPr>
        <w:instrText xml:space="preserve"> ADDIN ZOTERO_ITEM CSL_CITATION {"citationID":"L0ObJXpi","properties":{"formattedCitation":"(Herz {\\i{}et al.}, 2018)","plainCitation":"(Herz et al., 2018)","noteIndex":0},"citationItems":[{"id":5417,"uris":["http://zotero.org/users/local/xUwQuTPV/items/Z8M4LWQT"],"uri":["http://zotero.org/users/local/xUwQuTPV/items/Z8M4LWQT"],"itemData":{"id":5417,"type":"article-journal","abstract":"Current Biology, 28 (2018) 1169-1184. doi:10.1016/j.cub.2018.02.057","container-title":"CURBIO","DOI":"10.1016/j.cub.2018.02.057","issue":"8","journalAbbreviation":"CURBIO","page":"1169-1178.e6","title":"Mechanisms Underlying Decision-Making as Revealed by Deep-Brain Stimulation in Patients with Parkinson's Disease","volume":"28","author":[{"family":"Herz","given":"Damian M."},{"family":"Little","given":"Simon"},{"family":"Pedrosa","given":"David J."},{"family":"Tinkhauser","given":"Gerd"},{"family":"Cheeran","given":"Binith"},{"family":"Foltynie","given":"Tom"},{"family":"Bogacz","given":"Rafal"},{"family":"Brown","given":"Peter"}],"issued":{"date-parts":[["2018",4,23]]}}}],"schema":"https://github.com/citation-style-language/schema/raw/master/csl-citation.json"} </w:instrText>
      </w:r>
      <w:r w:rsidR="00906D2E" w:rsidRPr="00DE1E8C">
        <w:rPr>
          <w:lang w:val="en-GB"/>
        </w:rPr>
        <w:fldChar w:fldCharType="separate"/>
      </w:r>
      <w:r w:rsidR="00E805F6" w:rsidRPr="00DE1E8C">
        <w:rPr>
          <w:lang w:val="en-GB"/>
        </w:rPr>
        <w:t xml:space="preserve">(Herz </w:t>
      </w:r>
      <w:r w:rsidR="00E805F6" w:rsidRPr="00DE1E8C">
        <w:rPr>
          <w:i/>
          <w:iCs/>
          <w:lang w:val="en-GB"/>
        </w:rPr>
        <w:t>et al.</w:t>
      </w:r>
      <w:r w:rsidR="00E805F6" w:rsidRPr="00DE1E8C">
        <w:rPr>
          <w:lang w:val="en-GB"/>
        </w:rPr>
        <w:t>, 2018)</w:t>
      </w:r>
      <w:r w:rsidR="00906D2E" w:rsidRPr="00DE1E8C">
        <w:rPr>
          <w:lang w:val="en-GB"/>
        </w:rPr>
        <w:fldChar w:fldCharType="end"/>
      </w:r>
      <w:r w:rsidR="00F06B4A" w:rsidRPr="00DE1E8C">
        <w:rPr>
          <w:rFonts w:eastAsiaTheme="minorEastAsia"/>
          <w:lang w:val="en-GB" w:eastAsia="en-US"/>
        </w:rPr>
        <w:t>, for the regression model we estimated p</w:t>
      </w:r>
      <w:r w:rsidR="00FF3DC5" w:rsidRPr="00DE1E8C">
        <w:rPr>
          <w:rFonts w:eastAsiaTheme="minorEastAsia"/>
          <w:lang w:val="en-GB" w:eastAsia="en-US"/>
        </w:rPr>
        <w:t xml:space="preserve">osteriors of </w:t>
      </w:r>
      <w:r w:rsidR="00F06B4A" w:rsidRPr="00DE1E8C">
        <w:rPr>
          <w:rFonts w:eastAsiaTheme="minorEastAsia"/>
          <w:lang w:val="en-GB" w:eastAsia="en-US"/>
        </w:rPr>
        <w:t xml:space="preserve">the </w:t>
      </w:r>
      <w:r w:rsidR="00FF3DC5" w:rsidRPr="00DE1E8C">
        <w:rPr>
          <w:rFonts w:eastAsiaTheme="minorEastAsia"/>
          <w:lang w:val="en-GB" w:eastAsia="en-US"/>
        </w:rPr>
        <w:t>regression coefficients for trial-wise regressors at the group level</w:t>
      </w:r>
      <w:r w:rsidR="00F06B4A" w:rsidRPr="00DE1E8C">
        <w:rPr>
          <w:rFonts w:eastAsiaTheme="minorEastAsia"/>
          <w:lang w:val="en-GB" w:eastAsia="en-US"/>
        </w:rPr>
        <w:t xml:space="preserve"> only, in order</w:t>
      </w:r>
      <w:r w:rsidR="00FF3DC5" w:rsidRPr="00DE1E8C">
        <w:rPr>
          <w:rFonts w:eastAsiaTheme="minorEastAsia"/>
          <w:lang w:val="en-GB" w:eastAsia="en-US"/>
        </w:rPr>
        <w:t xml:space="preserve"> to a</w:t>
      </w:r>
      <w:r w:rsidR="00F06B4A" w:rsidRPr="00DE1E8C">
        <w:rPr>
          <w:rFonts w:eastAsiaTheme="minorEastAsia"/>
          <w:lang w:val="en-GB" w:eastAsia="en-US"/>
        </w:rPr>
        <w:t>ccount for</w:t>
      </w:r>
      <w:r w:rsidR="00FF3DC5" w:rsidRPr="00DE1E8C">
        <w:rPr>
          <w:rFonts w:eastAsiaTheme="minorEastAsia"/>
          <w:lang w:val="en-GB" w:eastAsia="en-US"/>
        </w:rPr>
        <w:t xml:space="preserve"> potential collinearity among model parameters</w:t>
      </w:r>
      <w:r w:rsidR="002400B0" w:rsidRPr="00DE1E8C">
        <w:rPr>
          <w:rFonts w:eastAsiaTheme="minorEastAsia"/>
          <w:lang w:val="en-GB" w:eastAsia="en-US"/>
        </w:rPr>
        <w:t xml:space="preserve"> </w:t>
      </w:r>
      <w:r w:rsidR="002400B0" w:rsidRPr="00DE1E8C">
        <w:rPr>
          <w:rFonts w:eastAsiaTheme="minorEastAsia"/>
          <w:lang w:val="en-GB" w:eastAsia="en-US"/>
        </w:rPr>
        <w:fldChar w:fldCharType="begin"/>
      </w:r>
      <w:r w:rsidR="00E805F6" w:rsidRPr="00DE1E8C">
        <w:rPr>
          <w:rFonts w:eastAsiaTheme="minorEastAsia"/>
          <w:lang w:val="en-GB" w:eastAsia="en-US"/>
        </w:rPr>
        <w:instrText xml:space="preserve"> ADDIN ZOTERO_ITEM CSL_CITATION {"citationID":"HU3npUqh","properties":{"formattedCitation":"(Frank {\\i{}et al.}, 2015)","plainCitation":"(Frank et al., 2015)","noteIndex":0},"citationItems":[{"id":11776,"uris":["http://zotero.org/users/local/xUwQuTPV/items/QEWANV3J"],"uri":["http://zotero.org/users/local/xUwQuTPV/items/QEWANV3J"],"itemData":{"id":11776,"type":"article-journal","container-title":"The Journal of Neuroscience","DOI":"10.1523/JNEUROSCI.2036-14.2015","ISSN":"0270-6474, 1529-2401","issue":"2","journalAbbreviation":"J. Neurosci.","language":"en","page":"485-494","source":"DOI.org (Crossref)","title":"fMRI and EEG Predictors of Dynamic Decision Parameters during Human Reinforcement Learning","volume":"35","author":[{"family":"Frank","given":"Michael J."},{"family":"Gagne","given":"Chris"},{"family":"Nyhus","given":"Erika"},{"family":"Masters","given":"Sean"},{"family":"Wiecki","given":"Thomas V."},{"family":"Cavanagh","given":"James F."},{"family":"Badre","given":"David"}],"issued":{"date-parts":[["2015",1,14]]}}}],"schema":"https://github.com/citation-style-language/schema/raw/master/csl-citation.json"} </w:instrText>
      </w:r>
      <w:r w:rsidR="002400B0" w:rsidRPr="00DE1E8C">
        <w:rPr>
          <w:rFonts w:eastAsiaTheme="minorEastAsia"/>
          <w:lang w:val="en-GB" w:eastAsia="en-US"/>
        </w:rPr>
        <w:fldChar w:fldCharType="separate"/>
      </w:r>
      <w:r w:rsidR="00E805F6" w:rsidRPr="00DE1E8C">
        <w:rPr>
          <w:lang w:val="en-GB"/>
        </w:rPr>
        <w:t xml:space="preserve">(Frank </w:t>
      </w:r>
      <w:r w:rsidR="00E805F6" w:rsidRPr="00DE1E8C">
        <w:rPr>
          <w:i/>
          <w:iCs/>
          <w:lang w:val="en-GB"/>
        </w:rPr>
        <w:t>et al.</w:t>
      </w:r>
      <w:r w:rsidR="00E805F6" w:rsidRPr="00DE1E8C">
        <w:rPr>
          <w:lang w:val="en-GB"/>
        </w:rPr>
        <w:t>, 2015)</w:t>
      </w:r>
      <w:r w:rsidR="002400B0" w:rsidRPr="00DE1E8C">
        <w:rPr>
          <w:rFonts w:eastAsiaTheme="minorEastAsia"/>
          <w:lang w:val="en-GB" w:eastAsia="en-US"/>
        </w:rPr>
        <w:fldChar w:fldCharType="end"/>
      </w:r>
      <w:r w:rsidR="00D3419E" w:rsidRPr="00DE1E8C">
        <w:rPr>
          <w:rFonts w:eastAsiaTheme="minorEastAsia"/>
          <w:lang w:val="en-GB" w:eastAsia="en-US"/>
        </w:rPr>
        <w:t>.</w:t>
      </w:r>
      <w:r w:rsidR="002F65E4" w:rsidRPr="00DE1E8C">
        <w:rPr>
          <w:rFonts w:eastAsiaTheme="minorEastAsia"/>
          <w:lang w:val="en-GB" w:eastAsia="en-US"/>
        </w:rPr>
        <w:t xml:space="preserve"> </w:t>
      </w:r>
      <w:r w:rsidR="00960579" w:rsidRPr="00DE1E8C">
        <w:rPr>
          <w:rFonts w:eastAsiaTheme="minorEastAsia"/>
          <w:lang w:val="en-GB" w:eastAsia="en-US"/>
        </w:rPr>
        <w:t>Separate regression model</w:t>
      </w:r>
      <w:r w:rsidR="00A36069" w:rsidRPr="00DE1E8C">
        <w:rPr>
          <w:rFonts w:eastAsiaTheme="minorEastAsia"/>
          <w:lang w:val="en-GB" w:eastAsia="en-US"/>
        </w:rPr>
        <w:t>s</w:t>
      </w:r>
      <w:r w:rsidR="00960579" w:rsidRPr="00DE1E8C">
        <w:rPr>
          <w:rFonts w:eastAsiaTheme="minorEastAsia"/>
          <w:lang w:val="en-GB" w:eastAsia="en-US"/>
        </w:rPr>
        <w:t xml:space="preserve"> were run using the beta series values from the default and dorsal attention networks.  </w:t>
      </w:r>
      <w:r w:rsidR="00D3419E" w:rsidRPr="00DE1E8C">
        <w:rPr>
          <w:rFonts w:eastAsiaTheme="minorEastAsia"/>
          <w:lang w:val="en-GB" w:eastAsia="en-US"/>
        </w:rPr>
        <w:t xml:space="preserve"> </w:t>
      </w:r>
      <w:r w:rsidR="00261DBA" w:rsidRPr="00DE1E8C">
        <w:rPr>
          <w:rFonts w:eastAsiaTheme="minorEastAsia"/>
          <w:lang w:val="en-GB" w:eastAsia="en-US"/>
        </w:rPr>
        <w:t xml:space="preserve"> </w:t>
      </w:r>
      <w:r w:rsidR="00547168" w:rsidRPr="00DE1E8C">
        <w:rPr>
          <w:lang w:val="en-GB"/>
        </w:rPr>
        <w:t xml:space="preserve"> </w:t>
      </w:r>
      <w:r w:rsidR="006B1D4E" w:rsidRPr="00DE1E8C">
        <w:rPr>
          <w:lang w:val="en-GB"/>
        </w:rPr>
        <w:t xml:space="preserve"> </w:t>
      </w:r>
      <w:r w:rsidR="00235A82" w:rsidRPr="00DE1E8C">
        <w:rPr>
          <w:lang w:val="en-GB"/>
        </w:rPr>
        <w:t xml:space="preserve">  </w:t>
      </w:r>
      <w:r w:rsidR="00AE66C8" w:rsidRPr="00DE1E8C">
        <w:rPr>
          <w:lang w:val="en-GB"/>
        </w:rPr>
        <w:t xml:space="preserve"> </w:t>
      </w:r>
      <w:r w:rsidR="00776A81" w:rsidRPr="00DE1E8C">
        <w:rPr>
          <w:lang w:val="en-GB"/>
        </w:rPr>
        <w:t xml:space="preserve"> </w:t>
      </w:r>
      <w:r w:rsidR="00181505" w:rsidRPr="00DE1E8C">
        <w:rPr>
          <w:lang w:val="en-GB"/>
        </w:rPr>
        <w:t xml:space="preserve"> </w:t>
      </w:r>
    </w:p>
    <w:p w14:paraId="491C6F01" w14:textId="77777777" w:rsidR="00A045F5" w:rsidRPr="00DE1E8C" w:rsidRDefault="00A045F5" w:rsidP="00551517">
      <w:pPr>
        <w:spacing w:line="360" w:lineRule="auto"/>
        <w:contextualSpacing/>
        <w:jc w:val="both"/>
        <w:rPr>
          <w:lang w:val="en-GB"/>
        </w:rPr>
      </w:pPr>
    </w:p>
    <w:p w14:paraId="7C61ABFF" w14:textId="51D4F9AC" w:rsidR="0060072B" w:rsidRPr="00DE1E8C" w:rsidRDefault="0060072B" w:rsidP="004A2993">
      <w:pPr>
        <w:spacing w:line="360" w:lineRule="auto"/>
        <w:contextualSpacing/>
        <w:jc w:val="center"/>
        <w:rPr>
          <w:vertAlign w:val="subscript"/>
          <w:lang w:val="en-GB"/>
        </w:rPr>
      </w:pPr>
      <w:r w:rsidRPr="00DE1E8C">
        <w:rPr>
          <w:i/>
          <w:iCs/>
          <w:lang w:val="en-GB"/>
        </w:rPr>
        <w:t>v</w:t>
      </w:r>
      <w:r w:rsidRPr="00DE1E8C">
        <w:rPr>
          <w:vertAlign w:val="subscript"/>
          <w:lang w:val="en-GB"/>
        </w:rPr>
        <w:t xml:space="preserve">s,k = </w:t>
      </w:r>
      <w:r w:rsidRPr="00DE1E8C">
        <w:rPr>
          <w:i/>
          <w:iCs/>
          <w:lang w:val="en-GB"/>
        </w:rPr>
        <w:t>v</w:t>
      </w:r>
      <w:r w:rsidRPr="00DE1E8C">
        <w:rPr>
          <w:vertAlign w:val="subscript"/>
          <w:lang w:val="en-GB"/>
        </w:rPr>
        <w:t xml:space="preserve">s </w:t>
      </w:r>
      <w:r w:rsidRPr="00DE1E8C">
        <w:rPr>
          <w:lang w:val="en-GB"/>
        </w:rPr>
        <w:t>+ b</w:t>
      </w:r>
      <w:r w:rsidRPr="00DE1E8C">
        <w:rPr>
          <w:vertAlign w:val="subscript"/>
          <w:lang w:val="en-GB"/>
        </w:rPr>
        <w:t>1</w:t>
      </w:r>
      <w:r w:rsidRPr="00DE1E8C">
        <w:rPr>
          <w:lang w:val="en-GB"/>
        </w:rPr>
        <w:t>Condition</w:t>
      </w:r>
      <w:r w:rsidRPr="00DE1E8C">
        <w:rPr>
          <w:vertAlign w:val="subscript"/>
          <w:lang w:val="en-GB"/>
        </w:rPr>
        <w:t>k</w:t>
      </w:r>
      <w:r w:rsidR="00FA38BA" w:rsidRPr="00DE1E8C">
        <w:rPr>
          <w:vertAlign w:val="subscript"/>
          <w:lang w:val="en-GB"/>
        </w:rPr>
        <w:t xml:space="preserve"> </w:t>
      </w:r>
      <w:r w:rsidR="00FA38BA" w:rsidRPr="00DE1E8C">
        <w:rPr>
          <w:lang w:val="en-GB"/>
        </w:rPr>
        <w:t>+ b</w:t>
      </w:r>
      <w:r w:rsidR="00FA38BA" w:rsidRPr="00DE1E8C">
        <w:rPr>
          <w:vertAlign w:val="subscript"/>
          <w:lang w:val="en-GB"/>
        </w:rPr>
        <w:t>2</w:t>
      </w:r>
      <w:r w:rsidR="00624092" w:rsidRPr="00DE1E8C">
        <w:rPr>
          <w:lang w:val="en-GB"/>
        </w:rPr>
        <w:t>BetaSeriesDefault</w:t>
      </w:r>
      <w:r w:rsidR="00D517C2" w:rsidRPr="00DE1E8C">
        <w:rPr>
          <w:vertAlign w:val="subscript"/>
          <w:lang w:val="en-GB"/>
        </w:rPr>
        <w:t>s,k</w:t>
      </w:r>
    </w:p>
    <w:p w14:paraId="4A1046B4" w14:textId="76076FFA" w:rsidR="0060072B" w:rsidRPr="00DE1E8C" w:rsidRDefault="00D517C2" w:rsidP="004A2993">
      <w:pPr>
        <w:spacing w:line="360" w:lineRule="auto"/>
        <w:contextualSpacing/>
        <w:jc w:val="center"/>
        <w:rPr>
          <w:vertAlign w:val="subscript"/>
          <w:lang w:val="en-GB"/>
        </w:rPr>
      </w:pPr>
      <w:r w:rsidRPr="00DE1E8C">
        <w:rPr>
          <w:i/>
          <w:iCs/>
          <w:lang w:val="en-GB"/>
        </w:rPr>
        <w:t>v</w:t>
      </w:r>
      <w:r w:rsidRPr="00DE1E8C">
        <w:rPr>
          <w:vertAlign w:val="subscript"/>
          <w:lang w:val="en-GB"/>
        </w:rPr>
        <w:t xml:space="preserve">s,k = </w:t>
      </w:r>
      <w:r w:rsidRPr="00DE1E8C">
        <w:rPr>
          <w:i/>
          <w:iCs/>
          <w:lang w:val="en-GB"/>
        </w:rPr>
        <w:t>v</w:t>
      </w:r>
      <w:r w:rsidRPr="00DE1E8C">
        <w:rPr>
          <w:vertAlign w:val="subscript"/>
          <w:lang w:val="en-GB"/>
        </w:rPr>
        <w:t xml:space="preserve">s </w:t>
      </w:r>
      <w:r w:rsidRPr="00DE1E8C">
        <w:rPr>
          <w:lang w:val="en-GB"/>
        </w:rPr>
        <w:t>+ b</w:t>
      </w:r>
      <w:r w:rsidR="00317729" w:rsidRPr="00DE1E8C">
        <w:rPr>
          <w:vertAlign w:val="subscript"/>
          <w:lang w:val="en-GB"/>
        </w:rPr>
        <w:t>3</w:t>
      </w:r>
      <w:r w:rsidRPr="00DE1E8C">
        <w:rPr>
          <w:lang w:val="en-GB"/>
        </w:rPr>
        <w:t>Condition</w:t>
      </w:r>
      <w:r w:rsidRPr="00DE1E8C">
        <w:rPr>
          <w:vertAlign w:val="subscript"/>
          <w:lang w:val="en-GB"/>
        </w:rPr>
        <w:t xml:space="preserve">k </w:t>
      </w:r>
      <w:r w:rsidRPr="00DE1E8C">
        <w:rPr>
          <w:lang w:val="en-GB"/>
        </w:rPr>
        <w:t>+ b</w:t>
      </w:r>
      <w:r w:rsidR="00317729" w:rsidRPr="00DE1E8C">
        <w:rPr>
          <w:vertAlign w:val="subscript"/>
          <w:lang w:val="en-GB"/>
        </w:rPr>
        <w:t>4</w:t>
      </w:r>
      <w:r w:rsidRPr="00DE1E8C">
        <w:rPr>
          <w:lang w:val="en-GB"/>
        </w:rPr>
        <w:t>BetaSeriesDorsalAtten</w:t>
      </w:r>
      <w:r w:rsidRPr="00DE1E8C">
        <w:rPr>
          <w:vertAlign w:val="subscript"/>
          <w:lang w:val="en-GB"/>
        </w:rPr>
        <w:t>s,k</w:t>
      </w:r>
    </w:p>
    <w:p w14:paraId="6D7544F9" w14:textId="2DEB254D" w:rsidR="0060072B" w:rsidRPr="00DE1E8C" w:rsidRDefault="0060072B" w:rsidP="004A2993">
      <w:pPr>
        <w:spacing w:line="360" w:lineRule="auto"/>
        <w:contextualSpacing/>
        <w:jc w:val="right"/>
        <w:rPr>
          <w:lang w:val="en-GB"/>
        </w:rPr>
      </w:pPr>
      <w:r w:rsidRPr="00DE1E8C">
        <w:rPr>
          <w:lang w:val="en-GB"/>
        </w:rPr>
        <w:t xml:space="preserve">(Equation </w:t>
      </w:r>
      <w:r w:rsidR="00106F72" w:rsidRPr="00DE1E8C">
        <w:rPr>
          <w:lang w:val="en-GB"/>
        </w:rPr>
        <w:t>2</w:t>
      </w:r>
      <w:r w:rsidRPr="00DE1E8C">
        <w:rPr>
          <w:lang w:val="en-GB"/>
        </w:rPr>
        <w:t>)</w:t>
      </w:r>
    </w:p>
    <w:p w14:paraId="46E3FFA4" w14:textId="77777777" w:rsidR="0060072B" w:rsidRPr="00DE1E8C" w:rsidRDefault="0060072B" w:rsidP="00551517">
      <w:pPr>
        <w:spacing w:line="360" w:lineRule="auto"/>
        <w:contextualSpacing/>
        <w:jc w:val="both"/>
        <w:rPr>
          <w:sz w:val="20"/>
          <w:szCs w:val="20"/>
          <w:lang w:val="en-GB"/>
        </w:rPr>
      </w:pPr>
    </w:p>
    <w:p w14:paraId="305B66E2" w14:textId="37B76245" w:rsidR="002E68EB" w:rsidRPr="00DE1E8C" w:rsidRDefault="0060072B" w:rsidP="00551517">
      <w:pPr>
        <w:spacing w:line="360" w:lineRule="auto"/>
        <w:contextualSpacing/>
        <w:jc w:val="both"/>
        <w:rPr>
          <w:sz w:val="20"/>
          <w:szCs w:val="20"/>
          <w:lang w:val="en-GB"/>
        </w:rPr>
      </w:pPr>
      <w:r w:rsidRPr="00DE1E8C">
        <w:rPr>
          <w:b/>
          <w:bCs/>
          <w:sz w:val="20"/>
          <w:szCs w:val="20"/>
          <w:lang w:val="en-GB"/>
        </w:rPr>
        <w:t xml:space="preserve">Equation </w:t>
      </w:r>
      <w:r w:rsidR="00D517C2" w:rsidRPr="00DE1E8C">
        <w:rPr>
          <w:b/>
          <w:bCs/>
          <w:sz w:val="20"/>
          <w:szCs w:val="20"/>
          <w:lang w:val="en-GB"/>
        </w:rPr>
        <w:t>2</w:t>
      </w:r>
      <w:r w:rsidRPr="00DE1E8C">
        <w:rPr>
          <w:b/>
          <w:bCs/>
          <w:sz w:val="20"/>
          <w:szCs w:val="20"/>
          <w:lang w:val="en-GB"/>
        </w:rPr>
        <w:t>:</w:t>
      </w:r>
      <w:r w:rsidRPr="00DE1E8C">
        <w:rPr>
          <w:sz w:val="20"/>
          <w:szCs w:val="20"/>
          <w:lang w:val="en-GB"/>
        </w:rPr>
        <w:t xml:space="preserve"> Where</w:t>
      </w:r>
      <w:r w:rsidR="002E68EB" w:rsidRPr="00DE1E8C">
        <w:rPr>
          <w:sz w:val="20"/>
          <w:szCs w:val="20"/>
          <w:lang w:val="en-GB"/>
        </w:rPr>
        <w:t xml:space="preserve"> b</w:t>
      </w:r>
      <w:r w:rsidR="002E68EB" w:rsidRPr="00DE1E8C">
        <w:rPr>
          <w:sz w:val="20"/>
          <w:szCs w:val="20"/>
          <w:vertAlign w:val="subscript"/>
          <w:lang w:val="en-GB"/>
        </w:rPr>
        <w:t>2</w:t>
      </w:r>
      <w:r w:rsidR="002E68EB" w:rsidRPr="00DE1E8C">
        <w:rPr>
          <w:sz w:val="20"/>
          <w:szCs w:val="20"/>
          <w:lang w:val="en-GB"/>
        </w:rPr>
        <w:t>BetaSeriesDefault</w:t>
      </w:r>
      <w:r w:rsidR="002E68EB" w:rsidRPr="00DE1E8C">
        <w:rPr>
          <w:sz w:val="20"/>
          <w:szCs w:val="20"/>
          <w:vertAlign w:val="subscript"/>
          <w:lang w:val="en-GB"/>
        </w:rPr>
        <w:t xml:space="preserve">s,k </w:t>
      </w:r>
      <w:r w:rsidR="002E68EB" w:rsidRPr="00DE1E8C">
        <w:rPr>
          <w:sz w:val="20"/>
          <w:szCs w:val="20"/>
          <w:lang w:val="en-GB"/>
        </w:rPr>
        <w:t>and b</w:t>
      </w:r>
      <w:r w:rsidR="00317729" w:rsidRPr="00DE1E8C">
        <w:rPr>
          <w:sz w:val="20"/>
          <w:szCs w:val="20"/>
          <w:vertAlign w:val="subscript"/>
          <w:lang w:val="en-GB"/>
        </w:rPr>
        <w:t>4</w:t>
      </w:r>
      <w:r w:rsidR="002E68EB" w:rsidRPr="00DE1E8C">
        <w:rPr>
          <w:sz w:val="20"/>
          <w:szCs w:val="20"/>
          <w:lang w:val="en-GB"/>
        </w:rPr>
        <w:t>BetaSeriesDorsalAtten</w:t>
      </w:r>
      <w:r w:rsidR="002E68EB" w:rsidRPr="00DE1E8C">
        <w:rPr>
          <w:sz w:val="20"/>
          <w:szCs w:val="20"/>
          <w:vertAlign w:val="subscript"/>
          <w:lang w:val="en-GB"/>
        </w:rPr>
        <w:t xml:space="preserve">s,k </w:t>
      </w:r>
      <w:r w:rsidR="002E68EB" w:rsidRPr="00DE1E8C">
        <w:rPr>
          <w:sz w:val="20"/>
          <w:szCs w:val="20"/>
          <w:lang w:val="en-GB"/>
        </w:rPr>
        <w:t xml:space="preserve">refer to the extracted beta series from the default and dorsal attention networks, for participant </w:t>
      </w:r>
      <w:r w:rsidR="002E68EB" w:rsidRPr="00DE1E8C">
        <w:rPr>
          <w:i/>
          <w:iCs/>
          <w:sz w:val="20"/>
          <w:szCs w:val="20"/>
          <w:lang w:val="en-GB"/>
        </w:rPr>
        <w:t xml:space="preserve">s </w:t>
      </w:r>
      <w:r w:rsidR="002E68EB" w:rsidRPr="00DE1E8C">
        <w:rPr>
          <w:sz w:val="20"/>
          <w:szCs w:val="20"/>
          <w:lang w:val="en-GB"/>
        </w:rPr>
        <w:t xml:space="preserve">on trial </w:t>
      </w:r>
      <w:r w:rsidR="002E68EB" w:rsidRPr="00DE1E8C">
        <w:rPr>
          <w:i/>
          <w:iCs/>
          <w:sz w:val="20"/>
          <w:szCs w:val="20"/>
          <w:lang w:val="en-GB"/>
        </w:rPr>
        <w:t>k</w:t>
      </w:r>
      <w:r w:rsidR="002840C9" w:rsidRPr="00DE1E8C">
        <w:rPr>
          <w:sz w:val="20"/>
          <w:szCs w:val="20"/>
          <w:lang w:val="en-GB"/>
        </w:rPr>
        <w:t xml:space="preserve">, and </w:t>
      </w:r>
      <w:r w:rsidR="002840C9" w:rsidRPr="00DE1E8C">
        <w:rPr>
          <w:i/>
          <w:iCs/>
          <w:sz w:val="20"/>
          <w:szCs w:val="20"/>
          <w:lang w:val="en-GB"/>
        </w:rPr>
        <w:t>v</w:t>
      </w:r>
      <w:r w:rsidR="002840C9" w:rsidRPr="00DE1E8C">
        <w:rPr>
          <w:sz w:val="20"/>
          <w:szCs w:val="20"/>
          <w:vertAlign w:val="subscript"/>
          <w:lang w:val="en-GB"/>
        </w:rPr>
        <w:t xml:space="preserve">s,k </w:t>
      </w:r>
      <w:r w:rsidR="002840C9" w:rsidRPr="00DE1E8C">
        <w:rPr>
          <w:sz w:val="20"/>
          <w:szCs w:val="20"/>
          <w:lang w:val="en-GB"/>
        </w:rPr>
        <w:t>is the drift rate.</w:t>
      </w:r>
    </w:p>
    <w:p w14:paraId="7FEF30B2" w14:textId="77777777" w:rsidR="00BC356F" w:rsidRPr="00DE1E8C" w:rsidRDefault="00BC356F" w:rsidP="00551517">
      <w:pPr>
        <w:spacing w:line="360" w:lineRule="auto"/>
        <w:contextualSpacing/>
        <w:jc w:val="both"/>
        <w:rPr>
          <w:bCs/>
          <w:iCs/>
          <w:lang w:val="en-GB"/>
        </w:rPr>
      </w:pPr>
    </w:p>
    <w:p w14:paraId="4776F602" w14:textId="04246D93" w:rsidR="00BD5926" w:rsidRPr="00DE1E8C" w:rsidRDefault="00BD5926" w:rsidP="00551517">
      <w:pPr>
        <w:spacing w:line="360" w:lineRule="auto"/>
        <w:contextualSpacing/>
        <w:jc w:val="both"/>
        <w:rPr>
          <w:bCs/>
          <w:iCs/>
          <w:lang w:val="en-GB"/>
        </w:rPr>
      </w:pPr>
      <w:r w:rsidRPr="00DE1E8C">
        <w:rPr>
          <w:bCs/>
          <w:iCs/>
          <w:lang w:val="en-GB"/>
        </w:rPr>
        <w:t>We evaluate</w:t>
      </w:r>
      <w:r w:rsidR="005D5EBA" w:rsidRPr="00DE1E8C">
        <w:rPr>
          <w:bCs/>
          <w:iCs/>
          <w:lang w:val="en-GB"/>
        </w:rPr>
        <w:t>d</w:t>
      </w:r>
      <w:r w:rsidRPr="00DE1E8C">
        <w:rPr>
          <w:bCs/>
          <w:iCs/>
          <w:lang w:val="en-GB"/>
        </w:rPr>
        <w:t xml:space="preserve"> the strength </w:t>
      </w:r>
      <w:r w:rsidR="00017AA2" w:rsidRPr="00DE1E8C">
        <w:rPr>
          <w:bCs/>
          <w:iCs/>
          <w:lang w:val="en-GB"/>
        </w:rPr>
        <w:t xml:space="preserve">of </w:t>
      </w:r>
      <w:r w:rsidR="009F0CEA" w:rsidRPr="00DE1E8C">
        <w:rPr>
          <w:bCs/>
          <w:iCs/>
          <w:lang w:val="en-GB"/>
        </w:rPr>
        <w:t xml:space="preserve">the relationship between trial-by-trial fluctuations </w:t>
      </w:r>
      <w:r w:rsidR="00B0625A" w:rsidRPr="00DE1E8C">
        <w:rPr>
          <w:bCs/>
          <w:iCs/>
          <w:lang w:val="en-GB"/>
        </w:rPr>
        <w:t xml:space="preserve">in </w:t>
      </w:r>
      <w:r w:rsidR="009F0CEA" w:rsidRPr="00DE1E8C">
        <w:rPr>
          <w:bCs/>
          <w:iCs/>
          <w:lang w:val="en-GB"/>
        </w:rPr>
        <w:t xml:space="preserve">network activity and drift rate, </w:t>
      </w:r>
      <w:r w:rsidRPr="00DE1E8C">
        <w:rPr>
          <w:bCs/>
          <w:iCs/>
          <w:lang w:val="en-GB"/>
        </w:rPr>
        <w:t xml:space="preserve">by determining the extent </w:t>
      </w:r>
      <w:r w:rsidR="00017AA2" w:rsidRPr="00DE1E8C">
        <w:rPr>
          <w:bCs/>
          <w:iCs/>
          <w:lang w:val="en-GB"/>
        </w:rPr>
        <w:t xml:space="preserve">to which </w:t>
      </w:r>
      <w:r w:rsidRPr="00DE1E8C">
        <w:rPr>
          <w:bCs/>
          <w:iCs/>
          <w:lang w:val="en-GB"/>
        </w:rPr>
        <w:t>the posterior probability density differ</w:t>
      </w:r>
      <w:r w:rsidR="00017AA2" w:rsidRPr="00DE1E8C">
        <w:rPr>
          <w:bCs/>
          <w:iCs/>
          <w:lang w:val="en-GB"/>
        </w:rPr>
        <w:t>ed</w:t>
      </w:r>
      <w:r w:rsidRPr="00DE1E8C">
        <w:rPr>
          <w:bCs/>
          <w:iCs/>
          <w:lang w:val="en-GB"/>
        </w:rPr>
        <w:t xml:space="preserve"> from zero</w:t>
      </w:r>
      <w:r w:rsidR="00E1243D" w:rsidRPr="00DE1E8C">
        <w:rPr>
          <w:bCs/>
          <w:iCs/>
          <w:lang w:val="en-GB"/>
        </w:rPr>
        <w:t xml:space="preserve"> (denoted by </w:t>
      </w:r>
      <w:r w:rsidR="00205A34" w:rsidRPr="00DE1E8C">
        <w:rPr>
          <w:bCs/>
          <w:i/>
          <w:lang w:val="en-GB"/>
        </w:rPr>
        <w:t>P</w:t>
      </w:r>
      <w:r w:rsidR="00017AA2" w:rsidRPr="00DE1E8C">
        <w:rPr>
          <w:bCs/>
          <w:i/>
          <w:lang w:val="en-GB"/>
        </w:rPr>
        <w:t xml:space="preserve">, </w:t>
      </w:r>
      <w:r w:rsidR="00205A34" w:rsidRPr="00DE1E8C">
        <w:rPr>
          <w:bCs/>
          <w:iCs/>
          <w:lang w:val="en-GB"/>
        </w:rPr>
        <w:t>the p</w:t>
      </w:r>
      <w:r w:rsidR="00AF5418" w:rsidRPr="00DE1E8C">
        <w:rPr>
          <w:bCs/>
          <w:iCs/>
          <w:lang w:val="en-GB"/>
        </w:rPr>
        <w:t xml:space="preserve">ercentage of the </w:t>
      </w:r>
      <w:r w:rsidR="00AF5418" w:rsidRPr="00DE1E8C">
        <w:rPr>
          <w:rFonts w:eastAsiaTheme="minorEastAsia"/>
          <w:lang w:val="en-GB" w:eastAsia="en-US"/>
        </w:rPr>
        <w:t xml:space="preserve">posterior probability </w:t>
      </w:r>
      <w:r w:rsidR="001B3830" w:rsidRPr="00DE1E8C">
        <w:rPr>
          <w:rFonts w:eastAsiaTheme="minorEastAsia"/>
          <w:lang w:val="en-GB" w:eastAsia="en-US"/>
        </w:rPr>
        <w:t>distribution</w:t>
      </w:r>
      <w:r w:rsidR="00AF5418" w:rsidRPr="00DE1E8C">
        <w:rPr>
          <w:rFonts w:eastAsiaTheme="minorEastAsia"/>
          <w:lang w:val="en-GB" w:eastAsia="en-US"/>
        </w:rPr>
        <w:t xml:space="preserve"> different than zero).</w:t>
      </w:r>
      <w:r w:rsidRPr="00DE1E8C">
        <w:rPr>
          <w:bCs/>
          <w:iCs/>
          <w:lang w:val="en-GB"/>
        </w:rPr>
        <w:t xml:space="preserve"> </w:t>
      </w:r>
    </w:p>
    <w:p w14:paraId="543EE97E" w14:textId="0C905B4C" w:rsidR="00C95822" w:rsidRPr="00DE1E8C" w:rsidRDefault="00C95822" w:rsidP="00551517">
      <w:pPr>
        <w:spacing w:line="360" w:lineRule="auto"/>
        <w:contextualSpacing/>
        <w:jc w:val="both"/>
        <w:rPr>
          <w:lang w:val="en-GB"/>
        </w:rPr>
      </w:pPr>
    </w:p>
    <w:p w14:paraId="190B21E4" w14:textId="77391272" w:rsidR="00C95822" w:rsidRPr="00DE1E8C" w:rsidRDefault="001E5FA7" w:rsidP="00551517">
      <w:pPr>
        <w:spacing w:line="360" w:lineRule="auto"/>
        <w:contextualSpacing/>
        <w:jc w:val="both"/>
        <w:rPr>
          <w:b/>
          <w:bCs/>
          <w:i/>
          <w:iCs/>
          <w:lang w:val="en-GB"/>
        </w:rPr>
      </w:pPr>
      <w:r w:rsidRPr="00DE1E8C">
        <w:rPr>
          <w:b/>
          <w:bCs/>
          <w:i/>
          <w:iCs/>
          <w:lang w:val="en-GB"/>
        </w:rPr>
        <w:t>Imag</w:t>
      </w:r>
      <w:r w:rsidR="004C2DC1" w:rsidRPr="00DE1E8C">
        <w:rPr>
          <w:b/>
          <w:bCs/>
          <w:i/>
          <w:iCs/>
          <w:lang w:val="en-GB"/>
        </w:rPr>
        <w:t>e</w:t>
      </w:r>
      <w:r w:rsidRPr="00DE1E8C">
        <w:rPr>
          <w:b/>
          <w:bCs/>
          <w:i/>
          <w:iCs/>
          <w:lang w:val="en-GB"/>
        </w:rPr>
        <w:t xml:space="preserve"> </w:t>
      </w:r>
      <w:r w:rsidR="00863B42" w:rsidRPr="00DE1E8C">
        <w:rPr>
          <w:b/>
          <w:bCs/>
          <w:i/>
          <w:iCs/>
          <w:lang w:val="en-GB"/>
        </w:rPr>
        <w:t>acquisition</w:t>
      </w:r>
    </w:p>
    <w:p w14:paraId="732D09BF" w14:textId="7888FACC" w:rsidR="00863B42" w:rsidRPr="00DE1E8C" w:rsidRDefault="00863B42" w:rsidP="00551517">
      <w:pPr>
        <w:spacing w:line="360" w:lineRule="auto"/>
        <w:contextualSpacing/>
        <w:jc w:val="both"/>
        <w:rPr>
          <w:color w:val="211E1E"/>
          <w:lang w:val="en-GB"/>
        </w:rPr>
      </w:pPr>
      <w:r w:rsidRPr="00DE1E8C">
        <w:rPr>
          <w:color w:val="211E1E"/>
          <w:lang w:val="en-GB"/>
        </w:rPr>
        <w:t>Participants were scanned on a 3 T MRI scanner (Achieva scanner; Philips Medical System, the Netherlands), with body coil transmission and eight channel head coil receiver. A standard whole brain structural scan was acquired (3D MPRAGE, sagittal acquisition, slice thickness 1.0 mm, in plane resolution 1.0 x 1.0 mm; TR</w:t>
      </w:r>
      <w:r w:rsidR="00F11E99" w:rsidRPr="00DE1E8C">
        <w:rPr>
          <w:color w:val="211E1E"/>
          <w:lang w:val="en-GB"/>
        </w:rPr>
        <w:t xml:space="preserve"> = </w:t>
      </w:r>
      <w:r w:rsidRPr="00DE1E8C">
        <w:rPr>
          <w:color w:val="211E1E"/>
          <w:lang w:val="en-GB"/>
        </w:rPr>
        <w:t>8.3 ms; TE</w:t>
      </w:r>
      <w:r w:rsidR="00F11E99" w:rsidRPr="00DE1E8C">
        <w:rPr>
          <w:color w:val="211E1E"/>
          <w:lang w:val="en-GB"/>
        </w:rPr>
        <w:t xml:space="preserve"> =</w:t>
      </w:r>
      <w:r w:rsidRPr="00DE1E8C">
        <w:rPr>
          <w:color w:val="211E1E"/>
          <w:lang w:val="en-GB"/>
        </w:rPr>
        <w:t xml:space="preserve"> 4.6 ms; flip angle</w:t>
      </w:r>
      <w:r w:rsidR="00F11E99" w:rsidRPr="00DE1E8C">
        <w:rPr>
          <w:color w:val="211E1E"/>
          <w:lang w:val="en-GB"/>
        </w:rPr>
        <w:t xml:space="preserve"> = 8</w:t>
      </w:r>
      <w:r w:rsidR="00D538FA" w:rsidRPr="00DE1E8C">
        <w:rPr>
          <w:color w:val="211E1E"/>
          <w:lang w:val="en-GB"/>
        </w:rPr>
        <w:sym w:font="Symbol" w:char="F0B0"/>
      </w:r>
      <w:r w:rsidRPr="00DE1E8C">
        <w:rPr>
          <w:color w:val="211E1E"/>
          <w:lang w:val="en-GB"/>
        </w:rPr>
        <w:t>; SENSE factor</w:t>
      </w:r>
      <w:r w:rsidR="00D538FA" w:rsidRPr="00DE1E8C">
        <w:rPr>
          <w:color w:val="211E1E"/>
          <w:lang w:val="en-GB"/>
        </w:rPr>
        <w:t xml:space="preserve"> = </w:t>
      </w:r>
      <w:r w:rsidRPr="00DE1E8C">
        <w:rPr>
          <w:color w:val="211E1E"/>
          <w:lang w:val="en-GB"/>
        </w:rPr>
        <w:t>2). fMRI data were collected with a gradient-echo (GE) echo planar imaging (EPI) sequence (TR</w:t>
      </w:r>
      <w:r w:rsidR="00D538FA" w:rsidRPr="00DE1E8C">
        <w:rPr>
          <w:color w:val="211E1E"/>
          <w:lang w:val="en-GB"/>
        </w:rPr>
        <w:t xml:space="preserve"> = </w:t>
      </w:r>
      <w:r w:rsidRPr="00DE1E8C">
        <w:rPr>
          <w:color w:val="211E1E"/>
          <w:lang w:val="en-GB"/>
        </w:rPr>
        <w:t>1.92 s; TE</w:t>
      </w:r>
      <w:r w:rsidR="00D538FA" w:rsidRPr="00DE1E8C">
        <w:rPr>
          <w:color w:val="211E1E"/>
          <w:lang w:val="en-GB"/>
        </w:rPr>
        <w:t xml:space="preserve"> = </w:t>
      </w:r>
      <w:r w:rsidRPr="00DE1E8C">
        <w:rPr>
          <w:color w:val="211E1E"/>
          <w:lang w:val="en-GB"/>
        </w:rPr>
        <w:t>40 ms; field of view (FOV)</w:t>
      </w:r>
      <w:r w:rsidR="00D538FA" w:rsidRPr="00DE1E8C">
        <w:rPr>
          <w:color w:val="211E1E"/>
          <w:lang w:val="en-GB"/>
        </w:rPr>
        <w:t xml:space="preserve"> = </w:t>
      </w:r>
      <w:r w:rsidRPr="00DE1E8C">
        <w:rPr>
          <w:color w:val="211E1E"/>
          <w:lang w:val="en-GB"/>
        </w:rPr>
        <w:t>192</w:t>
      </w:r>
      <w:r w:rsidR="00D538FA" w:rsidRPr="00DE1E8C">
        <w:rPr>
          <w:color w:val="211E1E"/>
          <w:lang w:val="en-GB"/>
        </w:rPr>
        <w:t xml:space="preserve"> x </w:t>
      </w:r>
      <w:r w:rsidRPr="00DE1E8C">
        <w:rPr>
          <w:color w:val="211E1E"/>
          <w:lang w:val="en-GB"/>
        </w:rPr>
        <w:t>192 mm</w:t>
      </w:r>
      <w:r w:rsidR="00D538FA" w:rsidRPr="00DE1E8C">
        <w:rPr>
          <w:color w:val="211E1E"/>
          <w:position w:val="8"/>
          <w:vertAlign w:val="superscript"/>
          <w:lang w:val="en-GB"/>
        </w:rPr>
        <w:t>2</w:t>
      </w:r>
      <w:r w:rsidRPr="00DE1E8C">
        <w:rPr>
          <w:color w:val="211E1E"/>
          <w:position w:val="8"/>
          <w:lang w:val="en-GB"/>
        </w:rPr>
        <w:t xml:space="preserve"> </w:t>
      </w:r>
      <w:r w:rsidRPr="00DE1E8C">
        <w:rPr>
          <w:color w:val="211E1E"/>
          <w:lang w:val="en-GB"/>
        </w:rPr>
        <w:t xml:space="preserve">64 </w:t>
      </w:r>
      <w:r w:rsidR="00D538FA" w:rsidRPr="00DE1E8C">
        <w:rPr>
          <w:color w:val="211E1E"/>
          <w:lang w:val="en-GB"/>
        </w:rPr>
        <w:t>x</w:t>
      </w:r>
      <w:r w:rsidRPr="00DE1E8C">
        <w:rPr>
          <w:color w:val="211E1E"/>
          <w:lang w:val="en-GB"/>
        </w:rPr>
        <w:t xml:space="preserve"> 64 matrix size, flip angle 90</w:t>
      </w:r>
      <w:r w:rsidR="00D538FA" w:rsidRPr="00DE1E8C">
        <w:rPr>
          <w:color w:val="211E1E"/>
          <w:lang w:val="en-GB"/>
        </w:rPr>
        <w:sym w:font="Symbol" w:char="F0B0"/>
      </w:r>
      <w:r w:rsidRPr="00DE1E8C">
        <w:rPr>
          <w:color w:val="211E1E"/>
          <w:lang w:val="en-GB"/>
        </w:rPr>
        <w:t>, 27 slices, slice thickness 3 mm, slice gap 1 mm) with 156 volumes (5 min).</w:t>
      </w:r>
    </w:p>
    <w:p w14:paraId="3A0A6343" w14:textId="387B946D" w:rsidR="00856705" w:rsidRPr="00DE1E8C" w:rsidRDefault="00856705" w:rsidP="00551517">
      <w:pPr>
        <w:spacing w:line="360" w:lineRule="auto"/>
        <w:contextualSpacing/>
        <w:jc w:val="both"/>
        <w:rPr>
          <w:color w:val="211E1E"/>
          <w:lang w:val="en-GB"/>
        </w:rPr>
      </w:pPr>
    </w:p>
    <w:p w14:paraId="47484C09" w14:textId="31106C98" w:rsidR="00E64F2C" w:rsidRPr="00DE1E8C" w:rsidRDefault="00E64F2C" w:rsidP="00551517">
      <w:pPr>
        <w:spacing w:line="360" w:lineRule="auto"/>
        <w:contextualSpacing/>
        <w:jc w:val="both"/>
        <w:rPr>
          <w:b/>
          <w:bCs/>
          <w:i/>
          <w:iCs/>
          <w:lang w:val="en-GB"/>
        </w:rPr>
      </w:pPr>
      <w:r w:rsidRPr="00DE1E8C">
        <w:rPr>
          <w:b/>
          <w:bCs/>
          <w:i/>
          <w:iCs/>
          <w:lang w:val="en-GB"/>
        </w:rPr>
        <w:lastRenderedPageBreak/>
        <w:t>fMRI preprocessing and analysis</w:t>
      </w:r>
    </w:p>
    <w:p w14:paraId="4EC5470C" w14:textId="5DF5EB79" w:rsidR="000D1069" w:rsidRPr="00DE1E8C" w:rsidRDefault="00316ECD" w:rsidP="00551517">
      <w:pPr>
        <w:spacing w:line="360" w:lineRule="auto"/>
        <w:contextualSpacing/>
        <w:jc w:val="both"/>
        <w:rPr>
          <w:lang w:val="en-GB"/>
        </w:rPr>
      </w:pPr>
      <w:r w:rsidRPr="00DE1E8C">
        <w:rPr>
          <w:lang w:val="en-GB"/>
        </w:rPr>
        <w:t>Imaging analyses were conducted using SPM8 (</w:t>
      </w:r>
      <w:hyperlink r:id="rId17" w:history="1">
        <w:r w:rsidRPr="00DE1E8C">
          <w:rPr>
            <w:rStyle w:val="Hyperlink"/>
            <w:lang w:val="en-GB"/>
          </w:rPr>
          <w:t>http://www.fil.ion.ucl.ac.uk/spm/</w:t>
        </w:r>
      </w:hyperlink>
      <w:r w:rsidRPr="00DE1E8C">
        <w:rPr>
          <w:lang w:val="en-GB"/>
        </w:rPr>
        <w:t>)</w:t>
      </w:r>
      <w:r w:rsidR="00AB73E6" w:rsidRPr="00DE1E8C">
        <w:rPr>
          <w:lang w:val="en-GB"/>
        </w:rPr>
        <w:t>. As described previously in</w:t>
      </w:r>
      <w:r w:rsidR="004204B2" w:rsidRPr="00DE1E8C">
        <w:rPr>
          <w:rFonts w:eastAsiaTheme="minorEastAsia"/>
          <w:lang w:val="en-GB" w:eastAsia="en-US"/>
        </w:rPr>
        <w:t xml:space="preserve"> </w:t>
      </w:r>
      <w:r w:rsidR="004204B2" w:rsidRPr="00DE1E8C">
        <w:rPr>
          <w:lang w:val="en-GB"/>
        </w:rPr>
        <w:fldChar w:fldCharType="begin"/>
      </w:r>
      <w:r w:rsidR="00E805F6" w:rsidRPr="00DE1E8C">
        <w:rPr>
          <w:lang w:val="en-GB"/>
        </w:rPr>
        <w:instrText xml:space="preserve"> ADDIN ZOTERO_ITEM CSL_CITATION {"citationID":"dYIHPC9a","properties":{"formattedCitation":"(Firbank {\\i{}et al.}, 2016, 2018)","plainCitation":"(Firbank et al., 2016, 2018)","noteIndex":0},"citationItems":[{"id":5533,"uris":["http://zotero.org/users/local/xUwQuTPV/items/9FMHWJCZ"],"uri":["http://zotero.org/users/local/xUwQuTPV/items/9FMHWJCZ"],"itemData":{"id":5533,"type":"article-journal","abstract":"Attentional and executive dysfunction contribute to cognitive impairment in both Lewy body dementia and Alzheimer&amp;apos;s disease. Using functional MRI, we examined the neural correlates of three components of attention (alerting, orienting, and executive/conflict function) in 23 patients with Alzheimer&amp;apos;s disease, 32 patients with Lewy body dementia (19 with dementia with Lewy bodies and 13 with Parkinson&amp;apos;s disease with dementia), and 23 healthy controls using a modified Attention Network Test. Although the functional MRI demonstrated a similar fronto-parieto-occipital network activation in all groups, Alzheimer&amp;apos;s disease and Lewy body dementia patients had greater activation of this network for incongruent and more difficult trials, which were also accompanied by slower reaction times. There was no recruitment of additional brain regions or, conversely, regional deficits in brain activation. The default mode network, however, displayed diverging activity patterns in the dementia groups. The Alzheimer&amp;apos;s disease group had limited task related deactivations of the default mode network, whereas patients with Lewy body dementia showed heightened deactivation to all trials, which might be an attempt to allocate neural resources to impaired attentional networks. We posit that, despite a common endpoint of attention-executive disturbances in both dementias, the pathophysiological basis of these is very different between these diseases.","container-title":"Human Brain Mapping","DOI":"10.1002/hbm.23100","issue":"3","journalAbbreviation":"Hum. Brain Mapp.","language":"English","note":"PMCID: PMC4784171","page":"1254-1270","title":"Neural correlates of attention-executive dysfunction in lewy body dementia and Alzheimer's disease.","volume":"37","author":[{"family":"Firbank","given":"Michael"},{"family":"Kobeleva","given":"Xenia"},{"family":"Cherry","given":"George"},{"family":"Killen","given":"Alison"},{"family":"Gallagher","given":"Peter"},{"family":"Burn","given":"David J."},{"family":"Thomas","given":"Alan J."},{"family":"O&amp;apos;Brien","given":"John T."},{"family":"Taylor","given":"John-Paul"}],"issued":{"date-parts":[["2016",3]]}}},{"id":5529,"uris":["http://zotero.org/users/local/xUwQuTPV/items/I7JY88G5"],"uri":["http://zotero.org/users/local/xUwQuTPV/items/I7JY88G5"],"itemData":{"id":5529,"type":"article-journal","abstract":"A significant symptom of Lewy body dementia (LBD) is slow cognitive processing or bradyphrenia. In a previous fMRI task-based study, we found slower responses in LBD, accompanied by greater deactivation in the default mode network. In this study, we investigated the timing and magnitude of the activations and deactivations with respect to reaction time to determine whether the slower responses in LBD were associated with delayed neuronal activity. Using fMRI, we examined the magnitude and latency of activations and deactivations during an event-related attention task in 32 patients with LBD and 23 healthy controls using predefined regions of interest. Default mode network deactivations did not significantly differ in their timing between groups or task conditions, while the task-related activations in the parietal, occipital, frontal, and motor cortex were all significantly later in the LBD group. Repeating the analysis with reaction time as a parametric modulator of activation magnitude produced similar findings, with the reaction time modulator being significant in a number of regions including the default mode network, suggesting that the increased deactivation in LBD is partly explained by slower task completion. Our data suggest that the default mode network deactivation is initiated at the start of the task, and remains deactivated until its end, with the increased magnitude of deactivation in LBD reflecting the more prolonged cognitive processing in these patients. These data add substantially to our understanding of the neural origins of bradyphrenia, which will be essential for determining optimum therapeutic strategies for cognitive impairment in LBD. Hum Brain Mapp 39:633-643, 2018. © 2017 The Authors Human Brain Mapping Published by Wiley Periodicals, Inc.","container-title":"Human Brain Mapping","DOI":"10.1002/hbm.23866","issue":"2","journalAbbreviation":"Hum. Brain Mapp.","language":"English","note":"PMCID: PMC5813138","page":"633-643","title":"Long reaction times are associated with delayed brain activity in lewy body dementia.","volume":"39","author":[{"family":"Firbank","given":"Michael J."},{"family":"O'Brien","given":"John T."},{"family":"Taylor","given":"John-Paul"}],"issued":{"date-parts":[["2018",2]]}}}],"schema":"https://github.com/citation-style-language/schema/raw/master/csl-citation.json"} </w:instrText>
      </w:r>
      <w:r w:rsidR="004204B2" w:rsidRPr="00DE1E8C">
        <w:rPr>
          <w:lang w:val="en-GB"/>
        </w:rPr>
        <w:fldChar w:fldCharType="separate"/>
      </w:r>
      <w:r w:rsidR="00E805F6" w:rsidRPr="00DE1E8C">
        <w:rPr>
          <w:lang w:val="en-GB"/>
        </w:rPr>
        <w:t xml:space="preserve">(Firbank </w:t>
      </w:r>
      <w:r w:rsidR="00E805F6" w:rsidRPr="00DE1E8C">
        <w:rPr>
          <w:i/>
          <w:iCs/>
          <w:lang w:val="en-GB"/>
        </w:rPr>
        <w:t>et al.</w:t>
      </w:r>
      <w:r w:rsidR="00E805F6" w:rsidRPr="00DE1E8C">
        <w:rPr>
          <w:lang w:val="en-GB"/>
        </w:rPr>
        <w:t>, 2016, 2018)</w:t>
      </w:r>
      <w:r w:rsidR="004204B2" w:rsidRPr="00DE1E8C">
        <w:rPr>
          <w:lang w:val="en-GB"/>
        </w:rPr>
        <w:fldChar w:fldCharType="end"/>
      </w:r>
      <w:r w:rsidR="00FE0BA8" w:rsidRPr="00DE1E8C">
        <w:rPr>
          <w:lang w:val="en-GB"/>
        </w:rPr>
        <w:t>,</w:t>
      </w:r>
      <w:r w:rsidR="0030378C" w:rsidRPr="00DE1E8C">
        <w:rPr>
          <w:lang w:val="en-GB"/>
        </w:rPr>
        <w:t xml:space="preserve"> f</w:t>
      </w:r>
      <w:r w:rsidR="000D1069" w:rsidRPr="00DE1E8C">
        <w:rPr>
          <w:lang w:val="en-GB"/>
        </w:rPr>
        <w:t xml:space="preserve">or each participant, the T1 anatomical image was segmented and spatially normalised in SPM using the default parameters. </w:t>
      </w:r>
      <w:r w:rsidR="0094742B" w:rsidRPr="00DE1E8C">
        <w:rPr>
          <w:lang w:val="en-GB"/>
        </w:rPr>
        <w:t>The DARTEL toolbox</w:t>
      </w:r>
      <w:r w:rsidR="00C733BD" w:rsidRPr="00DE1E8C">
        <w:rPr>
          <w:lang w:val="en-GB"/>
        </w:rPr>
        <w:t xml:space="preserve"> </w:t>
      </w:r>
      <w:r w:rsidR="00C733BD" w:rsidRPr="00DE1E8C">
        <w:rPr>
          <w:lang w:val="en-GB"/>
        </w:rPr>
        <w:fldChar w:fldCharType="begin"/>
      </w:r>
      <w:r w:rsidR="00C733BD" w:rsidRPr="00DE1E8C">
        <w:rPr>
          <w:lang w:val="en-GB"/>
        </w:rPr>
        <w:instrText xml:space="preserve"> ADDIN ZOTERO_ITEM CSL_CITATION {"citationID":"yUuP3tZr","properties":{"formattedCitation":"(Ashburner, 2007)","plainCitation":"(Ashburner, 2007)","noteIndex":0},"citationItems":[{"id":14108,"uris":["http://zotero.org/users/local/xUwQuTPV/items/ZCBSUS2X"],"uri":["http://zotero.org/users/local/xUwQuTPV/items/ZCBSUS2X"],"itemData":{"id":14108,"type":"article-journal","abstract":"This paper describes DARTEL, which is an algorithm for diffeomorphic image registration. It is implemented for both 2D and 3D image registration and has been formulated to include an option for estimating inverse consistent deformations. Nonlinear registration is considered as a local optimisation problem, which is solved using a Levenberg–Marquardt strategy. The necessary matrix solutions are obtained in reasonable time using a multigrid method. A constant Eulerian velocity framework is used, which allows a rapid scaling and squaring method to be used in the computations. DARTEL has been applied to intersubject registration of 471 whole brain images, and the resulting deformations were evaluated in terms of how well they encode the shape information necessary to separate male and female subjects and to predict the ages of the subjects.","container-title":"NeuroImage","DOI":"10.1016/j.neuroimage.2007.07.007","ISSN":"1053-8119","issue":"1","journalAbbreviation":"NeuroImage","language":"en","page":"95-113","source":"ScienceDirect","title":"A fast diffeomorphic image registration algorithm","volume":"38","author":[{"family":"Ashburner","given":"John"}],"issued":{"date-parts":[["2007",10,15]]}}}],"schema":"https://github.com/citation-style-language/schema/raw/master/csl-citation.json"} </w:instrText>
      </w:r>
      <w:r w:rsidR="00C733BD" w:rsidRPr="00DE1E8C">
        <w:rPr>
          <w:lang w:val="en-GB"/>
        </w:rPr>
        <w:fldChar w:fldCharType="separate"/>
      </w:r>
      <w:r w:rsidR="00C733BD" w:rsidRPr="00DE1E8C">
        <w:rPr>
          <w:lang w:val="en-GB"/>
        </w:rPr>
        <w:t>(Ashburner, 2007)</w:t>
      </w:r>
      <w:r w:rsidR="00C733BD" w:rsidRPr="00DE1E8C">
        <w:rPr>
          <w:lang w:val="en-GB"/>
        </w:rPr>
        <w:fldChar w:fldCharType="end"/>
      </w:r>
      <w:r w:rsidR="00C733BD" w:rsidRPr="00DE1E8C">
        <w:rPr>
          <w:lang w:val="en-GB"/>
        </w:rPr>
        <w:t xml:space="preserve"> </w:t>
      </w:r>
      <w:r w:rsidR="0094742B" w:rsidRPr="00DE1E8C">
        <w:rPr>
          <w:rFonts w:eastAsiaTheme="minorEastAsia"/>
          <w:lang w:val="en-GB" w:eastAsia="en-US"/>
        </w:rPr>
        <w:t xml:space="preserve">was used to </w:t>
      </w:r>
      <w:r w:rsidR="000D1069" w:rsidRPr="00DE1E8C">
        <w:rPr>
          <w:lang w:val="en-GB"/>
        </w:rPr>
        <w:t>refine the spatial normalisation and create a custom template. fMRI data were first motion corrected by aligning all functional images to the first image for the subject, and subsequently the mean image. Runs with &gt; 3mm or &gt;</w:t>
      </w:r>
      <w:r w:rsidR="007C650F" w:rsidRPr="00DE1E8C">
        <w:rPr>
          <w:lang w:val="en-GB"/>
        </w:rPr>
        <w:t xml:space="preserve"> </w:t>
      </w:r>
      <w:r w:rsidR="000D1069" w:rsidRPr="00DE1E8C">
        <w:rPr>
          <w:lang w:val="en-GB"/>
        </w:rPr>
        <w:t>3</w:t>
      </w:r>
      <w:r w:rsidR="00840768" w:rsidRPr="00DE1E8C">
        <w:rPr>
          <w:lang w:val="en-GB"/>
        </w:rPr>
        <w:sym w:font="Symbol" w:char="F0B0"/>
      </w:r>
      <w:r w:rsidR="000D1069" w:rsidRPr="00DE1E8C">
        <w:rPr>
          <w:lang w:val="en-GB"/>
        </w:rPr>
        <w:t xml:space="preserve"> head motion were excluded. They were then coregistered with the </w:t>
      </w:r>
      <w:r w:rsidR="007C650F" w:rsidRPr="00DE1E8C">
        <w:rPr>
          <w:lang w:val="en-GB"/>
        </w:rPr>
        <w:t>partic</w:t>
      </w:r>
      <w:r w:rsidR="0006217E" w:rsidRPr="00DE1E8C">
        <w:rPr>
          <w:lang w:val="en-GB"/>
        </w:rPr>
        <w:t>i</w:t>
      </w:r>
      <w:r w:rsidR="007C650F" w:rsidRPr="00DE1E8C">
        <w:rPr>
          <w:lang w:val="en-GB"/>
        </w:rPr>
        <w:t>pant</w:t>
      </w:r>
      <w:r w:rsidR="000D1069" w:rsidRPr="00DE1E8C">
        <w:rPr>
          <w:lang w:val="en-GB"/>
        </w:rPr>
        <w:t>’s T1 anatomical image. The spatial normali</w:t>
      </w:r>
      <w:r w:rsidR="0094742B" w:rsidRPr="00DE1E8C">
        <w:rPr>
          <w:lang w:val="en-GB"/>
        </w:rPr>
        <w:t>s</w:t>
      </w:r>
      <w:r w:rsidR="000D1069" w:rsidRPr="00DE1E8C">
        <w:rPr>
          <w:lang w:val="en-GB"/>
        </w:rPr>
        <w:t>ation parameters from the T1 image were used to write out the EPI data in standard space with a voxel size of 3 x 3 x 3 mm</w:t>
      </w:r>
      <w:r w:rsidR="000D1069" w:rsidRPr="00DE1E8C">
        <w:rPr>
          <w:vertAlign w:val="superscript"/>
          <w:lang w:val="en-GB"/>
        </w:rPr>
        <w:t>3</w:t>
      </w:r>
      <w:r w:rsidR="000D1069" w:rsidRPr="00DE1E8C">
        <w:rPr>
          <w:lang w:val="en-GB"/>
        </w:rPr>
        <w:t>. The normali</w:t>
      </w:r>
      <w:r w:rsidR="0094742B" w:rsidRPr="00DE1E8C">
        <w:rPr>
          <w:lang w:val="en-GB"/>
        </w:rPr>
        <w:t>s</w:t>
      </w:r>
      <w:r w:rsidR="000D1069" w:rsidRPr="00DE1E8C">
        <w:rPr>
          <w:lang w:val="en-GB"/>
        </w:rPr>
        <w:t>ed images were then smoothed with a</w:t>
      </w:r>
      <w:r w:rsidR="00840768" w:rsidRPr="00DE1E8C">
        <w:rPr>
          <w:lang w:val="en-GB"/>
        </w:rPr>
        <w:t>n</w:t>
      </w:r>
      <w:r w:rsidR="000D1069" w:rsidRPr="00DE1E8C">
        <w:rPr>
          <w:lang w:val="en-GB"/>
        </w:rPr>
        <w:t xml:space="preserve"> 8</w:t>
      </w:r>
      <w:r w:rsidR="00840768" w:rsidRPr="00DE1E8C">
        <w:rPr>
          <w:lang w:val="en-GB"/>
        </w:rPr>
        <w:t xml:space="preserve"> x </w:t>
      </w:r>
      <w:r w:rsidR="000D1069" w:rsidRPr="00DE1E8C">
        <w:rPr>
          <w:lang w:val="en-GB"/>
        </w:rPr>
        <w:t>8</w:t>
      </w:r>
      <w:r w:rsidR="00840768" w:rsidRPr="00DE1E8C">
        <w:rPr>
          <w:lang w:val="en-GB"/>
        </w:rPr>
        <w:t xml:space="preserve"> x </w:t>
      </w:r>
      <w:r w:rsidR="000D1069" w:rsidRPr="00DE1E8C">
        <w:rPr>
          <w:lang w:val="en-GB"/>
        </w:rPr>
        <w:t>8</w:t>
      </w:r>
      <w:r w:rsidR="00840768" w:rsidRPr="00DE1E8C">
        <w:rPr>
          <w:lang w:val="en-GB"/>
        </w:rPr>
        <w:t xml:space="preserve"> mm</w:t>
      </w:r>
      <w:r w:rsidR="00840768" w:rsidRPr="00DE1E8C">
        <w:rPr>
          <w:vertAlign w:val="superscript"/>
          <w:lang w:val="en-GB"/>
        </w:rPr>
        <w:t>3</w:t>
      </w:r>
      <w:r w:rsidR="000D1069" w:rsidRPr="00DE1E8C">
        <w:rPr>
          <w:lang w:val="en-GB"/>
        </w:rPr>
        <w:t xml:space="preserve"> FWHM (full width half maximum) Gaussian kernel. A high pass filter of 128 seconds was used, and serial correlations were removed with SPM’s AR(1) model.</w:t>
      </w:r>
    </w:p>
    <w:p w14:paraId="22458A4E" w14:textId="77777777" w:rsidR="000D1069" w:rsidRPr="00DE1E8C" w:rsidRDefault="000D1069" w:rsidP="00551517">
      <w:pPr>
        <w:spacing w:line="360" w:lineRule="auto"/>
        <w:contextualSpacing/>
        <w:jc w:val="both"/>
        <w:rPr>
          <w:lang w:val="en-GB"/>
        </w:rPr>
      </w:pPr>
    </w:p>
    <w:p w14:paraId="4CFAC169" w14:textId="7A60909E" w:rsidR="00FB10ED" w:rsidRPr="00DE1E8C" w:rsidRDefault="00BA6A5E" w:rsidP="00551517">
      <w:pPr>
        <w:spacing w:line="360" w:lineRule="auto"/>
        <w:contextualSpacing/>
        <w:jc w:val="both"/>
        <w:rPr>
          <w:lang w:val="en-GB"/>
        </w:rPr>
      </w:pPr>
      <w:r w:rsidRPr="00DE1E8C">
        <w:rPr>
          <w:lang w:val="en-GB"/>
        </w:rPr>
        <w:t>We did not perform interpolation or scrubbing of bad image volumes. To investigate possible influences of data quality, we calculated the mean and maximum absolute angular and translational motion between frames</w:t>
      </w:r>
      <w:r w:rsidR="00912BBE" w:rsidRPr="00DE1E8C">
        <w:rPr>
          <w:rFonts w:eastAsiaTheme="minorEastAsia"/>
          <w:lang w:val="en-GB" w:eastAsia="en-US"/>
        </w:rPr>
        <w:t xml:space="preserve"> </w:t>
      </w:r>
      <w:r w:rsidR="00A27383" w:rsidRPr="00DE1E8C">
        <w:rPr>
          <w:rFonts w:eastAsiaTheme="minorEastAsia"/>
          <w:lang w:val="en-GB" w:eastAsia="en-US"/>
        </w:rPr>
        <w:fldChar w:fldCharType="begin"/>
      </w:r>
      <w:r w:rsidR="00E805F6" w:rsidRPr="00DE1E8C">
        <w:rPr>
          <w:rFonts w:eastAsiaTheme="minorEastAsia"/>
          <w:lang w:val="en-GB" w:eastAsia="en-US"/>
        </w:rPr>
        <w:instrText xml:space="preserve"> ADDIN ZOTERO_ITEM CSL_CITATION {"citationID":"a2g3n192oda","properties":{"formattedCitation":"(Peraza {\\i{}et al.}, 2015)","plainCitation":"(Peraza et al., 2015)","noteIndex":0},"citationItems":[{"id":14491,"uris":["http://zotero.org/users/local/xUwQuTPV/items/4B95Q2PY"],"uri":["http://zotero.org/users/local/xUwQuTPV/items/4B95Q2PY"],"itemData":{"id":14491,"type":"article-journal","abstract":"The clinical phenotype of dementia with Lewy bodies (DLB) is different from Alzheimer's disease (AD), suggesting a divergence between these diseases in terms of brain network organization. To fully understand this, we studied functional networks from resting-state functional magnetic resonance imaging in cognitively matched DLB and AD patients. The DLB group demonstrated a generalized lower synchronization compared with the AD and healthy controls, and this was more severe for edges connecting distant brain regions. Global network measures were significantly different between DLB and AD. For instance, AD showed lower small-worldness than healthy controls, while DLB showed higher small-worldness (AD &lt; controls &lt; DLB), and this was also the case for global efficiency (DLB &gt; controls &gt; AD) and clustering coefficient (DLB &lt; controls &lt; AD). Differences were also found for nodal measures at brain regions associated with each disease. Finally, we found significant associations between network performance measures and global cognitive impairment and severity of cognitive fluctuations in DLB. These results show network divergences between DLB and AD which appear to reflect their neuropathological differences.","container-title":"Neurobiology of Aging","DOI":"10.1016/j.neurobiolaging.2015.05.015","ISSN":"0197-4580","issue":"9","journalAbbreviation":"Neurobiology of Aging","language":"en","page":"2458-2467","source":"ScienceDirect","title":"Divergent brain functional network alterations in dementia with Lewy bodies and Alzheimer's disease","volume":"36","author":[{"family":"Peraza","given":"Luis R."},{"family":"Taylor","given":"John-Paul"},{"family":"Kaiser","given":"Marcus"}],"issued":{"date-parts":[["2015",9,1]]}}}],"schema":"https://github.com/citation-style-language/schema/raw/master/csl-citation.json"} </w:instrText>
      </w:r>
      <w:r w:rsidR="00A27383" w:rsidRPr="00DE1E8C">
        <w:rPr>
          <w:rFonts w:eastAsiaTheme="minorEastAsia"/>
          <w:lang w:val="en-GB" w:eastAsia="en-US"/>
        </w:rPr>
        <w:fldChar w:fldCharType="separate"/>
      </w:r>
      <w:r w:rsidR="00E805F6" w:rsidRPr="00DE1E8C">
        <w:rPr>
          <w:lang w:val="en-GB"/>
        </w:rPr>
        <w:t xml:space="preserve">(Peraza </w:t>
      </w:r>
      <w:r w:rsidR="00E805F6" w:rsidRPr="00DE1E8C">
        <w:rPr>
          <w:i/>
          <w:iCs/>
          <w:lang w:val="en-GB"/>
        </w:rPr>
        <w:t>et al.</w:t>
      </w:r>
      <w:r w:rsidR="00E805F6" w:rsidRPr="00DE1E8C">
        <w:rPr>
          <w:lang w:val="en-GB"/>
        </w:rPr>
        <w:t>, 2015)</w:t>
      </w:r>
      <w:r w:rsidR="00A27383" w:rsidRPr="00DE1E8C">
        <w:rPr>
          <w:rFonts w:eastAsiaTheme="minorEastAsia"/>
          <w:lang w:val="en-GB" w:eastAsia="en-US"/>
        </w:rPr>
        <w:fldChar w:fldCharType="end"/>
      </w:r>
      <w:r w:rsidR="006D5282" w:rsidRPr="00DE1E8C">
        <w:rPr>
          <w:rFonts w:eastAsiaTheme="minorEastAsia"/>
          <w:lang w:val="en-GB" w:eastAsia="en-US"/>
        </w:rPr>
        <w:t xml:space="preserve">. </w:t>
      </w:r>
      <w:r w:rsidRPr="00DE1E8C">
        <w:rPr>
          <w:lang w:val="en-GB"/>
        </w:rPr>
        <w:t>We also calculated standardi</w:t>
      </w:r>
      <w:r w:rsidR="00F62824" w:rsidRPr="00DE1E8C">
        <w:rPr>
          <w:lang w:val="en-GB"/>
        </w:rPr>
        <w:t>s</w:t>
      </w:r>
      <w:r w:rsidRPr="00DE1E8C">
        <w:rPr>
          <w:lang w:val="en-GB"/>
        </w:rPr>
        <w:t>ed DVARS</w:t>
      </w:r>
      <w:r w:rsidR="005D1B21" w:rsidRPr="00DE1E8C">
        <w:rPr>
          <w:lang w:val="en-GB"/>
        </w:rPr>
        <w:t xml:space="preserve"> – </w:t>
      </w:r>
      <w:r w:rsidRPr="00DE1E8C">
        <w:rPr>
          <w:lang w:val="en-GB"/>
        </w:rPr>
        <w:t>the per-image standard deviation of the temporal derivative of the data</w:t>
      </w:r>
      <w:r w:rsidR="00DE1C89" w:rsidRPr="00DE1E8C">
        <w:rPr>
          <w:lang w:val="en-GB"/>
        </w:rPr>
        <w:t xml:space="preserve"> </w:t>
      </w:r>
      <w:r w:rsidR="00EB7FA1" w:rsidRPr="00DE1E8C">
        <w:rPr>
          <w:lang w:val="en-GB"/>
        </w:rPr>
        <w:fldChar w:fldCharType="begin"/>
      </w:r>
      <w:r w:rsidR="00E805F6" w:rsidRPr="00DE1E8C">
        <w:rPr>
          <w:lang w:val="en-GB"/>
        </w:rPr>
        <w:instrText xml:space="preserve"> ADDIN ZOTERO_ITEM CSL_CITATION {"citationID":"a2pi6vbde60","properties":{"formattedCitation":"(Power {\\i{}et al.}, 2012)","plainCitation":"(Power et al., 2012)","noteIndex":0},"citationItems":[{"id":14488,"uris":["http://zotero.org/users/local/xUwQuTPV/items/J9ENF5GS"],"uri":["http://zotero.org/users/local/xUwQuTPV/items/J9ENF5GS"],"itemData":{"id":14488,"type":"article-journal","abstract":"Here, we demonstrate that subject motion produces substantial changes in the timecourses of resting state functional connectivity MRI (rs-fcMRI) data despite compensatory spatial registration and regression of motion estimates from the data. These changes cause systematic but spurious correlation structures throughout the brain. Specifically, many long-distance correlations are decreased by subject motion, whereas many short-distance correlations are increased. These changes in rs-fcMRI correlations do not arise from, nor are they adequately countered by, some common functional connectivity processing steps. Two indices of data quality are proposed, and a simple method to reduce motion-related effects in rs-fcMRI analyses is demonstrated that should be flexibly implementable across a variety of software platforms. We demonstrate how application of this technique impacts our own data, modifying previous conclusions about brain development. These results suggest the need for greater care in dealing with subject motion, and the need to critically revisit previous rs-fcMRI work that may not have adequately controlled for effects of transient subject movements.","container-title":"NeuroImage","DOI":"10.1016/j.neuroimage.2011.10.018","ISSN":"1053-8119","issue":"3","journalAbbreviation":"NeuroImage","language":"en","page":"2142-2154","source":"ScienceDirect","title":"Spurious but systematic correlations in functional connectivity MRI networks arise from subject motion","volume":"59","author":[{"family":"Power","given":"Jonathan D."},{"family":"Barnes","given":"Kelly A."},{"family":"Snyder","given":"Abraham Z."},{"family":"Schlaggar","given":"Bradley L."},{"family":"Petersen","given":"Steven E."}],"issued":{"date-parts":[["2012",2,1]]}}}],"schema":"https://github.com/citation-style-language/schema/raw/master/csl-citation.json"} </w:instrText>
      </w:r>
      <w:r w:rsidR="00EB7FA1" w:rsidRPr="00DE1E8C">
        <w:rPr>
          <w:lang w:val="en-GB"/>
        </w:rPr>
        <w:fldChar w:fldCharType="separate"/>
      </w:r>
      <w:r w:rsidR="00E805F6" w:rsidRPr="00DE1E8C">
        <w:rPr>
          <w:lang w:val="en-GB"/>
        </w:rPr>
        <w:t xml:space="preserve">(Power </w:t>
      </w:r>
      <w:r w:rsidR="00E805F6" w:rsidRPr="00DE1E8C">
        <w:rPr>
          <w:i/>
          <w:iCs/>
          <w:lang w:val="en-GB"/>
        </w:rPr>
        <w:t>et al.</w:t>
      </w:r>
      <w:r w:rsidR="00E805F6" w:rsidRPr="00DE1E8C">
        <w:rPr>
          <w:lang w:val="en-GB"/>
        </w:rPr>
        <w:t>, 2012)</w:t>
      </w:r>
      <w:r w:rsidR="00EB7FA1" w:rsidRPr="00DE1E8C">
        <w:rPr>
          <w:lang w:val="en-GB"/>
        </w:rPr>
        <w:fldChar w:fldCharType="end"/>
      </w:r>
      <w:r w:rsidR="00EB7FA1" w:rsidRPr="00DE1E8C">
        <w:rPr>
          <w:lang w:val="en-GB"/>
        </w:rPr>
        <w:t xml:space="preserve"> </w:t>
      </w:r>
      <w:r w:rsidRPr="00DE1E8C">
        <w:rPr>
          <w:lang w:val="en-GB"/>
        </w:rPr>
        <w:t>using Tom Nichols’s script (http://www2.warwick.ac.uk/fac/sci/statistics/staff/academic-research/nichols/scripts/ fsl/DVARS.sh) and determined the mean over all volumes in each run.</w:t>
      </w:r>
      <w:r w:rsidR="005D1B21" w:rsidRPr="00DE1E8C">
        <w:rPr>
          <w:lang w:val="en-GB"/>
        </w:rPr>
        <w:t xml:space="preserve"> Between the three groups t</w:t>
      </w:r>
      <w:r w:rsidR="0033655B" w:rsidRPr="00DE1E8C">
        <w:rPr>
          <w:lang w:val="en-GB"/>
        </w:rPr>
        <w:t>here were no</w:t>
      </w:r>
      <w:r w:rsidR="005D1B21" w:rsidRPr="00DE1E8C">
        <w:rPr>
          <w:lang w:val="en-GB"/>
        </w:rPr>
        <w:t xml:space="preserve"> significant</w:t>
      </w:r>
      <w:r w:rsidR="0033655B" w:rsidRPr="00DE1E8C">
        <w:rPr>
          <w:lang w:val="en-GB"/>
        </w:rPr>
        <w:t xml:space="preserve"> differences in </w:t>
      </w:r>
      <w:r w:rsidR="005D1B21" w:rsidRPr="00DE1E8C">
        <w:rPr>
          <w:lang w:val="en-GB"/>
        </w:rPr>
        <w:t xml:space="preserve">mean or maximum xyz motion (mm), mean or maximum xyz angular motion (degree), or mean DVARS (see Supplementary material for details). </w:t>
      </w:r>
    </w:p>
    <w:p w14:paraId="0C21AC1B" w14:textId="77777777" w:rsidR="004F33D9" w:rsidRPr="00DE1E8C" w:rsidRDefault="004F33D9" w:rsidP="00551517">
      <w:pPr>
        <w:spacing w:line="360" w:lineRule="auto"/>
        <w:contextualSpacing/>
        <w:jc w:val="both"/>
        <w:rPr>
          <w:lang w:val="en-GB"/>
        </w:rPr>
      </w:pPr>
    </w:p>
    <w:p w14:paraId="71DB0883" w14:textId="70483D31" w:rsidR="005129F7" w:rsidRPr="00DE1E8C" w:rsidRDefault="005438E8" w:rsidP="00551517">
      <w:pPr>
        <w:spacing w:line="360" w:lineRule="auto"/>
        <w:contextualSpacing/>
        <w:jc w:val="both"/>
        <w:rPr>
          <w:rFonts w:eastAsiaTheme="minorEastAsia"/>
          <w:lang w:val="en-GB" w:eastAsia="en-US"/>
        </w:rPr>
      </w:pPr>
      <w:r w:rsidRPr="00DE1E8C">
        <w:rPr>
          <w:lang w:val="en-GB"/>
        </w:rPr>
        <w:t>The default and dorsal attention networks were identifie</w:t>
      </w:r>
      <w:r w:rsidR="000F74E9" w:rsidRPr="00DE1E8C">
        <w:rPr>
          <w:lang w:val="en-GB"/>
        </w:rPr>
        <w:t>d</w:t>
      </w:r>
      <w:r w:rsidRPr="00DE1E8C">
        <w:rPr>
          <w:lang w:val="en-GB"/>
        </w:rPr>
        <w:t xml:space="preserve"> using the Yeo et al</w:t>
      </w:r>
      <w:r w:rsidR="00075864" w:rsidRPr="00DE1E8C">
        <w:rPr>
          <w:lang w:val="en-GB"/>
        </w:rPr>
        <w:t>.</w:t>
      </w:r>
      <w:r w:rsidRPr="00DE1E8C">
        <w:rPr>
          <w:lang w:val="en-GB"/>
        </w:rPr>
        <w:t xml:space="preserve"> seven-network parcellation scheme</w:t>
      </w:r>
      <w:r w:rsidR="00D1025E" w:rsidRPr="00DE1E8C">
        <w:rPr>
          <w:lang w:val="en-GB"/>
        </w:rPr>
        <w:t xml:space="preserve"> </w:t>
      </w:r>
      <w:r w:rsidR="00775DED" w:rsidRPr="00DE1E8C">
        <w:rPr>
          <w:lang w:val="en-GB"/>
        </w:rPr>
        <w:fldChar w:fldCharType="begin"/>
      </w:r>
      <w:r w:rsidR="00E805F6" w:rsidRPr="00DE1E8C">
        <w:rPr>
          <w:lang w:val="en-GB"/>
        </w:rPr>
        <w:instrText xml:space="preserve"> ADDIN ZOTERO_ITEM CSL_CITATION {"citationID":"l7yY5hYo","properties":{"formattedCitation":"(Yeo {\\i{}et al.}, 2011)","plainCitation":"(Yeo et al., 2011)","noteIndex":0},"citationItems":[{"id":14110,"uris":["http://zotero.org/users/local/xUwQuTPV/items/RZMRBM46"],"uri":["http://zotero.org/users/local/xUwQuTPV/items/RZMRBM46"],"itemData":{"id":14110,"type":"article-journal","abstract":"Information processing in the cerebral cortex involves interactions among distributed areas. Anatomical connectivity suggests that certain areas form local hierarchical relations such as within the visual system. Other connectivity patterns, particularly among association areas, suggest the presence of large-scale circuits without clear hierarchical relations. In this study the organization of networks in the human cerebrum was explored using resting-state functional connectivity MRI. Data from 1,000 subjects were registered using surface-based alignment. A clustering approach was employed to identify and replicate networks of functionally coupled regions across the cerebral cortex. The results revealed local networks confined to sensory and motor cortices as well as distributed networks of association regions. Within the sensory and motor cortices, functional connectivity followed topographic representations across adjacent areas. In association cortex, the connectivity patterns often showed abrupt transitions between network boundaries. Focused analyses were performed to better understand properties of network connectivity. A canonical sensory-motor pathway involving primary visual area, putative middle temporal area complex (MT+), lateral intraparietal area, and frontal eye field was analyzed to explore how interactions might arise within and between networks. Results showed that adjacent regions of the MT+ complex demonstrate differential connectivity consistent with a hierarchical pathway that spans networks. The functional connectivity of parietal and prefrontal association cortices was next explored. Distinct connectivity profiles of neighboring regions suggest they participate in distributed networks that, while showing evidence for interactions, are embedded within largely parallel, interdigitated circuits. We conclude by discussing the organization of these large-scale cerebral networks in relation to monkey anatomy and their potential evolutionary expansion in humans to support cognition.","container-title":"Journal of Neurophysiology","DOI":"10.1152/jn.00338.2011","ISSN":"0022-3077","issue":"3","note":"publisher: American Physiological Society","page":"1125-1165","source":"journals.physiology.org (Atypon)","title":"The organization of the human cerebral cortex estimated by intrinsic functional connectivity","volume":"106","author":[{"family":"Yeo","given":"B. T. T."},{"family":"Krienen","given":"Fenna M."},{"family":"Sepulcre","given":"Jorge"},{"family":"Sabuncu","given":"Mert R."},{"family":"Lashkari","given":"Danial"},{"family":"Hollinshead","given":"Marisa"},{"family":"Roffman","given":"Joshua L."},{"family":"Smoller","given":"Jordan W."},{"family":"Zöllei","given":"Lilla"},{"family":"Polimeni","given":"Jonathan R."},{"family":"Fischl","given":"Bruce"},{"family":"Liu","given":"Hesheng"},{"family":"Buckner","given":"Randy L."}],"issued":{"date-parts":[["2011",6,8]]}}}],"schema":"https://github.com/citation-style-language/schema/raw/master/csl-citation.json"} </w:instrText>
      </w:r>
      <w:r w:rsidR="00775DED" w:rsidRPr="00DE1E8C">
        <w:rPr>
          <w:lang w:val="en-GB"/>
        </w:rPr>
        <w:fldChar w:fldCharType="separate"/>
      </w:r>
      <w:r w:rsidR="00E805F6" w:rsidRPr="00DE1E8C">
        <w:rPr>
          <w:lang w:val="en-GB"/>
        </w:rPr>
        <w:t xml:space="preserve">(Yeo </w:t>
      </w:r>
      <w:r w:rsidR="00E805F6" w:rsidRPr="00DE1E8C">
        <w:rPr>
          <w:i/>
          <w:iCs/>
          <w:lang w:val="en-GB"/>
        </w:rPr>
        <w:t>et al.</w:t>
      </w:r>
      <w:r w:rsidR="00E805F6" w:rsidRPr="00DE1E8C">
        <w:rPr>
          <w:lang w:val="en-GB"/>
        </w:rPr>
        <w:t>, 2011)</w:t>
      </w:r>
      <w:r w:rsidR="00775DED" w:rsidRPr="00DE1E8C">
        <w:rPr>
          <w:lang w:val="en-GB"/>
        </w:rPr>
        <w:fldChar w:fldCharType="end"/>
      </w:r>
      <w:r w:rsidRPr="00DE1E8C">
        <w:rPr>
          <w:rFonts w:eastAsiaTheme="minorEastAsia"/>
          <w:lang w:val="en-GB" w:eastAsia="en-US"/>
        </w:rPr>
        <w:t xml:space="preserve">. </w:t>
      </w:r>
      <w:r w:rsidR="00015EE9" w:rsidRPr="00DE1E8C">
        <w:rPr>
          <w:rFonts w:eastAsiaTheme="minorEastAsia"/>
          <w:lang w:val="en-GB" w:eastAsia="en-US"/>
        </w:rPr>
        <w:t xml:space="preserve">To investigate </w:t>
      </w:r>
      <w:r w:rsidR="00015EE9" w:rsidRPr="00DE1E8C">
        <w:rPr>
          <w:lang w:val="en-GB"/>
        </w:rPr>
        <w:t>trial-by-trial activation</w:t>
      </w:r>
      <w:r w:rsidR="00C47010" w:rsidRPr="00DE1E8C">
        <w:rPr>
          <w:lang w:val="en-GB"/>
        </w:rPr>
        <w:t xml:space="preserve"> </w:t>
      </w:r>
      <w:r w:rsidR="00015EE9" w:rsidRPr="00DE1E8C">
        <w:rPr>
          <w:lang w:val="en-GB"/>
        </w:rPr>
        <w:t>within the networks</w:t>
      </w:r>
      <w:r w:rsidR="004C1AAD" w:rsidRPr="00DE1E8C">
        <w:rPr>
          <w:lang w:val="en-GB"/>
        </w:rPr>
        <w:t xml:space="preserve"> </w:t>
      </w:r>
      <w:r w:rsidR="00015EE9" w:rsidRPr="00DE1E8C">
        <w:rPr>
          <w:lang w:val="en-GB"/>
        </w:rPr>
        <w:t>we</w:t>
      </w:r>
      <w:r w:rsidR="004C1AAD" w:rsidRPr="00DE1E8C">
        <w:rPr>
          <w:lang w:val="en-GB"/>
        </w:rPr>
        <w:t xml:space="preserve"> extracted beta series. In this approach, </w:t>
      </w:r>
      <w:r w:rsidR="00121839" w:rsidRPr="00DE1E8C">
        <w:rPr>
          <w:lang w:val="en-GB"/>
        </w:rPr>
        <w:t>each individual trial is entered as a separate regressor in the</w:t>
      </w:r>
      <w:r w:rsidR="004C1AAD" w:rsidRPr="00DE1E8C">
        <w:rPr>
          <w:lang w:val="en-GB"/>
        </w:rPr>
        <w:t xml:space="preserve"> </w:t>
      </w:r>
      <w:r w:rsidR="005F1209" w:rsidRPr="00DE1E8C">
        <w:rPr>
          <w:lang w:val="en-GB"/>
        </w:rPr>
        <w:t xml:space="preserve">general linear model (GLM) </w:t>
      </w:r>
      <w:r w:rsidR="00121839" w:rsidRPr="00DE1E8C">
        <w:rPr>
          <w:lang w:val="en-GB"/>
        </w:rPr>
        <w:t>design matrix</w:t>
      </w:r>
      <w:r w:rsidR="004C1AAD" w:rsidRPr="00DE1E8C">
        <w:rPr>
          <w:lang w:val="en-GB"/>
        </w:rPr>
        <w:t xml:space="preserve">, </w:t>
      </w:r>
      <w:r w:rsidR="00121839" w:rsidRPr="00DE1E8C">
        <w:rPr>
          <w:lang w:val="en-GB"/>
        </w:rPr>
        <w:t>yield</w:t>
      </w:r>
      <w:r w:rsidR="004C1AAD" w:rsidRPr="00DE1E8C">
        <w:rPr>
          <w:lang w:val="en-GB"/>
        </w:rPr>
        <w:t>ing</w:t>
      </w:r>
      <w:r w:rsidR="00121839" w:rsidRPr="00DE1E8C">
        <w:rPr>
          <w:lang w:val="en-GB"/>
        </w:rPr>
        <w:t xml:space="preserve"> a β estimate of % BOLD signal change for each individual trial</w:t>
      </w:r>
      <w:r w:rsidR="005B1D8A" w:rsidRPr="00DE1E8C">
        <w:rPr>
          <w:lang w:val="en-GB"/>
        </w:rPr>
        <w:t xml:space="preserve"> </w:t>
      </w:r>
      <w:r w:rsidR="00873416" w:rsidRPr="00DE1E8C">
        <w:rPr>
          <w:lang w:val="en-GB"/>
        </w:rPr>
        <w:fldChar w:fldCharType="begin"/>
      </w:r>
      <w:r w:rsidR="00E805F6" w:rsidRPr="00DE1E8C">
        <w:rPr>
          <w:lang w:val="en-GB"/>
        </w:rPr>
        <w:instrText xml:space="preserve"> ADDIN ZOTERO_ITEM CSL_CITATION {"citationID":"RSKHkqLb","properties":{"formattedCitation":"(Rissman {\\i{}et al.}, 2004; Cisler {\\i{}et al.}, 2014)","plainCitation":"(Rissman et al., 2004; Cisler et al., 2014)","noteIndex":0},"citationItems":[{"id":14114,"uris":["http://zotero.org/users/local/xUwQuTPV/items/S6LNUYE4"],"uri":["http://zotero.org/users/local/xUwQuTPV/items/S6LNUYE4"],"itemData":{"id":14114,"type":"article-journal","container-title":"NeuroImage","DOI":"10.1016/j.neuroimage.2004.06.035","ISSN":"10538119","issue":"2","journalAbbreviation":"NeuroImage","language":"en","page":"752-763","source":"DOI.org (Crossref)","title":"Measuring functional connectivity during distinct stages of a cognitive task","volume":"23","author":[{"family":"Rissman","given":"Jesse"},{"family":"Gazzaley","given":"Adam"},{"family":"D'Esposito","given":"Mark"}],"issued":{"date-parts":[["2004",10]]}}},{"id":14116,"uris":["http://zotero.org/users/local/xUwQuTPV/items/ZW3ZE3CC"],"uri":["http://zotero.org/users/local/xUwQuTPV/items/ZW3ZE3CC"],"itemData":{"id":14116,"type":"article-journal","abstract":"Many cognitive and clinical neuroscience research studies seek to determine how contextual factors modulate cognitive processes. In fMRI, hypotheses about how context modulates distributed patterns of information processing are often tested by comparing functional connectivity between neural regions A and B as a function of task conditions X and Y, which is termed context-modulated functional connectivity (FC). There exist two exploratory statistical approaches to testing context-modulated FC: the beta-series method and psychophysiological interaction (PPI) analysis methods. While these approaches are commonly used, their relative power for detecting context-modulated FC is unknown, especially with respect to real-world experimental parameters (e.g., number of stimulus repetitions, inter-trial-interval, stimulus duration). Here, we use simulations to compare power for detecting context-modulated FC between the standard PPI formulation (sPPI), generalized PPI formulation (gPPI), and beta series methods. Simulation results demonstrate that gPPI and beta series methods are generally more powerful than sPPI. Whether gPPI or beta series methods performed more powerfully depended on experiment parameters: block designs favor the gPPI, whereas the beta series method was more powerful for designs with more trial repetitions and it also retained more power under conditions of hemodynamic response function variability. On a real dataset of adolescent girls, the PPI methods appeared to have greater sensitivity in detecting task-modulated FC when using a block design and the beta series method appeared to have greater sensitivity when using an event-related design with many trial repetitions. Implications of these performance results are discussed.","container-title":"NeuroImage","DOI":"10.1016/j.neuroimage.2013.09.018","ISSN":"10538119","journalAbbreviation":"NeuroImage","language":"en","page":"1042-1052","source":"DOI.org (Crossref)","title":"A comparison of statistical methods for detecting context-modulated functional connectivity in fMRI","volume":"84","author":[{"family":"Cisler","given":"Josh M."},{"family":"Bush","given":"Keith"},{"family":"Steele","given":"J. Scott"}],"issued":{"date-parts":[["2014",1]]}}}],"schema":"https://github.com/citation-style-language/schema/raw/master/csl-citation.json"} </w:instrText>
      </w:r>
      <w:r w:rsidR="00873416" w:rsidRPr="00DE1E8C">
        <w:rPr>
          <w:lang w:val="en-GB"/>
        </w:rPr>
        <w:fldChar w:fldCharType="separate"/>
      </w:r>
      <w:r w:rsidR="00E805F6" w:rsidRPr="00DE1E8C">
        <w:rPr>
          <w:lang w:val="en-GB"/>
        </w:rPr>
        <w:t xml:space="preserve">(Rissman </w:t>
      </w:r>
      <w:r w:rsidR="00E805F6" w:rsidRPr="00DE1E8C">
        <w:rPr>
          <w:i/>
          <w:iCs/>
          <w:lang w:val="en-GB"/>
        </w:rPr>
        <w:t>et al.</w:t>
      </w:r>
      <w:r w:rsidR="00E805F6" w:rsidRPr="00DE1E8C">
        <w:rPr>
          <w:lang w:val="en-GB"/>
        </w:rPr>
        <w:t xml:space="preserve">, 2004; Cisler </w:t>
      </w:r>
      <w:r w:rsidR="00E805F6" w:rsidRPr="00DE1E8C">
        <w:rPr>
          <w:i/>
          <w:iCs/>
          <w:lang w:val="en-GB"/>
        </w:rPr>
        <w:t>et al.</w:t>
      </w:r>
      <w:r w:rsidR="00E805F6" w:rsidRPr="00DE1E8C">
        <w:rPr>
          <w:lang w:val="en-GB"/>
        </w:rPr>
        <w:t>, 2014)</w:t>
      </w:r>
      <w:r w:rsidR="00873416" w:rsidRPr="00DE1E8C">
        <w:rPr>
          <w:lang w:val="en-GB"/>
        </w:rPr>
        <w:fldChar w:fldCharType="end"/>
      </w:r>
      <w:r w:rsidR="00661F7F" w:rsidRPr="00DE1E8C">
        <w:rPr>
          <w:rFonts w:eastAsiaTheme="minorEastAsia"/>
          <w:lang w:val="en-GB" w:eastAsia="en-US"/>
        </w:rPr>
        <w:t>.</w:t>
      </w:r>
      <w:r w:rsidR="00051D33" w:rsidRPr="00DE1E8C">
        <w:rPr>
          <w:rFonts w:eastAsiaTheme="minorEastAsia"/>
          <w:lang w:val="en-GB" w:eastAsia="en-US"/>
        </w:rPr>
        <w:t xml:space="preserve"> To obtain beta series, separate GLMs were performed with the </w:t>
      </w:r>
      <w:r w:rsidR="0050403A" w:rsidRPr="00DE1E8C">
        <w:rPr>
          <w:rFonts w:eastAsiaTheme="minorEastAsia"/>
          <w:lang w:val="en-GB" w:eastAsia="en-US"/>
        </w:rPr>
        <w:t>depend</w:t>
      </w:r>
      <w:r w:rsidR="00FA11A4" w:rsidRPr="00DE1E8C">
        <w:rPr>
          <w:rFonts w:eastAsiaTheme="minorEastAsia"/>
          <w:lang w:val="en-GB" w:eastAsia="en-US"/>
        </w:rPr>
        <w:t>e</w:t>
      </w:r>
      <w:r w:rsidR="0050403A" w:rsidRPr="00DE1E8C">
        <w:rPr>
          <w:rFonts w:eastAsiaTheme="minorEastAsia"/>
          <w:lang w:val="en-GB" w:eastAsia="en-US"/>
        </w:rPr>
        <w:t xml:space="preserve">nt variables being the time course of each network (default and dorsal </w:t>
      </w:r>
      <w:r w:rsidR="0050403A" w:rsidRPr="00DE1E8C">
        <w:rPr>
          <w:rFonts w:eastAsiaTheme="minorEastAsia"/>
          <w:lang w:val="en-GB" w:eastAsia="en-US"/>
        </w:rPr>
        <w:lastRenderedPageBreak/>
        <w:t>attention) for each subject</w:t>
      </w:r>
      <w:r w:rsidR="001D045C" w:rsidRPr="00DE1E8C">
        <w:rPr>
          <w:rFonts w:eastAsiaTheme="minorEastAsia"/>
          <w:lang w:val="en-GB" w:eastAsia="en-US"/>
        </w:rPr>
        <w:t>, which was calculated as the mean time course for all the voxels in the respective networks</w:t>
      </w:r>
      <w:r w:rsidR="0050403A" w:rsidRPr="00DE1E8C">
        <w:rPr>
          <w:rFonts w:eastAsiaTheme="minorEastAsia"/>
          <w:lang w:val="en-GB" w:eastAsia="en-US"/>
        </w:rPr>
        <w:t>.</w:t>
      </w:r>
      <w:r w:rsidR="001D045C" w:rsidRPr="00DE1E8C">
        <w:rPr>
          <w:rFonts w:eastAsiaTheme="minorEastAsia"/>
          <w:lang w:val="en-GB" w:eastAsia="en-US"/>
        </w:rPr>
        <w:t xml:space="preserve"> </w:t>
      </w:r>
      <w:r w:rsidR="008906C8" w:rsidRPr="00DE1E8C">
        <w:rPr>
          <w:rFonts w:eastAsiaTheme="minorEastAsia"/>
          <w:lang w:val="en-GB" w:eastAsia="en-US"/>
        </w:rPr>
        <w:t>For each run of 36 trials, every target stimulus was modelled as a separate regressor</w:t>
      </w:r>
      <w:r w:rsidR="004341A4" w:rsidRPr="00DE1E8C">
        <w:rPr>
          <w:lang w:val="en-GB"/>
        </w:rPr>
        <w:t>, with six parameters from the motion correction for each functional run included in the design matrix as covariates of no interest</w:t>
      </w:r>
      <w:r w:rsidR="00742CED" w:rsidRPr="00DE1E8C">
        <w:rPr>
          <w:rFonts w:eastAsiaTheme="minorEastAsia"/>
          <w:lang w:val="en-GB" w:eastAsia="en-US"/>
        </w:rPr>
        <w:t xml:space="preserve">. </w:t>
      </w:r>
      <w:r w:rsidR="004E2604" w:rsidRPr="00DE1E8C">
        <w:rPr>
          <w:rFonts w:eastAsiaTheme="minorEastAsia"/>
          <w:lang w:val="en-GB" w:eastAsia="en-US"/>
        </w:rPr>
        <w:t>This resulted</w:t>
      </w:r>
      <w:r w:rsidR="00A561B2" w:rsidRPr="00DE1E8C">
        <w:rPr>
          <w:rFonts w:eastAsiaTheme="minorEastAsia"/>
          <w:lang w:val="en-GB" w:eastAsia="en-US"/>
        </w:rPr>
        <w:t xml:space="preserve"> in individual level</w:t>
      </w:r>
      <w:r w:rsidR="004E2604" w:rsidRPr="00DE1E8C">
        <w:rPr>
          <w:rFonts w:eastAsiaTheme="minorEastAsia"/>
          <w:lang w:val="en-GB" w:eastAsia="en-US"/>
        </w:rPr>
        <w:t xml:space="preserve"> beta estimates for each </w:t>
      </w:r>
      <w:r w:rsidR="00A561B2" w:rsidRPr="00DE1E8C">
        <w:rPr>
          <w:rFonts w:eastAsiaTheme="minorEastAsia"/>
          <w:lang w:val="en-GB" w:eastAsia="en-US"/>
        </w:rPr>
        <w:t>target event, separately for the default and dorsal attention networks.</w:t>
      </w:r>
      <w:r w:rsidR="007545CA" w:rsidRPr="00DE1E8C">
        <w:rPr>
          <w:rFonts w:eastAsiaTheme="minorEastAsia"/>
          <w:lang w:val="en-GB" w:eastAsia="en-US"/>
        </w:rPr>
        <w:t xml:space="preserve"> The beta values were z-scored before entering them into the hDDM regression model described above.   </w:t>
      </w:r>
    </w:p>
    <w:p w14:paraId="5D5D3EA1" w14:textId="77777777" w:rsidR="005129F7" w:rsidRPr="00DE1E8C" w:rsidRDefault="005129F7" w:rsidP="00551517">
      <w:pPr>
        <w:spacing w:line="360" w:lineRule="auto"/>
        <w:contextualSpacing/>
        <w:jc w:val="both"/>
        <w:rPr>
          <w:rFonts w:eastAsiaTheme="minorEastAsia"/>
          <w:lang w:val="en-GB" w:eastAsia="en-US"/>
        </w:rPr>
      </w:pPr>
    </w:p>
    <w:p w14:paraId="7F2D407A" w14:textId="4683A5C5" w:rsidR="00645FAF" w:rsidRPr="00DE1E8C" w:rsidRDefault="005129F7" w:rsidP="00551517">
      <w:pPr>
        <w:spacing w:line="360" w:lineRule="auto"/>
        <w:contextualSpacing/>
        <w:jc w:val="both"/>
        <w:rPr>
          <w:rFonts w:eastAsiaTheme="minorEastAsia"/>
          <w:b/>
          <w:bCs/>
          <w:i/>
          <w:iCs/>
          <w:lang w:val="en-GB" w:eastAsia="en-US"/>
        </w:rPr>
      </w:pPr>
      <w:r w:rsidRPr="00DE1E8C">
        <w:rPr>
          <w:rFonts w:eastAsiaTheme="minorEastAsia"/>
          <w:b/>
          <w:bCs/>
          <w:i/>
          <w:iCs/>
          <w:lang w:val="en-GB" w:eastAsia="en-US"/>
        </w:rPr>
        <w:t>Data availability</w:t>
      </w:r>
      <w:r w:rsidR="007545CA" w:rsidRPr="00DE1E8C">
        <w:rPr>
          <w:rFonts w:eastAsiaTheme="minorEastAsia"/>
          <w:b/>
          <w:bCs/>
          <w:i/>
          <w:iCs/>
          <w:lang w:val="en-GB" w:eastAsia="en-US"/>
        </w:rPr>
        <w:t xml:space="preserve">  </w:t>
      </w:r>
      <w:r w:rsidR="00A561B2" w:rsidRPr="00DE1E8C">
        <w:rPr>
          <w:rFonts w:eastAsiaTheme="minorEastAsia"/>
          <w:b/>
          <w:bCs/>
          <w:i/>
          <w:iCs/>
          <w:lang w:val="en-GB" w:eastAsia="en-US"/>
        </w:rPr>
        <w:t xml:space="preserve"> </w:t>
      </w:r>
    </w:p>
    <w:p w14:paraId="4C6618EC" w14:textId="117A3C81" w:rsidR="005A5988" w:rsidRPr="00DE1E8C" w:rsidRDefault="00F203A0" w:rsidP="00F203A0">
      <w:pPr>
        <w:spacing w:line="360" w:lineRule="auto"/>
        <w:contextualSpacing/>
        <w:jc w:val="both"/>
        <w:rPr>
          <w:lang w:val="en-GB"/>
        </w:rPr>
      </w:pPr>
      <w:r w:rsidRPr="00DE1E8C">
        <w:rPr>
          <w:lang w:val="en-GB"/>
        </w:rPr>
        <w:t xml:space="preserve">Code and data to reproduce </w:t>
      </w:r>
      <w:r w:rsidR="00850F03" w:rsidRPr="00DE1E8C">
        <w:rPr>
          <w:lang w:val="en-GB"/>
        </w:rPr>
        <w:t xml:space="preserve">the manuscript figures, behavioural analysis and modelling for the Attention Network Task </w:t>
      </w:r>
      <w:r w:rsidRPr="00DE1E8C">
        <w:rPr>
          <w:lang w:val="en-GB"/>
        </w:rPr>
        <w:t>is freely available through the Open Science Framework</w:t>
      </w:r>
      <w:r w:rsidR="005A5988" w:rsidRPr="00DE1E8C">
        <w:rPr>
          <w:lang w:val="en-GB"/>
        </w:rPr>
        <w:t xml:space="preserve"> (</w:t>
      </w:r>
      <w:hyperlink r:id="rId18" w:history="1">
        <w:r w:rsidR="005A5988" w:rsidRPr="00DE1E8C">
          <w:rPr>
            <w:rStyle w:val="Hyperlink"/>
            <w:lang w:val="en-GB"/>
          </w:rPr>
          <w:t>https://osf.io/gm8th/</w:t>
        </w:r>
      </w:hyperlink>
      <w:r w:rsidR="005A5988" w:rsidRPr="00DE1E8C">
        <w:rPr>
          <w:lang w:val="en-GB"/>
        </w:rPr>
        <w:t>).</w:t>
      </w:r>
    </w:p>
    <w:p w14:paraId="20DE40AD" w14:textId="77777777" w:rsidR="004341A4" w:rsidRPr="00DE1E8C" w:rsidRDefault="004341A4" w:rsidP="00551517">
      <w:pPr>
        <w:spacing w:line="360" w:lineRule="auto"/>
        <w:contextualSpacing/>
        <w:jc w:val="both"/>
        <w:rPr>
          <w:b/>
          <w:lang w:val="en-GB"/>
        </w:rPr>
      </w:pPr>
    </w:p>
    <w:p w14:paraId="6C1229D8" w14:textId="77777777" w:rsidR="000502CD" w:rsidRPr="00DE1E8C" w:rsidRDefault="000502CD" w:rsidP="00551517">
      <w:pPr>
        <w:spacing w:line="360" w:lineRule="auto"/>
        <w:contextualSpacing/>
        <w:jc w:val="both"/>
        <w:rPr>
          <w:b/>
          <w:lang w:val="en-GB"/>
        </w:rPr>
      </w:pPr>
      <w:r w:rsidRPr="00DE1E8C">
        <w:rPr>
          <w:b/>
          <w:lang w:val="en-GB"/>
        </w:rPr>
        <w:t>Results</w:t>
      </w:r>
    </w:p>
    <w:p w14:paraId="1F21F17B" w14:textId="5AB366DA" w:rsidR="009F4676" w:rsidRPr="00DE1E8C" w:rsidRDefault="003D1F20" w:rsidP="00551517">
      <w:pPr>
        <w:spacing w:line="360" w:lineRule="auto"/>
        <w:contextualSpacing/>
        <w:jc w:val="both"/>
        <w:rPr>
          <w:b/>
          <w:i/>
          <w:lang w:val="en-GB"/>
        </w:rPr>
      </w:pPr>
      <w:r w:rsidRPr="00DE1E8C">
        <w:rPr>
          <w:b/>
          <w:i/>
          <w:lang w:val="en-GB"/>
        </w:rPr>
        <w:t>Demographics and clinical characteristics</w:t>
      </w:r>
    </w:p>
    <w:p w14:paraId="575697D2" w14:textId="79934231" w:rsidR="002A362F" w:rsidRPr="00DE1E8C" w:rsidRDefault="00BE62B3" w:rsidP="00551517">
      <w:pPr>
        <w:spacing w:line="360" w:lineRule="auto"/>
        <w:contextualSpacing/>
        <w:jc w:val="both"/>
        <w:rPr>
          <w:lang w:val="en-GB"/>
        </w:rPr>
      </w:pPr>
      <w:r w:rsidRPr="00DE1E8C">
        <w:rPr>
          <w:lang w:val="en-GB"/>
        </w:rPr>
        <w:t>Demographics and clinical characteristics are detailed in Table 1.</w:t>
      </w:r>
      <w:r w:rsidR="00ED7A5F" w:rsidRPr="00DE1E8C">
        <w:rPr>
          <w:lang w:val="en-GB"/>
        </w:rPr>
        <w:t xml:space="preserve"> </w:t>
      </w:r>
      <w:r w:rsidR="007A7047" w:rsidRPr="00DE1E8C">
        <w:rPr>
          <w:lang w:val="en-GB"/>
        </w:rPr>
        <w:t>The groups were matched for</w:t>
      </w:r>
      <w:r w:rsidR="005A570B" w:rsidRPr="00DE1E8C">
        <w:rPr>
          <w:lang w:val="en-GB"/>
        </w:rPr>
        <w:t xml:space="preserve"> sex</w:t>
      </w:r>
      <w:r w:rsidR="007B5B56" w:rsidRPr="00DE1E8C">
        <w:rPr>
          <w:lang w:val="en-GB"/>
        </w:rPr>
        <w:t xml:space="preserve"> (χ</w:t>
      </w:r>
      <w:r w:rsidR="007B5B56" w:rsidRPr="00DE1E8C">
        <w:rPr>
          <w:vertAlign w:val="superscript"/>
          <w:lang w:val="en-GB"/>
        </w:rPr>
        <w:t xml:space="preserve">2 </w:t>
      </w:r>
      <w:r w:rsidR="007B5B56" w:rsidRPr="00DE1E8C">
        <w:rPr>
          <w:lang w:val="en-GB"/>
        </w:rPr>
        <w:t xml:space="preserve">= </w:t>
      </w:r>
      <w:r w:rsidR="00E35EDE" w:rsidRPr="00DE1E8C">
        <w:rPr>
          <w:lang w:val="en-GB"/>
        </w:rPr>
        <w:t>1.12</w:t>
      </w:r>
      <w:r w:rsidR="0007644A" w:rsidRPr="00DE1E8C">
        <w:rPr>
          <w:lang w:val="en-GB"/>
        </w:rPr>
        <w:t>, p =</w:t>
      </w:r>
      <w:r w:rsidR="00E35EDE" w:rsidRPr="00DE1E8C">
        <w:rPr>
          <w:lang w:val="en-GB"/>
        </w:rPr>
        <w:t>0.572</w:t>
      </w:r>
      <w:r w:rsidR="007B5B56" w:rsidRPr="00DE1E8C">
        <w:rPr>
          <w:lang w:val="en-GB"/>
        </w:rPr>
        <w:t>)</w:t>
      </w:r>
      <w:r w:rsidR="007A7047" w:rsidRPr="00DE1E8C">
        <w:rPr>
          <w:lang w:val="en-GB"/>
        </w:rPr>
        <w:t xml:space="preserve">, age </w:t>
      </w:r>
      <w:r w:rsidR="00D347F5" w:rsidRPr="00DE1E8C">
        <w:rPr>
          <w:lang w:val="en-GB"/>
        </w:rPr>
        <w:t>[</w:t>
      </w:r>
      <w:r w:rsidR="00B35D33" w:rsidRPr="00DE1E8C">
        <w:rPr>
          <w:lang w:val="en-GB"/>
        </w:rPr>
        <w:t>F(2, 67) = 0.02</w:t>
      </w:r>
      <w:r w:rsidR="00D347F5" w:rsidRPr="00DE1E8C">
        <w:rPr>
          <w:lang w:val="en-GB"/>
        </w:rPr>
        <w:t xml:space="preserve">, </w:t>
      </w:r>
      <w:r w:rsidR="00D347F5" w:rsidRPr="00DE1E8C">
        <w:rPr>
          <w:i/>
          <w:lang w:val="en-GB"/>
        </w:rPr>
        <w:t>p</w:t>
      </w:r>
      <w:r w:rsidR="00B35D33" w:rsidRPr="00DE1E8C">
        <w:rPr>
          <w:lang w:val="en-GB"/>
        </w:rPr>
        <w:t xml:space="preserve"> = 0.978</w:t>
      </w:r>
      <w:r w:rsidR="00D347F5" w:rsidRPr="00DE1E8C">
        <w:rPr>
          <w:lang w:val="en-GB"/>
        </w:rPr>
        <w:t>]</w:t>
      </w:r>
      <w:r w:rsidR="007A7047" w:rsidRPr="00DE1E8C">
        <w:rPr>
          <w:lang w:val="en-GB"/>
        </w:rPr>
        <w:t xml:space="preserve"> and </w:t>
      </w:r>
      <w:r w:rsidR="003D1F20" w:rsidRPr="00DE1E8C">
        <w:rPr>
          <w:lang w:val="en-GB"/>
        </w:rPr>
        <w:t>education</w:t>
      </w:r>
      <w:r w:rsidR="007A7047" w:rsidRPr="00DE1E8C">
        <w:rPr>
          <w:lang w:val="en-GB"/>
        </w:rPr>
        <w:t xml:space="preserve"> level</w:t>
      </w:r>
      <w:r w:rsidR="0004778C" w:rsidRPr="00DE1E8C">
        <w:rPr>
          <w:lang w:val="en-GB"/>
        </w:rPr>
        <w:t xml:space="preserve"> [F(2, 67) = </w:t>
      </w:r>
      <w:r w:rsidR="00066FDD" w:rsidRPr="00DE1E8C">
        <w:rPr>
          <w:lang w:val="en-GB"/>
        </w:rPr>
        <w:t>2.1</w:t>
      </w:r>
      <w:r w:rsidR="0004778C" w:rsidRPr="00DE1E8C">
        <w:rPr>
          <w:lang w:val="en-GB"/>
        </w:rPr>
        <w:t xml:space="preserve">, </w:t>
      </w:r>
      <w:r w:rsidR="0004778C" w:rsidRPr="00DE1E8C">
        <w:rPr>
          <w:i/>
          <w:lang w:val="en-GB"/>
        </w:rPr>
        <w:t>p</w:t>
      </w:r>
      <w:r w:rsidR="0004778C" w:rsidRPr="00DE1E8C">
        <w:rPr>
          <w:lang w:val="en-GB"/>
        </w:rPr>
        <w:t xml:space="preserve"> = 0.</w:t>
      </w:r>
      <w:r w:rsidR="00066FDD" w:rsidRPr="00DE1E8C">
        <w:rPr>
          <w:lang w:val="en-GB"/>
        </w:rPr>
        <w:t>13</w:t>
      </w:r>
      <w:r w:rsidR="0004778C" w:rsidRPr="00DE1E8C">
        <w:rPr>
          <w:lang w:val="en-GB"/>
        </w:rPr>
        <w:t>]</w:t>
      </w:r>
      <w:r w:rsidR="007A7047" w:rsidRPr="00DE1E8C">
        <w:rPr>
          <w:lang w:val="en-GB"/>
        </w:rPr>
        <w:t>.</w:t>
      </w:r>
      <w:r w:rsidR="003D1F20" w:rsidRPr="00DE1E8C">
        <w:rPr>
          <w:lang w:val="en-GB"/>
        </w:rPr>
        <w:t xml:space="preserve"> </w:t>
      </w:r>
      <w:r w:rsidR="00291E7C" w:rsidRPr="00DE1E8C">
        <w:rPr>
          <w:lang w:val="en-GB"/>
        </w:rPr>
        <w:t>As expected, t</w:t>
      </w:r>
      <w:r w:rsidR="003D1F20" w:rsidRPr="00DE1E8C">
        <w:rPr>
          <w:lang w:val="en-GB"/>
        </w:rPr>
        <w:t xml:space="preserve">here were significant group differences in global cognition, on both the MMSE </w:t>
      </w:r>
      <w:r w:rsidR="00547DD0" w:rsidRPr="00DE1E8C">
        <w:rPr>
          <w:lang w:val="en-GB"/>
        </w:rPr>
        <w:t>[F(2, 67) = 3</w:t>
      </w:r>
      <w:r w:rsidR="00C2614F" w:rsidRPr="00DE1E8C">
        <w:rPr>
          <w:lang w:val="en-GB"/>
        </w:rPr>
        <w:t>1.34</w:t>
      </w:r>
      <w:r w:rsidR="00547DD0" w:rsidRPr="00DE1E8C">
        <w:rPr>
          <w:lang w:val="en-GB"/>
        </w:rPr>
        <w:t xml:space="preserve">, </w:t>
      </w:r>
      <w:r w:rsidR="00547DD0" w:rsidRPr="00DE1E8C">
        <w:rPr>
          <w:i/>
          <w:lang w:val="en-GB"/>
        </w:rPr>
        <w:t>p</w:t>
      </w:r>
      <w:r w:rsidR="00547DD0" w:rsidRPr="00DE1E8C">
        <w:rPr>
          <w:lang w:val="en-GB"/>
        </w:rPr>
        <w:t xml:space="preserve"> &lt; 0.001]</w:t>
      </w:r>
      <w:r w:rsidR="007A7047" w:rsidRPr="00DE1E8C">
        <w:rPr>
          <w:lang w:val="en-GB"/>
        </w:rPr>
        <w:t xml:space="preserve"> </w:t>
      </w:r>
      <w:r w:rsidR="003D1F20" w:rsidRPr="00DE1E8C">
        <w:rPr>
          <w:lang w:val="en-GB"/>
        </w:rPr>
        <w:t xml:space="preserve">and the CAMCOG </w:t>
      </w:r>
      <w:r w:rsidR="00CE0C10" w:rsidRPr="00DE1E8C">
        <w:rPr>
          <w:lang w:val="en-GB"/>
        </w:rPr>
        <w:t xml:space="preserve">[F(2, 67) = </w:t>
      </w:r>
      <w:r w:rsidR="007658D0" w:rsidRPr="00DE1E8C">
        <w:rPr>
          <w:lang w:val="en-GB"/>
        </w:rPr>
        <w:t>35.13</w:t>
      </w:r>
      <w:r w:rsidR="00CE0C10" w:rsidRPr="00DE1E8C">
        <w:rPr>
          <w:lang w:val="en-GB"/>
        </w:rPr>
        <w:t xml:space="preserve">, </w:t>
      </w:r>
      <w:r w:rsidR="00CE0C10" w:rsidRPr="00DE1E8C">
        <w:rPr>
          <w:i/>
          <w:lang w:val="en-GB"/>
        </w:rPr>
        <w:t>p</w:t>
      </w:r>
      <w:r w:rsidR="001F20D3" w:rsidRPr="00DE1E8C">
        <w:rPr>
          <w:lang w:val="en-GB"/>
        </w:rPr>
        <w:t xml:space="preserve"> &lt; 0.001</w:t>
      </w:r>
      <w:r w:rsidR="00CE0C10" w:rsidRPr="00DE1E8C">
        <w:rPr>
          <w:lang w:val="en-GB"/>
        </w:rPr>
        <w:t>]</w:t>
      </w:r>
      <w:r w:rsidR="003D1F20" w:rsidRPr="00DE1E8C">
        <w:rPr>
          <w:lang w:val="en-GB"/>
        </w:rPr>
        <w:t xml:space="preserve">, with the </w:t>
      </w:r>
      <w:r w:rsidR="00B166EF" w:rsidRPr="00DE1E8C">
        <w:rPr>
          <w:lang w:val="en-GB"/>
        </w:rPr>
        <w:t>Lewy body dementia</w:t>
      </w:r>
      <w:r w:rsidR="009C783F" w:rsidRPr="00DE1E8C">
        <w:rPr>
          <w:lang w:val="en-GB"/>
        </w:rPr>
        <w:t xml:space="preserve"> and A</w:t>
      </w:r>
      <w:r w:rsidR="00B166EF" w:rsidRPr="00DE1E8C">
        <w:rPr>
          <w:lang w:val="en-GB"/>
        </w:rPr>
        <w:t>lzheimer’s disease</w:t>
      </w:r>
      <w:r w:rsidR="003D1F20" w:rsidRPr="00DE1E8C">
        <w:rPr>
          <w:lang w:val="en-GB"/>
        </w:rPr>
        <w:t xml:space="preserve"> groups </w:t>
      </w:r>
      <w:r w:rsidR="009C783F" w:rsidRPr="00DE1E8C">
        <w:rPr>
          <w:lang w:val="en-GB"/>
        </w:rPr>
        <w:t xml:space="preserve"> </w:t>
      </w:r>
      <w:r w:rsidR="003D1F20" w:rsidRPr="00DE1E8C">
        <w:rPr>
          <w:lang w:val="en-GB"/>
        </w:rPr>
        <w:t>performing similar to each other (</w:t>
      </w:r>
      <w:r w:rsidR="00A93F1B" w:rsidRPr="00DE1E8C">
        <w:rPr>
          <w:lang w:val="en-GB"/>
        </w:rPr>
        <w:t xml:space="preserve">MMSE: </w:t>
      </w:r>
      <w:r w:rsidR="00A93F1B" w:rsidRPr="00DE1E8C">
        <w:rPr>
          <w:i/>
          <w:lang w:val="en-GB"/>
        </w:rPr>
        <w:t>p</w:t>
      </w:r>
      <w:r w:rsidR="00A93F1B" w:rsidRPr="00DE1E8C">
        <w:rPr>
          <w:vertAlign w:val="subscript"/>
          <w:lang w:val="en-GB"/>
        </w:rPr>
        <w:t>adjusted</w:t>
      </w:r>
      <w:r w:rsidR="00A93F1B" w:rsidRPr="00DE1E8C">
        <w:rPr>
          <w:lang w:val="en-GB"/>
        </w:rPr>
        <w:t xml:space="preserve"> = 0.1</w:t>
      </w:r>
      <w:r w:rsidR="000223D1" w:rsidRPr="00DE1E8C">
        <w:rPr>
          <w:lang w:val="en-GB"/>
        </w:rPr>
        <w:t>60</w:t>
      </w:r>
      <w:r w:rsidR="00A93F1B" w:rsidRPr="00DE1E8C">
        <w:rPr>
          <w:lang w:val="en-GB"/>
        </w:rPr>
        <w:t xml:space="preserve">; CAMCOG: </w:t>
      </w:r>
      <w:r w:rsidR="003D1F20" w:rsidRPr="00DE1E8C">
        <w:rPr>
          <w:i/>
          <w:lang w:val="en-GB"/>
        </w:rPr>
        <w:t>p</w:t>
      </w:r>
      <w:r w:rsidR="003D1F20" w:rsidRPr="00DE1E8C">
        <w:rPr>
          <w:vertAlign w:val="subscript"/>
          <w:lang w:val="en-GB"/>
        </w:rPr>
        <w:t>adjusted</w:t>
      </w:r>
      <w:r w:rsidR="003D1F20" w:rsidRPr="00DE1E8C">
        <w:rPr>
          <w:lang w:val="en-GB"/>
        </w:rPr>
        <w:t xml:space="preserve"> = 0.142), but significantly lower </w:t>
      </w:r>
      <w:r w:rsidR="009C783F" w:rsidRPr="00DE1E8C">
        <w:rPr>
          <w:lang w:val="en-GB"/>
        </w:rPr>
        <w:t xml:space="preserve">than controls </w:t>
      </w:r>
      <w:r w:rsidR="003D6DEA" w:rsidRPr="00DE1E8C">
        <w:rPr>
          <w:lang w:val="en-GB"/>
        </w:rPr>
        <w:t>(</w:t>
      </w:r>
      <w:r w:rsidR="002E483D" w:rsidRPr="00DE1E8C">
        <w:rPr>
          <w:lang w:val="en-GB"/>
        </w:rPr>
        <w:t xml:space="preserve">MMSE: </w:t>
      </w:r>
      <w:r w:rsidR="002E483D" w:rsidRPr="00DE1E8C">
        <w:rPr>
          <w:i/>
          <w:lang w:val="en-GB"/>
        </w:rPr>
        <w:t>p</w:t>
      </w:r>
      <w:r w:rsidR="002E483D" w:rsidRPr="00DE1E8C">
        <w:rPr>
          <w:vertAlign w:val="subscript"/>
          <w:lang w:val="en-GB"/>
        </w:rPr>
        <w:t>adjusted</w:t>
      </w:r>
      <w:r w:rsidR="002E483D" w:rsidRPr="00DE1E8C">
        <w:rPr>
          <w:lang w:val="en-GB"/>
        </w:rPr>
        <w:t xml:space="preserve"> = </w:t>
      </w:r>
      <w:r w:rsidR="002A7A46" w:rsidRPr="00DE1E8C">
        <w:rPr>
          <w:lang w:val="en-GB"/>
        </w:rPr>
        <w:t>&lt;  0.001</w:t>
      </w:r>
      <w:r w:rsidR="002E483D" w:rsidRPr="00DE1E8C">
        <w:rPr>
          <w:lang w:val="en-GB"/>
        </w:rPr>
        <w:t xml:space="preserve">; CAMCOG: </w:t>
      </w:r>
      <w:r w:rsidR="003D6DEA" w:rsidRPr="00DE1E8C">
        <w:rPr>
          <w:i/>
          <w:lang w:val="en-GB"/>
        </w:rPr>
        <w:t>p</w:t>
      </w:r>
      <w:r w:rsidR="003D6DEA" w:rsidRPr="00DE1E8C">
        <w:rPr>
          <w:vertAlign w:val="subscript"/>
          <w:lang w:val="en-GB"/>
        </w:rPr>
        <w:t>adjusted</w:t>
      </w:r>
      <w:r w:rsidR="00914ED9" w:rsidRPr="00DE1E8C">
        <w:rPr>
          <w:vertAlign w:val="subscript"/>
          <w:lang w:val="en-GB"/>
        </w:rPr>
        <w:t xml:space="preserve"> </w:t>
      </w:r>
      <w:r w:rsidR="00914ED9" w:rsidRPr="00DE1E8C">
        <w:rPr>
          <w:lang w:val="en-GB"/>
        </w:rPr>
        <w:t>values</w:t>
      </w:r>
      <w:r w:rsidR="003D6DEA" w:rsidRPr="00DE1E8C">
        <w:rPr>
          <w:vertAlign w:val="subscript"/>
          <w:lang w:val="en-GB"/>
        </w:rPr>
        <w:t xml:space="preserve"> </w:t>
      </w:r>
      <w:r w:rsidR="003D6DEA" w:rsidRPr="00DE1E8C">
        <w:rPr>
          <w:lang w:val="en-GB"/>
        </w:rPr>
        <w:t xml:space="preserve">&lt;  </w:t>
      </w:r>
      <w:r w:rsidR="00914ED9" w:rsidRPr="00DE1E8C">
        <w:rPr>
          <w:lang w:val="en-GB"/>
        </w:rPr>
        <w:t>0.0</w:t>
      </w:r>
      <w:r w:rsidR="00C91B4B" w:rsidRPr="00DE1E8C">
        <w:rPr>
          <w:lang w:val="en-GB"/>
        </w:rPr>
        <w:t>0</w:t>
      </w:r>
      <w:r w:rsidR="00914ED9" w:rsidRPr="00DE1E8C">
        <w:rPr>
          <w:lang w:val="en-GB"/>
        </w:rPr>
        <w:t>1</w:t>
      </w:r>
      <w:r w:rsidR="003D6DEA" w:rsidRPr="00DE1E8C">
        <w:rPr>
          <w:lang w:val="en-GB"/>
        </w:rPr>
        <w:t>)</w:t>
      </w:r>
      <w:r w:rsidR="003D1F20" w:rsidRPr="00DE1E8C">
        <w:rPr>
          <w:lang w:val="en-GB"/>
        </w:rPr>
        <w:t xml:space="preserve">. </w:t>
      </w:r>
      <w:r w:rsidR="00291E7C" w:rsidRPr="00DE1E8C">
        <w:rPr>
          <w:lang w:val="en-GB"/>
        </w:rPr>
        <w:t>Also as expected</w:t>
      </w:r>
      <w:r w:rsidR="00AF6C89" w:rsidRPr="00DE1E8C">
        <w:rPr>
          <w:lang w:val="en-GB"/>
        </w:rPr>
        <w:t>,</w:t>
      </w:r>
      <w:r w:rsidR="00291E7C" w:rsidRPr="00DE1E8C">
        <w:rPr>
          <w:lang w:val="en-GB"/>
        </w:rPr>
        <w:t xml:space="preserve"> t</w:t>
      </w:r>
      <w:r w:rsidR="008D5CF4" w:rsidRPr="00DE1E8C">
        <w:rPr>
          <w:lang w:val="en-GB"/>
        </w:rPr>
        <w:t>he severity of motor symptoms differed across the groups [</w:t>
      </w:r>
      <w:r w:rsidR="00925DFB" w:rsidRPr="00DE1E8C">
        <w:rPr>
          <w:lang w:val="en-GB"/>
        </w:rPr>
        <w:t>UPDRS-III:</w:t>
      </w:r>
      <w:r w:rsidR="008D5CF4" w:rsidRPr="00DE1E8C">
        <w:rPr>
          <w:lang w:val="en-GB"/>
        </w:rPr>
        <w:t xml:space="preserve"> </w:t>
      </w:r>
      <w:r w:rsidR="00AB0FA2" w:rsidRPr="00DE1E8C">
        <w:rPr>
          <w:lang w:val="en-GB"/>
        </w:rPr>
        <w:t xml:space="preserve">F(2, 67) = </w:t>
      </w:r>
      <w:r w:rsidR="00637E67" w:rsidRPr="00DE1E8C">
        <w:rPr>
          <w:lang w:val="en-GB"/>
        </w:rPr>
        <w:t>89.17</w:t>
      </w:r>
      <w:r w:rsidR="00AB0FA2" w:rsidRPr="00DE1E8C">
        <w:rPr>
          <w:lang w:val="en-GB"/>
        </w:rPr>
        <w:t xml:space="preserve">, </w:t>
      </w:r>
      <w:r w:rsidR="00AB0FA2" w:rsidRPr="00DE1E8C">
        <w:rPr>
          <w:i/>
          <w:lang w:val="en-GB"/>
        </w:rPr>
        <w:t>p</w:t>
      </w:r>
      <w:r w:rsidR="00AB0FA2" w:rsidRPr="00DE1E8C">
        <w:rPr>
          <w:lang w:val="en-GB"/>
        </w:rPr>
        <w:t xml:space="preserve"> &lt; </w:t>
      </w:r>
      <w:r w:rsidR="00520BA5" w:rsidRPr="00DE1E8C">
        <w:rPr>
          <w:lang w:val="en-GB"/>
        </w:rPr>
        <w:t>0.0</w:t>
      </w:r>
      <w:r w:rsidR="00C91B4B" w:rsidRPr="00DE1E8C">
        <w:rPr>
          <w:lang w:val="en-GB"/>
        </w:rPr>
        <w:t>01</w:t>
      </w:r>
      <w:r w:rsidR="00AB0FA2" w:rsidRPr="00DE1E8C">
        <w:rPr>
          <w:lang w:val="en-GB"/>
        </w:rPr>
        <w:t>]</w:t>
      </w:r>
      <w:r w:rsidR="008D5CF4" w:rsidRPr="00DE1E8C">
        <w:rPr>
          <w:lang w:val="en-GB"/>
        </w:rPr>
        <w:t xml:space="preserve">, with the </w:t>
      </w:r>
      <w:r w:rsidR="00E5586E" w:rsidRPr="00DE1E8C">
        <w:rPr>
          <w:lang w:val="en-GB"/>
        </w:rPr>
        <w:t>Lewy body dementia</w:t>
      </w:r>
      <w:r w:rsidR="008D5CF4" w:rsidRPr="00DE1E8C">
        <w:rPr>
          <w:lang w:val="en-GB"/>
        </w:rPr>
        <w:t xml:space="preserve"> </w:t>
      </w:r>
      <w:r w:rsidR="005727B5" w:rsidRPr="00DE1E8C">
        <w:rPr>
          <w:lang w:val="en-GB"/>
        </w:rPr>
        <w:t xml:space="preserve">group showing significantly </w:t>
      </w:r>
      <w:r w:rsidR="001225F5" w:rsidRPr="00DE1E8C">
        <w:rPr>
          <w:lang w:val="en-GB"/>
        </w:rPr>
        <w:t>worse</w:t>
      </w:r>
      <w:r w:rsidR="005727B5" w:rsidRPr="00DE1E8C">
        <w:rPr>
          <w:lang w:val="en-GB"/>
        </w:rPr>
        <w:t xml:space="preserve"> motor severity than both controls and A</w:t>
      </w:r>
      <w:r w:rsidR="00E5586E" w:rsidRPr="00DE1E8C">
        <w:rPr>
          <w:lang w:val="en-GB"/>
        </w:rPr>
        <w:t>lzheimer’s disease</w:t>
      </w:r>
      <w:r w:rsidR="00520BA5" w:rsidRPr="00DE1E8C">
        <w:rPr>
          <w:lang w:val="en-GB"/>
        </w:rPr>
        <w:t xml:space="preserve"> (</w:t>
      </w:r>
      <w:r w:rsidR="00520BA5" w:rsidRPr="00DE1E8C">
        <w:rPr>
          <w:i/>
          <w:lang w:val="en-GB"/>
        </w:rPr>
        <w:t>p</w:t>
      </w:r>
      <w:r w:rsidR="00520BA5" w:rsidRPr="00DE1E8C">
        <w:rPr>
          <w:vertAlign w:val="subscript"/>
          <w:lang w:val="en-GB"/>
        </w:rPr>
        <w:t xml:space="preserve">adjusted </w:t>
      </w:r>
      <w:r w:rsidR="00520BA5" w:rsidRPr="00DE1E8C">
        <w:rPr>
          <w:lang w:val="en-GB"/>
        </w:rPr>
        <w:t>values</w:t>
      </w:r>
      <w:r w:rsidR="00520BA5" w:rsidRPr="00DE1E8C">
        <w:rPr>
          <w:vertAlign w:val="subscript"/>
          <w:lang w:val="en-GB"/>
        </w:rPr>
        <w:t xml:space="preserve"> </w:t>
      </w:r>
      <w:r w:rsidR="00520BA5" w:rsidRPr="00DE1E8C">
        <w:rPr>
          <w:lang w:val="en-GB"/>
        </w:rPr>
        <w:t xml:space="preserve">&lt; </w:t>
      </w:r>
      <w:r w:rsidR="00D50712" w:rsidRPr="00DE1E8C">
        <w:rPr>
          <w:lang w:val="en-GB"/>
        </w:rPr>
        <w:t>0.00</w:t>
      </w:r>
      <w:r w:rsidR="00C91B4B" w:rsidRPr="00DE1E8C">
        <w:rPr>
          <w:lang w:val="en-GB"/>
        </w:rPr>
        <w:t>1</w:t>
      </w:r>
      <w:r w:rsidR="00D50712" w:rsidRPr="00DE1E8C">
        <w:rPr>
          <w:lang w:val="en-GB"/>
        </w:rPr>
        <w:t xml:space="preserve">), </w:t>
      </w:r>
      <w:r w:rsidR="005727B5" w:rsidRPr="00DE1E8C">
        <w:rPr>
          <w:lang w:val="en-GB"/>
        </w:rPr>
        <w:t>who did not differ from each</w:t>
      </w:r>
      <w:r w:rsidR="00314CE2" w:rsidRPr="00DE1E8C">
        <w:rPr>
          <w:lang w:val="en-GB"/>
        </w:rPr>
        <w:t xml:space="preserve"> </w:t>
      </w:r>
      <w:r w:rsidR="005727B5" w:rsidRPr="00DE1E8C">
        <w:rPr>
          <w:lang w:val="en-GB"/>
        </w:rPr>
        <w:t xml:space="preserve">other </w:t>
      </w:r>
      <w:r w:rsidR="00520BA5" w:rsidRPr="00DE1E8C">
        <w:rPr>
          <w:lang w:val="en-GB"/>
        </w:rPr>
        <w:t>(</w:t>
      </w:r>
      <w:r w:rsidR="00520BA5" w:rsidRPr="00DE1E8C">
        <w:rPr>
          <w:i/>
          <w:lang w:val="en-GB"/>
        </w:rPr>
        <w:t>p</w:t>
      </w:r>
      <w:r w:rsidR="00520BA5" w:rsidRPr="00DE1E8C">
        <w:rPr>
          <w:vertAlign w:val="subscript"/>
          <w:lang w:val="en-GB"/>
        </w:rPr>
        <w:t>adjusted</w:t>
      </w:r>
      <w:r w:rsidR="00520BA5" w:rsidRPr="00DE1E8C">
        <w:rPr>
          <w:lang w:val="en-GB"/>
        </w:rPr>
        <w:t xml:space="preserve"> = </w:t>
      </w:r>
      <w:r w:rsidR="00FF3EB5" w:rsidRPr="00DE1E8C">
        <w:rPr>
          <w:lang w:val="en-GB"/>
        </w:rPr>
        <w:t>0.973</w:t>
      </w:r>
      <w:r w:rsidR="00520BA5" w:rsidRPr="00DE1E8C">
        <w:rPr>
          <w:lang w:val="en-GB"/>
        </w:rPr>
        <w:t>)</w:t>
      </w:r>
      <w:r w:rsidR="005727B5" w:rsidRPr="00DE1E8C">
        <w:rPr>
          <w:lang w:val="en-GB"/>
        </w:rPr>
        <w:t>.</w:t>
      </w:r>
      <w:r w:rsidR="00CB5789" w:rsidRPr="00DE1E8C">
        <w:rPr>
          <w:lang w:val="en-GB"/>
        </w:rPr>
        <w:t xml:space="preserve"> The Lewy body dementia group </w:t>
      </w:r>
      <w:r w:rsidR="00291E7C" w:rsidRPr="00DE1E8C">
        <w:rPr>
          <w:lang w:val="en-GB"/>
        </w:rPr>
        <w:t xml:space="preserve">had </w:t>
      </w:r>
      <w:r w:rsidR="00091E80" w:rsidRPr="00DE1E8C">
        <w:rPr>
          <w:lang w:val="en-GB"/>
        </w:rPr>
        <w:t xml:space="preserve">significantly more fluctuations compared to the Alzheimer’s disease group [CAF: </w:t>
      </w:r>
      <w:r w:rsidR="00A801F3" w:rsidRPr="00DE1E8C">
        <w:rPr>
          <w:lang w:val="en-GB"/>
        </w:rPr>
        <w:t xml:space="preserve">t(33.27) = -5.47, </w:t>
      </w:r>
      <w:r w:rsidR="00A801F3" w:rsidRPr="00DE1E8C">
        <w:rPr>
          <w:i/>
          <w:lang w:val="en-GB"/>
        </w:rPr>
        <w:t>p</w:t>
      </w:r>
      <w:r w:rsidR="00A801F3" w:rsidRPr="00DE1E8C">
        <w:rPr>
          <w:lang w:val="en-GB"/>
        </w:rPr>
        <w:t xml:space="preserve"> &lt; 0.001;</w:t>
      </w:r>
      <w:r w:rsidR="0010560E" w:rsidRPr="00DE1E8C">
        <w:rPr>
          <w:lang w:val="en-GB"/>
        </w:rPr>
        <w:t xml:space="preserve"> </w:t>
      </w:r>
      <w:r w:rsidR="00724CD9" w:rsidRPr="00DE1E8C">
        <w:rPr>
          <w:lang w:val="en-GB"/>
        </w:rPr>
        <w:t>Mayo total: t(3</w:t>
      </w:r>
      <w:r w:rsidR="00F21D55" w:rsidRPr="00DE1E8C">
        <w:rPr>
          <w:lang w:val="en-GB"/>
        </w:rPr>
        <w:t>9.48</w:t>
      </w:r>
      <w:r w:rsidR="00724CD9" w:rsidRPr="00DE1E8C">
        <w:rPr>
          <w:lang w:val="en-GB"/>
        </w:rPr>
        <w:t>) = -</w:t>
      </w:r>
      <w:r w:rsidR="00F21D55" w:rsidRPr="00DE1E8C">
        <w:rPr>
          <w:lang w:val="en-GB"/>
        </w:rPr>
        <w:t>2.69</w:t>
      </w:r>
      <w:r w:rsidR="00724CD9" w:rsidRPr="00DE1E8C">
        <w:rPr>
          <w:lang w:val="en-GB"/>
        </w:rPr>
        <w:t xml:space="preserve">, </w:t>
      </w:r>
      <w:r w:rsidR="00724CD9" w:rsidRPr="00DE1E8C">
        <w:rPr>
          <w:i/>
          <w:lang w:val="en-GB"/>
        </w:rPr>
        <w:t>p</w:t>
      </w:r>
      <w:r w:rsidR="00724CD9" w:rsidRPr="00DE1E8C">
        <w:rPr>
          <w:lang w:val="en-GB"/>
        </w:rPr>
        <w:t xml:space="preserve"> </w:t>
      </w:r>
      <w:r w:rsidR="00F21D55" w:rsidRPr="00DE1E8C">
        <w:rPr>
          <w:lang w:val="en-GB"/>
        </w:rPr>
        <w:t>=</w:t>
      </w:r>
      <w:r w:rsidR="00724CD9" w:rsidRPr="00DE1E8C">
        <w:rPr>
          <w:lang w:val="en-GB"/>
        </w:rPr>
        <w:t xml:space="preserve"> 0.01</w:t>
      </w:r>
      <w:r w:rsidR="0010560E" w:rsidRPr="00DE1E8C">
        <w:rPr>
          <w:lang w:val="en-GB"/>
        </w:rPr>
        <w:t xml:space="preserve">]. Within the Mayo assessment, the </w:t>
      </w:r>
      <w:r w:rsidR="00FA11A4" w:rsidRPr="00DE1E8C">
        <w:rPr>
          <w:lang w:val="en-GB"/>
        </w:rPr>
        <w:t xml:space="preserve">dementia </w:t>
      </w:r>
      <w:r w:rsidR="0010560E" w:rsidRPr="00DE1E8C">
        <w:rPr>
          <w:lang w:val="en-GB"/>
        </w:rPr>
        <w:t>groups did not differ on the cognitive</w:t>
      </w:r>
      <w:r w:rsidR="00AF4ECF" w:rsidRPr="00DE1E8C">
        <w:rPr>
          <w:lang w:val="en-GB"/>
        </w:rPr>
        <w:t>-attention</w:t>
      </w:r>
      <w:r w:rsidR="0010560E" w:rsidRPr="00DE1E8C">
        <w:rPr>
          <w:lang w:val="en-GB"/>
        </w:rPr>
        <w:t xml:space="preserve"> subscale [</w:t>
      </w:r>
      <w:r w:rsidR="00F21D55" w:rsidRPr="00DE1E8C">
        <w:rPr>
          <w:lang w:val="en-GB"/>
        </w:rPr>
        <w:t xml:space="preserve">Mayo </w:t>
      </w:r>
      <w:r w:rsidR="00747F4C" w:rsidRPr="00DE1E8C">
        <w:rPr>
          <w:lang w:val="en-GB"/>
        </w:rPr>
        <w:t>cognitive</w:t>
      </w:r>
      <w:r w:rsidR="00F21D55" w:rsidRPr="00DE1E8C">
        <w:rPr>
          <w:lang w:val="en-GB"/>
        </w:rPr>
        <w:t>: t(3</w:t>
      </w:r>
      <w:r w:rsidR="005F188B" w:rsidRPr="00DE1E8C">
        <w:rPr>
          <w:lang w:val="en-GB"/>
        </w:rPr>
        <w:t>1.53</w:t>
      </w:r>
      <w:r w:rsidR="00F21D55" w:rsidRPr="00DE1E8C">
        <w:rPr>
          <w:lang w:val="en-GB"/>
        </w:rPr>
        <w:t>) = -</w:t>
      </w:r>
      <w:r w:rsidR="005F188B" w:rsidRPr="00DE1E8C">
        <w:rPr>
          <w:lang w:val="en-GB"/>
        </w:rPr>
        <w:t>0.99</w:t>
      </w:r>
      <w:r w:rsidR="00F21D55" w:rsidRPr="00DE1E8C">
        <w:rPr>
          <w:lang w:val="en-GB"/>
        </w:rPr>
        <w:t xml:space="preserve">, </w:t>
      </w:r>
      <w:r w:rsidR="00F21D55" w:rsidRPr="00DE1E8C">
        <w:rPr>
          <w:i/>
          <w:lang w:val="en-GB"/>
        </w:rPr>
        <w:t>p</w:t>
      </w:r>
      <w:r w:rsidR="00F21D55" w:rsidRPr="00DE1E8C">
        <w:rPr>
          <w:lang w:val="en-GB"/>
        </w:rPr>
        <w:t xml:space="preserve"> = 0.</w:t>
      </w:r>
      <w:r w:rsidR="005F188B" w:rsidRPr="00DE1E8C">
        <w:rPr>
          <w:lang w:val="en-GB"/>
        </w:rPr>
        <w:t>329</w:t>
      </w:r>
      <w:r w:rsidR="0010560E" w:rsidRPr="00DE1E8C">
        <w:rPr>
          <w:lang w:val="en-GB"/>
        </w:rPr>
        <w:t>]</w:t>
      </w:r>
      <w:r w:rsidR="00C34697" w:rsidRPr="00DE1E8C">
        <w:rPr>
          <w:lang w:val="en-GB"/>
        </w:rPr>
        <w:t xml:space="preserve">, but the Lewy body group </w:t>
      </w:r>
      <w:r w:rsidR="00D17158" w:rsidRPr="00DE1E8C">
        <w:rPr>
          <w:lang w:val="en-GB"/>
        </w:rPr>
        <w:t>scored higher</w:t>
      </w:r>
      <w:r w:rsidR="009A43D1" w:rsidRPr="00DE1E8C">
        <w:rPr>
          <w:lang w:val="en-GB"/>
        </w:rPr>
        <w:t xml:space="preserve"> </w:t>
      </w:r>
      <w:r w:rsidR="00AF4ECF" w:rsidRPr="00DE1E8C">
        <w:rPr>
          <w:lang w:val="en-GB"/>
        </w:rPr>
        <w:t xml:space="preserve">on the </w:t>
      </w:r>
      <w:r w:rsidR="00AF4ECF" w:rsidRPr="00DE1E8C">
        <w:rPr>
          <w:color w:val="1A1718"/>
          <w:lang w:val="en-GB"/>
        </w:rPr>
        <w:t>arousal-alertness subscale</w:t>
      </w:r>
      <w:r w:rsidR="00AF4ECF" w:rsidRPr="00DE1E8C">
        <w:rPr>
          <w:lang w:val="en-GB"/>
        </w:rPr>
        <w:t xml:space="preserve"> [</w:t>
      </w:r>
      <w:r w:rsidR="005F188B" w:rsidRPr="00DE1E8C">
        <w:rPr>
          <w:lang w:val="en-GB"/>
        </w:rPr>
        <w:t>Mayo arousal: t(</w:t>
      </w:r>
      <w:r w:rsidR="00BA0A6D" w:rsidRPr="00DE1E8C">
        <w:rPr>
          <w:lang w:val="en-GB"/>
        </w:rPr>
        <w:t>40.58</w:t>
      </w:r>
      <w:r w:rsidR="005F188B" w:rsidRPr="00DE1E8C">
        <w:rPr>
          <w:lang w:val="en-GB"/>
        </w:rPr>
        <w:t>) = -</w:t>
      </w:r>
      <w:r w:rsidR="00BA0A6D" w:rsidRPr="00DE1E8C">
        <w:rPr>
          <w:lang w:val="en-GB"/>
        </w:rPr>
        <w:t>4.12</w:t>
      </w:r>
      <w:r w:rsidR="005F188B" w:rsidRPr="00DE1E8C">
        <w:rPr>
          <w:lang w:val="en-GB"/>
        </w:rPr>
        <w:t xml:space="preserve">, </w:t>
      </w:r>
      <w:r w:rsidR="005F188B" w:rsidRPr="00DE1E8C">
        <w:rPr>
          <w:i/>
          <w:lang w:val="en-GB"/>
        </w:rPr>
        <w:t>p</w:t>
      </w:r>
      <w:r w:rsidR="005F188B" w:rsidRPr="00DE1E8C">
        <w:rPr>
          <w:lang w:val="en-GB"/>
        </w:rPr>
        <w:t xml:space="preserve"> </w:t>
      </w:r>
      <w:r w:rsidR="00BA0A6D" w:rsidRPr="00DE1E8C">
        <w:rPr>
          <w:lang w:val="en-GB"/>
        </w:rPr>
        <w:t>&lt;</w:t>
      </w:r>
      <w:r w:rsidR="005F188B" w:rsidRPr="00DE1E8C">
        <w:rPr>
          <w:lang w:val="en-GB"/>
        </w:rPr>
        <w:t xml:space="preserve"> 0.</w:t>
      </w:r>
      <w:r w:rsidR="00BA0A6D" w:rsidRPr="00DE1E8C">
        <w:rPr>
          <w:lang w:val="en-GB"/>
        </w:rPr>
        <w:t>001</w:t>
      </w:r>
      <w:r w:rsidR="00AF4ECF" w:rsidRPr="00DE1E8C">
        <w:rPr>
          <w:lang w:val="en-GB"/>
        </w:rPr>
        <w:t>].</w:t>
      </w:r>
      <w:r w:rsidR="00F87F36" w:rsidRPr="00DE1E8C">
        <w:rPr>
          <w:lang w:val="en-GB"/>
        </w:rPr>
        <w:t xml:space="preserve"> Demographics and clinical characteristics for the</w:t>
      </w:r>
      <w:r w:rsidR="00994115" w:rsidRPr="00DE1E8C">
        <w:rPr>
          <w:lang w:val="en-GB"/>
        </w:rPr>
        <w:t xml:space="preserve"> Parkinson’s disease dementia and dementia with Lewy bodies cases are reported</w:t>
      </w:r>
      <w:r w:rsidR="0040090A" w:rsidRPr="00DE1E8C">
        <w:rPr>
          <w:lang w:val="en-GB"/>
        </w:rPr>
        <w:t xml:space="preserve"> separately</w:t>
      </w:r>
      <w:r w:rsidR="00994115" w:rsidRPr="00DE1E8C">
        <w:rPr>
          <w:lang w:val="en-GB"/>
        </w:rPr>
        <w:t xml:space="preserve"> in</w:t>
      </w:r>
      <w:r w:rsidR="00E47CBB" w:rsidRPr="00DE1E8C">
        <w:rPr>
          <w:lang w:val="en-GB"/>
        </w:rPr>
        <w:t xml:space="preserve"> </w:t>
      </w:r>
      <w:r w:rsidR="00DD733D" w:rsidRPr="00DE1E8C">
        <w:rPr>
          <w:lang w:val="en-GB"/>
        </w:rPr>
        <w:t xml:space="preserve">Supplementary material. To summarise, the groups only </w:t>
      </w:r>
      <w:r w:rsidR="00BA179A" w:rsidRPr="00DE1E8C">
        <w:rPr>
          <w:lang w:val="en-GB"/>
        </w:rPr>
        <w:t xml:space="preserve">differed </w:t>
      </w:r>
      <w:r w:rsidR="00BA179A" w:rsidRPr="00DE1E8C">
        <w:rPr>
          <w:lang w:val="en-GB"/>
        </w:rPr>
        <w:lastRenderedPageBreak/>
        <w:t>significantly with respect to</w:t>
      </w:r>
      <w:r w:rsidR="00E47CBB" w:rsidRPr="00DE1E8C">
        <w:rPr>
          <w:lang w:val="en-GB"/>
        </w:rPr>
        <w:t xml:space="preserve"> </w:t>
      </w:r>
      <w:r w:rsidR="00BA179A" w:rsidRPr="00DE1E8C">
        <w:rPr>
          <w:lang w:val="en-GB"/>
        </w:rPr>
        <w:t xml:space="preserve">Parkinson’s disease dementia patients </w:t>
      </w:r>
      <w:r w:rsidR="00A53534" w:rsidRPr="00DE1E8C">
        <w:rPr>
          <w:lang w:val="en-GB"/>
        </w:rPr>
        <w:t>showing more severe motor features on the</w:t>
      </w:r>
      <w:r w:rsidR="00863B16" w:rsidRPr="00DE1E8C">
        <w:rPr>
          <w:lang w:val="en-GB"/>
        </w:rPr>
        <w:t xml:space="preserve"> UPDRS-III</w:t>
      </w:r>
      <w:r w:rsidR="00A53534" w:rsidRPr="00DE1E8C">
        <w:rPr>
          <w:lang w:val="en-GB"/>
        </w:rPr>
        <w:t xml:space="preserve"> and having a higher levodopa equivalent daily dose</w:t>
      </w:r>
      <w:r w:rsidR="005C27EC" w:rsidRPr="00DE1E8C">
        <w:rPr>
          <w:lang w:val="en-GB"/>
        </w:rPr>
        <w:t xml:space="preserve"> (See Supplementary Table 1 for details)</w:t>
      </w:r>
      <w:r w:rsidR="00A53534" w:rsidRPr="00DE1E8C">
        <w:rPr>
          <w:lang w:val="en-GB"/>
        </w:rPr>
        <w:t xml:space="preserve">. </w:t>
      </w:r>
      <w:r w:rsidR="00863B16" w:rsidRPr="00DE1E8C">
        <w:rPr>
          <w:lang w:val="en-GB"/>
        </w:rPr>
        <w:t xml:space="preserve"> </w:t>
      </w:r>
      <w:r w:rsidR="00BA179A" w:rsidRPr="00DE1E8C">
        <w:rPr>
          <w:lang w:val="en-GB"/>
        </w:rPr>
        <w:t xml:space="preserve">  </w:t>
      </w:r>
    </w:p>
    <w:p w14:paraId="7A45A6A8" w14:textId="77777777" w:rsidR="00471F6E" w:rsidRPr="00DE1E8C" w:rsidRDefault="00471F6E" w:rsidP="00551517">
      <w:pPr>
        <w:pBdr>
          <w:top w:val="nil"/>
          <w:left w:val="nil"/>
          <w:bottom w:val="nil"/>
          <w:right w:val="nil"/>
          <w:between w:val="nil"/>
        </w:pBdr>
        <w:jc w:val="both"/>
        <w:rPr>
          <w:b/>
          <w:color w:val="000000"/>
          <w:lang w:val="en-GB"/>
        </w:rPr>
      </w:pPr>
    </w:p>
    <w:p w14:paraId="1B8BBABB" w14:textId="728D7307" w:rsidR="007E4A84" w:rsidRPr="00DE1E8C" w:rsidRDefault="00507A7A" w:rsidP="007E4A84">
      <w:pPr>
        <w:pBdr>
          <w:top w:val="nil"/>
          <w:left w:val="nil"/>
          <w:bottom w:val="nil"/>
          <w:right w:val="nil"/>
          <w:between w:val="nil"/>
        </w:pBdr>
        <w:jc w:val="both"/>
        <w:rPr>
          <w:color w:val="000000"/>
          <w:lang w:val="en-GB"/>
        </w:rPr>
      </w:pPr>
      <w:r w:rsidRPr="00DE1E8C">
        <w:rPr>
          <w:b/>
          <w:color w:val="000000"/>
          <w:lang w:val="en-GB"/>
        </w:rPr>
        <w:t xml:space="preserve">Table 1. </w:t>
      </w:r>
      <w:r w:rsidRPr="00DE1E8C">
        <w:rPr>
          <w:color w:val="000000"/>
          <w:lang w:val="en-GB"/>
        </w:rPr>
        <w:t>Mean (standard deviation) for demographics</w:t>
      </w:r>
      <w:r w:rsidR="00386DEA" w:rsidRPr="00DE1E8C">
        <w:rPr>
          <w:color w:val="000000"/>
          <w:lang w:val="en-GB"/>
        </w:rPr>
        <w:t xml:space="preserve"> and</w:t>
      </w:r>
      <w:r w:rsidRPr="00DE1E8C">
        <w:rPr>
          <w:color w:val="000000"/>
          <w:lang w:val="en-GB"/>
        </w:rPr>
        <w:t xml:space="preserve"> clinical characteristics</w:t>
      </w:r>
      <w:r w:rsidR="00386DEA" w:rsidRPr="00DE1E8C">
        <w:rPr>
          <w:color w:val="000000"/>
          <w:lang w:val="en-GB"/>
        </w:rPr>
        <w:t>.</w:t>
      </w:r>
    </w:p>
    <w:p w14:paraId="3782C4C3" w14:textId="77777777" w:rsidR="007E4A84" w:rsidRPr="00DE1E8C" w:rsidRDefault="007E4A84" w:rsidP="007E4A84">
      <w:pPr>
        <w:pBdr>
          <w:top w:val="nil"/>
          <w:left w:val="nil"/>
          <w:bottom w:val="nil"/>
          <w:right w:val="nil"/>
          <w:between w:val="nil"/>
        </w:pBdr>
        <w:jc w:val="both"/>
        <w:rPr>
          <w:color w:val="000000"/>
          <w:lang w:val="en-GB"/>
        </w:rPr>
      </w:pPr>
    </w:p>
    <w:tbl>
      <w:tblPr>
        <w:tblW w:w="10207" w:type="dxa"/>
        <w:tblInd w:w="-743" w:type="dxa"/>
        <w:tblBorders>
          <w:top w:val="single" w:sz="8" w:space="0" w:color="000000"/>
          <w:bottom w:val="single" w:sz="8" w:space="0" w:color="000000"/>
        </w:tblBorders>
        <w:tblLayout w:type="fixed"/>
        <w:tblLook w:val="0600" w:firstRow="0" w:lastRow="0" w:firstColumn="0" w:lastColumn="0" w:noHBand="1" w:noVBand="1"/>
      </w:tblPr>
      <w:tblGrid>
        <w:gridCol w:w="2836"/>
        <w:gridCol w:w="1276"/>
        <w:gridCol w:w="1417"/>
        <w:gridCol w:w="1417"/>
        <w:gridCol w:w="142"/>
        <w:gridCol w:w="993"/>
        <w:gridCol w:w="2126"/>
      </w:tblGrid>
      <w:tr w:rsidR="007E4A84" w:rsidRPr="00DE1E8C" w14:paraId="38EF22A5" w14:textId="77777777" w:rsidTr="008E4A2C">
        <w:tc>
          <w:tcPr>
            <w:tcW w:w="2836" w:type="dxa"/>
            <w:tcBorders>
              <w:top w:val="single" w:sz="8" w:space="0" w:color="000000"/>
              <w:left w:val="nil"/>
              <w:bottom w:val="single" w:sz="8" w:space="0" w:color="000000"/>
              <w:right w:val="single" w:sz="4" w:space="0" w:color="000000"/>
            </w:tcBorders>
            <w:vAlign w:val="center"/>
          </w:tcPr>
          <w:p w14:paraId="5A8759CB" w14:textId="77777777" w:rsidR="007E4A84" w:rsidRPr="00DE1E8C" w:rsidRDefault="007E4A84" w:rsidP="008E4A2C">
            <w:pPr>
              <w:jc w:val="both"/>
              <w:rPr>
                <w:b/>
                <w:lang w:val="en-GB"/>
              </w:rPr>
            </w:pPr>
            <w:r w:rsidRPr="00DE1E8C">
              <w:rPr>
                <w:b/>
                <w:lang w:val="en-GB"/>
              </w:rPr>
              <w:t xml:space="preserve">Demographics &amp; clinical characteristics </w:t>
            </w:r>
          </w:p>
        </w:tc>
        <w:tc>
          <w:tcPr>
            <w:tcW w:w="1276" w:type="dxa"/>
            <w:tcBorders>
              <w:top w:val="single" w:sz="8" w:space="0" w:color="000000"/>
              <w:left w:val="single" w:sz="4" w:space="0" w:color="000000"/>
              <w:bottom w:val="single" w:sz="8" w:space="0" w:color="000000"/>
              <w:right w:val="nil"/>
            </w:tcBorders>
            <w:vAlign w:val="center"/>
          </w:tcPr>
          <w:p w14:paraId="158CB3FD" w14:textId="77777777" w:rsidR="007E4A84" w:rsidRPr="00DE1E8C" w:rsidRDefault="007E4A84" w:rsidP="008E4A2C">
            <w:pPr>
              <w:spacing w:line="360" w:lineRule="auto"/>
              <w:jc w:val="center"/>
              <w:rPr>
                <w:b/>
                <w:lang w:val="en-GB"/>
              </w:rPr>
            </w:pPr>
            <w:r w:rsidRPr="00DE1E8C">
              <w:rPr>
                <w:b/>
                <w:lang w:val="en-GB"/>
              </w:rPr>
              <w:t>Controls</w:t>
            </w:r>
          </w:p>
        </w:tc>
        <w:tc>
          <w:tcPr>
            <w:tcW w:w="1417" w:type="dxa"/>
            <w:tcBorders>
              <w:top w:val="single" w:sz="8" w:space="0" w:color="000000"/>
              <w:left w:val="nil"/>
              <w:bottom w:val="single" w:sz="8" w:space="0" w:color="000000"/>
              <w:right w:val="nil"/>
            </w:tcBorders>
            <w:vAlign w:val="center"/>
          </w:tcPr>
          <w:p w14:paraId="51E1B252" w14:textId="77777777" w:rsidR="007E4A84" w:rsidRPr="00DE1E8C" w:rsidRDefault="007E4A84" w:rsidP="008E4A2C">
            <w:pPr>
              <w:spacing w:line="360" w:lineRule="auto"/>
              <w:jc w:val="center"/>
              <w:rPr>
                <w:b/>
                <w:lang w:val="en-GB"/>
              </w:rPr>
            </w:pPr>
            <w:r w:rsidRPr="00DE1E8C">
              <w:rPr>
                <w:b/>
                <w:lang w:val="en-GB"/>
              </w:rPr>
              <w:t>AD</w:t>
            </w:r>
          </w:p>
        </w:tc>
        <w:tc>
          <w:tcPr>
            <w:tcW w:w="1417" w:type="dxa"/>
            <w:tcBorders>
              <w:top w:val="single" w:sz="8" w:space="0" w:color="000000"/>
              <w:left w:val="nil"/>
              <w:bottom w:val="single" w:sz="8" w:space="0" w:color="000000"/>
              <w:right w:val="nil"/>
            </w:tcBorders>
            <w:vAlign w:val="center"/>
          </w:tcPr>
          <w:p w14:paraId="5A82E395" w14:textId="77777777" w:rsidR="007E4A84" w:rsidRPr="00DE1E8C" w:rsidRDefault="007E4A84" w:rsidP="008E4A2C">
            <w:pPr>
              <w:spacing w:line="360" w:lineRule="auto"/>
              <w:jc w:val="center"/>
              <w:rPr>
                <w:b/>
                <w:lang w:val="en-GB"/>
              </w:rPr>
            </w:pPr>
            <w:r w:rsidRPr="00DE1E8C">
              <w:rPr>
                <w:b/>
                <w:lang w:val="en-GB"/>
              </w:rPr>
              <w:t>LBD</w:t>
            </w:r>
          </w:p>
        </w:tc>
        <w:tc>
          <w:tcPr>
            <w:tcW w:w="1135" w:type="dxa"/>
            <w:gridSpan w:val="2"/>
            <w:tcBorders>
              <w:top w:val="single" w:sz="8" w:space="0" w:color="000000"/>
              <w:left w:val="nil"/>
              <w:bottom w:val="single" w:sz="8" w:space="0" w:color="000000"/>
              <w:right w:val="nil"/>
            </w:tcBorders>
          </w:tcPr>
          <w:p w14:paraId="6A61A544" w14:textId="77777777" w:rsidR="007E4A84" w:rsidRPr="00DE1E8C" w:rsidRDefault="007E4A84" w:rsidP="008E4A2C">
            <w:pPr>
              <w:ind w:left="-80" w:firstLine="222"/>
              <w:jc w:val="center"/>
              <w:rPr>
                <w:b/>
                <w:lang w:val="en-GB"/>
              </w:rPr>
            </w:pPr>
            <w:r w:rsidRPr="00DE1E8C">
              <w:rPr>
                <w:b/>
                <w:lang w:val="en-GB"/>
              </w:rPr>
              <w:t>Group</w:t>
            </w:r>
          </w:p>
          <w:p w14:paraId="3F0E0F40" w14:textId="77777777" w:rsidR="007E4A84" w:rsidRPr="00DE1E8C" w:rsidRDefault="007E4A84" w:rsidP="008E4A2C">
            <w:pPr>
              <w:ind w:left="142"/>
              <w:jc w:val="center"/>
              <w:rPr>
                <w:b/>
                <w:i/>
                <w:vertAlign w:val="superscript"/>
                <w:lang w:val="en-GB"/>
              </w:rPr>
            </w:pPr>
            <w:r w:rsidRPr="00DE1E8C">
              <w:rPr>
                <w:b/>
                <w:i/>
                <w:lang w:val="en-GB"/>
              </w:rPr>
              <w:t>p</w:t>
            </w:r>
            <w:r w:rsidRPr="00DE1E8C">
              <w:rPr>
                <w:b/>
                <w:i/>
                <w:vertAlign w:val="superscript"/>
                <w:lang w:val="en-GB"/>
              </w:rPr>
              <w:t xml:space="preserve"> </w:t>
            </w:r>
            <w:r w:rsidRPr="00DE1E8C">
              <w:rPr>
                <w:b/>
                <w:lang w:val="en-GB"/>
              </w:rPr>
              <w:t>value</w:t>
            </w:r>
          </w:p>
        </w:tc>
        <w:tc>
          <w:tcPr>
            <w:tcW w:w="2126" w:type="dxa"/>
            <w:tcBorders>
              <w:top w:val="single" w:sz="8" w:space="0" w:color="000000"/>
              <w:left w:val="nil"/>
              <w:bottom w:val="single" w:sz="8" w:space="0" w:color="000000"/>
              <w:right w:val="nil"/>
            </w:tcBorders>
          </w:tcPr>
          <w:p w14:paraId="196BD328" w14:textId="77777777" w:rsidR="007E4A84" w:rsidRPr="00DE1E8C" w:rsidRDefault="007E4A84" w:rsidP="008E4A2C">
            <w:pPr>
              <w:ind w:left="-80" w:firstLine="222"/>
              <w:jc w:val="center"/>
              <w:rPr>
                <w:b/>
                <w:lang w:val="en-GB"/>
              </w:rPr>
            </w:pPr>
            <w:r w:rsidRPr="00DE1E8C">
              <w:rPr>
                <w:b/>
                <w:lang w:val="en-GB"/>
              </w:rPr>
              <w:t>Post hoc</w:t>
            </w:r>
          </w:p>
          <w:p w14:paraId="58907541" w14:textId="77777777" w:rsidR="007E4A84" w:rsidRPr="00DE1E8C" w:rsidRDefault="007E4A84" w:rsidP="008E4A2C">
            <w:pPr>
              <w:spacing w:line="360" w:lineRule="auto"/>
              <w:ind w:left="142"/>
              <w:jc w:val="center"/>
              <w:rPr>
                <w:b/>
                <w:i/>
                <w:lang w:val="en-GB"/>
              </w:rPr>
            </w:pPr>
            <w:r w:rsidRPr="00DE1E8C">
              <w:rPr>
                <w:b/>
                <w:i/>
                <w:lang w:val="en-GB"/>
              </w:rPr>
              <w:t>p</w:t>
            </w:r>
            <w:r w:rsidRPr="00DE1E8C">
              <w:rPr>
                <w:b/>
                <w:i/>
                <w:vertAlign w:val="superscript"/>
                <w:lang w:val="en-GB"/>
              </w:rPr>
              <w:t xml:space="preserve"> </w:t>
            </w:r>
            <w:r w:rsidRPr="00DE1E8C">
              <w:rPr>
                <w:b/>
                <w:lang w:val="en-GB"/>
              </w:rPr>
              <w:t>value</w:t>
            </w:r>
          </w:p>
        </w:tc>
      </w:tr>
      <w:tr w:rsidR="007E4A84" w:rsidRPr="00DE1E8C" w14:paraId="7C729834" w14:textId="77777777" w:rsidTr="008E4A2C">
        <w:tc>
          <w:tcPr>
            <w:tcW w:w="2836" w:type="dxa"/>
            <w:tcBorders>
              <w:right w:val="single" w:sz="4" w:space="0" w:color="000000"/>
            </w:tcBorders>
          </w:tcPr>
          <w:p w14:paraId="4910DA39" w14:textId="77777777" w:rsidR="007E4A84" w:rsidRPr="00DE1E8C" w:rsidRDefault="007E4A84" w:rsidP="008E4A2C">
            <w:pPr>
              <w:spacing w:line="360" w:lineRule="auto"/>
              <w:jc w:val="both"/>
              <w:rPr>
                <w:b/>
                <w:lang w:val="en-GB"/>
              </w:rPr>
            </w:pPr>
            <w:r w:rsidRPr="00DE1E8C">
              <w:rPr>
                <w:b/>
                <w:lang w:val="en-GB"/>
              </w:rPr>
              <w:t>N</w:t>
            </w:r>
          </w:p>
        </w:tc>
        <w:tc>
          <w:tcPr>
            <w:tcW w:w="1276" w:type="dxa"/>
            <w:tcBorders>
              <w:left w:val="single" w:sz="4" w:space="0" w:color="000000"/>
            </w:tcBorders>
          </w:tcPr>
          <w:p w14:paraId="2690A516" w14:textId="77777777" w:rsidR="007E4A84" w:rsidRPr="00DE1E8C" w:rsidRDefault="007E4A84" w:rsidP="008E4A2C">
            <w:pPr>
              <w:spacing w:line="360" w:lineRule="auto"/>
              <w:jc w:val="center"/>
              <w:rPr>
                <w:lang w:val="en-GB"/>
              </w:rPr>
            </w:pPr>
            <w:r w:rsidRPr="00DE1E8C">
              <w:rPr>
                <w:lang w:val="en-GB"/>
              </w:rPr>
              <w:t>23</w:t>
            </w:r>
          </w:p>
        </w:tc>
        <w:tc>
          <w:tcPr>
            <w:tcW w:w="1417" w:type="dxa"/>
          </w:tcPr>
          <w:p w14:paraId="1619F172" w14:textId="77777777" w:rsidR="007E4A84" w:rsidRPr="00DE1E8C" w:rsidRDefault="007E4A84" w:rsidP="008E4A2C">
            <w:pPr>
              <w:spacing w:line="360" w:lineRule="auto"/>
              <w:jc w:val="center"/>
              <w:rPr>
                <w:lang w:val="en-GB"/>
              </w:rPr>
            </w:pPr>
            <w:r w:rsidRPr="00DE1E8C">
              <w:rPr>
                <w:lang w:val="en-GB"/>
              </w:rPr>
              <w:t>16</w:t>
            </w:r>
          </w:p>
        </w:tc>
        <w:tc>
          <w:tcPr>
            <w:tcW w:w="1559" w:type="dxa"/>
            <w:gridSpan w:val="2"/>
          </w:tcPr>
          <w:p w14:paraId="7C505B95" w14:textId="77777777" w:rsidR="007E4A84" w:rsidRPr="00DE1E8C" w:rsidRDefault="007E4A84" w:rsidP="008E4A2C">
            <w:pPr>
              <w:spacing w:line="360" w:lineRule="auto"/>
              <w:jc w:val="center"/>
              <w:rPr>
                <w:lang w:val="en-GB"/>
              </w:rPr>
            </w:pPr>
            <w:r w:rsidRPr="00DE1E8C">
              <w:rPr>
                <w:lang w:val="en-GB"/>
              </w:rPr>
              <w:t>31</w:t>
            </w:r>
          </w:p>
        </w:tc>
        <w:tc>
          <w:tcPr>
            <w:tcW w:w="993" w:type="dxa"/>
          </w:tcPr>
          <w:p w14:paraId="31D653AC" w14:textId="77777777" w:rsidR="007E4A84" w:rsidRPr="00DE1E8C" w:rsidRDefault="007E4A84" w:rsidP="008E4A2C">
            <w:pPr>
              <w:spacing w:line="360" w:lineRule="auto"/>
              <w:jc w:val="center"/>
              <w:rPr>
                <w:lang w:val="en-GB"/>
              </w:rPr>
            </w:pPr>
            <w:r w:rsidRPr="00DE1E8C">
              <w:rPr>
                <w:lang w:val="en-GB"/>
              </w:rPr>
              <w:t>-</w:t>
            </w:r>
          </w:p>
        </w:tc>
        <w:tc>
          <w:tcPr>
            <w:tcW w:w="2126" w:type="dxa"/>
          </w:tcPr>
          <w:p w14:paraId="0654C0BC" w14:textId="77777777" w:rsidR="007E4A84" w:rsidRPr="00DE1E8C" w:rsidRDefault="007E4A84" w:rsidP="008E4A2C">
            <w:pPr>
              <w:spacing w:line="360" w:lineRule="auto"/>
              <w:jc w:val="center"/>
              <w:rPr>
                <w:lang w:val="en-GB"/>
              </w:rPr>
            </w:pPr>
            <w:r w:rsidRPr="00DE1E8C">
              <w:rPr>
                <w:lang w:val="en-GB"/>
              </w:rPr>
              <w:t>-</w:t>
            </w:r>
          </w:p>
        </w:tc>
      </w:tr>
      <w:tr w:rsidR="007E4A84" w:rsidRPr="00DE1E8C" w14:paraId="2122D637" w14:textId="77777777" w:rsidTr="008E4A2C">
        <w:tc>
          <w:tcPr>
            <w:tcW w:w="2836" w:type="dxa"/>
            <w:tcBorders>
              <w:right w:val="single" w:sz="4" w:space="0" w:color="000000"/>
            </w:tcBorders>
          </w:tcPr>
          <w:p w14:paraId="5345EDAA" w14:textId="77777777" w:rsidR="007E4A84" w:rsidRPr="00DE1E8C" w:rsidRDefault="007E4A84" w:rsidP="008E4A2C">
            <w:pPr>
              <w:spacing w:line="360" w:lineRule="auto"/>
              <w:jc w:val="both"/>
              <w:rPr>
                <w:b/>
                <w:lang w:val="en-GB"/>
              </w:rPr>
            </w:pPr>
            <w:r w:rsidRPr="00DE1E8C">
              <w:rPr>
                <w:b/>
                <w:lang w:val="en-GB"/>
              </w:rPr>
              <w:t>Sex (M:F)</w:t>
            </w:r>
          </w:p>
        </w:tc>
        <w:tc>
          <w:tcPr>
            <w:tcW w:w="1276" w:type="dxa"/>
            <w:tcBorders>
              <w:left w:val="single" w:sz="4" w:space="0" w:color="000000"/>
            </w:tcBorders>
          </w:tcPr>
          <w:p w14:paraId="3CBB6674" w14:textId="77777777" w:rsidR="007E4A84" w:rsidRPr="00DE1E8C" w:rsidRDefault="007E4A84" w:rsidP="008E4A2C">
            <w:pPr>
              <w:spacing w:line="360" w:lineRule="auto"/>
              <w:jc w:val="center"/>
              <w:rPr>
                <w:lang w:val="en-GB"/>
              </w:rPr>
            </w:pPr>
            <w:r w:rsidRPr="00DE1E8C">
              <w:rPr>
                <w:lang w:val="en-GB"/>
              </w:rPr>
              <w:t>16:7</w:t>
            </w:r>
          </w:p>
        </w:tc>
        <w:tc>
          <w:tcPr>
            <w:tcW w:w="1417" w:type="dxa"/>
          </w:tcPr>
          <w:p w14:paraId="7C5645DB" w14:textId="77777777" w:rsidR="007E4A84" w:rsidRPr="00DE1E8C" w:rsidRDefault="007E4A84" w:rsidP="008E4A2C">
            <w:pPr>
              <w:spacing w:line="360" w:lineRule="auto"/>
              <w:jc w:val="center"/>
              <w:rPr>
                <w:lang w:val="en-GB"/>
              </w:rPr>
            </w:pPr>
            <w:r w:rsidRPr="00DE1E8C">
              <w:rPr>
                <w:lang w:val="en-GB"/>
              </w:rPr>
              <w:t>13:3</w:t>
            </w:r>
          </w:p>
        </w:tc>
        <w:tc>
          <w:tcPr>
            <w:tcW w:w="1559" w:type="dxa"/>
            <w:gridSpan w:val="2"/>
          </w:tcPr>
          <w:p w14:paraId="14C2DAF9" w14:textId="77777777" w:rsidR="007E4A84" w:rsidRPr="00DE1E8C" w:rsidRDefault="007E4A84" w:rsidP="008E4A2C">
            <w:pPr>
              <w:spacing w:line="360" w:lineRule="auto"/>
              <w:jc w:val="center"/>
              <w:rPr>
                <w:lang w:val="en-GB"/>
              </w:rPr>
            </w:pPr>
            <w:r w:rsidRPr="00DE1E8C">
              <w:rPr>
                <w:lang w:val="en-GB"/>
              </w:rPr>
              <w:t>25:6</w:t>
            </w:r>
          </w:p>
        </w:tc>
        <w:tc>
          <w:tcPr>
            <w:tcW w:w="993" w:type="dxa"/>
          </w:tcPr>
          <w:p w14:paraId="1257320A" w14:textId="77777777" w:rsidR="007E4A84" w:rsidRPr="00DE1E8C" w:rsidRDefault="007E4A84" w:rsidP="008E4A2C">
            <w:pPr>
              <w:spacing w:line="360" w:lineRule="auto"/>
              <w:jc w:val="center"/>
              <w:rPr>
                <w:lang w:val="en-GB"/>
              </w:rPr>
            </w:pPr>
            <w:r w:rsidRPr="00DE1E8C">
              <w:rPr>
                <w:lang w:val="en-GB"/>
              </w:rPr>
              <w:t>n.s.</w:t>
            </w:r>
          </w:p>
        </w:tc>
        <w:tc>
          <w:tcPr>
            <w:tcW w:w="2126" w:type="dxa"/>
          </w:tcPr>
          <w:p w14:paraId="36276A39" w14:textId="77777777" w:rsidR="007E4A84" w:rsidRPr="00DE1E8C" w:rsidRDefault="007E4A84" w:rsidP="008E4A2C">
            <w:pPr>
              <w:spacing w:line="360" w:lineRule="auto"/>
              <w:jc w:val="center"/>
              <w:rPr>
                <w:lang w:val="en-GB"/>
              </w:rPr>
            </w:pPr>
            <w:r w:rsidRPr="00DE1E8C">
              <w:rPr>
                <w:lang w:val="en-GB"/>
              </w:rPr>
              <w:t>-</w:t>
            </w:r>
          </w:p>
        </w:tc>
      </w:tr>
      <w:tr w:rsidR="007E4A84" w:rsidRPr="00DE1E8C" w14:paraId="50233907" w14:textId="77777777" w:rsidTr="008E4A2C">
        <w:tc>
          <w:tcPr>
            <w:tcW w:w="2836" w:type="dxa"/>
            <w:tcBorders>
              <w:right w:val="single" w:sz="4" w:space="0" w:color="000000"/>
            </w:tcBorders>
          </w:tcPr>
          <w:p w14:paraId="5080B6B9" w14:textId="77777777" w:rsidR="007E4A84" w:rsidRPr="00DE1E8C" w:rsidRDefault="007E4A84" w:rsidP="008E4A2C">
            <w:pPr>
              <w:spacing w:line="360" w:lineRule="auto"/>
              <w:jc w:val="both"/>
              <w:rPr>
                <w:b/>
                <w:vertAlign w:val="superscript"/>
                <w:lang w:val="en-GB"/>
              </w:rPr>
            </w:pPr>
            <w:r w:rsidRPr="00DE1E8C">
              <w:rPr>
                <w:b/>
                <w:lang w:val="en-GB"/>
              </w:rPr>
              <w:t>Age</w:t>
            </w:r>
          </w:p>
          <w:p w14:paraId="74EEC0A1" w14:textId="77777777" w:rsidR="007E4A84" w:rsidRPr="00DE1E8C" w:rsidRDefault="007E4A84" w:rsidP="008E4A2C">
            <w:pPr>
              <w:spacing w:line="360" w:lineRule="auto"/>
              <w:jc w:val="both"/>
              <w:rPr>
                <w:b/>
                <w:lang w:val="en-GB"/>
              </w:rPr>
            </w:pPr>
            <w:r w:rsidRPr="00DE1E8C">
              <w:rPr>
                <w:b/>
                <w:lang w:val="en-GB"/>
              </w:rPr>
              <w:t>Education</w:t>
            </w:r>
          </w:p>
        </w:tc>
        <w:tc>
          <w:tcPr>
            <w:tcW w:w="1276" w:type="dxa"/>
            <w:tcBorders>
              <w:left w:val="single" w:sz="4" w:space="0" w:color="000000"/>
            </w:tcBorders>
          </w:tcPr>
          <w:p w14:paraId="0660D023" w14:textId="77777777" w:rsidR="007E4A84" w:rsidRPr="00DE1E8C" w:rsidRDefault="007E4A84" w:rsidP="008E4A2C">
            <w:pPr>
              <w:spacing w:line="360" w:lineRule="auto"/>
              <w:jc w:val="center"/>
              <w:rPr>
                <w:lang w:val="en-GB"/>
              </w:rPr>
            </w:pPr>
            <w:r w:rsidRPr="00DE1E8C">
              <w:rPr>
                <w:lang w:val="en-GB"/>
              </w:rPr>
              <w:t>76.3 (5.4)</w:t>
            </w:r>
          </w:p>
          <w:p w14:paraId="4B1D74B4" w14:textId="77777777" w:rsidR="007E4A84" w:rsidRPr="00DE1E8C" w:rsidRDefault="007E4A84" w:rsidP="008E4A2C">
            <w:pPr>
              <w:spacing w:line="360" w:lineRule="auto"/>
              <w:jc w:val="center"/>
              <w:rPr>
                <w:lang w:val="en-GB"/>
              </w:rPr>
            </w:pPr>
            <w:r w:rsidRPr="00DE1E8C">
              <w:rPr>
                <w:lang w:val="en-GB"/>
              </w:rPr>
              <w:t>11.4 (1.8)</w:t>
            </w:r>
          </w:p>
        </w:tc>
        <w:tc>
          <w:tcPr>
            <w:tcW w:w="1417" w:type="dxa"/>
          </w:tcPr>
          <w:p w14:paraId="4412FAC0" w14:textId="77777777" w:rsidR="007E4A84" w:rsidRPr="00DE1E8C" w:rsidRDefault="007E4A84" w:rsidP="008E4A2C">
            <w:pPr>
              <w:spacing w:line="360" w:lineRule="auto"/>
              <w:jc w:val="center"/>
              <w:rPr>
                <w:lang w:val="en-GB"/>
              </w:rPr>
            </w:pPr>
            <w:r w:rsidRPr="00DE1E8C">
              <w:rPr>
                <w:lang w:val="en-GB"/>
              </w:rPr>
              <w:t>76.4 (8.2)</w:t>
            </w:r>
          </w:p>
          <w:p w14:paraId="272A7E07" w14:textId="77777777" w:rsidR="007E4A84" w:rsidRPr="00DE1E8C" w:rsidRDefault="007E4A84" w:rsidP="008E4A2C">
            <w:pPr>
              <w:spacing w:line="360" w:lineRule="auto"/>
              <w:jc w:val="center"/>
              <w:rPr>
                <w:lang w:val="en-GB"/>
              </w:rPr>
            </w:pPr>
            <w:r w:rsidRPr="00DE1E8C">
              <w:rPr>
                <w:lang w:val="en-GB"/>
              </w:rPr>
              <w:t>10.6 (1.4)</w:t>
            </w:r>
          </w:p>
        </w:tc>
        <w:tc>
          <w:tcPr>
            <w:tcW w:w="1559" w:type="dxa"/>
            <w:gridSpan w:val="2"/>
          </w:tcPr>
          <w:p w14:paraId="2431AA10" w14:textId="77777777" w:rsidR="007E4A84" w:rsidRPr="00DE1E8C" w:rsidRDefault="007E4A84" w:rsidP="008E4A2C">
            <w:pPr>
              <w:spacing w:line="360" w:lineRule="auto"/>
              <w:jc w:val="center"/>
              <w:rPr>
                <w:lang w:val="en-GB"/>
              </w:rPr>
            </w:pPr>
            <w:r w:rsidRPr="00DE1E8C">
              <w:rPr>
                <w:lang w:val="en-GB"/>
              </w:rPr>
              <w:t>75.9 (5.3)</w:t>
            </w:r>
          </w:p>
          <w:p w14:paraId="2055E149" w14:textId="77777777" w:rsidR="007E4A84" w:rsidRPr="00DE1E8C" w:rsidRDefault="007E4A84" w:rsidP="008E4A2C">
            <w:pPr>
              <w:spacing w:line="360" w:lineRule="auto"/>
              <w:jc w:val="center"/>
              <w:rPr>
                <w:lang w:val="en-GB"/>
              </w:rPr>
            </w:pPr>
            <w:r w:rsidRPr="00DE1E8C">
              <w:rPr>
                <w:lang w:val="en-GB"/>
              </w:rPr>
              <w:t>10.5 (1.5)</w:t>
            </w:r>
          </w:p>
        </w:tc>
        <w:tc>
          <w:tcPr>
            <w:tcW w:w="993" w:type="dxa"/>
          </w:tcPr>
          <w:p w14:paraId="19B06D36" w14:textId="77777777" w:rsidR="007E4A84" w:rsidRPr="00DE1E8C" w:rsidRDefault="007E4A84" w:rsidP="008E4A2C">
            <w:pPr>
              <w:spacing w:line="360" w:lineRule="auto"/>
              <w:jc w:val="center"/>
              <w:rPr>
                <w:lang w:val="en-GB"/>
              </w:rPr>
            </w:pPr>
            <w:r w:rsidRPr="00DE1E8C">
              <w:rPr>
                <w:lang w:val="en-GB"/>
              </w:rPr>
              <w:t>n.s.</w:t>
            </w:r>
          </w:p>
          <w:p w14:paraId="205A733B" w14:textId="77777777" w:rsidR="007E4A84" w:rsidRPr="00DE1E8C" w:rsidRDefault="007E4A84" w:rsidP="008E4A2C">
            <w:pPr>
              <w:spacing w:line="360" w:lineRule="auto"/>
              <w:jc w:val="center"/>
              <w:rPr>
                <w:lang w:val="en-GB"/>
              </w:rPr>
            </w:pPr>
            <w:r w:rsidRPr="00DE1E8C">
              <w:rPr>
                <w:lang w:val="en-GB"/>
              </w:rPr>
              <w:t>n.s.</w:t>
            </w:r>
          </w:p>
        </w:tc>
        <w:tc>
          <w:tcPr>
            <w:tcW w:w="2126" w:type="dxa"/>
          </w:tcPr>
          <w:p w14:paraId="49036444" w14:textId="77777777" w:rsidR="007E4A84" w:rsidRPr="00DE1E8C" w:rsidRDefault="007E4A84" w:rsidP="008E4A2C">
            <w:pPr>
              <w:spacing w:line="360" w:lineRule="auto"/>
              <w:jc w:val="center"/>
              <w:rPr>
                <w:lang w:val="en-GB"/>
              </w:rPr>
            </w:pPr>
            <w:r w:rsidRPr="00DE1E8C">
              <w:rPr>
                <w:lang w:val="en-GB"/>
              </w:rPr>
              <w:t>-</w:t>
            </w:r>
          </w:p>
          <w:p w14:paraId="222A69A2" w14:textId="77777777" w:rsidR="007E4A84" w:rsidRPr="00DE1E8C" w:rsidRDefault="007E4A84" w:rsidP="008E4A2C">
            <w:pPr>
              <w:spacing w:line="360" w:lineRule="auto"/>
              <w:jc w:val="center"/>
              <w:rPr>
                <w:lang w:val="en-GB"/>
              </w:rPr>
            </w:pPr>
            <w:r w:rsidRPr="00DE1E8C">
              <w:rPr>
                <w:lang w:val="en-GB"/>
              </w:rPr>
              <w:t>-</w:t>
            </w:r>
          </w:p>
        </w:tc>
      </w:tr>
      <w:tr w:rsidR="007E4A84" w:rsidRPr="00DE1E8C" w14:paraId="77A6248D" w14:textId="77777777" w:rsidTr="008E4A2C">
        <w:tc>
          <w:tcPr>
            <w:tcW w:w="2836" w:type="dxa"/>
            <w:tcBorders>
              <w:right w:val="single" w:sz="4" w:space="0" w:color="000000"/>
            </w:tcBorders>
          </w:tcPr>
          <w:p w14:paraId="724F9ED3" w14:textId="77777777" w:rsidR="007E4A84" w:rsidRPr="00DE1E8C" w:rsidRDefault="007E4A84" w:rsidP="008E4A2C">
            <w:pPr>
              <w:spacing w:line="360" w:lineRule="auto"/>
              <w:jc w:val="both"/>
              <w:rPr>
                <w:b/>
                <w:vertAlign w:val="subscript"/>
                <w:lang w:val="en-GB"/>
              </w:rPr>
            </w:pPr>
            <w:r w:rsidRPr="00DE1E8C">
              <w:rPr>
                <w:b/>
                <w:lang w:val="en-GB"/>
              </w:rPr>
              <w:t>MMSE</w:t>
            </w:r>
          </w:p>
        </w:tc>
        <w:tc>
          <w:tcPr>
            <w:tcW w:w="1276" w:type="dxa"/>
            <w:tcBorders>
              <w:left w:val="single" w:sz="4" w:space="0" w:color="000000"/>
            </w:tcBorders>
          </w:tcPr>
          <w:p w14:paraId="738D0A52" w14:textId="77777777" w:rsidR="007E4A84" w:rsidRPr="00DE1E8C" w:rsidRDefault="007E4A84" w:rsidP="008E4A2C">
            <w:pPr>
              <w:spacing w:line="360" w:lineRule="auto"/>
              <w:jc w:val="center"/>
              <w:rPr>
                <w:lang w:val="en-GB"/>
              </w:rPr>
            </w:pPr>
            <w:r w:rsidRPr="00DE1E8C">
              <w:rPr>
                <w:lang w:val="en-GB"/>
              </w:rPr>
              <w:t>29.1 (0.8)</w:t>
            </w:r>
          </w:p>
        </w:tc>
        <w:tc>
          <w:tcPr>
            <w:tcW w:w="1417" w:type="dxa"/>
          </w:tcPr>
          <w:p w14:paraId="04D1EDCB" w14:textId="77777777" w:rsidR="007E4A84" w:rsidRPr="00DE1E8C" w:rsidRDefault="007E4A84" w:rsidP="008E4A2C">
            <w:pPr>
              <w:spacing w:line="360" w:lineRule="auto"/>
              <w:jc w:val="center"/>
              <w:rPr>
                <w:lang w:val="en-GB"/>
              </w:rPr>
            </w:pPr>
            <w:r w:rsidRPr="00DE1E8C">
              <w:rPr>
                <w:lang w:val="en-GB"/>
              </w:rPr>
              <w:t>22.7 (3.0)</w:t>
            </w:r>
          </w:p>
        </w:tc>
        <w:tc>
          <w:tcPr>
            <w:tcW w:w="1559" w:type="dxa"/>
            <w:gridSpan w:val="2"/>
          </w:tcPr>
          <w:p w14:paraId="049C3DEC" w14:textId="77777777" w:rsidR="007E4A84" w:rsidRPr="00DE1E8C" w:rsidRDefault="007E4A84" w:rsidP="008E4A2C">
            <w:pPr>
              <w:spacing w:line="360" w:lineRule="auto"/>
              <w:jc w:val="center"/>
              <w:rPr>
                <w:lang w:val="en-GB"/>
              </w:rPr>
            </w:pPr>
            <w:r w:rsidRPr="00DE1E8C">
              <w:rPr>
                <w:lang w:val="en-GB"/>
              </w:rPr>
              <w:t>24.0 (3.5)</w:t>
            </w:r>
          </w:p>
        </w:tc>
        <w:tc>
          <w:tcPr>
            <w:tcW w:w="993" w:type="dxa"/>
          </w:tcPr>
          <w:p w14:paraId="79002A8C" w14:textId="77777777" w:rsidR="007E4A84" w:rsidRPr="00DE1E8C" w:rsidRDefault="007E4A84" w:rsidP="008E4A2C">
            <w:pPr>
              <w:spacing w:line="360" w:lineRule="auto"/>
              <w:jc w:val="center"/>
              <w:rPr>
                <w:lang w:val="en-GB"/>
              </w:rPr>
            </w:pPr>
            <w:r w:rsidRPr="00DE1E8C">
              <w:rPr>
                <w:lang w:val="en-GB"/>
              </w:rPr>
              <w:t>***</w:t>
            </w:r>
          </w:p>
        </w:tc>
        <w:tc>
          <w:tcPr>
            <w:tcW w:w="2126" w:type="dxa"/>
          </w:tcPr>
          <w:p w14:paraId="166D3652" w14:textId="77777777" w:rsidR="007E4A84" w:rsidRPr="00DE1E8C" w:rsidRDefault="007E4A84" w:rsidP="008E4A2C">
            <w:pPr>
              <w:jc w:val="center"/>
              <w:rPr>
                <w:vertAlign w:val="superscript"/>
                <w:lang w:val="en-GB"/>
              </w:rPr>
            </w:pPr>
            <w:r w:rsidRPr="00DE1E8C">
              <w:rPr>
                <w:lang w:val="en-GB"/>
              </w:rPr>
              <w:t>AD vs. Con</w:t>
            </w:r>
            <w:r w:rsidRPr="00DE1E8C">
              <w:rPr>
                <w:vertAlign w:val="superscript"/>
                <w:lang w:val="en-GB"/>
              </w:rPr>
              <w:t>***</w:t>
            </w:r>
          </w:p>
          <w:p w14:paraId="76C9AC32" w14:textId="77777777" w:rsidR="007E4A84" w:rsidRPr="00DE1E8C" w:rsidRDefault="007E4A84" w:rsidP="008E4A2C">
            <w:pPr>
              <w:jc w:val="center"/>
              <w:rPr>
                <w:vertAlign w:val="superscript"/>
                <w:lang w:val="en-GB"/>
              </w:rPr>
            </w:pPr>
            <w:r w:rsidRPr="00DE1E8C">
              <w:rPr>
                <w:lang w:val="en-GB"/>
              </w:rPr>
              <w:t>LBD vs. Con</w:t>
            </w:r>
            <w:r w:rsidRPr="00DE1E8C">
              <w:rPr>
                <w:vertAlign w:val="superscript"/>
                <w:lang w:val="en-GB"/>
              </w:rPr>
              <w:t>***</w:t>
            </w:r>
          </w:p>
          <w:p w14:paraId="31DFF426" w14:textId="77777777" w:rsidR="007E4A84" w:rsidRPr="00DE1E8C" w:rsidRDefault="007E4A84" w:rsidP="008E4A2C">
            <w:pPr>
              <w:spacing w:line="360" w:lineRule="auto"/>
              <w:jc w:val="center"/>
              <w:rPr>
                <w:lang w:val="en-GB"/>
              </w:rPr>
            </w:pPr>
            <w:r w:rsidRPr="00DE1E8C">
              <w:rPr>
                <w:lang w:val="en-GB"/>
              </w:rPr>
              <w:t>LBD vs. AD</w:t>
            </w:r>
            <w:r w:rsidRPr="00DE1E8C">
              <w:rPr>
                <w:vertAlign w:val="superscript"/>
                <w:lang w:val="en-GB"/>
              </w:rPr>
              <w:t>n.s.</w:t>
            </w:r>
          </w:p>
        </w:tc>
      </w:tr>
      <w:tr w:rsidR="007E4A84" w:rsidRPr="00DE1E8C" w14:paraId="3DD6D9F2" w14:textId="77777777" w:rsidTr="008E4A2C">
        <w:tc>
          <w:tcPr>
            <w:tcW w:w="2836" w:type="dxa"/>
            <w:tcBorders>
              <w:right w:val="single" w:sz="4" w:space="0" w:color="000000"/>
            </w:tcBorders>
          </w:tcPr>
          <w:p w14:paraId="3BD531C1" w14:textId="77777777" w:rsidR="007E4A84" w:rsidRPr="00DE1E8C" w:rsidRDefault="007E4A84" w:rsidP="008E4A2C">
            <w:pPr>
              <w:spacing w:line="360" w:lineRule="auto"/>
              <w:jc w:val="both"/>
              <w:rPr>
                <w:b/>
                <w:lang w:val="en-GB"/>
              </w:rPr>
            </w:pPr>
            <w:r w:rsidRPr="00DE1E8C">
              <w:rPr>
                <w:b/>
                <w:lang w:val="en-GB"/>
              </w:rPr>
              <w:t>CAMCOG</w:t>
            </w:r>
          </w:p>
        </w:tc>
        <w:tc>
          <w:tcPr>
            <w:tcW w:w="1276" w:type="dxa"/>
            <w:tcBorders>
              <w:left w:val="single" w:sz="4" w:space="0" w:color="000000"/>
            </w:tcBorders>
          </w:tcPr>
          <w:p w14:paraId="7CE28EC1" w14:textId="77777777" w:rsidR="007E4A84" w:rsidRPr="00DE1E8C" w:rsidRDefault="007E4A84" w:rsidP="008E4A2C">
            <w:pPr>
              <w:spacing w:line="360" w:lineRule="auto"/>
              <w:jc w:val="center"/>
              <w:rPr>
                <w:lang w:val="en-GB"/>
              </w:rPr>
            </w:pPr>
            <w:r w:rsidRPr="00DE1E8C">
              <w:rPr>
                <w:lang w:val="en-GB"/>
              </w:rPr>
              <w:t>96.8 (3.5)</w:t>
            </w:r>
          </w:p>
        </w:tc>
        <w:tc>
          <w:tcPr>
            <w:tcW w:w="1417" w:type="dxa"/>
          </w:tcPr>
          <w:p w14:paraId="1A8B738F" w14:textId="77777777" w:rsidR="007E4A84" w:rsidRPr="00DE1E8C" w:rsidRDefault="007E4A84" w:rsidP="008E4A2C">
            <w:pPr>
              <w:spacing w:line="360" w:lineRule="auto"/>
              <w:jc w:val="center"/>
              <w:rPr>
                <w:lang w:val="en-GB"/>
              </w:rPr>
            </w:pPr>
            <w:r w:rsidRPr="00DE1E8C">
              <w:rPr>
                <w:lang w:val="en-GB"/>
              </w:rPr>
              <w:t>71.6 (12.2)</w:t>
            </w:r>
          </w:p>
        </w:tc>
        <w:tc>
          <w:tcPr>
            <w:tcW w:w="1559" w:type="dxa"/>
            <w:gridSpan w:val="2"/>
          </w:tcPr>
          <w:p w14:paraId="72DCE8B9" w14:textId="77777777" w:rsidR="007E4A84" w:rsidRPr="00DE1E8C" w:rsidRDefault="007E4A84" w:rsidP="008E4A2C">
            <w:pPr>
              <w:spacing w:line="360" w:lineRule="auto"/>
              <w:jc w:val="center"/>
              <w:rPr>
                <w:lang w:val="en-GB"/>
              </w:rPr>
            </w:pPr>
            <w:r w:rsidRPr="00DE1E8C">
              <w:rPr>
                <w:lang w:val="en-GB"/>
              </w:rPr>
              <w:t>77.8 (12.0)</w:t>
            </w:r>
          </w:p>
        </w:tc>
        <w:tc>
          <w:tcPr>
            <w:tcW w:w="993" w:type="dxa"/>
          </w:tcPr>
          <w:p w14:paraId="1FD8EEC1" w14:textId="77777777" w:rsidR="007E4A84" w:rsidRPr="00DE1E8C" w:rsidRDefault="007E4A84" w:rsidP="008E4A2C">
            <w:pPr>
              <w:spacing w:line="360" w:lineRule="auto"/>
              <w:jc w:val="center"/>
              <w:rPr>
                <w:lang w:val="en-GB"/>
              </w:rPr>
            </w:pPr>
            <w:r w:rsidRPr="00DE1E8C">
              <w:rPr>
                <w:lang w:val="en-GB"/>
              </w:rPr>
              <w:t>***</w:t>
            </w:r>
          </w:p>
        </w:tc>
        <w:tc>
          <w:tcPr>
            <w:tcW w:w="2126" w:type="dxa"/>
          </w:tcPr>
          <w:p w14:paraId="604C2B2B" w14:textId="77777777" w:rsidR="007E4A84" w:rsidRPr="00DE1E8C" w:rsidRDefault="007E4A84" w:rsidP="008E4A2C">
            <w:pPr>
              <w:jc w:val="center"/>
              <w:rPr>
                <w:vertAlign w:val="superscript"/>
                <w:lang w:val="en-GB"/>
              </w:rPr>
            </w:pPr>
            <w:r w:rsidRPr="00DE1E8C">
              <w:rPr>
                <w:lang w:val="en-GB"/>
              </w:rPr>
              <w:t>AD vs. Con</w:t>
            </w:r>
            <w:r w:rsidRPr="00DE1E8C">
              <w:rPr>
                <w:vertAlign w:val="superscript"/>
                <w:lang w:val="en-GB"/>
              </w:rPr>
              <w:t>***</w:t>
            </w:r>
          </w:p>
          <w:p w14:paraId="6520EE48" w14:textId="77777777" w:rsidR="007E4A84" w:rsidRPr="00DE1E8C" w:rsidRDefault="007E4A84" w:rsidP="008E4A2C">
            <w:pPr>
              <w:jc w:val="center"/>
              <w:rPr>
                <w:vertAlign w:val="superscript"/>
                <w:lang w:val="en-GB"/>
              </w:rPr>
            </w:pPr>
            <w:r w:rsidRPr="00DE1E8C">
              <w:rPr>
                <w:lang w:val="en-GB"/>
              </w:rPr>
              <w:t>LBD vs. Con</w:t>
            </w:r>
            <w:r w:rsidRPr="00DE1E8C">
              <w:rPr>
                <w:vertAlign w:val="superscript"/>
                <w:lang w:val="en-GB"/>
              </w:rPr>
              <w:t>***</w:t>
            </w:r>
          </w:p>
          <w:p w14:paraId="3B621BF2" w14:textId="77777777" w:rsidR="007E4A84" w:rsidRPr="00DE1E8C" w:rsidRDefault="007E4A84" w:rsidP="008E4A2C">
            <w:pPr>
              <w:jc w:val="center"/>
              <w:rPr>
                <w:vertAlign w:val="superscript"/>
                <w:lang w:val="en-GB"/>
              </w:rPr>
            </w:pPr>
            <w:r w:rsidRPr="00DE1E8C">
              <w:rPr>
                <w:lang w:val="en-GB"/>
              </w:rPr>
              <w:t>LBD vs. AD</w:t>
            </w:r>
            <w:r w:rsidRPr="00DE1E8C">
              <w:rPr>
                <w:vertAlign w:val="superscript"/>
                <w:lang w:val="en-GB"/>
              </w:rPr>
              <w:t>n.s.</w:t>
            </w:r>
          </w:p>
        </w:tc>
      </w:tr>
      <w:tr w:rsidR="007E4A84" w:rsidRPr="00DE1E8C" w14:paraId="00586BD8" w14:textId="77777777" w:rsidTr="008E4A2C">
        <w:tc>
          <w:tcPr>
            <w:tcW w:w="2836" w:type="dxa"/>
            <w:tcBorders>
              <w:right w:val="single" w:sz="4" w:space="0" w:color="000000"/>
            </w:tcBorders>
          </w:tcPr>
          <w:p w14:paraId="7673FA3E" w14:textId="77777777" w:rsidR="007E4A84" w:rsidRPr="00DE1E8C" w:rsidRDefault="007E4A84" w:rsidP="008E4A2C">
            <w:pPr>
              <w:spacing w:before="240" w:line="360" w:lineRule="auto"/>
              <w:jc w:val="both"/>
              <w:rPr>
                <w:b/>
                <w:lang w:val="en-GB"/>
              </w:rPr>
            </w:pPr>
            <w:r w:rsidRPr="00DE1E8C">
              <w:rPr>
                <w:b/>
                <w:lang w:val="en-GB"/>
              </w:rPr>
              <w:t>UPDRS-III</w:t>
            </w:r>
          </w:p>
        </w:tc>
        <w:tc>
          <w:tcPr>
            <w:tcW w:w="1276" w:type="dxa"/>
            <w:tcBorders>
              <w:left w:val="single" w:sz="4" w:space="0" w:color="000000"/>
            </w:tcBorders>
          </w:tcPr>
          <w:p w14:paraId="5A541ADA" w14:textId="77777777" w:rsidR="007E4A84" w:rsidRPr="00DE1E8C" w:rsidRDefault="007E4A84" w:rsidP="008E4A2C">
            <w:pPr>
              <w:spacing w:before="240" w:line="360" w:lineRule="auto"/>
              <w:jc w:val="center"/>
              <w:rPr>
                <w:lang w:val="en-GB"/>
              </w:rPr>
            </w:pPr>
            <w:r w:rsidRPr="00DE1E8C">
              <w:rPr>
                <w:lang w:val="en-GB"/>
              </w:rPr>
              <w:t>1.3 (1.7)</w:t>
            </w:r>
          </w:p>
        </w:tc>
        <w:tc>
          <w:tcPr>
            <w:tcW w:w="1417" w:type="dxa"/>
          </w:tcPr>
          <w:p w14:paraId="679700A0" w14:textId="77777777" w:rsidR="007E4A84" w:rsidRPr="00DE1E8C" w:rsidRDefault="007E4A84" w:rsidP="008E4A2C">
            <w:pPr>
              <w:spacing w:before="240" w:line="360" w:lineRule="auto"/>
              <w:jc w:val="center"/>
              <w:rPr>
                <w:lang w:val="en-GB"/>
              </w:rPr>
            </w:pPr>
            <w:r w:rsidRPr="00DE1E8C">
              <w:rPr>
                <w:lang w:val="en-GB"/>
              </w:rPr>
              <w:t>2.0 (1.6)</w:t>
            </w:r>
          </w:p>
        </w:tc>
        <w:tc>
          <w:tcPr>
            <w:tcW w:w="1559" w:type="dxa"/>
            <w:gridSpan w:val="2"/>
          </w:tcPr>
          <w:p w14:paraId="26FFD564" w14:textId="77777777" w:rsidR="007E4A84" w:rsidRPr="00DE1E8C" w:rsidRDefault="007E4A84" w:rsidP="008E4A2C">
            <w:pPr>
              <w:spacing w:before="240" w:line="360" w:lineRule="auto"/>
              <w:jc w:val="center"/>
              <w:rPr>
                <w:lang w:val="en-GB"/>
              </w:rPr>
            </w:pPr>
            <w:r w:rsidRPr="00DE1E8C">
              <w:rPr>
                <w:lang w:val="en-GB"/>
              </w:rPr>
              <w:t>19.3 (7.9)</w:t>
            </w:r>
          </w:p>
        </w:tc>
        <w:tc>
          <w:tcPr>
            <w:tcW w:w="993" w:type="dxa"/>
          </w:tcPr>
          <w:p w14:paraId="3FAA19F2" w14:textId="77777777" w:rsidR="007E4A84" w:rsidRPr="00DE1E8C" w:rsidRDefault="007E4A84" w:rsidP="008E4A2C">
            <w:pPr>
              <w:spacing w:line="360" w:lineRule="auto"/>
              <w:jc w:val="center"/>
              <w:rPr>
                <w:lang w:val="en-GB"/>
              </w:rPr>
            </w:pPr>
          </w:p>
        </w:tc>
        <w:tc>
          <w:tcPr>
            <w:tcW w:w="2126" w:type="dxa"/>
          </w:tcPr>
          <w:p w14:paraId="7BB230BA" w14:textId="77777777" w:rsidR="007E4A84" w:rsidRPr="00DE1E8C" w:rsidRDefault="007E4A84" w:rsidP="008E4A2C">
            <w:pPr>
              <w:spacing w:before="240"/>
              <w:jc w:val="center"/>
              <w:rPr>
                <w:vertAlign w:val="superscript"/>
                <w:lang w:val="en-GB"/>
              </w:rPr>
            </w:pPr>
            <w:r w:rsidRPr="00DE1E8C">
              <w:rPr>
                <w:lang w:val="en-GB"/>
              </w:rPr>
              <w:t>AD vs. Con</w:t>
            </w:r>
            <w:r w:rsidRPr="00DE1E8C">
              <w:rPr>
                <w:vertAlign w:val="superscript"/>
                <w:lang w:val="en-GB"/>
              </w:rPr>
              <w:t>n.s.</w:t>
            </w:r>
          </w:p>
          <w:p w14:paraId="7E044B46" w14:textId="77777777" w:rsidR="007E4A84" w:rsidRPr="00DE1E8C" w:rsidRDefault="007E4A84" w:rsidP="008E4A2C">
            <w:pPr>
              <w:jc w:val="center"/>
              <w:rPr>
                <w:vertAlign w:val="superscript"/>
                <w:lang w:val="en-GB"/>
              </w:rPr>
            </w:pPr>
            <w:r w:rsidRPr="00DE1E8C">
              <w:rPr>
                <w:lang w:val="en-GB"/>
              </w:rPr>
              <w:t>LBD vs. Con</w:t>
            </w:r>
            <w:r w:rsidRPr="00DE1E8C">
              <w:rPr>
                <w:vertAlign w:val="superscript"/>
                <w:lang w:val="en-GB"/>
              </w:rPr>
              <w:t>***</w:t>
            </w:r>
          </w:p>
          <w:p w14:paraId="05C8B871" w14:textId="77777777" w:rsidR="007E4A84" w:rsidRPr="00DE1E8C" w:rsidRDefault="007E4A84" w:rsidP="008E4A2C">
            <w:pPr>
              <w:spacing w:line="360" w:lineRule="auto"/>
              <w:jc w:val="center"/>
              <w:rPr>
                <w:lang w:val="en-GB"/>
              </w:rPr>
            </w:pPr>
            <w:r w:rsidRPr="00DE1E8C">
              <w:rPr>
                <w:lang w:val="en-GB"/>
              </w:rPr>
              <w:t>LBD vs. AD</w:t>
            </w:r>
            <w:r w:rsidRPr="00DE1E8C">
              <w:rPr>
                <w:vertAlign w:val="superscript"/>
                <w:lang w:val="en-GB"/>
              </w:rPr>
              <w:t>***</w:t>
            </w:r>
          </w:p>
        </w:tc>
      </w:tr>
      <w:tr w:rsidR="007E4A84" w:rsidRPr="00DE1E8C" w14:paraId="1223057A" w14:textId="77777777" w:rsidTr="008E4A2C">
        <w:tc>
          <w:tcPr>
            <w:tcW w:w="2836" w:type="dxa"/>
            <w:tcBorders>
              <w:right w:val="single" w:sz="4" w:space="0" w:color="000000"/>
            </w:tcBorders>
          </w:tcPr>
          <w:p w14:paraId="5B2DF810" w14:textId="77777777" w:rsidR="007E4A84" w:rsidRPr="00DE1E8C" w:rsidRDefault="007E4A84" w:rsidP="008E4A2C">
            <w:pPr>
              <w:spacing w:line="360" w:lineRule="auto"/>
              <w:jc w:val="both"/>
              <w:rPr>
                <w:b/>
                <w:lang w:val="en-GB"/>
              </w:rPr>
            </w:pPr>
            <w:r w:rsidRPr="00DE1E8C">
              <w:rPr>
                <w:b/>
                <w:lang w:val="en-GB"/>
              </w:rPr>
              <w:t>CAF total</w:t>
            </w:r>
          </w:p>
        </w:tc>
        <w:tc>
          <w:tcPr>
            <w:tcW w:w="1276" w:type="dxa"/>
            <w:tcBorders>
              <w:left w:val="single" w:sz="4" w:space="0" w:color="000000"/>
            </w:tcBorders>
          </w:tcPr>
          <w:p w14:paraId="0D92594E" w14:textId="77777777" w:rsidR="007E4A84" w:rsidRPr="00DE1E8C" w:rsidRDefault="007E4A84" w:rsidP="008E4A2C">
            <w:pPr>
              <w:spacing w:line="360" w:lineRule="auto"/>
              <w:jc w:val="center"/>
              <w:rPr>
                <w:lang w:val="en-GB"/>
              </w:rPr>
            </w:pPr>
            <w:r w:rsidRPr="00DE1E8C">
              <w:rPr>
                <w:lang w:val="en-GB"/>
              </w:rPr>
              <w:t>-</w:t>
            </w:r>
          </w:p>
        </w:tc>
        <w:tc>
          <w:tcPr>
            <w:tcW w:w="1417" w:type="dxa"/>
          </w:tcPr>
          <w:p w14:paraId="4278BEE2" w14:textId="77777777" w:rsidR="007E4A84" w:rsidRPr="00DE1E8C" w:rsidRDefault="007E4A84" w:rsidP="008E4A2C">
            <w:pPr>
              <w:spacing w:line="360" w:lineRule="auto"/>
              <w:jc w:val="center"/>
              <w:rPr>
                <w:lang w:val="en-GB"/>
              </w:rPr>
            </w:pPr>
            <w:r w:rsidRPr="00DE1E8C">
              <w:rPr>
                <w:lang w:val="en-GB"/>
              </w:rPr>
              <w:t>0.3 (0.8)</w:t>
            </w:r>
          </w:p>
        </w:tc>
        <w:tc>
          <w:tcPr>
            <w:tcW w:w="1559" w:type="dxa"/>
            <w:gridSpan w:val="2"/>
          </w:tcPr>
          <w:p w14:paraId="2D3FAAC3" w14:textId="77777777" w:rsidR="007E4A84" w:rsidRPr="00DE1E8C" w:rsidRDefault="007E4A84" w:rsidP="008E4A2C">
            <w:pPr>
              <w:spacing w:line="360" w:lineRule="auto"/>
              <w:jc w:val="center"/>
              <w:rPr>
                <w:lang w:val="en-GB"/>
              </w:rPr>
            </w:pPr>
            <w:r w:rsidRPr="00DE1E8C">
              <w:rPr>
                <w:lang w:val="en-GB"/>
              </w:rPr>
              <w:t>4.4 (3.9)</w:t>
            </w:r>
          </w:p>
        </w:tc>
        <w:tc>
          <w:tcPr>
            <w:tcW w:w="993" w:type="dxa"/>
          </w:tcPr>
          <w:p w14:paraId="7E86B954" w14:textId="77777777" w:rsidR="007E4A84" w:rsidRPr="00DE1E8C" w:rsidRDefault="007E4A84" w:rsidP="008E4A2C">
            <w:pPr>
              <w:spacing w:line="360" w:lineRule="auto"/>
              <w:jc w:val="center"/>
              <w:rPr>
                <w:lang w:val="en-GB"/>
              </w:rPr>
            </w:pPr>
            <w:r w:rsidRPr="00DE1E8C">
              <w:rPr>
                <w:lang w:val="en-GB"/>
              </w:rPr>
              <w:t>***</w:t>
            </w:r>
          </w:p>
        </w:tc>
        <w:tc>
          <w:tcPr>
            <w:tcW w:w="2126" w:type="dxa"/>
          </w:tcPr>
          <w:p w14:paraId="1180B817" w14:textId="77777777" w:rsidR="007E4A84" w:rsidRPr="00DE1E8C" w:rsidRDefault="007E4A84" w:rsidP="008E4A2C">
            <w:pPr>
              <w:spacing w:line="360" w:lineRule="auto"/>
              <w:jc w:val="center"/>
              <w:rPr>
                <w:lang w:val="en-GB"/>
              </w:rPr>
            </w:pPr>
          </w:p>
        </w:tc>
      </w:tr>
      <w:tr w:rsidR="007E4A84" w:rsidRPr="00DE1E8C" w14:paraId="12E2A10A" w14:textId="77777777" w:rsidTr="008E4A2C">
        <w:tc>
          <w:tcPr>
            <w:tcW w:w="2836" w:type="dxa"/>
            <w:tcBorders>
              <w:right w:val="single" w:sz="4" w:space="0" w:color="000000"/>
            </w:tcBorders>
          </w:tcPr>
          <w:p w14:paraId="6495D8DC" w14:textId="77777777" w:rsidR="007E4A84" w:rsidRPr="00DE1E8C" w:rsidRDefault="007E4A84" w:rsidP="008E4A2C">
            <w:pPr>
              <w:spacing w:line="360" w:lineRule="auto"/>
              <w:jc w:val="both"/>
              <w:rPr>
                <w:b/>
                <w:lang w:val="en-GB"/>
              </w:rPr>
            </w:pPr>
            <w:r w:rsidRPr="00DE1E8C">
              <w:rPr>
                <w:b/>
                <w:lang w:val="en-GB"/>
              </w:rPr>
              <w:t>Mayo total</w:t>
            </w:r>
          </w:p>
        </w:tc>
        <w:tc>
          <w:tcPr>
            <w:tcW w:w="1276" w:type="dxa"/>
            <w:tcBorders>
              <w:left w:val="single" w:sz="4" w:space="0" w:color="000000"/>
            </w:tcBorders>
          </w:tcPr>
          <w:p w14:paraId="63AD4AF5" w14:textId="77777777" w:rsidR="007E4A84" w:rsidRPr="00DE1E8C" w:rsidRDefault="007E4A84" w:rsidP="008E4A2C">
            <w:pPr>
              <w:spacing w:line="360" w:lineRule="auto"/>
              <w:jc w:val="center"/>
              <w:rPr>
                <w:lang w:val="en-GB"/>
              </w:rPr>
            </w:pPr>
            <w:r w:rsidRPr="00DE1E8C">
              <w:rPr>
                <w:lang w:val="en-GB"/>
              </w:rPr>
              <w:t>-</w:t>
            </w:r>
          </w:p>
        </w:tc>
        <w:tc>
          <w:tcPr>
            <w:tcW w:w="1417" w:type="dxa"/>
          </w:tcPr>
          <w:p w14:paraId="0A218D72" w14:textId="77777777" w:rsidR="007E4A84" w:rsidRPr="00DE1E8C" w:rsidRDefault="007E4A84" w:rsidP="008E4A2C">
            <w:pPr>
              <w:spacing w:line="360" w:lineRule="auto"/>
              <w:jc w:val="center"/>
              <w:rPr>
                <w:lang w:val="en-GB"/>
              </w:rPr>
            </w:pPr>
            <w:r w:rsidRPr="00DE1E8C">
              <w:rPr>
                <w:lang w:val="en-GB"/>
              </w:rPr>
              <w:t>9.0 (4.6)</w:t>
            </w:r>
          </w:p>
        </w:tc>
        <w:tc>
          <w:tcPr>
            <w:tcW w:w="1559" w:type="dxa"/>
            <w:gridSpan w:val="2"/>
          </w:tcPr>
          <w:p w14:paraId="443C0C3B" w14:textId="77777777" w:rsidR="007E4A84" w:rsidRPr="00DE1E8C" w:rsidRDefault="007E4A84" w:rsidP="008E4A2C">
            <w:pPr>
              <w:spacing w:line="360" w:lineRule="auto"/>
              <w:jc w:val="center"/>
              <w:rPr>
                <w:lang w:val="en-GB"/>
              </w:rPr>
            </w:pPr>
            <w:r w:rsidRPr="00DE1E8C">
              <w:rPr>
                <w:lang w:val="en-GB"/>
              </w:rPr>
              <w:t>13.3 (6.2)</w:t>
            </w:r>
          </w:p>
        </w:tc>
        <w:tc>
          <w:tcPr>
            <w:tcW w:w="993" w:type="dxa"/>
          </w:tcPr>
          <w:p w14:paraId="4EAE07A7" w14:textId="77777777" w:rsidR="007E4A84" w:rsidRPr="00DE1E8C" w:rsidRDefault="007E4A84" w:rsidP="008E4A2C">
            <w:pPr>
              <w:spacing w:line="360" w:lineRule="auto"/>
              <w:jc w:val="center"/>
              <w:rPr>
                <w:lang w:val="en-GB"/>
              </w:rPr>
            </w:pPr>
            <w:r w:rsidRPr="00DE1E8C">
              <w:rPr>
                <w:lang w:val="en-GB"/>
              </w:rPr>
              <w:t>*</w:t>
            </w:r>
          </w:p>
        </w:tc>
        <w:tc>
          <w:tcPr>
            <w:tcW w:w="2126" w:type="dxa"/>
          </w:tcPr>
          <w:p w14:paraId="056871CE" w14:textId="77777777" w:rsidR="007E4A84" w:rsidRPr="00DE1E8C" w:rsidRDefault="007E4A84" w:rsidP="008E4A2C">
            <w:pPr>
              <w:spacing w:line="360" w:lineRule="auto"/>
              <w:jc w:val="center"/>
              <w:rPr>
                <w:lang w:val="en-GB"/>
              </w:rPr>
            </w:pPr>
          </w:p>
        </w:tc>
      </w:tr>
      <w:tr w:rsidR="007E4A84" w:rsidRPr="00DE1E8C" w14:paraId="0C197834" w14:textId="77777777" w:rsidTr="008E4A2C">
        <w:tc>
          <w:tcPr>
            <w:tcW w:w="2836" w:type="dxa"/>
            <w:tcBorders>
              <w:right w:val="single" w:sz="4" w:space="0" w:color="000000"/>
            </w:tcBorders>
          </w:tcPr>
          <w:p w14:paraId="1B48AEC3" w14:textId="77777777" w:rsidR="007E4A84" w:rsidRPr="00DE1E8C" w:rsidRDefault="007E4A84" w:rsidP="008E4A2C">
            <w:pPr>
              <w:spacing w:line="360" w:lineRule="auto"/>
              <w:jc w:val="both"/>
              <w:rPr>
                <w:b/>
                <w:lang w:val="en-GB"/>
              </w:rPr>
            </w:pPr>
            <w:r w:rsidRPr="00DE1E8C">
              <w:rPr>
                <w:b/>
                <w:lang w:val="en-GB"/>
              </w:rPr>
              <w:t>Mayo cognitive</w:t>
            </w:r>
          </w:p>
        </w:tc>
        <w:tc>
          <w:tcPr>
            <w:tcW w:w="1276" w:type="dxa"/>
            <w:tcBorders>
              <w:left w:val="single" w:sz="4" w:space="0" w:color="000000"/>
            </w:tcBorders>
          </w:tcPr>
          <w:p w14:paraId="4E65362C" w14:textId="77777777" w:rsidR="007E4A84" w:rsidRPr="00DE1E8C" w:rsidRDefault="007E4A84" w:rsidP="008E4A2C">
            <w:pPr>
              <w:spacing w:line="360" w:lineRule="auto"/>
              <w:jc w:val="center"/>
              <w:rPr>
                <w:lang w:val="en-GB"/>
              </w:rPr>
            </w:pPr>
            <w:r w:rsidRPr="00DE1E8C">
              <w:rPr>
                <w:lang w:val="en-GB"/>
              </w:rPr>
              <w:t>-</w:t>
            </w:r>
          </w:p>
        </w:tc>
        <w:tc>
          <w:tcPr>
            <w:tcW w:w="1417" w:type="dxa"/>
          </w:tcPr>
          <w:p w14:paraId="1BDC0CD4" w14:textId="77777777" w:rsidR="007E4A84" w:rsidRPr="00DE1E8C" w:rsidRDefault="007E4A84" w:rsidP="008E4A2C">
            <w:pPr>
              <w:spacing w:line="360" w:lineRule="auto"/>
              <w:jc w:val="center"/>
              <w:rPr>
                <w:lang w:val="en-GB"/>
              </w:rPr>
            </w:pPr>
            <w:r w:rsidRPr="00DE1E8C">
              <w:rPr>
                <w:lang w:val="en-GB"/>
              </w:rPr>
              <w:t>2.1 (1.9)</w:t>
            </w:r>
          </w:p>
        </w:tc>
        <w:tc>
          <w:tcPr>
            <w:tcW w:w="1559" w:type="dxa"/>
            <w:gridSpan w:val="2"/>
          </w:tcPr>
          <w:p w14:paraId="63E4E87F" w14:textId="77777777" w:rsidR="007E4A84" w:rsidRPr="00DE1E8C" w:rsidRDefault="007E4A84" w:rsidP="008E4A2C">
            <w:pPr>
              <w:spacing w:line="360" w:lineRule="auto"/>
              <w:jc w:val="center"/>
              <w:rPr>
                <w:lang w:val="en-GB"/>
              </w:rPr>
            </w:pPr>
            <w:r w:rsidRPr="00DE1E8C">
              <w:rPr>
                <w:lang w:val="en-GB"/>
              </w:rPr>
              <w:t>2.7 (2.0)</w:t>
            </w:r>
          </w:p>
        </w:tc>
        <w:tc>
          <w:tcPr>
            <w:tcW w:w="993" w:type="dxa"/>
          </w:tcPr>
          <w:p w14:paraId="5FB834EA" w14:textId="77777777" w:rsidR="007E4A84" w:rsidRPr="00DE1E8C" w:rsidRDefault="007E4A84" w:rsidP="008E4A2C">
            <w:pPr>
              <w:spacing w:line="360" w:lineRule="auto"/>
              <w:jc w:val="center"/>
              <w:rPr>
                <w:lang w:val="en-GB"/>
              </w:rPr>
            </w:pPr>
            <w:r w:rsidRPr="00DE1E8C">
              <w:rPr>
                <w:lang w:val="en-GB"/>
              </w:rPr>
              <w:t>n.s.</w:t>
            </w:r>
          </w:p>
        </w:tc>
        <w:tc>
          <w:tcPr>
            <w:tcW w:w="2126" w:type="dxa"/>
          </w:tcPr>
          <w:p w14:paraId="38D2DA9D" w14:textId="77777777" w:rsidR="007E4A84" w:rsidRPr="00DE1E8C" w:rsidRDefault="007E4A84" w:rsidP="008E4A2C">
            <w:pPr>
              <w:spacing w:line="360" w:lineRule="auto"/>
              <w:jc w:val="center"/>
              <w:rPr>
                <w:lang w:val="en-GB"/>
              </w:rPr>
            </w:pPr>
          </w:p>
        </w:tc>
      </w:tr>
      <w:tr w:rsidR="007E4A84" w:rsidRPr="00DE1E8C" w14:paraId="2A8FE128" w14:textId="77777777" w:rsidTr="008E4A2C">
        <w:tc>
          <w:tcPr>
            <w:tcW w:w="2836" w:type="dxa"/>
            <w:tcBorders>
              <w:right w:val="single" w:sz="4" w:space="0" w:color="000000"/>
            </w:tcBorders>
          </w:tcPr>
          <w:p w14:paraId="48251B16" w14:textId="77777777" w:rsidR="007E4A84" w:rsidRPr="00DE1E8C" w:rsidRDefault="007E4A84" w:rsidP="008E4A2C">
            <w:pPr>
              <w:spacing w:line="360" w:lineRule="auto"/>
              <w:jc w:val="both"/>
              <w:rPr>
                <w:b/>
                <w:lang w:val="en-GB"/>
              </w:rPr>
            </w:pPr>
            <w:r w:rsidRPr="00DE1E8C">
              <w:rPr>
                <w:b/>
                <w:lang w:val="en-GB"/>
              </w:rPr>
              <w:t>Mayo arousal</w:t>
            </w:r>
          </w:p>
        </w:tc>
        <w:tc>
          <w:tcPr>
            <w:tcW w:w="1276" w:type="dxa"/>
            <w:tcBorders>
              <w:left w:val="single" w:sz="4" w:space="0" w:color="000000"/>
            </w:tcBorders>
          </w:tcPr>
          <w:p w14:paraId="528CFDAC" w14:textId="77777777" w:rsidR="007E4A84" w:rsidRPr="00DE1E8C" w:rsidRDefault="007E4A84" w:rsidP="008E4A2C">
            <w:pPr>
              <w:spacing w:line="360" w:lineRule="auto"/>
              <w:jc w:val="center"/>
              <w:rPr>
                <w:lang w:val="en-GB"/>
              </w:rPr>
            </w:pPr>
            <w:r w:rsidRPr="00DE1E8C">
              <w:rPr>
                <w:lang w:val="en-GB"/>
              </w:rPr>
              <w:t>-</w:t>
            </w:r>
          </w:p>
        </w:tc>
        <w:tc>
          <w:tcPr>
            <w:tcW w:w="1417" w:type="dxa"/>
          </w:tcPr>
          <w:p w14:paraId="05EC91CB" w14:textId="77777777" w:rsidR="007E4A84" w:rsidRPr="00DE1E8C" w:rsidRDefault="007E4A84" w:rsidP="008E4A2C">
            <w:pPr>
              <w:spacing w:line="360" w:lineRule="auto"/>
              <w:jc w:val="center"/>
              <w:rPr>
                <w:lang w:val="en-GB"/>
              </w:rPr>
            </w:pPr>
            <w:r w:rsidRPr="00DE1E8C">
              <w:rPr>
                <w:lang w:val="en-GB"/>
              </w:rPr>
              <w:t>0.9 (1.0)</w:t>
            </w:r>
          </w:p>
        </w:tc>
        <w:tc>
          <w:tcPr>
            <w:tcW w:w="1559" w:type="dxa"/>
            <w:gridSpan w:val="2"/>
          </w:tcPr>
          <w:p w14:paraId="5FA1D835" w14:textId="77777777" w:rsidR="007E4A84" w:rsidRPr="00DE1E8C" w:rsidRDefault="007E4A84" w:rsidP="008E4A2C">
            <w:pPr>
              <w:spacing w:line="360" w:lineRule="auto"/>
              <w:jc w:val="center"/>
              <w:rPr>
                <w:lang w:val="en-GB"/>
              </w:rPr>
            </w:pPr>
            <w:r w:rsidRPr="00DE1E8C">
              <w:rPr>
                <w:lang w:val="en-GB"/>
              </w:rPr>
              <w:t>2.3 (1.4)</w:t>
            </w:r>
          </w:p>
        </w:tc>
        <w:tc>
          <w:tcPr>
            <w:tcW w:w="993" w:type="dxa"/>
          </w:tcPr>
          <w:p w14:paraId="5EF063AF" w14:textId="77777777" w:rsidR="007E4A84" w:rsidRPr="00DE1E8C" w:rsidRDefault="007E4A84" w:rsidP="008E4A2C">
            <w:pPr>
              <w:spacing w:line="360" w:lineRule="auto"/>
              <w:jc w:val="center"/>
              <w:rPr>
                <w:lang w:val="en-GB"/>
              </w:rPr>
            </w:pPr>
            <w:r w:rsidRPr="00DE1E8C">
              <w:rPr>
                <w:lang w:val="en-GB"/>
              </w:rPr>
              <w:t>***</w:t>
            </w:r>
          </w:p>
        </w:tc>
        <w:tc>
          <w:tcPr>
            <w:tcW w:w="2126" w:type="dxa"/>
          </w:tcPr>
          <w:p w14:paraId="472D2922" w14:textId="77777777" w:rsidR="007E4A84" w:rsidRPr="00DE1E8C" w:rsidRDefault="007E4A84" w:rsidP="008E4A2C">
            <w:pPr>
              <w:spacing w:line="360" w:lineRule="auto"/>
              <w:jc w:val="center"/>
              <w:rPr>
                <w:lang w:val="en-GB"/>
              </w:rPr>
            </w:pPr>
          </w:p>
        </w:tc>
      </w:tr>
      <w:tr w:rsidR="007E4A84" w:rsidRPr="00DE1E8C" w14:paraId="15984CB8" w14:textId="77777777" w:rsidTr="008E4A2C">
        <w:tc>
          <w:tcPr>
            <w:tcW w:w="2836" w:type="dxa"/>
            <w:tcBorders>
              <w:right w:val="single" w:sz="4" w:space="0" w:color="000000"/>
            </w:tcBorders>
          </w:tcPr>
          <w:p w14:paraId="6CBD9345" w14:textId="77777777" w:rsidR="007E4A84" w:rsidRPr="00DE1E8C" w:rsidRDefault="007E4A84" w:rsidP="008E4A2C">
            <w:pPr>
              <w:spacing w:line="360" w:lineRule="auto"/>
              <w:jc w:val="both"/>
              <w:rPr>
                <w:b/>
                <w:lang w:val="en-GB"/>
              </w:rPr>
            </w:pPr>
            <w:r w:rsidRPr="00DE1E8C">
              <w:rPr>
                <w:b/>
                <w:lang w:val="en-GB"/>
              </w:rPr>
              <w:t>Cholinesterase Inhibitors</w:t>
            </w:r>
          </w:p>
        </w:tc>
        <w:tc>
          <w:tcPr>
            <w:tcW w:w="1276" w:type="dxa"/>
            <w:tcBorders>
              <w:left w:val="single" w:sz="4" w:space="0" w:color="000000"/>
            </w:tcBorders>
          </w:tcPr>
          <w:p w14:paraId="3FC7B2CE" w14:textId="77777777" w:rsidR="007E4A84" w:rsidRPr="00DE1E8C" w:rsidRDefault="007E4A84" w:rsidP="008E4A2C">
            <w:pPr>
              <w:spacing w:line="360" w:lineRule="auto"/>
              <w:jc w:val="center"/>
              <w:rPr>
                <w:lang w:val="en-GB"/>
              </w:rPr>
            </w:pPr>
            <w:r w:rsidRPr="00DE1E8C">
              <w:rPr>
                <w:lang w:val="en-GB"/>
              </w:rPr>
              <w:t>-</w:t>
            </w:r>
          </w:p>
        </w:tc>
        <w:tc>
          <w:tcPr>
            <w:tcW w:w="1417" w:type="dxa"/>
          </w:tcPr>
          <w:p w14:paraId="6B2362AC" w14:textId="77777777" w:rsidR="007E4A84" w:rsidRPr="00DE1E8C" w:rsidRDefault="007E4A84" w:rsidP="008E4A2C">
            <w:pPr>
              <w:spacing w:line="360" w:lineRule="auto"/>
              <w:jc w:val="center"/>
              <w:rPr>
                <w:lang w:val="en-GB"/>
              </w:rPr>
            </w:pPr>
            <w:r w:rsidRPr="00DE1E8C">
              <w:rPr>
                <w:lang w:val="en-GB"/>
              </w:rPr>
              <w:t>16 (100%)</w:t>
            </w:r>
          </w:p>
        </w:tc>
        <w:tc>
          <w:tcPr>
            <w:tcW w:w="1559" w:type="dxa"/>
            <w:gridSpan w:val="2"/>
          </w:tcPr>
          <w:p w14:paraId="478D5885" w14:textId="77777777" w:rsidR="007E4A84" w:rsidRPr="00DE1E8C" w:rsidRDefault="007E4A84" w:rsidP="008E4A2C">
            <w:pPr>
              <w:spacing w:line="360" w:lineRule="auto"/>
              <w:jc w:val="center"/>
              <w:rPr>
                <w:lang w:val="en-GB"/>
              </w:rPr>
            </w:pPr>
            <w:r w:rsidRPr="00DE1E8C">
              <w:rPr>
                <w:lang w:val="en-GB"/>
              </w:rPr>
              <w:t>27(87%)</w:t>
            </w:r>
          </w:p>
        </w:tc>
        <w:tc>
          <w:tcPr>
            <w:tcW w:w="993" w:type="dxa"/>
          </w:tcPr>
          <w:p w14:paraId="1489BFDC" w14:textId="77777777" w:rsidR="007E4A84" w:rsidRPr="00DE1E8C" w:rsidRDefault="007E4A84" w:rsidP="008E4A2C">
            <w:pPr>
              <w:spacing w:line="360" w:lineRule="auto"/>
              <w:jc w:val="center"/>
              <w:rPr>
                <w:lang w:val="en-GB"/>
              </w:rPr>
            </w:pPr>
            <w:r w:rsidRPr="00DE1E8C">
              <w:rPr>
                <w:lang w:val="en-GB"/>
              </w:rPr>
              <w:t>-</w:t>
            </w:r>
          </w:p>
        </w:tc>
        <w:tc>
          <w:tcPr>
            <w:tcW w:w="2126" w:type="dxa"/>
          </w:tcPr>
          <w:p w14:paraId="039210B9" w14:textId="77777777" w:rsidR="007E4A84" w:rsidRPr="00DE1E8C" w:rsidRDefault="007E4A84" w:rsidP="008E4A2C">
            <w:pPr>
              <w:spacing w:line="360" w:lineRule="auto"/>
              <w:jc w:val="center"/>
              <w:rPr>
                <w:lang w:val="en-GB"/>
              </w:rPr>
            </w:pPr>
            <w:r w:rsidRPr="00DE1E8C">
              <w:rPr>
                <w:lang w:val="en-GB"/>
              </w:rPr>
              <w:t>-</w:t>
            </w:r>
          </w:p>
        </w:tc>
      </w:tr>
      <w:tr w:rsidR="007E4A84" w:rsidRPr="00DE1E8C" w14:paraId="37C1B64E" w14:textId="77777777" w:rsidTr="008E4A2C">
        <w:tc>
          <w:tcPr>
            <w:tcW w:w="2836" w:type="dxa"/>
            <w:tcBorders>
              <w:right w:val="single" w:sz="4" w:space="0" w:color="000000"/>
            </w:tcBorders>
          </w:tcPr>
          <w:p w14:paraId="0EC3FB93" w14:textId="46907F47" w:rsidR="007E4A84" w:rsidRPr="00DE1E8C" w:rsidRDefault="005A15D7" w:rsidP="008E4A2C">
            <w:pPr>
              <w:spacing w:line="360" w:lineRule="auto"/>
              <w:jc w:val="both"/>
              <w:rPr>
                <w:b/>
                <w:lang w:val="en-GB"/>
              </w:rPr>
            </w:pPr>
            <w:r w:rsidRPr="00DE1E8C">
              <w:rPr>
                <w:b/>
                <w:lang w:val="en-GB"/>
              </w:rPr>
              <w:t>LEDD</w:t>
            </w:r>
            <w:r w:rsidR="007E4A84" w:rsidRPr="00DE1E8C">
              <w:rPr>
                <w:b/>
                <w:lang w:val="en-GB"/>
              </w:rPr>
              <w:t xml:space="preserve"> (mg/day)</w:t>
            </w:r>
          </w:p>
        </w:tc>
        <w:tc>
          <w:tcPr>
            <w:tcW w:w="1276" w:type="dxa"/>
            <w:tcBorders>
              <w:left w:val="single" w:sz="4" w:space="0" w:color="000000"/>
            </w:tcBorders>
          </w:tcPr>
          <w:p w14:paraId="0F96E9E2" w14:textId="77777777" w:rsidR="007E4A84" w:rsidRPr="00DE1E8C" w:rsidRDefault="007E4A84" w:rsidP="008E4A2C">
            <w:pPr>
              <w:spacing w:line="360" w:lineRule="auto"/>
              <w:jc w:val="center"/>
              <w:rPr>
                <w:lang w:val="en-GB"/>
              </w:rPr>
            </w:pPr>
            <w:r w:rsidRPr="00DE1E8C">
              <w:rPr>
                <w:lang w:val="en-GB"/>
              </w:rPr>
              <w:t>-</w:t>
            </w:r>
          </w:p>
        </w:tc>
        <w:tc>
          <w:tcPr>
            <w:tcW w:w="1417" w:type="dxa"/>
          </w:tcPr>
          <w:p w14:paraId="2B972E69" w14:textId="77777777" w:rsidR="007E4A84" w:rsidRPr="00DE1E8C" w:rsidRDefault="007E4A84" w:rsidP="008E4A2C">
            <w:pPr>
              <w:spacing w:line="360" w:lineRule="auto"/>
              <w:jc w:val="center"/>
              <w:rPr>
                <w:lang w:val="en-GB"/>
              </w:rPr>
            </w:pPr>
            <w:r w:rsidRPr="00DE1E8C">
              <w:rPr>
                <w:lang w:val="en-GB"/>
              </w:rPr>
              <w:t>-</w:t>
            </w:r>
          </w:p>
        </w:tc>
        <w:tc>
          <w:tcPr>
            <w:tcW w:w="1559" w:type="dxa"/>
            <w:gridSpan w:val="2"/>
          </w:tcPr>
          <w:p w14:paraId="61DC4B88" w14:textId="77777777" w:rsidR="007E4A84" w:rsidRPr="00DE1E8C" w:rsidRDefault="007E4A84" w:rsidP="008E4A2C">
            <w:pPr>
              <w:spacing w:line="360" w:lineRule="auto"/>
              <w:jc w:val="center"/>
              <w:rPr>
                <w:lang w:val="en-GB"/>
              </w:rPr>
            </w:pPr>
            <w:r w:rsidRPr="00DE1E8C">
              <w:rPr>
                <w:lang w:val="en-GB"/>
              </w:rPr>
              <w:t>683.9 (450.1)</w:t>
            </w:r>
          </w:p>
        </w:tc>
        <w:tc>
          <w:tcPr>
            <w:tcW w:w="993" w:type="dxa"/>
          </w:tcPr>
          <w:p w14:paraId="5B4A94FE" w14:textId="77777777" w:rsidR="007E4A84" w:rsidRPr="00DE1E8C" w:rsidRDefault="007E4A84" w:rsidP="008E4A2C">
            <w:pPr>
              <w:spacing w:line="360" w:lineRule="auto"/>
              <w:jc w:val="center"/>
              <w:rPr>
                <w:lang w:val="en-GB"/>
              </w:rPr>
            </w:pPr>
            <w:r w:rsidRPr="00DE1E8C">
              <w:rPr>
                <w:lang w:val="en-GB"/>
              </w:rPr>
              <w:t>-</w:t>
            </w:r>
          </w:p>
        </w:tc>
        <w:tc>
          <w:tcPr>
            <w:tcW w:w="2126" w:type="dxa"/>
          </w:tcPr>
          <w:p w14:paraId="5742C663" w14:textId="77777777" w:rsidR="007E4A84" w:rsidRPr="00DE1E8C" w:rsidRDefault="007E4A84" w:rsidP="008E4A2C">
            <w:pPr>
              <w:spacing w:line="360" w:lineRule="auto"/>
              <w:jc w:val="center"/>
              <w:rPr>
                <w:lang w:val="en-GB"/>
              </w:rPr>
            </w:pPr>
            <w:r w:rsidRPr="00DE1E8C">
              <w:rPr>
                <w:lang w:val="en-GB"/>
              </w:rPr>
              <w:t>-</w:t>
            </w:r>
          </w:p>
        </w:tc>
      </w:tr>
    </w:tbl>
    <w:p w14:paraId="1D7BAF38" w14:textId="77777777" w:rsidR="007E4A84" w:rsidRPr="00DE1E8C" w:rsidRDefault="007E4A84" w:rsidP="007E4A84">
      <w:pPr>
        <w:jc w:val="both"/>
        <w:rPr>
          <w:sz w:val="20"/>
          <w:szCs w:val="20"/>
          <w:lang w:val="en-GB"/>
        </w:rPr>
      </w:pPr>
      <w:r w:rsidRPr="00DE1E8C">
        <w:rPr>
          <w:sz w:val="20"/>
          <w:szCs w:val="20"/>
          <w:lang w:val="en-GB"/>
        </w:rPr>
        <w:t xml:space="preserve">n.s.  = non significant; *** = p &lt; .001; ** = p &lt; .01; * = p &lt; .05. </w:t>
      </w:r>
    </w:p>
    <w:p w14:paraId="2CFDCBDD" w14:textId="777E2203" w:rsidR="007E4A84" w:rsidRPr="00DE1E8C" w:rsidRDefault="007E4A84" w:rsidP="007E4A84">
      <w:pPr>
        <w:jc w:val="both"/>
        <w:rPr>
          <w:sz w:val="20"/>
          <w:szCs w:val="20"/>
          <w:lang w:val="en-GB"/>
        </w:rPr>
      </w:pPr>
      <w:r w:rsidRPr="00DE1E8C">
        <w:rPr>
          <w:sz w:val="20"/>
          <w:szCs w:val="20"/>
          <w:lang w:val="en-GB"/>
        </w:rPr>
        <w:t xml:space="preserve">Significance tests refer to between group one-way ANOVAs and post hoc Sidak-corrected pairwise t-tests. AD = Alzheimer’s disease; LBD = Lewy body disease; MMSE = Mini-Mental State Examination; CAMCOG = Cambridge Cognitive Examination; UPDRS-III = Unified Parkinson’s disease rating scale motor component; CAF total = Clinician Assessment of Fluctuation total score; Mayo total = Mayo Fluctuations Scale; Mayo cognitive = Mayo Fluctuation cognitive subscale; Mayo arousal = Mayo Fluctuations arousal subscale; </w:t>
      </w:r>
      <w:r w:rsidR="005A15D7" w:rsidRPr="00DE1E8C">
        <w:rPr>
          <w:sz w:val="20"/>
          <w:szCs w:val="20"/>
          <w:lang w:val="en-GB"/>
        </w:rPr>
        <w:t>LEDD</w:t>
      </w:r>
      <w:r w:rsidRPr="00DE1E8C">
        <w:rPr>
          <w:sz w:val="20"/>
          <w:szCs w:val="20"/>
          <w:lang w:val="en-GB"/>
        </w:rPr>
        <w:t xml:space="preserve"> =</w:t>
      </w:r>
      <w:r w:rsidR="005A15D7" w:rsidRPr="00DE1E8C">
        <w:rPr>
          <w:sz w:val="20"/>
          <w:szCs w:val="20"/>
          <w:lang w:val="en-GB"/>
        </w:rPr>
        <w:t xml:space="preserve"> levodopa equivalent daily dose.</w:t>
      </w:r>
    </w:p>
    <w:p w14:paraId="1F82B2EE" w14:textId="77777777" w:rsidR="007E4A84" w:rsidRPr="00DE1E8C" w:rsidRDefault="007E4A84" w:rsidP="007E4A84">
      <w:pPr>
        <w:rPr>
          <w:lang w:val="en-GB"/>
        </w:rPr>
      </w:pPr>
    </w:p>
    <w:p w14:paraId="597AA6BE" w14:textId="77777777" w:rsidR="002A362F" w:rsidRPr="00DE1E8C" w:rsidRDefault="002A362F" w:rsidP="00551517">
      <w:pPr>
        <w:spacing w:line="360" w:lineRule="auto"/>
        <w:contextualSpacing/>
        <w:jc w:val="both"/>
        <w:rPr>
          <w:b/>
          <w:i/>
          <w:lang w:val="en-GB"/>
        </w:rPr>
      </w:pPr>
    </w:p>
    <w:p w14:paraId="33149FE1" w14:textId="77777777" w:rsidR="006D72A1" w:rsidRPr="00DE1E8C" w:rsidRDefault="006D72A1" w:rsidP="00551517">
      <w:pPr>
        <w:spacing w:line="360" w:lineRule="auto"/>
        <w:contextualSpacing/>
        <w:jc w:val="both"/>
        <w:rPr>
          <w:b/>
          <w:i/>
          <w:lang w:val="en-GB"/>
        </w:rPr>
      </w:pPr>
    </w:p>
    <w:p w14:paraId="56E8C8D0" w14:textId="77777777" w:rsidR="006D72A1" w:rsidRPr="00DE1E8C" w:rsidRDefault="006D72A1" w:rsidP="00551517">
      <w:pPr>
        <w:spacing w:line="360" w:lineRule="auto"/>
        <w:contextualSpacing/>
        <w:jc w:val="both"/>
        <w:rPr>
          <w:b/>
          <w:i/>
          <w:lang w:val="en-GB"/>
        </w:rPr>
      </w:pPr>
    </w:p>
    <w:p w14:paraId="5375F7E4" w14:textId="77777777" w:rsidR="006D72A1" w:rsidRPr="00DE1E8C" w:rsidRDefault="006D72A1" w:rsidP="00551517">
      <w:pPr>
        <w:spacing w:line="360" w:lineRule="auto"/>
        <w:contextualSpacing/>
        <w:jc w:val="both"/>
        <w:rPr>
          <w:b/>
          <w:i/>
          <w:lang w:val="en-GB"/>
        </w:rPr>
      </w:pPr>
    </w:p>
    <w:p w14:paraId="5EBB6A0F" w14:textId="77777777" w:rsidR="006D72A1" w:rsidRPr="00DE1E8C" w:rsidRDefault="006D72A1" w:rsidP="00551517">
      <w:pPr>
        <w:spacing w:line="360" w:lineRule="auto"/>
        <w:contextualSpacing/>
        <w:jc w:val="both"/>
        <w:rPr>
          <w:b/>
          <w:i/>
          <w:lang w:val="en-GB"/>
        </w:rPr>
      </w:pPr>
    </w:p>
    <w:p w14:paraId="0FDC2EB2" w14:textId="6FB3C5E2" w:rsidR="000502CD" w:rsidRPr="00DE1E8C" w:rsidRDefault="00964E2E" w:rsidP="00551517">
      <w:pPr>
        <w:spacing w:line="360" w:lineRule="auto"/>
        <w:contextualSpacing/>
        <w:jc w:val="both"/>
        <w:rPr>
          <w:b/>
          <w:i/>
          <w:lang w:val="en-GB"/>
        </w:rPr>
      </w:pPr>
      <w:r w:rsidRPr="00DE1E8C">
        <w:rPr>
          <w:b/>
          <w:i/>
          <w:lang w:val="en-GB"/>
        </w:rPr>
        <w:lastRenderedPageBreak/>
        <w:t>Attention Network Task</w:t>
      </w:r>
      <w:r w:rsidR="000502CD" w:rsidRPr="00DE1E8C">
        <w:rPr>
          <w:b/>
          <w:i/>
          <w:lang w:val="en-GB"/>
        </w:rPr>
        <w:t xml:space="preserve"> </w:t>
      </w:r>
      <w:r w:rsidRPr="00DE1E8C">
        <w:rPr>
          <w:b/>
          <w:i/>
          <w:lang w:val="en-GB"/>
        </w:rPr>
        <w:t>b</w:t>
      </w:r>
      <w:r w:rsidR="000502CD" w:rsidRPr="00DE1E8C">
        <w:rPr>
          <w:b/>
          <w:i/>
          <w:lang w:val="en-GB"/>
        </w:rPr>
        <w:t>ehavioural results</w:t>
      </w:r>
    </w:p>
    <w:p w14:paraId="3F580A35" w14:textId="4FA16FDB" w:rsidR="008A581B" w:rsidRPr="00DE1E8C" w:rsidRDefault="008A581B" w:rsidP="00551517">
      <w:pPr>
        <w:spacing w:line="360" w:lineRule="auto"/>
        <w:contextualSpacing/>
        <w:jc w:val="both"/>
        <w:rPr>
          <w:i/>
          <w:lang w:val="en-GB"/>
        </w:rPr>
      </w:pPr>
      <w:r w:rsidRPr="00DE1E8C">
        <w:rPr>
          <w:i/>
          <w:lang w:val="en-GB"/>
        </w:rPr>
        <w:t>Percentage correct</w:t>
      </w:r>
    </w:p>
    <w:p w14:paraId="0CF81372" w14:textId="755E4F51" w:rsidR="000502CD" w:rsidRPr="00DE1E8C" w:rsidRDefault="000502CD" w:rsidP="00551517">
      <w:pPr>
        <w:spacing w:line="360" w:lineRule="auto"/>
        <w:contextualSpacing/>
        <w:jc w:val="both"/>
        <w:rPr>
          <w:lang w:val="en-GB"/>
        </w:rPr>
      </w:pPr>
      <w:r w:rsidRPr="00DE1E8C">
        <w:rPr>
          <w:lang w:val="en-GB"/>
        </w:rPr>
        <w:t>Trials where no response was made were excluded from the analysis. The amount</w:t>
      </w:r>
      <w:r w:rsidR="00735BC6" w:rsidRPr="00DE1E8C">
        <w:rPr>
          <w:lang w:val="en-GB"/>
        </w:rPr>
        <w:t xml:space="preserve"> of</w:t>
      </w:r>
      <w:r w:rsidRPr="00DE1E8C">
        <w:rPr>
          <w:lang w:val="en-GB"/>
        </w:rPr>
        <w:t xml:space="preserve"> no response trials excluded did not differ significantly across the groups [F(2, 35) = 1.97, </w:t>
      </w:r>
      <w:r w:rsidRPr="00DE1E8C">
        <w:rPr>
          <w:i/>
          <w:lang w:val="en-GB"/>
        </w:rPr>
        <w:t>p</w:t>
      </w:r>
      <w:r w:rsidRPr="00DE1E8C">
        <w:rPr>
          <w:lang w:val="en-GB"/>
        </w:rPr>
        <w:t xml:space="preserve"> = 0.154, see Supplementary Fig</w:t>
      </w:r>
      <w:r w:rsidR="00FA11A4" w:rsidRPr="00DE1E8C">
        <w:rPr>
          <w:lang w:val="en-GB"/>
        </w:rPr>
        <w:t>.</w:t>
      </w:r>
      <w:r w:rsidRPr="00DE1E8C">
        <w:rPr>
          <w:lang w:val="en-GB"/>
        </w:rPr>
        <w:t xml:space="preserve"> </w:t>
      </w:r>
      <w:r w:rsidR="00504927" w:rsidRPr="00DE1E8C">
        <w:rPr>
          <w:lang w:val="en-GB"/>
        </w:rPr>
        <w:t>1</w:t>
      </w:r>
      <w:r w:rsidRPr="00DE1E8C">
        <w:rPr>
          <w:lang w:val="en-GB"/>
        </w:rPr>
        <w:t xml:space="preserve">]. </w:t>
      </w:r>
    </w:p>
    <w:p w14:paraId="142382BE" w14:textId="77777777" w:rsidR="006163D2" w:rsidRPr="00DE1E8C" w:rsidRDefault="006163D2" w:rsidP="00551517">
      <w:pPr>
        <w:spacing w:line="360" w:lineRule="auto"/>
        <w:contextualSpacing/>
        <w:jc w:val="both"/>
        <w:rPr>
          <w:lang w:val="en-GB"/>
        </w:rPr>
      </w:pPr>
    </w:p>
    <w:p w14:paraId="448CD7E7" w14:textId="3E15CFA9" w:rsidR="00420667" w:rsidRPr="00DE1E8C" w:rsidRDefault="00ED3D3F" w:rsidP="00551517">
      <w:pPr>
        <w:spacing w:line="360" w:lineRule="auto"/>
        <w:contextualSpacing/>
        <w:jc w:val="both"/>
        <w:rPr>
          <w:lang w:val="en-GB"/>
        </w:rPr>
      </w:pPr>
      <w:r w:rsidRPr="00DE1E8C">
        <w:rPr>
          <w:lang w:val="en-GB"/>
        </w:rPr>
        <w:t>Fig</w:t>
      </w:r>
      <w:r w:rsidR="00FA11A4" w:rsidRPr="00DE1E8C">
        <w:rPr>
          <w:lang w:val="en-GB"/>
        </w:rPr>
        <w:t>.</w:t>
      </w:r>
      <w:r w:rsidRPr="00DE1E8C">
        <w:rPr>
          <w:lang w:val="en-GB"/>
        </w:rPr>
        <w:t xml:space="preserve"> </w:t>
      </w:r>
      <w:r w:rsidR="009310F8" w:rsidRPr="00DE1E8C">
        <w:rPr>
          <w:lang w:val="en-GB"/>
        </w:rPr>
        <w:t>2</w:t>
      </w:r>
      <w:r w:rsidR="00B137F6" w:rsidRPr="00DE1E8C">
        <w:rPr>
          <w:lang w:val="en-GB"/>
        </w:rPr>
        <w:t xml:space="preserve"> (</w:t>
      </w:r>
      <w:r w:rsidR="00031539" w:rsidRPr="00DE1E8C">
        <w:rPr>
          <w:lang w:val="en-GB"/>
        </w:rPr>
        <w:t>left panel</w:t>
      </w:r>
      <w:r w:rsidR="00B137F6" w:rsidRPr="00DE1E8C">
        <w:rPr>
          <w:lang w:val="en-GB"/>
        </w:rPr>
        <w:t>)</w:t>
      </w:r>
      <w:r w:rsidR="001119F2" w:rsidRPr="00DE1E8C">
        <w:rPr>
          <w:lang w:val="en-GB"/>
        </w:rPr>
        <w:t xml:space="preserve"> shows the percentage of correct responses across the groups.</w:t>
      </w:r>
      <w:r w:rsidR="00F20B5B" w:rsidRPr="00DE1E8C">
        <w:rPr>
          <w:lang w:val="en-GB"/>
        </w:rPr>
        <w:t xml:space="preserve"> </w:t>
      </w:r>
      <w:r w:rsidR="00542525" w:rsidRPr="00DE1E8C">
        <w:rPr>
          <w:lang w:val="en-GB"/>
        </w:rPr>
        <w:t xml:space="preserve">Percentage correct </w:t>
      </w:r>
      <w:r w:rsidR="00542525" w:rsidRPr="00DE1E8C">
        <w:rPr>
          <w:color w:val="000000" w:themeColor="text1"/>
          <w:lang w:val="en-GB"/>
        </w:rPr>
        <w:t>scores were subjected to a</w:t>
      </w:r>
      <w:r w:rsidR="00CD698F" w:rsidRPr="00DE1E8C">
        <w:rPr>
          <w:color w:val="000000" w:themeColor="text1"/>
          <w:lang w:val="en-GB"/>
        </w:rPr>
        <w:t xml:space="preserve"> square</w:t>
      </w:r>
      <w:r w:rsidR="00542525" w:rsidRPr="00DE1E8C">
        <w:rPr>
          <w:color w:val="000000" w:themeColor="text1"/>
          <w:lang w:val="en-GB"/>
        </w:rPr>
        <w:t xml:space="preserve"> transformation to reduce skew and leptokurtosis</w:t>
      </w:r>
      <w:r w:rsidR="00EE7497" w:rsidRPr="00DE1E8C">
        <w:rPr>
          <w:color w:val="000000" w:themeColor="text1"/>
          <w:lang w:val="en-GB"/>
        </w:rPr>
        <w:t xml:space="preserve">. </w:t>
      </w:r>
      <w:r w:rsidR="00F32DBE" w:rsidRPr="00DE1E8C">
        <w:rPr>
          <w:lang w:val="en-GB"/>
        </w:rPr>
        <w:t>Results of the mixed model ANOVA showed</w:t>
      </w:r>
      <w:r w:rsidR="0000680A" w:rsidRPr="00DE1E8C">
        <w:rPr>
          <w:lang w:val="en-GB"/>
        </w:rPr>
        <w:t xml:space="preserve"> a main effect of group </w:t>
      </w:r>
      <w:r w:rsidR="008E6855" w:rsidRPr="00DE1E8C">
        <w:rPr>
          <w:lang w:val="en-GB"/>
        </w:rPr>
        <w:t>[F(2, 67) = 1</w:t>
      </w:r>
      <w:r w:rsidR="00F216A1" w:rsidRPr="00DE1E8C">
        <w:rPr>
          <w:lang w:val="en-GB"/>
        </w:rPr>
        <w:t>3</w:t>
      </w:r>
      <w:r w:rsidR="008E6855" w:rsidRPr="00DE1E8C">
        <w:rPr>
          <w:lang w:val="en-GB"/>
        </w:rPr>
        <w:t>.</w:t>
      </w:r>
      <w:r w:rsidR="00F216A1" w:rsidRPr="00DE1E8C">
        <w:rPr>
          <w:lang w:val="en-GB"/>
        </w:rPr>
        <w:t>76</w:t>
      </w:r>
      <w:r w:rsidR="0000680A" w:rsidRPr="00DE1E8C">
        <w:rPr>
          <w:lang w:val="en-GB"/>
        </w:rPr>
        <w:t xml:space="preserve">, </w:t>
      </w:r>
      <w:r w:rsidR="0000680A" w:rsidRPr="00DE1E8C">
        <w:rPr>
          <w:i/>
          <w:lang w:val="en-GB"/>
        </w:rPr>
        <w:t>p</w:t>
      </w:r>
      <w:r w:rsidR="008E6855" w:rsidRPr="00DE1E8C">
        <w:rPr>
          <w:lang w:val="en-GB"/>
        </w:rPr>
        <w:t xml:space="preserve"> &lt;</w:t>
      </w:r>
      <w:r w:rsidR="0000680A" w:rsidRPr="00DE1E8C">
        <w:rPr>
          <w:lang w:val="en-GB"/>
        </w:rPr>
        <w:t xml:space="preserve"> </w:t>
      </w:r>
      <w:r w:rsidR="008E6855" w:rsidRPr="00DE1E8C">
        <w:rPr>
          <w:lang w:val="en-GB"/>
        </w:rPr>
        <w:t>0.001</w:t>
      </w:r>
      <w:r w:rsidR="00976F67" w:rsidRPr="00DE1E8C">
        <w:rPr>
          <w:lang w:val="en-GB"/>
        </w:rPr>
        <w:t xml:space="preserve">]; </w:t>
      </w:r>
      <w:r w:rsidR="00036E3F" w:rsidRPr="00DE1E8C">
        <w:rPr>
          <w:lang w:val="en-GB"/>
        </w:rPr>
        <w:t>post h</w:t>
      </w:r>
      <w:r w:rsidR="00DF0AEB" w:rsidRPr="00DE1E8C">
        <w:rPr>
          <w:lang w:val="en-GB"/>
        </w:rPr>
        <w:t xml:space="preserve">oc comparisons </w:t>
      </w:r>
      <w:r w:rsidR="00976F67" w:rsidRPr="00DE1E8C">
        <w:rPr>
          <w:lang w:val="en-GB"/>
        </w:rPr>
        <w:t xml:space="preserve">indicated that </w:t>
      </w:r>
      <w:r w:rsidR="00C325F3" w:rsidRPr="00DE1E8C">
        <w:rPr>
          <w:lang w:val="en-GB"/>
        </w:rPr>
        <w:t xml:space="preserve">the </w:t>
      </w:r>
      <w:r w:rsidR="004A3B95" w:rsidRPr="00DE1E8C">
        <w:rPr>
          <w:lang w:val="en-GB"/>
        </w:rPr>
        <w:t>Lewy body dementia</w:t>
      </w:r>
      <w:r w:rsidR="00C325F3" w:rsidRPr="00DE1E8C">
        <w:rPr>
          <w:lang w:val="en-GB"/>
        </w:rPr>
        <w:t xml:space="preserve"> group had significantly fewer correct responses compared to controls (</w:t>
      </w:r>
      <w:r w:rsidR="008068D9" w:rsidRPr="00DE1E8C">
        <w:rPr>
          <w:i/>
          <w:lang w:val="en-GB"/>
        </w:rPr>
        <w:t>p</w:t>
      </w:r>
      <w:r w:rsidR="008068D9" w:rsidRPr="00DE1E8C">
        <w:rPr>
          <w:vertAlign w:val="subscript"/>
          <w:lang w:val="en-GB"/>
        </w:rPr>
        <w:t xml:space="preserve">adjusted </w:t>
      </w:r>
      <w:r w:rsidR="008068D9" w:rsidRPr="00DE1E8C">
        <w:rPr>
          <w:lang w:val="en-GB"/>
        </w:rPr>
        <w:t xml:space="preserve">&lt; </w:t>
      </w:r>
      <w:r w:rsidR="00036E3F" w:rsidRPr="00DE1E8C">
        <w:rPr>
          <w:lang w:val="en-GB"/>
        </w:rPr>
        <w:t xml:space="preserve"> </w:t>
      </w:r>
      <w:r w:rsidR="00B64527" w:rsidRPr="00DE1E8C">
        <w:rPr>
          <w:lang w:val="en-GB"/>
        </w:rPr>
        <w:t>0</w:t>
      </w:r>
      <w:r w:rsidR="00B00B29" w:rsidRPr="00DE1E8C">
        <w:rPr>
          <w:lang w:val="en-GB"/>
        </w:rPr>
        <w:t>.001) and A</w:t>
      </w:r>
      <w:r w:rsidR="004A3B95" w:rsidRPr="00DE1E8C">
        <w:rPr>
          <w:lang w:val="en-GB"/>
        </w:rPr>
        <w:t>lzheimer’s disease</w:t>
      </w:r>
      <w:r w:rsidR="00B00B29" w:rsidRPr="00DE1E8C">
        <w:rPr>
          <w:lang w:val="en-GB"/>
        </w:rPr>
        <w:t xml:space="preserve"> (</w:t>
      </w:r>
      <w:r w:rsidR="00B00B29" w:rsidRPr="00DE1E8C">
        <w:rPr>
          <w:i/>
          <w:lang w:val="en-GB"/>
        </w:rPr>
        <w:t>p</w:t>
      </w:r>
      <w:r w:rsidR="00B00B29" w:rsidRPr="00DE1E8C">
        <w:rPr>
          <w:vertAlign w:val="subscript"/>
          <w:lang w:val="en-GB"/>
        </w:rPr>
        <w:t xml:space="preserve">adjusted </w:t>
      </w:r>
      <w:r w:rsidR="00B00B29" w:rsidRPr="00DE1E8C">
        <w:rPr>
          <w:lang w:val="en-GB"/>
        </w:rPr>
        <w:t>&lt;</w:t>
      </w:r>
      <w:r w:rsidR="00B64527" w:rsidRPr="00DE1E8C">
        <w:rPr>
          <w:lang w:val="en-GB"/>
        </w:rPr>
        <w:t xml:space="preserve"> 0.05)</w:t>
      </w:r>
      <w:r w:rsidR="00B64E70" w:rsidRPr="00DE1E8C">
        <w:rPr>
          <w:lang w:val="en-GB"/>
        </w:rPr>
        <w:t>, and the A</w:t>
      </w:r>
      <w:r w:rsidR="004A3B95" w:rsidRPr="00DE1E8C">
        <w:rPr>
          <w:lang w:val="en-GB"/>
        </w:rPr>
        <w:t>lzheimer’s disease</w:t>
      </w:r>
      <w:r w:rsidR="00B64E70" w:rsidRPr="00DE1E8C">
        <w:rPr>
          <w:lang w:val="en-GB"/>
        </w:rPr>
        <w:t xml:space="preserve"> group had significantly fewer </w:t>
      </w:r>
      <w:r w:rsidR="00DB617C" w:rsidRPr="00DE1E8C">
        <w:rPr>
          <w:lang w:val="en-GB"/>
        </w:rPr>
        <w:t>correct responses than controls (</w:t>
      </w:r>
      <w:r w:rsidR="00DB617C" w:rsidRPr="00DE1E8C">
        <w:rPr>
          <w:i/>
          <w:lang w:val="en-GB"/>
        </w:rPr>
        <w:t>p</w:t>
      </w:r>
      <w:r w:rsidR="00DB617C" w:rsidRPr="00DE1E8C">
        <w:rPr>
          <w:vertAlign w:val="subscript"/>
          <w:lang w:val="en-GB"/>
        </w:rPr>
        <w:t xml:space="preserve">adjusted </w:t>
      </w:r>
      <w:r w:rsidR="00DB617C" w:rsidRPr="00DE1E8C">
        <w:rPr>
          <w:lang w:val="en-GB"/>
        </w:rPr>
        <w:t xml:space="preserve">&lt; 0.05). </w:t>
      </w:r>
    </w:p>
    <w:p w14:paraId="3AC14C69" w14:textId="77777777" w:rsidR="00420667" w:rsidRPr="00DE1E8C" w:rsidRDefault="00420667" w:rsidP="00551517">
      <w:pPr>
        <w:spacing w:line="360" w:lineRule="auto"/>
        <w:contextualSpacing/>
        <w:jc w:val="both"/>
        <w:rPr>
          <w:lang w:val="en-GB"/>
        </w:rPr>
      </w:pPr>
    </w:p>
    <w:p w14:paraId="249D36C8" w14:textId="0C9E4553" w:rsidR="00420667" w:rsidRPr="00DE1E8C" w:rsidRDefault="00DB617C" w:rsidP="00551517">
      <w:pPr>
        <w:spacing w:line="360" w:lineRule="auto"/>
        <w:contextualSpacing/>
        <w:jc w:val="both"/>
        <w:rPr>
          <w:lang w:val="en-GB"/>
        </w:rPr>
      </w:pPr>
      <w:r w:rsidRPr="00DE1E8C">
        <w:rPr>
          <w:lang w:val="en-GB"/>
        </w:rPr>
        <w:t xml:space="preserve">There was also a main effect of condition </w:t>
      </w:r>
      <w:r w:rsidR="00724C51" w:rsidRPr="00DE1E8C">
        <w:rPr>
          <w:lang w:val="en-GB"/>
        </w:rPr>
        <w:t>[F(2, 134</w:t>
      </w:r>
      <w:r w:rsidRPr="00DE1E8C">
        <w:rPr>
          <w:lang w:val="en-GB"/>
        </w:rPr>
        <w:t xml:space="preserve">) = </w:t>
      </w:r>
      <w:r w:rsidR="00A40DEB" w:rsidRPr="00DE1E8C">
        <w:rPr>
          <w:lang w:val="en-GB"/>
        </w:rPr>
        <w:t>24</w:t>
      </w:r>
      <w:r w:rsidR="00724C51" w:rsidRPr="00DE1E8C">
        <w:rPr>
          <w:lang w:val="en-GB"/>
        </w:rPr>
        <w:t>.</w:t>
      </w:r>
      <w:r w:rsidR="00A40DEB" w:rsidRPr="00DE1E8C">
        <w:rPr>
          <w:lang w:val="en-GB"/>
        </w:rPr>
        <w:t>4</w:t>
      </w:r>
      <w:r w:rsidR="00724C51" w:rsidRPr="00DE1E8C">
        <w:rPr>
          <w:lang w:val="en-GB"/>
        </w:rPr>
        <w:t>9</w:t>
      </w:r>
      <w:r w:rsidRPr="00DE1E8C">
        <w:rPr>
          <w:lang w:val="en-GB"/>
        </w:rPr>
        <w:t xml:space="preserve">, </w:t>
      </w:r>
      <w:r w:rsidRPr="00DE1E8C">
        <w:rPr>
          <w:i/>
          <w:lang w:val="en-GB"/>
        </w:rPr>
        <w:t>p</w:t>
      </w:r>
      <w:r w:rsidRPr="00DE1E8C">
        <w:rPr>
          <w:lang w:val="en-GB"/>
        </w:rPr>
        <w:t xml:space="preserve"> &lt; </w:t>
      </w:r>
      <w:r w:rsidR="00111E7B" w:rsidRPr="00DE1E8C">
        <w:rPr>
          <w:lang w:val="en-GB"/>
        </w:rPr>
        <w:t>0.001</w:t>
      </w:r>
      <w:r w:rsidRPr="00DE1E8C">
        <w:rPr>
          <w:lang w:val="en-GB"/>
        </w:rPr>
        <w:t>]</w:t>
      </w:r>
      <w:r w:rsidR="00BD612D" w:rsidRPr="00DE1E8C">
        <w:rPr>
          <w:lang w:val="en-GB"/>
        </w:rPr>
        <w:t>,</w:t>
      </w:r>
      <w:r w:rsidR="00EF5FDB" w:rsidRPr="00DE1E8C">
        <w:rPr>
          <w:lang w:val="en-GB"/>
        </w:rPr>
        <w:t xml:space="preserve"> with </w:t>
      </w:r>
      <w:r w:rsidR="003D558C" w:rsidRPr="00DE1E8C">
        <w:rPr>
          <w:lang w:val="en-GB"/>
        </w:rPr>
        <w:t>signif</w:t>
      </w:r>
      <w:r w:rsidR="00B81DF1" w:rsidRPr="00DE1E8C">
        <w:rPr>
          <w:lang w:val="en-GB"/>
        </w:rPr>
        <w:t xml:space="preserve">icantly more correct responses </w:t>
      </w:r>
      <w:r w:rsidR="003D558C" w:rsidRPr="00DE1E8C">
        <w:rPr>
          <w:lang w:val="en-GB"/>
        </w:rPr>
        <w:t>achieved in the congruent condition, relative to incongruent-EASY</w:t>
      </w:r>
      <w:r w:rsidR="001230CE" w:rsidRPr="00DE1E8C">
        <w:rPr>
          <w:lang w:val="en-GB"/>
        </w:rPr>
        <w:t xml:space="preserve"> (</w:t>
      </w:r>
      <w:r w:rsidR="001230CE" w:rsidRPr="00DE1E8C">
        <w:rPr>
          <w:i/>
          <w:lang w:val="en-GB"/>
        </w:rPr>
        <w:t>p</w:t>
      </w:r>
      <w:r w:rsidR="001230CE" w:rsidRPr="00DE1E8C">
        <w:rPr>
          <w:vertAlign w:val="subscript"/>
          <w:lang w:val="en-GB"/>
        </w:rPr>
        <w:t xml:space="preserve">adjusted </w:t>
      </w:r>
      <w:r w:rsidR="001230CE" w:rsidRPr="00DE1E8C">
        <w:rPr>
          <w:lang w:val="en-GB"/>
        </w:rPr>
        <w:t>&lt; 0.05) and incongruent-HARD (</w:t>
      </w:r>
      <w:r w:rsidR="001230CE" w:rsidRPr="00DE1E8C">
        <w:rPr>
          <w:i/>
          <w:lang w:val="en-GB"/>
        </w:rPr>
        <w:t>p</w:t>
      </w:r>
      <w:r w:rsidR="001230CE" w:rsidRPr="00DE1E8C">
        <w:rPr>
          <w:vertAlign w:val="subscript"/>
          <w:lang w:val="en-GB"/>
        </w:rPr>
        <w:t xml:space="preserve">adjusted </w:t>
      </w:r>
      <w:r w:rsidR="001230CE" w:rsidRPr="00DE1E8C">
        <w:rPr>
          <w:lang w:val="en-GB"/>
        </w:rPr>
        <w:t xml:space="preserve">&lt; </w:t>
      </w:r>
      <w:r w:rsidR="00584581" w:rsidRPr="00DE1E8C">
        <w:rPr>
          <w:lang w:val="en-GB"/>
        </w:rPr>
        <w:t>0.001</w:t>
      </w:r>
      <w:r w:rsidR="001230CE" w:rsidRPr="00DE1E8C">
        <w:rPr>
          <w:lang w:val="en-GB"/>
        </w:rPr>
        <w:t>)</w:t>
      </w:r>
      <w:r w:rsidR="00584581" w:rsidRPr="00DE1E8C">
        <w:rPr>
          <w:lang w:val="en-GB"/>
        </w:rPr>
        <w:t>, correct responses did not differ between the incongruent conditions (</w:t>
      </w:r>
      <w:r w:rsidR="00584581" w:rsidRPr="00DE1E8C">
        <w:rPr>
          <w:i/>
          <w:lang w:val="en-GB"/>
        </w:rPr>
        <w:t>p</w:t>
      </w:r>
      <w:r w:rsidR="00584581" w:rsidRPr="00DE1E8C">
        <w:rPr>
          <w:vertAlign w:val="subscript"/>
          <w:lang w:val="en-GB"/>
        </w:rPr>
        <w:t xml:space="preserve">adjusted </w:t>
      </w:r>
      <w:r w:rsidR="00352196" w:rsidRPr="00DE1E8C">
        <w:rPr>
          <w:lang w:val="en-GB"/>
        </w:rPr>
        <w:t>=</w:t>
      </w:r>
      <w:r w:rsidR="00584581" w:rsidRPr="00DE1E8C">
        <w:rPr>
          <w:lang w:val="en-GB"/>
        </w:rPr>
        <w:t xml:space="preserve"> </w:t>
      </w:r>
      <w:r w:rsidR="00352196" w:rsidRPr="00DE1E8C">
        <w:rPr>
          <w:lang w:val="en-GB"/>
        </w:rPr>
        <w:t>0.</w:t>
      </w:r>
      <w:r w:rsidR="009A7457" w:rsidRPr="00DE1E8C">
        <w:rPr>
          <w:lang w:val="en-GB"/>
        </w:rPr>
        <w:t>695</w:t>
      </w:r>
      <w:r w:rsidR="00584581" w:rsidRPr="00DE1E8C">
        <w:rPr>
          <w:lang w:val="en-GB"/>
        </w:rPr>
        <w:t>).</w:t>
      </w:r>
      <w:r w:rsidR="00352196" w:rsidRPr="00DE1E8C">
        <w:rPr>
          <w:lang w:val="en-GB"/>
        </w:rPr>
        <w:t xml:space="preserve"> </w:t>
      </w:r>
    </w:p>
    <w:p w14:paraId="6BC650BC" w14:textId="77777777" w:rsidR="00420667" w:rsidRPr="00DE1E8C" w:rsidRDefault="00420667" w:rsidP="00551517">
      <w:pPr>
        <w:spacing w:line="360" w:lineRule="auto"/>
        <w:contextualSpacing/>
        <w:jc w:val="both"/>
        <w:rPr>
          <w:lang w:val="en-GB"/>
        </w:rPr>
      </w:pPr>
    </w:p>
    <w:p w14:paraId="1B43E1D0" w14:textId="27AF6C2F" w:rsidR="00F32DBE" w:rsidRPr="00DE1E8C" w:rsidRDefault="00352196" w:rsidP="00551517">
      <w:pPr>
        <w:spacing w:line="360" w:lineRule="auto"/>
        <w:contextualSpacing/>
        <w:jc w:val="both"/>
        <w:rPr>
          <w:lang w:val="en-GB"/>
        </w:rPr>
      </w:pPr>
      <w:r w:rsidRPr="00DE1E8C">
        <w:rPr>
          <w:lang w:val="en-GB"/>
        </w:rPr>
        <w:t xml:space="preserve">Finally, </w:t>
      </w:r>
      <w:r w:rsidR="00D36DCC" w:rsidRPr="00DE1E8C">
        <w:rPr>
          <w:lang w:val="en-GB"/>
        </w:rPr>
        <w:t xml:space="preserve">there was a significant interaction </w:t>
      </w:r>
      <w:r w:rsidR="006B342C" w:rsidRPr="00DE1E8C">
        <w:rPr>
          <w:lang w:val="en-GB"/>
        </w:rPr>
        <w:t>[F(4, 134</w:t>
      </w:r>
      <w:r w:rsidR="00D36DCC" w:rsidRPr="00DE1E8C">
        <w:rPr>
          <w:lang w:val="en-GB"/>
        </w:rPr>
        <w:t xml:space="preserve">) = </w:t>
      </w:r>
      <w:r w:rsidR="009805D7" w:rsidRPr="00DE1E8C">
        <w:rPr>
          <w:lang w:val="en-GB"/>
        </w:rPr>
        <w:t>6</w:t>
      </w:r>
      <w:r w:rsidR="006B342C" w:rsidRPr="00DE1E8C">
        <w:rPr>
          <w:lang w:val="en-GB"/>
        </w:rPr>
        <w:t>.</w:t>
      </w:r>
      <w:r w:rsidR="009805D7" w:rsidRPr="00DE1E8C">
        <w:rPr>
          <w:lang w:val="en-GB"/>
        </w:rPr>
        <w:t>30</w:t>
      </w:r>
      <w:r w:rsidR="00D36DCC" w:rsidRPr="00DE1E8C">
        <w:rPr>
          <w:lang w:val="en-GB"/>
        </w:rPr>
        <w:t xml:space="preserve">, </w:t>
      </w:r>
      <w:r w:rsidR="00D36DCC" w:rsidRPr="00DE1E8C">
        <w:rPr>
          <w:i/>
          <w:lang w:val="en-GB"/>
        </w:rPr>
        <w:t>p</w:t>
      </w:r>
      <w:r w:rsidR="00D36DCC" w:rsidRPr="00DE1E8C">
        <w:rPr>
          <w:lang w:val="en-GB"/>
        </w:rPr>
        <w:t xml:space="preserve"> &lt; </w:t>
      </w:r>
      <w:r w:rsidR="00AF30D7" w:rsidRPr="00DE1E8C">
        <w:rPr>
          <w:lang w:val="en-GB"/>
        </w:rPr>
        <w:t>0.0</w:t>
      </w:r>
      <w:r w:rsidR="00523584" w:rsidRPr="00DE1E8C">
        <w:rPr>
          <w:lang w:val="en-GB"/>
        </w:rPr>
        <w:t>0</w:t>
      </w:r>
      <w:r w:rsidR="00AF30D7" w:rsidRPr="00DE1E8C">
        <w:rPr>
          <w:lang w:val="en-GB"/>
        </w:rPr>
        <w:t>1</w:t>
      </w:r>
      <w:r w:rsidR="00D36DCC" w:rsidRPr="00DE1E8C">
        <w:rPr>
          <w:lang w:val="en-GB"/>
        </w:rPr>
        <w:t>]</w:t>
      </w:r>
      <w:r w:rsidR="00496CF9" w:rsidRPr="00DE1E8C">
        <w:rPr>
          <w:lang w:val="en-GB"/>
        </w:rPr>
        <w:t xml:space="preserve">, which reflected that the </w:t>
      </w:r>
      <w:r w:rsidR="004878B0" w:rsidRPr="00DE1E8C">
        <w:rPr>
          <w:lang w:val="en-GB"/>
        </w:rPr>
        <w:t>patient</w:t>
      </w:r>
      <w:r w:rsidR="00496CF9" w:rsidRPr="00DE1E8C">
        <w:rPr>
          <w:lang w:val="en-GB"/>
        </w:rPr>
        <w:t xml:space="preserve"> group</w:t>
      </w:r>
      <w:r w:rsidR="004878B0" w:rsidRPr="00DE1E8C">
        <w:rPr>
          <w:lang w:val="en-GB"/>
        </w:rPr>
        <w:t>s performed worse with respect to control</w:t>
      </w:r>
      <w:r w:rsidR="005D3EA2" w:rsidRPr="00DE1E8C">
        <w:rPr>
          <w:lang w:val="en-GB"/>
        </w:rPr>
        <w:t>s</w:t>
      </w:r>
      <w:r w:rsidR="004878B0" w:rsidRPr="00DE1E8C">
        <w:rPr>
          <w:lang w:val="en-GB"/>
        </w:rPr>
        <w:t xml:space="preserve"> in the more difficult </w:t>
      </w:r>
      <w:r w:rsidR="009521A3" w:rsidRPr="00DE1E8C">
        <w:rPr>
          <w:lang w:val="en-GB"/>
        </w:rPr>
        <w:t>conditions</w:t>
      </w:r>
      <w:r w:rsidR="004878B0" w:rsidRPr="00DE1E8C">
        <w:rPr>
          <w:lang w:val="en-GB"/>
        </w:rPr>
        <w:t>.</w:t>
      </w:r>
      <w:r w:rsidR="00727013" w:rsidRPr="00DE1E8C">
        <w:rPr>
          <w:lang w:val="en-GB"/>
        </w:rPr>
        <w:t xml:space="preserve"> </w:t>
      </w:r>
      <w:r w:rsidR="00CA4FB6" w:rsidRPr="00DE1E8C">
        <w:rPr>
          <w:lang w:val="en-GB"/>
        </w:rPr>
        <w:t>Tests of sim</w:t>
      </w:r>
      <w:r w:rsidR="00496CF9" w:rsidRPr="00DE1E8C">
        <w:rPr>
          <w:lang w:val="en-GB"/>
        </w:rPr>
        <w:t xml:space="preserve">ple effects revealed a </w:t>
      </w:r>
      <w:r w:rsidR="00CA4FB6" w:rsidRPr="00DE1E8C">
        <w:rPr>
          <w:lang w:val="en-GB"/>
        </w:rPr>
        <w:t>sig</w:t>
      </w:r>
      <w:r w:rsidR="00496CF9" w:rsidRPr="00DE1E8C">
        <w:rPr>
          <w:lang w:val="en-GB"/>
        </w:rPr>
        <w:t>nificant group difference at each condition</w:t>
      </w:r>
      <w:r w:rsidR="00CA4FB6" w:rsidRPr="00DE1E8C">
        <w:rPr>
          <w:lang w:val="en-GB"/>
        </w:rPr>
        <w:t xml:space="preserve">: congruent </w:t>
      </w:r>
      <w:r w:rsidR="004A3691" w:rsidRPr="00DE1E8C">
        <w:rPr>
          <w:lang w:val="en-GB"/>
        </w:rPr>
        <w:t xml:space="preserve">[simple effect, F(2,67) = </w:t>
      </w:r>
      <w:r w:rsidR="00667DB0" w:rsidRPr="00DE1E8C">
        <w:rPr>
          <w:lang w:val="en-GB"/>
        </w:rPr>
        <w:t>4</w:t>
      </w:r>
      <w:r w:rsidR="004A3691" w:rsidRPr="00DE1E8C">
        <w:rPr>
          <w:lang w:val="en-GB"/>
        </w:rPr>
        <w:t>.</w:t>
      </w:r>
      <w:r w:rsidR="00667DB0" w:rsidRPr="00DE1E8C">
        <w:rPr>
          <w:lang w:val="en-GB"/>
        </w:rPr>
        <w:t>77</w:t>
      </w:r>
      <w:r w:rsidR="00CA4FB6" w:rsidRPr="00DE1E8C">
        <w:rPr>
          <w:lang w:val="en-GB"/>
        </w:rPr>
        <w:t xml:space="preserve">, </w:t>
      </w:r>
      <w:r w:rsidR="004A3691" w:rsidRPr="00DE1E8C">
        <w:rPr>
          <w:lang w:val="en-GB"/>
        </w:rPr>
        <w:t xml:space="preserve">p &lt; </w:t>
      </w:r>
      <w:r w:rsidR="00E877FE" w:rsidRPr="00DE1E8C">
        <w:rPr>
          <w:lang w:val="en-GB"/>
        </w:rPr>
        <w:t>0</w:t>
      </w:r>
      <w:r w:rsidR="004A3691" w:rsidRPr="00DE1E8C">
        <w:rPr>
          <w:lang w:val="en-GB"/>
        </w:rPr>
        <w:t>.05</w:t>
      </w:r>
      <w:r w:rsidR="00CA4FB6" w:rsidRPr="00DE1E8C">
        <w:rPr>
          <w:lang w:val="en-GB"/>
        </w:rPr>
        <w:t>]</w:t>
      </w:r>
      <w:r w:rsidR="00AD6850" w:rsidRPr="00DE1E8C">
        <w:rPr>
          <w:lang w:val="en-GB"/>
        </w:rPr>
        <w:t xml:space="preserve">, incongruent-EASY </w:t>
      </w:r>
      <w:r w:rsidR="00FC32A6" w:rsidRPr="00DE1E8C">
        <w:rPr>
          <w:lang w:val="en-GB"/>
        </w:rPr>
        <w:t xml:space="preserve">[simple effect, F(2,67) = </w:t>
      </w:r>
      <w:r w:rsidR="005D3675" w:rsidRPr="00DE1E8C">
        <w:rPr>
          <w:lang w:val="en-GB"/>
        </w:rPr>
        <w:t>10.66</w:t>
      </w:r>
      <w:r w:rsidR="00AD6850" w:rsidRPr="00DE1E8C">
        <w:rPr>
          <w:lang w:val="en-GB"/>
        </w:rPr>
        <w:t xml:space="preserve">, </w:t>
      </w:r>
      <w:r w:rsidR="00FC32A6" w:rsidRPr="00DE1E8C">
        <w:rPr>
          <w:lang w:val="en-GB"/>
        </w:rPr>
        <w:t xml:space="preserve">p &lt; </w:t>
      </w:r>
      <w:r w:rsidR="00E877FE" w:rsidRPr="00DE1E8C">
        <w:rPr>
          <w:lang w:val="en-GB"/>
        </w:rPr>
        <w:t>0</w:t>
      </w:r>
      <w:r w:rsidR="00FC32A6" w:rsidRPr="00DE1E8C">
        <w:rPr>
          <w:lang w:val="en-GB"/>
        </w:rPr>
        <w:t>.0</w:t>
      </w:r>
      <w:r w:rsidR="005D3675" w:rsidRPr="00DE1E8C">
        <w:rPr>
          <w:lang w:val="en-GB"/>
        </w:rPr>
        <w:t>0</w:t>
      </w:r>
      <w:r w:rsidR="00FC32A6" w:rsidRPr="00DE1E8C">
        <w:rPr>
          <w:lang w:val="en-GB"/>
        </w:rPr>
        <w:t>1</w:t>
      </w:r>
      <w:r w:rsidR="00AD6850" w:rsidRPr="00DE1E8C">
        <w:rPr>
          <w:lang w:val="en-GB"/>
        </w:rPr>
        <w:t xml:space="preserve">] </w:t>
      </w:r>
      <w:r w:rsidR="00FC32A6" w:rsidRPr="00DE1E8C">
        <w:rPr>
          <w:lang w:val="en-GB"/>
        </w:rPr>
        <w:t xml:space="preserve">and incongruent-HARD [simple effect, F(2,67) = </w:t>
      </w:r>
      <w:r w:rsidR="00E877FE" w:rsidRPr="00DE1E8C">
        <w:rPr>
          <w:lang w:val="en-GB"/>
        </w:rPr>
        <w:t>1</w:t>
      </w:r>
      <w:r w:rsidR="00667F03" w:rsidRPr="00DE1E8C">
        <w:rPr>
          <w:lang w:val="en-GB"/>
        </w:rPr>
        <w:t>4</w:t>
      </w:r>
      <w:r w:rsidR="00E877FE" w:rsidRPr="00DE1E8C">
        <w:rPr>
          <w:lang w:val="en-GB"/>
        </w:rPr>
        <w:t>.</w:t>
      </w:r>
      <w:r w:rsidR="00667F03" w:rsidRPr="00DE1E8C">
        <w:rPr>
          <w:lang w:val="en-GB"/>
        </w:rPr>
        <w:t>11</w:t>
      </w:r>
      <w:r w:rsidR="00FC32A6" w:rsidRPr="00DE1E8C">
        <w:rPr>
          <w:lang w:val="en-GB"/>
        </w:rPr>
        <w:t xml:space="preserve">, p &lt; </w:t>
      </w:r>
      <w:r w:rsidR="00E877FE" w:rsidRPr="00DE1E8C">
        <w:rPr>
          <w:lang w:val="en-GB"/>
        </w:rPr>
        <w:t>0.001</w:t>
      </w:r>
      <w:r w:rsidR="00FC32A6" w:rsidRPr="00DE1E8C">
        <w:rPr>
          <w:lang w:val="en-GB"/>
        </w:rPr>
        <w:t>]</w:t>
      </w:r>
      <w:r w:rsidR="00403F29" w:rsidRPr="00DE1E8C">
        <w:rPr>
          <w:lang w:val="en-GB"/>
        </w:rPr>
        <w:t xml:space="preserve">. Pairwise comparisons </w:t>
      </w:r>
      <w:r w:rsidR="00496CF9" w:rsidRPr="00DE1E8C">
        <w:rPr>
          <w:lang w:val="en-GB"/>
        </w:rPr>
        <w:t xml:space="preserve">showed </w:t>
      </w:r>
      <w:r w:rsidR="0065489C" w:rsidRPr="00DE1E8C">
        <w:rPr>
          <w:lang w:val="en-GB"/>
        </w:rPr>
        <w:t xml:space="preserve">that </w:t>
      </w:r>
      <w:r w:rsidR="00496CF9" w:rsidRPr="00DE1E8C">
        <w:rPr>
          <w:lang w:val="en-GB"/>
        </w:rPr>
        <w:t>for</w:t>
      </w:r>
      <w:r w:rsidR="00872F84" w:rsidRPr="00DE1E8C">
        <w:rPr>
          <w:lang w:val="en-GB"/>
        </w:rPr>
        <w:t xml:space="preserve"> the congruent condition</w:t>
      </w:r>
      <w:r w:rsidR="0065489C" w:rsidRPr="00DE1E8C">
        <w:rPr>
          <w:lang w:val="en-GB"/>
        </w:rPr>
        <w:t>,</w:t>
      </w:r>
      <w:r w:rsidR="00872F84" w:rsidRPr="00DE1E8C">
        <w:rPr>
          <w:lang w:val="en-GB"/>
        </w:rPr>
        <w:t xml:space="preserve"> the </w:t>
      </w:r>
      <w:r w:rsidR="00484686" w:rsidRPr="00DE1E8C">
        <w:rPr>
          <w:lang w:val="en-GB"/>
        </w:rPr>
        <w:t>Lewy body dementia</w:t>
      </w:r>
      <w:r w:rsidR="00872F84" w:rsidRPr="00DE1E8C">
        <w:rPr>
          <w:lang w:val="en-GB"/>
        </w:rPr>
        <w:t xml:space="preserve"> group had significantly fewer correct responses than controls </w:t>
      </w:r>
      <w:r w:rsidR="00E351EB" w:rsidRPr="00DE1E8C">
        <w:rPr>
          <w:lang w:val="en-GB"/>
        </w:rPr>
        <w:t>[</w:t>
      </w:r>
      <w:r w:rsidR="00872F84" w:rsidRPr="00DE1E8C">
        <w:rPr>
          <w:i/>
          <w:lang w:val="en-GB"/>
        </w:rPr>
        <w:t>p</w:t>
      </w:r>
      <w:r w:rsidR="00872F84" w:rsidRPr="00DE1E8C">
        <w:rPr>
          <w:vertAlign w:val="subscript"/>
          <w:lang w:val="en-GB"/>
        </w:rPr>
        <w:t xml:space="preserve">adjusted </w:t>
      </w:r>
      <w:r w:rsidR="00872F84" w:rsidRPr="00DE1E8C">
        <w:rPr>
          <w:lang w:val="en-GB"/>
        </w:rPr>
        <w:t xml:space="preserve">&lt; </w:t>
      </w:r>
      <w:r w:rsidR="00E351EB" w:rsidRPr="00DE1E8C">
        <w:rPr>
          <w:lang w:val="en-GB"/>
        </w:rPr>
        <w:t xml:space="preserve">0.05; </w:t>
      </w:r>
      <w:r w:rsidR="00484686" w:rsidRPr="00DE1E8C">
        <w:rPr>
          <w:lang w:val="en-GB"/>
        </w:rPr>
        <w:t>Lewy body dementia</w:t>
      </w:r>
      <w:r w:rsidR="00E351EB" w:rsidRPr="00DE1E8C">
        <w:rPr>
          <w:lang w:val="en-GB"/>
        </w:rPr>
        <w:t xml:space="preserve"> vs. A</w:t>
      </w:r>
      <w:r w:rsidR="00541D19" w:rsidRPr="00DE1E8C">
        <w:rPr>
          <w:lang w:val="en-GB"/>
        </w:rPr>
        <w:t>lzheimer’s disease</w:t>
      </w:r>
      <w:r w:rsidR="00E351EB" w:rsidRPr="00DE1E8C">
        <w:rPr>
          <w:lang w:val="en-GB"/>
        </w:rPr>
        <w:t xml:space="preserve">: </w:t>
      </w:r>
      <w:r w:rsidR="00E351EB" w:rsidRPr="00DE1E8C">
        <w:rPr>
          <w:i/>
          <w:lang w:val="en-GB"/>
        </w:rPr>
        <w:t>p</w:t>
      </w:r>
      <w:r w:rsidR="00E351EB" w:rsidRPr="00DE1E8C">
        <w:rPr>
          <w:vertAlign w:val="subscript"/>
          <w:lang w:val="en-GB"/>
        </w:rPr>
        <w:t xml:space="preserve">adjusted </w:t>
      </w:r>
      <w:r w:rsidR="00E351EB" w:rsidRPr="00DE1E8C">
        <w:rPr>
          <w:lang w:val="en-GB"/>
        </w:rPr>
        <w:t xml:space="preserve">= </w:t>
      </w:r>
      <w:r w:rsidR="005450EE" w:rsidRPr="00DE1E8C">
        <w:rPr>
          <w:lang w:val="en-GB"/>
        </w:rPr>
        <w:t>0.2</w:t>
      </w:r>
      <w:r w:rsidR="005D6C91" w:rsidRPr="00DE1E8C">
        <w:rPr>
          <w:lang w:val="en-GB"/>
        </w:rPr>
        <w:t>21</w:t>
      </w:r>
      <w:r w:rsidR="00E351EB" w:rsidRPr="00DE1E8C">
        <w:rPr>
          <w:lang w:val="en-GB"/>
        </w:rPr>
        <w:t xml:space="preserve">; </w:t>
      </w:r>
      <w:r w:rsidR="00541D19" w:rsidRPr="00DE1E8C">
        <w:rPr>
          <w:lang w:val="en-GB"/>
        </w:rPr>
        <w:t>Alzheimer’s disease</w:t>
      </w:r>
      <w:r w:rsidR="00E351EB" w:rsidRPr="00DE1E8C">
        <w:rPr>
          <w:lang w:val="en-GB"/>
        </w:rPr>
        <w:t xml:space="preserve"> vs. controls </w:t>
      </w:r>
      <w:r w:rsidR="00E351EB" w:rsidRPr="00DE1E8C">
        <w:rPr>
          <w:i/>
          <w:lang w:val="en-GB"/>
        </w:rPr>
        <w:t>p</w:t>
      </w:r>
      <w:r w:rsidR="00E351EB" w:rsidRPr="00DE1E8C">
        <w:rPr>
          <w:vertAlign w:val="subscript"/>
          <w:lang w:val="en-GB"/>
        </w:rPr>
        <w:t xml:space="preserve">adjusted </w:t>
      </w:r>
      <w:r w:rsidR="00E351EB" w:rsidRPr="00DE1E8C">
        <w:rPr>
          <w:lang w:val="en-GB"/>
        </w:rPr>
        <w:t xml:space="preserve">= </w:t>
      </w:r>
      <w:r w:rsidR="005450EE" w:rsidRPr="00DE1E8C">
        <w:rPr>
          <w:lang w:val="en-GB"/>
        </w:rPr>
        <w:t>0.</w:t>
      </w:r>
      <w:r w:rsidR="003904D6" w:rsidRPr="00DE1E8C">
        <w:rPr>
          <w:lang w:val="en-GB"/>
        </w:rPr>
        <w:t>773</w:t>
      </w:r>
      <w:r w:rsidR="004C7B38" w:rsidRPr="00DE1E8C">
        <w:rPr>
          <w:lang w:val="en-GB"/>
        </w:rPr>
        <w:t xml:space="preserve">]; </w:t>
      </w:r>
      <w:r w:rsidR="00EF7489" w:rsidRPr="00DE1E8C">
        <w:rPr>
          <w:lang w:val="en-GB"/>
        </w:rPr>
        <w:t xml:space="preserve">for the incongruent-EASY condition the </w:t>
      </w:r>
      <w:r w:rsidR="00484686" w:rsidRPr="00DE1E8C">
        <w:rPr>
          <w:lang w:val="en-GB"/>
        </w:rPr>
        <w:t>Lewy body dementia</w:t>
      </w:r>
      <w:r w:rsidR="00EF7489" w:rsidRPr="00DE1E8C">
        <w:rPr>
          <w:lang w:val="en-GB"/>
        </w:rPr>
        <w:t xml:space="preserve"> group had significantly fewer correct responses than controls [</w:t>
      </w:r>
      <w:r w:rsidR="00EF7489" w:rsidRPr="00DE1E8C">
        <w:rPr>
          <w:i/>
          <w:lang w:val="en-GB"/>
        </w:rPr>
        <w:t>p</w:t>
      </w:r>
      <w:r w:rsidR="00EF7489" w:rsidRPr="00DE1E8C">
        <w:rPr>
          <w:vertAlign w:val="subscript"/>
          <w:lang w:val="en-GB"/>
        </w:rPr>
        <w:t xml:space="preserve">adjusted </w:t>
      </w:r>
      <w:r w:rsidR="00EF7489" w:rsidRPr="00DE1E8C">
        <w:rPr>
          <w:lang w:val="en-GB"/>
        </w:rPr>
        <w:t xml:space="preserve">&lt; </w:t>
      </w:r>
      <w:r w:rsidR="0001392F" w:rsidRPr="00DE1E8C">
        <w:rPr>
          <w:lang w:val="en-GB"/>
        </w:rPr>
        <w:t>0.0</w:t>
      </w:r>
      <w:r w:rsidR="003E4271" w:rsidRPr="00DE1E8C">
        <w:rPr>
          <w:lang w:val="en-GB"/>
        </w:rPr>
        <w:t>0</w:t>
      </w:r>
      <w:r w:rsidR="0001392F" w:rsidRPr="00DE1E8C">
        <w:rPr>
          <w:lang w:val="en-GB"/>
        </w:rPr>
        <w:t>1</w:t>
      </w:r>
      <w:r w:rsidR="00EF7489" w:rsidRPr="00DE1E8C">
        <w:rPr>
          <w:lang w:val="en-GB"/>
        </w:rPr>
        <w:t xml:space="preserve">; </w:t>
      </w:r>
      <w:r w:rsidR="00484686" w:rsidRPr="00DE1E8C">
        <w:rPr>
          <w:lang w:val="en-GB"/>
        </w:rPr>
        <w:t>Lewy body dementia</w:t>
      </w:r>
      <w:r w:rsidR="00EF7489" w:rsidRPr="00DE1E8C">
        <w:rPr>
          <w:lang w:val="en-GB"/>
        </w:rPr>
        <w:t xml:space="preserve"> vs. </w:t>
      </w:r>
      <w:r w:rsidR="00541D19" w:rsidRPr="00DE1E8C">
        <w:rPr>
          <w:lang w:val="en-GB"/>
        </w:rPr>
        <w:t>Alzheimer’s disease</w:t>
      </w:r>
      <w:r w:rsidR="00EF7489" w:rsidRPr="00DE1E8C">
        <w:rPr>
          <w:lang w:val="en-GB"/>
        </w:rPr>
        <w:t xml:space="preserve">: </w:t>
      </w:r>
      <w:r w:rsidR="00EF7489" w:rsidRPr="00DE1E8C">
        <w:rPr>
          <w:i/>
          <w:lang w:val="en-GB"/>
        </w:rPr>
        <w:t>p</w:t>
      </w:r>
      <w:r w:rsidR="00EF7489" w:rsidRPr="00DE1E8C">
        <w:rPr>
          <w:vertAlign w:val="subscript"/>
          <w:lang w:val="en-GB"/>
        </w:rPr>
        <w:t xml:space="preserve">adjusted </w:t>
      </w:r>
      <w:r w:rsidR="00EF7489" w:rsidRPr="00DE1E8C">
        <w:rPr>
          <w:lang w:val="en-GB"/>
        </w:rPr>
        <w:t xml:space="preserve">= </w:t>
      </w:r>
      <w:r w:rsidR="0001392F" w:rsidRPr="00DE1E8C">
        <w:rPr>
          <w:lang w:val="en-GB"/>
        </w:rPr>
        <w:t>0.</w:t>
      </w:r>
      <w:r w:rsidR="00C5515A" w:rsidRPr="00DE1E8C">
        <w:rPr>
          <w:lang w:val="en-GB"/>
        </w:rPr>
        <w:t>198</w:t>
      </w:r>
      <w:r w:rsidR="00EF7489" w:rsidRPr="00DE1E8C">
        <w:rPr>
          <w:lang w:val="en-GB"/>
        </w:rPr>
        <w:t xml:space="preserve">; </w:t>
      </w:r>
      <w:r w:rsidR="00541D19" w:rsidRPr="00DE1E8C">
        <w:rPr>
          <w:lang w:val="en-GB"/>
        </w:rPr>
        <w:t>Alzheimer’s disease</w:t>
      </w:r>
      <w:r w:rsidR="00EF7489" w:rsidRPr="00DE1E8C">
        <w:rPr>
          <w:lang w:val="en-GB"/>
        </w:rPr>
        <w:t xml:space="preserve"> vs. controls </w:t>
      </w:r>
      <w:r w:rsidR="00EF7489" w:rsidRPr="00DE1E8C">
        <w:rPr>
          <w:i/>
          <w:lang w:val="en-GB"/>
        </w:rPr>
        <w:t>p</w:t>
      </w:r>
      <w:r w:rsidR="00EF7489" w:rsidRPr="00DE1E8C">
        <w:rPr>
          <w:vertAlign w:val="subscript"/>
          <w:lang w:val="en-GB"/>
        </w:rPr>
        <w:t xml:space="preserve">adjusted </w:t>
      </w:r>
      <w:r w:rsidR="00EF7489" w:rsidRPr="00DE1E8C">
        <w:rPr>
          <w:lang w:val="en-GB"/>
        </w:rPr>
        <w:t xml:space="preserve">= </w:t>
      </w:r>
      <w:r w:rsidR="0001392F" w:rsidRPr="00DE1E8C">
        <w:rPr>
          <w:lang w:val="en-GB"/>
        </w:rPr>
        <w:t>0.</w:t>
      </w:r>
      <w:r w:rsidR="00215BF2" w:rsidRPr="00DE1E8C">
        <w:rPr>
          <w:lang w:val="en-GB"/>
        </w:rPr>
        <w:t>099</w:t>
      </w:r>
      <w:r w:rsidR="00EF7489" w:rsidRPr="00DE1E8C">
        <w:rPr>
          <w:lang w:val="en-GB"/>
        </w:rPr>
        <w:t>];</w:t>
      </w:r>
      <w:r w:rsidR="00F44A77" w:rsidRPr="00DE1E8C">
        <w:rPr>
          <w:lang w:val="en-GB"/>
        </w:rPr>
        <w:t xml:space="preserve"> </w:t>
      </w:r>
      <w:r w:rsidR="007C25D6" w:rsidRPr="00DE1E8C">
        <w:rPr>
          <w:lang w:val="en-GB"/>
        </w:rPr>
        <w:t xml:space="preserve">and </w:t>
      </w:r>
      <w:r w:rsidR="00846AC6" w:rsidRPr="00DE1E8C">
        <w:rPr>
          <w:lang w:val="en-GB"/>
        </w:rPr>
        <w:t xml:space="preserve">for the incongruent-HARD condition the </w:t>
      </w:r>
      <w:r w:rsidR="00484686" w:rsidRPr="00DE1E8C">
        <w:rPr>
          <w:lang w:val="en-GB"/>
        </w:rPr>
        <w:t>Lewy body dementia</w:t>
      </w:r>
      <w:r w:rsidR="00846AC6" w:rsidRPr="00DE1E8C">
        <w:rPr>
          <w:lang w:val="en-GB"/>
        </w:rPr>
        <w:t xml:space="preserve"> group had significantly fewer correct responses than controls [</w:t>
      </w:r>
      <w:r w:rsidR="00846AC6" w:rsidRPr="00DE1E8C">
        <w:rPr>
          <w:i/>
          <w:lang w:val="en-GB"/>
        </w:rPr>
        <w:t>p</w:t>
      </w:r>
      <w:r w:rsidR="00846AC6" w:rsidRPr="00DE1E8C">
        <w:rPr>
          <w:vertAlign w:val="subscript"/>
          <w:lang w:val="en-GB"/>
        </w:rPr>
        <w:t xml:space="preserve">adjusted </w:t>
      </w:r>
      <w:r w:rsidR="00846AC6" w:rsidRPr="00DE1E8C">
        <w:rPr>
          <w:lang w:val="en-GB"/>
        </w:rPr>
        <w:t xml:space="preserve">&lt; </w:t>
      </w:r>
      <w:r w:rsidR="00A41AD5" w:rsidRPr="00DE1E8C">
        <w:rPr>
          <w:lang w:val="en-GB"/>
        </w:rPr>
        <w:t>0.001</w:t>
      </w:r>
      <w:r w:rsidR="00846AC6" w:rsidRPr="00DE1E8C">
        <w:rPr>
          <w:lang w:val="en-GB"/>
        </w:rPr>
        <w:t xml:space="preserve">; </w:t>
      </w:r>
      <w:r w:rsidR="00484686" w:rsidRPr="00DE1E8C">
        <w:rPr>
          <w:lang w:val="en-GB"/>
        </w:rPr>
        <w:t>Lewy body dementia</w:t>
      </w:r>
      <w:r w:rsidR="00846AC6" w:rsidRPr="00DE1E8C">
        <w:rPr>
          <w:lang w:val="en-GB"/>
        </w:rPr>
        <w:t xml:space="preserve"> vs. </w:t>
      </w:r>
      <w:r w:rsidR="00541D19" w:rsidRPr="00DE1E8C">
        <w:rPr>
          <w:lang w:val="en-GB"/>
        </w:rPr>
        <w:t>Alzheimer’s disease</w:t>
      </w:r>
      <w:r w:rsidR="00846AC6" w:rsidRPr="00DE1E8C">
        <w:rPr>
          <w:lang w:val="en-GB"/>
        </w:rPr>
        <w:t xml:space="preserve">: </w:t>
      </w:r>
      <w:r w:rsidR="00846AC6" w:rsidRPr="00DE1E8C">
        <w:rPr>
          <w:i/>
          <w:lang w:val="en-GB"/>
        </w:rPr>
        <w:t>p</w:t>
      </w:r>
      <w:r w:rsidR="00846AC6" w:rsidRPr="00DE1E8C">
        <w:rPr>
          <w:vertAlign w:val="subscript"/>
          <w:lang w:val="en-GB"/>
        </w:rPr>
        <w:t xml:space="preserve">adjusted </w:t>
      </w:r>
      <w:r w:rsidR="00846AC6" w:rsidRPr="00DE1E8C">
        <w:rPr>
          <w:lang w:val="en-GB"/>
        </w:rPr>
        <w:t xml:space="preserve">= </w:t>
      </w:r>
      <w:r w:rsidR="00DB6679" w:rsidRPr="00DE1E8C">
        <w:rPr>
          <w:lang w:val="en-GB"/>
        </w:rPr>
        <w:t>0.</w:t>
      </w:r>
      <w:r w:rsidR="005141A4" w:rsidRPr="00DE1E8C">
        <w:rPr>
          <w:lang w:val="en-GB"/>
        </w:rPr>
        <w:t>210</w:t>
      </w:r>
      <w:r w:rsidR="00FF6E9C" w:rsidRPr="00DE1E8C">
        <w:rPr>
          <w:lang w:val="en-GB"/>
        </w:rPr>
        <w:t xml:space="preserve">] as did the </w:t>
      </w:r>
      <w:r w:rsidR="00541D19" w:rsidRPr="00DE1E8C">
        <w:rPr>
          <w:lang w:val="en-GB"/>
        </w:rPr>
        <w:t>Alzheimer’s disease</w:t>
      </w:r>
      <w:r w:rsidR="00FF6E9C" w:rsidRPr="00DE1E8C">
        <w:rPr>
          <w:lang w:val="en-GB"/>
        </w:rPr>
        <w:t xml:space="preserve"> group</w:t>
      </w:r>
      <w:r w:rsidR="00846AC6" w:rsidRPr="00DE1E8C">
        <w:rPr>
          <w:lang w:val="en-GB"/>
        </w:rPr>
        <w:t xml:space="preserve"> </w:t>
      </w:r>
      <w:r w:rsidR="00FF6E9C" w:rsidRPr="00DE1E8C">
        <w:rPr>
          <w:lang w:val="en-GB"/>
        </w:rPr>
        <w:t>[</w:t>
      </w:r>
      <w:r w:rsidR="00541D19" w:rsidRPr="00DE1E8C">
        <w:rPr>
          <w:lang w:val="en-GB"/>
        </w:rPr>
        <w:t>Alzheimer’s disease</w:t>
      </w:r>
      <w:r w:rsidR="00846AC6" w:rsidRPr="00DE1E8C">
        <w:rPr>
          <w:lang w:val="en-GB"/>
        </w:rPr>
        <w:t xml:space="preserve"> vs. controls </w:t>
      </w:r>
      <w:r w:rsidR="00846AC6" w:rsidRPr="00DE1E8C">
        <w:rPr>
          <w:i/>
          <w:lang w:val="en-GB"/>
        </w:rPr>
        <w:t>p</w:t>
      </w:r>
      <w:r w:rsidR="00846AC6" w:rsidRPr="00DE1E8C">
        <w:rPr>
          <w:vertAlign w:val="subscript"/>
          <w:lang w:val="en-GB"/>
        </w:rPr>
        <w:t xml:space="preserve">adjusted </w:t>
      </w:r>
      <w:r w:rsidR="007938D2" w:rsidRPr="00DE1E8C">
        <w:rPr>
          <w:lang w:val="en-GB"/>
        </w:rPr>
        <w:t>&lt; 0</w:t>
      </w:r>
      <w:r w:rsidR="00DB6679" w:rsidRPr="00DE1E8C">
        <w:rPr>
          <w:lang w:val="en-GB"/>
        </w:rPr>
        <w:t>.0</w:t>
      </w:r>
      <w:r w:rsidR="007938D2" w:rsidRPr="00DE1E8C">
        <w:rPr>
          <w:lang w:val="en-GB"/>
        </w:rPr>
        <w:t>5</w:t>
      </w:r>
      <w:r w:rsidR="00846AC6" w:rsidRPr="00DE1E8C">
        <w:rPr>
          <w:lang w:val="en-GB"/>
        </w:rPr>
        <w:t>]</w:t>
      </w:r>
      <w:r w:rsidR="004878B0" w:rsidRPr="00DE1E8C">
        <w:rPr>
          <w:lang w:val="en-GB"/>
        </w:rPr>
        <w:t xml:space="preserve">. </w:t>
      </w:r>
      <w:r w:rsidR="00EF7489" w:rsidRPr="00DE1E8C">
        <w:rPr>
          <w:lang w:val="en-GB"/>
        </w:rPr>
        <w:t xml:space="preserve">      </w:t>
      </w:r>
      <w:r w:rsidR="00872F84" w:rsidRPr="00DE1E8C">
        <w:rPr>
          <w:lang w:val="en-GB"/>
        </w:rPr>
        <w:t xml:space="preserve">  </w:t>
      </w:r>
      <w:r w:rsidR="00584581" w:rsidRPr="00DE1E8C">
        <w:rPr>
          <w:lang w:val="en-GB"/>
        </w:rPr>
        <w:t xml:space="preserve">  </w:t>
      </w:r>
      <w:r w:rsidR="003D558C" w:rsidRPr="00DE1E8C">
        <w:rPr>
          <w:lang w:val="en-GB"/>
        </w:rPr>
        <w:t xml:space="preserve">  </w:t>
      </w:r>
      <w:r w:rsidR="00DB617C" w:rsidRPr="00DE1E8C">
        <w:rPr>
          <w:lang w:val="en-GB"/>
        </w:rPr>
        <w:t xml:space="preserve"> </w:t>
      </w:r>
    </w:p>
    <w:p w14:paraId="34BFA2A6" w14:textId="232893AE" w:rsidR="009C3D05" w:rsidRPr="00DE1E8C" w:rsidRDefault="00ED3D3F" w:rsidP="00551517">
      <w:pPr>
        <w:spacing w:line="360" w:lineRule="auto"/>
        <w:contextualSpacing/>
        <w:jc w:val="both"/>
        <w:rPr>
          <w:i/>
          <w:lang w:val="en-GB"/>
        </w:rPr>
      </w:pPr>
      <w:r w:rsidRPr="00DE1E8C">
        <w:rPr>
          <w:i/>
          <w:lang w:val="en-GB"/>
        </w:rPr>
        <w:lastRenderedPageBreak/>
        <w:t xml:space="preserve"> </w:t>
      </w:r>
    </w:p>
    <w:p w14:paraId="55F5FBBE" w14:textId="1CC2A723" w:rsidR="00D0288B" w:rsidRPr="00DE1E8C" w:rsidRDefault="00F324C1" w:rsidP="00551517">
      <w:pPr>
        <w:spacing w:line="360" w:lineRule="auto"/>
        <w:contextualSpacing/>
        <w:jc w:val="both"/>
        <w:rPr>
          <w:b/>
          <w:lang w:val="en-GB"/>
        </w:rPr>
      </w:pPr>
      <w:r w:rsidRPr="00DE1E8C">
        <w:rPr>
          <w:noProof/>
          <w:lang w:val="en-GB"/>
        </w:rPr>
        <w:drawing>
          <wp:anchor distT="0" distB="0" distL="114300" distR="114300" simplePos="0" relativeHeight="251661312" behindDoc="0" locked="0" layoutInCell="1" allowOverlap="1" wp14:anchorId="77C7D02E" wp14:editId="7D1D5564">
            <wp:simplePos x="0" y="0"/>
            <wp:positionH relativeFrom="column">
              <wp:posOffset>3810</wp:posOffset>
            </wp:positionH>
            <wp:positionV relativeFrom="paragraph">
              <wp:posOffset>373502</wp:posOffset>
            </wp:positionV>
            <wp:extent cx="5270500" cy="2637790"/>
            <wp:effectExtent l="0" t="0" r="12700" b="3810"/>
            <wp:wrapTopAndBottom/>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70500" cy="2637790"/>
                    </a:xfrm>
                    <a:prstGeom prst="rect">
                      <a:avLst/>
                    </a:prstGeom>
                    <a:noFill/>
                    <a:ln>
                      <a:noFill/>
                    </a:ln>
                  </pic:spPr>
                </pic:pic>
              </a:graphicData>
            </a:graphic>
            <wp14:sizeRelH relativeFrom="page">
              <wp14:pctWidth>0</wp14:pctWidth>
            </wp14:sizeRelH>
            <wp14:sizeRelV relativeFrom="page">
              <wp14:pctHeight>0</wp14:pctHeight>
            </wp14:sizeRelV>
          </wp:anchor>
        </w:drawing>
      </w:r>
      <w:r w:rsidR="00CE3541" w:rsidRPr="00DE1E8C">
        <w:rPr>
          <w:b/>
          <w:lang w:val="en-GB"/>
        </w:rPr>
        <w:t>Figure 2</w:t>
      </w:r>
      <w:r w:rsidR="00D0288B" w:rsidRPr="00DE1E8C">
        <w:rPr>
          <w:b/>
          <w:lang w:val="en-GB"/>
        </w:rPr>
        <w:t>.</w:t>
      </w:r>
      <w:r w:rsidR="00473172" w:rsidRPr="00DE1E8C">
        <w:rPr>
          <w:b/>
          <w:lang w:val="en-GB"/>
        </w:rPr>
        <w:t xml:space="preserve"> </w:t>
      </w:r>
      <w:r w:rsidR="007439D7" w:rsidRPr="00DE1E8C">
        <w:rPr>
          <w:b/>
          <w:lang w:val="en-GB"/>
        </w:rPr>
        <w:t>Attention Network Task</w:t>
      </w:r>
      <w:r w:rsidR="00473172" w:rsidRPr="00DE1E8C">
        <w:rPr>
          <w:b/>
          <w:lang w:val="en-GB"/>
        </w:rPr>
        <w:t xml:space="preserve"> behavioural results</w:t>
      </w:r>
    </w:p>
    <w:p w14:paraId="2C94A5C9" w14:textId="77777777" w:rsidR="00F324C1" w:rsidRPr="00DE1E8C" w:rsidRDefault="00F324C1" w:rsidP="00551517">
      <w:pPr>
        <w:spacing w:line="360" w:lineRule="auto"/>
        <w:contextualSpacing/>
        <w:jc w:val="both"/>
        <w:rPr>
          <w:b/>
          <w:i/>
          <w:sz w:val="20"/>
          <w:szCs w:val="20"/>
          <w:lang w:val="en-GB"/>
        </w:rPr>
      </w:pPr>
    </w:p>
    <w:p w14:paraId="12ADA1C1" w14:textId="1240B159" w:rsidR="00365160" w:rsidRPr="00DE1E8C" w:rsidRDefault="0068131E" w:rsidP="00365160">
      <w:pPr>
        <w:contextualSpacing/>
        <w:jc w:val="both"/>
        <w:rPr>
          <w:sz w:val="20"/>
          <w:szCs w:val="20"/>
          <w:lang w:val="en-GB"/>
        </w:rPr>
      </w:pPr>
      <w:r w:rsidRPr="00DE1E8C">
        <w:rPr>
          <w:b/>
          <w:i/>
          <w:sz w:val="20"/>
          <w:szCs w:val="20"/>
          <w:lang w:val="en-GB"/>
        </w:rPr>
        <w:t>Fig</w:t>
      </w:r>
      <w:r w:rsidR="00DB6E7F" w:rsidRPr="00DE1E8C">
        <w:rPr>
          <w:b/>
          <w:i/>
          <w:sz w:val="20"/>
          <w:szCs w:val="20"/>
          <w:lang w:val="en-GB"/>
        </w:rPr>
        <w:t xml:space="preserve">ure 2 </w:t>
      </w:r>
      <w:r w:rsidR="00894445" w:rsidRPr="00DE1E8C">
        <w:rPr>
          <w:b/>
          <w:i/>
          <w:sz w:val="20"/>
          <w:szCs w:val="20"/>
          <w:lang w:val="en-GB"/>
        </w:rPr>
        <w:t>–</w:t>
      </w:r>
      <w:r w:rsidR="0035701B" w:rsidRPr="00DE1E8C">
        <w:rPr>
          <w:b/>
          <w:i/>
          <w:sz w:val="20"/>
          <w:szCs w:val="20"/>
          <w:lang w:val="en-GB"/>
        </w:rPr>
        <w:t xml:space="preserve"> </w:t>
      </w:r>
      <w:r w:rsidR="0030372A" w:rsidRPr="00DE1E8C">
        <w:rPr>
          <w:sz w:val="20"/>
          <w:szCs w:val="20"/>
          <w:lang w:val="en-GB"/>
        </w:rPr>
        <w:t xml:space="preserve">Left panel: Percentage of </w:t>
      </w:r>
      <w:r w:rsidR="00483CEF" w:rsidRPr="00DE1E8C">
        <w:rPr>
          <w:sz w:val="20"/>
          <w:szCs w:val="20"/>
          <w:lang w:val="en-GB"/>
        </w:rPr>
        <w:t>correct responses</w:t>
      </w:r>
      <w:r w:rsidR="00473172" w:rsidRPr="00DE1E8C">
        <w:rPr>
          <w:sz w:val="20"/>
          <w:szCs w:val="20"/>
          <w:lang w:val="en-GB"/>
        </w:rPr>
        <w:t xml:space="preserve"> across the three </w:t>
      </w:r>
      <w:r w:rsidR="00640F16" w:rsidRPr="00DE1E8C">
        <w:rPr>
          <w:sz w:val="20"/>
          <w:szCs w:val="20"/>
          <w:lang w:val="en-GB"/>
        </w:rPr>
        <w:t>groups [F(2, 67) = 13.76, p &lt; 0.001]</w:t>
      </w:r>
      <w:r w:rsidR="002E73AE" w:rsidRPr="00DE1E8C">
        <w:rPr>
          <w:sz w:val="20"/>
          <w:szCs w:val="20"/>
          <w:lang w:val="en-GB"/>
        </w:rPr>
        <w:t>;</w:t>
      </w:r>
      <w:r w:rsidR="00640F16" w:rsidRPr="00DE1E8C">
        <w:rPr>
          <w:sz w:val="20"/>
          <w:szCs w:val="20"/>
          <w:lang w:val="en-GB"/>
        </w:rPr>
        <w:t xml:space="preserve"> </w:t>
      </w:r>
      <w:r w:rsidR="002E73AE" w:rsidRPr="00DE1E8C">
        <w:rPr>
          <w:sz w:val="20"/>
          <w:szCs w:val="20"/>
          <w:lang w:val="en-GB"/>
        </w:rPr>
        <w:t xml:space="preserve">Right panel: Distributions of reaction times across the three </w:t>
      </w:r>
      <w:r w:rsidR="00640F16" w:rsidRPr="00DE1E8C">
        <w:rPr>
          <w:sz w:val="20"/>
          <w:szCs w:val="20"/>
          <w:lang w:val="en-GB"/>
        </w:rPr>
        <w:t xml:space="preserve">groups </w:t>
      </w:r>
      <w:r w:rsidR="008061E0" w:rsidRPr="00DE1E8C">
        <w:rPr>
          <w:sz w:val="20"/>
          <w:szCs w:val="20"/>
          <w:lang w:val="en-GB"/>
        </w:rPr>
        <w:t>[F(2, 67) = 28.50, p &lt; 0.001]</w:t>
      </w:r>
      <w:r w:rsidR="002E73AE" w:rsidRPr="00DE1E8C">
        <w:rPr>
          <w:sz w:val="20"/>
          <w:szCs w:val="20"/>
          <w:lang w:val="en-GB"/>
        </w:rPr>
        <w:t>.</w:t>
      </w:r>
      <w:r w:rsidR="008061E0" w:rsidRPr="00DE1E8C">
        <w:rPr>
          <w:sz w:val="20"/>
          <w:szCs w:val="20"/>
          <w:lang w:val="en-GB"/>
        </w:rPr>
        <w:t xml:space="preserve"> </w:t>
      </w:r>
      <w:r w:rsidR="00365160" w:rsidRPr="00DE1E8C">
        <w:rPr>
          <w:sz w:val="20"/>
          <w:szCs w:val="20"/>
          <w:lang w:val="en-GB"/>
        </w:rPr>
        <w:t xml:space="preserve">N = 23 Controls, 16 Alzheimer’s disease (AD), 31 Lewy body disease (LBD). </w:t>
      </w:r>
    </w:p>
    <w:p w14:paraId="586A18FF" w14:textId="77777777" w:rsidR="0030372A" w:rsidRPr="00DE1E8C" w:rsidRDefault="0030372A" w:rsidP="00551517">
      <w:pPr>
        <w:spacing w:line="360" w:lineRule="auto"/>
        <w:contextualSpacing/>
        <w:jc w:val="both"/>
        <w:rPr>
          <w:lang w:val="en-GB"/>
        </w:rPr>
      </w:pPr>
    </w:p>
    <w:p w14:paraId="794DE2D9" w14:textId="38E8E767" w:rsidR="0030372A" w:rsidRPr="00DE1E8C" w:rsidRDefault="008A581B" w:rsidP="00551517">
      <w:pPr>
        <w:spacing w:line="360" w:lineRule="auto"/>
        <w:contextualSpacing/>
        <w:jc w:val="both"/>
        <w:rPr>
          <w:i/>
          <w:lang w:val="en-GB"/>
        </w:rPr>
      </w:pPr>
      <w:r w:rsidRPr="00DE1E8C">
        <w:rPr>
          <w:i/>
          <w:lang w:val="en-GB"/>
        </w:rPr>
        <w:t>Reaction time</w:t>
      </w:r>
    </w:p>
    <w:p w14:paraId="1D0637F3" w14:textId="024E7806" w:rsidR="002C53A3" w:rsidRPr="00DE1E8C" w:rsidRDefault="008A581B" w:rsidP="00551517">
      <w:pPr>
        <w:spacing w:line="360" w:lineRule="auto"/>
        <w:contextualSpacing/>
        <w:jc w:val="both"/>
        <w:rPr>
          <w:lang w:val="en-GB"/>
        </w:rPr>
      </w:pPr>
      <w:r w:rsidRPr="00DE1E8C">
        <w:rPr>
          <w:lang w:val="en-GB"/>
        </w:rPr>
        <w:t>Fig</w:t>
      </w:r>
      <w:r w:rsidR="00FA11A4" w:rsidRPr="00DE1E8C">
        <w:rPr>
          <w:lang w:val="en-GB"/>
        </w:rPr>
        <w:t>.</w:t>
      </w:r>
      <w:r w:rsidRPr="00DE1E8C">
        <w:rPr>
          <w:lang w:val="en-GB"/>
        </w:rPr>
        <w:t xml:space="preserve"> 2</w:t>
      </w:r>
      <w:r w:rsidR="008071A5" w:rsidRPr="00DE1E8C">
        <w:rPr>
          <w:lang w:val="en-GB"/>
        </w:rPr>
        <w:t xml:space="preserve"> (</w:t>
      </w:r>
      <w:r w:rsidR="00A177BE" w:rsidRPr="00DE1E8C">
        <w:rPr>
          <w:lang w:val="en-GB"/>
        </w:rPr>
        <w:t>right panel</w:t>
      </w:r>
      <w:r w:rsidR="008071A5" w:rsidRPr="00DE1E8C">
        <w:rPr>
          <w:lang w:val="en-GB"/>
        </w:rPr>
        <w:t>)</w:t>
      </w:r>
      <w:r w:rsidR="00480C9C" w:rsidRPr="00DE1E8C">
        <w:rPr>
          <w:lang w:val="en-GB"/>
        </w:rPr>
        <w:t xml:space="preserve"> shows the distribution of reaction times across the groups.</w:t>
      </w:r>
      <w:r w:rsidR="002C53A3" w:rsidRPr="00DE1E8C">
        <w:rPr>
          <w:lang w:val="en-GB"/>
        </w:rPr>
        <w:t xml:space="preserve"> Reaction times were not normally distributed, with positive skew and </w:t>
      </w:r>
      <w:r w:rsidR="00BE2BB9" w:rsidRPr="00DE1E8C">
        <w:rPr>
          <w:lang w:val="en-GB"/>
        </w:rPr>
        <w:t xml:space="preserve">slight </w:t>
      </w:r>
      <w:r w:rsidR="002C53A3" w:rsidRPr="00DE1E8C">
        <w:rPr>
          <w:lang w:val="en-GB"/>
        </w:rPr>
        <w:t>leptokurtosis, but satisfied normality tests following a log</w:t>
      </w:r>
      <w:r w:rsidR="002C53A3" w:rsidRPr="00DE1E8C">
        <w:rPr>
          <w:vertAlign w:val="subscript"/>
          <w:lang w:val="en-GB"/>
        </w:rPr>
        <w:t>10</w:t>
      </w:r>
      <w:r w:rsidR="004A730F" w:rsidRPr="00DE1E8C">
        <w:rPr>
          <w:lang w:val="en-GB"/>
        </w:rPr>
        <w:t xml:space="preserve"> </w:t>
      </w:r>
      <w:r w:rsidR="002C53A3" w:rsidRPr="00DE1E8C">
        <w:rPr>
          <w:lang w:val="en-GB"/>
        </w:rPr>
        <w:t>transformation</w:t>
      </w:r>
      <w:r w:rsidR="00872C65" w:rsidRPr="00DE1E8C">
        <w:rPr>
          <w:lang w:val="en-GB"/>
        </w:rPr>
        <w:t>.</w:t>
      </w:r>
      <w:r w:rsidR="00610A9A" w:rsidRPr="00DE1E8C">
        <w:rPr>
          <w:lang w:val="en-GB"/>
        </w:rPr>
        <w:t xml:space="preserve"> </w:t>
      </w:r>
    </w:p>
    <w:p w14:paraId="6DFAFF95" w14:textId="77777777" w:rsidR="002C53A3" w:rsidRPr="00DE1E8C" w:rsidRDefault="002C53A3" w:rsidP="00551517">
      <w:pPr>
        <w:spacing w:line="360" w:lineRule="auto"/>
        <w:contextualSpacing/>
        <w:jc w:val="both"/>
        <w:rPr>
          <w:lang w:val="en-GB"/>
        </w:rPr>
      </w:pPr>
    </w:p>
    <w:p w14:paraId="3654D55F" w14:textId="473E62D0" w:rsidR="00635032" w:rsidRPr="00DE1E8C" w:rsidRDefault="0098146F" w:rsidP="00551517">
      <w:pPr>
        <w:spacing w:line="360" w:lineRule="auto"/>
        <w:contextualSpacing/>
        <w:jc w:val="both"/>
        <w:rPr>
          <w:lang w:val="en-GB"/>
        </w:rPr>
      </w:pPr>
      <w:r w:rsidRPr="00DE1E8C">
        <w:rPr>
          <w:lang w:val="en-GB"/>
        </w:rPr>
        <w:t xml:space="preserve">Results of the mixed model ANOVA showed a main effect of group [F(2, 67) = 28.50, </w:t>
      </w:r>
      <w:r w:rsidRPr="00DE1E8C">
        <w:rPr>
          <w:i/>
          <w:lang w:val="en-GB"/>
        </w:rPr>
        <w:t>p</w:t>
      </w:r>
      <w:r w:rsidRPr="00DE1E8C">
        <w:rPr>
          <w:lang w:val="en-GB"/>
        </w:rPr>
        <w:t xml:space="preserve"> &lt; 0.001]; post hoc comparisons indicated that the </w:t>
      </w:r>
      <w:r w:rsidR="00354ECB" w:rsidRPr="00DE1E8C">
        <w:rPr>
          <w:lang w:val="en-GB"/>
        </w:rPr>
        <w:t>Lewy body dementia</w:t>
      </w:r>
      <w:r w:rsidR="00591A86" w:rsidRPr="00DE1E8C">
        <w:rPr>
          <w:lang w:val="en-GB"/>
        </w:rPr>
        <w:t xml:space="preserve"> group was</w:t>
      </w:r>
      <w:r w:rsidRPr="00DE1E8C">
        <w:rPr>
          <w:lang w:val="en-GB"/>
        </w:rPr>
        <w:t xml:space="preserve"> significantly </w:t>
      </w:r>
      <w:r w:rsidR="00693D2A" w:rsidRPr="00DE1E8C">
        <w:rPr>
          <w:lang w:val="en-GB"/>
        </w:rPr>
        <w:t>slower</w:t>
      </w:r>
      <w:r w:rsidRPr="00DE1E8C">
        <w:rPr>
          <w:lang w:val="en-GB"/>
        </w:rPr>
        <w:t xml:space="preserve"> </w:t>
      </w:r>
      <w:r w:rsidR="00693D2A" w:rsidRPr="00DE1E8C">
        <w:rPr>
          <w:lang w:val="en-GB"/>
        </w:rPr>
        <w:t>than</w:t>
      </w:r>
      <w:r w:rsidRPr="00DE1E8C">
        <w:rPr>
          <w:lang w:val="en-GB"/>
        </w:rPr>
        <w:t xml:space="preserve"> controls (</w:t>
      </w:r>
      <w:r w:rsidRPr="00DE1E8C">
        <w:rPr>
          <w:i/>
          <w:lang w:val="en-GB"/>
        </w:rPr>
        <w:t>p</w:t>
      </w:r>
      <w:r w:rsidRPr="00DE1E8C">
        <w:rPr>
          <w:vertAlign w:val="subscript"/>
          <w:lang w:val="en-GB"/>
        </w:rPr>
        <w:t xml:space="preserve">adjusted </w:t>
      </w:r>
      <w:r w:rsidRPr="00DE1E8C">
        <w:rPr>
          <w:lang w:val="en-GB"/>
        </w:rPr>
        <w:t xml:space="preserve">&lt;  </w:t>
      </w:r>
      <w:r w:rsidR="00002BCB" w:rsidRPr="00DE1E8C">
        <w:rPr>
          <w:lang w:val="en-GB"/>
        </w:rPr>
        <w:t>0.001</w:t>
      </w:r>
      <w:r w:rsidRPr="00DE1E8C">
        <w:rPr>
          <w:lang w:val="en-GB"/>
        </w:rPr>
        <w:t xml:space="preserve">) and </w:t>
      </w:r>
      <w:r w:rsidR="00354ECB" w:rsidRPr="00DE1E8C">
        <w:rPr>
          <w:lang w:val="en-GB"/>
        </w:rPr>
        <w:t>Alzheimer’s disease</w:t>
      </w:r>
      <w:r w:rsidRPr="00DE1E8C">
        <w:rPr>
          <w:lang w:val="en-GB"/>
        </w:rPr>
        <w:t xml:space="preserve"> (</w:t>
      </w:r>
      <w:r w:rsidRPr="00DE1E8C">
        <w:rPr>
          <w:i/>
          <w:lang w:val="en-GB"/>
        </w:rPr>
        <w:t>p</w:t>
      </w:r>
      <w:r w:rsidRPr="00DE1E8C">
        <w:rPr>
          <w:vertAlign w:val="subscript"/>
          <w:lang w:val="en-GB"/>
        </w:rPr>
        <w:t xml:space="preserve">adjusted </w:t>
      </w:r>
      <w:r w:rsidRPr="00DE1E8C">
        <w:rPr>
          <w:lang w:val="en-GB"/>
        </w:rPr>
        <w:t xml:space="preserve">&lt; </w:t>
      </w:r>
      <w:r w:rsidR="004C09FC" w:rsidRPr="00DE1E8C">
        <w:rPr>
          <w:lang w:val="en-GB"/>
        </w:rPr>
        <w:t>0.001</w:t>
      </w:r>
      <w:r w:rsidRPr="00DE1E8C">
        <w:rPr>
          <w:lang w:val="en-GB"/>
        </w:rPr>
        <w:t xml:space="preserve">), and the </w:t>
      </w:r>
      <w:r w:rsidR="00354ECB" w:rsidRPr="00DE1E8C">
        <w:rPr>
          <w:lang w:val="en-GB"/>
        </w:rPr>
        <w:t>Alzheimer’s disease</w:t>
      </w:r>
      <w:r w:rsidR="006F0D83" w:rsidRPr="00DE1E8C">
        <w:rPr>
          <w:lang w:val="en-GB"/>
        </w:rPr>
        <w:t xml:space="preserve"> group was significantly slower</w:t>
      </w:r>
      <w:r w:rsidRPr="00DE1E8C">
        <w:rPr>
          <w:lang w:val="en-GB"/>
        </w:rPr>
        <w:t xml:space="preserve"> than controls (</w:t>
      </w:r>
      <w:r w:rsidRPr="00DE1E8C">
        <w:rPr>
          <w:i/>
          <w:lang w:val="en-GB"/>
        </w:rPr>
        <w:t>p</w:t>
      </w:r>
      <w:r w:rsidRPr="00DE1E8C">
        <w:rPr>
          <w:vertAlign w:val="subscript"/>
          <w:lang w:val="en-GB"/>
        </w:rPr>
        <w:t xml:space="preserve">adjusted </w:t>
      </w:r>
      <w:r w:rsidR="00F22DE2" w:rsidRPr="00DE1E8C">
        <w:rPr>
          <w:lang w:val="en-GB"/>
        </w:rPr>
        <w:t>&lt; 0.001</w:t>
      </w:r>
      <w:r w:rsidRPr="00DE1E8C">
        <w:rPr>
          <w:lang w:val="en-GB"/>
        </w:rPr>
        <w:t>).</w:t>
      </w:r>
      <w:r w:rsidR="00693D2A" w:rsidRPr="00DE1E8C">
        <w:rPr>
          <w:lang w:val="en-GB"/>
        </w:rPr>
        <w:t xml:space="preserve"> </w:t>
      </w:r>
      <w:r w:rsidR="00EF24B2" w:rsidRPr="00DE1E8C">
        <w:rPr>
          <w:lang w:val="en-GB"/>
        </w:rPr>
        <w:t xml:space="preserve">There was also a main effect of condition [F(2, 134) = </w:t>
      </w:r>
      <w:r w:rsidR="00E57B2C" w:rsidRPr="00DE1E8C">
        <w:rPr>
          <w:lang w:val="en-GB"/>
        </w:rPr>
        <w:t>384.81</w:t>
      </w:r>
      <w:r w:rsidR="00EF24B2" w:rsidRPr="00DE1E8C">
        <w:rPr>
          <w:lang w:val="en-GB"/>
        </w:rPr>
        <w:t xml:space="preserve">, </w:t>
      </w:r>
      <w:r w:rsidR="00EF24B2" w:rsidRPr="00DE1E8C">
        <w:rPr>
          <w:i/>
          <w:lang w:val="en-GB"/>
        </w:rPr>
        <w:t>p</w:t>
      </w:r>
      <w:r w:rsidR="00EF24B2" w:rsidRPr="00DE1E8C">
        <w:rPr>
          <w:lang w:val="en-GB"/>
        </w:rPr>
        <w:t xml:space="preserve"> &lt; </w:t>
      </w:r>
      <w:r w:rsidR="002E1DDC" w:rsidRPr="00DE1E8C">
        <w:rPr>
          <w:lang w:val="en-GB"/>
        </w:rPr>
        <w:t>0.001</w:t>
      </w:r>
      <w:r w:rsidR="00EF24B2" w:rsidRPr="00DE1E8C">
        <w:rPr>
          <w:lang w:val="en-GB"/>
        </w:rPr>
        <w:t xml:space="preserve">], post hoc comparisons showed that </w:t>
      </w:r>
      <w:r w:rsidR="00782FD2" w:rsidRPr="00DE1E8C">
        <w:rPr>
          <w:lang w:val="en-GB"/>
        </w:rPr>
        <w:t>responses</w:t>
      </w:r>
      <w:r w:rsidR="00DF32ED" w:rsidRPr="00DE1E8C">
        <w:rPr>
          <w:lang w:val="en-GB"/>
        </w:rPr>
        <w:t xml:space="preserve"> in both incongruent conditions</w:t>
      </w:r>
      <w:r w:rsidR="00782FD2" w:rsidRPr="00DE1E8C">
        <w:rPr>
          <w:lang w:val="en-GB"/>
        </w:rPr>
        <w:t xml:space="preserve"> were significantly slower than in the congruent condition  </w:t>
      </w:r>
      <w:r w:rsidR="00693D2A" w:rsidRPr="00DE1E8C">
        <w:rPr>
          <w:lang w:val="en-GB"/>
        </w:rPr>
        <w:t>(</w:t>
      </w:r>
      <w:r w:rsidR="00EF24B2" w:rsidRPr="00DE1E8C">
        <w:rPr>
          <w:i/>
          <w:lang w:val="en-GB"/>
        </w:rPr>
        <w:t>p</w:t>
      </w:r>
      <w:r w:rsidR="00EF24B2" w:rsidRPr="00DE1E8C">
        <w:rPr>
          <w:vertAlign w:val="subscript"/>
          <w:lang w:val="en-GB"/>
        </w:rPr>
        <w:t>adjusted</w:t>
      </w:r>
      <w:r w:rsidR="00693D2A" w:rsidRPr="00DE1E8C">
        <w:rPr>
          <w:vertAlign w:val="subscript"/>
          <w:lang w:val="en-GB"/>
        </w:rPr>
        <w:t xml:space="preserve"> </w:t>
      </w:r>
      <w:r w:rsidR="00693D2A" w:rsidRPr="00DE1E8C">
        <w:rPr>
          <w:lang w:val="en-GB"/>
        </w:rPr>
        <w:t>values</w:t>
      </w:r>
      <w:r w:rsidR="00EF24B2" w:rsidRPr="00DE1E8C">
        <w:rPr>
          <w:vertAlign w:val="subscript"/>
          <w:lang w:val="en-GB"/>
        </w:rPr>
        <w:t xml:space="preserve"> </w:t>
      </w:r>
      <w:r w:rsidR="00EF24B2" w:rsidRPr="00DE1E8C">
        <w:rPr>
          <w:lang w:val="en-GB"/>
        </w:rPr>
        <w:t xml:space="preserve">&lt; </w:t>
      </w:r>
      <w:r w:rsidR="00693D2A" w:rsidRPr="00DE1E8C">
        <w:rPr>
          <w:lang w:val="en-GB"/>
        </w:rPr>
        <w:t xml:space="preserve">0.001); also, </w:t>
      </w:r>
      <w:r w:rsidR="00EF24B2" w:rsidRPr="00DE1E8C">
        <w:rPr>
          <w:lang w:val="en-GB"/>
        </w:rPr>
        <w:t xml:space="preserve">responses </w:t>
      </w:r>
      <w:r w:rsidR="00C10140" w:rsidRPr="00DE1E8C">
        <w:rPr>
          <w:lang w:val="en-GB"/>
        </w:rPr>
        <w:t>were slower in the HARD vs</w:t>
      </w:r>
      <w:r w:rsidR="00A3312A" w:rsidRPr="00DE1E8C">
        <w:rPr>
          <w:lang w:val="en-GB"/>
        </w:rPr>
        <w:t>.</w:t>
      </w:r>
      <w:r w:rsidR="00C10140" w:rsidRPr="00DE1E8C">
        <w:rPr>
          <w:lang w:val="en-GB"/>
        </w:rPr>
        <w:t xml:space="preserve"> EASY</w:t>
      </w:r>
      <w:r w:rsidR="00EF24B2" w:rsidRPr="00DE1E8C">
        <w:rPr>
          <w:lang w:val="en-GB"/>
        </w:rPr>
        <w:t xml:space="preserve"> incongruent conditions (</w:t>
      </w:r>
      <w:r w:rsidR="00EF24B2" w:rsidRPr="00DE1E8C">
        <w:rPr>
          <w:i/>
          <w:lang w:val="en-GB"/>
        </w:rPr>
        <w:t>p</w:t>
      </w:r>
      <w:r w:rsidR="00EF24B2" w:rsidRPr="00DE1E8C">
        <w:rPr>
          <w:vertAlign w:val="subscript"/>
          <w:lang w:val="en-GB"/>
        </w:rPr>
        <w:t xml:space="preserve">adjusted </w:t>
      </w:r>
      <w:r w:rsidR="00D82438" w:rsidRPr="00DE1E8C">
        <w:rPr>
          <w:vertAlign w:val="subscript"/>
          <w:lang w:val="en-GB"/>
        </w:rPr>
        <w:t xml:space="preserve">&lt; </w:t>
      </w:r>
      <w:r w:rsidR="00D82438" w:rsidRPr="00DE1E8C">
        <w:rPr>
          <w:lang w:val="en-GB"/>
        </w:rPr>
        <w:t>0.05</w:t>
      </w:r>
      <w:r w:rsidR="00EF24B2" w:rsidRPr="00DE1E8C">
        <w:rPr>
          <w:lang w:val="en-GB"/>
        </w:rPr>
        <w:t>).</w:t>
      </w:r>
      <w:r w:rsidR="00693D2A" w:rsidRPr="00DE1E8C">
        <w:rPr>
          <w:lang w:val="en-GB"/>
        </w:rPr>
        <w:t xml:space="preserve"> </w:t>
      </w:r>
      <w:r w:rsidR="00627865" w:rsidRPr="00DE1E8C">
        <w:rPr>
          <w:lang w:val="en-GB"/>
        </w:rPr>
        <w:t xml:space="preserve">The </w:t>
      </w:r>
      <w:r w:rsidR="00635032" w:rsidRPr="00DE1E8C">
        <w:rPr>
          <w:lang w:val="en-GB"/>
        </w:rPr>
        <w:t>group x condition interaction</w:t>
      </w:r>
      <w:r w:rsidR="00627865" w:rsidRPr="00DE1E8C">
        <w:rPr>
          <w:lang w:val="en-GB"/>
        </w:rPr>
        <w:t xml:space="preserve"> was not significant</w:t>
      </w:r>
      <w:r w:rsidR="00635032" w:rsidRPr="00DE1E8C">
        <w:rPr>
          <w:lang w:val="en-GB"/>
        </w:rPr>
        <w:t xml:space="preserve"> </w:t>
      </w:r>
      <w:r w:rsidR="003F626D" w:rsidRPr="00DE1E8C">
        <w:rPr>
          <w:lang w:val="en-GB"/>
        </w:rPr>
        <w:t>[F(4, 134</w:t>
      </w:r>
      <w:r w:rsidR="007B0706" w:rsidRPr="00DE1E8C">
        <w:rPr>
          <w:lang w:val="en-GB"/>
        </w:rPr>
        <w:t xml:space="preserve">) = </w:t>
      </w:r>
      <w:r w:rsidR="003F626D" w:rsidRPr="00DE1E8C">
        <w:rPr>
          <w:lang w:val="en-GB"/>
        </w:rPr>
        <w:t>2.28</w:t>
      </w:r>
      <w:r w:rsidR="007B0706" w:rsidRPr="00DE1E8C">
        <w:rPr>
          <w:lang w:val="en-GB"/>
        </w:rPr>
        <w:t xml:space="preserve">, </w:t>
      </w:r>
      <w:r w:rsidR="007B0706" w:rsidRPr="00DE1E8C">
        <w:rPr>
          <w:i/>
          <w:lang w:val="en-GB"/>
        </w:rPr>
        <w:t>p</w:t>
      </w:r>
      <w:r w:rsidR="003F626D" w:rsidRPr="00DE1E8C">
        <w:rPr>
          <w:lang w:val="en-GB"/>
        </w:rPr>
        <w:t xml:space="preserve"> =</w:t>
      </w:r>
      <w:r w:rsidR="007B0706" w:rsidRPr="00DE1E8C">
        <w:rPr>
          <w:lang w:val="en-GB"/>
        </w:rPr>
        <w:t xml:space="preserve"> </w:t>
      </w:r>
      <w:r w:rsidR="003F626D" w:rsidRPr="00DE1E8C">
        <w:rPr>
          <w:lang w:val="en-GB"/>
        </w:rPr>
        <w:t>0.06</w:t>
      </w:r>
      <w:r w:rsidR="007B0706" w:rsidRPr="00DE1E8C">
        <w:rPr>
          <w:lang w:val="en-GB"/>
        </w:rPr>
        <w:t>]</w:t>
      </w:r>
      <w:r w:rsidR="00053030" w:rsidRPr="00DE1E8C">
        <w:rPr>
          <w:lang w:val="en-GB"/>
        </w:rPr>
        <w:t>.</w:t>
      </w:r>
    </w:p>
    <w:p w14:paraId="15ED4AE5" w14:textId="77777777" w:rsidR="001A6225" w:rsidRPr="00DE1E8C" w:rsidRDefault="001A6225" w:rsidP="00551517">
      <w:pPr>
        <w:spacing w:line="360" w:lineRule="auto"/>
        <w:contextualSpacing/>
        <w:jc w:val="both"/>
        <w:rPr>
          <w:b/>
          <w:i/>
          <w:lang w:val="en-GB"/>
        </w:rPr>
      </w:pPr>
    </w:p>
    <w:p w14:paraId="560196B7" w14:textId="77777777" w:rsidR="00FB6669" w:rsidRPr="00DE1E8C" w:rsidRDefault="00FB6669" w:rsidP="00551517">
      <w:pPr>
        <w:spacing w:line="360" w:lineRule="auto"/>
        <w:contextualSpacing/>
        <w:jc w:val="both"/>
        <w:rPr>
          <w:b/>
          <w:i/>
          <w:lang w:val="en-GB"/>
        </w:rPr>
      </w:pPr>
      <w:r w:rsidRPr="00DE1E8C">
        <w:rPr>
          <w:b/>
          <w:i/>
          <w:lang w:val="en-GB"/>
        </w:rPr>
        <w:t>Hierarchical drift-diffusion model fit</w:t>
      </w:r>
    </w:p>
    <w:p w14:paraId="7C833D97" w14:textId="0A74F86F" w:rsidR="0024146F" w:rsidRPr="00DE1E8C" w:rsidRDefault="00B54365" w:rsidP="00551517">
      <w:pPr>
        <w:spacing w:line="360" w:lineRule="auto"/>
        <w:contextualSpacing/>
        <w:jc w:val="both"/>
        <w:rPr>
          <w:lang w:val="en-GB"/>
        </w:rPr>
      </w:pPr>
      <w:r w:rsidRPr="00DE1E8C">
        <w:rPr>
          <w:lang w:val="en-GB"/>
        </w:rPr>
        <w:t>All</w:t>
      </w:r>
      <w:r w:rsidR="0024146F" w:rsidRPr="00DE1E8C">
        <w:rPr>
          <w:lang w:val="en-GB"/>
        </w:rPr>
        <w:t xml:space="preserve"> three models showed good convergence, based on</w:t>
      </w:r>
      <w:r w:rsidRPr="00DE1E8C">
        <w:rPr>
          <w:lang w:val="en-GB"/>
        </w:rPr>
        <w:t xml:space="preserve"> visually inspected chains</w:t>
      </w:r>
      <w:r w:rsidR="001D7D1D" w:rsidRPr="00DE1E8C">
        <w:rPr>
          <w:lang w:val="en-GB"/>
        </w:rPr>
        <w:t xml:space="preserve"> and </w:t>
      </w:r>
      <w:r w:rsidR="00384283" w:rsidRPr="00DE1E8C">
        <w:rPr>
          <w:lang w:val="en-GB"/>
        </w:rPr>
        <w:t xml:space="preserve">all </w:t>
      </w:r>
      <w:r w:rsidR="0024146F" w:rsidRPr="00DE1E8C">
        <w:rPr>
          <w:lang w:val="en-GB"/>
        </w:rPr>
        <w:t>R-ha</w:t>
      </w:r>
      <w:r w:rsidRPr="00DE1E8C">
        <w:rPr>
          <w:lang w:val="en-GB"/>
        </w:rPr>
        <w:t xml:space="preserve">t values </w:t>
      </w:r>
      <w:r w:rsidR="00384283" w:rsidRPr="00DE1E8C">
        <w:rPr>
          <w:lang w:val="en-GB"/>
        </w:rPr>
        <w:t xml:space="preserve">&lt; </w:t>
      </w:r>
      <w:r w:rsidRPr="00DE1E8C">
        <w:rPr>
          <w:lang w:val="en-GB"/>
        </w:rPr>
        <w:t>1.</w:t>
      </w:r>
      <w:r w:rsidR="00384283" w:rsidRPr="00DE1E8C">
        <w:rPr>
          <w:lang w:val="en-GB"/>
        </w:rPr>
        <w:t>1</w:t>
      </w:r>
      <w:r w:rsidR="0024146F" w:rsidRPr="00DE1E8C">
        <w:rPr>
          <w:lang w:val="en-GB"/>
        </w:rPr>
        <w:t xml:space="preserve">. </w:t>
      </w:r>
      <w:r w:rsidRPr="00DE1E8C">
        <w:rPr>
          <w:lang w:val="en-GB"/>
        </w:rPr>
        <w:t xml:space="preserve">Based on the DIC values, the best fitting model was model three </w:t>
      </w:r>
      <w:r w:rsidRPr="00DE1E8C">
        <w:rPr>
          <w:lang w:val="en-GB"/>
        </w:rPr>
        <w:lastRenderedPageBreak/>
        <w:t xml:space="preserve">where both </w:t>
      </w:r>
      <w:r w:rsidR="0024146F" w:rsidRPr="00DE1E8C">
        <w:rPr>
          <w:i/>
          <w:lang w:val="en-GB"/>
        </w:rPr>
        <w:t>v</w:t>
      </w:r>
      <w:r w:rsidR="0024146F" w:rsidRPr="00DE1E8C">
        <w:rPr>
          <w:lang w:val="en-GB"/>
        </w:rPr>
        <w:t xml:space="preserve"> and</w:t>
      </w:r>
      <w:r w:rsidR="0024146F" w:rsidRPr="00DE1E8C">
        <w:rPr>
          <w:i/>
          <w:lang w:val="en-GB"/>
        </w:rPr>
        <w:t xml:space="preserve"> a</w:t>
      </w:r>
      <w:r w:rsidR="000007B7" w:rsidRPr="00DE1E8C">
        <w:rPr>
          <w:lang w:val="en-GB"/>
        </w:rPr>
        <w:t xml:space="preserve"> </w:t>
      </w:r>
      <w:r w:rsidRPr="00DE1E8C">
        <w:rPr>
          <w:lang w:val="en-GB"/>
        </w:rPr>
        <w:t>varied by condition</w:t>
      </w:r>
      <w:r w:rsidR="0024146F" w:rsidRPr="00DE1E8C">
        <w:rPr>
          <w:lang w:val="en-GB"/>
        </w:rPr>
        <w:t xml:space="preserve"> (DIC</w:t>
      </w:r>
      <w:r w:rsidRPr="00DE1E8C">
        <w:rPr>
          <w:lang w:val="en-GB"/>
        </w:rPr>
        <w:t xml:space="preserve"> model 1</w:t>
      </w:r>
      <w:r w:rsidR="007E6A6E" w:rsidRPr="00DE1E8C">
        <w:rPr>
          <w:lang w:val="en-GB"/>
        </w:rPr>
        <w:t>: 17089.50</w:t>
      </w:r>
      <w:r w:rsidRPr="00DE1E8C">
        <w:rPr>
          <w:lang w:val="en-GB"/>
        </w:rPr>
        <w:t>; DIC model 2</w:t>
      </w:r>
      <w:r w:rsidR="0024146F" w:rsidRPr="00DE1E8C">
        <w:rPr>
          <w:lang w:val="en-GB"/>
        </w:rPr>
        <w:t xml:space="preserve">: </w:t>
      </w:r>
      <w:r w:rsidR="007E6A6E" w:rsidRPr="00DE1E8C">
        <w:rPr>
          <w:lang w:val="en-GB"/>
        </w:rPr>
        <w:t>17877.63</w:t>
      </w:r>
      <w:r w:rsidRPr="00DE1E8C">
        <w:rPr>
          <w:lang w:val="en-GB"/>
        </w:rPr>
        <w:t xml:space="preserve">; </w:t>
      </w:r>
      <w:r w:rsidR="0024146F" w:rsidRPr="00DE1E8C">
        <w:rPr>
          <w:lang w:val="en-GB"/>
        </w:rPr>
        <w:t xml:space="preserve">DIC model </w:t>
      </w:r>
      <w:r w:rsidRPr="00DE1E8C">
        <w:rPr>
          <w:lang w:val="en-GB"/>
        </w:rPr>
        <w:t>3</w:t>
      </w:r>
      <w:r w:rsidR="0024146F" w:rsidRPr="00DE1E8C">
        <w:rPr>
          <w:lang w:val="en-GB"/>
        </w:rPr>
        <w:t xml:space="preserve">: </w:t>
      </w:r>
      <w:r w:rsidR="003C0E30" w:rsidRPr="00DE1E8C">
        <w:rPr>
          <w:lang w:val="en-GB"/>
        </w:rPr>
        <w:t>7236.97</w:t>
      </w:r>
      <w:r w:rsidR="00DB750D" w:rsidRPr="00DE1E8C">
        <w:rPr>
          <w:lang w:val="en-GB"/>
        </w:rPr>
        <w:t xml:space="preserve">). </w:t>
      </w:r>
      <w:r w:rsidR="0024146F" w:rsidRPr="00DE1E8C">
        <w:rPr>
          <w:lang w:val="en-GB"/>
        </w:rPr>
        <w:t>Posterior predict</w:t>
      </w:r>
      <w:r w:rsidR="00DB750D" w:rsidRPr="00DE1E8C">
        <w:rPr>
          <w:lang w:val="en-GB"/>
        </w:rPr>
        <w:t xml:space="preserve">ive checks revealed </w:t>
      </w:r>
      <w:r w:rsidR="0024146F" w:rsidRPr="00DE1E8C">
        <w:rPr>
          <w:lang w:val="en-GB"/>
        </w:rPr>
        <w:t>agreement between the simulated</w:t>
      </w:r>
      <w:r w:rsidR="00DB750D" w:rsidRPr="00DE1E8C">
        <w:rPr>
          <w:lang w:val="en-GB"/>
        </w:rPr>
        <w:t xml:space="preserve"> and observed data</w:t>
      </w:r>
      <w:r w:rsidR="00DF72A8" w:rsidRPr="00DE1E8C">
        <w:rPr>
          <w:lang w:val="en-GB"/>
        </w:rPr>
        <w:t xml:space="preserve"> </w:t>
      </w:r>
      <w:r w:rsidR="00814CE5" w:rsidRPr="00DE1E8C">
        <w:rPr>
          <w:lang w:val="en-GB"/>
        </w:rPr>
        <w:t>(see Supplementary Fig</w:t>
      </w:r>
      <w:r w:rsidR="00FA11A4" w:rsidRPr="00DE1E8C">
        <w:rPr>
          <w:lang w:val="en-GB"/>
        </w:rPr>
        <w:t>.</w:t>
      </w:r>
      <w:r w:rsidR="00814CE5" w:rsidRPr="00DE1E8C">
        <w:rPr>
          <w:lang w:val="en-GB"/>
        </w:rPr>
        <w:t xml:space="preserve"> 2 for observed data plotted against predicted model data). </w:t>
      </w:r>
    </w:p>
    <w:p w14:paraId="51DECB1B" w14:textId="77777777" w:rsidR="0024146F" w:rsidRPr="00DE1E8C" w:rsidRDefault="0024146F" w:rsidP="00551517">
      <w:pPr>
        <w:spacing w:line="360" w:lineRule="auto"/>
        <w:contextualSpacing/>
        <w:jc w:val="both"/>
        <w:rPr>
          <w:lang w:val="en-GB"/>
        </w:rPr>
      </w:pPr>
    </w:p>
    <w:p w14:paraId="6B22B162" w14:textId="1414D01D" w:rsidR="0024146F" w:rsidRPr="00DE1E8C" w:rsidRDefault="0024146F" w:rsidP="00551517">
      <w:pPr>
        <w:spacing w:line="360" w:lineRule="auto"/>
        <w:contextualSpacing/>
        <w:jc w:val="both"/>
        <w:rPr>
          <w:b/>
          <w:i/>
          <w:lang w:val="en-GB"/>
        </w:rPr>
      </w:pPr>
      <w:r w:rsidRPr="00DE1E8C">
        <w:rPr>
          <w:b/>
          <w:i/>
          <w:lang w:val="en-GB"/>
        </w:rPr>
        <w:t xml:space="preserve">Analysis of </w:t>
      </w:r>
      <w:r w:rsidR="00E723A5" w:rsidRPr="00DE1E8C">
        <w:rPr>
          <w:b/>
          <w:i/>
          <w:lang w:val="en-GB"/>
        </w:rPr>
        <w:t xml:space="preserve">hierarchical drift-diffusion model </w:t>
      </w:r>
      <w:r w:rsidRPr="00DE1E8C">
        <w:rPr>
          <w:b/>
          <w:i/>
          <w:lang w:val="en-GB"/>
        </w:rPr>
        <w:t>parameters</w:t>
      </w:r>
    </w:p>
    <w:p w14:paraId="7065D2A6" w14:textId="43C6E049" w:rsidR="00152F9A" w:rsidRPr="00DE1E8C" w:rsidRDefault="00C66723" w:rsidP="00551517">
      <w:pPr>
        <w:spacing w:line="360" w:lineRule="auto"/>
        <w:contextualSpacing/>
        <w:jc w:val="both"/>
        <w:rPr>
          <w:lang w:val="en-GB"/>
        </w:rPr>
      </w:pPr>
      <w:r w:rsidRPr="00DE1E8C">
        <w:rPr>
          <w:lang w:val="en-GB"/>
        </w:rPr>
        <w:t>Fig</w:t>
      </w:r>
      <w:r w:rsidR="00FA11A4" w:rsidRPr="00DE1E8C">
        <w:rPr>
          <w:lang w:val="en-GB"/>
        </w:rPr>
        <w:t>.</w:t>
      </w:r>
      <w:r w:rsidRPr="00DE1E8C">
        <w:rPr>
          <w:lang w:val="en-GB"/>
        </w:rPr>
        <w:t xml:space="preserve"> 3 </w:t>
      </w:r>
      <w:r w:rsidR="0024606D" w:rsidRPr="00DE1E8C">
        <w:rPr>
          <w:lang w:val="en-GB"/>
        </w:rPr>
        <w:t>shows group comparisons of</w:t>
      </w:r>
      <w:r w:rsidRPr="00DE1E8C">
        <w:rPr>
          <w:lang w:val="en-GB"/>
        </w:rPr>
        <w:t xml:space="preserve"> posterior probability density plots for the drift rate</w:t>
      </w:r>
      <w:r w:rsidR="00356374" w:rsidRPr="00DE1E8C">
        <w:rPr>
          <w:lang w:val="en-GB"/>
        </w:rPr>
        <w:t xml:space="preserve"> </w:t>
      </w:r>
      <w:r w:rsidR="00356374" w:rsidRPr="00DE1E8C">
        <w:rPr>
          <w:i/>
          <w:lang w:val="en-GB"/>
        </w:rPr>
        <w:t>v</w:t>
      </w:r>
      <w:r w:rsidRPr="00DE1E8C">
        <w:rPr>
          <w:lang w:val="en-GB"/>
        </w:rPr>
        <w:t xml:space="preserve"> (top panel) and decision boundaries</w:t>
      </w:r>
      <w:r w:rsidR="00356374" w:rsidRPr="00DE1E8C">
        <w:rPr>
          <w:lang w:val="en-GB"/>
        </w:rPr>
        <w:t xml:space="preserve"> </w:t>
      </w:r>
      <w:r w:rsidR="00356374" w:rsidRPr="00DE1E8C">
        <w:rPr>
          <w:i/>
          <w:lang w:val="en-GB"/>
        </w:rPr>
        <w:t>a</w:t>
      </w:r>
      <w:r w:rsidRPr="00DE1E8C">
        <w:rPr>
          <w:lang w:val="en-GB"/>
        </w:rPr>
        <w:t xml:space="preserve"> (bot</w:t>
      </w:r>
      <w:r w:rsidR="00356374" w:rsidRPr="00DE1E8C">
        <w:rPr>
          <w:lang w:val="en-GB"/>
        </w:rPr>
        <w:t xml:space="preserve">tom panel) </w:t>
      </w:r>
      <w:r w:rsidRPr="00DE1E8C">
        <w:rPr>
          <w:lang w:val="en-GB"/>
        </w:rPr>
        <w:t xml:space="preserve">across each condition. </w:t>
      </w:r>
    </w:p>
    <w:p w14:paraId="36CCE028" w14:textId="77777777" w:rsidR="0083557F" w:rsidRPr="00DE1E8C" w:rsidRDefault="0083557F" w:rsidP="00551517">
      <w:pPr>
        <w:spacing w:line="360" w:lineRule="auto"/>
        <w:contextualSpacing/>
        <w:jc w:val="both"/>
        <w:rPr>
          <w:lang w:val="en-GB"/>
        </w:rPr>
      </w:pPr>
    </w:p>
    <w:p w14:paraId="59CA4EC7" w14:textId="2C0AABC7" w:rsidR="00EB6847" w:rsidRPr="00DE1E8C" w:rsidRDefault="0083557F" w:rsidP="00551517">
      <w:pPr>
        <w:spacing w:line="360" w:lineRule="auto"/>
        <w:contextualSpacing/>
        <w:jc w:val="both"/>
        <w:rPr>
          <w:lang w:val="en-GB"/>
        </w:rPr>
      </w:pPr>
      <w:r w:rsidRPr="00DE1E8C">
        <w:rPr>
          <w:lang w:val="en-GB"/>
        </w:rPr>
        <w:t xml:space="preserve">The disease groups differed consistently in their drift rates, with the </w:t>
      </w:r>
      <w:r w:rsidR="00DE493E" w:rsidRPr="00DE1E8C">
        <w:rPr>
          <w:lang w:val="en-GB"/>
        </w:rPr>
        <w:t>Lewy body dementia</w:t>
      </w:r>
      <w:r w:rsidRPr="00DE1E8C">
        <w:rPr>
          <w:lang w:val="en-GB"/>
        </w:rPr>
        <w:t xml:space="preserve"> group showing</w:t>
      </w:r>
      <w:r w:rsidR="00FE5032" w:rsidRPr="00DE1E8C">
        <w:rPr>
          <w:lang w:val="en-GB"/>
        </w:rPr>
        <w:t xml:space="preserve"> significantly</w:t>
      </w:r>
      <w:r w:rsidRPr="00DE1E8C">
        <w:rPr>
          <w:lang w:val="en-GB"/>
        </w:rPr>
        <w:t xml:space="preserve"> lower drift ra</w:t>
      </w:r>
      <w:r w:rsidR="00A851EB" w:rsidRPr="00DE1E8C">
        <w:rPr>
          <w:lang w:val="en-GB"/>
        </w:rPr>
        <w:t>tes than A</w:t>
      </w:r>
      <w:r w:rsidR="000B64A7" w:rsidRPr="00DE1E8C">
        <w:rPr>
          <w:lang w:val="en-GB"/>
        </w:rPr>
        <w:t>lzheimer’s disease</w:t>
      </w:r>
      <w:r w:rsidR="00A851EB" w:rsidRPr="00DE1E8C">
        <w:rPr>
          <w:lang w:val="en-GB"/>
        </w:rPr>
        <w:t xml:space="preserve"> in each condition </w:t>
      </w:r>
      <w:r w:rsidR="00EE0CDB" w:rsidRPr="00DE1E8C">
        <w:rPr>
          <w:lang w:val="en-GB"/>
        </w:rPr>
        <w:t xml:space="preserve">(congruent: </w:t>
      </w:r>
      <w:r w:rsidR="00EE0CDB" w:rsidRPr="00DE1E8C">
        <w:rPr>
          <w:i/>
          <w:lang w:val="en-GB"/>
        </w:rPr>
        <w:t>P</w:t>
      </w:r>
      <w:r w:rsidR="00EE0CDB" w:rsidRPr="00DE1E8C">
        <w:rPr>
          <w:lang w:val="en-GB"/>
        </w:rPr>
        <w:t xml:space="preserve"> = </w:t>
      </w:r>
      <w:r w:rsidR="0053261A" w:rsidRPr="00DE1E8C">
        <w:rPr>
          <w:lang w:val="en-GB"/>
        </w:rPr>
        <w:t>0.02</w:t>
      </w:r>
      <w:r w:rsidR="00EE0CDB" w:rsidRPr="00DE1E8C">
        <w:rPr>
          <w:lang w:val="en-GB"/>
        </w:rPr>
        <w:t>%; incongruent-EASY:</w:t>
      </w:r>
      <w:r w:rsidR="00EE0CDB" w:rsidRPr="00DE1E8C">
        <w:rPr>
          <w:i/>
          <w:lang w:val="en-GB"/>
        </w:rPr>
        <w:t xml:space="preserve"> P</w:t>
      </w:r>
      <w:r w:rsidR="005217CE" w:rsidRPr="00DE1E8C">
        <w:rPr>
          <w:lang w:val="en-GB"/>
        </w:rPr>
        <w:t xml:space="preserve"> = 1.35</w:t>
      </w:r>
      <w:r w:rsidR="00EE0CDB" w:rsidRPr="00DE1E8C">
        <w:rPr>
          <w:lang w:val="en-GB"/>
        </w:rPr>
        <w:t xml:space="preserve">%; incongruent-HARD: </w:t>
      </w:r>
      <w:r w:rsidR="00EE0CDB" w:rsidRPr="00DE1E8C">
        <w:rPr>
          <w:i/>
          <w:lang w:val="en-GB"/>
        </w:rPr>
        <w:t>P</w:t>
      </w:r>
      <w:r w:rsidR="0031325D" w:rsidRPr="00DE1E8C">
        <w:rPr>
          <w:lang w:val="en-GB"/>
        </w:rPr>
        <w:t xml:space="preserve"> = 2.80</w:t>
      </w:r>
      <w:r w:rsidR="00EE0CDB" w:rsidRPr="00DE1E8C">
        <w:rPr>
          <w:lang w:val="en-GB"/>
        </w:rPr>
        <w:t>%)</w:t>
      </w:r>
      <w:r w:rsidR="001C19B2" w:rsidRPr="00DE1E8C">
        <w:rPr>
          <w:lang w:val="en-GB"/>
        </w:rPr>
        <w:t xml:space="preserve">. </w:t>
      </w:r>
      <w:r w:rsidR="00052B56" w:rsidRPr="00DE1E8C">
        <w:rPr>
          <w:lang w:val="en-GB"/>
        </w:rPr>
        <w:t xml:space="preserve">Both the </w:t>
      </w:r>
      <w:r w:rsidR="001210D3" w:rsidRPr="00DE1E8C">
        <w:rPr>
          <w:lang w:val="en-GB"/>
        </w:rPr>
        <w:t>Lewy body dementia</w:t>
      </w:r>
      <w:r w:rsidR="00052B56" w:rsidRPr="00DE1E8C">
        <w:rPr>
          <w:lang w:val="en-GB"/>
        </w:rPr>
        <w:t xml:space="preserve"> and </w:t>
      </w:r>
      <w:r w:rsidR="003E49E8" w:rsidRPr="00DE1E8C">
        <w:rPr>
          <w:lang w:val="en-GB"/>
        </w:rPr>
        <w:t>Alzheimer’s disease</w:t>
      </w:r>
      <w:r w:rsidR="00052B56" w:rsidRPr="00DE1E8C">
        <w:rPr>
          <w:lang w:val="en-GB"/>
        </w:rPr>
        <w:t xml:space="preserve"> groups had </w:t>
      </w:r>
      <w:r w:rsidR="00EB6847" w:rsidRPr="00DE1E8C">
        <w:rPr>
          <w:lang w:val="en-GB"/>
        </w:rPr>
        <w:t>significantly</w:t>
      </w:r>
      <w:r w:rsidR="00052B56" w:rsidRPr="00DE1E8C">
        <w:rPr>
          <w:lang w:val="en-GB"/>
        </w:rPr>
        <w:t xml:space="preserve"> lower drift rates relative to controls</w:t>
      </w:r>
      <w:r w:rsidR="001C19B2" w:rsidRPr="00DE1E8C">
        <w:rPr>
          <w:lang w:val="en-GB"/>
        </w:rPr>
        <w:t xml:space="preserve"> </w:t>
      </w:r>
      <w:r w:rsidR="00EB6847" w:rsidRPr="00DE1E8C">
        <w:rPr>
          <w:lang w:val="en-GB"/>
        </w:rPr>
        <w:t xml:space="preserve">(congruent: </w:t>
      </w:r>
      <w:r w:rsidR="00EB6847" w:rsidRPr="00DE1E8C">
        <w:rPr>
          <w:i/>
          <w:lang w:val="en-GB"/>
        </w:rPr>
        <w:t>P</w:t>
      </w:r>
      <w:r w:rsidR="00EB6847" w:rsidRPr="00DE1E8C">
        <w:rPr>
          <w:lang w:val="en-GB"/>
        </w:rPr>
        <w:t xml:space="preserve"> = </w:t>
      </w:r>
      <w:r w:rsidR="0052441E" w:rsidRPr="00DE1E8C">
        <w:rPr>
          <w:lang w:val="en-GB"/>
        </w:rPr>
        <w:t>0.00</w:t>
      </w:r>
      <w:r w:rsidR="00EB6847" w:rsidRPr="00DE1E8C">
        <w:rPr>
          <w:lang w:val="en-GB"/>
        </w:rPr>
        <w:t>%; incongruent-EASY:</w:t>
      </w:r>
      <w:r w:rsidR="00EB6847" w:rsidRPr="00DE1E8C">
        <w:rPr>
          <w:i/>
          <w:lang w:val="en-GB"/>
        </w:rPr>
        <w:t xml:space="preserve"> P</w:t>
      </w:r>
      <w:r w:rsidR="00EB6847" w:rsidRPr="00DE1E8C">
        <w:rPr>
          <w:lang w:val="en-GB"/>
        </w:rPr>
        <w:t xml:space="preserve"> = </w:t>
      </w:r>
      <w:r w:rsidR="00A851EB" w:rsidRPr="00DE1E8C">
        <w:rPr>
          <w:lang w:val="en-GB"/>
        </w:rPr>
        <w:t>0.00</w:t>
      </w:r>
      <w:r w:rsidR="00EB6847" w:rsidRPr="00DE1E8C">
        <w:rPr>
          <w:lang w:val="en-GB"/>
        </w:rPr>
        <w:t xml:space="preserve">%; incongruent-HARD: </w:t>
      </w:r>
      <w:r w:rsidR="00EB6847" w:rsidRPr="00DE1E8C">
        <w:rPr>
          <w:i/>
          <w:lang w:val="en-GB"/>
        </w:rPr>
        <w:t>P</w:t>
      </w:r>
      <w:r w:rsidR="00EB6847" w:rsidRPr="00DE1E8C">
        <w:rPr>
          <w:lang w:val="en-GB"/>
        </w:rPr>
        <w:t xml:space="preserve"> = </w:t>
      </w:r>
      <w:r w:rsidR="00A851EB" w:rsidRPr="00DE1E8C">
        <w:rPr>
          <w:lang w:val="en-GB"/>
        </w:rPr>
        <w:t>0.00</w:t>
      </w:r>
      <w:r w:rsidR="00EB6847" w:rsidRPr="00DE1E8C">
        <w:rPr>
          <w:lang w:val="en-GB"/>
        </w:rPr>
        <w:t>%)</w:t>
      </w:r>
      <w:r w:rsidR="001C19B2" w:rsidRPr="00DE1E8C">
        <w:rPr>
          <w:lang w:val="en-GB"/>
        </w:rPr>
        <w:t>.</w:t>
      </w:r>
    </w:p>
    <w:p w14:paraId="74EE34F3" w14:textId="77777777" w:rsidR="001C19B2" w:rsidRPr="00DE1E8C" w:rsidRDefault="001C19B2" w:rsidP="00551517">
      <w:pPr>
        <w:spacing w:line="360" w:lineRule="auto"/>
        <w:contextualSpacing/>
        <w:jc w:val="both"/>
        <w:rPr>
          <w:lang w:val="en-GB"/>
        </w:rPr>
      </w:pPr>
    </w:p>
    <w:p w14:paraId="78A4F23A" w14:textId="193E7B83" w:rsidR="009A2438" w:rsidRPr="00DE1E8C" w:rsidRDefault="001C19B2" w:rsidP="00551517">
      <w:pPr>
        <w:spacing w:line="360" w:lineRule="auto"/>
        <w:contextualSpacing/>
        <w:jc w:val="both"/>
        <w:rPr>
          <w:lang w:val="en-GB"/>
        </w:rPr>
      </w:pPr>
      <w:r w:rsidRPr="00DE1E8C">
        <w:rPr>
          <w:lang w:val="en-GB"/>
        </w:rPr>
        <w:t xml:space="preserve">In contrast, the </w:t>
      </w:r>
      <w:r w:rsidR="001210D3" w:rsidRPr="00DE1E8C">
        <w:rPr>
          <w:lang w:val="en-GB"/>
        </w:rPr>
        <w:t>Lewy body dementia</w:t>
      </w:r>
      <w:r w:rsidRPr="00DE1E8C">
        <w:rPr>
          <w:lang w:val="en-GB"/>
        </w:rPr>
        <w:t xml:space="preserve"> and </w:t>
      </w:r>
      <w:r w:rsidR="003E49E8" w:rsidRPr="00DE1E8C">
        <w:rPr>
          <w:lang w:val="en-GB"/>
        </w:rPr>
        <w:t>Alzheimer’s disease</w:t>
      </w:r>
      <w:r w:rsidRPr="00DE1E8C">
        <w:rPr>
          <w:lang w:val="en-GB"/>
        </w:rPr>
        <w:t xml:space="preserve"> groups </w:t>
      </w:r>
      <w:r w:rsidR="003A47B8" w:rsidRPr="00DE1E8C">
        <w:rPr>
          <w:lang w:val="en-GB"/>
        </w:rPr>
        <w:t xml:space="preserve">showed considerable overlap in </w:t>
      </w:r>
      <w:r w:rsidRPr="00DE1E8C">
        <w:rPr>
          <w:lang w:val="en-GB"/>
        </w:rPr>
        <w:t>the</w:t>
      </w:r>
      <w:r w:rsidR="00B7082E" w:rsidRPr="00DE1E8C">
        <w:rPr>
          <w:lang w:val="en-GB"/>
        </w:rPr>
        <w:t>ir</w:t>
      </w:r>
      <w:r w:rsidRPr="00DE1E8C">
        <w:rPr>
          <w:lang w:val="en-GB"/>
        </w:rPr>
        <w:t xml:space="preserve"> decision boundaries </w:t>
      </w:r>
      <w:r w:rsidR="003A47B8" w:rsidRPr="00DE1E8C">
        <w:rPr>
          <w:lang w:val="en-GB"/>
        </w:rPr>
        <w:t>across all</w:t>
      </w:r>
      <w:r w:rsidRPr="00DE1E8C">
        <w:rPr>
          <w:lang w:val="en-GB"/>
        </w:rPr>
        <w:t xml:space="preserve"> of the conditions</w:t>
      </w:r>
      <w:r w:rsidR="00B7082E" w:rsidRPr="00DE1E8C">
        <w:rPr>
          <w:lang w:val="en-GB"/>
        </w:rPr>
        <w:t xml:space="preserve"> </w:t>
      </w:r>
      <w:r w:rsidR="009A2438" w:rsidRPr="00DE1E8C">
        <w:rPr>
          <w:lang w:val="en-GB"/>
        </w:rPr>
        <w:t xml:space="preserve">(congruent: </w:t>
      </w:r>
      <w:r w:rsidR="009A2438" w:rsidRPr="00DE1E8C">
        <w:rPr>
          <w:i/>
          <w:lang w:val="en-GB"/>
        </w:rPr>
        <w:t>P</w:t>
      </w:r>
      <w:r w:rsidR="009A2438" w:rsidRPr="00DE1E8C">
        <w:rPr>
          <w:lang w:val="en-GB"/>
        </w:rPr>
        <w:t xml:space="preserve"> = </w:t>
      </w:r>
      <w:r w:rsidR="00687CA9" w:rsidRPr="00DE1E8C">
        <w:rPr>
          <w:lang w:val="en-GB"/>
        </w:rPr>
        <w:t>2</w:t>
      </w:r>
      <w:r w:rsidR="00F215B3" w:rsidRPr="00DE1E8C">
        <w:rPr>
          <w:lang w:val="en-GB"/>
        </w:rPr>
        <w:t>3</w:t>
      </w:r>
      <w:r w:rsidR="00687CA9" w:rsidRPr="00DE1E8C">
        <w:rPr>
          <w:lang w:val="en-GB"/>
        </w:rPr>
        <w:t>.</w:t>
      </w:r>
      <w:r w:rsidR="00F215B3" w:rsidRPr="00DE1E8C">
        <w:rPr>
          <w:lang w:val="en-GB"/>
        </w:rPr>
        <w:t>49</w:t>
      </w:r>
      <w:r w:rsidR="009A2438" w:rsidRPr="00DE1E8C">
        <w:rPr>
          <w:lang w:val="en-GB"/>
        </w:rPr>
        <w:t>%; incongruent-EASY:</w:t>
      </w:r>
      <w:r w:rsidR="009A2438" w:rsidRPr="00DE1E8C">
        <w:rPr>
          <w:i/>
          <w:lang w:val="en-GB"/>
        </w:rPr>
        <w:t xml:space="preserve"> P</w:t>
      </w:r>
      <w:r w:rsidR="009A2438" w:rsidRPr="00DE1E8C">
        <w:rPr>
          <w:lang w:val="en-GB"/>
        </w:rPr>
        <w:t xml:space="preserve"> = </w:t>
      </w:r>
      <w:r w:rsidR="00A00CB8" w:rsidRPr="00DE1E8C">
        <w:rPr>
          <w:lang w:val="en-GB"/>
        </w:rPr>
        <w:t>25.77</w:t>
      </w:r>
      <w:r w:rsidR="009A2438" w:rsidRPr="00DE1E8C">
        <w:rPr>
          <w:lang w:val="en-GB"/>
        </w:rPr>
        <w:t xml:space="preserve">%; incongruent-HARD: </w:t>
      </w:r>
      <w:r w:rsidR="009A2438" w:rsidRPr="00DE1E8C">
        <w:rPr>
          <w:i/>
          <w:lang w:val="en-GB"/>
        </w:rPr>
        <w:t>P</w:t>
      </w:r>
      <w:r w:rsidR="00F867F4" w:rsidRPr="00DE1E8C">
        <w:rPr>
          <w:lang w:val="en-GB"/>
        </w:rPr>
        <w:t xml:space="preserve"> = 38.22</w:t>
      </w:r>
      <w:r w:rsidR="009A2438" w:rsidRPr="00DE1E8C">
        <w:rPr>
          <w:lang w:val="en-GB"/>
        </w:rPr>
        <w:t>%)</w:t>
      </w:r>
      <w:r w:rsidR="00B7082E" w:rsidRPr="00DE1E8C">
        <w:rPr>
          <w:lang w:val="en-GB"/>
        </w:rPr>
        <w:t xml:space="preserve">. Both groups had </w:t>
      </w:r>
      <w:r w:rsidR="00DE00FF" w:rsidRPr="00DE1E8C">
        <w:rPr>
          <w:lang w:val="en-GB"/>
        </w:rPr>
        <w:t xml:space="preserve">significantly </w:t>
      </w:r>
      <w:r w:rsidR="005B2BB3" w:rsidRPr="00DE1E8C">
        <w:rPr>
          <w:lang w:val="en-GB"/>
        </w:rPr>
        <w:t>reduced</w:t>
      </w:r>
      <w:r w:rsidR="004976B0" w:rsidRPr="00DE1E8C">
        <w:rPr>
          <w:lang w:val="en-GB"/>
        </w:rPr>
        <w:t xml:space="preserve"> decision boundaries compared to contr</w:t>
      </w:r>
      <w:r w:rsidR="00D31FA9" w:rsidRPr="00DE1E8C">
        <w:rPr>
          <w:lang w:val="en-GB"/>
        </w:rPr>
        <w:t xml:space="preserve">ols (values for </w:t>
      </w:r>
      <w:r w:rsidR="001210D3" w:rsidRPr="00DE1E8C">
        <w:rPr>
          <w:lang w:val="en-GB"/>
        </w:rPr>
        <w:t>Lewy body dementia</w:t>
      </w:r>
      <w:r w:rsidR="00D31FA9" w:rsidRPr="00DE1E8C">
        <w:rPr>
          <w:lang w:val="en-GB"/>
        </w:rPr>
        <w:t xml:space="preserve"> vs. controls were congruent: </w:t>
      </w:r>
      <w:r w:rsidR="00D31FA9" w:rsidRPr="00DE1E8C">
        <w:rPr>
          <w:i/>
          <w:lang w:val="en-GB"/>
        </w:rPr>
        <w:t>P</w:t>
      </w:r>
      <w:r w:rsidR="00D31FA9" w:rsidRPr="00DE1E8C">
        <w:rPr>
          <w:lang w:val="en-GB"/>
        </w:rPr>
        <w:t xml:space="preserve"> = 0.00%; incongruent-EASY:</w:t>
      </w:r>
      <w:r w:rsidR="00D31FA9" w:rsidRPr="00DE1E8C">
        <w:rPr>
          <w:i/>
          <w:lang w:val="en-GB"/>
        </w:rPr>
        <w:t xml:space="preserve"> P</w:t>
      </w:r>
      <w:r w:rsidR="00D31FA9" w:rsidRPr="00DE1E8C">
        <w:rPr>
          <w:lang w:val="en-GB"/>
        </w:rPr>
        <w:t xml:space="preserve"> = 0.00%; incongruent-HARD: </w:t>
      </w:r>
      <w:r w:rsidR="00D31FA9" w:rsidRPr="00DE1E8C">
        <w:rPr>
          <w:i/>
          <w:lang w:val="en-GB"/>
        </w:rPr>
        <w:t>P</w:t>
      </w:r>
      <w:r w:rsidR="00D31FA9" w:rsidRPr="00DE1E8C">
        <w:rPr>
          <w:lang w:val="en-GB"/>
        </w:rPr>
        <w:t xml:space="preserve"> = 0.00%; values for </w:t>
      </w:r>
      <w:r w:rsidR="003E49E8" w:rsidRPr="00DE1E8C">
        <w:rPr>
          <w:lang w:val="en-GB"/>
        </w:rPr>
        <w:t>Alzheimer’s disease</w:t>
      </w:r>
      <w:r w:rsidR="00D31FA9" w:rsidRPr="00DE1E8C">
        <w:rPr>
          <w:lang w:val="en-GB"/>
        </w:rPr>
        <w:t xml:space="preserve"> vs. controls were congruent: </w:t>
      </w:r>
      <w:r w:rsidR="00D31FA9" w:rsidRPr="00DE1E8C">
        <w:rPr>
          <w:i/>
          <w:lang w:val="en-GB"/>
        </w:rPr>
        <w:t>P</w:t>
      </w:r>
      <w:r w:rsidR="00D31FA9" w:rsidRPr="00DE1E8C">
        <w:rPr>
          <w:lang w:val="en-GB"/>
        </w:rPr>
        <w:t xml:space="preserve"> = 0.0</w:t>
      </w:r>
      <w:r w:rsidR="00266DF5" w:rsidRPr="00DE1E8C">
        <w:rPr>
          <w:lang w:val="en-GB"/>
        </w:rPr>
        <w:t>6</w:t>
      </w:r>
      <w:r w:rsidR="00D31FA9" w:rsidRPr="00DE1E8C">
        <w:rPr>
          <w:lang w:val="en-GB"/>
        </w:rPr>
        <w:t>%; incongruent-EASY:</w:t>
      </w:r>
      <w:r w:rsidR="00D31FA9" w:rsidRPr="00DE1E8C">
        <w:rPr>
          <w:i/>
          <w:lang w:val="en-GB"/>
        </w:rPr>
        <w:t xml:space="preserve"> P</w:t>
      </w:r>
      <w:r w:rsidR="00D31FA9" w:rsidRPr="00DE1E8C">
        <w:rPr>
          <w:lang w:val="en-GB"/>
        </w:rPr>
        <w:t xml:space="preserve"> = 0.00%; incongruent-HARD: </w:t>
      </w:r>
      <w:r w:rsidR="00D31FA9" w:rsidRPr="00DE1E8C">
        <w:rPr>
          <w:i/>
          <w:lang w:val="en-GB"/>
        </w:rPr>
        <w:t>P</w:t>
      </w:r>
      <w:r w:rsidR="00D31FA9" w:rsidRPr="00DE1E8C">
        <w:rPr>
          <w:lang w:val="en-GB"/>
        </w:rPr>
        <w:t xml:space="preserve"> = 0.00%).  </w:t>
      </w:r>
    </w:p>
    <w:p w14:paraId="0F17B7EA" w14:textId="2A1D0E5E" w:rsidR="002714B5" w:rsidRPr="00DE1E8C" w:rsidRDefault="001C19B2" w:rsidP="00551517">
      <w:pPr>
        <w:spacing w:line="360" w:lineRule="auto"/>
        <w:contextualSpacing/>
        <w:jc w:val="both"/>
        <w:rPr>
          <w:lang w:val="en-GB"/>
        </w:rPr>
      </w:pPr>
      <w:r w:rsidRPr="00DE1E8C">
        <w:rPr>
          <w:lang w:val="en-GB"/>
        </w:rPr>
        <w:t xml:space="preserve"> </w:t>
      </w:r>
    </w:p>
    <w:p w14:paraId="15E60BF2" w14:textId="64B31527" w:rsidR="007F7E30" w:rsidRPr="00DE1E8C" w:rsidRDefault="007F7E30" w:rsidP="00551517">
      <w:pPr>
        <w:spacing w:line="360" w:lineRule="auto"/>
        <w:contextualSpacing/>
        <w:jc w:val="both"/>
        <w:rPr>
          <w:b/>
          <w:lang w:val="en-GB"/>
        </w:rPr>
      </w:pPr>
    </w:p>
    <w:p w14:paraId="453F5F12" w14:textId="2B2F1094" w:rsidR="00E724D6" w:rsidRPr="00DE1E8C" w:rsidRDefault="00E724D6" w:rsidP="00551517">
      <w:pPr>
        <w:spacing w:line="360" w:lineRule="auto"/>
        <w:contextualSpacing/>
        <w:jc w:val="both"/>
        <w:rPr>
          <w:b/>
          <w:lang w:val="en-GB"/>
        </w:rPr>
      </w:pPr>
    </w:p>
    <w:p w14:paraId="479BCBD7" w14:textId="3EE7DB49" w:rsidR="00E724D6" w:rsidRPr="00DE1E8C" w:rsidRDefault="00E724D6" w:rsidP="00551517">
      <w:pPr>
        <w:spacing w:line="360" w:lineRule="auto"/>
        <w:contextualSpacing/>
        <w:jc w:val="both"/>
        <w:rPr>
          <w:b/>
          <w:lang w:val="en-GB"/>
        </w:rPr>
      </w:pPr>
    </w:p>
    <w:p w14:paraId="5FD453BD" w14:textId="6F9D59CA" w:rsidR="00E724D6" w:rsidRPr="00DE1E8C" w:rsidRDefault="00E724D6" w:rsidP="00551517">
      <w:pPr>
        <w:spacing w:line="360" w:lineRule="auto"/>
        <w:contextualSpacing/>
        <w:jc w:val="both"/>
        <w:rPr>
          <w:b/>
          <w:lang w:val="en-GB"/>
        </w:rPr>
      </w:pPr>
    </w:p>
    <w:p w14:paraId="028A9C50" w14:textId="1A9B5B58" w:rsidR="00E724D6" w:rsidRPr="00DE1E8C" w:rsidRDefault="00E724D6" w:rsidP="00551517">
      <w:pPr>
        <w:spacing w:line="360" w:lineRule="auto"/>
        <w:contextualSpacing/>
        <w:jc w:val="both"/>
        <w:rPr>
          <w:b/>
          <w:lang w:val="en-GB"/>
        </w:rPr>
      </w:pPr>
    </w:p>
    <w:p w14:paraId="550BEDE0" w14:textId="45B18FFA" w:rsidR="00E724D6" w:rsidRPr="00DE1E8C" w:rsidRDefault="00E724D6" w:rsidP="00551517">
      <w:pPr>
        <w:spacing w:line="360" w:lineRule="auto"/>
        <w:contextualSpacing/>
        <w:jc w:val="both"/>
        <w:rPr>
          <w:b/>
          <w:lang w:val="en-GB"/>
        </w:rPr>
      </w:pPr>
    </w:p>
    <w:p w14:paraId="47ED4F59" w14:textId="7609E7E3" w:rsidR="00E724D6" w:rsidRPr="00DE1E8C" w:rsidRDefault="00E724D6" w:rsidP="00551517">
      <w:pPr>
        <w:spacing w:line="360" w:lineRule="auto"/>
        <w:contextualSpacing/>
        <w:jc w:val="both"/>
        <w:rPr>
          <w:b/>
          <w:lang w:val="en-GB"/>
        </w:rPr>
      </w:pPr>
    </w:p>
    <w:p w14:paraId="7511F881" w14:textId="4D77759B" w:rsidR="00E724D6" w:rsidRPr="00DE1E8C" w:rsidRDefault="00E724D6" w:rsidP="00551517">
      <w:pPr>
        <w:spacing w:line="360" w:lineRule="auto"/>
        <w:contextualSpacing/>
        <w:jc w:val="both"/>
        <w:rPr>
          <w:b/>
          <w:lang w:val="en-GB"/>
        </w:rPr>
      </w:pPr>
    </w:p>
    <w:p w14:paraId="7AE7A82D" w14:textId="242BC3A1" w:rsidR="00E724D6" w:rsidRPr="00DE1E8C" w:rsidRDefault="00E724D6" w:rsidP="00551517">
      <w:pPr>
        <w:spacing w:line="360" w:lineRule="auto"/>
        <w:contextualSpacing/>
        <w:jc w:val="both"/>
        <w:rPr>
          <w:b/>
          <w:lang w:val="en-GB"/>
        </w:rPr>
      </w:pPr>
    </w:p>
    <w:p w14:paraId="3DFCC5F0" w14:textId="77777777" w:rsidR="00E724D6" w:rsidRPr="00DE1E8C" w:rsidRDefault="00E724D6" w:rsidP="00551517">
      <w:pPr>
        <w:spacing w:line="360" w:lineRule="auto"/>
        <w:contextualSpacing/>
        <w:jc w:val="both"/>
        <w:rPr>
          <w:b/>
          <w:lang w:val="en-GB"/>
        </w:rPr>
      </w:pPr>
    </w:p>
    <w:p w14:paraId="2D9AD787" w14:textId="7B12EF54" w:rsidR="00152F9A" w:rsidRPr="00DE1E8C" w:rsidRDefault="00E8016F" w:rsidP="00551517">
      <w:pPr>
        <w:spacing w:line="360" w:lineRule="auto"/>
        <w:contextualSpacing/>
        <w:jc w:val="both"/>
        <w:rPr>
          <w:b/>
          <w:lang w:val="en-GB"/>
        </w:rPr>
      </w:pPr>
      <w:r w:rsidRPr="00DE1E8C">
        <w:rPr>
          <w:b/>
          <w:noProof/>
          <w:lang w:val="en-GB"/>
        </w:rPr>
        <w:drawing>
          <wp:anchor distT="0" distB="0" distL="114300" distR="114300" simplePos="0" relativeHeight="251667456" behindDoc="0" locked="0" layoutInCell="1" allowOverlap="1" wp14:anchorId="3B3FC9FC" wp14:editId="4B381D5B">
            <wp:simplePos x="0" y="0"/>
            <wp:positionH relativeFrom="margin">
              <wp:posOffset>1905</wp:posOffset>
            </wp:positionH>
            <wp:positionV relativeFrom="paragraph">
              <wp:posOffset>266065</wp:posOffset>
            </wp:positionV>
            <wp:extent cx="4296410" cy="3037840"/>
            <wp:effectExtent l="0" t="0" r="0" b="0"/>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296410" cy="3037840"/>
                    </a:xfrm>
                    <a:prstGeom prst="rect">
                      <a:avLst/>
                    </a:prstGeom>
                  </pic:spPr>
                </pic:pic>
              </a:graphicData>
            </a:graphic>
            <wp14:sizeRelH relativeFrom="page">
              <wp14:pctWidth>0</wp14:pctWidth>
            </wp14:sizeRelH>
            <wp14:sizeRelV relativeFrom="page">
              <wp14:pctHeight>0</wp14:pctHeight>
            </wp14:sizeRelV>
          </wp:anchor>
        </w:drawing>
      </w:r>
      <w:r w:rsidR="00A54BD1" w:rsidRPr="00DE1E8C">
        <w:rPr>
          <w:b/>
          <w:lang w:val="en-GB"/>
        </w:rPr>
        <w:t>Figure 3. D</w:t>
      </w:r>
      <w:r w:rsidR="000F228B" w:rsidRPr="00DE1E8C">
        <w:rPr>
          <w:b/>
          <w:lang w:val="en-GB"/>
        </w:rPr>
        <w:t>rift rates and decision boundaries</w:t>
      </w:r>
    </w:p>
    <w:p w14:paraId="30CAC062" w14:textId="615B69C0" w:rsidR="00587130" w:rsidRPr="00DE1E8C" w:rsidRDefault="00587130" w:rsidP="00551517">
      <w:pPr>
        <w:spacing w:line="360" w:lineRule="auto"/>
        <w:contextualSpacing/>
        <w:jc w:val="both"/>
        <w:rPr>
          <w:b/>
          <w:lang w:val="en-GB"/>
        </w:rPr>
      </w:pPr>
    </w:p>
    <w:p w14:paraId="475AD421" w14:textId="05D69DF0" w:rsidR="006A0F0A" w:rsidRPr="00DE1E8C" w:rsidRDefault="00DB6E7F" w:rsidP="00BD512A">
      <w:pPr>
        <w:contextualSpacing/>
        <w:jc w:val="both"/>
        <w:rPr>
          <w:sz w:val="20"/>
          <w:szCs w:val="20"/>
          <w:lang w:val="en-GB"/>
        </w:rPr>
      </w:pPr>
      <w:r w:rsidRPr="00DE1E8C">
        <w:rPr>
          <w:b/>
          <w:i/>
          <w:sz w:val="20"/>
          <w:szCs w:val="20"/>
          <w:lang w:val="en-GB"/>
        </w:rPr>
        <w:t xml:space="preserve">Figure 3 </w:t>
      </w:r>
      <w:r w:rsidR="00B30B1F" w:rsidRPr="00DE1E8C">
        <w:rPr>
          <w:b/>
          <w:i/>
          <w:sz w:val="20"/>
          <w:szCs w:val="20"/>
          <w:lang w:val="en-GB"/>
        </w:rPr>
        <w:t>–</w:t>
      </w:r>
      <w:r w:rsidRPr="00DE1E8C">
        <w:rPr>
          <w:b/>
          <w:i/>
          <w:sz w:val="20"/>
          <w:szCs w:val="20"/>
          <w:lang w:val="en-GB"/>
        </w:rPr>
        <w:t xml:space="preserve"> </w:t>
      </w:r>
      <w:r w:rsidR="00823256" w:rsidRPr="00DE1E8C">
        <w:rPr>
          <w:sz w:val="20"/>
          <w:szCs w:val="20"/>
          <w:lang w:val="en-GB"/>
        </w:rPr>
        <w:t>Group comparisons of the p</w:t>
      </w:r>
      <w:r w:rsidR="00C03625" w:rsidRPr="00DE1E8C">
        <w:rPr>
          <w:sz w:val="20"/>
          <w:szCs w:val="20"/>
          <w:lang w:val="en-GB"/>
        </w:rPr>
        <w:t>osterior probability density plots for drift rates</w:t>
      </w:r>
      <w:r w:rsidR="00823256" w:rsidRPr="00DE1E8C">
        <w:rPr>
          <w:sz w:val="20"/>
          <w:szCs w:val="20"/>
          <w:lang w:val="en-GB"/>
        </w:rPr>
        <w:t xml:space="preserve"> </w:t>
      </w:r>
      <w:r w:rsidR="00823256" w:rsidRPr="00DE1E8C">
        <w:rPr>
          <w:i/>
          <w:sz w:val="20"/>
          <w:szCs w:val="20"/>
          <w:lang w:val="en-GB"/>
        </w:rPr>
        <w:t>v</w:t>
      </w:r>
      <w:r w:rsidR="00C03625" w:rsidRPr="00DE1E8C">
        <w:rPr>
          <w:sz w:val="20"/>
          <w:szCs w:val="20"/>
          <w:lang w:val="en-GB"/>
        </w:rPr>
        <w:t xml:space="preserve"> (top panel) and decision boundaries</w:t>
      </w:r>
      <w:r w:rsidR="00823256" w:rsidRPr="00DE1E8C">
        <w:rPr>
          <w:sz w:val="20"/>
          <w:szCs w:val="20"/>
          <w:lang w:val="en-GB"/>
        </w:rPr>
        <w:t xml:space="preserve"> </w:t>
      </w:r>
      <w:r w:rsidR="00823256" w:rsidRPr="00DE1E8C">
        <w:rPr>
          <w:i/>
          <w:sz w:val="20"/>
          <w:szCs w:val="20"/>
          <w:lang w:val="en-GB"/>
        </w:rPr>
        <w:t>a</w:t>
      </w:r>
      <w:r w:rsidR="00153E17" w:rsidRPr="00DE1E8C">
        <w:rPr>
          <w:sz w:val="20"/>
          <w:szCs w:val="20"/>
          <w:lang w:val="en-GB"/>
        </w:rPr>
        <w:t xml:space="preserve"> (bottom panel), in</w:t>
      </w:r>
      <w:r w:rsidR="0046703C" w:rsidRPr="00DE1E8C">
        <w:rPr>
          <w:sz w:val="20"/>
          <w:szCs w:val="20"/>
          <w:lang w:val="en-GB"/>
        </w:rPr>
        <w:t xml:space="preserve"> each task condition.</w:t>
      </w:r>
      <w:r w:rsidR="00586F29" w:rsidRPr="00DE1E8C">
        <w:rPr>
          <w:sz w:val="20"/>
          <w:szCs w:val="20"/>
          <w:lang w:val="en-GB"/>
        </w:rPr>
        <w:t xml:space="preserve"> </w:t>
      </w:r>
      <w:r w:rsidR="00586F29" w:rsidRPr="00DE1E8C">
        <w:rPr>
          <w:bCs/>
          <w:iCs/>
          <w:sz w:val="20"/>
          <w:szCs w:val="20"/>
          <w:lang w:val="en-GB"/>
        </w:rPr>
        <w:t>Peaks of distributions reflect the most likely value of the parameter.</w:t>
      </w:r>
      <w:r w:rsidR="006A0F0A" w:rsidRPr="00DE1E8C">
        <w:rPr>
          <w:sz w:val="20"/>
          <w:szCs w:val="20"/>
          <w:lang w:val="en-GB"/>
        </w:rPr>
        <w:t xml:space="preserve"> </w:t>
      </w:r>
      <w:r w:rsidR="00BD512A" w:rsidRPr="00DE1E8C">
        <w:rPr>
          <w:sz w:val="20"/>
          <w:szCs w:val="20"/>
          <w:lang w:val="en-GB"/>
        </w:rPr>
        <w:t>N = 23 Controls, 16 Alzheimer’s disease (AD), 31 Lewy body disease (LBD)</w:t>
      </w:r>
      <w:r w:rsidR="006A0F0A" w:rsidRPr="00DE1E8C">
        <w:rPr>
          <w:sz w:val="20"/>
          <w:szCs w:val="20"/>
          <w:lang w:val="en-GB"/>
        </w:rPr>
        <w:t xml:space="preserve">. </w:t>
      </w:r>
      <w:r w:rsidR="00836B6D" w:rsidRPr="00DE1E8C">
        <w:rPr>
          <w:sz w:val="20"/>
          <w:szCs w:val="20"/>
          <w:lang w:val="en-GB"/>
        </w:rPr>
        <w:t xml:space="preserve">For the drift rate, </w:t>
      </w:r>
      <w:r w:rsidR="008D35C7" w:rsidRPr="00DE1E8C">
        <w:rPr>
          <w:sz w:val="20"/>
          <w:szCs w:val="20"/>
          <w:lang w:val="en-GB"/>
        </w:rPr>
        <w:t xml:space="preserve">percentage of overlap in the posterior probabilities </w:t>
      </w:r>
      <w:r w:rsidR="00836B6D" w:rsidRPr="00DE1E8C">
        <w:rPr>
          <w:sz w:val="20"/>
          <w:szCs w:val="20"/>
          <w:lang w:val="en-GB"/>
        </w:rPr>
        <w:t>(</w:t>
      </w:r>
      <w:r w:rsidR="008D35C7" w:rsidRPr="00DE1E8C">
        <w:rPr>
          <w:sz w:val="20"/>
          <w:szCs w:val="20"/>
          <w:lang w:val="en-GB"/>
        </w:rPr>
        <w:t>P</w:t>
      </w:r>
      <w:r w:rsidR="00836B6D" w:rsidRPr="00DE1E8C">
        <w:rPr>
          <w:sz w:val="20"/>
          <w:szCs w:val="20"/>
          <w:lang w:val="en-GB"/>
        </w:rPr>
        <w:t>)</w:t>
      </w:r>
      <w:r w:rsidR="00866C8D" w:rsidRPr="00DE1E8C">
        <w:rPr>
          <w:sz w:val="20"/>
          <w:szCs w:val="20"/>
          <w:lang w:val="en-GB"/>
        </w:rPr>
        <w:t xml:space="preserve"> in</w:t>
      </w:r>
      <w:r w:rsidR="00BA0FCC" w:rsidRPr="00DE1E8C">
        <w:rPr>
          <w:sz w:val="20"/>
          <w:szCs w:val="20"/>
          <w:lang w:val="en-GB"/>
        </w:rPr>
        <w:t xml:space="preserve"> LBD vs. AD: congruent: P = 0.02%; incongruent-EASY: P = 1.35%; incongruent-HARD: P = 2.80%; LBD and AD vs. Controls: congruent: P = 0.00%; incongruent-EASY: P = 0.00%; incongruent-HARD: P = 0.00%. For the decision boundaries,</w:t>
      </w:r>
      <w:r w:rsidR="00FE3522" w:rsidRPr="00DE1E8C">
        <w:rPr>
          <w:sz w:val="20"/>
          <w:szCs w:val="20"/>
          <w:lang w:val="en-GB"/>
        </w:rPr>
        <w:t xml:space="preserve"> LBD vs. AD: congruent: P = 23.49%; incongruent-EASY: P = 25.77%; incongruent-HARD: P = 38.22%; </w:t>
      </w:r>
      <w:r w:rsidR="00031209" w:rsidRPr="00DE1E8C">
        <w:rPr>
          <w:sz w:val="20"/>
          <w:szCs w:val="20"/>
          <w:lang w:val="en-GB"/>
        </w:rPr>
        <w:t xml:space="preserve">LBD vs. Controls: congruent: P = 0.00%; incongruent-EASY: P = 0.00%; incongruent-HARD: P = 0.00%; AD vs. Controls: congruent: P = 0.06%; incongruent-EASY: P = 0.00%; incongruent-HARD: P = 0.00%.   </w:t>
      </w:r>
      <w:r w:rsidR="00FE3522" w:rsidRPr="00DE1E8C">
        <w:rPr>
          <w:sz w:val="20"/>
          <w:szCs w:val="20"/>
          <w:lang w:val="en-GB"/>
        </w:rPr>
        <w:t xml:space="preserve"> </w:t>
      </w:r>
      <w:r w:rsidR="00BA0FCC" w:rsidRPr="00DE1E8C">
        <w:rPr>
          <w:sz w:val="20"/>
          <w:szCs w:val="20"/>
          <w:lang w:val="en-GB"/>
        </w:rPr>
        <w:t xml:space="preserve">  </w:t>
      </w:r>
    </w:p>
    <w:p w14:paraId="624D1A8F" w14:textId="77777777" w:rsidR="00C03625" w:rsidRPr="00DE1E8C" w:rsidRDefault="00C03625" w:rsidP="00551517">
      <w:pPr>
        <w:spacing w:line="360" w:lineRule="auto"/>
        <w:contextualSpacing/>
        <w:jc w:val="both"/>
        <w:rPr>
          <w:lang w:val="en-GB"/>
        </w:rPr>
      </w:pPr>
    </w:p>
    <w:p w14:paraId="62B088A0" w14:textId="294E31BA" w:rsidR="00E8016F" w:rsidRPr="00DE1E8C" w:rsidRDefault="001A206A" w:rsidP="00551517">
      <w:pPr>
        <w:spacing w:line="360" w:lineRule="auto"/>
        <w:contextualSpacing/>
        <w:jc w:val="both"/>
        <w:rPr>
          <w:lang w:val="en-GB"/>
        </w:rPr>
      </w:pPr>
      <w:r w:rsidRPr="00DE1E8C">
        <w:rPr>
          <w:lang w:val="en-GB"/>
        </w:rPr>
        <w:t>For the non-decision time (</w:t>
      </w:r>
      <w:r w:rsidRPr="00DE1E8C">
        <w:rPr>
          <w:i/>
          <w:lang w:val="en-GB"/>
        </w:rPr>
        <w:t>T</w:t>
      </w:r>
      <w:r w:rsidRPr="00DE1E8C">
        <w:rPr>
          <w:lang w:val="en-GB"/>
        </w:rPr>
        <w:t>), shown in Fig</w:t>
      </w:r>
      <w:r w:rsidR="00613976" w:rsidRPr="00DE1E8C">
        <w:rPr>
          <w:lang w:val="en-GB"/>
        </w:rPr>
        <w:t>.</w:t>
      </w:r>
      <w:r w:rsidRPr="00DE1E8C">
        <w:rPr>
          <w:lang w:val="en-GB"/>
        </w:rPr>
        <w:t xml:space="preserve"> </w:t>
      </w:r>
      <w:r w:rsidR="00F71682" w:rsidRPr="00DE1E8C">
        <w:rPr>
          <w:lang w:val="en-GB"/>
        </w:rPr>
        <w:t>4,</w:t>
      </w:r>
      <w:r w:rsidR="0012620B" w:rsidRPr="00DE1E8C">
        <w:rPr>
          <w:lang w:val="en-GB"/>
        </w:rPr>
        <w:t xml:space="preserve"> </w:t>
      </w:r>
      <w:r w:rsidR="004C71DA" w:rsidRPr="00DE1E8C">
        <w:rPr>
          <w:lang w:val="en-GB"/>
        </w:rPr>
        <w:t xml:space="preserve">all groups differed significantly with </w:t>
      </w:r>
      <w:r w:rsidR="00814952" w:rsidRPr="00DE1E8C">
        <w:rPr>
          <w:lang w:val="en-GB"/>
        </w:rPr>
        <w:t xml:space="preserve">the </w:t>
      </w:r>
      <w:r w:rsidR="001210D3" w:rsidRPr="00DE1E8C">
        <w:rPr>
          <w:lang w:val="en-GB"/>
        </w:rPr>
        <w:t>Lewy body dementia</w:t>
      </w:r>
      <w:r w:rsidR="00814952" w:rsidRPr="00DE1E8C">
        <w:rPr>
          <w:lang w:val="en-GB"/>
        </w:rPr>
        <w:t xml:space="preserve"> group showing the longest non-decision time, followed by the A</w:t>
      </w:r>
      <w:r w:rsidR="008F00E3" w:rsidRPr="00DE1E8C">
        <w:rPr>
          <w:lang w:val="en-GB"/>
        </w:rPr>
        <w:t>lzheimer’s disease</w:t>
      </w:r>
      <w:r w:rsidR="00814952" w:rsidRPr="00DE1E8C">
        <w:rPr>
          <w:lang w:val="en-GB"/>
        </w:rPr>
        <w:t xml:space="preserve"> group, then controls</w:t>
      </w:r>
      <w:r w:rsidR="00A729FA" w:rsidRPr="00DE1E8C">
        <w:rPr>
          <w:lang w:val="en-GB"/>
        </w:rPr>
        <w:t xml:space="preserve"> (</w:t>
      </w:r>
      <w:r w:rsidR="001210D3" w:rsidRPr="00DE1E8C">
        <w:rPr>
          <w:lang w:val="en-GB"/>
        </w:rPr>
        <w:t>Lewy body dementia</w:t>
      </w:r>
      <w:r w:rsidR="00A729FA" w:rsidRPr="00DE1E8C">
        <w:rPr>
          <w:lang w:val="en-GB"/>
        </w:rPr>
        <w:t xml:space="preserve"> vs. </w:t>
      </w:r>
      <w:r w:rsidR="003E49E8" w:rsidRPr="00DE1E8C">
        <w:rPr>
          <w:lang w:val="en-GB"/>
        </w:rPr>
        <w:t>Alzheimer’s disease</w:t>
      </w:r>
      <w:r w:rsidR="00A729FA" w:rsidRPr="00DE1E8C">
        <w:rPr>
          <w:lang w:val="en-GB"/>
        </w:rPr>
        <w:t xml:space="preserve">: </w:t>
      </w:r>
      <w:r w:rsidR="00A729FA" w:rsidRPr="00DE1E8C">
        <w:rPr>
          <w:i/>
          <w:lang w:val="en-GB"/>
        </w:rPr>
        <w:t>P</w:t>
      </w:r>
      <w:r w:rsidR="00A729FA" w:rsidRPr="00DE1E8C">
        <w:rPr>
          <w:lang w:val="en-GB"/>
        </w:rPr>
        <w:t xml:space="preserve"> = </w:t>
      </w:r>
      <w:r w:rsidR="00A05A2B" w:rsidRPr="00DE1E8C">
        <w:rPr>
          <w:lang w:val="en-GB"/>
        </w:rPr>
        <w:t xml:space="preserve">0.50%; </w:t>
      </w:r>
      <w:r w:rsidR="001210D3" w:rsidRPr="00DE1E8C">
        <w:rPr>
          <w:lang w:val="en-GB"/>
        </w:rPr>
        <w:t>Lewy body dementia</w:t>
      </w:r>
      <w:r w:rsidR="00A05A2B" w:rsidRPr="00DE1E8C">
        <w:rPr>
          <w:lang w:val="en-GB"/>
        </w:rPr>
        <w:t xml:space="preserve"> vs. controls: </w:t>
      </w:r>
      <w:r w:rsidR="00A729FA" w:rsidRPr="00DE1E8C">
        <w:rPr>
          <w:i/>
          <w:lang w:val="en-GB"/>
        </w:rPr>
        <w:t>P</w:t>
      </w:r>
      <w:r w:rsidR="00A729FA" w:rsidRPr="00DE1E8C">
        <w:rPr>
          <w:lang w:val="en-GB"/>
        </w:rPr>
        <w:t xml:space="preserve"> = 0.00%</w:t>
      </w:r>
      <w:r w:rsidR="00A05A2B" w:rsidRPr="00DE1E8C">
        <w:rPr>
          <w:lang w:val="en-GB"/>
        </w:rPr>
        <w:t>; AD vs. controls:</w:t>
      </w:r>
      <w:r w:rsidR="00DD247E" w:rsidRPr="00DE1E8C">
        <w:rPr>
          <w:lang w:val="en-GB"/>
        </w:rPr>
        <w:t xml:space="preserve"> </w:t>
      </w:r>
      <w:r w:rsidR="00DD247E" w:rsidRPr="00DE1E8C">
        <w:rPr>
          <w:i/>
          <w:lang w:val="en-GB"/>
        </w:rPr>
        <w:t>P</w:t>
      </w:r>
      <w:r w:rsidR="00DD247E" w:rsidRPr="00DE1E8C">
        <w:rPr>
          <w:lang w:val="en-GB"/>
        </w:rPr>
        <w:t xml:space="preserve"> = 0.08%). </w:t>
      </w:r>
      <w:r w:rsidR="00A05A2B" w:rsidRPr="00DE1E8C">
        <w:rPr>
          <w:lang w:val="en-GB"/>
        </w:rPr>
        <w:t xml:space="preserve"> </w:t>
      </w:r>
    </w:p>
    <w:p w14:paraId="7265BA8B" w14:textId="77777777" w:rsidR="00E8016F" w:rsidRPr="00DE1E8C" w:rsidRDefault="00E8016F" w:rsidP="00551517">
      <w:pPr>
        <w:spacing w:line="360" w:lineRule="auto"/>
        <w:contextualSpacing/>
        <w:jc w:val="both"/>
        <w:rPr>
          <w:lang w:val="en-GB"/>
        </w:rPr>
      </w:pPr>
    </w:p>
    <w:p w14:paraId="7E6E9EF6" w14:textId="51DAA96F" w:rsidR="007619FC" w:rsidRPr="00DE1E8C" w:rsidRDefault="00E8016F" w:rsidP="00551517">
      <w:pPr>
        <w:spacing w:line="360" w:lineRule="auto"/>
        <w:contextualSpacing/>
        <w:jc w:val="both"/>
        <w:rPr>
          <w:lang w:val="en-GB"/>
        </w:rPr>
      </w:pPr>
      <w:r w:rsidRPr="00DE1E8C">
        <w:rPr>
          <w:noProof/>
          <w:lang w:val="en-GB"/>
        </w:rPr>
        <w:lastRenderedPageBreak/>
        <w:drawing>
          <wp:anchor distT="0" distB="0" distL="114300" distR="114300" simplePos="0" relativeHeight="251668480" behindDoc="0" locked="0" layoutInCell="1" allowOverlap="1" wp14:anchorId="281A2EF0" wp14:editId="3807697E">
            <wp:simplePos x="0" y="0"/>
            <wp:positionH relativeFrom="margin">
              <wp:posOffset>1905</wp:posOffset>
            </wp:positionH>
            <wp:positionV relativeFrom="paragraph">
              <wp:posOffset>265430</wp:posOffset>
            </wp:positionV>
            <wp:extent cx="2059305" cy="1652270"/>
            <wp:effectExtent l="0" t="0" r="0" b="0"/>
            <wp:wrapTopAndBottom/>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2059305" cy="1652270"/>
                    </a:xfrm>
                    <a:prstGeom prst="rect">
                      <a:avLst/>
                    </a:prstGeom>
                  </pic:spPr>
                </pic:pic>
              </a:graphicData>
            </a:graphic>
            <wp14:sizeRelH relativeFrom="page">
              <wp14:pctWidth>0</wp14:pctWidth>
            </wp14:sizeRelH>
            <wp14:sizeRelV relativeFrom="page">
              <wp14:pctHeight>0</wp14:pctHeight>
            </wp14:sizeRelV>
          </wp:anchor>
        </w:drawing>
      </w:r>
      <w:r w:rsidR="00050DA8" w:rsidRPr="00DE1E8C">
        <w:rPr>
          <w:b/>
          <w:lang w:val="en-GB"/>
        </w:rPr>
        <w:t>Figure 4.</w:t>
      </w:r>
      <w:r w:rsidR="00A54BD1" w:rsidRPr="00DE1E8C">
        <w:rPr>
          <w:b/>
          <w:lang w:val="en-GB"/>
        </w:rPr>
        <w:t xml:space="preserve"> Non-decision time</w:t>
      </w:r>
    </w:p>
    <w:p w14:paraId="1D20651A" w14:textId="5A0D78A8" w:rsidR="00587130" w:rsidRPr="00DE1E8C" w:rsidRDefault="00587130" w:rsidP="00551517">
      <w:pPr>
        <w:spacing w:line="360" w:lineRule="auto"/>
        <w:contextualSpacing/>
        <w:jc w:val="both"/>
        <w:rPr>
          <w:lang w:val="en-GB"/>
        </w:rPr>
      </w:pPr>
    </w:p>
    <w:p w14:paraId="67C386BE" w14:textId="750497DB" w:rsidR="00A54BD1" w:rsidRPr="00DE1E8C" w:rsidRDefault="00947C4D" w:rsidP="00866C8D">
      <w:pPr>
        <w:contextualSpacing/>
        <w:jc w:val="both"/>
        <w:rPr>
          <w:bCs/>
          <w:iCs/>
          <w:sz w:val="20"/>
          <w:szCs w:val="20"/>
          <w:lang w:val="en-GB"/>
        </w:rPr>
      </w:pPr>
      <w:r w:rsidRPr="00DE1E8C">
        <w:rPr>
          <w:bCs/>
          <w:iCs/>
          <w:sz w:val="20"/>
          <w:szCs w:val="20"/>
          <w:lang w:val="en-GB"/>
        </w:rPr>
        <w:t>Figure 4</w:t>
      </w:r>
      <w:r w:rsidR="00A54BD1" w:rsidRPr="00DE1E8C">
        <w:rPr>
          <w:bCs/>
          <w:iCs/>
          <w:sz w:val="20"/>
          <w:szCs w:val="20"/>
          <w:lang w:val="en-GB"/>
        </w:rPr>
        <w:t xml:space="preserve"> </w:t>
      </w:r>
      <w:r w:rsidR="00B30B1F" w:rsidRPr="00DE1E8C">
        <w:rPr>
          <w:bCs/>
          <w:iCs/>
          <w:sz w:val="20"/>
          <w:szCs w:val="20"/>
          <w:lang w:val="en-GB"/>
        </w:rPr>
        <w:t>–</w:t>
      </w:r>
      <w:r w:rsidR="00A54BD1" w:rsidRPr="00DE1E8C">
        <w:rPr>
          <w:bCs/>
          <w:iCs/>
          <w:sz w:val="20"/>
          <w:szCs w:val="20"/>
          <w:lang w:val="en-GB"/>
        </w:rPr>
        <w:t xml:space="preserve"> Group comparison of the posterior probability density plots for non-decision time (T</w:t>
      </w:r>
      <w:r w:rsidR="00153E17" w:rsidRPr="00DE1E8C">
        <w:rPr>
          <w:bCs/>
          <w:iCs/>
          <w:sz w:val="20"/>
          <w:szCs w:val="20"/>
          <w:lang w:val="en-GB"/>
        </w:rPr>
        <w:t>), combined across task conditions.</w:t>
      </w:r>
      <w:r w:rsidR="00A6729B" w:rsidRPr="00DE1E8C">
        <w:rPr>
          <w:bCs/>
          <w:iCs/>
          <w:sz w:val="20"/>
          <w:szCs w:val="20"/>
          <w:lang w:val="en-GB"/>
        </w:rPr>
        <w:t xml:space="preserve"> Peaks of distributions reflect the most likely value of the parameter.</w:t>
      </w:r>
      <w:r w:rsidR="00581EFC" w:rsidRPr="00DE1E8C">
        <w:rPr>
          <w:bCs/>
          <w:iCs/>
          <w:sz w:val="20"/>
          <w:szCs w:val="20"/>
          <w:lang w:val="en-GB"/>
        </w:rPr>
        <w:t xml:space="preserve"> N = 23 Controls, 16 Alzheimer’s disease (AD), 31 Lewy body disease (LBD).</w:t>
      </w:r>
      <w:r w:rsidR="001453BB" w:rsidRPr="00DE1E8C">
        <w:rPr>
          <w:bCs/>
          <w:iCs/>
          <w:sz w:val="20"/>
          <w:szCs w:val="20"/>
          <w:lang w:val="en-GB"/>
        </w:rPr>
        <w:t xml:space="preserve"> </w:t>
      </w:r>
      <w:r w:rsidR="001453BB" w:rsidRPr="00DE1E8C">
        <w:rPr>
          <w:sz w:val="20"/>
          <w:szCs w:val="20"/>
          <w:lang w:val="en-GB"/>
        </w:rPr>
        <w:t>Percentage of overlap in the posterior probabilities (P)</w:t>
      </w:r>
      <w:r w:rsidR="00044713" w:rsidRPr="00DE1E8C">
        <w:rPr>
          <w:sz w:val="20"/>
          <w:szCs w:val="20"/>
          <w:lang w:val="en-GB"/>
        </w:rPr>
        <w:t xml:space="preserve"> in</w:t>
      </w:r>
      <w:r w:rsidR="00044713" w:rsidRPr="00DE1E8C">
        <w:rPr>
          <w:bCs/>
          <w:iCs/>
          <w:sz w:val="20"/>
          <w:szCs w:val="20"/>
          <w:lang w:val="en-GB"/>
        </w:rPr>
        <w:t xml:space="preserve"> </w:t>
      </w:r>
      <w:r w:rsidR="00866C8D" w:rsidRPr="00DE1E8C">
        <w:rPr>
          <w:bCs/>
          <w:iCs/>
          <w:sz w:val="20"/>
          <w:szCs w:val="20"/>
          <w:lang w:val="en-GB"/>
        </w:rPr>
        <w:t>L</w:t>
      </w:r>
      <w:r w:rsidR="00044713" w:rsidRPr="00DE1E8C">
        <w:rPr>
          <w:bCs/>
          <w:iCs/>
          <w:sz w:val="20"/>
          <w:szCs w:val="20"/>
          <w:lang w:val="en-GB"/>
        </w:rPr>
        <w:t>BD</w:t>
      </w:r>
      <w:r w:rsidR="00866C8D" w:rsidRPr="00DE1E8C">
        <w:rPr>
          <w:bCs/>
          <w:iCs/>
          <w:sz w:val="20"/>
          <w:szCs w:val="20"/>
          <w:lang w:val="en-GB"/>
        </w:rPr>
        <w:t xml:space="preserve"> vs. A</w:t>
      </w:r>
      <w:r w:rsidR="00044713" w:rsidRPr="00DE1E8C">
        <w:rPr>
          <w:bCs/>
          <w:iCs/>
          <w:sz w:val="20"/>
          <w:szCs w:val="20"/>
          <w:lang w:val="en-GB"/>
        </w:rPr>
        <w:t>D</w:t>
      </w:r>
      <w:r w:rsidR="00866C8D" w:rsidRPr="00DE1E8C">
        <w:rPr>
          <w:bCs/>
          <w:iCs/>
          <w:sz w:val="20"/>
          <w:szCs w:val="20"/>
          <w:lang w:val="en-GB"/>
        </w:rPr>
        <w:t>: P = 0.50%; L</w:t>
      </w:r>
      <w:r w:rsidR="00044713" w:rsidRPr="00DE1E8C">
        <w:rPr>
          <w:bCs/>
          <w:iCs/>
          <w:sz w:val="20"/>
          <w:szCs w:val="20"/>
          <w:lang w:val="en-GB"/>
        </w:rPr>
        <w:t>BD</w:t>
      </w:r>
      <w:r w:rsidR="00866C8D" w:rsidRPr="00DE1E8C">
        <w:rPr>
          <w:bCs/>
          <w:iCs/>
          <w:sz w:val="20"/>
          <w:szCs w:val="20"/>
          <w:lang w:val="en-GB"/>
        </w:rPr>
        <w:t xml:space="preserve"> vs. </w:t>
      </w:r>
      <w:r w:rsidR="00044713" w:rsidRPr="00DE1E8C">
        <w:rPr>
          <w:bCs/>
          <w:iCs/>
          <w:sz w:val="20"/>
          <w:szCs w:val="20"/>
          <w:lang w:val="en-GB"/>
        </w:rPr>
        <w:t>C</w:t>
      </w:r>
      <w:r w:rsidR="00866C8D" w:rsidRPr="00DE1E8C">
        <w:rPr>
          <w:bCs/>
          <w:iCs/>
          <w:sz w:val="20"/>
          <w:szCs w:val="20"/>
          <w:lang w:val="en-GB"/>
        </w:rPr>
        <w:t>ontrols: P = 0.00%; AD vs. controls: P = 0.08%</w:t>
      </w:r>
      <w:r w:rsidR="00044713" w:rsidRPr="00DE1E8C">
        <w:rPr>
          <w:bCs/>
          <w:iCs/>
          <w:sz w:val="20"/>
          <w:szCs w:val="20"/>
          <w:lang w:val="en-GB"/>
        </w:rPr>
        <w:t>.</w:t>
      </w:r>
      <w:r w:rsidR="00A6729B" w:rsidRPr="00DE1E8C">
        <w:rPr>
          <w:bCs/>
          <w:iCs/>
          <w:sz w:val="20"/>
          <w:szCs w:val="20"/>
          <w:lang w:val="en-GB"/>
        </w:rPr>
        <w:t xml:space="preserve"> </w:t>
      </w:r>
      <w:r w:rsidR="00153E17" w:rsidRPr="00DE1E8C">
        <w:rPr>
          <w:bCs/>
          <w:iCs/>
          <w:sz w:val="20"/>
          <w:szCs w:val="20"/>
          <w:lang w:val="en-GB"/>
        </w:rPr>
        <w:t xml:space="preserve"> </w:t>
      </w:r>
      <w:r w:rsidR="00A54BD1" w:rsidRPr="00DE1E8C">
        <w:rPr>
          <w:bCs/>
          <w:iCs/>
          <w:sz w:val="20"/>
          <w:szCs w:val="20"/>
          <w:lang w:val="en-GB"/>
        </w:rPr>
        <w:t xml:space="preserve">     </w:t>
      </w:r>
    </w:p>
    <w:p w14:paraId="34F3803D" w14:textId="7C8B6FD6" w:rsidR="00C64333" w:rsidRPr="00DE1E8C" w:rsidRDefault="00C64333" w:rsidP="00551517">
      <w:pPr>
        <w:spacing w:line="360" w:lineRule="auto"/>
        <w:contextualSpacing/>
        <w:jc w:val="both"/>
        <w:rPr>
          <w:b/>
          <w:i/>
          <w:sz w:val="20"/>
          <w:szCs w:val="20"/>
          <w:lang w:val="en-GB"/>
        </w:rPr>
      </w:pPr>
    </w:p>
    <w:p w14:paraId="4D4403E3" w14:textId="1C12B3A6" w:rsidR="00610F90" w:rsidRPr="00DE1E8C" w:rsidRDefault="002E42B8" w:rsidP="00551517">
      <w:pPr>
        <w:spacing w:line="360" w:lineRule="auto"/>
        <w:contextualSpacing/>
        <w:jc w:val="both"/>
        <w:rPr>
          <w:b/>
          <w:i/>
          <w:lang w:val="en-GB"/>
        </w:rPr>
      </w:pPr>
      <w:r w:rsidRPr="00DE1E8C">
        <w:rPr>
          <w:b/>
          <w:i/>
          <w:lang w:val="en-GB"/>
        </w:rPr>
        <w:t>Correlations with clinical measures</w:t>
      </w:r>
      <w:r w:rsidR="00097A42" w:rsidRPr="00DE1E8C">
        <w:rPr>
          <w:b/>
          <w:i/>
          <w:lang w:val="en-GB"/>
        </w:rPr>
        <w:t xml:space="preserve"> of cognitive fluctuation</w:t>
      </w:r>
    </w:p>
    <w:p w14:paraId="3E866167" w14:textId="7CFBC2F2" w:rsidR="008D591E" w:rsidRPr="00DE1E8C" w:rsidRDefault="005A15D7" w:rsidP="005A15D7">
      <w:pPr>
        <w:spacing w:line="360" w:lineRule="auto"/>
        <w:contextualSpacing/>
        <w:jc w:val="both"/>
        <w:rPr>
          <w:bCs/>
          <w:iCs/>
          <w:lang w:val="en-GB"/>
        </w:rPr>
      </w:pPr>
      <w:r w:rsidRPr="00DE1E8C">
        <w:rPr>
          <w:bCs/>
          <w:iCs/>
          <w:lang w:val="en-GB"/>
        </w:rPr>
        <w:t xml:space="preserve">Spearman’s correlations </w:t>
      </w:r>
      <w:r w:rsidR="008D591E" w:rsidRPr="00DE1E8C">
        <w:rPr>
          <w:bCs/>
          <w:iCs/>
          <w:lang w:val="en-GB"/>
        </w:rPr>
        <w:t xml:space="preserve">were </w:t>
      </w:r>
      <w:r w:rsidR="004A73C9" w:rsidRPr="00DE1E8C">
        <w:rPr>
          <w:bCs/>
          <w:iCs/>
          <w:lang w:val="en-GB"/>
        </w:rPr>
        <w:t xml:space="preserve">conducted between </w:t>
      </w:r>
      <w:r w:rsidR="008D591E" w:rsidRPr="00DE1E8C">
        <w:rPr>
          <w:bCs/>
          <w:iCs/>
          <w:lang w:val="en-GB"/>
        </w:rPr>
        <w:t>flu</w:t>
      </w:r>
      <w:r w:rsidR="00AA407C" w:rsidRPr="00DE1E8C">
        <w:rPr>
          <w:bCs/>
          <w:iCs/>
          <w:lang w:val="en-GB"/>
        </w:rPr>
        <w:t>ctuation</w:t>
      </w:r>
      <w:r w:rsidR="008D591E" w:rsidRPr="00DE1E8C">
        <w:rPr>
          <w:bCs/>
          <w:iCs/>
          <w:lang w:val="en-GB"/>
        </w:rPr>
        <w:t xml:space="preserve"> scores</w:t>
      </w:r>
      <w:r w:rsidR="004A73C9" w:rsidRPr="00DE1E8C">
        <w:rPr>
          <w:bCs/>
          <w:iCs/>
          <w:lang w:val="en-GB"/>
        </w:rPr>
        <w:t xml:space="preserve"> (i.e., CAF total, Mayo total, Mayo </w:t>
      </w:r>
      <w:r w:rsidR="002760FF" w:rsidRPr="00DE1E8C">
        <w:rPr>
          <w:color w:val="1A1718"/>
          <w:lang w:val="en-GB"/>
        </w:rPr>
        <w:t>cognitive-attention and arousal-alertness subscales)</w:t>
      </w:r>
      <w:r w:rsidR="002760FF" w:rsidRPr="00DE1E8C">
        <w:rPr>
          <w:bCs/>
          <w:iCs/>
          <w:lang w:val="en-GB"/>
        </w:rPr>
        <w:t xml:space="preserve"> </w:t>
      </w:r>
      <w:r w:rsidR="00AA407C" w:rsidRPr="00DE1E8C">
        <w:rPr>
          <w:bCs/>
          <w:iCs/>
          <w:lang w:val="en-GB"/>
        </w:rPr>
        <w:t>in the Lewy body dementia group</w:t>
      </w:r>
      <w:r w:rsidR="004A73C9" w:rsidRPr="00DE1E8C">
        <w:rPr>
          <w:bCs/>
          <w:iCs/>
          <w:lang w:val="en-GB"/>
        </w:rPr>
        <w:t xml:space="preserve"> and mean drift rates across the three task conditions.</w:t>
      </w:r>
      <w:r w:rsidR="00067F10" w:rsidRPr="00DE1E8C">
        <w:rPr>
          <w:bCs/>
          <w:iCs/>
          <w:lang w:val="en-GB"/>
        </w:rPr>
        <w:t xml:space="preserve"> We did not observe significant correlations in any of these measures (</w:t>
      </w:r>
      <w:r w:rsidR="00D75E99" w:rsidRPr="00DE1E8C">
        <w:rPr>
          <w:bCs/>
          <w:i/>
          <w:lang w:val="en-GB"/>
        </w:rPr>
        <w:t>p</w:t>
      </w:r>
      <w:r w:rsidR="00D75E99" w:rsidRPr="00DE1E8C">
        <w:rPr>
          <w:bCs/>
          <w:iCs/>
          <w:lang w:val="en-GB"/>
        </w:rPr>
        <w:t xml:space="preserve"> values &gt; </w:t>
      </w:r>
      <w:r w:rsidR="000A0EEB" w:rsidRPr="00DE1E8C">
        <w:rPr>
          <w:bCs/>
          <w:iCs/>
          <w:lang w:val="en-GB"/>
        </w:rPr>
        <w:t xml:space="preserve">0.95). </w:t>
      </w:r>
    </w:p>
    <w:p w14:paraId="115CB3CE" w14:textId="77777777" w:rsidR="00610F90" w:rsidRPr="00DE1E8C" w:rsidRDefault="00610F90" w:rsidP="00551517">
      <w:pPr>
        <w:spacing w:line="360" w:lineRule="auto"/>
        <w:contextualSpacing/>
        <w:jc w:val="both"/>
        <w:rPr>
          <w:b/>
          <w:i/>
          <w:lang w:val="en-GB"/>
        </w:rPr>
      </w:pPr>
    </w:p>
    <w:p w14:paraId="371F9EB7" w14:textId="1CF8D6FF" w:rsidR="005330B1" w:rsidRPr="00DE1E8C" w:rsidRDefault="00C64333" w:rsidP="00551517">
      <w:pPr>
        <w:spacing w:line="360" w:lineRule="auto"/>
        <w:contextualSpacing/>
        <w:jc w:val="both"/>
        <w:rPr>
          <w:b/>
          <w:i/>
          <w:lang w:val="en-GB"/>
        </w:rPr>
      </w:pPr>
      <w:r w:rsidRPr="00DE1E8C">
        <w:rPr>
          <w:b/>
          <w:i/>
          <w:lang w:val="en-GB"/>
        </w:rPr>
        <w:t>Relationship between</w:t>
      </w:r>
      <w:r w:rsidR="00EF59A5" w:rsidRPr="00DE1E8C">
        <w:rPr>
          <w:b/>
          <w:i/>
          <w:lang w:val="en-GB"/>
        </w:rPr>
        <w:t xml:space="preserve"> drift rate and</w:t>
      </w:r>
      <w:r w:rsidRPr="00DE1E8C">
        <w:rPr>
          <w:b/>
          <w:i/>
          <w:lang w:val="en-GB"/>
        </w:rPr>
        <w:t xml:space="preserve"> trial-by-trial fluctuations </w:t>
      </w:r>
      <w:r w:rsidR="00EF59A5" w:rsidRPr="00DE1E8C">
        <w:rPr>
          <w:b/>
          <w:i/>
          <w:lang w:val="en-GB"/>
        </w:rPr>
        <w:t xml:space="preserve">in </w:t>
      </w:r>
      <w:r w:rsidRPr="00DE1E8C">
        <w:rPr>
          <w:b/>
          <w:i/>
          <w:lang w:val="en-GB"/>
        </w:rPr>
        <w:t>network activity</w:t>
      </w:r>
    </w:p>
    <w:p w14:paraId="1E671D58" w14:textId="7FF857A2" w:rsidR="00805E22" w:rsidRPr="00DE1E8C" w:rsidRDefault="005330B1" w:rsidP="00551517">
      <w:pPr>
        <w:spacing w:line="360" w:lineRule="auto"/>
        <w:contextualSpacing/>
        <w:jc w:val="both"/>
        <w:rPr>
          <w:bCs/>
          <w:iCs/>
          <w:lang w:val="en-GB"/>
        </w:rPr>
      </w:pPr>
      <w:r w:rsidRPr="00DE1E8C">
        <w:rPr>
          <w:bCs/>
          <w:iCs/>
          <w:lang w:val="en-GB"/>
        </w:rPr>
        <w:t>The hDDM identified the drift rate (</w:t>
      </w:r>
      <w:r w:rsidRPr="00DE1E8C">
        <w:rPr>
          <w:bCs/>
          <w:i/>
          <w:lang w:val="en-GB"/>
        </w:rPr>
        <w:t xml:space="preserve">v) </w:t>
      </w:r>
      <w:r w:rsidRPr="00DE1E8C">
        <w:rPr>
          <w:bCs/>
          <w:iCs/>
          <w:lang w:val="en-GB"/>
        </w:rPr>
        <w:t xml:space="preserve">as the decision parameter that distinguished </w:t>
      </w:r>
      <w:r w:rsidR="001210D3" w:rsidRPr="00DE1E8C">
        <w:rPr>
          <w:lang w:val="en-GB"/>
        </w:rPr>
        <w:t>Lewy body dementia</w:t>
      </w:r>
      <w:r w:rsidRPr="00DE1E8C">
        <w:rPr>
          <w:bCs/>
          <w:iCs/>
          <w:lang w:val="en-GB"/>
        </w:rPr>
        <w:t xml:space="preserve"> patients from both the </w:t>
      </w:r>
      <w:r w:rsidR="003E49E8" w:rsidRPr="00DE1E8C">
        <w:rPr>
          <w:lang w:val="en-GB"/>
        </w:rPr>
        <w:t>Alzheimer’s disease</w:t>
      </w:r>
      <w:r w:rsidRPr="00DE1E8C">
        <w:rPr>
          <w:bCs/>
          <w:iCs/>
          <w:lang w:val="en-GB"/>
        </w:rPr>
        <w:t xml:space="preserve"> and control group. We therefore </w:t>
      </w:r>
      <w:r w:rsidR="0062462D" w:rsidRPr="00DE1E8C">
        <w:rPr>
          <w:bCs/>
          <w:iCs/>
          <w:lang w:val="en-GB"/>
        </w:rPr>
        <w:t>entered beta series derived from the default and dorsal attention networks into a</w:t>
      </w:r>
      <w:r w:rsidR="000A65EB" w:rsidRPr="00DE1E8C">
        <w:rPr>
          <w:bCs/>
          <w:iCs/>
          <w:lang w:val="en-GB"/>
        </w:rPr>
        <w:t>n</w:t>
      </w:r>
      <w:r w:rsidR="0062462D" w:rsidRPr="00DE1E8C">
        <w:rPr>
          <w:bCs/>
          <w:iCs/>
          <w:lang w:val="en-GB"/>
        </w:rPr>
        <w:t xml:space="preserve"> hDDM regression model, in order to determine </w:t>
      </w:r>
      <w:r w:rsidR="002A0AB9" w:rsidRPr="00DE1E8C">
        <w:rPr>
          <w:bCs/>
          <w:iCs/>
          <w:lang w:val="en-GB"/>
        </w:rPr>
        <w:t>how trial-by-trial fluctuations in BOLD activity rela</w:t>
      </w:r>
      <w:r w:rsidR="00E63540" w:rsidRPr="00DE1E8C">
        <w:rPr>
          <w:bCs/>
          <w:iCs/>
          <w:lang w:val="en-GB"/>
        </w:rPr>
        <w:t>t</w:t>
      </w:r>
      <w:r w:rsidR="002A0AB9" w:rsidRPr="00DE1E8C">
        <w:rPr>
          <w:bCs/>
          <w:iCs/>
          <w:lang w:val="en-GB"/>
        </w:rPr>
        <w:t>ed to changes in the drift rate.</w:t>
      </w:r>
      <w:r w:rsidR="00805E22" w:rsidRPr="00DE1E8C">
        <w:rPr>
          <w:bCs/>
          <w:iCs/>
          <w:lang w:val="en-GB"/>
        </w:rPr>
        <w:t xml:space="preserve"> </w:t>
      </w:r>
    </w:p>
    <w:p w14:paraId="16C736E7" w14:textId="77777777" w:rsidR="002A0AB9" w:rsidRPr="00DE1E8C" w:rsidRDefault="002A0AB9" w:rsidP="00551517">
      <w:pPr>
        <w:spacing w:line="360" w:lineRule="auto"/>
        <w:contextualSpacing/>
        <w:jc w:val="both"/>
        <w:rPr>
          <w:bCs/>
          <w:iCs/>
          <w:lang w:val="en-GB"/>
        </w:rPr>
      </w:pPr>
    </w:p>
    <w:p w14:paraId="03C8D4FA" w14:textId="6172AA09" w:rsidR="004705C3" w:rsidRPr="00DE1E8C" w:rsidRDefault="00D50BDD" w:rsidP="00551517">
      <w:pPr>
        <w:spacing w:line="360" w:lineRule="auto"/>
        <w:contextualSpacing/>
        <w:jc w:val="both"/>
        <w:rPr>
          <w:bCs/>
          <w:iCs/>
          <w:lang w:val="en-GB"/>
        </w:rPr>
      </w:pPr>
      <w:r w:rsidRPr="00DE1E8C">
        <w:rPr>
          <w:bCs/>
          <w:iCs/>
          <w:lang w:val="en-GB"/>
        </w:rPr>
        <w:t>As shown in Fig</w:t>
      </w:r>
      <w:r w:rsidR="00613976" w:rsidRPr="00DE1E8C">
        <w:rPr>
          <w:bCs/>
          <w:iCs/>
          <w:lang w:val="en-GB"/>
        </w:rPr>
        <w:t>.</w:t>
      </w:r>
      <w:r w:rsidRPr="00DE1E8C">
        <w:rPr>
          <w:bCs/>
          <w:iCs/>
          <w:lang w:val="en-GB"/>
        </w:rPr>
        <w:t xml:space="preserve"> 5, for all groups </w:t>
      </w:r>
      <w:r w:rsidR="007908C1" w:rsidRPr="00DE1E8C">
        <w:rPr>
          <w:bCs/>
          <w:iCs/>
          <w:lang w:val="en-GB"/>
        </w:rPr>
        <w:t>activity in the</w:t>
      </w:r>
      <w:r w:rsidR="00F42896" w:rsidRPr="00DE1E8C">
        <w:rPr>
          <w:bCs/>
          <w:iCs/>
          <w:lang w:val="en-GB"/>
        </w:rPr>
        <w:t xml:space="preserve"> dorsal attention network</w:t>
      </w:r>
      <w:r w:rsidR="00455F53" w:rsidRPr="00DE1E8C">
        <w:rPr>
          <w:bCs/>
          <w:iCs/>
          <w:lang w:val="en-GB"/>
        </w:rPr>
        <w:t xml:space="preserve"> was strongly </w:t>
      </w:r>
      <w:r w:rsidR="007908C1" w:rsidRPr="00DE1E8C">
        <w:rPr>
          <w:bCs/>
          <w:iCs/>
          <w:lang w:val="en-GB"/>
        </w:rPr>
        <w:t>(positively) associated with drift rate</w:t>
      </w:r>
      <w:r w:rsidR="004C69BE" w:rsidRPr="00DE1E8C">
        <w:rPr>
          <w:bCs/>
          <w:iCs/>
          <w:lang w:val="en-GB"/>
        </w:rPr>
        <w:t>s</w:t>
      </w:r>
      <w:r w:rsidR="007908C1" w:rsidRPr="00DE1E8C">
        <w:rPr>
          <w:bCs/>
          <w:iCs/>
          <w:lang w:val="en-GB"/>
        </w:rPr>
        <w:t xml:space="preserve">, </w:t>
      </w:r>
      <w:r w:rsidR="004705C3" w:rsidRPr="00DE1E8C">
        <w:rPr>
          <w:bCs/>
          <w:iCs/>
          <w:lang w:val="en-GB"/>
        </w:rPr>
        <w:t>consistent with</w:t>
      </w:r>
      <w:r w:rsidR="007908C1" w:rsidRPr="00DE1E8C">
        <w:rPr>
          <w:bCs/>
          <w:iCs/>
          <w:lang w:val="en-GB"/>
        </w:rPr>
        <w:t xml:space="preserve"> </w:t>
      </w:r>
      <w:r w:rsidR="009D6BAF" w:rsidRPr="00DE1E8C">
        <w:rPr>
          <w:bCs/>
          <w:iCs/>
          <w:lang w:val="en-GB"/>
        </w:rPr>
        <w:t>greater</w:t>
      </w:r>
      <w:r w:rsidR="007908C1" w:rsidRPr="00DE1E8C">
        <w:rPr>
          <w:bCs/>
          <w:iCs/>
          <w:lang w:val="en-GB"/>
        </w:rPr>
        <w:t xml:space="preserve"> activity in the dorsal attention network </w:t>
      </w:r>
      <w:r w:rsidR="004705C3" w:rsidRPr="00DE1E8C">
        <w:rPr>
          <w:bCs/>
          <w:iCs/>
          <w:lang w:val="en-GB"/>
        </w:rPr>
        <w:t>being</w:t>
      </w:r>
      <w:r w:rsidR="006A08D9" w:rsidRPr="00DE1E8C">
        <w:rPr>
          <w:bCs/>
          <w:iCs/>
          <w:lang w:val="en-GB"/>
        </w:rPr>
        <w:t xml:space="preserve"> associated with a higher drift rate</w:t>
      </w:r>
      <w:r w:rsidR="00BE0709" w:rsidRPr="00DE1E8C">
        <w:rPr>
          <w:bCs/>
          <w:iCs/>
          <w:lang w:val="en-GB"/>
        </w:rPr>
        <w:t>. This is reflected by</w:t>
      </w:r>
      <w:r w:rsidR="00CE7383" w:rsidRPr="00DE1E8C">
        <w:rPr>
          <w:bCs/>
          <w:iCs/>
          <w:lang w:val="en-GB"/>
        </w:rPr>
        <w:t xml:space="preserve"> the percentage of the </w:t>
      </w:r>
      <w:r w:rsidR="00CE7383" w:rsidRPr="00DE1E8C">
        <w:rPr>
          <w:rFonts w:eastAsiaTheme="minorEastAsia"/>
          <w:lang w:val="en-GB" w:eastAsia="en-US"/>
        </w:rPr>
        <w:t>posterior probability for all parameters being</w:t>
      </w:r>
      <w:r w:rsidR="00123B2E" w:rsidRPr="00DE1E8C">
        <w:rPr>
          <w:rFonts w:eastAsiaTheme="minorEastAsia"/>
          <w:lang w:val="en-GB" w:eastAsia="en-US"/>
        </w:rPr>
        <w:t xml:space="preserve"> considerably</w:t>
      </w:r>
      <w:r w:rsidR="00CE7383" w:rsidRPr="00DE1E8C">
        <w:rPr>
          <w:rFonts w:eastAsiaTheme="minorEastAsia"/>
          <w:lang w:val="en-GB" w:eastAsia="en-US"/>
        </w:rPr>
        <w:t xml:space="preserve"> greater than zero</w:t>
      </w:r>
      <w:r w:rsidR="00F62287" w:rsidRPr="00DE1E8C">
        <w:rPr>
          <w:rFonts w:eastAsiaTheme="minorEastAsia"/>
          <w:lang w:val="en-GB" w:eastAsia="en-US"/>
        </w:rPr>
        <w:t xml:space="preserve">, </w:t>
      </w:r>
      <w:r w:rsidR="00F62287" w:rsidRPr="00DE1E8C">
        <w:rPr>
          <w:rFonts w:eastAsiaTheme="minorEastAsia"/>
          <w:i/>
          <w:iCs/>
          <w:lang w:val="en-GB" w:eastAsia="en-US"/>
        </w:rPr>
        <w:t xml:space="preserve">P </w:t>
      </w:r>
      <w:r w:rsidR="00F62287" w:rsidRPr="00DE1E8C">
        <w:rPr>
          <w:rFonts w:eastAsiaTheme="minorEastAsia"/>
          <w:lang w:val="en-GB" w:eastAsia="en-US"/>
        </w:rPr>
        <w:t>ref</w:t>
      </w:r>
      <w:r w:rsidR="00875799" w:rsidRPr="00DE1E8C">
        <w:rPr>
          <w:rFonts w:eastAsiaTheme="minorEastAsia"/>
          <w:lang w:val="en-GB" w:eastAsia="en-US"/>
        </w:rPr>
        <w:t xml:space="preserve">ers to the percentage of the distribution that is greater (or less than) zero </w:t>
      </w:r>
      <w:r w:rsidR="00CE7383" w:rsidRPr="00DE1E8C">
        <w:rPr>
          <w:bCs/>
          <w:iCs/>
          <w:lang w:val="en-GB"/>
        </w:rPr>
        <w:t>(</w:t>
      </w:r>
      <w:r w:rsidR="00472210" w:rsidRPr="00DE1E8C">
        <w:rPr>
          <w:bCs/>
          <w:iCs/>
          <w:lang w:val="en-GB"/>
        </w:rPr>
        <w:t>c</w:t>
      </w:r>
      <w:r w:rsidR="0015011D" w:rsidRPr="00DE1E8C">
        <w:rPr>
          <w:bCs/>
          <w:iCs/>
          <w:lang w:val="en-GB"/>
        </w:rPr>
        <w:t>ontrols</w:t>
      </w:r>
      <w:r w:rsidR="006C6896" w:rsidRPr="00DE1E8C">
        <w:rPr>
          <w:bCs/>
          <w:iCs/>
          <w:lang w:val="en-GB"/>
        </w:rPr>
        <w:t>:</w:t>
      </w:r>
      <w:r w:rsidR="0015011D" w:rsidRPr="00DE1E8C">
        <w:rPr>
          <w:bCs/>
          <w:iCs/>
          <w:lang w:val="en-GB"/>
        </w:rPr>
        <w:t xml:space="preserve"> </w:t>
      </w:r>
      <w:r w:rsidR="00CE7383" w:rsidRPr="00DE1E8C">
        <w:rPr>
          <w:bCs/>
          <w:i/>
          <w:lang w:val="en-GB"/>
        </w:rPr>
        <w:t xml:space="preserve">P </w:t>
      </w:r>
      <w:r w:rsidR="0015011D" w:rsidRPr="00DE1E8C">
        <w:rPr>
          <w:bCs/>
          <w:iCs/>
          <w:lang w:val="en-GB"/>
        </w:rPr>
        <w:t xml:space="preserve">= </w:t>
      </w:r>
      <w:r w:rsidR="00093150" w:rsidRPr="00DE1E8C">
        <w:rPr>
          <w:bCs/>
          <w:iCs/>
          <w:lang w:val="en-GB"/>
        </w:rPr>
        <w:t>99.92 %</w:t>
      </w:r>
      <w:r w:rsidR="00CE7383" w:rsidRPr="00DE1E8C">
        <w:rPr>
          <w:bCs/>
          <w:iCs/>
          <w:lang w:val="en-GB"/>
        </w:rPr>
        <w:t xml:space="preserve">; </w:t>
      </w:r>
      <w:r w:rsidR="006C6896" w:rsidRPr="00DE1E8C">
        <w:rPr>
          <w:bCs/>
          <w:iCs/>
          <w:lang w:val="en-GB"/>
        </w:rPr>
        <w:t xml:space="preserve">AD: </w:t>
      </w:r>
      <w:r w:rsidR="006C6896" w:rsidRPr="00DE1E8C">
        <w:rPr>
          <w:bCs/>
          <w:i/>
          <w:lang w:val="en-GB"/>
        </w:rPr>
        <w:t xml:space="preserve">P </w:t>
      </w:r>
      <w:r w:rsidR="006C6896" w:rsidRPr="00DE1E8C">
        <w:rPr>
          <w:bCs/>
          <w:iCs/>
          <w:lang w:val="en-GB"/>
        </w:rPr>
        <w:t>= 94.02</w:t>
      </w:r>
      <w:r w:rsidR="00263F07" w:rsidRPr="00DE1E8C">
        <w:rPr>
          <w:bCs/>
          <w:iCs/>
          <w:lang w:val="en-GB"/>
        </w:rPr>
        <w:t xml:space="preserve"> %</w:t>
      </w:r>
      <w:r w:rsidR="006C6896" w:rsidRPr="00DE1E8C">
        <w:rPr>
          <w:bCs/>
          <w:iCs/>
          <w:lang w:val="en-GB"/>
        </w:rPr>
        <w:t xml:space="preserve">; </w:t>
      </w:r>
      <w:r w:rsidR="001210D3" w:rsidRPr="00DE1E8C">
        <w:rPr>
          <w:lang w:val="en-GB"/>
        </w:rPr>
        <w:t>Lewy body dementia</w:t>
      </w:r>
      <w:r w:rsidR="006C6896" w:rsidRPr="00DE1E8C">
        <w:rPr>
          <w:bCs/>
          <w:iCs/>
          <w:lang w:val="en-GB"/>
        </w:rPr>
        <w:t xml:space="preserve">: </w:t>
      </w:r>
      <w:r w:rsidR="006C6896" w:rsidRPr="00DE1E8C">
        <w:rPr>
          <w:bCs/>
          <w:i/>
          <w:lang w:val="en-GB"/>
        </w:rPr>
        <w:t xml:space="preserve">P </w:t>
      </w:r>
      <w:r w:rsidR="006C6896" w:rsidRPr="00DE1E8C">
        <w:rPr>
          <w:bCs/>
          <w:iCs/>
          <w:lang w:val="en-GB"/>
        </w:rPr>
        <w:t>=</w:t>
      </w:r>
      <w:r w:rsidR="003D56FA" w:rsidRPr="00DE1E8C">
        <w:rPr>
          <w:bCs/>
          <w:iCs/>
          <w:lang w:val="en-GB"/>
        </w:rPr>
        <w:t xml:space="preserve"> 99.81 %).</w:t>
      </w:r>
      <w:r w:rsidR="004705C3" w:rsidRPr="00DE1E8C">
        <w:rPr>
          <w:bCs/>
          <w:iCs/>
          <w:lang w:val="en-GB"/>
        </w:rPr>
        <w:t xml:space="preserve"> </w:t>
      </w:r>
    </w:p>
    <w:p w14:paraId="527AE0C4" w14:textId="77777777" w:rsidR="004E442D" w:rsidRPr="00DE1E8C" w:rsidRDefault="004E442D" w:rsidP="00551517">
      <w:pPr>
        <w:spacing w:line="360" w:lineRule="auto"/>
        <w:contextualSpacing/>
        <w:jc w:val="both"/>
        <w:rPr>
          <w:bCs/>
          <w:iCs/>
          <w:lang w:val="en-GB"/>
        </w:rPr>
      </w:pPr>
    </w:p>
    <w:p w14:paraId="0BA159F6" w14:textId="06F1F94F" w:rsidR="009B6256" w:rsidRPr="00DE1E8C" w:rsidRDefault="004705C3" w:rsidP="00551517">
      <w:pPr>
        <w:spacing w:line="360" w:lineRule="auto"/>
        <w:contextualSpacing/>
        <w:jc w:val="both"/>
        <w:rPr>
          <w:bCs/>
          <w:iCs/>
          <w:lang w:val="en-GB"/>
        </w:rPr>
      </w:pPr>
      <w:r w:rsidRPr="00DE1E8C">
        <w:rPr>
          <w:bCs/>
          <w:iCs/>
          <w:lang w:val="en-GB"/>
        </w:rPr>
        <w:t>For the default network,</w:t>
      </w:r>
      <w:r w:rsidR="007022C3" w:rsidRPr="00DE1E8C">
        <w:rPr>
          <w:bCs/>
          <w:iCs/>
          <w:lang w:val="en-GB"/>
        </w:rPr>
        <w:t xml:space="preserve"> as shown in Fig</w:t>
      </w:r>
      <w:r w:rsidR="00613976" w:rsidRPr="00DE1E8C">
        <w:rPr>
          <w:bCs/>
          <w:iCs/>
          <w:lang w:val="en-GB"/>
        </w:rPr>
        <w:t>.</w:t>
      </w:r>
      <w:r w:rsidR="007022C3" w:rsidRPr="00DE1E8C">
        <w:rPr>
          <w:bCs/>
          <w:iCs/>
          <w:lang w:val="en-GB"/>
        </w:rPr>
        <w:t xml:space="preserve"> 5, the </w:t>
      </w:r>
      <w:r w:rsidR="00AA45A2" w:rsidRPr="00DE1E8C">
        <w:rPr>
          <w:bCs/>
          <w:iCs/>
          <w:lang w:val="en-GB"/>
        </w:rPr>
        <w:t>majority</w:t>
      </w:r>
      <w:r w:rsidR="007022C3" w:rsidRPr="00DE1E8C">
        <w:rPr>
          <w:bCs/>
          <w:iCs/>
          <w:lang w:val="en-GB"/>
        </w:rPr>
        <w:t xml:space="preserve"> of the posterior probability densities for </w:t>
      </w:r>
      <w:r w:rsidR="007F009D" w:rsidRPr="00DE1E8C">
        <w:rPr>
          <w:bCs/>
          <w:iCs/>
          <w:lang w:val="en-GB"/>
        </w:rPr>
        <w:t>c</w:t>
      </w:r>
      <w:r w:rsidR="007022C3" w:rsidRPr="00DE1E8C">
        <w:rPr>
          <w:bCs/>
          <w:iCs/>
          <w:lang w:val="en-GB"/>
        </w:rPr>
        <w:t xml:space="preserve">ontrols </w:t>
      </w:r>
      <w:r w:rsidR="003D02B7" w:rsidRPr="00DE1E8C">
        <w:rPr>
          <w:bCs/>
          <w:iCs/>
          <w:lang w:val="en-GB"/>
        </w:rPr>
        <w:t xml:space="preserve">was to the right of zero, consistent with greater default network </w:t>
      </w:r>
      <w:r w:rsidR="003D02B7" w:rsidRPr="00DE1E8C">
        <w:rPr>
          <w:bCs/>
          <w:iCs/>
          <w:lang w:val="en-GB"/>
        </w:rPr>
        <w:lastRenderedPageBreak/>
        <w:t>activity being positively associated with the drift rate (</w:t>
      </w:r>
      <w:r w:rsidR="003D02B7" w:rsidRPr="00DE1E8C">
        <w:rPr>
          <w:bCs/>
          <w:i/>
          <w:lang w:val="en-GB"/>
        </w:rPr>
        <w:t xml:space="preserve">P </w:t>
      </w:r>
      <w:r w:rsidR="003D02B7" w:rsidRPr="00DE1E8C">
        <w:rPr>
          <w:bCs/>
          <w:iCs/>
          <w:lang w:val="en-GB"/>
        </w:rPr>
        <w:t>= 70.96 %)</w:t>
      </w:r>
      <w:r w:rsidR="00AE3A7A" w:rsidRPr="00DE1E8C">
        <w:rPr>
          <w:bCs/>
          <w:iCs/>
          <w:lang w:val="en-GB"/>
        </w:rPr>
        <w:t xml:space="preserve">; </w:t>
      </w:r>
      <w:r w:rsidR="003E49E8" w:rsidRPr="00DE1E8C">
        <w:rPr>
          <w:lang w:val="en-GB"/>
        </w:rPr>
        <w:t>Alzheimer’s disease</w:t>
      </w:r>
      <w:r w:rsidR="00AE3A7A" w:rsidRPr="00DE1E8C">
        <w:rPr>
          <w:bCs/>
          <w:iCs/>
          <w:lang w:val="en-GB"/>
        </w:rPr>
        <w:t xml:space="preserve"> also showed a rightward shift, but to a lesser extent (</w:t>
      </w:r>
      <w:r w:rsidR="00AE3A7A" w:rsidRPr="00DE1E8C">
        <w:rPr>
          <w:bCs/>
          <w:i/>
          <w:lang w:val="en-GB"/>
        </w:rPr>
        <w:t xml:space="preserve">P </w:t>
      </w:r>
      <w:r w:rsidR="00AE3A7A" w:rsidRPr="00DE1E8C">
        <w:rPr>
          <w:bCs/>
          <w:iCs/>
          <w:lang w:val="en-GB"/>
        </w:rPr>
        <w:t>= 59.78 %).</w:t>
      </w:r>
      <w:r w:rsidR="00B05D42" w:rsidRPr="00DE1E8C">
        <w:rPr>
          <w:bCs/>
          <w:iCs/>
          <w:lang w:val="en-GB"/>
        </w:rPr>
        <w:t xml:space="preserve"> </w:t>
      </w:r>
      <w:r w:rsidR="007A0D87" w:rsidRPr="00DE1E8C">
        <w:rPr>
          <w:bCs/>
          <w:iCs/>
          <w:lang w:val="en-GB"/>
        </w:rPr>
        <w:t xml:space="preserve">In contrast, for </w:t>
      </w:r>
      <w:r w:rsidR="001210D3" w:rsidRPr="00DE1E8C">
        <w:rPr>
          <w:lang w:val="en-GB"/>
        </w:rPr>
        <w:t>Lewy body dementia</w:t>
      </w:r>
      <w:r w:rsidR="007A0D87" w:rsidRPr="00DE1E8C">
        <w:rPr>
          <w:bCs/>
          <w:iCs/>
          <w:lang w:val="en-GB"/>
        </w:rPr>
        <w:t xml:space="preserve"> the majority of the posterior probability density was left of zero (</w:t>
      </w:r>
      <w:r w:rsidR="007A0D87" w:rsidRPr="00DE1E8C">
        <w:rPr>
          <w:bCs/>
          <w:i/>
          <w:lang w:val="en-GB"/>
        </w:rPr>
        <w:t xml:space="preserve">P </w:t>
      </w:r>
      <w:r w:rsidR="007A0D87" w:rsidRPr="00DE1E8C">
        <w:rPr>
          <w:bCs/>
          <w:iCs/>
          <w:lang w:val="en-GB"/>
        </w:rPr>
        <w:t xml:space="preserve">= </w:t>
      </w:r>
      <w:r w:rsidR="007A0D87" w:rsidRPr="00DE1E8C">
        <w:rPr>
          <w:rFonts w:eastAsiaTheme="minorEastAsia"/>
          <w:lang w:val="en-GB" w:eastAsia="en-US"/>
        </w:rPr>
        <w:t>80.62</w:t>
      </w:r>
      <w:r w:rsidR="007A0D87" w:rsidRPr="00DE1E8C">
        <w:rPr>
          <w:bCs/>
          <w:iCs/>
          <w:lang w:val="en-GB"/>
        </w:rPr>
        <w:t xml:space="preserve"> %)</w:t>
      </w:r>
      <w:r w:rsidR="00ED15FC" w:rsidRPr="00DE1E8C">
        <w:rPr>
          <w:bCs/>
          <w:iCs/>
          <w:lang w:val="en-GB"/>
        </w:rPr>
        <w:t>, consistent with greater activity in the default network being associated with a slower drift rate.</w:t>
      </w:r>
      <w:r w:rsidR="008F30E2" w:rsidRPr="00DE1E8C">
        <w:rPr>
          <w:bCs/>
          <w:iCs/>
          <w:lang w:val="en-GB"/>
        </w:rPr>
        <w:t xml:space="preserve"> Although none of these </w:t>
      </w:r>
      <w:r w:rsidR="00AD73B7" w:rsidRPr="00DE1E8C">
        <w:rPr>
          <w:bCs/>
          <w:iCs/>
          <w:lang w:val="en-GB"/>
        </w:rPr>
        <w:t xml:space="preserve">reached the commonly used metric of </w:t>
      </w:r>
      <w:r w:rsidR="00363BE3" w:rsidRPr="00DE1E8C">
        <w:rPr>
          <w:bCs/>
          <w:iCs/>
          <w:lang w:val="en-GB"/>
        </w:rPr>
        <w:t xml:space="preserve">“significance” </w:t>
      </w:r>
      <w:r w:rsidR="00852AA4" w:rsidRPr="00DE1E8C">
        <w:rPr>
          <w:bCs/>
          <w:iCs/>
          <w:lang w:val="en-GB"/>
        </w:rPr>
        <w:t xml:space="preserve">designated when &gt; 95% of the posterior density exceeds zero </w:t>
      </w:r>
      <w:r w:rsidR="000C2A52" w:rsidRPr="00DE1E8C">
        <w:rPr>
          <w:lang w:val="en-GB"/>
        </w:rPr>
        <w:fldChar w:fldCharType="begin"/>
      </w:r>
      <w:r w:rsidR="00E805F6" w:rsidRPr="00DE1E8C">
        <w:rPr>
          <w:lang w:val="en-GB"/>
        </w:rPr>
        <w:instrText xml:space="preserve"> ADDIN ZOTERO_ITEM CSL_CITATION {"citationID":"a27jgup2d7q","properties":{"formattedCitation":"(Cavanagh {\\i{}et al.}, 2014)","plainCitation":"(Cavanagh et al., 2014)","noteIndex":0},"citationItems":[{"id":11774,"uris":["http://zotero.org/users/local/xUwQuTPV/items/V8KK9B29"],"uri":["http://zotero.org/users/local/xUwQuTPV/items/V8KK9B29"],"itemData":{"id":11774,"type":"article-journal","abstract":"Can you predict what people are going to do just by watching them? This is certainly difficult: it would require a clear mapping between observable indicators and unobservable cognitive states. In this report, we demonstrate how this is possible by monitoring eye gaze and pupil dilation, which predict dissociable biases during decision making. We quantified decision making using the drift diffusion model (DDM), which provides an algorithmic account of how evidence accumulation and response caution contribute to decisions through separate latent parameters of drift rate and decision threshold, respectively. We used a hierarchical Bayesian estimation approach to assess the single trial influence of observable physiological signals on these latent DDM parameters. Increased eye gaze dwell time specifically predicted an increased drift rate toward the fixated option, irrespective of the value of the option. In contrast, greater pupil dilation specifically predicted an increase in decision threshold during difficult decisions. These findings suggest that eye tracking and pupillometry reflect the operations of dissociated latent decision processes.","container-title":"Journal of Experimental Psychology: General","DOI":"10.1037/a0035813","ISSN":"1939-2222, 0096-3445","issue":"4","journalAbbreviation":"Journal of Experimental Psychology: General","language":"en","page":"1476-1488","source":"DOI.org (Crossref)","title":"Eye tracking and pupillometry are indicators of dissociable latent decision processes.","volume":"143","author":[{"family":"Cavanagh","given":"James F."},{"family":"Wiecki","given":"Thomas V."},{"family":"Kochar","given":"Angad"},{"family":"Frank","given":"Michael J."}],"issued":{"date-parts":[["2014"]]}}}],"schema":"https://github.com/citation-style-language/schema/raw/master/csl-citation.json"} </w:instrText>
      </w:r>
      <w:r w:rsidR="000C2A52" w:rsidRPr="00DE1E8C">
        <w:rPr>
          <w:lang w:val="en-GB"/>
        </w:rPr>
        <w:fldChar w:fldCharType="separate"/>
      </w:r>
      <w:r w:rsidR="00E805F6" w:rsidRPr="00DE1E8C">
        <w:rPr>
          <w:lang w:val="en-GB"/>
        </w:rPr>
        <w:t xml:space="preserve">(Cavanagh </w:t>
      </w:r>
      <w:r w:rsidR="00E805F6" w:rsidRPr="00DE1E8C">
        <w:rPr>
          <w:i/>
          <w:iCs/>
          <w:lang w:val="en-GB"/>
        </w:rPr>
        <w:t>et al.</w:t>
      </w:r>
      <w:r w:rsidR="00E805F6" w:rsidRPr="00DE1E8C">
        <w:rPr>
          <w:lang w:val="en-GB"/>
        </w:rPr>
        <w:t>, 2014)</w:t>
      </w:r>
      <w:r w:rsidR="000C2A52" w:rsidRPr="00DE1E8C">
        <w:rPr>
          <w:lang w:val="en-GB"/>
        </w:rPr>
        <w:fldChar w:fldCharType="end"/>
      </w:r>
      <w:r w:rsidR="000C2A52" w:rsidRPr="00DE1E8C">
        <w:rPr>
          <w:lang w:val="en-GB"/>
        </w:rPr>
        <w:t xml:space="preserve">. </w:t>
      </w:r>
    </w:p>
    <w:p w14:paraId="722D1087" w14:textId="77777777" w:rsidR="0047286C" w:rsidRPr="00DE1E8C" w:rsidRDefault="0047286C" w:rsidP="00551517">
      <w:pPr>
        <w:spacing w:line="360" w:lineRule="auto"/>
        <w:contextualSpacing/>
        <w:jc w:val="both"/>
        <w:rPr>
          <w:b/>
          <w:lang w:val="en-GB"/>
        </w:rPr>
      </w:pPr>
    </w:p>
    <w:p w14:paraId="28ACDA7E" w14:textId="6DE12A9F" w:rsidR="009B6256" w:rsidRPr="00DE1E8C" w:rsidRDefault="008C3024" w:rsidP="00551517">
      <w:pPr>
        <w:spacing w:line="360" w:lineRule="auto"/>
        <w:contextualSpacing/>
        <w:jc w:val="both"/>
        <w:rPr>
          <w:b/>
          <w:lang w:val="en-GB"/>
        </w:rPr>
      </w:pPr>
      <w:r w:rsidRPr="00DE1E8C">
        <w:rPr>
          <w:b/>
          <w:noProof/>
          <w:lang w:val="en-GB"/>
        </w:rPr>
        <w:drawing>
          <wp:anchor distT="0" distB="0" distL="114300" distR="114300" simplePos="0" relativeHeight="251665408" behindDoc="0" locked="0" layoutInCell="1" allowOverlap="1" wp14:anchorId="685184A0" wp14:editId="36299CB2">
            <wp:simplePos x="0" y="0"/>
            <wp:positionH relativeFrom="column">
              <wp:posOffset>0</wp:posOffset>
            </wp:positionH>
            <wp:positionV relativeFrom="paragraph">
              <wp:posOffset>569124</wp:posOffset>
            </wp:positionV>
            <wp:extent cx="5270500" cy="3787775"/>
            <wp:effectExtent l="0" t="0" r="0" b="0"/>
            <wp:wrapTopAndBottom/>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270500" cy="3787775"/>
                    </a:xfrm>
                    <a:prstGeom prst="rect">
                      <a:avLst/>
                    </a:prstGeom>
                  </pic:spPr>
                </pic:pic>
              </a:graphicData>
            </a:graphic>
            <wp14:sizeRelH relativeFrom="page">
              <wp14:pctWidth>0</wp14:pctWidth>
            </wp14:sizeRelH>
            <wp14:sizeRelV relativeFrom="page">
              <wp14:pctHeight>0</wp14:pctHeight>
            </wp14:sizeRelV>
          </wp:anchor>
        </w:drawing>
      </w:r>
      <w:r w:rsidR="009B6256" w:rsidRPr="00DE1E8C">
        <w:rPr>
          <w:b/>
          <w:lang w:val="en-GB"/>
        </w:rPr>
        <w:t xml:space="preserve">Figure 5. </w:t>
      </w:r>
      <w:r w:rsidRPr="00DE1E8C">
        <w:rPr>
          <w:b/>
          <w:lang w:val="en-GB"/>
        </w:rPr>
        <w:t>Relationship between drift rate and activity in the default and dorsal attention networks</w:t>
      </w:r>
    </w:p>
    <w:p w14:paraId="2F348CAD" w14:textId="0DDCBE97" w:rsidR="003631C1" w:rsidRPr="00DE1E8C" w:rsidRDefault="003631C1" w:rsidP="00551517">
      <w:pPr>
        <w:spacing w:line="360" w:lineRule="auto"/>
        <w:contextualSpacing/>
        <w:jc w:val="both"/>
        <w:rPr>
          <w:b/>
          <w:lang w:val="en-GB"/>
        </w:rPr>
      </w:pPr>
    </w:p>
    <w:p w14:paraId="5CCEA80A" w14:textId="026B7556" w:rsidR="00B021BF" w:rsidRPr="00DE1E8C" w:rsidRDefault="001F692A" w:rsidP="0038035F">
      <w:pPr>
        <w:contextualSpacing/>
        <w:jc w:val="both"/>
        <w:rPr>
          <w:sz w:val="20"/>
          <w:szCs w:val="20"/>
          <w:lang w:val="en-GB"/>
        </w:rPr>
      </w:pPr>
      <w:r w:rsidRPr="00DE1E8C">
        <w:rPr>
          <w:b/>
          <w:i/>
          <w:sz w:val="20"/>
          <w:szCs w:val="20"/>
          <w:lang w:val="en-GB"/>
        </w:rPr>
        <w:t>Figure 5 –</w:t>
      </w:r>
      <w:r w:rsidRPr="00DE1E8C">
        <w:rPr>
          <w:i/>
          <w:sz w:val="20"/>
          <w:szCs w:val="20"/>
          <w:lang w:val="en-GB"/>
        </w:rPr>
        <w:t xml:space="preserve"> </w:t>
      </w:r>
      <w:r w:rsidR="0045349C" w:rsidRPr="00DE1E8C">
        <w:rPr>
          <w:iCs/>
          <w:sz w:val="20"/>
          <w:szCs w:val="20"/>
          <w:lang w:val="en-GB"/>
        </w:rPr>
        <w:t xml:space="preserve">Top panel </w:t>
      </w:r>
      <w:r w:rsidR="0078677C" w:rsidRPr="00DE1E8C">
        <w:rPr>
          <w:iCs/>
          <w:sz w:val="20"/>
          <w:szCs w:val="20"/>
          <w:lang w:val="en-GB"/>
        </w:rPr>
        <w:t>shows the default (purple) and dorsal attention (pink) network maps taken from the Yeo et al parcellatio</w:t>
      </w:r>
      <w:r w:rsidR="00485FFA" w:rsidRPr="00DE1E8C">
        <w:rPr>
          <w:iCs/>
          <w:sz w:val="20"/>
          <w:szCs w:val="20"/>
          <w:lang w:val="en-GB"/>
        </w:rPr>
        <w:t xml:space="preserve">n </w:t>
      </w:r>
      <w:r w:rsidR="0053685D" w:rsidRPr="00DE1E8C">
        <w:rPr>
          <w:iCs/>
          <w:sz w:val="20"/>
          <w:szCs w:val="20"/>
          <w:lang w:val="en-GB"/>
        </w:rPr>
        <w:fldChar w:fldCharType="begin"/>
      </w:r>
      <w:r w:rsidR="00E805F6" w:rsidRPr="00DE1E8C">
        <w:rPr>
          <w:iCs/>
          <w:sz w:val="20"/>
          <w:szCs w:val="20"/>
          <w:lang w:val="en-GB"/>
        </w:rPr>
        <w:instrText xml:space="preserve"> ADDIN ZOTERO_ITEM CSL_CITATION {"citationID":"IQQkeubg","properties":{"formattedCitation":"(Yeo {\\i{}et al.}, 2011)","plainCitation":"(Yeo et al., 2011)","noteIndex":0},"citationItems":[{"id":14110,"uris":["http://zotero.org/users/local/xUwQuTPV/items/RZMRBM46"],"uri":["http://zotero.org/users/local/xUwQuTPV/items/RZMRBM46"],"itemData":{"id":14110,"type":"article-journal","abstract":"Information processing in the cerebral cortex involves interactions among distributed areas. Anatomical connectivity suggests that certain areas form local hierarchical relations such as within the visual system. Other connectivity patterns, particularly among association areas, suggest the presence of large-scale circuits without clear hierarchical relations. In this study the organization of networks in the human cerebrum was explored using resting-state functional connectivity MRI. Data from 1,000 subjects were registered using surface-based alignment. A clustering approach was employed to identify and replicate networks of functionally coupled regions across the cerebral cortex. The results revealed local networks confined to sensory and motor cortices as well as distributed networks of association regions. Within the sensory and motor cortices, functional connectivity followed topographic representations across adjacent areas. In association cortex, the connectivity patterns often showed abrupt transitions between network boundaries. Focused analyses were performed to better understand properties of network connectivity. A canonical sensory-motor pathway involving primary visual area, putative middle temporal area complex (MT+), lateral intraparietal area, and frontal eye field was analyzed to explore how interactions might arise within and between networks. Results showed that adjacent regions of the MT+ complex demonstrate differential connectivity consistent with a hierarchical pathway that spans networks. The functional connectivity of parietal and prefrontal association cortices was next explored. Distinct connectivity profiles of neighboring regions suggest they participate in distributed networks that, while showing evidence for interactions, are embedded within largely parallel, interdigitated circuits. We conclude by discussing the organization of these large-scale cerebral networks in relation to monkey anatomy and their potential evolutionary expansion in humans to support cognition.","container-title":"Journal of Neurophysiology","DOI":"10.1152/jn.00338.2011","ISSN":"0022-3077","issue":"3","note":"publisher: American Physiological Society","page":"1125-1165","source":"journals.physiology.org (Atypon)","title":"The organization of the human cerebral cortex estimated by intrinsic functional connectivity","volume":"106","author":[{"family":"Yeo","given":"B. T. T."},{"family":"Krienen","given":"Fenna M."},{"family":"Sepulcre","given":"Jorge"},{"family":"Sabuncu","given":"Mert R."},{"family":"Lashkari","given":"Danial"},{"family":"Hollinshead","given":"Marisa"},{"family":"Roffman","given":"Joshua L."},{"family":"Smoller","given":"Jordan W."},{"family":"Zöllei","given":"Lilla"},{"family":"Polimeni","given":"Jonathan R."},{"family":"Fischl","given":"Bruce"},{"family":"Liu","given":"Hesheng"},{"family":"Buckner","given":"Randy L."}],"issued":{"date-parts":[["2011",6,8]]}}}],"schema":"https://github.com/citation-style-language/schema/raw/master/csl-citation.json"} </w:instrText>
      </w:r>
      <w:r w:rsidR="0053685D" w:rsidRPr="00DE1E8C">
        <w:rPr>
          <w:iCs/>
          <w:sz w:val="20"/>
          <w:szCs w:val="20"/>
          <w:lang w:val="en-GB"/>
        </w:rPr>
        <w:fldChar w:fldCharType="separate"/>
      </w:r>
      <w:r w:rsidR="00E805F6" w:rsidRPr="00DE1E8C">
        <w:rPr>
          <w:sz w:val="20"/>
          <w:lang w:val="en-GB"/>
        </w:rPr>
        <w:t xml:space="preserve">(Yeo </w:t>
      </w:r>
      <w:r w:rsidR="00E805F6" w:rsidRPr="00DE1E8C">
        <w:rPr>
          <w:i/>
          <w:iCs/>
          <w:sz w:val="20"/>
          <w:lang w:val="en-GB"/>
        </w:rPr>
        <w:t>et al.</w:t>
      </w:r>
      <w:r w:rsidR="00E805F6" w:rsidRPr="00DE1E8C">
        <w:rPr>
          <w:sz w:val="20"/>
          <w:lang w:val="en-GB"/>
        </w:rPr>
        <w:t>, 2011)</w:t>
      </w:r>
      <w:r w:rsidR="0053685D" w:rsidRPr="00DE1E8C">
        <w:rPr>
          <w:iCs/>
          <w:sz w:val="20"/>
          <w:szCs w:val="20"/>
          <w:lang w:val="en-GB"/>
        </w:rPr>
        <w:fldChar w:fldCharType="end"/>
      </w:r>
      <w:r w:rsidR="00052707" w:rsidRPr="00DE1E8C">
        <w:rPr>
          <w:rFonts w:eastAsiaTheme="minorEastAsia"/>
          <w:sz w:val="20"/>
          <w:szCs w:val="20"/>
          <w:lang w:val="en-GB" w:eastAsia="en-US"/>
        </w:rPr>
        <w:t xml:space="preserve">. </w:t>
      </w:r>
      <w:r w:rsidR="00666B22" w:rsidRPr="00DE1E8C">
        <w:rPr>
          <w:rFonts w:eastAsiaTheme="minorEastAsia"/>
          <w:sz w:val="20"/>
          <w:szCs w:val="20"/>
          <w:lang w:val="en-GB" w:eastAsia="en-US"/>
        </w:rPr>
        <w:t xml:space="preserve">Bottom panel shows the </w:t>
      </w:r>
      <w:r w:rsidR="0045349C" w:rsidRPr="00DE1E8C">
        <w:rPr>
          <w:sz w:val="20"/>
          <w:szCs w:val="20"/>
          <w:lang w:val="en-GB"/>
        </w:rPr>
        <w:t>posterior probability density plots</w:t>
      </w:r>
      <w:r w:rsidR="00666B22" w:rsidRPr="00DE1E8C">
        <w:rPr>
          <w:sz w:val="20"/>
          <w:szCs w:val="20"/>
          <w:lang w:val="en-GB"/>
        </w:rPr>
        <w:t xml:space="preserve"> of the drift rates estimated from the hDDM regression model (</w:t>
      </w:r>
      <w:r w:rsidR="00BC4FE8" w:rsidRPr="00DE1E8C">
        <w:rPr>
          <w:sz w:val="20"/>
          <w:szCs w:val="20"/>
          <w:lang w:val="en-GB"/>
        </w:rPr>
        <w:t>y-axis) and how they</w:t>
      </w:r>
      <w:r w:rsidR="00586F29" w:rsidRPr="00DE1E8C">
        <w:rPr>
          <w:sz w:val="20"/>
          <w:szCs w:val="20"/>
          <w:lang w:val="en-GB"/>
        </w:rPr>
        <w:t xml:space="preserve"> varied as a function of activity in the default and dorsal attention networks (x-axis).</w:t>
      </w:r>
      <w:r w:rsidR="00B021BF" w:rsidRPr="00DE1E8C">
        <w:rPr>
          <w:sz w:val="20"/>
          <w:szCs w:val="20"/>
          <w:lang w:val="en-GB"/>
        </w:rPr>
        <w:t xml:space="preserve"> </w:t>
      </w:r>
      <w:r w:rsidR="0002705A" w:rsidRPr="00DE1E8C">
        <w:rPr>
          <w:sz w:val="20"/>
          <w:szCs w:val="20"/>
          <w:lang w:val="en-GB"/>
        </w:rPr>
        <w:t>Strength</w:t>
      </w:r>
      <w:r w:rsidR="00F47BB2" w:rsidRPr="00DE1E8C">
        <w:rPr>
          <w:sz w:val="20"/>
          <w:szCs w:val="20"/>
          <w:lang w:val="en-GB"/>
        </w:rPr>
        <w:t xml:space="preserve"> of the</w:t>
      </w:r>
      <w:r w:rsidR="0002705A" w:rsidRPr="00DE1E8C">
        <w:rPr>
          <w:sz w:val="20"/>
          <w:szCs w:val="20"/>
          <w:lang w:val="en-GB"/>
        </w:rPr>
        <w:t xml:space="preserve"> relationship </w:t>
      </w:r>
      <w:r w:rsidR="000A1F23" w:rsidRPr="00DE1E8C">
        <w:rPr>
          <w:sz w:val="20"/>
          <w:szCs w:val="20"/>
          <w:lang w:val="en-GB"/>
        </w:rPr>
        <w:t xml:space="preserve">reflected by the amount of distribution being to the </w:t>
      </w:r>
      <w:r w:rsidR="000A1F23" w:rsidRPr="00DE1E8C">
        <w:rPr>
          <w:bCs/>
          <w:iCs/>
          <w:sz w:val="20"/>
          <w:szCs w:val="20"/>
          <w:lang w:val="en-GB"/>
        </w:rPr>
        <w:t xml:space="preserve">left or right of zero. </w:t>
      </w:r>
      <w:r w:rsidR="00B021BF" w:rsidRPr="00DE1E8C">
        <w:rPr>
          <w:bCs/>
          <w:iCs/>
          <w:sz w:val="20"/>
          <w:szCs w:val="20"/>
          <w:lang w:val="en-GB"/>
        </w:rPr>
        <w:t>Peaks of distributions reflect the most likely value of the parameter.</w:t>
      </w:r>
      <w:r w:rsidR="00E211B9" w:rsidRPr="00DE1E8C">
        <w:rPr>
          <w:sz w:val="20"/>
          <w:szCs w:val="20"/>
          <w:lang w:val="en-GB"/>
        </w:rPr>
        <w:t xml:space="preserve"> </w:t>
      </w:r>
      <w:r w:rsidR="0038035F" w:rsidRPr="00DE1E8C">
        <w:rPr>
          <w:bCs/>
          <w:iCs/>
          <w:sz w:val="20"/>
          <w:szCs w:val="20"/>
          <w:lang w:val="en-GB"/>
        </w:rPr>
        <w:t xml:space="preserve">N = 23 Controls, 16 Alzheimer’s disease (AD), 31 Lewy body disease (LBD). </w:t>
      </w:r>
      <w:r w:rsidR="005F64D0" w:rsidRPr="00DE1E8C">
        <w:rPr>
          <w:sz w:val="20"/>
          <w:szCs w:val="20"/>
          <w:lang w:val="en-GB"/>
        </w:rPr>
        <w:t>P refers to the percentage of the distribution that is greater (or less than) zero</w:t>
      </w:r>
      <w:r w:rsidR="00E211B9" w:rsidRPr="00DE1E8C">
        <w:rPr>
          <w:sz w:val="20"/>
          <w:szCs w:val="20"/>
          <w:lang w:val="en-GB"/>
        </w:rPr>
        <w:t xml:space="preserve">. Dorsal attention network, controls: P = 99.92%; AD: P = 94.02%; Lewy body dementia: P = 99.81%; Default network: controls: P = 70.96 %; AD: P = 59.78%; Lewy body dementia: P = 80.62%.    </w:t>
      </w:r>
    </w:p>
    <w:p w14:paraId="3D335D6C" w14:textId="77777777" w:rsidR="005F64D0" w:rsidRPr="00DE1E8C" w:rsidRDefault="005F64D0" w:rsidP="0038035F">
      <w:pPr>
        <w:contextualSpacing/>
        <w:jc w:val="both"/>
        <w:rPr>
          <w:sz w:val="20"/>
          <w:szCs w:val="20"/>
          <w:lang w:val="en-GB"/>
        </w:rPr>
      </w:pPr>
    </w:p>
    <w:p w14:paraId="472D9265" w14:textId="030BB05C" w:rsidR="008307C7" w:rsidRPr="00DE1E8C" w:rsidRDefault="00586F29" w:rsidP="00551517">
      <w:pPr>
        <w:spacing w:line="360" w:lineRule="auto"/>
        <w:contextualSpacing/>
        <w:jc w:val="both"/>
        <w:rPr>
          <w:sz w:val="20"/>
          <w:szCs w:val="20"/>
          <w:lang w:val="en-GB"/>
        </w:rPr>
      </w:pPr>
      <w:r w:rsidRPr="00DE1E8C">
        <w:rPr>
          <w:sz w:val="20"/>
          <w:szCs w:val="20"/>
          <w:lang w:val="en-GB"/>
        </w:rPr>
        <w:t xml:space="preserve"> </w:t>
      </w:r>
      <w:r w:rsidR="00BC4FE8" w:rsidRPr="00DE1E8C">
        <w:rPr>
          <w:sz w:val="20"/>
          <w:szCs w:val="20"/>
          <w:lang w:val="en-GB"/>
        </w:rPr>
        <w:t xml:space="preserve"> </w:t>
      </w:r>
    </w:p>
    <w:p w14:paraId="021F72A5" w14:textId="77777777" w:rsidR="006D72A1" w:rsidRPr="00DE1E8C" w:rsidRDefault="006D72A1" w:rsidP="00551517">
      <w:pPr>
        <w:spacing w:line="360" w:lineRule="auto"/>
        <w:contextualSpacing/>
        <w:jc w:val="both"/>
        <w:rPr>
          <w:b/>
          <w:iCs/>
          <w:lang w:val="en-GB"/>
        </w:rPr>
      </w:pPr>
    </w:p>
    <w:p w14:paraId="7533FBC0" w14:textId="77777777" w:rsidR="006D72A1" w:rsidRPr="00DE1E8C" w:rsidRDefault="006D72A1" w:rsidP="00551517">
      <w:pPr>
        <w:spacing w:line="360" w:lineRule="auto"/>
        <w:contextualSpacing/>
        <w:jc w:val="both"/>
        <w:rPr>
          <w:b/>
          <w:iCs/>
          <w:lang w:val="en-GB"/>
        </w:rPr>
      </w:pPr>
    </w:p>
    <w:p w14:paraId="399BCA4E" w14:textId="0B7DD3D3" w:rsidR="009B6256" w:rsidRPr="00DE1E8C" w:rsidRDefault="00540F24" w:rsidP="00551517">
      <w:pPr>
        <w:spacing w:line="360" w:lineRule="auto"/>
        <w:contextualSpacing/>
        <w:jc w:val="both"/>
        <w:rPr>
          <w:b/>
          <w:iCs/>
          <w:lang w:val="en-GB"/>
        </w:rPr>
      </w:pPr>
      <w:r w:rsidRPr="00DE1E8C">
        <w:rPr>
          <w:b/>
          <w:iCs/>
          <w:lang w:val="en-GB"/>
        </w:rPr>
        <w:lastRenderedPageBreak/>
        <w:t>Discussion</w:t>
      </w:r>
    </w:p>
    <w:p w14:paraId="5F15D204" w14:textId="09E06AC5" w:rsidR="00540F24" w:rsidRPr="00DE1E8C" w:rsidRDefault="00FF6C0F" w:rsidP="00551517">
      <w:pPr>
        <w:spacing w:line="360" w:lineRule="auto"/>
        <w:contextualSpacing/>
        <w:jc w:val="both"/>
        <w:rPr>
          <w:bCs/>
          <w:iCs/>
          <w:lang w:val="en-GB"/>
        </w:rPr>
      </w:pPr>
      <w:r w:rsidRPr="00DE1E8C">
        <w:rPr>
          <w:bCs/>
          <w:iCs/>
          <w:lang w:val="en-GB"/>
        </w:rPr>
        <w:t>W</w:t>
      </w:r>
      <w:r w:rsidR="0032596C" w:rsidRPr="00DE1E8C">
        <w:rPr>
          <w:bCs/>
          <w:iCs/>
          <w:lang w:val="en-GB"/>
        </w:rPr>
        <w:t xml:space="preserve">e show that the drift rate, a measure of the quality of sensory evidence accumulation, is impaired in </w:t>
      </w:r>
      <w:r w:rsidR="00F265C2" w:rsidRPr="00DE1E8C">
        <w:rPr>
          <w:bCs/>
          <w:iCs/>
          <w:lang w:val="en-GB"/>
        </w:rPr>
        <w:t>L</w:t>
      </w:r>
      <w:r w:rsidR="0032596C" w:rsidRPr="00DE1E8C">
        <w:rPr>
          <w:bCs/>
          <w:iCs/>
          <w:lang w:val="en-GB"/>
        </w:rPr>
        <w:t xml:space="preserve">ewy body dementia </w:t>
      </w:r>
      <w:r w:rsidR="000B7A20" w:rsidRPr="00DE1E8C">
        <w:rPr>
          <w:bCs/>
          <w:iCs/>
          <w:lang w:val="en-GB"/>
        </w:rPr>
        <w:t>relative</w:t>
      </w:r>
      <w:r w:rsidR="0032596C" w:rsidRPr="00DE1E8C">
        <w:rPr>
          <w:bCs/>
          <w:iCs/>
          <w:lang w:val="en-GB"/>
        </w:rPr>
        <w:t xml:space="preserve"> to Alzheimer’s disease.</w:t>
      </w:r>
      <w:r w:rsidR="00F45D9C" w:rsidRPr="00DE1E8C">
        <w:rPr>
          <w:bCs/>
          <w:iCs/>
          <w:lang w:val="en-GB"/>
        </w:rPr>
        <w:t xml:space="preserve"> </w:t>
      </w:r>
      <w:r w:rsidR="00DD6883" w:rsidRPr="00DE1E8C">
        <w:rPr>
          <w:bCs/>
          <w:iCs/>
          <w:lang w:val="en-GB"/>
        </w:rPr>
        <w:t>By d</w:t>
      </w:r>
      <w:r w:rsidR="0032596C" w:rsidRPr="00DE1E8C">
        <w:rPr>
          <w:bCs/>
          <w:iCs/>
          <w:lang w:val="en-GB"/>
        </w:rPr>
        <w:t xml:space="preserve">ecomposing </w:t>
      </w:r>
      <w:r w:rsidR="008306C0" w:rsidRPr="00DE1E8C">
        <w:rPr>
          <w:bCs/>
          <w:iCs/>
          <w:lang w:val="en-GB"/>
        </w:rPr>
        <w:t>decisions in an</w:t>
      </w:r>
      <w:r w:rsidR="0032596C" w:rsidRPr="00DE1E8C">
        <w:rPr>
          <w:bCs/>
          <w:iCs/>
          <w:lang w:val="en-GB"/>
        </w:rPr>
        <w:t xml:space="preserve"> attentional task into the sub-processes of </w:t>
      </w:r>
      <w:r w:rsidR="008306C0" w:rsidRPr="00DE1E8C">
        <w:rPr>
          <w:bCs/>
          <w:iCs/>
          <w:lang w:val="en-GB"/>
        </w:rPr>
        <w:t xml:space="preserve">evidence accumulation (drift rate) and </w:t>
      </w:r>
      <w:r w:rsidR="00382AE9" w:rsidRPr="00DE1E8C">
        <w:rPr>
          <w:bCs/>
          <w:iCs/>
          <w:lang w:val="en-GB"/>
        </w:rPr>
        <w:t>evidence criteria (decision boundary)</w:t>
      </w:r>
      <w:r w:rsidR="002C7E0A" w:rsidRPr="00DE1E8C">
        <w:rPr>
          <w:bCs/>
          <w:iCs/>
          <w:lang w:val="en-GB"/>
        </w:rPr>
        <w:t xml:space="preserve">, </w:t>
      </w:r>
      <w:r w:rsidR="002D6DBD" w:rsidRPr="00DE1E8C">
        <w:rPr>
          <w:bCs/>
          <w:iCs/>
          <w:lang w:val="en-GB"/>
        </w:rPr>
        <w:t xml:space="preserve">our results </w:t>
      </w:r>
      <w:r w:rsidR="00F45D9C" w:rsidRPr="00DE1E8C">
        <w:rPr>
          <w:bCs/>
          <w:iCs/>
          <w:lang w:val="en-GB"/>
        </w:rPr>
        <w:t xml:space="preserve">revealed slower drift rates in the </w:t>
      </w:r>
      <w:r w:rsidR="00E26AE7" w:rsidRPr="00DE1E8C">
        <w:rPr>
          <w:bCs/>
          <w:iCs/>
          <w:lang w:val="en-GB"/>
        </w:rPr>
        <w:t>L</w:t>
      </w:r>
      <w:r w:rsidR="00F45D9C" w:rsidRPr="00DE1E8C">
        <w:rPr>
          <w:bCs/>
          <w:iCs/>
          <w:lang w:val="en-GB"/>
        </w:rPr>
        <w:t xml:space="preserve">ewy body dementia group, whereas the </w:t>
      </w:r>
      <w:r w:rsidR="00D70D58" w:rsidRPr="00DE1E8C">
        <w:rPr>
          <w:bCs/>
          <w:iCs/>
          <w:lang w:val="en-GB"/>
        </w:rPr>
        <w:t xml:space="preserve">patient </w:t>
      </w:r>
      <w:r w:rsidR="00F45D9C" w:rsidRPr="00DE1E8C">
        <w:rPr>
          <w:bCs/>
          <w:iCs/>
          <w:lang w:val="en-GB"/>
        </w:rPr>
        <w:t xml:space="preserve">groups were equivalent for their decision boundaries. </w:t>
      </w:r>
      <w:r w:rsidR="00F950AE" w:rsidRPr="00DE1E8C">
        <w:rPr>
          <w:bCs/>
          <w:iCs/>
          <w:lang w:val="en-GB"/>
        </w:rPr>
        <w:t>This highlights that</w:t>
      </w:r>
      <w:r w:rsidR="001D511E" w:rsidRPr="00DE1E8C">
        <w:rPr>
          <w:bCs/>
          <w:iCs/>
          <w:lang w:val="en-GB"/>
        </w:rPr>
        <w:t xml:space="preserve"> deficits in sensory evidence accumulation may be a key process that distinguishe</w:t>
      </w:r>
      <w:r w:rsidR="00587BF8" w:rsidRPr="00DE1E8C">
        <w:rPr>
          <w:bCs/>
          <w:iCs/>
          <w:lang w:val="en-GB"/>
        </w:rPr>
        <w:t>s</w:t>
      </w:r>
      <w:r w:rsidR="00284913" w:rsidRPr="00DE1E8C">
        <w:rPr>
          <w:bCs/>
          <w:iCs/>
          <w:lang w:val="en-GB"/>
        </w:rPr>
        <w:t xml:space="preserve"> </w:t>
      </w:r>
      <w:r w:rsidR="00D6421C" w:rsidRPr="00DE1E8C">
        <w:rPr>
          <w:bCs/>
          <w:iCs/>
          <w:lang w:val="en-GB"/>
        </w:rPr>
        <w:t>attention impairments</w:t>
      </w:r>
      <w:r w:rsidR="006B6B62" w:rsidRPr="00DE1E8C">
        <w:rPr>
          <w:bCs/>
          <w:iCs/>
          <w:lang w:val="en-GB"/>
        </w:rPr>
        <w:t xml:space="preserve"> in Lewy body dementia</w:t>
      </w:r>
      <w:r w:rsidR="001D511E" w:rsidRPr="00DE1E8C">
        <w:rPr>
          <w:bCs/>
          <w:iCs/>
          <w:lang w:val="en-GB"/>
        </w:rPr>
        <w:t xml:space="preserve">. </w:t>
      </w:r>
      <w:r w:rsidR="00CA0A17" w:rsidRPr="00DE1E8C">
        <w:rPr>
          <w:bCs/>
          <w:iCs/>
          <w:lang w:val="en-GB"/>
        </w:rPr>
        <w:t>We further show that</w:t>
      </w:r>
      <w:r w:rsidR="00056A7D" w:rsidRPr="00DE1E8C">
        <w:rPr>
          <w:bCs/>
          <w:iCs/>
          <w:lang w:val="en-GB"/>
        </w:rPr>
        <w:t xml:space="preserve"> the drift rate was strongly related to activity in the dorsal attention network</w:t>
      </w:r>
      <w:r w:rsidR="004C6BE4" w:rsidRPr="00DE1E8C">
        <w:rPr>
          <w:bCs/>
          <w:iCs/>
          <w:lang w:val="en-GB"/>
        </w:rPr>
        <w:t xml:space="preserve"> across all three groups, whereas the Lewy body dementia group showed a divergent </w:t>
      </w:r>
      <w:r w:rsidR="00D30D80" w:rsidRPr="00DE1E8C">
        <w:rPr>
          <w:bCs/>
          <w:iCs/>
          <w:lang w:val="en-GB"/>
        </w:rPr>
        <w:t>relationship</w:t>
      </w:r>
      <w:r w:rsidR="004C6BE4" w:rsidRPr="00DE1E8C">
        <w:rPr>
          <w:bCs/>
          <w:iCs/>
          <w:lang w:val="en-GB"/>
        </w:rPr>
        <w:t xml:space="preserve"> for the </w:t>
      </w:r>
      <w:r w:rsidR="00D30D80" w:rsidRPr="00DE1E8C">
        <w:rPr>
          <w:bCs/>
          <w:iCs/>
          <w:lang w:val="en-GB"/>
        </w:rPr>
        <w:t>default</w:t>
      </w:r>
      <w:r w:rsidR="004C6BE4" w:rsidRPr="00DE1E8C">
        <w:rPr>
          <w:bCs/>
          <w:iCs/>
          <w:lang w:val="en-GB"/>
        </w:rPr>
        <w:t xml:space="preserve"> network, consistent with</w:t>
      </w:r>
      <w:r w:rsidR="00D30D80" w:rsidRPr="00DE1E8C">
        <w:rPr>
          <w:bCs/>
          <w:iCs/>
          <w:lang w:val="en-GB"/>
        </w:rPr>
        <w:t xml:space="preserve"> altered default network modulation</w:t>
      </w:r>
      <w:r w:rsidR="000B69F3" w:rsidRPr="00DE1E8C">
        <w:rPr>
          <w:bCs/>
          <w:iCs/>
          <w:lang w:val="en-GB"/>
        </w:rPr>
        <w:t xml:space="preserve"> </w:t>
      </w:r>
      <w:r w:rsidR="0046027D" w:rsidRPr="00DE1E8C">
        <w:rPr>
          <w:bCs/>
          <w:iCs/>
          <w:lang w:val="en-GB"/>
        </w:rPr>
        <w:t xml:space="preserve">being associated with impaired evidence accumulation.  </w:t>
      </w:r>
      <w:r w:rsidR="00D30D80" w:rsidRPr="00DE1E8C">
        <w:rPr>
          <w:bCs/>
          <w:iCs/>
          <w:lang w:val="en-GB"/>
        </w:rPr>
        <w:t xml:space="preserve">  </w:t>
      </w:r>
      <w:r w:rsidR="004C6BE4" w:rsidRPr="00DE1E8C">
        <w:rPr>
          <w:bCs/>
          <w:iCs/>
          <w:lang w:val="en-GB"/>
        </w:rPr>
        <w:t xml:space="preserve"> </w:t>
      </w:r>
    </w:p>
    <w:p w14:paraId="6CF4AEB3" w14:textId="01DEEB7D" w:rsidR="004667FA" w:rsidRPr="00DE1E8C" w:rsidRDefault="004667FA" w:rsidP="00551517">
      <w:pPr>
        <w:spacing w:line="360" w:lineRule="auto"/>
        <w:contextualSpacing/>
        <w:jc w:val="both"/>
        <w:rPr>
          <w:bCs/>
          <w:iCs/>
          <w:lang w:val="en-GB"/>
        </w:rPr>
      </w:pPr>
    </w:p>
    <w:p w14:paraId="2C26253D" w14:textId="77EC00A9" w:rsidR="002819DB" w:rsidRPr="00DE1E8C" w:rsidRDefault="0007148A" w:rsidP="00551517">
      <w:pPr>
        <w:spacing w:line="360" w:lineRule="auto"/>
        <w:contextualSpacing/>
        <w:jc w:val="both"/>
        <w:rPr>
          <w:bCs/>
          <w:iCs/>
          <w:lang w:val="en-GB"/>
        </w:rPr>
      </w:pPr>
      <w:r w:rsidRPr="00DE1E8C">
        <w:rPr>
          <w:bCs/>
          <w:iCs/>
          <w:lang w:val="en-GB"/>
        </w:rPr>
        <w:t xml:space="preserve">The drift rate </w:t>
      </w:r>
      <w:r w:rsidR="00EE2571" w:rsidRPr="00DE1E8C">
        <w:rPr>
          <w:bCs/>
          <w:iCs/>
          <w:lang w:val="en-GB"/>
        </w:rPr>
        <w:t>measure</w:t>
      </w:r>
      <w:r w:rsidR="00733F13" w:rsidRPr="00DE1E8C">
        <w:rPr>
          <w:bCs/>
          <w:iCs/>
          <w:lang w:val="en-GB"/>
        </w:rPr>
        <w:t>s</w:t>
      </w:r>
      <w:r w:rsidR="00EE2571" w:rsidRPr="00DE1E8C">
        <w:rPr>
          <w:bCs/>
          <w:iCs/>
          <w:lang w:val="en-GB"/>
        </w:rPr>
        <w:t xml:space="preserve"> </w:t>
      </w:r>
      <w:r w:rsidRPr="00DE1E8C">
        <w:rPr>
          <w:bCs/>
          <w:iCs/>
          <w:lang w:val="en-GB"/>
        </w:rPr>
        <w:t xml:space="preserve">how </w:t>
      </w:r>
      <w:r w:rsidR="00845F3A" w:rsidRPr="00DE1E8C">
        <w:rPr>
          <w:bCs/>
          <w:iCs/>
          <w:lang w:val="en-GB"/>
        </w:rPr>
        <w:t>efficiently</w:t>
      </w:r>
      <w:r w:rsidRPr="00DE1E8C">
        <w:rPr>
          <w:bCs/>
          <w:iCs/>
          <w:lang w:val="en-GB"/>
        </w:rPr>
        <w:t xml:space="preserve"> information is accumulated and reflects the quality of evidence that enters the decision</w:t>
      </w:r>
      <w:r w:rsidR="00EE2571" w:rsidRPr="00DE1E8C">
        <w:rPr>
          <w:bCs/>
          <w:iCs/>
          <w:lang w:val="en-GB"/>
        </w:rPr>
        <w:t xml:space="preserve"> </w:t>
      </w:r>
      <w:r w:rsidRPr="00DE1E8C">
        <w:rPr>
          <w:bCs/>
          <w:iCs/>
          <w:lang w:val="en-GB"/>
        </w:rPr>
        <w:t>making process</w:t>
      </w:r>
      <w:r w:rsidR="00EE2571" w:rsidRPr="00DE1E8C">
        <w:rPr>
          <w:bCs/>
          <w:iCs/>
          <w:lang w:val="en-GB"/>
        </w:rPr>
        <w:t xml:space="preserve">. </w:t>
      </w:r>
      <w:r w:rsidR="0050207E" w:rsidRPr="00DE1E8C">
        <w:rPr>
          <w:bCs/>
          <w:iCs/>
          <w:lang w:val="en-GB"/>
        </w:rPr>
        <w:t xml:space="preserve">In this way, it speaks to </w:t>
      </w:r>
      <w:r w:rsidR="0050207E" w:rsidRPr="00DE1E8C">
        <w:rPr>
          <w:lang w:val="en-GB"/>
        </w:rPr>
        <w:t xml:space="preserve">the quality of evidence extracted from </w:t>
      </w:r>
      <w:r w:rsidR="00591185" w:rsidRPr="00DE1E8C">
        <w:rPr>
          <w:lang w:val="en-GB"/>
        </w:rPr>
        <w:t>a</w:t>
      </w:r>
      <w:r w:rsidR="0050207E" w:rsidRPr="00DE1E8C">
        <w:rPr>
          <w:lang w:val="en-GB"/>
        </w:rPr>
        <w:t xml:space="preserve"> stimulus and</w:t>
      </w:r>
      <w:r w:rsidR="00680248" w:rsidRPr="00DE1E8C">
        <w:rPr>
          <w:lang w:val="en-GB"/>
        </w:rPr>
        <w:t xml:space="preserve"> the</w:t>
      </w:r>
      <w:r w:rsidR="0050207E" w:rsidRPr="00DE1E8C">
        <w:rPr>
          <w:lang w:val="en-GB"/>
        </w:rPr>
        <w:t xml:space="preserve"> level of noise in the evidence accumulation process, capturing whether decisions are fast and accurate, or slow and error pron</w:t>
      </w:r>
      <w:r w:rsidR="00B8323B" w:rsidRPr="00DE1E8C">
        <w:rPr>
          <w:lang w:val="en-GB"/>
        </w:rPr>
        <w:t xml:space="preserve">e </w:t>
      </w:r>
      <w:r w:rsidR="006B74FB" w:rsidRPr="00DE1E8C">
        <w:rPr>
          <w:lang w:val="en-GB"/>
        </w:rPr>
        <w:fldChar w:fldCharType="begin"/>
      </w:r>
      <w:r w:rsidR="00A867A4" w:rsidRPr="00DE1E8C">
        <w:rPr>
          <w:lang w:val="en-GB"/>
        </w:rPr>
        <w:instrText xml:space="preserve"> ADDIN ZOTERO_ITEM CSL_CITATION {"citationID":"a11jit30u93","properties":{"formattedCitation":"(Krypotos {\\i{}et al.}, 2015)","plainCitation":"(Krypotos et al., 2015)","noteIndex":0},"citationItems":[{"id":"pCIaS5xB/w8Ogoy8Z","uris":["http://zotero.org/users/local/xUwQuTPV/items/L4AID4DY"],"uri":["http://zotero.org/users/local/xUwQuTPV/items/L4AID4DY"],"itemData":{"id":"7X3zRaXf/Wl909Drn","type":"article-journal","abstract":"Common methods for analysing response time (RT) tasks, frequently used across different disciplines of psychology, suffer from a number of limitations such as the failure to directly measure the underlying latent processes of interest and the inability to take into account the uncertainty associated with each individual&amp;apos;s point estimate of performance. Here, we discuss a Bayesian hierarchical diffusion model and apply it to RT data. This model allows researchers to decompose performance into meaningful psychological processes and to account optimally for individual differences and commonalities, even with relatively sparse data. We highlight the advantages of the Bayesian hierarchical diffusion model decomposition by applying it to performance on Approach-Avoidance Tasks, widely used in the emotion and psychopathology literature. Model fits for two experimental data-sets demonstrate that the model performs well. The Bayesian hierarchical diffusion model overcomes important limitations of current analysis procedures and provides deeper insight in latent psychological processes of interest.","container-title":"Cognition and Emotion","DOI":"10.1080/02699931.2014.985635","issue":"8","journalAbbreviation":"Cognition and Emotion","language":"English","note":"PMCID: PMC4673543","page":"1424-1444","title":"A Bayesian hierarchical diffusion model decomposition of performance in Approach-Avoidance Tasks.","volume":"29","author":[{"family":"Krypotos","given":"Angelos-Miltiadis"},{"family":"Beckers","given":"Tom"},{"family":"Kindt","given":"Merel"},{"family":"Wagenmakers","given":"Eric-Jan"}],"issued":{"date-parts":[["2015"]]}}}],"schema":"https://github.com/citation-style-language/schema/raw/master/csl-citation.json"} </w:instrText>
      </w:r>
      <w:r w:rsidR="006B74FB" w:rsidRPr="00DE1E8C">
        <w:rPr>
          <w:lang w:val="en-GB"/>
        </w:rPr>
        <w:fldChar w:fldCharType="separate"/>
      </w:r>
      <w:r w:rsidR="00E805F6" w:rsidRPr="00DE1E8C">
        <w:rPr>
          <w:lang w:val="en-GB"/>
        </w:rPr>
        <w:t xml:space="preserve">(Krypotos </w:t>
      </w:r>
      <w:r w:rsidR="00E805F6" w:rsidRPr="00DE1E8C">
        <w:rPr>
          <w:i/>
          <w:iCs/>
          <w:lang w:val="en-GB"/>
        </w:rPr>
        <w:t>et al.</w:t>
      </w:r>
      <w:r w:rsidR="00E805F6" w:rsidRPr="00DE1E8C">
        <w:rPr>
          <w:lang w:val="en-GB"/>
        </w:rPr>
        <w:t>, 2015)</w:t>
      </w:r>
      <w:r w:rsidR="006B74FB" w:rsidRPr="00DE1E8C">
        <w:rPr>
          <w:lang w:val="en-GB"/>
        </w:rPr>
        <w:fldChar w:fldCharType="end"/>
      </w:r>
      <w:r w:rsidR="0050207E" w:rsidRPr="00DE1E8C">
        <w:rPr>
          <w:lang w:val="en-GB"/>
        </w:rPr>
        <w:t>.</w:t>
      </w:r>
      <w:r w:rsidR="00845F3A" w:rsidRPr="00DE1E8C">
        <w:rPr>
          <w:lang w:val="en-GB"/>
        </w:rPr>
        <w:t xml:space="preserve"> </w:t>
      </w:r>
      <w:r w:rsidR="007857BC" w:rsidRPr="00DE1E8C">
        <w:rPr>
          <w:lang w:val="en-GB"/>
        </w:rPr>
        <w:t xml:space="preserve">Both </w:t>
      </w:r>
      <w:r w:rsidR="00F862D5" w:rsidRPr="00DE1E8C">
        <w:rPr>
          <w:lang w:val="en-GB"/>
        </w:rPr>
        <w:t xml:space="preserve">of the </w:t>
      </w:r>
      <w:r w:rsidR="007857BC" w:rsidRPr="00DE1E8C">
        <w:rPr>
          <w:bCs/>
          <w:iCs/>
          <w:lang w:val="en-GB"/>
        </w:rPr>
        <w:t>disease groups showed a</w:t>
      </w:r>
      <w:r w:rsidR="000B75C2" w:rsidRPr="00DE1E8C">
        <w:rPr>
          <w:bCs/>
          <w:iCs/>
          <w:lang w:val="en-GB"/>
        </w:rPr>
        <w:t xml:space="preserve"> reduced</w:t>
      </w:r>
      <w:r w:rsidR="007857BC" w:rsidRPr="00DE1E8C">
        <w:rPr>
          <w:bCs/>
          <w:iCs/>
          <w:lang w:val="en-GB"/>
        </w:rPr>
        <w:t xml:space="preserve"> drift rate relative to controls</w:t>
      </w:r>
      <w:r w:rsidR="0084622B" w:rsidRPr="00DE1E8C">
        <w:rPr>
          <w:bCs/>
          <w:iCs/>
          <w:lang w:val="en-GB"/>
        </w:rPr>
        <w:t xml:space="preserve">, </w:t>
      </w:r>
      <w:r w:rsidR="00F862D5" w:rsidRPr="00DE1E8C">
        <w:rPr>
          <w:bCs/>
          <w:iCs/>
          <w:lang w:val="en-GB"/>
        </w:rPr>
        <w:t>with the</w:t>
      </w:r>
      <w:r w:rsidR="00F862D5" w:rsidRPr="00DE1E8C">
        <w:rPr>
          <w:lang w:val="en-GB"/>
        </w:rPr>
        <w:t xml:space="preserve"> </w:t>
      </w:r>
      <w:r w:rsidR="00F862D5" w:rsidRPr="00DE1E8C">
        <w:rPr>
          <w:bCs/>
          <w:iCs/>
          <w:lang w:val="en-GB"/>
        </w:rPr>
        <w:t xml:space="preserve">Lewy body dementia group further reduced </w:t>
      </w:r>
      <w:r w:rsidR="004E4C52" w:rsidRPr="00DE1E8C">
        <w:rPr>
          <w:bCs/>
          <w:iCs/>
          <w:lang w:val="en-GB"/>
        </w:rPr>
        <w:t xml:space="preserve">compared </w:t>
      </w:r>
      <w:r w:rsidR="00F862D5" w:rsidRPr="00DE1E8C">
        <w:rPr>
          <w:bCs/>
          <w:iCs/>
          <w:lang w:val="en-GB"/>
        </w:rPr>
        <w:t xml:space="preserve">to the </w:t>
      </w:r>
      <w:r w:rsidR="00E32E5B" w:rsidRPr="00DE1E8C">
        <w:rPr>
          <w:bCs/>
          <w:iCs/>
          <w:lang w:val="en-GB"/>
        </w:rPr>
        <w:t>Alzheimer’s</w:t>
      </w:r>
      <w:r w:rsidR="00F862D5" w:rsidRPr="00DE1E8C">
        <w:rPr>
          <w:bCs/>
          <w:iCs/>
          <w:lang w:val="en-GB"/>
        </w:rPr>
        <w:t xml:space="preserve"> disease </w:t>
      </w:r>
      <w:r w:rsidR="00332436" w:rsidRPr="00DE1E8C">
        <w:rPr>
          <w:bCs/>
          <w:iCs/>
          <w:lang w:val="en-GB"/>
        </w:rPr>
        <w:t>group</w:t>
      </w:r>
      <w:r w:rsidR="00F862D5" w:rsidRPr="00DE1E8C">
        <w:rPr>
          <w:bCs/>
          <w:iCs/>
          <w:lang w:val="en-GB"/>
        </w:rPr>
        <w:t>.</w:t>
      </w:r>
      <w:r w:rsidR="00E32E5B" w:rsidRPr="00DE1E8C">
        <w:rPr>
          <w:bCs/>
          <w:iCs/>
          <w:lang w:val="en-GB"/>
        </w:rPr>
        <w:t xml:space="preserve"> </w:t>
      </w:r>
      <w:r w:rsidR="005226F8" w:rsidRPr="00DE1E8C">
        <w:rPr>
          <w:bCs/>
          <w:iCs/>
          <w:lang w:val="en-GB"/>
        </w:rPr>
        <w:t>T</w:t>
      </w:r>
      <w:r w:rsidR="00DC4C07" w:rsidRPr="00DE1E8C">
        <w:rPr>
          <w:bCs/>
          <w:iCs/>
          <w:lang w:val="en-GB"/>
        </w:rPr>
        <w:t xml:space="preserve">hese </w:t>
      </w:r>
      <w:r w:rsidR="00733F13" w:rsidRPr="00DE1E8C">
        <w:rPr>
          <w:bCs/>
          <w:iCs/>
          <w:lang w:val="en-GB"/>
        </w:rPr>
        <w:t xml:space="preserve">neurodegenerative </w:t>
      </w:r>
      <w:r w:rsidR="00DC4C07" w:rsidRPr="00DE1E8C">
        <w:rPr>
          <w:bCs/>
          <w:iCs/>
          <w:lang w:val="en-GB"/>
        </w:rPr>
        <w:t>con</w:t>
      </w:r>
      <w:r w:rsidR="00A72CB8" w:rsidRPr="00DE1E8C">
        <w:rPr>
          <w:bCs/>
          <w:iCs/>
          <w:lang w:val="en-GB"/>
        </w:rPr>
        <w:t>ditions</w:t>
      </w:r>
      <w:r w:rsidR="005226F8" w:rsidRPr="00DE1E8C">
        <w:rPr>
          <w:bCs/>
          <w:iCs/>
          <w:lang w:val="en-GB"/>
        </w:rPr>
        <w:t xml:space="preserve"> both</w:t>
      </w:r>
      <w:r w:rsidR="002819DB" w:rsidRPr="00DE1E8C">
        <w:rPr>
          <w:bCs/>
          <w:iCs/>
          <w:lang w:val="en-GB"/>
        </w:rPr>
        <w:t xml:space="preserve"> manifest impaired attention as part of a dysexecutive cognitive profile </w:t>
      </w:r>
      <w:r w:rsidR="004B488D" w:rsidRPr="00DE1E8C">
        <w:rPr>
          <w:bCs/>
          <w:iCs/>
          <w:lang w:val="en-GB"/>
        </w:rPr>
        <w:fldChar w:fldCharType="begin"/>
      </w:r>
      <w:r w:rsidR="00703CC6" w:rsidRPr="00DE1E8C">
        <w:rPr>
          <w:bCs/>
          <w:iCs/>
          <w:lang w:val="en-GB"/>
        </w:rPr>
        <w:instrText xml:space="preserve"> ADDIN ZOTERO_ITEM CSL_CITATION {"citationID":"a25uii51em3","properties":{"formattedCitation":"(Metzler-Baddeley, 2007)","plainCitation":"(Metzler-Baddeley, 2007)","noteIndex":0},"citationItems":[{"id":14313,"uris":["http://zotero.org/users/local/xUwQuTPV/items/UENB7NA7"],"uri":["http://zotero.org/users/local/xUwQuTPV/items/UENB7NA7"],"itemData":{"id":14313,"type":"article-journal","abstract":"Dementia with Lewy bodies (DLB) has recently been identified as a separate disease but diagnosis can be difficult, in particular the differentiation from related dementias of Alzheimer’s disease (AD) and Parkinson’s disease with dementia (PDD). Careful cognitive assessment may aid differential diagnosis between these different types of dementia and can provide theoretical insight into the nature of the underlying impairments. Recent reviews on DLB have primarily dealt with medical issues of clinical diagnostic criteria, pathology, epidemiology and treatment (Ballard, 2004; Barber et al., 2001; Cercy and Bylsma, 1997; Cummings, 2004; Kaufer, 2004; McKeith, 2002; McKeith et al., 2004a; Rampello et al., 2004) and only a few papers have reviewed cognitive impairments in DLB (Collerton et al., 2003; Lambon-Ralph et al., 2001; Simard et al., 2000). The present paper is more specifically targeted to a neuropsychological audience. It provides an upto-date, detailed and comprehensive review of the available evidence regarding visual and olfactory perception, attention, cognitive fluctuation, frontal-executive functions, working memory, episodic memory, and semantic memory in DLB relative to AD and PDD. In addition, an attempt is made to relate available data to current theoretical frameworks of cognition. Implications for future research and clinical issues such as the problem of differential diagnosis, and the relation between cognitive impairments and clinical features of visual hallucinations and cognitive fluctuation will be discussed.","container-title":"Cortex","DOI":"10.1016/S0010-9452(08)70489-1","ISSN":"00109452","issue":"5","journalAbbreviation":"Cortex","language":"en","page":"583-600","source":"DOI.org (Crossref)","title":"A Review of Cognitive Impairments in Dementia with Lewy Bodies Relative to Alzheimer's Disease and Parkinson's Disease with Dementia","volume":"43","author":[{"family":"Metzler-Baddeley","given":"Claudia"}],"issued":{"date-parts":[["2007",1]]}}}],"schema":"https://github.com/citation-style-language/schema/raw/master/csl-citation.json"} </w:instrText>
      </w:r>
      <w:r w:rsidR="004B488D" w:rsidRPr="00DE1E8C">
        <w:rPr>
          <w:bCs/>
          <w:iCs/>
          <w:lang w:val="en-GB"/>
        </w:rPr>
        <w:fldChar w:fldCharType="separate"/>
      </w:r>
      <w:r w:rsidR="00703CC6" w:rsidRPr="00DE1E8C">
        <w:rPr>
          <w:lang w:val="en-GB"/>
        </w:rPr>
        <w:t>(Metzler-Baddeley, 2007)</w:t>
      </w:r>
      <w:r w:rsidR="004B488D" w:rsidRPr="00DE1E8C">
        <w:rPr>
          <w:bCs/>
          <w:iCs/>
          <w:lang w:val="en-GB"/>
        </w:rPr>
        <w:fldChar w:fldCharType="end"/>
      </w:r>
      <w:r w:rsidR="004B488D" w:rsidRPr="00DE1E8C">
        <w:rPr>
          <w:bCs/>
          <w:iCs/>
          <w:lang w:val="en-GB"/>
        </w:rPr>
        <w:t>, however the</w:t>
      </w:r>
      <w:r w:rsidR="000D242F" w:rsidRPr="00DE1E8C">
        <w:rPr>
          <w:bCs/>
          <w:iCs/>
          <w:lang w:val="en-GB"/>
        </w:rPr>
        <w:t xml:space="preserve"> striking attention-related symptoms of visual hallucinations and cognitive fluctuations are more common in Lewy body dementia </w:t>
      </w:r>
      <w:r w:rsidR="009C2230" w:rsidRPr="00DE1E8C">
        <w:rPr>
          <w:bCs/>
          <w:iCs/>
          <w:lang w:val="en-GB"/>
        </w:rPr>
        <w:fldChar w:fldCharType="begin"/>
      </w:r>
      <w:r w:rsidR="00E805F6" w:rsidRPr="00DE1E8C">
        <w:rPr>
          <w:bCs/>
          <w:iCs/>
          <w:lang w:val="en-GB"/>
        </w:rPr>
        <w:instrText xml:space="preserve"> ADDIN ZOTERO_ITEM CSL_CITATION {"citationID":"aok8l0u7nc","properties":{"formattedCitation":"(Walker {\\i{}et al.}, 2000{\\i{}a}; Ballard {\\i{}et al.}, 2001; Tiraboschi {\\i{}et al.}, 2006)","plainCitation":"(Walker et al., 2000a; Ballard et al., 2001; Tiraboschi et al., 2006)","noteIndex":0},"citationItems":[{"id":14316,"uris":["http://zotero.org/users/local/xUwQuTPV/items/L7GKHPXK"],"uri":["http://zotero.org/users/local/xUwQuTPV/items/L7GKHPXK"],"itemData":{"id":14316,"type":"article-journal","abstract":"BACKGROUND: Case reports and clinical observations suggest that fluctuating cognition (FC) is common in the major dementias, particularly dementia with Lewy bodies (DLB), where it is one of three core clinical diagnostic features.\nOBJECTIVES: To examine the frequency, characteristics, and diagnostic utility of FC in dementia using clinical, attentional, and EEG markers.\nMETHOD: - A total of 155 subjects (61 with AD, 37 with DLB, 22 with vascular dementia [VaD], 35 elderly controls) received clinical evaluation for FC using a semiquantified measure applied by experienced clinicians and 90-second cognitive choice reaction time (CRT) and vigilance reaction time (VIGRT) trials. Forty subjects also received an evaluation of mean EEG frequency across 90 seconds.\nRESULTS: Patients with DLB had a greater prevalence and severity of FC than did patients with AD or VaD rated using clinical, attentional, and EEG measures. The 90-second cognitive and EEG trials demonstrated that FC occurs on a second-to-second basis in patients with DLB. Patients with VaD had a higher prevalence of FC than did those with AD, although the profile of FC was different from that expressed by DLB cases. Optimal cutoff values on the clinical scale achieved good discrimination between the dementia groups (sensitivity 81%, specificity 92%, DLB versus AD; sensitivity 81%, specificity 82%, DLB versus VaD; sensitivity 64%, specificity 77%, VaD versus AD).\nCONCLUSION: Standardized assessment methods demonstrate that FC is significantly more common and severe in DLB than in other major dementias. The periodicity of FC is different in DLB and VaD cases, with important implications for the underlying causal mechanisms and for differential diagnosis.","container-title":"Neurology","DOI":"10.1212/wnl.54.8.1616","ISSN":"0028-3878","issue":"8","journalAbbreviation":"Neurology","language":"eng","note":"PMID: 10762503","page":"1616-1625","source":"PubMed","title":"Quantifying fluctuation in dementia with Lewy bodies, Alzheimer's disease, and vascular dementia","volume":"54","author":[{"family":"Walker","given":"M. P."},{"family":"Ayre","given":"G. A."},{"family":"Cummings","given":"J. L."},{"family":"Wesnes","given":"K."},{"family":"McKeith","given":"I. G."},{"family":"O'Brien","given":"J. T."},{"family":"Ballard","given":"C. G."}],"issued":{"date-parts":[["2000",4,25]]}}},{"id":14315,"uris":["http://zotero.org/users/local/xUwQuTPV/items/8E27EKUR"],"uri":["http://zotero.org/users/local/xUwQuTPV/items/8E27EKUR"],"itemData":{"id":14315,"type":"article-journal","container-title":"Archives of Neurology","DOI":"10.1001/archneur.58.6.977","ISSN":"0003-9942","issue":"6","journalAbbreviation":"Arch Neurol","language":"en","page":"977","source":"DOI.org (Crossref)","title":"Attention and Fluctuating Attention in Patients With Dementia With Lewy Bodies and Alzheimer Disease","volume":"58","author":[{"family":"Ballard","given":"Clive"},{"family":"O'Brien","given":"John"},{"family":"Gray","given":"Alistair"},{"family":"Cormack","given":"Franchesca"},{"family":"Ayre","given":"Gareth"},{"family":"Rowan","given":"Elise"},{"family":"Thompson","given":"Peter"},{"family":"Bucks","given":"Romola"},{"family":"McKeith","given":"Ian"},{"family":"Walker","given":"Matthew"},{"family":"Tovee","given":"Martin"}],"issued":{"date-parts":[["2001",6,1]]}}},{"id":14478,"uris":["http://zotero.org/users/local/xUwQuTPV/items/KNAQAEH3"],"uri":["http://zotero.org/users/local/xUwQuTPV/items/KNAQAEH3"],"itemData":{"id":14478,"type":"article-journal","abstract":"Abstract.  To determine which clinical feature(s) [among visual hallucinations (VH), extrapyramidal signs (EPS) and visuospatial impairment] in the earliest sta","container-title":"Brain","DOI":"10.1093/brain/awh725","ISSN":"0006-8950","issue":"3","journalAbbreviation":"Brain","language":"en","note":"publisher: Oxford Academic","page":"729-735","source":"academic.oup.com","title":"What best differentiates Lewy body from Alzheimer's disease in early-stage dementia?","volume":"129","author":[{"family":"Tiraboschi","given":"Pietro"},{"family":"Salmon","given":"David P."},{"family":"Hansen","given":"Lawrence A."},{"family":"Hofstetter","given":"Richard C."},{"family":"Thal","given":"Leon J."},{"family":"Corey-Bloom","given":"Jody"}],"issued":{"date-parts":[["2006",3,1]]}}}],"schema":"https://github.com/citation-style-language/schema/raw/master/csl-citation.json"} </w:instrText>
      </w:r>
      <w:r w:rsidR="009C2230" w:rsidRPr="00DE1E8C">
        <w:rPr>
          <w:bCs/>
          <w:iCs/>
          <w:lang w:val="en-GB"/>
        </w:rPr>
        <w:fldChar w:fldCharType="separate"/>
      </w:r>
      <w:r w:rsidR="00E805F6" w:rsidRPr="00DE1E8C">
        <w:rPr>
          <w:lang w:val="en-GB"/>
        </w:rPr>
        <w:t xml:space="preserve">(Walker </w:t>
      </w:r>
      <w:r w:rsidR="00E805F6" w:rsidRPr="00DE1E8C">
        <w:rPr>
          <w:i/>
          <w:iCs/>
          <w:lang w:val="en-GB"/>
        </w:rPr>
        <w:t>et al.</w:t>
      </w:r>
      <w:r w:rsidR="00E805F6" w:rsidRPr="00DE1E8C">
        <w:rPr>
          <w:lang w:val="en-GB"/>
        </w:rPr>
        <w:t>, 2000</w:t>
      </w:r>
      <w:r w:rsidR="00E805F6" w:rsidRPr="00DE1E8C">
        <w:rPr>
          <w:i/>
          <w:iCs/>
          <w:lang w:val="en-GB"/>
        </w:rPr>
        <w:t>a</w:t>
      </w:r>
      <w:r w:rsidR="00E805F6" w:rsidRPr="00DE1E8C">
        <w:rPr>
          <w:lang w:val="en-GB"/>
        </w:rPr>
        <w:t xml:space="preserve">; Ballard </w:t>
      </w:r>
      <w:r w:rsidR="00E805F6" w:rsidRPr="00DE1E8C">
        <w:rPr>
          <w:i/>
          <w:iCs/>
          <w:lang w:val="en-GB"/>
        </w:rPr>
        <w:t>et al.</w:t>
      </w:r>
      <w:r w:rsidR="00E805F6" w:rsidRPr="00DE1E8C">
        <w:rPr>
          <w:lang w:val="en-GB"/>
        </w:rPr>
        <w:t xml:space="preserve">, 2001; Tiraboschi </w:t>
      </w:r>
      <w:r w:rsidR="00E805F6" w:rsidRPr="00DE1E8C">
        <w:rPr>
          <w:i/>
          <w:iCs/>
          <w:lang w:val="en-GB"/>
        </w:rPr>
        <w:t>et al.</w:t>
      </w:r>
      <w:r w:rsidR="00E805F6" w:rsidRPr="00DE1E8C">
        <w:rPr>
          <w:lang w:val="en-GB"/>
        </w:rPr>
        <w:t>, 2006)</w:t>
      </w:r>
      <w:r w:rsidR="009C2230" w:rsidRPr="00DE1E8C">
        <w:rPr>
          <w:bCs/>
          <w:iCs/>
          <w:lang w:val="en-GB"/>
        </w:rPr>
        <w:fldChar w:fldCharType="end"/>
      </w:r>
      <w:r w:rsidR="00935A7F" w:rsidRPr="00DE1E8C">
        <w:rPr>
          <w:bCs/>
          <w:iCs/>
          <w:lang w:val="en-GB"/>
        </w:rPr>
        <w:t xml:space="preserve">. </w:t>
      </w:r>
      <w:r w:rsidR="00BF3ACD" w:rsidRPr="00DE1E8C">
        <w:rPr>
          <w:bCs/>
          <w:iCs/>
          <w:lang w:val="en-GB"/>
        </w:rPr>
        <w:t xml:space="preserve">Prominent impairments in sensory evidence accumulation may be </w:t>
      </w:r>
      <w:r w:rsidR="00C45B26" w:rsidRPr="00DE1E8C">
        <w:rPr>
          <w:bCs/>
          <w:iCs/>
          <w:lang w:val="en-GB"/>
        </w:rPr>
        <w:t>a key feature underpinning the symptoms that distinguish Lewy body dementia from related neurodegenerative diseases.</w:t>
      </w:r>
    </w:p>
    <w:p w14:paraId="34514103" w14:textId="77777777" w:rsidR="00DA4A47" w:rsidRPr="00DE1E8C" w:rsidRDefault="00DA4A47" w:rsidP="001511B4">
      <w:pPr>
        <w:spacing w:line="360" w:lineRule="auto"/>
        <w:contextualSpacing/>
        <w:jc w:val="both"/>
        <w:rPr>
          <w:bCs/>
          <w:iCs/>
          <w:lang w:val="en-GB"/>
        </w:rPr>
      </w:pPr>
    </w:p>
    <w:p w14:paraId="515B5996" w14:textId="75ECDCCC" w:rsidR="00840B31" w:rsidRPr="00DE1E8C" w:rsidRDefault="00EA3C61" w:rsidP="001511B4">
      <w:pPr>
        <w:spacing w:line="360" w:lineRule="auto"/>
        <w:contextualSpacing/>
        <w:jc w:val="both"/>
        <w:rPr>
          <w:bCs/>
          <w:iCs/>
          <w:lang w:val="en-GB"/>
        </w:rPr>
      </w:pPr>
      <w:r w:rsidRPr="00DE1E8C">
        <w:rPr>
          <w:bCs/>
          <w:iCs/>
          <w:lang w:val="en-GB"/>
        </w:rPr>
        <w:t>In contrast to the drift rate, b</w:t>
      </w:r>
      <w:r w:rsidR="001511B4" w:rsidRPr="00DE1E8C">
        <w:rPr>
          <w:bCs/>
          <w:iCs/>
          <w:lang w:val="en-GB"/>
        </w:rPr>
        <w:t>oth the Lewy body dementia and Alzheimer’s disease groups showed similar</w:t>
      </w:r>
      <w:r w:rsidRPr="00DE1E8C">
        <w:rPr>
          <w:bCs/>
          <w:iCs/>
          <w:lang w:val="en-GB"/>
        </w:rPr>
        <w:t>ly</w:t>
      </w:r>
      <w:r w:rsidR="001511B4" w:rsidRPr="00DE1E8C">
        <w:rPr>
          <w:bCs/>
          <w:iCs/>
          <w:lang w:val="en-GB"/>
        </w:rPr>
        <w:t xml:space="preserve"> reduced decision boundaries relative to c</w:t>
      </w:r>
      <w:r w:rsidRPr="00DE1E8C">
        <w:rPr>
          <w:bCs/>
          <w:iCs/>
          <w:lang w:val="en-GB"/>
        </w:rPr>
        <w:t>ontrols</w:t>
      </w:r>
      <w:r w:rsidR="001511B4" w:rsidRPr="00DE1E8C">
        <w:rPr>
          <w:bCs/>
          <w:iCs/>
          <w:lang w:val="en-GB"/>
        </w:rPr>
        <w:t>.</w:t>
      </w:r>
      <w:r w:rsidR="00473A04" w:rsidRPr="00DE1E8C">
        <w:rPr>
          <w:bCs/>
          <w:iCs/>
          <w:lang w:val="en-GB"/>
        </w:rPr>
        <w:t xml:space="preserve"> </w:t>
      </w:r>
      <w:r w:rsidR="003B7770" w:rsidRPr="00DE1E8C">
        <w:rPr>
          <w:bCs/>
          <w:iCs/>
          <w:lang w:val="en-GB"/>
        </w:rPr>
        <w:t>This parameter</w:t>
      </w:r>
      <w:r w:rsidR="006A69D0" w:rsidRPr="00DE1E8C">
        <w:rPr>
          <w:bCs/>
          <w:iCs/>
          <w:lang w:val="en-GB"/>
        </w:rPr>
        <w:t xml:space="preserve"> is considered a measure of response caution</w:t>
      </w:r>
      <w:r w:rsidR="006670D0" w:rsidRPr="00DE1E8C">
        <w:rPr>
          <w:bCs/>
          <w:iCs/>
          <w:lang w:val="en-GB"/>
        </w:rPr>
        <w:t>, indicat</w:t>
      </w:r>
      <w:r w:rsidR="00111A22" w:rsidRPr="00DE1E8C">
        <w:rPr>
          <w:bCs/>
          <w:iCs/>
          <w:lang w:val="en-GB"/>
        </w:rPr>
        <w:t>ing</w:t>
      </w:r>
      <w:r w:rsidR="006670D0" w:rsidRPr="00DE1E8C">
        <w:rPr>
          <w:bCs/>
          <w:iCs/>
          <w:lang w:val="en-GB"/>
        </w:rPr>
        <w:t xml:space="preserve"> the amount of evidence that needs to be accumulated before a </w:t>
      </w:r>
      <w:r w:rsidR="00BA5129" w:rsidRPr="00DE1E8C">
        <w:rPr>
          <w:bCs/>
          <w:iCs/>
          <w:lang w:val="en-GB"/>
        </w:rPr>
        <w:t>decision</w:t>
      </w:r>
      <w:r w:rsidR="006670D0" w:rsidRPr="00DE1E8C">
        <w:rPr>
          <w:bCs/>
          <w:iCs/>
          <w:lang w:val="en-GB"/>
        </w:rPr>
        <w:t xml:space="preserve"> is reached. </w:t>
      </w:r>
      <w:r w:rsidR="00BA5129" w:rsidRPr="00DE1E8C">
        <w:rPr>
          <w:bCs/>
          <w:iCs/>
          <w:lang w:val="en-GB"/>
        </w:rPr>
        <w:t>Wider boundaries promot</w:t>
      </w:r>
      <w:r w:rsidR="009D5C97" w:rsidRPr="00DE1E8C">
        <w:rPr>
          <w:bCs/>
          <w:iCs/>
          <w:lang w:val="en-GB"/>
        </w:rPr>
        <w:t>e</w:t>
      </w:r>
      <w:r w:rsidR="00BA5129" w:rsidRPr="00DE1E8C">
        <w:rPr>
          <w:bCs/>
          <w:iCs/>
          <w:lang w:val="en-GB"/>
        </w:rPr>
        <w:t xml:space="preserve"> slow but accurate decisions, whereas narrow boundaries</w:t>
      </w:r>
      <w:r w:rsidR="003978A2" w:rsidRPr="00DE1E8C">
        <w:rPr>
          <w:bCs/>
          <w:iCs/>
          <w:lang w:val="en-GB"/>
        </w:rPr>
        <w:t xml:space="preserve"> are associated with </w:t>
      </w:r>
      <w:r w:rsidR="00BA5129" w:rsidRPr="00DE1E8C">
        <w:rPr>
          <w:bCs/>
          <w:iCs/>
          <w:lang w:val="en-GB"/>
        </w:rPr>
        <w:t>fast but error prone</w:t>
      </w:r>
      <w:r w:rsidR="003978A2" w:rsidRPr="00DE1E8C">
        <w:rPr>
          <w:bCs/>
          <w:iCs/>
          <w:lang w:val="en-GB"/>
        </w:rPr>
        <w:t xml:space="preserve"> decisions</w:t>
      </w:r>
      <w:r w:rsidR="00BA5129" w:rsidRPr="00DE1E8C">
        <w:rPr>
          <w:bCs/>
          <w:iCs/>
          <w:lang w:val="en-GB"/>
        </w:rPr>
        <w:t xml:space="preserve"> </w:t>
      </w:r>
      <w:r w:rsidR="00BA5129" w:rsidRPr="00DE1E8C">
        <w:rPr>
          <w:bCs/>
          <w:iCs/>
          <w:lang w:val="en-GB"/>
        </w:rPr>
        <w:fldChar w:fldCharType="begin"/>
      </w:r>
      <w:r w:rsidR="00C40C56" w:rsidRPr="00DE1E8C">
        <w:rPr>
          <w:bCs/>
          <w:iCs/>
          <w:lang w:val="en-GB"/>
        </w:rPr>
        <w:instrText xml:space="preserve"> ADDIN ZOTERO_ITEM CSL_CITATION {"citationID":"a2peumu191h","properties":{"formattedCitation":"(Starns and Ratcliff, 2010)","plainCitation":"(Starns and Ratcliff, 2010)","noteIndex":0},"citationItems":[{"id":14788,"uris":["http://zotero.org/users/local/xUwQuTPV/items/J2ESBEKC"],"uri":["http://zotero.org/users/local/xUwQuTPV/items/J2ESBEKC"],"itemData":{"id":14788,"type":"article-journal","abstract":"We evaluated age-related differences in the optimality of decision boundary settings in a diffusion model analysis. In the model, the width of the decision boundary represents the amount of evidence that must accumulate in favor of a response alternative before a decision is made. Wide boundaries lead to slow but accurate responding, and narrow boundaries lead to fast but inaccurate responding. There is a single value of boundary separation that produces the most correct answers in a given period of time, and we refer to this value as the reward rate optimal boundary (RROB). We consistently found across a variety of decision tasks that older adults used boundaries that were much wider than the RROB value. Young adults used boundaries that were closer to the RROB value, although age differences in optimality were smaller with instructions emphasizing speed than with instructions emphasizing accuracy. Young adults adjusted their boundary settings to more closely approach the RROB value when they were provided with accuracy feedback and extensive practice. Older participants showed no evidence of making boundary adjustments in response to feedback or task practice, and they consistently used boundary separation values that produced accuracy levels that were near asymptote. Our results suggest that young adults attempt to balance speed and accuracy to achieve the most correct answers per unit time, whereas older adultts attempt to minimize errors even if they must respond quite slowly to do so.","container-title":"Psychology and Aging","DOI":"10.1037/a0018022","ISSN":"1939-1498, 0882-7974","issue":"2","journalAbbreviation":"Psychology and Aging","language":"en","page":"377-390","source":"DOI.org (Crossref)","title":"The effects of aging on the speed–accuracy compromise: Boundary optimality in the diffusion model.","title-short":"The effects of aging on the speed–accuracy compromise","volume":"25","author":[{"family":"Starns","given":"Jeffrey J."},{"family":"Ratcliff","given":"Roger"}],"issued":{"date-parts":[["2010"]]}}}],"schema":"https://github.com/citation-style-language/schema/raw/master/csl-citation.json"} </w:instrText>
      </w:r>
      <w:r w:rsidR="00BA5129" w:rsidRPr="00DE1E8C">
        <w:rPr>
          <w:bCs/>
          <w:iCs/>
          <w:lang w:val="en-GB"/>
        </w:rPr>
        <w:fldChar w:fldCharType="separate"/>
      </w:r>
      <w:r w:rsidR="00C40C56" w:rsidRPr="00DE1E8C">
        <w:rPr>
          <w:lang w:val="en-GB"/>
        </w:rPr>
        <w:t>(Starns and Ratcliff, 2010)</w:t>
      </w:r>
      <w:r w:rsidR="00BA5129" w:rsidRPr="00DE1E8C">
        <w:rPr>
          <w:bCs/>
          <w:iCs/>
          <w:lang w:val="en-GB"/>
        </w:rPr>
        <w:fldChar w:fldCharType="end"/>
      </w:r>
      <w:r w:rsidR="009D5C97" w:rsidRPr="00DE1E8C">
        <w:rPr>
          <w:bCs/>
          <w:iCs/>
          <w:lang w:val="en-GB"/>
        </w:rPr>
        <w:t xml:space="preserve">. </w:t>
      </w:r>
      <w:r w:rsidR="005A43DB" w:rsidRPr="00DE1E8C">
        <w:rPr>
          <w:bCs/>
          <w:iCs/>
          <w:lang w:val="en-GB"/>
        </w:rPr>
        <w:t xml:space="preserve">The narrower </w:t>
      </w:r>
      <w:r w:rsidR="00034A67" w:rsidRPr="00DE1E8C">
        <w:rPr>
          <w:bCs/>
          <w:iCs/>
          <w:lang w:val="en-GB"/>
        </w:rPr>
        <w:t xml:space="preserve">boundaries in our patient groups are in keeping with the increased </w:t>
      </w:r>
      <w:r w:rsidR="006B52C2" w:rsidRPr="00DE1E8C">
        <w:rPr>
          <w:bCs/>
          <w:iCs/>
          <w:lang w:val="en-GB"/>
        </w:rPr>
        <w:t xml:space="preserve">errors they made on the task, </w:t>
      </w:r>
      <w:r w:rsidR="006B52C2" w:rsidRPr="00DE1E8C">
        <w:rPr>
          <w:bCs/>
          <w:iCs/>
          <w:lang w:val="en-GB"/>
        </w:rPr>
        <w:lastRenderedPageBreak/>
        <w:t xml:space="preserve">relative to controls. </w:t>
      </w:r>
      <w:r w:rsidR="001511B4" w:rsidRPr="00DE1E8C">
        <w:rPr>
          <w:bCs/>
          <w:iCs/>
          <w:lang w:val="en-GB"/>
        </w:rPr>
        <w:t>Previous work in</w:t>
      </w:r>
      <w:r w:rsidR="00A6255E" w:rsidRPr="00DE1E8C">
        <w:rPr>
          <w:bCs/>
          <w:iCs/>
          <w:lang w:val="en-GB"/>
        </w:rPr>
        <w:t xml:space="preserve"> </w:t>
      </w:r>
      <w:r w:rsidR="001511B4" w:rsidRPr="00DE1E8C">
        <w:rPr>
          <w:bCs/>
          <w:iCs/>
          <w:lang w:val="en-GB"/>
        </w:rPr>
        <w:t>Parkinson’s disease patients</w:t>
      </w:r>
      <w:r w:rsidR="00A6255E" w:rsidRPr="00DE1E8C">
        <w:rPr>
          <w:bCs/>
          <w:iCs/>
          <w:lang w:val="en-GB"/>
        </w:rPr>
        <w:t xml:space="preserve"> (without dementia)</w:t>
      </w:r>
      <w:r w:rsidR="001511B4" w:rsidRPr="00DE1E8C">
        <w:rPr>
          <w:bCs/>
          <w:iCs/>
          <w:lang w:val="en-GB"/>
        </w:rPr>
        <w:t xml:space="preserve"> showed they were able to flexibly adjust decision boundaries in response to task demands </w:t>
      </w:r>
      <w:r w:rsidR="001511B4" w:rsidRPr="00DE1E8C">
        <w:rPr>
          <w:bCs/>
          <w:iCs/>
          <w:lang w:val="en-GB"/>
        </w:rPr>
        <w:fldChar w:fldCharType="begin"/>
      </w:r>
      <w:r w:rsidR="00E805F6" w:rsidRPr="00DE1E8C">
        <w:rPr>
          <w:bCs/>
          <w:iCs/>
          <w:lang w:val="en-GB"/>
        </w:rPr>
        <w:instrText xml:space="preserve"> ADDIN ZOTERO_ITEM CSL_CITATION {"citationID":"a1soq48h20g","properties":{"formattedCitation":"(Cavanagh {\\i{}et al.}, 2011; Herz {\\i{}et al.}, 2016)","plainCitation":"(Cavanagh et al., 2011; Herz et al., 2016)","noteIndex":0},"citationItems":[{"id":14322,"uris":["http://zotero.org/users/local/xUwQuTPV/items/548YJ5ZS"],"uri":["http://zotero.org/users/local/xUwQuTPV/items/548YJ5ZS"],"itemData":{"id":14322,"type":"article-journal","abstract":"One mechanism by which medial prefontal cortex (mPFC) exerts cognitive control is thought to involve the subthalamic nucleus (STN), which acts as a temporary brake on behavior. Here the authors found increases in mPFC and STN theta power as a function of decision conflict. Increases in mPFC theta power predicted increased decision thresholds. STN deep brain stimulation reversed this relationship, resulting in impulsive choice.","container-title":"Nature Neuroscience","DOI":"10.1038/nn.2925","ISSN":"1546-1726","issue":"11","language":"en","note":"number: 11\npublisher: Nature Publishing Group","page":"1462-1467","source":"www.nature.com","title":"Subthalamic nucleus stimulation reverses mediofrontal influence over decision threshold","volume":"14","author":[{"family":"Cavanagh","given":"James F."},{"family":"Wiecki","given":"Thomas V."},{"family":"Cohen","given":"Michael X."},{"family":"Figueroa","given":"Christina M."},{"family":"Samanta","given":"Johan"},{"family":"Sherman","given":"Scott J."},{"family":"Frank","given":"Michael J."}],"issued":{"date-parts":[["2011",11]]}}},{"id":11778,"uris":["http://zotero.org/users/local/xUwQuTPV/items/3YYYIJJV"],"uri":["http://zotero.org/users/local/xUwQuTPV/items/3YYYIJJV"],"itemData":{"id":11778,"type":"article-journal","container-title":"Current Biology","DOI":"10.1016/j.cub.2016.01.051","ISSN":"09609822","issue":"7","journalAbbreviation":"Current Biology","language":"en","page":"916-920","source":"DOI.org (Crossref)","title":"Neural Correlates of Decision Thresholds in the Human Subthalamic Nucleus","volume":"26","author":[{"family":"Herz","given":"Damian M."},{"family":"Zavala","given":"Baltazar A."},{"family":"Bogacz","given":"Rafal"},{"family":"Brown","given":"Peter"}],"issued":{"date-parts":[["2016",4]]}}}],"schema":"https://github.com/citation-style-language/schema/raw/master/csl-citation.json"} </w:instrText>
      </w:r>
      <w:r w:rsidR="001511B4" w:rsidRPr="00DE1E8C">
        <w:rPr>
          <w:bCs/>
          <w:iCs/>
          <w:lang w:val="en-GB"/>
        </w:rPr>
        <w:fldChar w:fldCharType="separate"/>
      </w:r>
      <w:r w:rsidR="00E805F6" w:rsidRPr="00DE1E8C">
        <w:rPr>
          <w:lang w:val="en-GB"/>
        </w:rPr>
        <w:t xml:space="preserve">(Cavanagh </w:t>
      </w:r>
      <w:r w:rsidR="00E805F6" w:rsidRPr="00DE1E8C">
        <w:rPr>
          <w:i/>
          <w:iCs/>
          <w:lang w:val="en-GB"/>
        </w:rPr>
        <w:t>et al.</w:t>
      </w:r>
      <w:r w:rsidR="00E805F6" w:rsidRPr="00DE1E8C">
        <w:rPr>
          <w:lang w:val="en-GB"/>
        </w:rPr>
        <w:t xml:space="preserve">, 2011; Herz </w:t>
      </w:r>
      <w:r w:rsidR="00E805F6" w:rsidRPr="00DE1E8C">
        <w:rPr>
          <w:i/>
          <w:iCs/>
          <w:lang w:val="en-GB"/>
        </w:rPr>
        <w:t>et al.</w:t>
      </w:r>
      <w:r w:rsidR="00E805F6" w:rsidRPr="00DE1E8C">
        <w:rPr>
          <w:lang w:val="en-GB"/>
        </w:rPr>
        <w:t>, 2016)</w:t>
      </w:r>
      <w:r w:rsidR="001511B4" w:rsidRPr="00DE1E8C">
        <w:rPr>
          <w:bCs/>
          <w:iCs/>
          <w:lang w:val="en-GB"/>
        </w:rPr>
        <w:fldChar w:fldCharType="end"/>
      </w:r>
      <w:r w:rsidR="001511B4" w:rsidRPr="00DE1E8C">
        <w:rPr>
          <w:bCs/>
          <w:iCs/>
          <w:lang w:val="en-GB"/>
        </w:rPr>
        <w:t xml:space="preserve">, with evidence that they set wider decision boundaries compared to age-matched controls </w:t>
      </w:r>
      <w:r w:rsidR="001511B4" w:rsidRPr="00DE1E8C">
        <w:rPr>
          <w:bCs/>
          <w:iCs/>
          <w:lang w:val="en-GB"/>
        </w:rPr>
        <w:fldChar w:fldCharType="begin"/>
      </w:r>
      <w:r w:rsidR="00A867A4" w:rsidRPr="00DE1E8C">
        <w:rPr>
          <w:bCs/>
          <w:iCs/>
          <w:lang w:val="en-GB"/>
        </w:rPr>
        <w:instrText xml:space="preserve"> ADDIN ZOTERO_ITEM CSL_CITATION {"citationID":"a9cn67v1mq","properties":{"formattedCitation":"(O\\uc0\\u8217{}Callaghan {\\i{}et al.}, 2017{\\i{}a})","plainCitation":"(O’Callaghan et al., 2017a)","noteIndex":0},"citationItems":[{"id":"pCIaS5xB/Faayigvl","uris":["http://zotero.org/users/local/xUwQuTPV/items/7BPW3P5C"],"uri":["http://zotero.org/users/local/xUwQuTPV/items/7BPW3P5C"],"itemData":{"id":"9qlmzM1L/iWCXqJhc","type":"article-journal","abstract":"Biological Psychiatry: Cognitive Neuroscience and Neuroimaging, 2 (2017) 680-688. doi:10.1016/j.bpsc.2017.04.007","container-title":"Biological Psychiatry: Cognitive Neuroscience and Neuroimaging","DOI":"10.1016/j.bpsc.2017.04.007","issue":"8","journalAbbreviation":"Biological Psychiatry: Cognitive Neuroscience and Neuroimaging","page":"680-688","title":"Visual Hallucinations Are Characterized by Impaired Sensory Evidence Accumulation: Insights From Hierarchical Drift Diffusion Modeling in Parkinson's Disease","volume":"2","author":[{"family":"O'Callaghan","given":"Claire"},{"family":"Hall","given":"Julie M."},{"family":"Tomassini","given":"Alessandro"},{"family":"Muller","given":"Alana J."},{"family":"Walpola","given":"Ishan C."},{"family":"Moustafa","given":"Ahmed A."},{"family":"Shine","given":"James M."},{"family":"Lewis","given":"Simon J. G."}],"issued":{"date-parts":[["2017",11,1]]}}}],"schema":"https://github.com/citation-style-language/schema/raw/master/csl-citation.json"} </w:instrText>
      </w:r>
      <w:r w:rsidR="001511B4" w:rsidRPr="00DE1E8C">
        <w:rPr>
          <w:bCs/>
          <w:iCs/>
          <w:lang w:val="en-GB"/>
        </w:rPr>
        <w:fldChar w:fldCharType="separate"/>
      </w:r>
      <w:r w:rsidR="00E805F6" w:rsidRPr="00DE1E8C">
        <w:rPr>
          <w:lang w:val="en-GB"/>
        </w:rPr>
        <w:t xml:space="preserve">(O’Callaghan </w:t>
      </w:r>
      <w:r w:rsidR="00E805F6" w:rsidRPr="00DE1E8C">
        <w:rPr>
          <w:i/>
          <w:iCs/>
          <w:lang w:val="en-GB"/>
        </w:rPr>
        <w:t>et al.</w:t>
      </w:r>
      <w:r w:rsidR="00E805F6" w:rsidRPr="00DE1E8C">
        <w:rPr>
          <w:lang w:val="en-GB"/>
        </w:rPr>
        <w:t>, 2017</w:t>
      </w:r>
      <w:r w:rsidR="00E805F6" w:rsidRPr="00DE1E8C">
        <w:rPr>
          <w:i/>
          <w:iCs/>
          <w:lang w:val="en-GB"/>
        </w:rPr>
        <w:t>a</w:t>
      </w:r>
      <w:r w:rsidR="00E805F6" w:rsidRPr="00DE1E8C">
        <w:rPr>
          <w:lang w:val="en-GB"/>
        </w:rPr>
        <w:t>)</w:t>
      </w:r>
      <w:r w:rsidR="001511B4" w:rsidRPr="00DE1E8C">
        <w:rPr>
          <w:bCs/>
          <w:iCs/>
          <w:lang w:val="en-GB"/>
        </w:rPr>
        <w:fldChar w:fldCharType="end"/>
      </w:r>
      <w:r w:rsidR="001511B4" w:rsidRPr="00DE1E8C">
        <w:rPr>
          <w:bCs/>
          <w:iCs/>
          <w:lang w:val="en-GB"/>
        </w:rPr>
        <w:t xml:space="preserve">. This is consistent with an amplification of what is </w:t>
      </w:r>
      <w:r w:rsidR="00BF31EA" w:rsidRPr="00DE1E8C">
        <w:rPr>
          <w:bCs/>
          <w:iCs/>
          <w:lang w:val="en-GB"/>
        </w:rPr>
        <w:t xml:space="preserve">seen </w:t>
      </w:r>
      <w:r w:rsidR="001511B4" w:rsidRPr="00DE1E8C">
        <w:rPr>
          <w:bCs/>
          <w:iCs/>
          <w:lang w:val="en-GB"/>
        </w:rPr>
        <w:t>in</w:t>
      </w:r>
      <w:r w:rsidR="00BF31EA" w:rsidRPr="00DE1E8C">
        <w:rPr>
          <w:bCs/>
          <w:iCs/>
          <w:lang w:val="en-GB"/>
        </w:rPr>
        <w:t xml:space="preserve"> healthy</w:t>
      </w:r>
      <w:r w:rsidR="001511B4" w:rsidRPr="00DE1E8C">
        <w:rPr>
          <w:bCs/>
          <w:iCs/>
          <w:lang w:val="en-GB"/>
        </w:rPr>
        <w:t xml:space="preserve"> ageing</w:t>
      </w:r>
      <w:r w:rsidR="00FD1025" w:rsidRPr="00DE1E8C">
        <w:rPr>
          <w:bCs/>
          <w:iCs/>
          <w:lang w:val="en-GB"/>
        </w:rPr>
        <w:t>:</w:t>
      </w:r>
      <w:r w:rsidR="001511B4" w:rsidRPr="00DE1E8C">
        <w:rPr>
          <w:bCs/>
          <w:iCs/>
          <w:lang w:val="en-GB"/>
        </w:rPr>
        <w:t xml:space="preserve"> older adults tend to hav</w:t>
      </w:r>
      <w:r w:rsidR="009C4E0A" w:rsidRPr="00DE1E8C">
        <w:rPr>
          <w:bCs/>
          <w:iCs/>
          <w:lang w:val="en-GB"/>
        </w:rPr>
        <w:t>e</w:t>
      </w:r>
      <w:r w:rsidR="001511B4" w:rsidRPr="00DE1E8C">
        <w:rPr>
          <w:bCs/>
          <w:iCs/>
          <w:lang w:val="en-GB"/>
        </w:rPr>
        <w:t xml:space="preserve"> wider decision boundaries, </w:t>
      </w:r>
      <w:r w:rsidR="009C4E0A" w:rsidRPr="00DE1E8C">
        <w:rPr>
          <w:bCs/>
          <w:iCs/>
          <w:lang w:val="en-GB"/>
        </w:rPr>
        <w:t>enabling</w:t>
      </w:r>
      <w:r w:rsidR="001511B4" w:rsidRPr="00DE1E8C">
        <w:rPr>
          <w:bCs/>
          <w:iCs/>
          <w:lang w:val="en-GB"/>
        </w:rPr>
        <w:t xml:space="preserve"> a conservative decision criteria, </w:t>
      </w:r>
      <w:r w:rsidR="009C4E0A" w:rsidRPr="00DE1E8C">
        <w:rPr>
          <w:bCs/>
          <w:iCs/>
          <w:lang w:val="en-GB"/>
        </w:rPr>
        <w:t>which</w:t>
      </w:r>
      <w:r w:rsidR="00527E28" w:rsidRPr="00DE1E8C">
        <w:rPr>
          <w:bCs/>
          <w:iCs/>
          <w:lang w:val="en-GB"/>
        </w:rPr>
        <w:t xml:space="preserve"> </w:t>
      </w:r>
      <w:r w:rsidR="003B49FA" w:rsidRPr="00DE1E8C">
        <w:rPr>
          <w:bCs/>
          <w:iCs/>
          <w:lang w:val="en-GB"/>
        </w:rPr>
        <w:t xml:space="preserve">acts as </w:t>
      </w:r>
      <w:r w:rsidR="001511B4" w:rsidRPr="00DE1E8C">
        <w:rPr>
          <w:bCs/>
          <w:iCs/>
          <w:lang w:val="en-GB"/>
        </w:rPr>
        <w:t>a compensatory strategy to guard against errors in speed-accuracy trade</w:t>
      </w:r>
      <w:r w:rsidR="005D74BE" w:rsidRPr="00DE1E8C">
        <w:rPr>
          <w:bCs/>
          <w:iCs/>
          <w:lang w:val="en-GB"/>
        </w:rPr>
        <w:t>-</w:t>
      </w:r>
      <w:r w:rsidR="001511B4" w:rsidRPr="00DE1E8C">
        <w:rPr>
          <w:bCs/>
          <w:iCs/>
          <w:lang w:val="en-GB"/>
        </w:rPr>
        <w:t xml:space="preserve">off tasks </w:t>
      </w:r>
      <w:r w:rsidR="001511B4" w:rsidRPr="00DE1E8C">
        <w:rPr>
          <w:bCs/>
          <w:iCs/>
          <w:lang w:val="en-GB"/>
        </w:rPr>
        <w:fldChar w:fldCharType="begin"/>
      </w:r>
      <w:r w:rsidR="00E805F6" w:rsidRPr="00DE1E8C">
        <w:rPr>
          <w:bCs/>
          <w:iCs/>
          <w:lang w:val="en-GB"/>
        </w:rPr>
        <w:instrText xml:space="preserve"> ADDIN ZOTERO_ITEM CSL_CITATION {"citationID":"a2opqf9tncl","properties":{"formattedCitation":"(Spaniol {\\i{}et al.}, 2006; Ratcliff {\\i{}et al.}, 2007, 2010)","plainCitation":"(Spaniol et al., 2006; Ratcliff et al., 2007, 2010)","noteIndex":0},"citationItems":[{"id":14331,"uris":["http://zotero.org/users/local/xUwQuTPV/items/5MKXYUJY"],"uri":["http://zotero.org/users/local/xUwQuTPV/items/5MKXYUJY"],"itemData":{"id":14331,"type":"article-journal","abstract":"Two experiments investigated adult age differences in episodic and semantic long-term memory tasks, as a test of the hypothesis of specific age-related decline in context memory. Older adults were slower and exhibited lower episodic accuracy than younger adults. Fits of the diffusion model (R. ) revealed age-related increases in nondecisional reaction time for both episodic and semantic retrieval. In Experiment 2, an age difference in boundary separation also indicated an age-related increase in conservative criterion setting. For episodic old–new recognition (Experiment 1) and source memory (Experiment 2), there was an age-related decrease in the quality of decision-driving information (drift rate). As predicted by the context-memory deficit hypothesis, there was no corresponding age-related decline in semantic drift rate.","container-title":"Journal of experimental psychology. Learning, memory, and cognition","DOI":"10.1037/0278-7393.32.1.101","ISSN":"0278-7393","issue":"1","journalAbbreviation":"J Exp Psychol Learn Mem Cogn","note":"PMID: 16478344\nPMCID: PMC1894899","page":"101-117","source":"PubMed Central","title":"A Diffusion Model Analysis of Adult Age Differences in Episodic and Semantic Long-Term Memory Retrieval","volume":"32","author":[{"family":"Spaniol","given":"Julia"},{"family":"Madden","given":"David J."},{"family":"Voss","given":"Andreas"}],"issued":{"date-parts":[["2006",1]]}}},{"id":14328,"uris":["http://zotero.org/users/local/xUwQuTPV/items/KNKB9N7J"],"uri":["http://zotero.org/users/local/xUwQuTPV/items/KNKB9N7J"],"itemData":{"id":14328,"type":"article-journal","abstract":"The effects of aging on simple 2-choice decision making was investigated with the diffusion model (). Data for 75- to 90-year-olds were collected and compared with previous data from 60-to 75-year-olds and college students for 5 tasks: a signal detection–like task, letter and brightness discrimination with masking, recognition memory, and lexical decision. The model fit the data well and therefore allows components of processing to be examined as a function of age. Compared with decision-making processes in college students, decision criteria and nondecision components of processing increased with participants' age. However, the quality of the evidence on which decisions were based decreased with age only for letter and brightness discrimination.","container-title":"Psychology and aging","DOI":"10.1037/0882-7974.22.1.56","ISSN":"0882-7974","issue":"1","journalAbbreviation":"Psychol Aging","note":"PMID: 17385983\nPMCID: PMC2398682","page":"56-66","source":"PubMed Central","title":"Application of the Diffusion Model to Two-Choice Tasks for Adults 75−90 Years Old","volume":"22","author":[{"family":"Ratcliff","given":"Roger"},{"family":"Thapar","given":"Anjali"},{"family":"McKoon","given":"Gail"}],"issued":{"date-parts":[["2007",3]]}}},{"id":14325,"uris":["http://zotero.org/users/local/xUwQuTPV/items/WLPK5B8Q"],"uri":["http://zotero.org/users/local/xUwQuTPV/items/WLPK5B8Q"],"itemData":{"id":14325,"type":"article-journal","abstract":"The effects of aging and IQ on performance were examined in three two-choice tasks: numerosity discrimination, recognition memory, and lexical decision. The experimental data, accuracy, correct and error response times, and response time distributions, were well explained by Ratcliff’s (1978) diffusion model. The components of processing identified by the model were compared across levels of IQ (ranging from 83 to 146) and age (college students, 60–74, and 75–90year olds). Declines in performance with age were not significantly different for low compared to high IQ subjects. IQ but not age had large effects on the quality of the evidence that was obtained from a stimulus or memory, that is, the evidence upon which decisions were based. Applying the model to individual subjects, the components of processing identified by the model for individuals correlated across tasks. In addition, the model’s predictions and the data were examined for the “worst performance rule”, the finding that age and IQ have larger effects on slower responses than faster responses.","container-title":"Cognitive Psychology","DOI":"10.1016/j.cogpsych.2009.09.001","ISSN":"0010-0285","issue":"3","journalAbbreviation":"Cognitive Psychology","language":"en","page":"127-157","source":"ScienceDirect","title":"Individual differences, aging, and IQ in two-choice tasks","volume":"60","author":[{"family":"Ratcliff","given":"Roger"},{"family":"Thapar","given":"Anjali"},{"family":"McKoon","given":"Gail"}],"issued":{"date-parts":[["2010",5,1]]}}}],"schema":"https://github.com/citation-style-language/schema/raw/master/csl-citation.json"} </w:instrText>
      </w:r>
      <w:r w:rsidR="001511B4" w:rsidRPr="00DE1E8C">
        <w:rPr>
          <w:bCs/>
          <w:iCs/>
          <w:lang w:val="en-GB"/>
        </w:rPr>
        <w:fldChar w:fldCharType="separate"/>
      </w:r>
      <w:r w:rsidR="00E805F6" w:rsidRPr="00DE1E8C">
        <w:rPr>
          <w:lang w:val="en-GB"/>
        </w:rPr>
        <w:t xml:space="preserve">(Spaniol </w:t>
      </w:r>
      <w:r w:rsidR="00E805F6" w:rsidRPr="00DE1E8C">
        <w:rPr>
          <w:i/>
          <w:iCs/>
          <w:lang w:val="en-GB"/>
        </w:rPr>
        <w:t>et al.</w:t>
      </w:r>
      <w:r w:rsidR="00E805F6" w:rsidRPr="00DE1E8C">
        <w:rPr>
          <w:lang w:val="en-GB"/>
        </w:rPr>
        <w:t xml:space="preserve">, 2006; Ratcliff </w:t>
      </w:r>
      <w:r w:rsidR="00E805F6" w:rsidRPr="00DE1E8C">
        <w:rPr>
          <w:i/>
          <w:iCs/>
          <w:lang w:val="en-GB"/>
        </w:rPr>
        <w:t>et al.</w:t>
      </w:r>
      <w:r w:rsidR="00E805F6" w:rsidRPr="00DE1E8C">
        <w:rPr>
          <w:lang w:val="en-GB"/>
        </w:rPr>
        <w:t>, 2007, 2010)</w:t>
      </w:r>
      <w:r w:rsidR="001511B4" w:rsidRPr="00DE1E8C">
        <w:rPr>
          <w:bCs/>
          <w:iCs/>
          <w:lang w:val="en-GB"/>
        </w:rPr>
        <w:fldChar w:fldCharType="end"/>
      </w:r>
      <w:r w:rsidR="001511B4" w:rsidRPr="00DE1E8C">
        <w:rPr>
          <w:bCs/>
          <w:iCs/>
          <w:lang w:val="en-GB"/>
        </w:rPr>
        <w:t>. That we show reduced decision boundaries in both dementia patient groups suggests that this ability to compensate via adjusting decision boundaries may decline with advancing cognitive impairment.</w:t>
      </w:r>
      <w:r w:rsidR="00422E4B" w:rsidRPr="00DE1E8C">
        <w:rPr>
          <w:bCs/>
          <w:iCs/>
          <w:lang w:val="en-GB"/>
        </w:rPr>
        <w:t xml:space="preserve"> </w:t>
      </w:r>
      <w:r w:rsidR="001511B4" w:rsidRPr="00DE1E8C">
        <w:rPr>
          <w:bCs/>
          <w:iCs/>
          <w:lang w:val="en-GB"/>
        </w:rPr>
        <w:t xml:space="preserve">    </w:t>
      </w:r>
    </w:p>
    <w:p w14:paraId="6D3F7A46" w14:textId="77777777" w:rsidR="00840B31" w:rsidRPr="00DE1E8C" w:rsidRDefault="00840B31" w:rsidP="001511B4">
      <w:pPr>
        <w:spacing w:line="360" w:lineRule="auto"/>
        <w:contextualSpacing/>
        <w:jc w:val="both"/>
        <w:rPr>
          <w:bCs/>
          <w:iCs/>
          <w:lang w:val="en-GB"/>
        </w:rPr>
      </w:pPr>
    </w:p>
    <w:p w14:paraId="17E11C49" w14:textId="2E9682D8" w:rsidR="001511B4" w:rsidRPr="00DE1E8C" w:rsidRDefault="00F851FF" w:rsidP="00551517">
      <w:pPr>
        <w:spacing w:line="360" w:lineRule="auto"/>
        <w:contextualSpacing/>
        <w:jc w:val="both"/>
        <w:rPr>
          <w:bCs/>
          <w:iCs/>
          <w:lang w:val="en-GB"/>
        </w:rPr>
      </w:pPr>
      <w:r w:rsidRPr="00DE1E8C">
        <w:rPr>
          <w:bCs/>
          <w:iCs/>
          <w:lang w:val="en-GB"/>
        </w:rPr>
        <w:t xml:space="preserve">With respect to </w:t>
      </w:r>
      <w:r w:rsidR="0074197E" w:rsidRPr="00DE1E8C">
        <w:rPr>
          <w:bCs/>
          <w:iCs/>
          <w:lang w:val="en-GB"/>
        </w:rPr>
        <w:t xml:space="preserve">the non-decision time, </w:t>
      </w:r>
      <w:r w:rsidR="009A3364" w:rsidRPr="00DE1E8C">
        <w:rPr>
          <w:bCs/>
          <w:iCs/>
          <w:lang w:val="en-GB"/>
        </w:rPr>
        <w:t xml:space="preserve">the Lewy body dementia group had much longer non-decision times compared to the Alzheimer’s group, who were increased relative to controls. </w:t>
      </w:r>
      <w:r w:rsidR="00F5524D" w:rsidRPr="00DE1E8C">
        <w:rPr>
          <w:bCs/>
          <w:iCs/>
          <w:lang w:val="en-GB"/>
        </w:rPr>
        <w:t>This is unsurprising give</w:t>
      </w:r>
      <w:r w:rsidR="00B706FF" w:rsidRPr="00DE1E8C">
        <w:rPr>
          <w:bCs/>
          <w:iCs/>
          <w:lang w:val="en-GB"/>
        </w:rPr>
        <w:t>n</w:t>
      </w:r>
      <w:r w:rsidR="00F5524D" w:rsidRPr="00DE1E8C">
        <w:rPr>
          <w:bCs/>
          <w:iCs/>
          <w:lang w:val="en-GB"/>
        </w:rPr>
        <w:t xml:space="preserve"> that</w:t>
      </w:r>
      <w:r w:rsidR="00B706FF" w:rsidRPr="00DE1E8C">
        <w:rPr>
          <w:bCs/>
          <w:iCs/>
          <w:lang w:val="en-GB"/>
        </w:rPr>
        <w:t xml:space="preserve"> non-decision time comprises those components </w:t>
      </w:r>
      <w:r w:rsidR="00422E4B" w:rsidRPr="00DE1E8C">
        <w:rPr>
          <w:bCs/>
          <w:iCs/>
          <w:lang w:val="en-GB"/>
        </w:rPr>
        <w:t>un</w:t>
      </w:r>
      <w:r w:rsidR="00B706FF" w:rsidRPr="00DE1E8C">
        <w:rPr>
          <w:bCs/>
          <w:iCs/>
          <w:lang w:val="en-GB"/>
        </w:rPr>
        <w:t>related to the decision itself,</w:t>
      </w:r>
      <w:r w:rsidR="00BD0BCC" w:rsidRPr="00DE1E8C">
        <w:rPr>
          <w:bCs/>
          <w:iCs/>
          <w:lang w:val="en-GB"/>
        </w:rPr>
        <w:t xml:space="preserve"> including stimulus processing and motor execution – both of which may be particularly impaired in Lewy body dementia, consistent with their </w:t>
      </w:r>
      <w:r w:rsidR="005C28D7" w:rsidRPr="00DE1E8C">
        <w:rPr>
          <w:bCs/>
          <w:iCs/>
          <w:lang w:val="en-GB"/>
        </w:rPr>
        <w:t xml:space="preserve">characteristic </w:t>
      </w:r>
      <w:r w:rsidR="00BD0BCC" w:rsidRPr="00DE1E8C">
        <w:rPr>
          <w:bCs/>
          <w:iCs/>
          <w:lang w:val="en-GB"/>
        </w:rPr>
        <w:t xml:space="preserve">visual processing deficits and extrapyramidal features.   </w:t>
      </w:r>
      <w:r w:rsidR="00B706FF" w:rsidRPr="00DE1E8C">
        <w:rPr>
          <w:bCs/>
          <w:iCs/>
          <w:lang w:val="en-GB"/>
        </w:rPr>
        <w:t xml:space="preserve"> </w:t>
      </w:r>
      <w:r w:rsidR="00576EE3" w:rsidRPr="00DE1E8C">
        <w:rPr>
          <w:bCs/>
          <w:iCs/>
          <w:lang w:val="en-GB"/>
        </w:rPr>
        <w:t xml:space="preserve"> </w:t>
      </w:r>
    </w:p>
    <w:p w14:paraId="4B89675C" w14:textId="77777777" w:rsidR="00F2563C" w:rsidRPr="00DE1E8C" w:rsidRDefault="00F2563C" w:rsidP="00551517">
      <w:pPr>
        <w:spacing w:line="360" w:lineRule="auto"/>
        <w:contextualSpacing/>
        <w:jc w:val="both"/>
        <w:rPr>
          <w:bCs/>
          <w:iCs/>
          <w:lang w:val="en-GB"/>
        </w:rPr>
      </w:pPr>
    </w:p>
    <w:p w14:paraId="56A6F380" w14:textId="35B94953" w:rsidR="008040B4" w:rsidRPr="00DE1E8C" w:rsidRDefault="008B096E" w:rsidP="00551517">
      <w:pPr>
        <w:spacing w:line="360" w:lineRule="auto"/>
        <w:contextualSpacing/>
        <w:jc w:val="both"/>
        <w:rPr>
          <w:lang w:val="en-GB"/>
        </w:rPr>
      </w:pPr>
      <w:r w:rsidRPr="00DE1E8C">
        <w:rPr>
          <w:bCs/>
          <w:iCs/>
          <w:lang w:val="en-GB"/>
        </w:rPr>
        <w:t xml:space="preserve">Taken together, </w:t>
      </w:r>
      <w:r w:rsidR="00887C54" w:rsidRPr="00DE1E8C">
        <w:rPr>
          <w:bCs/>
          <w:iCs/>
          <w:lang w:val="en-GB"/>
        </w:rPr>
        <w:t>our</w:t>
      </w:r>
      <w:r w:rsidRPr="00DE1E8C">
        <w:rPr>
          <w:bCs/>
          <w:iCs/>
          <w:lang w:val="en-GB"/>
        </w:rPr>
        <w:t xml:space="preserve"> analysis decomposes the </w:t>
      </w:r>
      <w:r w:rsidR="00887C54" w:rsidRPr="00DE1E8C">
        <w:rPr>
          <w:bCs/>
          <w:iCs/>
          <w:lang w:val="en-GB"/>
        </w:rPr>
        <w:t xml:space="preserve">raw behavioural results from the </w:t>
      </w:r>
      <w:r w:rsidR="00C543D7" w:rsidRPr="00DE1E8C">
        <w:rPr>
          <w:lang w:val="en-GB"/>
        </w:rPr>
        <w:t>Attention Network Task</w:t>
      </w:r>
      <w:r w:rsidR="00C6092B" w:rsidRPr="00DE1E8C">
        <w:rPr>
          <w:lang w:val="en-GB"/>
        </w:rPr>
        <w:t xml:space="preserve"> – </w:t>
      </w:r>
      <w:r w:rsidR="009E6D33" w:rsidRPr="00DE1E8C">
        <w:rPr>
          <w:lang w:val="en-GB"/>
        </w:rPr>
        <w:t>which</w:t>
      </w:r>
      <w:r w:rsidR="00C543D7" w:rsidRPr="00DE1E8C">
        <w:rPr>
          <w:lang w:val="en-GB"/>
        </w:rPr>
        <w:t xml:space="preserve"> indicated slowed reaction times and increased errors in Lewy body dementia</w:t>
      </w:r>
      <w:r w:rsidR="00C6092B" w:rsidRPr="00DE1E8C">
        <w:rPr>
          <w:lang w:val="en-GB"/>
        </w:rPr>
        <w:t xml:space="preserve"> – </w:t>
      </w:r>
      <w:r w:rsidR="009E6D33" w:rsidRPr="00DE1E8C">
        <w:rPr>
          <w:lang w:val="en-GB"/>
        </w:rPr>
        <w:t xml:space="preserve">to </w:t>
      </w:r>
      <w:r w:rsidR="00C02A9F" w:rsidRPr="00DE1E8C">
        <w:rPr>
          <w:lang w:val="en-GB"/>
        </w:rPr>
        <w:t xml:space="preserve">reveal that their impaired perceptual decision-making was underpinned by </w:t>
      </w:r>
      <w:r w:rsidR="00C722DF" w:rsidRPr="00DE1E8C">
        <w:rPr>
          <w:lang w:val="en-GB"/>
        </w:rPr>
        <w:t>alterations in sensory evidence accumulation</w:t>
      </w:r>
      <w:r w:rsidR="002C0316" w:rsidRPr="00DE1E8C">
        <w:rPr>
          <w:lang w:val="en-GB"/>
        </w:rPr>
        <w:t xml:space="preserve">. </w:t>
      </w:r>
      <w:r w:rsidR="00083F58" w:rsidRPr="00DE1E8C">
        <w:rPr>
          <w:lang w:val="en-GB"/>
        </w:rPr>
        <w:t xml:space="preserve">As opposed to a broadly defined attentional impairment or </w:t>
      </w:r>
      <w:r w:rsidR="008E0D60" w:rsidRPr="00DE1E8C">
        <w:rPr>
          <w:lang w:val="en-GB"/>
        </w:rPr>
        <w:t xml:space="preserve">cognitive slowing, this result points towards </w:t>
      </w:r>
      <w:r w:rsidR="002F6D96" w:rsidRPr="00DE1E8C">
        <w:rPr>
          <w:lang w:val="en-GB"/>
        </w:rPr>
        <w:t>a specific deficit in</w:t>
      </w:r>
      <w:r w:rsidR="002B35DD" w:rsidRPr="00DE1E8C">
        <w:rPr>
          <w:lang w:val="en-GB"/>
        </w:rPr>
        <w:t xml:space="preserve"> efficiently</w:t>
      </w:r>
      <w:r w:rsidR="002F6D96" w:rsidRPr="00DE1E8C">
        <w:rPr>
          <w:lang w:val="en-GB"/>
        </w:rPr>
        <w:t xml:space="preserve"> </w:t>
      </w:r>
      <w:r w:rsidR="002B35DD" w:rsidRPr="00DE1E8C">
        <w:rPr>
          <w:lang w:val="en-GB"/>
        </w:rPr>
        <w:t>processing</w:t>
      </w:r>
      <w:r w:rsidR="002F6D96" w:rsidRPr="00DE1E8C">
        <w:rPr>
          <w:lang w:val="en-GB"/>
        </w:rPr>
        <w:t xml:space="preserve"> information from the environment to guide behaviour. </w:t>
      </w:r>
    </w:p>
    <w:p w14:paraId="0D826E84" w14:textId="77777777" w:rsidR="008040B4" w:rsidRPr="00DE1E8C" w:rsidRDefault="008040B4" w:rsidP="00551517">
      <w:pPr>
        <w:spacing w:line="360" w:lineRule="auto"/>
        <w:contextualSpacing/>
        <w:jc w:val="both"/>
        <w:rPr>
          <w:bCs/>
          <w:iCs/>
          <w:lang w:val="en-GB"/>
        </w:rPr>
      </w:pPr>
    </w:p>
    <w:p w14:paraId="612FFC10" w14:textId="0AC7FD6B" w:rsidR="00656D97" w:rsidRPr="00DE1E8C" w:rsidRDefault="003C3639" w:rsidP="00551517">
      <w:pPr>
        <w:spacing w:line="360" w:lineRule="auto"/>
        <w:contextualSpacing/>
        <w:jc w:val="both"/>
        <w:rPr>
          <w:bCs/>
          <w:iCs/>
          <w:lang w:val="en-GB"/>
        </w:rPr>
      </w:pPr>
      <w:r w:rsidRPr="00DE1E8C">
        <w:rPr>
          <w:bCs/>
          <w:iCs/>
          <w:lang w:val="en-GB"/>
        </w:rPr>
        <w:t xml:space="preserve">Consistent with the </w:t>
      </w:r>
      <w:r w:rsidR="00373565" w:rsidRPr="00DE1E8C">
        <w:rPr>
          <w:bCs/>
          <w:iCs/>
          <w:lang w:val="en-GB"/>
        </w:rPr>
        <w:t>notion</w:t>
      </w:r>
      <w:r w:rsidRPr="00DE1E8C">
        <w:rPr>
          <w:bCs/>
          <w:iCs/>
          <w:lang w:val="en-GB"/>
        </w:rPr>
        <w:t xml:space="preserve"> that sensory evidence accumulation</w:t>
      </w:r>
      <w:r w:rsidR="00373565" w:rsidRPr="00DE1E8C">
        <w:rPr>
          <w:bCs/>
          <w:iCs/>
          <w:lang w:val="en-GB"/>
        </w:rPr>
        <w:t xml:space="preserve"> deficits</w:t>
      </w:r>
      <w:r w:rsidRPr="00DE1E8C">
        <w:rPr>
          <w:bCs/>
          <w:iCs/>
          <w:lang w:val="en-GB"/>
        </w:rPr>
        <w:t xml:space="preserve"> might contribute to some of the </w:t>
      </w:r>
      <w:r w:rsidR="00DD63CD" w:rsidRPr="00DE1E8C">
        <w:rPr>
          <w:bCs/>
          <w:iCs/>
          <w:lang w:val="en-GB"/>
        </w:rPr>
        <w:t>distinguishing</w:t>
      </w:r>
      <w:r w:rsidRPr="00DE1E8C">
        <w:rPr>
          <w:bCs/>
          <w:iCs/>
          <w:lang w:val="en-GB"/>
        </w:rPr>
        <w:t xml:space="preserve"> features of </w:t>
      </w:r>
      <w:r w:rsidR="00DD63CD" w:rsidRPr="00DE1E8C">
        <w:rPr>
          <w:bCs/>
          <w:iCs/>
          <w:lang w:val="en-GB"/>
        </w:rPr>
        <w:t>L</w:t>
      </w:r>
      <w:r w:rsidRPr="00DE1E8C">
        <w:rPr>
          <w:bCs/>
          <w:iCs/>
          <w:lang w:val="en-GB"/>
        </w:rPr>
        <w:t xml:space="preserve">ewy body disease, </w:t>
      </w:r>
      <w:r w:rsidR="00C04586" w:rsidRPr="00DE1E8C">
        <w:rPr>
          <w:bCs/>
          <w:iCs/>
          <w:lang w:val="en-GB"/>
        </w:rPr>
        <w:t>i</w:t>
      </w:r>
      <w:r w:rsidR="004B4956" w:rsidRPr="00DE1E8C">
        <w:rPr>
          <w:bCs/>
          <w:iCs/>
          <w:lang w:val="en-GB"/>
        </w:rPr>
        <w:t xml:space="preserve">mpaired sensory evidence accumulation during perceptual decision making </w:t>
      </w:r>
      <w:r w:rsidR="00D517B6" w:rsidRPr="00DE1E8C">
        <w:rPr>
          <w:bCs/>
          <w:iCs/>
          <w:lang w:val="en-GB"/>
        </w:rPr>
        <w:t>was found</w:t>
      </w:r>
      <w:r w:rsidR="00931387" w:rsidRPr="00DE1E8C">
        <w:rPr>
          <w:bCs/>
          <w:iCs/>
          <w:lang w:val="en-GB"/>
        </w:rPr>
        <w:t xml:space="preserve"> in Parkinson’s disease patients (without dementia) who </w:t>
      </w:r>
      <w:r w:rsidR="00DD3B37" w:rsidRPr="00DE1E8C">
        <w:rPr>
          <w:bCs/>
          <w:iCs/>
          <w:lang w:val="en-GB"/>
        </w:rPr>
        <w:t>experience visual hallucinations</w:t>
      </w:r>
      <w:r w:rsidR="00931387" w:rsidRPr="00DE1E8C">
        <w:rPr>
          <w:bCs/>
          <w:iCs/>
          <w:lang w:val="en-GB"/>
        </w:rPr>
        <w:t xml:space="preserve">, relative to those who don’t hallucinate </w:t>
      </w:r>
      <w:r w:rsidR="007A3F34" w:rsidRPr="00DE1E8C">
        <w:rPr>
          <w:bCs/>
          <w:iCs/>
          <w:lang w:val="en-GB"/>
        </w:rPr>
        <w:fldChar w:fldCharType="begin"/>
      </w:r>
      <w:r w:rsidR="00A867A4" w:rsidRPr="00DE1E8C">
        <w:rPr>
          <w:bCs/>
          <w:iCs/>
          <w:lang w:val="en-GB"/>
        </w:rPr>
        <w:instrText xml:space="preserve"> ADDIN ZOTERO_ITEM CSL_CITATION {"citationID":"a2g87o517r4","properties":{"formattedCitation":"(O\\uc0\\u8217{}Callaghan {\\i{}et al.}, 2017{\\i{}a})","plainCitation":"(O’Callaghan et al., 2017a)","noteIndex":0},"citationItems":[{"id":"pCIaS5xB/Faayigvl","uris":["http://zotero.org/users/local/xUwQuTPV/items/7BPW3P5C"],"uri":["http://zotero.org/users/local/xUwQuTPV/items/7BPW3P5C"],"itemData":{"id":"9qlmzM1L/iWCXqJhc","type":"article-journal","abstract":"Biological Psychiatry: Cognitive Neuroscience and Neuroimaging, 2 (2017) 680-688. doi:10.1016/j.bpsc.2017.04.007","container-title":"Biological Psychiatry: Cognitive Neuroscience and Neuroimaging","DOI":"10.1016/j.bpsc.2017.04.007","issue":"8","journalAbbreviation":"Biological Psychiatry: Cognitive Neuroscience and Neuroimaging","page":"680-688","title":"Visual Hallucinations Are Characterized by Impaired Sensory Evidence Accumulation: Insights From Hierarchical Drift Diffusion Modeling in Parkinson's Disease","volume":"2","author":[{"family":"O'Callaghan","given":"Claire"},{"family":"Hall","given":"Julie M."},{"family":"Tomassini","given":"Alessandro"},{"family":"Muller","given":"Alana J."},{"family":"Walpola","given":"Ishan C."},{"family":"Moustafa","given":"Ahmed A."},{"family":"Shine","given":"James M."},{"family":"Lewis","given":"Simon J. G."}],"issued":{"date-parts":[["2017",11,1]]}}}],"schema":"https://github.com/citation-style-language/schema/raw/master/csl-citation.json"} </w:instrText>
      </w:r>
      <w:r w:rsidR="007A3F34" w:rsidRPr="00DE1E8C">
        <w:rPr>
          <w:bCs/>
          <w:iCs/>
          <w:lang w:val="en-GB"/>
        </w:rPr>
        <w:fldChar w:fldCharType="separate"/>
      </w:r>
      <w:r w:rsidR="00E805F6" w:rsidRPr="00DE1E8C">
        <w:rPr>
          <w:lang w:val="en-GB"/>
        </w:rPr>
        <w:t xml:space="preserve">(O’Callaghan </w:t>
      </w:r>
      <w:r w:rsidR="00E805F6" w:rsidRPr="00DE1E8C">
        <w:rPr>
          <w:i/>
          <w:iCs/>
          <w:lang w:val="en-GB"/>
        </w:rPr>
        <w:t>et al.</w:t>
      </w:r>
      <w:r w:rsidR="00E805F6" w:rsidRPr="00DE1E8C">
        <w:rPr>
          <w:lang w:val="en-GB"/>
        </w:rPr>
        <w:t>, 2017</w:t>
      </w:r>
      <w:r w:rsidR="00E805F6" w:rsidRPr="00DE1E8C">
        <w:rPr>
          <w:i/>
          <w:iCs/>
          <w:lang w:val="en-GB"/>
        </w:rPr>
        <w:t>a</w:t>
      </w:r>
      <w:r w:rsidR="00E805F6" w:rsidRPr="00DE1E8C">
        <w:rPr>
          <w:lang w:val="en-GB"/>
        </w:rPr>
        <w:t>)</w:t>
      </w:r>
      <w:r w:rsidR="007A3F34" w:rsidRPr="00DE1E8C">
        <w:rPr>
          <w:bCs/>
          <w:iCs/>
          <w:lang w:val="en-GB"/>
        </w:rPr>
        <w:fldChar w:fldCharType="end"/>
      </w:r>
      <w:r w:rsidR="00317683" w:rsidRPr="00DE1E8C">
        <w:rPr>
          <w:bCs/>
          <w:iCs/>
          <w:lang w:val="en-GB"/>
        </w:rPr>
        <w:t xml:space="preserve">. This is </w:t>
      </w:r>
      <w:r w:rsidR="00316F38" w:rsidRPr="00DE1E8C">
        <w:rPr>
          <w:bCs/>
          <w:iCs/>
          <w:lang w:val="en-GB"/>
        </w:rPr>
        <w:t>in keeping</w:t>
      </w:r>
      <w:r w:rsidR="00317683" w:rsidRPr="00DE1E8C">
        <w:rPr>
          <w:bCs/>
          <w:iCs/>
          <w:lang w:val="en-GB"/>
        </w:rPr>
        <w:t xml:space="preserve"> wit</w:t>
      </w:r>
      <w:r w:rsidR="00DD3B37" w:rsidRPr="00DE1E8C">
        <w:rPr>
          <w:bCs/>
          <w:iCs/>
          <w:lang w:val="en-GB"/>
        </w:rPr>
        <w:t>h a theoretical framework for visual hallucinations where</w:t>
      </w:r>
      <w:r w:rsidR="00B30375" w:rsidRPr="00DE1E8C">
        <w:rPr>
          <w:bCs/>
          <w:iCs/>
          <w:lang w:val="en-GB"/>
        </w:rPr>
        <w:t xml:space="preserve"> </w:t>
      </w:r>
      <w:r w:rsidR="00DD3B37" w:rsidRPr="00DE1E8C">
        <w:rPr>
          <w:bCs/>
          <w:iCs/>
          <w:lang w:val="en-GB"/>
        </w:rPr>
        <w:t>poor quality</w:t>
      </w:r>
      <w:r w:rsidR="00E207C1" w:rsidRPr="00DE1E8C">
        <w:rPr>
          <w:bCs/>
          <w:iCs/>
          <w:lang w:val="en-GB"/>
        </w:rPr>
        <w:t>, or imprecise,</w:t>
      </w:r>
      <w:r w:rsidR="00DD3B37" w:rsidRPr="00DE1E8C">
        <w:rPr>
          <w:bCs/>
          <w:iCs/>
          <w:lang w:val="en-GB"/>
        </w:rPr>
        <w:t xml:space="preserve"> sensory information </w:t>
      </w:r>
      <w:r w:rsidR="00452969" w:rsidRPr="00DE1E8C">
        <w:rPr>
          <w:bCs/>
          <w:iCs/>
          <w:lang w:val="en-GB"/>
        </w:rPr>
        <w:t>renders</w:t>
      </w:r>
      <w:r w:rsidR="00B30375" w:rsidRPr="00DE1E8C">
        <w:rPr>
          <w:bCs/>
          <w:iCs/>
          <w:lang w:val="en-GB"/>
        </w:rPr>
        <w:t xml:space="preserve"> the perceptual process</w:t>
      </w:r>
      <w:r w:rsidR="00B40324" w:rsidRPr="00DE1E8C">
        <w:rPr>
          <w:bCs/>
          <w:iCs/>
          <w:lang w:val="en-GB"/>
        </w:rPr>
        <w:t xml:space="preserve"> </w:t>
      </w:r>
      <w:r w:rsidR="00B30375" w:rsidRPr="00DE1E8C">
        <w:rPr>
          <w:bCs/>
          <w:iCs/>
          <w:lang w:val="en-GB"/>
        </w:rPr>
        <w:t>vulnerable to excessive influence from</w:t>
      </w:r>
      <w:r w:rsidR="00993E87" w:rsidRPr="00DE1E8C">
        <w:rPr>
          <w:bCs/>
          <w:iCs/>
          <w:lang w:val="en-GB"/>
        </w:rPr>
        <w:t xml:space="preserve"> prior beliefs </w:t>
      </w:r>
      <w:r w:rsidR="009E3DE7" w:rsidRPr="00DE1E8C">
        <w:rPr>
          <w:bCs/>
          <w:iCs/>
          <w:lang w:val="en-GB"/>
        </w:rPr>
        <w:fldChar w:fldCharType="begin"/>
      </w:r>
      <w:r w:rsidR="00E805F6" w:rsidRPr="00DE1E8C">
        <w:rPr>
          <w:bCs/>
          <w:iCs/>
          <w:lang w:val="en-GB"/>
        </w:rPr>
        <w:instrText xml:space="preserve"> ADDIN ZOTERO_ITEM CSL_CITATION {"citationID":"a13nn4l36le","properties":{"formattedCitation":"(Friston, 2005; Shine {\\i{}et al.}, 2014, O\\uc0\\u8217{}Callaghan {\\i{}et al.}, 2017{\\i{}b}; Zarkali {\\i{}et al.}, 2019)","plainCitation":"(Friston, 2005; Shine et al., 2014, O’Callaghan et al., 2017b; Zarkali et al., 2019)","noteIndex":0},"citationItems":[{"id":14318,"uris":["http://zotero.org/users/local/xUwQuTPV/items/8J9RPF9X"],"uri":["http://zotero.org/users/local/xUwQuTPV/items/8J9RPF9X"],"itemData":{"id":14318,"type":"article-journal","abstract":"This commentary takes a closer look at how 'constructive models of subjective perception,' referred to by Collerton et al. (sect. 2), might contribute to the Perception and Attention Deficit (PAD) model. It focuses on the neuronal mechanisms that could mediate hallucinations, or false inference - in particular, the role of cholinergic systems in encoding uncertainty in the context of hierarchical Bayesian models of perceptual inference (Friston 2002b; Yu &amp; Dayan 2002). [PUBLICATION ABSTRACT]","container-title":"Behavioral and Brain Sciences","ISSN":"0140525X","issue":"6","language":"English","note":"number-of-pages: 3\npublisher-place: New York, United Kingdom, New York\npublisher: Cambridge University Press","page":"764-766","source":"ProQuest","title":"Hallucinations and perceptual inference","volume":"28","author":[{"family":"Friston","given":"Karl J."}],"issued":{"date-parts":[["2005",12]]}}},{"id":3812,"uris":["http://zotero.org/users/local/xUwQuTPV/items/MA4L2YMQ"],"uri":["http://zotero.org/users/local/xUwQuTPV/items/MA4L2YMQ"],"itemData":{"id":3812,"type":"article-journal","abstract":"Progress in Neurobiology, Corrected proof. doi:10.1016/j.pneurobio.2014.01.004","container-title":"Progress in Neurobiology","DOI":"10.1016/j.pneurobio.2014.01.004","journalAbbreviation":"Progress in Neurobiology","page":"1-8","title":"Tricks of the mind: Visual hallucinations as disorders of attention","author":[{"family":"Shine","given":"James M."},{"family":"O'Callaghan","given":"Claire"},{"family":"Halliday","given":"Glenda M."},{"family":"Lewis","given":"Simon J. G."}],"issued":{"date-parts":[["2014",2,26]]}}},{"id":14334,"uris":["http://zotero.org/users/local/xUwQuTPV/items/L3THH8SB"],"uri":["http://zotero.org/users/local/xUwQuTPV/items/L3THH8SB"],"itemData":{"id":14334,"type":"article-journal","abstract":"It is argued that during ongoing visual perception, the brain is generating top-down predictions to facilitate, guide and constrain the processing of incoming sensory input. Here we demonstrate that these predictions are drawn from a diverse range of cognitive processes, in order to generate the richest and most informative prediction signals. This is consistent with a central role for cognitive penetrability in visual perception. We review behavioural and mechanistic evidence that indicate a wide spectrum of domains—including object recognition, contextual associations, cognitive biases and affective state—that can directly influence visual perception. We combine these insights from the healthy brain with novel observations from neuropsychiatric disorders involving visual hallucinations, which highlight the consequences of imbalance between top-down signals and incoming sensory information. Together, these lines of evidence converge to indicate that predictive penetration, be it cognitive, social or emotional, should be considered a fundamental framework that supports visual perception.","collection-title":"Cognitive Penetration and Predictive Coding","container-title":"Consciousness and Cognition","DOI":"10.1016/j.concog.2016.05.003","ISSN":"1053-8100","journalAbbreviation":"Consciousness and Cognition","language":"en","page":"63-74","source":"ScienceDirect","title":"Predictions penetrate perception: Converging insights from brain, behaviour and disorder","title-short":"Predictions penetrate perception","volume":"47","author":[{"family":"O'Callaghan","given":"Claire"},{"family":"Kveraga","given":"Kestutis"},{"family":"Shine","given":"James M."},{"family":"Adams","given":"Reginald B."},{"family":"Bar","given":"Moshe"}],"issued":{"date-parts":[["2017",1,1]]}}},{"id":14268,"uris":["http://zotero.org/users/local/xUwQuTPV/items/NBKKAV2E"],"uri":["http://zotero.org/users/local/xUwQuTPV/items/NBKKAV2E"],"itemData":{"id":14268,"type":"article-journal","abstract":"Abstract\n            Hallucinations are a common and distressing feature of many psychiatric and neurodegenerative conditions. In Lewy body disease, visual hallucinations are a defining feature, associated with worse outcomes; yet their mechanisms remain unclear and treatment options are limited. Here, we show that hallucinations in Lewy body disease are associated with altered integration of top-down predictions with incoming sensory evidence, specifically with an increased relative weighting of prior knowledge. We tested 37 individuals with Lewy body disease, 17 habitual hallucinators and 20 without hallucinations, and 20 age-matched healthy individuals. We employed an image-based learning paradigm to test whether people with Lewy body disease and visual hallucinations show higher dependence on prior knowledge. We used two-tone images that are difficult to disambiguate without any prior information but generate a strong percept when information is provided. We measured discrimination sensitivity before and after this information was provided. We observed that in people with Lewy body disease who experience hallucinations, there was greater improvement in discrimination sensitivity after information was provided, compared to non-hallucinators and controls. This suggests that people with Lewy body disease and hallucinations place higher relative weighting on prior knowledge than those who do not hallucinate. Importantly, increased severity of visual hallucinations was associated with an increased effect of prior knowledge. Together these findings suggest that visual hallucinations in Lewy body disease are linked to a shift towards top-down influences on perception and away from sensory evidence, perhaps due to an increase in sensory noise. This provides important mechanistic insights to how hallucinations develop in Lewy body disease, with potential for revealing new therapeutic targets.","container-title":"Brain Communications","DOI":"10.1093/braincomms/fcz007","ISSN":"2632-1297","issue":"1","language":"en","page":"fcz007","source":"DOI.org (Crossref)","title":"Increased weighting on prior knowledge in Lewy body-associated visual hallucinations","volume":"1","author":[{"family":"Zarkali","given":"Angeliki"},{"family":"Adams","given":"Rick A"},{"family":"Psarras","given":"Stamatios"},{"family":"Leyland","given":"Louise-Ann"},{"family":"Rees","given":"Geraint"},{"family":"Weil","given":"Rimona S"}],"issued":{"date-parts":[["2019",1,1]]}}}],"schema":"https://github.com/citation-style-language/schema/raw/master/csl-citation.json"} </w:instrText>
      </w:r>
      <w:r w:rsidR="009E3DE7" w:rsidRPr="00DE1E8C">
        <w:rPr>
          <w:bCs/>
          <w:iCs/>
          <w:lang w:val="en-GB"/>
        </w:rPr>
        <w:fldChar w:fldCharType="separate"/>
      </w:r>
      <w:r w:rsidR="00E805F6" w:rsidRPr="00DE1E8C">
        <w:rPr>
          <w:lang w:val="en-GB"/>
        </w:rPr>
        <w:t xml:space="preserve">(Friston, 2005; Shine </w:t>
      </w:r>
      <w:r w:rsidR="00E805F6" w:rsidRPr="00DE1E8C">
        <w:rPr>
          <w:i/>
          <w:iCs/>
          <w:lang w:val="en-GB"/>
        </w:rPr>
        <w:t>et al.</w:t>
      </w:r>
      <w:r w:rsidR="00E805F6" w:rsidRPr="00DE1E8C">
        <w:rPr>
          <w:lang w:val="en-GB"/>
        </w:rPr>
        <w:t xml:space="preserve">, 2014, O’Callaghan </w:t>
      </w:r>
      <w:r w:rsidR="00E805F6" w:rsidRPr="00DE1E8C">
        <w:rPr>
          <w:i/>
          <w:iCs/>
          <w:lang w:val="en-GB"/>
        </w:rPr>
        <w:t>et al.</w:t>
      </w:r>
      <w:r w:rsidR="00E805F6" w:rsidRPr="00DE1E8C">
        <w:rPr>
          <w:lang w:val="en-GB"/>
        </w:rPr>
        <w:t>, 2017</w:t>
      </w:r>
      <w:r w:rsidR="00E805F6" w:rsidRPr="00DE1E8C">
        <w:rPr>
          <w:i/>
          <w:iCs/>
          <w:lang w:val="en-GB"/>
        </w:rPr>
        <w:t>b</w:t>
      </w:r>
      <w:r w:rsidR="00E805F6" w:rsidRPr="00DE1E8C">
        <w:rPr>
          <w:lang w:val="en-GB"/>
        </w:rPr>
        <w:t xml:space="preserve">; Zarkali </w:t>
      </w:r>
      <w:r w:rsidR="00E805F6" w:rsidRPr="00DE1E8C">
        <w:rPr>
          <w:i/>
          <w:iCs/>
          <w:lang w:val="en-GB"/>
        </w:rPr>
        <w:t>et al.</w:t>
      </w:r>
      <w:r w:rsidR="00E805F6" w:rsidRPr="00DE1E8C">
        <w:rPr>
          <w:lang w:val="en-GB"/>
        </w:rPr>
        <w:t xml:space="preserve">, </w:t>
      </w:r>
      <w:r w:rsidR="00E805F6" w:rsidRPr="00DE1E8C">
        <w:rPr>
          <w:lang w:val="en-GB"/>
        </w:rPr>
        <w:lastRenderedPageBreak/>
        <w:t>2019)</w:t>
      </w:r>
      <w:r w:rsidR="009E3DE7" w:rsidRPr="00DE1E8C">
        <w:rPr>
          <w:bCs/>
          <w:iCs/>
          <w:lang w:val="en-GB"/>
        </w:rPr>
        <w:fldChar w:fldCharType="end"/>
      </w:r>
      <w:r w:rsidR="009E3DE7" w:rsidRPr="00DE1E8C">
        <w:rPr>
          <w:bCs/>
          <w:iCs/>
          <w:lang w:val="en-GB"/>
        </w:rPr>
        <w:t>.</w:t>
      </w:r>
      <w:r w:rsidR="00E541F8" w:rsidRPr="00DE1E8C">
        <w:rPr>
          <w:bCs/>
          <w:iCs/>
          <w:lang w:val="en-GB"/>
        </w:rPr>
        <w:t xml:space="preserve"> </w:t>
      </w:r>
      <w:r w:rsidR="004478B3" w:rsidRPr="00DE1E8C">
        <w:rPr>
          <w:bCs/>
          <w:iCs/>
          <w:lang w:val="en-GB"/>
        </w:rPr>
        <w:t>Speculatively</w:t>
      </w:r>
      <w:r w:rsidR="00221169" w:rsidRPr="00DE1E8C">
        <w:rPr>
          <w:bCs/>
          <w:iCs/>
          <w:lang w:val="en-GB"/>
        </w:rPr>
        <w:t xml:space="preserve">, the </w:t>
      </w:r>
      <w:r w:rsidR="00FB4E24" w:rsidRPr="00DE1E8C">
        <w:rPr>
          <w:bCs/>
          <w:iCs/>
          <w:lang w:val="en-GB"/>
        </w:rPr>
        <w:t xml:space="preserve">cognitive fluctuations </w:t>
      </w:r>
      <w:r w:rsidR="00FE349F" w:rsidRPr="00DE1E8C">
        <w:rPr>
          <w:bCs/>
          <w:iCs/>
          <w:lang w:val="en-GB"/>
        </w:rPr>
        <w:t>characteristic of Lewy body dementia, which can occur</w:t>
      </w:r>
      <w:r w:rsidR="007C0F0A" w:rsidRPr="00DE1E8C">
        <w:rPr>
          <w:bCs/>
          <w:iCs/>
          <w:lang w:val="en-GB"/>
        </w:rPr>
        <w:t xml:space="preserve"> over days or hours, but also over</w:t>
      </w:r>
      <w:r w:rsidR="004478B3" w:rsidRPr="00DE1E8C">
        <w:rPr>
          <w:bCs/>
          <w:iCs/>
          <w:lang w:val="en-GB"/>
        </w:rPr>
        <w:t xml:space="preserve"> </w:t>
      </w:r>
      <w:r w:rsidR="007C0F0A" w:rsidRPr="00DE1E8C">
        <w:rPr>
          <w:bCs/>
          <w:iCs/>
          <w:lang w:val="en-GB"/>
        </w:rPr>
        <w:t xml:space="preserve">seconds to minutes </w:t>
      </w:r>
      <w:r w:rsidR="00AA282D" w:rsidRPr="00DE1E8C">
        <w:rPr>
          <w:bCs/>
          <w:iCs/>
          <w:lang w:val="en-GB"/>
        </w:rPr>
        <w:fldChar w:fldCharType="begin"/>
      </w:r>
      <w:r w:rsidR="00A867A4" w:rsidRPr="00DE1E8C">
        <w:rPr>
          <w:bCs/>
          <w:iCs/>
          <w:lang w:val="en-GB"/>
        </w:rPr>
        <w:instrText xml:space="preserve"> ADDIN ZOTERO_ITEM CSL_CITATION {"citationID":"a2np2hsb52i","properties":{"formattedCitation":"(Walker {\\i{}et al.}, 2000{\\i{}b})","plainCitation":"(Walker et al., 2000b)","noteIndex":0},"citationItems":[{"id":14321,"uris":["http://zotero.org/users/local/xUwQuTPV/items/FPKQL9MS"],"uri":["http://zotero.org/users/local/xUwQuTPV/items/FPKQL9MS"],"itemData":{"id":14321,"type":"article-journal","abstract":"Background The identification of fluctuating confusion is central to improving the differential diagnosis of the common dementias. Aims To determine the value of two rating scales to measure fluctuating confusion.\nMethod The agreement between the clinician-rated scale and the scale completed by a non-clinician was determined.Correlations between the two scales were calculated; variability in attention was calculated on a computerised cognitive assessment and variability in delta rhythm on an electroencephalogram (EEG).\nResults The Clinician Assessment of Fluctuation and the computerised cognitive assessment were completed for 155 patients (61Alzheimer's disease, 37 dementia with Lewy bodies, 22 vascular dementia, 35 elderlycontrols). A subgroup (n40) received a further evaluation using the One Day Fluctuation Assessment Scale and an EEG.The two scales correlated significantly with each other, and with the neuropsychological and electrophysiological measures of fluctuation.\nConclusions Both scales are useful instruments for the clinical assessment of fluctuation in dementia.","container-title":"British Journal of Psychiatry","DOI":"10.1192/bjp.177.3.252","ISSN":"0007-1250, 1472-1465","issue":"3","journalAbbreviation":"Br J Psychiatry","language":"en","page":"252-256","source":"DOI.org (Crossref)","title":"The Clinician Assessment of Fluctuation and the One Day Fluctuation Assessment Scale: Two methods to assess fluctuating confusion in dementia","title-short":"The Clinician Assessment of Fluctuation and the One Day Fluctuation Assessment Scale","volume":"177","author":[{"family":"Walker","given":"M. P."},{"family":"Ayre","given":"G. A."},{"family":"Cummings","given":"J. L."},{"family":"Wesnes","given":"K."},{"family":"McKeith","given":"I. G."},{"family":"O'Brien","given":"J. T."},{"family":"Ballard","given":"C. G."}],"issued":{"date-parts":[["2000",9]]}}}],"schema":"https://github.com/citation-style-language/schema/raw/master/csl-citation.json"} </w:instrText>
      </w:r>
      <w:r w:rsidR="00AA282D" w:rsidRPr="00DE1E8C">
        <w:rPr>
          <w:bCs/>
          <w:iCs/>
          <w:lang w:val="en-GB"/>
        </w:rPr>
        <w:fldChar w:fldCharType="separate"/>
      </w:r>
      <w:r w:rsidR="00E805F6" w:rsidRPr="00DE1E8C">
        <w:rPr>
          <w:lang w:val="en-GB"/>
        </w:rPr>
        <w:t xml:space="preserve">(Walker </w:t>
      </w:r>
      <w:r w:rsidR="00E805F6" w:rsidRPr="00DE1E8C">
        <w:rPr>
          <w:i/>
          <w:iCs/>
          <w:lang w:val="en-GB"/>
        </w:rPr>
        <w:t>et al.</w:t>
      </w:r>
      <w:r w:rsidR="00E805F6" w:rsidRPr="00DE1E8C">
        <w:rPr>
          <w:lang w:val="en-GB"/>
        </w:rPr>
        <w:t>, 2000</w:t>
      </w:r>
      <w:r w:rsidR="00E805F6" w:rsidRPr="00DE1E8C">
        <w:rPr>
          <w:i/>
          <w:iCs/>
          <w:lang w:val="en-GB"/>
        </w:rPr>
        <w:t>b</w:t>
      </w:r>
      <w:r w:rsidR="00E805F6" w:rsidRPr="00DE1E8C">
        <w:rPr>
          <w:lang w:val="en-GB"/>
        </w:rPr>
        <w:t>)</w:t>
      </w:r>
      <w:r w:rsidR="00AA282D" w:rsidRPr="00DE1E8C">
        <w:rPr>
          <w:bCs/>
          <w:iCs/>
          <w:lang w:val="en-GB"/>
        </w:rPr>
        <w:fldChar w:fldCharType="end"/>
      </w:r>
      <w:r w:rsidR="004478B3" w:rsidRPr="00DE1E8C">
        <w:rPr>
          <w:bCs/>
          <w:iCs/>
          <w:lang w:val="en-GB"/>
        </w:rPr>
        <w:t>, may</w:t>
      </w:r>
      <w:r w:rsidR="00FD36F0" w:rsidRPr="00DE1E8C">
        <w:rPr>
          <w:bCs/>
          <w:iCs/>
          <w:lang w:val="en-GB"/>
        </w:rPr>
        <w:t xml:space="preserve"> </w:t>
      </w:r>
      <w:r w:rsidR="008F0996" w:rsidRPr="00DE1E8C">
        <w:rPr>
          <w:bCs/>
          <w:iCs/>
          <w:lang w:val="en-GB"/>
        </w:rPr>
        <w:t>produce</w:t>
      </w:r>
      <w:r w:rsidR="00FD36F0" w:rsidRPr="00DE1E8C">
        <w:rPr>
          <w:bCs/>
          <w:iCs/>
          <w:lang w:val="en-GB"/>
        </w:rPr>
        <w:t xml:space="preserve"> transient reductions in sensory evidence accumulation</w:t>
      </w:r>
      <w:r w:rsidR="007D53D6" w:rsidRPr="00DE1E8C">
        <w:rPr>
          <w:bCs/>
          <w:iCs/>
          <w:lang w:val="en-GB"/>
        </w:rPr>
        <w:t xml:space="preserve"> </w:t>
      </w:r>
      <w:r w:rsidR="00E157AF" w:rsidRPr="00DE1E8C">
        <w:rPr>
          <w:bCs/>
          <w:iCs/>
          <w:lang w:val="en-GB"/>
        </w:rPr>
        <w:t>ability</w:t>
      </w:r>
      <w:r w:rsidR="00FD36F0" w:rsidRPr="00DE1E8C">
        <w:rPr>
          <w:bCs/>
          <w:iCs/>
          <w:lang w:val="en-GB"/>
        </w:rPr>
        <w:t xml:space="preserve">. </w:t>
      </w:r>
      <w:r w:rsidR="001104B0" w:rsidRPr="00DE1E8C">
        <w:rPr>
          <w:bCs/>
          <w:iCs/>
          <w:lang w:val="en-GB"/>
        </w:rPr>
        <w:t>These periods</w:t>
      </w:r>
      <w:r w:rsidR="002507B2" w:rsidRPr="00DE1E8C">
        <w:rPr>
          <w:bCs/>
          <w:iCs/>
          <w:lang w:val="en-GB"/>
        </w:rPr>
        <w:t xml:space="preserve"> </w:t>
      </w:r>
      <w:r w:rsidR="00805074" w:rsidRPr="00DE1E8C">
        <w:rPr>
          <w:bCs/>
          <w:iCs/>
          <w:lang w:val="en-GB"/>
        </w:rPr>
        <w:t>are consistent with a brain state that is less responsive to</w:t>
      </w:r>
      <w:r w:rsidR="005863AF" w:rsidRPr="00DE1E8C">
        <w:rPr>
          <w:bCs/>
          <w:iCs/>
          <w:lang w:val="en-GB"/>
        </w:rPr>
        <w:t xml:space="preserve"> the environment</w:t>
      </w:r>
      <w:r w:rsidR="00622A8A" w:rsidRPr="00DE1E8C">
        <w:rPr>
          <w:bCs/>
          <w:iCs/>
          <w:lang w:val="en-GB"/>
        </w:rPr>
        <w:t>, potentially reflecting a</w:t>
      </w:r>
      <w:r w:rsidR="00A86A39" w:rsidRPr="00DE1E8C">
        <w:rPr>
          <w:bCs/>
          <w:iCs/>
          <w:lang w:val="en-GB"/>
        </w:rPr>
        <w:t xml:space="preserve"> temporal</w:t>
      </w:r>
      <w:r w:rsidR="00622A8A" w:rsidRPr="00DE1E8C">
        <w:rPr>
          <w:bCs/>
          <w:iCs/>
          <w:lang w:val="en-GB"/>
        </w:rPr>
        <w:t xml:space="preserve"> mismatch between</w:t>
      </w:r>
      <w:r w:rsidR="005863AF" w:rsidRPr="00DE1E8C">
        <w:rPr>
          <w:bCs/>
          <w:iCs/>
          <w:lang w:val="en-GB"/>
        </w:rPr>
        <w:t xml:space="preserve"> </w:t>
      </w:r>
      <w:r w:rsidR="003A6922" w:rsidRPr="00DE1E8C">
        <w:rPr>
          <w:bCs/>
          <w:iCs/>
          <w:lang w:val="en-GB"/>
        </w:rPr>
        <w:t>sensory processing</w:t>
      </w:r>
      <w:r w:rsidR="005863AF" w:rsidRPr="00DE1E8C">
        <w:rPr>
          <w:bCs/>
          <w:iCs/>
          <w:lang w:val="en-GB"/>
        </w:rPr>
        <w:t xml:space="preserve"> demands and the speed and efficiency of </w:t>
      </w:r>
      <w:r w:rsidR="00AE2CC2" w:rsidRPr="00DE1E8C">
        <w:rPr>
          <w:bCs/>
          <w:iCs/>
          <w:lang w:val="en-GB"/>
        </w:rPr>
        <w:t>intrinsic</w:t>
      </w:r>
      <w:r w:rsidR="005863AF" w:rsidRPr="00DE1E8C">
        <w:rPr>
          <w:bCs/>
          <w:iCs/>
          <w:lang w:val="en-GB"/>
        </w:rPr>
        <w:t xml:space="preserve"> information processing</w:t>
      </w:r>
      <w:r w:rsidR="00AE2CC2" w:rsidRPr="00DE1E8C">
        <w:rPr>
          <w:bCs/>
          <w:iCs/>
          <w:lang w:val="en-GB"/>
        </w:rPr>
        <w:t xml:space="preserve"> </w:t>
      </w:r>
      <w:r w:rsidR="001979D9" w:rsidRPr="00DE1E8C">
        <w:rPr>
          <w:bCs/>
          <w:iCs/>
          <w:lang w:val="en-GB"/>
        </w:rPr>
        <w:fldChar w:fldCharType="begin"/>
      </w:r>
      <w:r w:rsidR="00E805F6" w:rsidRPr="00DE1E8C">
        <w:rPr>
          <w:bCs/>
          <w:iCs/>
          <w:lang w:val="en-GB"/>
        </w:rPr>
        <w:instrText xml:space="preserve"> ADDIN ZOTERO_ITEM CSL_CITATION {"citationID":"ab05j68lvr","properties":{"formattedCitation":"(Firbank {\\i{}et al.}, 2018, Schumacher {\\i{}et al.}, 2019{\\i{}b})","plainCitation":"(Firbank et al., 2018, Schumacher et al., 2019b)","noteIndex":0},"citationItems":[{"id":5529,"uris":["http://zotero.org/users/local/xUwQuTPV/items/I7JY88G5"],"uri":["http://zotero.org/users/local/xUwQuTPV/items/I7JY88G5"],"itemData":{"id":5529,"type":"article-journal","abstract":"A significant symptom of Lewy body dementia (LBD) is slow cognitive processing or bradyphrenia. In a previous fMRI task-based study, we found slower responses in LBD, accompanied by greater deactivation in the default mode network. In this study, we investigated the timing and magnitude of the activations and deactivations with respect to reaction time to determine whether the slower responses in LBD were associated with delayed neuronal activity. Using fMRI, we examined the magnitude and latency of activations and deactivations during an event-related attention task in 32 patients with LBD and 23 healthy controls using predefined regions of interest. Default mode network deactivations did not significantly differ in their timing between groups or task conditions, while the task-related activations in the parietal, occipital, frontal, and motor cortex were all significantly later in the LBD group. Repeating the analysis with reaction time as a parametric modulator of activation magnitude produced similar findings, with the reaction time modulator being significant in a number of regions including the default mode network, suggesting that the increased deactivation in LBD is partly explained by slower task completion. Our data suggest that the default mode network deactivation is initiated at the start of the task, and remains deactivated until its end, with the increased magnitude of deactivation in LBD reflecting the more prolonged cognitive processing in these patients. These data add substantially to our understanding of the neural origins of bradyphrenia, which will be essential for determining optimum therapeutic strategies for cognitive impairment in LBD. Hum Brain Mapp 39:633-643, 2018. © 2017 The Authors Human Brain Mapping Published by Wiley Periodicals, Inc.","container-title":"Human Brain Mapping","DOI":"10.1002/hbm.23866","issue":"2","journalAbbreviation":"Hum. Brain Mapp.","language":"English","note":"PMCID: PMC5813138","page":"633-643","title":"Long reaction times are associated with delayed brain activity in lewy body dementia.","volume":"39","author":[{"family":"Firbank","given":"Michael J."},{"family":"O'Brien","given":"John T."},{"family":"Taylor","given":"John-Paul"}],"issued":{"date-parts":[["2018",2]]}}},{"id":14236,"uris":["http://zotero.org/users/local/xUwQuTPV/items/SSM47WV6"],"uri":["http://zotero.org/users/local/xUwQuTPV/items/SSM47WV6"],"itemData":{"id":14236,"type":"article-journal","container-title":"Brain","DOI":"10.1093/brain/awz069","ISSN":"0006-8950, 1460-2156","issue":"6","language":"en","page":"1767-1782","source":"DOI.org (Crossref)","title":"Dysfunctional brain dynamics and their origin in Lewy body dementia","volume":"142","author":[{"family":"Schumacher","given":"Julia"},{"family":"Peraza","given":"Luis R"},{"family":"Firbank","given":"Michael"},{"family":"Thomas","given":"Alan J"},{"family":"Kaiser","given":"Marcus"},{"family":"Gallagher","given":"Peter"},{"family":"O’Brien","given":"John T"},{"family":"Blamire","given":"Andrew M"},{"family":"Taylor","given":"John-Paul"}],"issued":{"date-parts":[["2019",6,1]]}}}],"schema":"https://github.com/citation-style-language/schema/raw/master/csl-citation.json"} </w:instrText>
      </w:r>
      <w:r w:rsidR="001979D9" w:rsidRPr="00DE1E8C">
        <w:rPr>
          <w:bCs/>
          <w:iCs/>
          <w:lang w:val="en-GB"/>
        </w:rPr>
        <w:fldChar w:fldCharType="separate"/>
      </w:r>
      <w:r w:rsidR="00E805F6" w:rsidRPr="00DE1E8C">
        <w:rPr>
          <w:lang w:val="en-GB"/>
        </w:rPr>
        <w:t xml:space="preserve">(Firbank </w:t>
      </w:r>
      <w:r w:rsidR="00E805F6" w:rsidRPr="00DE1E8C">
        <w:rPr>
          <w:i/>
          <w:iCs/>
          <w:lang w:val="en-GB"/>
        </w:rPr>
        <w:t>et al.</w:t>
      </w:r>
      <w:r w:rsidR="00E805F6" w:rsidRPr="00DE1E8C">
        <w:rPr>
          <w:lang w:val="en-GB"/>
        </w:rPr>
        <w:t xml:space="preserve">, 2018, Schumacher </w:t>
      </w:r>
      <w:r w:rsidR="00E805F6" w:rsidRPr="00DE1E8C">
        <w:rPr>
          <w:i/>
          <w:iCs/>
          <w:lang w:val="en-GB"/>
        </w:rPr>
        <w:t>et al.</w:t>
      </w:r>
      <w:r w:rsidR="00E805F6" w:rsidRPr="00DE1E8C">
        <w:rPr>
          <w:lang w:val="en-GB"/>
        </w:rPr>
        <w:t>, 2019</w:t>
      </w:r>
      <w:r w:rsidR="00E805F6" w:rsidRPr="00DE1E8C">
        <w:rPr>
          <w:i/>
          <w:iCs/>
          <w:lang w:val="en-GB"/>
        </w:rPr>
        <w:t>b</w:t>
      </w:r>
      <w:r w:rsidR="00E805F6" w:rsidRPr="00DE1E8C">
        <w:rPr>
          <w:lang w:val="en-GB"/>
        </w:rPr>
        <w:t>)</w:t>
      </w:r>
      <w:r w:rsidR="001979D9" w:rsidRPr="00DE1E8C">
        <w:rPr>
          <w:bCs/>
          <w:iCs/>
          <w:lang w:val="en-GB"/>
        </w:rPr>
        <w:fldChar w:fldCharType="end"/>
      </w:r>
      <w:r w:rsidR="005006A2" w:rsidRPr="00DE1E8C">
        <w:rPr>
          <w:bCs/>
          <w:iCs/>
          <w:lang w:val="en-GB"/>
        </w:rPr>
        <w:t>.</w:t>
      </w:r>
      <w:r w:rsidR="006540B1" w:rsidRPr="00DE1E8C">
        <w:rPr>
          <w:bCs/>
          <w:iCs/>
          <w:lang w:val="en-GB"/>
        </w:rPr>
        <w:t xml:space="preserve"> </w:t>
      </w:r>
      <w:r w:rsidR="00AA2BC7" w:rsidRPr="00DE1E8C">
        <w:rPr>
          <w:bCs/>
          <w:iCs/>
          <w:lang w:val="en-GB"/>
        </w:rPr>
        <w:t>Such</w:t>
      </w:r>
      <w:r w:rsidR="00747B24" w:rsidRPr="00DE1E8C">
        <w:rPr>
          <w:bCs/>
          <w:iCs/>
          <w:lang w:val="en-GB"/>
        </w:rPr>
        <w:t xml:space="preserve"> periods of reduced engagement with the environment </w:t>
      </w:r>
      <w:r w:rsidR="005F74FE" w:rsidRPr="00DE1E8C">
        <w:rPr>
          <w:bCs/>
          <w:iCs/>
          <w:lang w:val="en-GB"/>
        </w:rPr>
        <w:t>may be synonymous with reduce</w:t>
      </w:r>
      <w:r w:rsidR="00793AE8" w:rsidRPr="00DE1E8C">
        <w:rPr>
          <w:bCs/>
          <w:iCs/>
          <w:lang w:val="en-GB"/>
        </w:rPr>
        <w:t>d</w:t>
      </w:r>
      <w:r w:rsidR="005F74FE" w:rsidRPr="00DE1E8C">
        <w:rPr>
          <w:bCs/>
          <w:iCs/>
          <w:lang w:val="en-GB"/>
        </w:rPr>
        <w:t xml:space="preserve"> sensory evidence accumulation, and future work could explore </w:t>
      </w:r>
      <w:r w:rsidR="00695ED5" w:rsidRPr="00DE1E8C">
        <w:rPr>
          <w:bCs/>
          <w:iCs/>
          <w:lang w:val="en-GB"/>
        </w:rPr>
        <w:t xml:space="preserve">this parameter as a possible marker of </w:t>
      </w:r>
      <w:r w:rsidR="00012FCB" w:rsidRPr="00DE1E8C">
        <w:rPr>
          <w:bCs/>
          <w:iCs/>
          <w:lang w:val="en-GB"/>
        </w:rPr>
        <w:t xml:space="preserve">cognitive </w:t>
      </w:r>
      <w:r w:rsidR="00695ED5" w:rsidRPr="00DE1E8C">
        <w:rPr>
          <w:bCs/>
          <w:iCs/>
          <w:lang w:val="en-GB"/>
        </w:rPr>
        <w:t>fl</w:t>
      </w:r>
      <w:r w:rsidR="00012FCB" w:rsidRPr="00DE1E8C">
        <w:rPr>
          <w:bCs/>
          <w:iCs/>
          <w:lang w:val="en-GB"/>
        </w:rPr>
        <w:t>uctuations</w:t>
      </w:r>
      <w:r w:rsidR="00695ED5" w:rsidRPr="00DE1E8C">
        <w:rPr>
          <w:bCs/>
          <w:iCs/>
          <w:lang w:val="en-GB"/>
        </w:rPr>
        <w:t>.</w:t>
      </w:r>
      <w:r w:rsidR="00CC16DE" w:rsidRPr="00DE1E8C">
        <w:rPr>
          <w:bCs/>
          <w:iCs/>
          <w:lang w:val="en-GB"/>
        </w:rPr>
        <w:t xml:space="preserve"> </w:t>
      </w:r>
      <w:r w:rsidR="005E157F" w:rsidRPr="00DE1E8C">
        <w:rPr>
          <w:bCs/>
          <w:iCs/>
          <w:lang w:val="en-GB"/>
        </w:rPr>
        <w:t xml:space="preserve">We have shown clear differences </w:t>
      </w:r>
      <w:r w:rsidR="00CC16DE" w:rsidRPr="00DE1E8C">
        <w:rPr>
          <w:bCs/>
          <w:iCs/>
          <w:lang w:val="en-GB"/>
        </w:rPr>
        <w:t>for</w:t>
      </w:r>
      <w:r w:rsidR="005E157F" w:rsidRPr="00DE1E8C">
        <w:rPr>
          <w:bCs/>
          <w:iCs/>
          <w:lang w:val="en-GB"/>
        </w:rPr>
        <w:t xml:space="preserve"> the drift rate</w:t>
      </w:r>
      <w:r w:rsidR="00CC16DE" w:rsidRPr="00DE1E8C">
        <w:rPr>
          <w:bCs/>
          <w:iCs/>
          <w:lang w:val="en-GB"/>
        </w:rPr>
        <w:t xml:space="preserve">s </w:t>
      </w:r>
      <w:r w:rsidR="005E157F" w:rsidRPr="00DE1E8C">
        <w:rPr>
          <w:bCs/>
          <w:iCs/>
          <w:lang w:val="en-GB"/>
        </w:rPr>
        <w:t xml:space="preserve">in a </w:t>
      </w:r>
      <w:r w:rsidR="00B74F5A" w:rsidRPr="00DE1E8C">
        <w:rPr>
          <w:lang w:val="en-GB"/>
        </w:rPr>
        <w:t>fluctuating dementia group</w:t>
      </w:r>
      <w:r w:rsidR="00303D50" w:rsidRPr="00DE1E8C">
        <w:rPr>
          <w:lang w:val="en-GB"/>
        </w:rPr>
        <w:t xml:space="preserve"> (Lewy body dementia)</w:t>
      </w:r>
      <w:r w:rsidR="00B74F5A" w:rsidRPr="00DE1E8C">
        <w:rPr>
          <w:lang w:val="en-GB"/>
        </w:rPr>
        <w:t xml:space="preserve"> v</w:t>
      </w:r>
      <w:r w:rsidR="00CC16DE" w:rsidRPr="00DE1E8C">
        <w:rPr>
          <w:lang w:val="en-GB"/>
        </w:rPr>
        <w:t>ersus a</w:t>
      </w:r>
      <w:r w:rsidR="00B74F5A" w:rsidRPr="00DE1E8C">
        <w:rPr>
          <w:lang w:val="en-GB"/>
        </w:rPr>
        <w:t xml:space="preserve"> non-fluctuating group</w:t>
      </w:r>
      <w:r w:rsidR="00303D50" w:rsidRPr="00DE1E8C">
        <w:rPr>
          <w:lang w:val="en-GB"/>
        </w:rPr>
        <w:t xml:space="preserve"> (Alzheimer’s disease)</w:t>
      </w:r>
      <w:r w:rsidR="00CC16DE" w:rsidRPr="00DE1E8C">
        <w:rPr>
          <w:lang w:val="en-GB"/>
        </w:rPr>
        <w:t>.</w:t>
      </w:r>
      <w:r w:rsidR="00CF14D7" w:rsidRPr="00DE1E8C">
        <w:rPr>
          <w:lang w:val="en-GB"/>
        </w:rPr>
        <w:t xml:space="preserve"> </w:t>
      </w:r>
      <w:r w:rsidR="00D01630" w:rsidRPr="00DE1E8C">
        <w:rPr>
          <w:bCs/>
          <w:iCs/>
          <w:lang w:val="en-GB"/>
        </w:rPr>
        <w:t>However, the extent of</w:t>
      </w:r>
      <w:r w:rsidR="003B1A7F" w:rsidRPr="00DE1E8C">
        <w:rPr>
          <w:bCs/>
          <w:iCs/>
          <w:lang w:val="en-GB"/>
        </w:rPr>
        <w:t xml:space="preserve"> drift rate</w:t>
      </w:r>
      <w:r w:rsidR="00D01630" w:rsidRPr="00DE1E8C">
        <w:rPr>
          <w:bCs/>
          <w:iCs/>
          <w:lang w:val="en-GB"/>
        </w:rPr>
        <w:t xml:space="preserve"> </w:t>
      </w:r>
      <w:r w:rsidR="00470616" w:rsidRPr="00DE1E8C">
        <w:rPr>
          <w:bCs/>
          <w:iCs/>
          <w:lang w:val="en-GB"/>
        </w:rPr>
        <w:t>slowing</w:t>
      </w:r>
      <w:r w:rsidR="003B1A7F" w:rsidRPr="00DE1E8C">
        <w:rPr>
          <w:bCs/>
          <w:iCs/>
          <w:lang w:val="en-GB"/>
        </w:rPr>
        <w:t xml:space="preserve"> </w:t>
      </w:r>
      <w:r w:rsidR="00D01630" w:rsidRPr="00DE1E8C">
        <w:rPr>
          <w:bCs/>
          <w:iCs/>
          <w:lang w:val="en-GB"/>
        </w:rPr>
        <w:t xml:space="preserve">did not correlate with </w:t>
      </w:r>
      <w:r w:rsidR="00CF14D7" w:rsidRPr="00DE1E8C">
        <w:rPr>
          <w:bCs/>
          <w:iCs/>
          <w:lang w:val="en-GB"/>
        </w:rPr>
        <w:t xml:space="preserve">clinical measures of </w:t>
      </w:r>
      <w:r w:rsidR="00906F20" w:rsidRPr="00DE1E8C">
        <w:rPr>
          <w:bCs/>
          <w:iCs/>
          <w:lang w:val="en-GB"/>
        </w:rPr>
        <w:t>fluctuation</w:t>
      </w:r>
      <w:r w:rsidR="00CF14D7" w:rsidRPr="00DE1E8C">
        <w:rPr>
          <w:bCs/>
          <w:iCs/>
          <w:lang w:val="en-GB"/>
        </w:rPr>
        <w:t xml:space="preserve"> severity.</w:t>
      </w:r>
      <w:r w:rsidR="00D977E6" w:rsidRPr="00DE1E8C">
        <w:rPr>
          <w:bCs/>
          <w:iCs/>
          <w:lang w:val="en-GB"/>
        </w:rPr>
        <w:t xml:space="preserve"> </w:t>
      </w:r>
      <w:r w:rsidR="00AE1927" w:rsidRPr="00DE1E8C">
        <w:rPr>
          <w:bCs/>
          <w:iCs/>
          <w:lang w:val="en-GB"/>
        </w:rPr>
        <w:t>This</w:t>
      </w:r>
      <w:r w:rsidR="00CF14D7" w:rsidRPr="00DE1E8C">
        <w:rPr>
          <w:bCs/>
          <w:iCs/>
          <w:lang w:val="en-GB"/>
        </w:rPr>
        <w:t xml:space="preserve"> </w:t>
      </w:r>
      <w:r w:rsidR="003D4CAF" w:rsidRPr="00DE1E8C">
        <w:rPr>
          <w:bCs/>
          <w:iCs/>
          <w:lang w:val="en-GB"/>
        </w:rPr>
        <w:t>suggests</w:t>
      </w:r>
      <w:r w:rsidR="005B625C" w:rsidRPr="00DE1E8C">
        <w:rPr>
          <w:bCs/>
          <w:iCs/>
          <w:lang w:val="en-GB"/>
        </w:rPr>
        <w:t xml:space="preserve"> that</w:t>
      </w:r>
      <w:r w:rsidR="003D4CAF" w:rsidRPr="00DE1E8C">
        <w:rPr>
          <w:bCs/>
          <w:iCs/>
          <w:lang w:val="en-GB"/>
        </w:rPr>
        <w:t xml:space="preserve"> </w:t>
      </w:r>
      <w:r w:rsidR="00BB3BB4" w:rsidRPr="00DE1E8C">
        <w:rPr>
          <w:bCs/>
          <w:iCs/>
          <w:lang w:val="en-GB"/>
        </w:rPr>
        <w:t xml:space="preserve">fluctuations on the trial-by-trial timescale that </w:t>
      </w:r>
      <w:r w:rsidR="003D4CAF" w:rsidRPr="00DE1E8C">
        <w:rPr>
          <w:bCs/>
          <w:iCs/>
          <w:lang w:val="en-GB"/>
        </w:rPr>
        <w:t>are</w:t>
      </w:r>
      <w:r w:rsidR="00BB3BB4" w:rsidRPr="00DE1E8C">
        <w:rPr>
          <w:bCs/>
          <w:iCs/>
          <w:lang w:val="en-GB"/>
        </w:rPr>
        <w:t xml:space="preserve"> captured by the drift rate </w:t>
      </w:r>
      <w:r w:rsidR="003D4CAF" w:rsidRPr="00DE1E8C">
        <w:rPr>
          <w:bCs/>
          <w:iCs/>
          <w:lang w:val="en-GB"/>
        </w:rPr>
        <w:t>may not be well represented</w:t>
      </w:r>
      <w:r w:rsidR="00BB3BB4" w:rsidRPr="00DE1E8C">
        <w:rPr>
          <w:bCs/>
          <w:iCs/>
          <w:lang w:val="en-GB"/>
        </w:rPr>
        <w:t xml:space="preserve"> </w:t>
      </w:r>
      <w:r w:rsidR="00BD57C0" w:rsidRPr="00DE1E8C">
        <w:rPr>
          <w:bCs/>
          <w:iCs/>
          <w:lang w:val="en-GB"/>
        </w:rPr>
        <w:t>by clinical scales</w:t>
      </w:r>
      <w:r w:rsidR="003D4CAF" w:rsidRPr="00DE1E8C">
        <w:rPr>
          <w:bCs/>
          <w:iCs/>
          <w:lang w:val="en-GB"/>
        </w:rPr>
        <w:t>.</w:t>
      </w:r>
      <w:r w:rsidR="001F08C3" w:rsidRPr="00DE1E8C">
        <w:rPr>
          <w:bCs/>
          <w:iCs/>
          <w:lang w:val="en-GB"/>
        </w:rPr>
        <w:t xml:space="preserve"> </w:t>
      </w:r>
      <w:r w:rsidR="008C1D14" w:rsidRPr="00DE1E8C">
        <w:rPr>
          <w:bCs/>
          <w:iCs/>
          <w:lang w:val="en-GB"/>
        </w:rPr>
        <w:t xml:space="preserve">It may be that this reflects a broader issue with clinical scales for </w:t>
      </w:r>
      <w:r w:rsidR="003D4522" w:rsidRPr="00DE1E8C">
        <w:rPr>
          <w:bCs/>
          <w:iCs/>
          <w:lang w:val="en-GB"/>
        </w:rPr>
        <w:t xml:space="preserve">assessing </w:t>
      </w:r>
      <w:r w:rsidR="008C1D14" w:rsidRPr="00DE1E8C">
        <w:rPr>
          <w:bCs/>
          <w:iCs/>
          <w:lang w:val="en-GB"/>
        </w:rPr>
        <w:t>fluctuations</w:t>
      </w:r>
      <w:r w:rsidR="00CD584B" w:rsidRPr="00DE1E8C">
        <w:rPr>
          <w:bCs/>
          <w:iCs/>
          <w:lang w:val="en-GB"/>
        </w:rPr>
        <w:t xml:space="preserve">. </w:t>
      </w:r>
      <w:r w:rsidR="003F5123" w:rsidRPr="00DE1E8C">
        <w:rPr>
          <w:bCs/>
          <w:iCs/>
          <w:lang w:val="en-GB"/>
        </w:rPr>
        <w:t>T</w:t>
      </w:r>
      <w:r w:rsidR="003D4522" w:rsidRPr="00DE1E8C">
        <w:rPr>
          <w:bCs/>
          <w:iCs/>
          <w:lang w:val="en-GB"/>
        </w:rPr>
        <w:t>hese scales are</w:t>
      </w:r>
      <w:r w:rsidR="003F5123" w:rsidRPr="00DE1E8C">
        <w:rPr>
          <w:bCs/>
          <w:iCs/>
          <w:lang w:val="en-GB"/>
        </w:rPr>
        <w:t xml:space="preserve"> </w:t>
      </w:r>
      <w:r w:rsidR="003D4522" w:rsidRPr="00DE1E8C">
        <w:rPr>
          <w:bCs/>
          <w:iCs/>
          <w:lang w:val="en-GB"/>
        </w:rPr>
        <w:t>a brief clinical assessment</w:t>
      </w:r>
      <w:r w:rsidR="003F5123" w:rsidRPr="00DE1E8C">
        <w:rPr>
          <w:bCs/>
          <w:iCs/>
          <w:lang w:val="en-GB"/>
        </w:rPr>
        <w:t xml:space="preserve"> reliant on </w:t>
      </w:r>
      <w:r w:rsidR="003D4522" w:rsidRPr="00DE1E8C">
        <w:rPr>
          <w:bCs/>
          <w:iCs/>
          <w:lang w:val="en-GB"/>
        </w:rPr>
        <w:t>informant</w:t>
      </w:r>
      <w:r w:rsidR="003F5123" w:rsidRPr="00DE1E8C">
        <w:rPr>
          <w:bCs/>
          <w:iCs/>
          <w:lang w:val="en-GB"/>
        </w:rPr>
        <w:t xml:space="preserve"> reports,</w:t>
      </w:r>
      <w:r w:rsidR="003D4522" w:rsidRPr="00DE1E8C">
        <w:rPr>
          <w:bCs/>
          <w:iCs/>
          <w:lang w:val="en-GB"/>
        </w:rPr>
        <w:t xml:space="preserve"> and are therefore vulnerable to the inherent biases </w:t>
      </w:r>
      <w:r w:rsidR="00347C01" w:rsidRPr="00DE1E8C">
        <w:rPr>
          <w:bCs/>
          <w:iCs/>
          <w:lang w:val="en-GB"/>
        </w:rPr>
        <w:t>and inaccuracies that occur when</w:t>
      </w:r>
      <w:r w:rsidR="003F5123" w:rsidRPr="00DE1E8C">
        <w:rPr>
          <w:bCs/>
          <w:iCs/>
          <w:lang w:val="en-GB"/>
        </w:rPr>
        <w:t xml:space="preserve"> subjective judgements are made about</w:t>
      </w:r>
      <w:r w:rsidR="00523FBD" w:rsidRPr="00DE1E8C">
        <w:rPr>
          <w:bCs/>
          <w:iCs/>
          <w:lang w:val="en-GB"/>
        </w:rPr>
        <w:t xml:space="preserve"> a</w:t>
      </w:r>
      <w:r w:rsidR="003F5123" w:rsidRPr="00DE1E8C">
        <w:rPr>
          <w:bCs/>
          <w:iCs/>
          <w:lang w:val="en-GB"/>
        </w:rPr>
        <w:t xml:space="preserve"> symptom that </w:t>
      </w:r>
      <w:r w:rsidR="00523FBD" w:rsidRPr="00DE1E8C">
        <w:rPr>
          <w:bCs/>
          <w:iCs/>
          <w:lang w:val="en-GB"/>
        </w:rPr>
        <w:t>is</w:t>
      </w:r>
      <w:r w:rsidR="003F5123" w:rsidRPr="00DE1E8C">
        <w:rPr>
          <w:bCs/>
          <w:iCs/>
          <w:lang w:val="en-GB"/>
        </w:rPr>
        <w:t xml:space="preserve"> to large extent unobservable</w:t>
      </w:r>
      <w:r w:rsidR="00CD584B" w:rsidRPr="00DE1E8C">
        <w:rPr>
          <w:bCs/>
          <w:iCs/>
          <w:lang w:val="en-GB"/>
        </w:rPr>
        <w:t xml:space="preserve"> </w:t>
      </w:r>
      <w:r w:rsidR="00421DEF" w:rsidRPr="00DE1E8C">
        <w:rPr>
          <w:bCs/>
          <w:iCs/>
          <w:lang w:val="en-GB"/>
        </w:rPr>
        <w:fldChar w:fldCharType="begin"/>
      </w:r>
      <w:r w:rsidR="00A867A4" w:rsidRPr="00DE1E8C">
        <w:rPr>
          <w:bCs/>
          <w:iCs/>
          <w:lang w:val="en-GB"/>
        </w:rPr>
        <w:instrText xml:space="preserve"> ADDIN ZOTERO_ITEM CSL_CITATION {"citationID":"aq5oj35eba","properties":{"formattedCitation":"(Lee {\\i{}et al.}, 2012; O\\uc0\\u8217{}Dowd {\\i{}et al.}, 2019; Matar {\\i{}et al.}, 2020)","plainCitation":"(Lee et al., 2012; O’Dowd et al., 2019; Matar et al., 2020)","noteIndex":0},"citationItems":[{"id":14960,"uris":["http://zotero.org/users/local/xUwQuTPV/items/7DETHM7Q"],"uri":["http://zotero.org/users/local/xUwQuTPV/items/7DETHM7Q"],"itemData":{"id":14960,"type":"article-journal","container-title":"International Journal of Geriatric Psychiatry","DOI":"10.1002/gps.2823","ISSN":"08856230","issue":"10","journalAbbreviation":"Int J Geriatr Psychiatry","language":"en","page":"989-998","source":"DOI.org (Crossref)","title":"Assessment of cognitive fluctuation in dementia: a systematic review of the literature: Cognitive fluctuation in dementia: a systematic review","title-short":"Assessment of cognitive fluctuation in dementia","volume":"27","author":[{"family":"Lee","given":"David R."},{"family":"Taylor","given":"John-Paul"},{"family":"Thomas","given":"Alan J."}],"issued":{"date-parts":[["2012",10]]}}},{"id":14276,"uris":["http://zotero.org/users/local/xUwQuTPV/items/UTQ7Q49Z"],"uri":["http://zotero.org/users/local/xUwQuTPV/items/UTQ7Q49Z"],"itemData":{"id":14276,"type":"article-journal","abstract":"Fluctuating cognition is a core diagnostic feature of the Lewy body dementias, but it can be clinically challenging to identify and characterise and remains poorly understood. O’Dowd et al. review the clinical features and explore the possible aetiological mechanisms underpinning this phenomenon. They also identify potential future research avenues.","container-title":"Brain","DOI":"10.1093/brain/awz235","ISSN":"0006-8950, 1460-2156","issue":"11","language":"en","page":"3338-3350","source":"DOI.org (Crossref)","title":"Fluctuating cognition in the Lewy body dementias","volume":"142","author":[{"family":"O’Dowd","given":"Seán"},{"family":"Schumacher","given":"Julia"},{"family":"Burn","given":"David J"},{"family":"Bonanni","given":"Laura"},{"family":"Onofrj","given":"Marco"},{"family":"Thomas","given":"Alan"},{"family":"Taylor","given":"John-Paul"}],"issued":{"date-parts":[["2019",11,1]]}}},{"id":14223,"uris":["http://zotero.org/users/local/xUwQuTPV/items/5Y56QNTL"],"uri":["http://zotero.org/users/local/xUwQuTPV/items/5Y56QNTL"],"itemData":{"id":14223,"type":"article-journal","abstract":"Abstract\n            Fluctuating cognition is a complex and disabling symptom that is seen most frequently in the context of Lewy body dementias encompassing dementia with Lewy bodies and Parkinson’s disease dementia. In fact, since their description over three decades ago, cognitive fluctuations have remained a core diagnostic feature of dementia with Lewy bodies, the second most common dementia in the elderly. In the absence of reliable biomarkers for Lewy body pathology, the inclusion of such patients in therapeutic trials depends on the accurate identification of such core clinical features. Yet despite their diagnostic relevance, cognitive fluctuations remain poorly understood, in part due to the lack of a cohesive clinical and scientific explanation of the phenomenon itself. Motivated by this challenge, the present review examines the history, clinical phenomenology and assessment of cognitive fluctuations in the Lewy body dementias. Based on these data, the key neuropsychological, neurophysiological and neuroimaging correlates of cognitive fluctuations are described and integrated into a novel testable heuristic framework from which new insights may be gained.","container-title":"Brain","DOI":"10.1093/brain/awz311","ISSN":"0006-8950, 1460-2156","issue":"1","language":"en","page":"31-46","source":"DOI.org (Crossref)","title":"Cognitive fluctuations in Lewy body dementia: towards a pathophysiological framework","title-short":"Cognitive fluctuations in Lewy body dementia","volume":"143","author":[{"family":"Matar","given":"Elie"},{"family":"Shine","given":"James M"},{"family":"Halliday","given":"Glenda M"},{"family":"Lewis","given":"Simon J G"}],"issued":{"date-parts":[["2020",1,1]]}}}],"schema":"https://github.com/citation-style-language/schema/raw/master/csl-citation.json"} </w:instrText>
      </w:r>
      <w:r w:rsidR="00421DEF" w:rsidRPr="00DE1E8C">
        <w:rPr>
          <w:bCs/>
          <w:iCs/>
          <w:lang w:val="en-GB"/>
        </w:rPr>
        <w:fldChar w:fldCharType="separate"/>
      </w:r>
      <w:r w:rsidR="00A867A4" w:rsidRPr="00DE1E8C">
        <w:rPr>
          <w:lang w:val="en-GB"/>
        </w:rPr>
        <w:t xml:space="preserve">(Lee </w:t>
      </w:r>
      <w:r w:rsidR="00A867A4" w:rsidRPr="00DE1E8C">
        <w:rPr>
          <w:i/>
          <w:iCs/>
          <w:lang w:val="en-GB"/>
        </w:rPr>
        <w:t>et al.</w:t>
      </w:r>
      <w:r w:rsidR="00A867A4" w:rsidRPr="00DE1E8C">
        <w:rPr>
          <w:lang w:val="en-GB"/>
        </w:rPr>
        <w:t xml:space="preserve">, 2012; O’Dowd </w:t>
      </w:r>
      <w:r w:rsidR="00A867A4" w:rsidRPr="00DE1E8C">
        <w:rPr>
          <w:i/>
          <w:iCs/>
          <w:lang w:val="en-GB"/>
        </w:rPr>
        <w:t>et al.</w:t>
      </w:r>
      <w:r w:rsidR="00A867A4" w:rsidRPr="00DE1E8C">
        <w:rPr>
          <w:lang w:val="en-GB"/>
        </w:rPr>
        <w:t xml:space="preserve">, 2019; Matar </w:t>
      </w:r>
      <w:r w:rsidR="00A867A4" w:rsidRPr="00DE1E8C">
        <w:rPr>
          <w:i/>
          <w:iCs/>
          <w:lang w:val="en-GB"/>
        </w:rPr>
        <w:t>et al.</w:t>
      </w:r>
      <w:r w:rsidR="00A867A4" w:rsidRPr="00DE1E8C">
        <w:rPr>
          <w:lang w:val="en-GB"/>
        </w:rPr>
        <w:t>, 2020)</w:t>
      </w:r>
      <w:r w:rsidR="00421DEF" w:rsidRPr="00DE1E8C">
        <w:rPr>
          <w:bCs/>
          <w:iCs/>
          <w:lang w:val="en-GB"/>
        </w:rPr>
        <w:fldChar w:fldCharType="end"/>
      </w:r>
      <w:r w:rsidR="00421DEF" w:rsidRPr="00DE1E8C">
        <w:rPr>
          <w:bCs/>
          <w:iCs/>
          <w:lang w:val="en-GB"/>
        </w:rPr>
        <w:t>.</w:t>
      </w:r>
      <w:r w:rsidR="00D661D4" w:rsidRPr="00DE1E8C">
        <w:rPr>
          <w:bCs/>
          <w:iCs/>
          <w:lang w:val="en-GB"/>
        </w:rPr>
        <w:t xml:space="preserve"> </w:t>
      </w:r>
      <w:r w:rsidR="009F3EA5" w:rsidRPr="00DE1E8C">
        <w:rPr>
          <w:bCs/>
          <w:iCs/>
          <w:lang w:val="en-GB"/>
        </w:rPr>
        <w:t xml:space="preserve">In this sense, </w:t>
      </w:r>
      <w:r w:rsidR="006843E1" w:rsidRPr="00DE1E8C">
        <w:rPr>
          <w:bCs/>
          <w:iCs/>
          <w:lang w:val="en-GB"/>
        </w:rPr>
        <w:t>despite providing a useful clinical heuristic, these scales lack the granularity</w:t>
      </w:r>
      <w:r w:rsidR="00FD23AA" w:rsidRPr="00DE1E8C">
        <w:rPr>
          <w:bCs/>
          <w:iCs/>
          <w:lang w:val="en-GB"/>
        </w:rPr>
        <w:t xml:space="preserve"> needed</w:t>
      </w:r>
      <w:r w:rsidR="006843E1" w:rsidRPr="00DE1E8C">
        <w:rPr>
          <w:bCs/>
          <w:iCs/>
          <w:lang w:val="en-GB"/>
        </w:rPr>
        <w:t xml:space="preserve"> to </w:t>
      </w:r>
      <w:r w:rsidR="00396721" w:rsidRPr="00DE1E8C">
        <w:rPr>
          <w:bCs/>
          <w:iCs/>
          <w:lang w:val="en-GB"/>
        </w:rPr>
        <w:t xml:space="preserve">identify </w:t>
      </w:r>
      <w:r w:rsidR="00BB3743" w:rsidRPr="00DE1E8C">
        <w:rPr>
          <w:bCs/>
          <w:iCs/>
          <w:lang w:val="en-GB"/>
        </w:rPr>
        <w:t>meaningful variance in patients that might relate to more nuanced objective markers</w:t>
      </w:r>
      <w:r w:rsidR="00FD23AA" w:rsidRPr="00DE1E8C">
        <w:rPr>
          <w:bCs/>
          <w:iCs/>
          <w:lang w:val="en-GB"/>
        </w:rPr>
        <w:t xml:space="preserve"> </w:t>
      </w:r>
      <w:r w:rsidR="00056CAB" w:rsidRPr="00DE1E8C">
        <w:rPr>
          <w:bCs/>
          <w:iCs/>
          <w:lang w:val="en-GB"/>
        </w:rPr>
        <w:fldChar w:fldCharType="begin"/>
      </w:r>
      <w:r w:rsidR="00A867A4" w:rsidRPr="00DE1E8C">
        <w:rPr>
          <w:bCs/>
          <w:iCs/>
          <w:lang w:val="en-GB"/>
        </w:rPr>
        <w:instrText xml:space="preserve"> ADDIN ZOTERO_ITEM CSL_CITATION {"citationID":"a3blahiqbb","properties":{"formattedCitation":"(Matar {\\i{}et al.}, 2020)","plainCitation":"(Matar et al., 2020)","noteIndex":0},"citationItems":[{"id":14223,"uris":["http://zotero.org/users/local/xUwQuTPV/items/5Y56QNTL"],"uri":["http://zotero.org/users/local/xUwQuTPV/items/5Y56QNTL"],"itemData":{"id":14223,"type":"article-journal","abstract":"Abstract\n            Fluctuating cognition is a complex and disabling symptom that is seen most frequently in the context of Lewy body dementias encompassing dementia with Lewy bodies and Parkinson’s disease dementia. In fact, since their description over three decades ago, cognitive fluctuations have remained a core diagnostic feature of dementia with Lewy bodies, the second most common dementia in the elderly. In the absence of reliable biomarkers for Lewy body pathology, the inclusion of such patients in therapeutic trials depends on the accurate identification of such core clinical features. Yet despite their diagnostic relevance, cognitive fluctuations remain poorly understood, in part due to the lack of a cohesive clinical and scientific explanation of the phenomenon itself. Motivated by this challenge, the present review examines the history, clinical phenomenology and assessment of cognitive fluctuations in the Lewy body dementias. Based on these data, the key neuropsychological, neurophysiological and neuroimaging correlates of cognitive fluctuations are described and integrated into a novel testable heuristic framework from which new insights may be gained.","container-title":"Brain","DOI":"10.1093/brain/awz311","ISSN":"0006-8950, 1460-2156","issue":"1","language":"en","page":"31-46","source":"DOI.org (Crossref)","title":"Cognitive fluctuations in Lewy body dementia: towards a pathophysiological framework","title-short":"Cognitive fluctuations in Lewy body dementia","volume":"143","author":[{"family":"Matar","given":"Elie"},{"family":"Shine","given":"James M"},{"family":"Halliday","given":"Glenda M"},{"family":"Lewis","given":"Simon J G"}],"issued":{"date-parts":[["2020",1,1]]}}}],"schema":"https://github.com/citation-style-language/schema/raw/master/csl-citation.json"} </w:instrText>
      </w:r>
      <w:r w:rsidR="00056CAB" w:rsidRPr="00DE1E8C">
        <w:rPr>
          <w:bCs/>
          <w:iCs/>
          <w:lang w:val="en-GB"/>
        </w:rPr>
        <w:fldChar w:fldCharType="separate"/>
      </w:r>
      <w:r w:rsidR="00A867A4" w:rsidRPr="00DE1E8C">
        <w:rPr>
          <w:lang w:val="en-GB"/>
        </w:rPr>
        <w:t xml:space="preserve">(Matar </w:t>
      </w:r>
      <w:r w:rsidR="00A867A4" w:rsidRPr="00DE1E8C">
        <w:rPr>
          <w:i/>
          <w:iCs/>
          <w:lang w:val="en-GB"/>
        </w:rPr>
        <w:t>et al.</w:t>
      </w:r>
      <w:r w:rsidR="00A867A4" w:rsidRPr="00DE1E8C">
        <w:rPr>
          <w:lang w:val="en-GB"/>
        </w:rPr>
        <w:t>, 2020)</w:t>
      </w:r>
      <w:r w:rsidR="00056CAB" w:rsidRPr="00DE1E8C">
        <w:rPr>
          <w:bCs/>
          <w:iCs/>
          <w:lang w:val="en-GB"/>
        </w:rPr>
        <w:fldChar w:fldCharType="end"/>
      </w:r>
      <w:r w:rsidR="00056CAB" w:rsidRPr="00DE1E8C">
        <w:rPr>
          <w:bCs/>
          <w:iCs/>
          <w:lang w:val="en-GB"/>
        </w:rPr>
        <w:t xml:space="preserve">. </w:t>
      </w:r>
      <w:r w:rsidR="00E23D81" w:rsidRPr="00DE1E8C">
        <w:rPr>
          <w:bCs/>
          <w:iCs/>
          <w:lang w:val="en-GB"/>
        </w:rPr>
        <w:t>A crucial avenue for future work i</w:t>
      </w:r>
      <w:r w:rsidR="00392CCE" w:rsidRPr="00DE1E8C">
        <w:rPr>
          <w:bCs/>
          <w:iCs/>
          <w:lang w:val="en-GB"/>
        </w:rPr>
        <w:t xml:space="preserve">s to determine how various clinical and objective markers might relate to each other, and to reconcile this across the varying timescales of fluctuations. </w:t>
      </w:r>
      <w:r w:rsidR="0078654D" w:rsidRPr="00DE1E8C">
        <w:rPr>
          <w:bCs/>
          <w:iCs/>
          <w:lang w:val="en-GB"/>
        </w:rPr>
        <w:t>I</w:t>
      </w:r>
      <w:r w:rsidR="0064122E" w:rsidRPr="00DE1E8C">
        <w:rPr>
          <w:bCs/>
          <w:iCs/>
          <w:lang w:val="en-GB"/>
        </w:rPr>
        <w:t xml:space="preserve">n this respect, </w:t>
      </w:r>
      <w:r w:rsidR="00090D83" w:rsidRPr="00DE1E8C">
        <w:rPr>
          <w:bCs/>
          <w:iCs/>
          <w:lang w:val="en-GB"/>
        </w:rPr>
        <w:t>the</w:t>
      </w:r>
      <w:r w:rsidR="0078654D" w:rsidRPr="00DE1E8C">
        <w:rPr>
          <w:bCs/>
          <w:iCs/>
          <w:lang w:val="en-GB"/>
        </w:rPr>
        <w:t xml:space="preserve"> </w:t>
      </w:r>
      <w:r w:rsidR="008E4A2C" w:rsidRPr="00DE1E8C">
        <w:rPr>
          <w:bCs/>
          <w:iCs/>
          <w:lang w:val="en-GB"/>
        </w:rPr>
        <w:t>hierarchical</w:t>
      </w:r>
      <w:r w:rsidR="00090D83" w:rsidRPr="00DE1E8C">
        <w:rPr>
          <w:bCs/>
          <w:iCs/>
          <w:lang w:val="en-GB"/>
        </w:rPr>
        <w:t xml:space="preserve"> </w:t>
      </w:r>
      <w:r w:rsidR="00090D83" w:rsidRPr="00DE1E8C">
        <w:rPr>
          <w:bCs/>
          <w:lang w:val="en-GB"/>
        </w:rPr>
        <w:t>drift diffusion model</w:t>
      </w:r>
      <w:r w:rsidR="006F1DD9" w:rsidRPr="00DE1E8C">
        <w:rPr>
          <w:bCs/>
          <w:lang w:val="en-GB"/>
        </w:rPr>
        <w:t xml:space="preserve"> </w:t>
      </w:r>
      <w:r w:rsidR="00090D83" w:rsidRPr="00DE1E8C">
        <w:rPr>
          <w:bCs/>
          <w:lang w:val="en-GB"/>
        </w:rPr>
        <w:t>offer</w:t>
      </w:r>
      <w:r w:rsidR="006F1DD9" w:rsidRPr="00DE1E8C">
        <w:rPr>
          <w:bCs/>
          <w:lang w:val="en-GB"/>
        </w:rPr>
        <w:t>s</w:t>
      </w:r>
      <w:r w:rsidR="00090D83" w:rsidRPr="00DE1E8C">
        <w:rPr>
          <w:bCs/>
          <w:lang w:val="en-GB"/>
        </w:rPr>
        <w:t xml:space="preserve"> a unique possibility to capture objective moment-by-moment </w:t>
      </w:r>
      <w:r w:rsidR="00444015" w:rsidRPr="00DE1E8C">
        <w:rPr>
          <w:bCs/>
          <w:lang w:val="en-GB"/>
        </w:rPr>
        <w:t>fluctuations</w:t>
      </w:r>
      <w:r w:rsidR="00090D83" w:rsidRPr="00DE1E8C">
        <w:rPr>
          <w:bCs/>
          <w:lang w:val="en-GB"/>
        </w:rPr>
        <w:t>, in contrast to other</w:t>
      </w:r>
      <w:r w:rsidR="00F64BB2" w:rsidRPr="00DE1E8C">
        <w:rPr>
          <w:bCs/>
          <w:lang w:val="en-GB"/>
        </w:rPr>
        <w:t xml:space="preserve"> neuropsychological tools that</w:t>
      </w:r>
      <w:r w:rsidR="00A10710" w:rsidRPr="00DE1E8C">
        <w:rPr>
          <w:bCs/>
          <w:lang w:val="en-GB"/>
        </w:rPr>
        <w:t xml:space="preserve"> summarise performance across trials. </w:t>
      </w:r>
      <w:r w:rsidR="00F64BB2" w:rsidRPr="00DE1E8C">
        <w:rPr>
          <w:bCs/>
          <w:lang w:val="en-GB"/>
        </w:rPr>
        <w:t xml:space="preserve">  </w:t>
      </w:r>
      <w:r w:rsidR="00090D83" w:rsidRPr="00DE1E8C">
        <w:rPr>
          <w:bCs/>
          <w:lang w:val="en-GB"/>
        </w:rPr>
        <w:t xml:space="preserve">  </w:t>
      </w:r>
      <w:r w:rsidR="00090D83" w:rsidRPr="00DE1E8C">
        <w:rPr>
          <w:bCs/>
          <w:iCs/>
          <w:lang w:val="en-GB"/>
        </w:rPr>
        <w:t xml:space="preserve"> </w:t>
      </w:r>
      <w:r w:rsidR="0078654D" w:rsidRPr="00DE1E8C">
        <w:rPr>
          <w:bCs/>
          <w:iCs/>
          <w:lang w:val="en-GB"/>
        </w:rPr>
        <w:t xml:space="preserve"> </w:t>
      </w:r>
      <w:r w:rsidR="00755DE2" w:rsidRPr="00DE1E8C">
        <w:rPr>
          <w:bCs/>
          <w:iCs/>
          <w:lang w:val="en-GB"/>
        </w:rPr>
        <w:t xml:space="preserve"> </w:t>
      </w:r>
    </w:p>
    <w:p w14:paraId="66114BEF" w14:textId="78B802AE" w:rsidR="009E0B07" w:rsidRPr="00DE1E8C" w:rsidRDefault="009E0B07" w:rsidP="00551517">
      <w:pPr>
        <w:spacing w:line="360" w:lineRule="auto"/>
        <w:contextualSpacing/>
        <w:jc w:val="both"/>
        <w:rPr>
          <w:bCs/>
          <w:iCs/>
          <w:lang w:val="en-GB"/>
        </w:rPr>
      </w:pPr>
    </w:p>
    <w:p w14:paraId="0B79E532" w14:textId="41C2AC71" w:rsidR="00C17458" w:rsidRPr="00DE1E8C" w:rsidRDefault="00C66B07" w:rsidP="00833A3B">
      <w:pPr>
        <w:spacing w:line="360" w:lineRule="auto"/>
        <w:contextualSpacing/>
        <w:jc w:val="both"/>
        <w:rPr>
          <w:bCs/>
          <w:iCs/>
          <w:lang w:val="en-GB"/>
        </w:rPr>
      </w:pPr>
      <w:r w:rsidRPr="00DE1E8C">
        <w:rPr>
          <w:bCs/>
          <w:iCs/>
          <w:lang w:val="en-GB"/>
        </w:rPr>
        <w:t xml:space="preserve">Our imaging analysis </w:t>
      </w:r>
      <w:r w:rsidR="00833A3B" w:rsidRPr="00DE1E8C">
        <w:rPr>
          <w:bCs/>
          <w:iCs/>
          <w:lang w:val="en-GB"/>
        </w:rPr>
        <w:t>showed that the drift rate</w:t>
      </w:r>
      <w:r w:rsidRPr="00DE1E8C">
        <w:rPr>
          <w:bCs/>
          <w:iCs/>
          <w:lang w:val="en-GB"/>
        </w:rPr>
        <w:t xml:space="preserve"> was </w:t>
      </w:r>
      <w:r w:rsidR="00CA4C4A" w:rsidRPr="00DE1E8C">
        <w:rPr>
          <w:bCs/>
          <w:iCs/>
          <w:lang w:val="en-GB"/>
        </w:rPr>
        <w:t>strongly</w:t>
      </w:r>
      <w:r w:rsidR="00833A3B" w:rsidRPr="00DE1E8C">
        <w:rPr>
          <w:bCs/>
          <w:iCs/>
          <w:lang w:val="en-GB"/>
        </w:rPr>
        <w:t xml:space="preserve"> related to trial-by-trial</w:t>
      </w:r>
      <w:r w:rsidRPr="00DE1E8C">
        <w:rPr>
          <w:bCs/>
          <w:iCs/>
          <w:lang w:val="en-GB"/>
        </w:rPr>
        <w:t xml:space="preserve"> </w:t>
      </w:r>
      <w:r w:rsidR="00833A3B" w:rsidRPr="00DE1E8C">
        <w:rPr>
          <w:bCs/>
          <w:iCs/>
          <w:lang w:val="en-GB"/>
        </w:rPr>
        <w:t xml:space="preserve">fluctuations in BOLD activity </w:t>
      </w:r>
      <w:r w:rsidRPr="00DE1E8C">
        <w:rPr>
          <w:bCs/>
          <w:iCs/>
          <w:lang w:val="en-GB"/>
        </w:rPr>
        <w:t xml:space="preserve">in the dorsal attention network for </w:t>
      </w:r>
      <w:r w:rsidR="00BA3782" w:rsidRPr="00DE1E8C">
        <w:rPr>
          <w:bCs/>
          <w:iCs/>
          <w:lang w:val="en-GB"/>
        </w:rPr>
        <w:t>all</w:t>
      </w:r>
      <w:r w:rsidR="0089234E" w:rsidRPr="00DE1E8C">
        <w:rPr>
          <w:bCs/>
          <w:iCs/>
          <w:lang w:val="en-GB"/>
        </w:rPr>
        <w:t xml:space="preserve"> three </w:t>
      </w:r>
      <w:r w:rsidRPr="00DE1E8C">
        <w:rPr>
          <w:bCs/>
          <w:iCs/>
          <w:lang w:val="en-GB"/>
        </w:rPr>
        <w:t xml:space="preserve">groups. </w:t>
      </w:r>
      <w:r w:rsidR="00F87193" w:rsidRPr="00DE1E8C">
        <w:rPr>
          <w:bCs/>
          <w:iCs/>
          <w:lang w:val="en-GB"/>
        </w:rPr>
        <w:t>That is, i</w:t>
      </w:r>
      <w:r w:rsidR="0077287A" w:rsidRPr="00DE1E8C">
        <w:rPr>
          <w:bCs/>
          <w:iCs/>
          <w:lang w:val="en-GB"/>
        </w:rPr>
        <w:t>ncreased</w:t>
      </w:r>
      <w:r w:rsidR="00E86A14" w:rsidRPr="00DE1E8C">
        <w:rPr>
          <w:bCs/>
          <w:iCs/>
          <w:lang w:val="en-GB"/>
        </w:rPr>
        <w:t xml:space="preserve"> BOLD activation within the dorsal attention network w</w:t>
      </w:r>
      <w:r w:rsidR="0077287A" w:rsidRPr="00DE1E8C">
        <w:rPr>
          <w:bCs/>
          <w:iCs/>
          <w:lang w:val="en-GB"/>
        </w:rPr>
        <w:t>as</w:t>
      </w:r>
      <w:r w:rsidR="00E86A14" w:rsidRPr="00DE1E8C">
        <w:rPr>
          <w:bCs/>
          <w:iCs/>
          <w:lang w:val="en-GB"/>
        </w:rPr>
        <w:t xml:space="preserve"> associated with a faster drift rate</w:t>
      </w:r>
      <w:r w:rsidR="0089234E" w:rsidRPr="00DE1E8C">
        <w:rPr>
          <w:bCs/>
          <w:iCs/>
          <w:lang w:val="en-GB"/>
        </w:rPr>
        <w:t xml:space="preserve"> – </w:t>
      </w:r>
      <w:r w:rsidR="0029427A" w:rsidRPr="00DE1E8C">
        <w:rPr>
          <w:bCs/>
          <w:iCs/>
          <w:lang w:val="en-GB"/>
        </w:rPr>
        <w:t xml:space="preserve">and </w:t>
      </w:r>
      <w:r w:rsidR="0089234E" w:rsidRPr="00DE1E8C">
        <w:rPr>
          <w:bCs/>
          <w:iCs/>
          <w:lang w:val="en-GB"/>
        </w:rPr>
        <w:t xml:space="preserve">this relationship was preserved in both the Alzheimer’s disease and Lewy body dementia groups. </w:t>
      </w:r>
      <w:r w:rsidR="00C710B5" w:rsidRPr="00DE1E8C">
        <w:rPr>
          <w:bCs/>
          <w:iCs/>
          <w:lang w:val="en-GB"/>
        </w:rPr>
        <w:t>Anatomically, the dorsal attention ne</w:t>
      </w:r>
      <w:r w:rsidR="00C95E67" w:rsidRPr="00DE1E8C">
        <w:rPr>
          <w:bCs/>
          <w:iCs/>
          <w:lang w:val="en-GB"/>
        </w:rPr>
        <w:t xml:space="preserve">twork </w:t>
      </w:r>
      <w:r w:rsidR="00760AE6" w:rsidRPr="00DE1E8C">
        <w:rPr>
          <w:bCs/>
          <w:iCs/>
          <w:lang w:val="en-GB"/>
        </w:rPr>
        <w:t>overlaps with frontal eye fields and the intraparietal sulcus, which i</w:t>
      </w:r>
      <w:r w:rsidR="00FD2B2C" w:rsidRPr="00DE1E8C">
        <w:rPr>
          <w:bCs/>
          <w:iCs/>
          <w:lang w:val="en-GB"/>
        </w:rPr>
        <w:t>s a</w:t>
      </w:r>
      <w:r w:rsidR="00760AE6" w:rsidRPr="00DE1E8C">
        <w:rPr>
          <w:bCs/>
          <w:iCs/>
          <w:lang w:val="en-GB"/>
        </w:rPr>
        <w:t xml:space="preserve"> human homologue of the </w:t>
      </w:r>
      <w:r w:rsidR="00FD2B2C" w:rsidRPr="00DE1E8C">
        <w:rPr>
          <w:bCs/>
          <w:iCs/>
          <w:lang w:val="en-GB"/>
        </w:rPr>
        <w:t xml:space="preserve">monkey </w:t>
      </w:r>
      <w:r w:rsidR="00760AE6" w:rsidRPr="00DE1E8C">
        <w:rPr>
          <w:bCs/>
          <w:iCs/>
          <w:lang w:val="en-GB"/>
        </w:rPr>
        <w:t>lateral intraparietal region</w:t>
      </w:r>
      <w:r w:rsidR="00FD2B2C" w:rsidRPr="00DE1E8C">
        <w:rPr>
          <w:bCs/>
          <w:iCs/>
          <w:lang w:val="en-GB"/>
        </w:rPr>
        <w:t xml:space="preserve"> </w:t>
      </w:r>
      <w:r w:rsidR="00FA5C44" w:rsidRPr="00DE1E8C">
        <w:rPr>
          <w:bCs/>
          <w:iCs/>
          <w:lang w:val="en-GB"/>
        </w:rPr>
        <w:fldChar w:fldCharType="begin"/>
      </w:r>
      <w:r w:rsidR="00AD1F64" w:rsidRPr="00DE1E8C">
        <w:rPr>
          <w:bCs/>
          <w:iCs/>
          <w:lang w:val="en-GB"/>
        </w:rPr>
        <w:instrText xml:space="preserve"> ADDIN ZOTERO_ITEM CSL_CITATION {"citationID":"a20eniuhp97","properties":{"formattedCitation":"(Grefkes and Fink, 2005)","plainCitation":"(Grefkes and Fink, 2005)","noteIndex":0},"citationItems":[{"id":14378,"uris":["http://zotero.org/users/local/xUwQuTPV/items/7VAPZEY6"],"uri":["http://zotero.org/users/local/xUwQuTPV/items/7VAPZEY6"],"itemData":{"id":14378,"type":"article-journal","abstract":"In macaque monkeys, the posterior parietal cortex (PPC) is concerned with the integration of multimodal information for constructing a spatial representation of the external world (in relation to the macaque's body or parts thereof), and planning and executing object-centred movements. The areas within the intraparietal sulcus (IPS), in particular, serve as interfaces between the perceptive and motor systems for controlling arm and eye movements in space. We review here the latest evidence for the existence of the IPS areas AIP (anterior intraparietal area), VIP (ventral intraparietal area), MIP (medial intraparietal area), LIP (lateral intraparietal area) and CIP (caudal intraparietal area) in macaques, and discuss putative human equivalents as assessed with functional magnetic resonance imaging. The data suggest that anterior parts of the IPS comprising areas AIP and VIP are relatively well preserved across species. By contrast, posterior areas such as area LIP and CIP have been found more medially in humans, possibly reflecting differences in the evolution of the dorsal visual stream and the inferior parietal lobule. Despite interspecies differences in the precise functional anatomy of the IPS areas, the functional relevance of this sulcus for visuomotor tasks comprising target selections for arm and eye movements, object manipulation and visuospatial attention is similar in humans and macaques, as is also suggested by studies of neurological deficits (apraxia, neglect, Bálint's syndrome) resulting from lesions to this region.","container-title":"Journal of Anatomy","DOI":"10.1111/j.1469-7580.2005.00426.x","ISSN":"1469-7580","issue":"1","language":"en","note":"_eprint: https://onlinelibrary.wiley.com/doi/pdf/10.1111/j.1469-7580.2005.00426.x","page":"3-17","source":"Wiley Online Library","title":"The functional organization of the intraparietal sulcus in humans and monkeys","title-short":"REVIEW","volume":"207","author":[{"family":"Grefkes","given":"Christian"},{"family":"Fink","given":"Gereon R."}],"issued":{"date-parts":[["2005"]]}}}],"schema":"https://github.com/citation-style-language/schema/raw/master/csl-citation.json"} </w:instrText>
      </w:r>
      <w:r w:rsidR="00FA5C44" w:rsidRPr="00DE1E8C">
        <w:rPr>
          <w:bCs/>
          <w:iCs/>
          <w:lang w:val="en-GB"/>
        </w:rPr>
        <w:fldChar w:fldCharType="separate"/>
      </w:r>
      <w:r w:rsidR="00AD1F64" w:rsidRPr="00DE1E8C">
        <w:rPr>
          <w:lang w:val="en-GB"/>
        </w:rPr>
        <w:t>(Grefkes and Fink, 2005)</w:t>
      </w:r>
      <w:r w:rsidR="00FA5C44" w:rsidRPr="00DE1E8C">
        <w:rPr>
          <w:bCs/>
          <w:iCs/>
          <w:lang w:val="en-GB"/>
        </w:rPr>
        <w:fldChar w:fldCharType="end"/>
      </w:r>
      <w:r w:rsidR="00FA5C44" w:rsidRPr="00DE1E8C">
        <w:rPr>
          <w:bCs/>
          <w:iCs/>
          <w:lang w:val="en-GB"/>
        </w:rPr>
        <w:t xml:space="preserve">, and therefore the network </w:t>
      </w:r>
      <w:r w:rsidR="00FA5C44" w:rsidRPr="00DE1E8C">
        <w:rPr>
          <w:bCs/>
          <w:iCs/>
          <w:lang w:val="en-GB"/>
        </w:rPr>
        <w:lastRenderedPageBreak/>
        <w:t>overlaps with</w:t>
      </w:r>
      <w:r w:rsidR="005110EE" w:rsidRPr="00DE1E8C">
        <w:rPr>
          <w:bCs/>
          <w:iCs/>
          <w:lang w:val="en-GB"/>
        </w:rPr>
        <w:t xml:space="preserve"> regions</w:t>
      </w:r>
      <w:r w:rsidR="00FA5C44" w:rsidRPr="00DE1E8C">
        <w:rPr>
          <w:bCs/>
          <w:iCs/>
          <w:lang w:val="en-GB"/>
        </w:rPr>
        <w:t xml:space="preserve"> previously identified </w:t>
      </w:r>
      <w:r w:rsidR="005110EE" w:rsidRPr="00DE1E8C">
        <w:rPr>
          <w:bCs/>
          <w:iCs/>
          <w:lang w:val="en-GB"/>
        </w:rPr>
        <w:t>as showing</w:t>
      </w:r>
      <w:r w:rsidR="006E2630" w:rsidRPr="00DE1E8C">
        <w:rPr>
          <w:bCs/>
          <w:iCs/>
          <w:lang w:val="en-GB"/>
        </w:rPr>
        <w:t xml:space="preserve"> ramping neuronal activity during evidence accumulation</w:t>
      </w:r>
      <w:r w:rsidR="00341555" w:rsidRPr="00DE1E8C">
        <w:rPr>
          <w:bCs/>
          <w:iCs/>
          <w:lang w:val="en-GB"/>
        </w:rPr>
        <w:t xml:space="preserve"> </w:t>
      </w:r>
      <w:r w:rsidR="00013381" w:rsidRPr="00DE1E8C">
        <w:rPr>
          <w:bCs/>
          <w:lang w:val="en-GB"/>
        </w:rPr>
        <w:fldChar w:fldCharType="begin"/>
      </w:r>
      <w:r w:rsidR="00E805F6" w:rsidRPr="00DE1E8C">
        <w:rPr>
          <w:bCs/>
          <w:lang w:val="en-GB"/>
        </w:rPr>
        <w:instrText xml:space="preserve"> ADDIN ZOTERO_ITEM CSL_CITATION {"citationID":"a1mfikkar7d","properties":{"formattedCitation":"(Shadlen and Newsome, 2001; Roitman and Shadlen, 2002; Ding and Gold, 2012)","plainCitation":"(Shadlen and Newsome, 2001; Roitman and Shadlen, 2002; Ding and Gold, 2012)","noteIndex":0},"citationItems":[{"id":14375,"uris":["http://zotero.org/users/local/xUwQuTPV/items/H5ZLJXDG"],"uri":["http://zotero.org/users/local/xUwQuTPV/items/H5ZLJXDG"],"itemData":{"id":14375,"type":"article-journal","abstract":"We recorded the activity of single neurons in the posterior parietal cortex (area LIP) of two rhesus monkeys while they discriminated the direction of motion in random-dot visual stimuli. The visual task was similar to a motion discrimination task that has been used in previous investigations of motion-sensitive regions of the extrastriate cortex. The monkeys were trained to decide whether the direction of motion was toward one of two choice targets that appeared on either side of the random-dot stimulus. At the end of the trial, the monkeys reported their direction judgment by making an eye movement to the appropriate target. We studied neurons in LIP that exhibited spatially selective persistent activity during delayed saccadic eye movement tasks. These neurons are thought to carry high-level signals appropriate for identifying salient visual targets and for guiding saccadic eye movements. We arranged the motion discrimination task so that one of the choice targets was in the LIP neuron's response field (RF) while the other target was positioned well away from the RF. During motion viewing, neurons in LIP altered their firing rate in a manner that predicted the saccadic eye movement that the monkey would make at the end of the trial. The activity thus predicted the monkey's judgment of motion direction. This predictive activity began early in the motion-viewing period and became increasingly reliable as the monkey viewed the random-dot motion. The neural activity predicted the monkey's direction judgment on both easy and difficult trials (strong and weak motion), whether or not the judgment was correct. In addition, the timing and magnitude of the response was affected by the strength of the motion signal in the stimulus. When the direction of motion was toward the RF, stronger motion led to larger neural responses earlier in the motion-viewing period. When motion was away from the RF, stronger motion led to greater suppression of ongoing activity. Thus the activity of single neurons in area LIP reflects both the direction of an impending gaze shift and the quality of the sensory information that instructs such a response. The time course of the neural response suggests that LIP accumulates sensory signals relevant to the selection of a target for an eye movement.","container-title":"Journal of Neurophysiology","DOI":"10.1152/jn.2001.86.4.1916","ISSN":"0022-3077","issue":"4","note":"publisher: American Physiological Society","page":"1916-1936","source":"journals.physiology.org (Atypon)","title":"Neural Basis of a Perceptual Decision in the Parietal Cortex (Area LIP) of the Rhesus Monkey","volume":"86","author":[{"family":"Shadlen","given":"Michael N."},{"family":"Newsome","given":"William T."}],"issued":{"date-parts":[["2001",10,1]]}}},{"id":14366,"uris":["http://zotero.org/users/local/xUwQuTPV/items/Q7JEZPVA"],"uri":["http://zotero.org/users/local/xUwQuTPV/items/Q7JEZPVA"],"itemData":{"id":14366,"type":"article-journal","container-title":"The Journal of Neuroscience","DOI":"10.1523/JNEUROSCI.22-21-09475.2002","ISSN":"0270-6474, 1529-2401","issue":"21","journalAbbreviation":"J. Neurosci.","language":"en","page":"9475-9489","source":"DOI.org (Crossref)","title":"Response of Neurons in the Lateral Intraparietal Area during a Combined Visual Discrimination Reaction Time Task","volume":"22","author":[{"family":"Roitman","given":"Jamie D."},{"family":"Shadlen","given":"Michael N."}],"issued":{"date-parts":[["2002",11,1]]}}},{"id":14367,"uris":["http://zotero.org/users/local/xUwQuTPV/items/ERIEW5HR"],"uri":["http://zotero.org/users/local/xUwQuTPV/items/ERIEW5HR"],"itemData":{"id":14367,"type":"article-journal","abstract":"Abstract.  Perceptual decision making requires a complex set of computations to implement, evaluate, and adjust the conversion of sensory input into a categoric","container-title":"Cerebral Cortex","DOI":"10.1093/cercor/bhr178","ISSN":"1047-3211","issue":"5","journalAbbreviation":"Cereb Cortex","language":"en","note":"publisher: Oxford Academic","page":"1052-1067","source":"academic.oup.com","title":"Neural Correlates of Perceptual Decision Making before, during, and after Decision Commitment in Monkey Frontal Eye Field","volume":"22","author":[{"family":"Ding","given":"Long"},{"family":"Gold","given":"Joshua I."}],"issued":{"date-parts":[["2012",5,1]]}}}],"schema":"https://github.com/citation-style-language/schema/raw/master/csl-citation.json"} </w:instrText>
      </w:r>
      <w:r w:rsidR="00013381" w:rsidRPr="00DE1E8C">
        <w:rPr>
          <w:bCs/>
          <w:lang w:val="en-GB"/>
        </w:rPr>
        <w:fldChar w:fldCharType="separate"/>
      </w:r>
      <w:r w:rsidR="00E805F6" w:rsidRPr="00DE1E8C">
        <w:rPr>
          <w:lang w:val="en-GB"/>
        </w:rPr>
        <w:t>(Shadlen and Newsome, 2001; Roitman and Shadlen, 2002; Ding and Gold, 2012)</w:t>
      </w:r>
      <w:r w:rsidR="00013381" w:rsidRPr="00DE1E8C">
        <w:rPr>
          <w:bCs/>
          <w:lang w:val="en-GB"/>
        </w:rPr>
        <w:fldChar w:fldCharType="end"/>
      </w:r>
      <w:r w:rsidR="00013381" w:rsidRPr="00DE1E8C">
        <w:rPr>
          <w:bCs/>
          <w:lang w:val="en-GB"/>
        </w:rPr>
        <w:t>.</w:t>
      </w:r>
      <w:r w:rsidR="007444EB" w:rsidRPr="00DE1E8C">
        <w:rPr>
          <w:bCs/>
          <w:lang w:val="en-GB"/>
        </w:rPr>
        <w:t xml:space="preserve"> </w:t>
      </w:r>
    </w:p>
    <w:p w14:paraId="4A39B9C3" w14:textId="77777777" w:rsidR="00C17458" w:rsidRPr="00DE1E8C" w:rsidRDefault="00C17458" w:rsidP="00833A3B">
      <w:pPr>
        <w:spacing w:line="360" w:lineRule="auto"/>
        <w:contextualSpacing/>
        <w:jc w:val="both"/>
        <w:rPr>
          <w:bCs/>
          <w:lang w:val="en-GB"/>
        </w:rPr>
      </w:pPr>
    </w:p>
    <w:p w14:paraId="08F43BE2" w14:textId="025C99B8" w:rsidR="004D19F4" w:rsidRPr="00DE1E8C" w:rsidRDefault="007444EB" w:rsidP="004D19F4">
      <w:pPr>
        <w:spacing w:line="360" w:lineRule="auto"/>
        <w:contextualSpacing/>
        <w:jc w:val="both"/>
        <w:rPr>
          <w:bCs/>
          <w:lang w:val="en-GB"/>
        </w:rPr>
      </w:pPr>
      <w:r w:rsidRPr="00DE1E8C">
        <w:rPr>
          <w:bCs/>
          <w:lang w:val="en-GB"/>
        </w:rPr>
        <w:t>The positive relationship between drift rate and BOLD activity in the dorsal attention network is</w:t>
      </w:r>
      <w:r w:rsidR="0071617D" w:rsidRPr="00DE1E8C">
        <w:rPr>
          <w:bCs/>
          <w:lang w:val="en-GB"/>
        </w:rPr>
        <w:t xml:space="preserve"> </w:t>
      </w:r>
      <w:r w:rsidR="00B64EE8" w:rsidRPr="00DE1E8C">
        <w:rPr>
          <w:bCs/>
          <w:lang w:val="en-GB"/>
        </w:rPr>
        <w:t xml:space="preserve">in keeping with single-unit studies where firing rates increase </w:t>
      </w:r>
      <w:r w:rsidR="000D4746" w:rsidRPr="00DE1E8C">
        <w:rPr>
          <w:bCs/>
          <w:lang w:val="en-GB"/>
        </w:rPr>
        <w:t>as information is integrated towards a decision. However,</w:t>
      </w:r>
      <w:r w:rsidR="007F1E3F" w:rsidRPr="00DE1E8C">
        <w:rPr>
          <w:bCs/>
          <w:lang w:val="en-GB"/>
        </w:rPr>
        <w:t xml:space="preserve"> given the comparative slowness of the BOLD signal</w:t>
      </w:r>
      <w:r w:rsidR="000E6913" w:rsidRPr="00DE1E8C">
        <w:rPr>
          <w:bCs/>
          <w:lang w:val="en-GB"/>
        </w:rPr>
        <w:t>,</w:t>
      </w:r>
      <w:r w:rsidR="007F1E3F" w:rsidRPr="00DE1E8C">
        <w:rPr>
          <w:bCs/>
          <w:lang w:val="en-GB"/>
        </w:rPr>
        <w:t xml:space="preserve"> and the pool</w:t>
      </w:r>
      <w:r w:rsidR="00052CE2" w:rsidRPr="00DE1E8C">
        <w:rPr>
          <w:bCs/>
          <w:lang w:val="en-GB"/>
        </w:rPr>
        <w:t xml:space="preserve">ed neuronal populations it represents, </w:t>
      </w:r>
      <w:r w:rsidR="0080471C" w:rsidRPr="00DE1E8C">
        <w:rPr>
          <w:bCs/>
          <w:lang w:val="en-GB"/>
        </w:rPr>
        <w:t xml:space="preserve">how evidence </w:t>
      </w:r>
      <w:r w:rsidR="00596187" w:rsidRPr="00DE1E8C">
        <w:rPr>
          <w:bCs/>
          <w:lang w:val="en-GB"/>
        </w:rPr>
        <w:t>accumulation</w:t>
      </w:r>
      <w:r w:rsidR="00CF77D1" w:rsidRPr="00DE1E8C">
        <w:rPr>
          <w:bCs/>
          <w:lang w:val="en-GB"/>
        </w:rPr>
        <w:t xml:space="preserve"> measured </w:t>
      </w:r>
      <w:r w:rsidR="0022402E" w:rsidRPr="00DE1E8C">
        <w:rPr>
          <w:bCs/>
          <w:lang w:val="en-GB"/>
        </w:rPr>
        <w:t>by</w:t>
      </w:r>
      <w:r w:rsidR="00CF77D1" w:rsidRPr="00DE1E8C">
        <w:rPr>
          <w:bCs/>
          <w:lang w:val="en-GB"/>
        </w:rPr>
        <w:t xml:space="preserve"> single-unit recordings</w:t>
      </w:r>
      <w:r w:rsidR="00596187" w:rsidRPr="00DE1E8C">
        <w:rPr>
          <w:bCs/>
          <w:lang w:val="en-GB"/>
        </w:rPr>
        <w:t xml:space="preserve"> </w:t>
      </w:r>
      <w:r w:rsidR="000E6913" w:rsidRPr="00DE1E8C">
        <w:rPr>
          <w:bCs/>
          <w:lang w:val="en-GB"/>
        </w:rPr>
        <w:t>should</w:t>
      </w:r>
      <w:r w:rsidR="00596187" w:rsidRPr="00DE1E8C">
        <w:rPr>
          <w:bCs/>
          <w:lang w:val="en-GB"/>
        </w:rPr>
        <w:t xml:space="preserve"> be expressed in fMRI signals remains</w:t>
      </w:r>
      <w:r w:rsidR="00CF77D1" w:rsidRPr="00DE1E8C">
        <w:rPr>
          <w:bCs/>
          <w:lang w:val="en-GB"/>
        </w:rPr>
        <w:t xml:space="preserve"> a matter of debate </w:t>
      </w:r>
      <w:r w:rsidR="00743B3F" w:rsidRPr="00DE1E8C">
        <w:rPr>
          <w:bCs/>
          <w:lang w:val="en-GB"/>
        </w:rPr>
        <w:fldChar w:fldCharType="begin"/>
      </w:r>
      <w:r w:rsidR="00E805F6" w:rsidRPr="00DE1E8C">
        <w:rPr>
          <w:bCs/>
          <w:lang w:val="en-GB"/>
        </w:rPr>
        <w:instrText xml:space="preserve"> ADDIN ZOTERO_ITEM CSL_CITATION {"citationID":"a1aafoamba8","properties":{"formattedCitation":"(Mulder {\\i{}et al.}, 2014; Hanks and Summerfield, 2017; O\\uc0\\u8217{}Connell {\\i{}et al.}, 2018)","plainCitation":"(Mulder et al., 2014; Hanks and Summerfield, 2017; O’Connell et al., 2018)","noteIndex":0},"citationItems":[{"id":14292,"uris":["http://zotero.org/users/local/xUwQuTPV/items/WT8UYQYK"],"uri":["http://zotero.org/users/local/xUwQuTPV/items/WT8UYQYK"],"itemData":{"id":14292,"type":"article-journal","abstract":"In this review we summarize ﬁndings published over the past 10 years focusing on the neural correlates of perceptual decision-making. Importantly, this review highlights only studies that employ a model-based approach, i.e., they use quantitative cognitive models in combination with neuroscientiﬁc data. The model-based approach allows capturing latent decision-making processes such as strategic adjustments of response thresholds and relate these to interindividual diﬀerences or single-trial blood-oxygenated level dependent (BOLD) functional Magnetic Resonance Imaging (fMRI) responses. The review shows that diﬀerent cortico-subcortical networks are responsive to diﬀerent latent decision-making processes. More concretely, we show that evidence accumulation is associated with a frontoparietal network which is partly overlapping with choice bias in perceptual decision making. The setting of decision thresholds is associated with fronto-basal ganglia networks which are also found for choice bias. In sum, we argue that the model-based approach holds great promises to understand the neural correlates of latent cognitive processes. Ó 2014 IBRO. Published by Elsevier Ltd. All rights reserved.","container-title":"Neuroscience","DOI":"10.1016/j.neuroscience.2014.07.031","ISSN":"03064522","journalAbbreviation":"Neuroscience","language":"en","page":"872-884","source":"DOI.org (Crossref)","title":"Perceptual decision neurosciences – A model-based review","volume":"277","author":[{"family":"Mulder","given":"M.J."},{"family":"Maanen","given":"L.","non-dropping-particle":"van"},{"family":"Forstmann","given":"B.U."}],"issued":{"date-parts":[["2014",9]]}}},{"id":14286,"uris":["http://zotero.org/users/local/xUwQuTPV/items/WV5W88IK"],"uri":["http://zotero.org/users/local/xUwQuTPV/items/WV5W88IK"],"itemData":{"id":14286,"type":"article-journal","container-title":"Neuron","DOI":"10.1016/j.neuron.2016.12.003","ISSN":"08966273","issue":"1","journalAbbreviation":"Neuron","language":"en","page":"15-31","source":"DOI.org (Crossref)","title":"Perceptual Decision Making in Rodents, Monkeys, and Humans","volume":"93","author":[{"family":"Hanks","given":"Timothy D."},{"family":"Summerfield","given":"Christopher"}],"issued":{"date-parts":[["2017",1]]}}},{"id":14384,"uris":["http://zotero.org/users/local/xUwQuTPV/items/A556KK3Y"],"uri":["http://zotero.org/users/local/xUwQuTPV/items/A556KK3Y"],"itemData":{"id":14384,"type":"article-journal","container-title":"Trends in Neurosciences","DOI":"10.1016/j.tins.2018.06.005","ISSN":"01662236","issue":"11","journalAbbreviation":"Trends in Neurosciences","language":"en","page":"838-852","source":"DOI.org (Crossref)","title":"Bridging Neural and Computational Viewpoints on Perceptual Decision-Making","volume":"41","author":[{"family":"O’Connell","given":"Redmond G."},{"family":"Shadlen","given":"Michael N."},{"family":"Wong-Lin","given":"KongFatt"},{"family":"Kelly","given":"Simon P."}],"issued":{"date-parts":[["2018",11]]}}}],"schema":"https://github.com/citation-style-language/schema/raw/master/csl-citation.json"} </w:instrText>
      </w:r>
      <w:r w:rsidR="00743B3F" w:rsidRPr="00DE1E8C">
        <w:rPr>
          <w:bCs/>
          <w:lang w:val="en-GB"/>
        </w:rPr>
        <w:fldChar w:fldCharType="separate"/>
      </w:r>
      <w:r w:rsidR="00E805F6" w:rsidRPr="00DE1E8C">
        <w:rPr>
          <w:lang w:val="en-GB"/>
        </w:rPr>
        <w:t xml:space="preserve">(Mulder </w:t>
      </w:r>
      <w:r w:rsidR="00E805F6" w:rsidRPr="00DE1E8C">
        <w:rPr>
          <w:i/>
          <w:iCs/>
          <w:lang w:val="en-GB"/>
        </w:rPr>
        <w:t>et al.</w:t>
      </w:r>
      <w:r w:rsidR="00E805F6" w:rsidRPr="00DE1E8C">
        <w:rPr>
          <w:lang w:val="en-GB"/>
        </w:rPr>
        <w:t xml:space="preserve">, 2014; Hanks and Summerfield, 2017; O’Connell </w:t>
      </w:r>
      <w:r w:rsidR="00E805F6" w:rsidRPr="00DE1E8C">
        <w:rPr>
          <w:i/>
          <w:iCs/>
          <w:lang w:val="en-GB"/>
        </w:rPr>
        <w:t>et al.</w:t>
      </w:r>
      <w:r w:rsidR="00E805F6" w:rsidRPr="00DE1E8C">
        <w:rPr>
          <w:lang w:val="en-GB"/>
        </w:rPr>
        <w:t>, 2018)</w:t>
      </w:r>
      <w:r w:rsidR="00743B3F" w:rsidRPr="00DE1E8C">
        <w:rPr>
          <w:bCs/>
          <w:lang w:val="en-GB"/>
        </w:rPr>
        <w:fldChar w:fldCharType="end"/>
      </w:r>
      <w:r w:rsidR="00743B3F" w:rsidRPr="00DE1E8C">
        <w:rPr>
          <w:bCs/>
          <w:lang w:val="en-GB"/>
        </w:rPr>
        <w:t>.</w:t>
      </w:r>
      <w:r w:rsidR="004A2EA2" w:rsidRPr="00DE1E8C">
        <w:rPr>
          <w:bCs/>
          <w:lang w:val="en-GB"/>
        </w:rPr>
        <w:t xml:space="preserve"> </w:t>
      </w:r>
      <w:r w:rsidR="00756CE9" w:rsidRPr="00DE1E8C">
        <w:rPr>
          <w:bCs/>
          <w:lang w:val="en-GB"/>
        </w:rPr>
        <w:t xml:space="preserve">Indeed, </w:t>
      </w:r>
      <w:r w:rsidR="0048016B" w:rsidRPr="00DE1E8C">
        <w:rPr>
          <w:bCs/>
          <w:lang w:val="en-GB"/>
        </w:rPr>
        <w:t xml:space="preserve">while </w:t>
      </w:r>
      <w:r w:rsidR="00FD64A0" w:rsidRPr="00DE1E8C">
        <w:rPr>
          <w:bCs/>
          <w:lang w:val="en-GB"/>
        </w:rPr>
        <w:t xml:space="preserve">some studies have </w:t>
      </w:r>
      <w:r w:rsidR="00984078" w:rsidRPr="00DE1E8C">
        <w:rPr>
          <w:bCs/>
          <w:lang w:val="en-GB"/>
        </w:rPr>
        <w:t>related higher</w:t>
      </w:r>
      <w:r w:rsidR="008954D2" w:rsidRPr="00DE1E8C">
        <w:rPr>
          <w:bCs/>
          <w:lang w:val="en-GB"/>
        </w:rPr>
        <w:t xml:space="preserve"> BOLD</w:t>
      </w:r>
      <w:r w:rsidR="00984078" w:rsidRPr="00DE1E8C">
        <w:rPr>
          <w:bCs/>
          <w:lang w:val="en-GB"/>
        </w:rPr>
        <w:t xml:space="preserve"> responses </w:t>
      </w:r>
      <w:r w:rsidR="00F63DED" w:rsidRPr="00DE1E8C">
        <w:rPr>
          <w:bCs/>
          <w:lang w:val="en-GB"/>
        </w:rPr>
        <w:t>to</w:t>
      </w:r>
      <w:r w:rsidR="008954D2" w:rsidRPr="00DE1E8C">
        <w:rPr>
          <w:bCs/>
          <w:lang w:val="en-GB"/>
        </w:rPr>
        <w:t xml:space="preserve"> increas</w:t>
      </w:r>
      <w:r w:rsidR="001D03EE" w:rsidRPr="00DE1E8C">
        <w:rPr>
          <w:bCs/>
          <w:lang w:val="en-GB"/>
        </w:rPr>
        <w:t>ing evidence accumulation</w:t>
      </w:r>
      <w:r w:rsidR="00C837AE" w:rsidRPr="00DE1E8C">
        <w:rPr>
          <w:bCs/>
          <w:lang w:val="en-GB"/>
        </w:rPr>
        <w:t xml:space="preserve"> as we found</w:t>
      </w:r>
      <w:r w:rsidR="001D03EE" w:rsidRPr="00DE1E8C">
        <w:rPr>
          <w:bCs/>
          <w:lang w:val="en-GB"/>
        </w:rPr>
        <w:t xml:space="preserve"> </w:t>
      </w:r>
      <w:r w:rsidR="006A1778" w:rsidRPr="00DE1E8C">
        <w:rPr>
          <w:bCs/>
          <w:lang w:val="en-GB"/>
        </w:rPr>
        <w:fldChar w:fldCharType="begin"/>
      </w:r>
      <w:r w:rsidR="00E805F6" w:rsidRPr="00DE1E8C">
        <w:rPr>
          <w:bCs/>
          <w:lang w:val="en-GB"/>
        </w:rPr>
        <w:instrText xml:space="preserve"> ADDIN ZOTERO_ITEM CSL_CITATION {"citationID":"a1dp6r3qkjq","properties":{"formattedCitation":"(Heekeren {\\i{}et al.}, 2004; Philiastides and Sajda, 2007)","plainCitation":"(Heekeren et al., 2004; Philiastides and Sajda, 2007)","noteIndex":0},"citationItems":[{"id":14362,"uris":["http://zotero.org/users/local/xUwQuTPV/items/7V93M7P4"],"uri":["http://zotero.org/users/local/xUwQuTPV/items/7V93M7P4"],"itemData":{"id":14362,"type":"article-journal","abstract":"Findings from single-cell recording studies suggest that a comparison of the outputs of different pools of selectively tuned lower-level sensory neurons may be a general mechanism by which higher-level brain regions compute perceptual decisions. For example, when monkeys must decide whether a noisy field of dots is moving upward or downward, a decision can be formed by computing the difference in responses between lower-level neurons sensitive to upward motion and those sensitive to downward motion1,2,3,4. Here we use functional magnetic resonance imaging and a categorization task in which subjects decide whether an image presented is a face or a house to test whether a similar mechanism is also at work for more complex decisions in the human brain and, if so, where in the brain this computation might be performed. Activity within the left dorsolateral prefrontal cortex is greater during easy decisions than during difficult decisions, covaries with the difference signal between face- and house-selective regions in the ventral temporal cortex, and predicts behavioural performance in the categorization task. These findings show that even for complex object categories, the comparison of the outputs of different pools of selectively tuned neurons could be a general mechanism by which the human brain computes perceptual decisions.","container-title":"Nature","DOI":"10.1038/nature02966","ISSN":"1476-4687","issue":"7010","language":"en","note":"number: 7010\npublisher: Nature Publishing Group","page":"859-862","source":"www.nature.com","title":"A general mechanism for perceptual decision-making in the human brain","volume":"431","author":[{"family":"Heekeren","given":"H. R."},{"family":"Marrett","given":"S."},{"family":"Bandettini","given":"P. A."},{"family":"Ungerleider","given":"L. G."}],"issued":{"date-parts":[["2004",10]]}}},{"id":14393,"uris":["http://zotero.org/users/local/xUwQuTPV/items/4TPRTQFJ"],"uri":["http://zotero.org/users/local/xUwQuTPV/items/4TPRTQFJ"],"itemData":{"id":14393,"type":"article-journal","container-title":"Journal of Neuroscience","DOI":"10.1523/JNEUROSCI.3540-07.2007","ISSN":"0270-6474, 1529-2401","issue":"48","journalAbbreviation":"Journal of Neuroscience","language":"en","page":"13082-13091","source":"DOI.org (Crossref)","title":"EEG-Informed fMRI Reveals Spatiotemporal Characteristics of Perceptual Decision Making","volume":"27","author":[{"family":"Philiastides","given":"M. G."},{"family":"Sajda","given":"P."}],"issued":{"date-parts":[["2007",11,28]]}}}],"schema":"https://github.com/citation-style-language/schema/raw/master/csl-citation.json"} </w:instrText>
      </w:r>
      <w:r w:rsidR="006A1778" w:rsidRPr="00DE1E8C">
        <w:rPr>
          <w:bCs/>
          <w:lang w:val="en-GB"/>
        </w:rPr>
        <w:fldChar w:fldCharType="separate"/>
      </w:r>
      <w:r w:rsidR="00E805F6" w:rsidRPr="00DE1E8C">
        <w:rPr>
          <w:lang w:val="en-GB"/>
        </w:rPr>
        <w:t xml:space="preserve">(Heekeren </w:t>
      </w:r>
      <w:r w:rsidR="00E805F6" w:rsidRPr="00DE1E8C">
        <w:rPr>
          <w:i/>
          <w:iCs/>
          <w:lang w:val="en-GB"/>
        </w:rPr>
        <w:t>et al.</w:t>
      </w:r>
      <w:r w:rsidR="00E805F6" w:rsidRPr="00DE1E8C">
        <w:rPr>
          <w:lang w:val="en-GB"/>
        </w:rPr>
        <w:t>, 2004; Philiastides and Sajda, 2007)</w:t>
      </w:r>
      <w:r w:rsidR="006A1778" w:rsidRPr="00DE1E8C">
        <w:rPr>
          <w:bCs/>
          <w:lang w:val="en-GB"/>
        </w:rPr>
        <w:fldChar w:fldCharType="end"/>
      </w:r>
      <w:r w:rsidR="006A1778" w:rsidRPr="00DE1E8C">
        <w:rPr>
          <w:bCs/>
          <w:lang w:val="en-GB"/>
        </w:rPr>
        <w:t>, others</w:t>
      </w:r>
      <w:r w:rsidR="0071245C" w:rsidRPr="00DE1E8C">
        <w:rPr>
          <w:bCs/>
          <w:lang w:val="en-GB"/>
        </w:rPr>
        <w:t xml:space="preserve"> have shown an inverse </w:t>
      </w:r>
      <w:r w:rsidR="00972D2C" w:rsidRPr="00DE1E8C">
        <w:rPr>
          <w:bCs/>
          <w:lang w:val="en-GB"/>
        </w:rPr>
        <w:t>relationship</w:t>
      </w:r>
      <w:r w:rsidR="0071245C" w:rsidRPr="00DE1E8C">
        <w:rPr>
          <w:bCs/>
          <w:lang w:val="en-GB"/>
        </w:rPr>
        <w:t xml:space="preserve"> between BOLD and the drift rate </w:t>
      </w:r>
      <w:r w:rsidR="00521BDF" w:rsidRPr="00DE1E8C">
        <w:rPr>
          <w:bCs/>
          <w:lang w:val="en-GB"/>
        </w:rPr>
        <w:fldChar w:fldCharType="begin"/>
      </w:r>
      <w:r w:rsidR="00E805F6" w:rsidRPr="00DE1E8C">
        <w:rPr>
          <w:bCs/>
          <w:lang w:val="en-GB"/>
        </w:rPr>
        <w:instrText xml:space="preserve"> ADDIN ZOTERO_ITEM CSL_CITATION {"citationID":"a17gdlgsmsd","properties":{"formattedCitation":"(Ho {\\i{}et al.}, 2009; Liu and Pleskac, 2011)","plainCitation":"(Ho et al., 2009; Liu and Pleskac, 2011)","noteIndex":0},"citationItems":[{"id":14353,"uris":["http://zotero.org/users/local/xUwQuTPV/items/JAEBGWYZ"],"uri":["http://zotero.org/users/local/xUwQuTPV/items/JAEBGWYZ"],"itemData":{"id":14353,"type":"article-journal","container-title":"Journal of Neuroscience","DOI":"10.1523/JNEUROSCI.5984-08.2009","ISSN":"0270-6474, 1529-2401","issue":"27","journalAbbreviation":"Journal of Neuroscience","language":"en","page":"8675-8687","source":"DOI.org (Crossref)","title":"Domain General Mechanisms of Perceptual Decision Making in Human Cortex","volume":"29","author":[{"family":"Ho","given":"T. C."},{"family":"Brown","given":"S."},{"family":"Serences","given":"J. T."}],"issued":{"date-parts":[["2009",7,8]]}}},{"id":14351,"uris":["http://zotero.org/users/local/xUwQuTPV/items/BJ8U52ZL"],"uri":["http://zotero.org/users/local/xUwQuTPV/items/BJ8U52ZL"],"itemData":{"id":14351,"type":"article-journal","abstract":"Sequential sampling models provide a useful framework for understanding human decision making. A key component of these models is an evidence accumulation process in which information is accrued over time to a threshold, at which point a choice is made. Previous neurophysiological studies on perceptual decision making have suggested accumulation occurs only in sensorimotor areas involved in making the action for the choice. Here we investigated the neural correlates of evidence accumulation in the human brain using functional magnetic resonance imaging (fMRI) while manipulating the quality of sensory evidence, the response modality, and the foreknowledge of the response modality. We trained subjects to perform a random dot motion direction discrimination task by either moving their eyes or pressing buttons to make their responses. In addition, they were cued about the response modality either in advance of the stimulus or after a delay. We isolated fMRI responses for perceptual decisions in both independently defined sensorimotor areas and task-defined nonsensorimotor areas. We found neural signatures of evidence accumulation, a higher fMRI response on low coherence trials than high coherence trials, primarily in saccade-related sensorimotor areas (frontal eye field and intraparietal sulcus) and nonsensorimotor areas in anterior insula and inferior frontal sulcus. Critically, such neural signatures did not depend on response modality or foreknowledge. These results help establish human brain areas involved in evidence accumulation and suggest that the neural mechanism for evidence accumulation is not specific to effectors. Instead, the neural system might accumulate evidence for particular stimulus features relevant to a perceptual task.","container-title":"Journal of Neurophysiology","DOI":"10.1152/jn.00413.2011","ISSN":"0022-3077, 1522-1598","issue":"5","journalAbbreviation":"Journal of Neurophysiology","language":"en","page":"2383-2398","source":"DOI.org (Crossref)","title":"Neural correlates of evidence accumulation in a perceptual decision task","volume":"106","author":[{"family":"Liu","given":"Taosheng"},{"family":"Pleskac","given":"Timothy J."}],"issued":{"date-parts":[["2011",11]]}}}],"schema":"https://github.com/citation-style-language/schema/raw/master/csl-citation.json"} </w:instrText>
      </w:r>
      <w:r w:rsidR="00521BDF" w:rsidRPr="00DE1E8C">
        <w:rPr>
          <w:bCs/>
          <w:lang w:val="en-GB"/>
        </w:rPr>
        <w:fldChar w:fldCharType="separate"/>
      </w:r>
      <w:r w:rsidR="00E805F6" w:rsidRPr="00DE1E8C">
        <w:rPr>
          <w:lang w:val="en-GB"/>
        </w:rPr>
        <w:t xml:space="preserve">(Ho </w:t>
      </w:r>
      <w:r w:rsidR="00E805F6" w:rsidRPr="00DE1E8C">
        <w:rPr>
          <w:i/>
          <w:iCs/>
          <w:lang w:val="en-GB"/>
        </w:rPr>
        <w:t>et al.</w:t>
      </w:r>
      <w:r w:rsidR="00E805F6" w:rsidRPr="00DE1E8C">
        <w:rPr>
          <w:lang w:val="en-GB"/>
        </w:rPr>
        <w:t>, 2009; Liu and Pleskac, 2011)</w:t>
      </w:r>
      <w:r w:rsidR="00521BDF" w:rsidRPr="00DE1E8C">
        <w:rPr>
          <w:bCs/>
          <w:lang w:val="en-GB"/>
        </w:rPr>
        <w:fldChar w:fldCharType="end"/>
      </w:r>
      <w:r w:rsidR="000B5D85" w:rsidRPr="00DE1E8C">
        <w:rPr>
          <w:bCs/>
          <w:lang w:val="en-GB"/>
        </w:rPr>
        <w:t>. The</w:t>
      </w:r>
      <w:r w:rsidR="00972D2C" w:rsidRPr="00DE1E8C">
        <w:rPr>
          <w:bCs/>
          <w:lang w:val="en-GB"/>
        </w:rPr>
        <w:t xml:space="preserve"> inverse relationship </w:t>
      </w:r>
      <w:r w:rsidR="00CD0B51" w:rsidRPr="00DE1E8C">
        <w:rPr>
          <w:bCs/>
          <w:lang w:val="en-GB"/>
        </w:rPr>
        <w:t xml:space="preserve">can be interpreted as </w:t>
      </w:r>
      <w:r w:rsidR="00C80222" w:rsidRPr="00DE1E8C">
        <w:rPr>
          <w:bCs/>
          <w:lang w:val="en-GB"/>
        </w:rPr>
        <w:t>BOLD reflect</w:t>
      </w:r>
      <w:r w:rsidR="00CD0B51" w:rsidRPr="00DE1E8C">
        <w:rPr>
          <w:bCs/>
          <w:lang w:val="en-GB"/>
        </w:rPr>
        <w:t>ing the pooled</w:t>
      </w:r>
      <w:r w:rsidR="00C80222" w:rsidRPr="00DE1E8C">
        <w:rPr>
          <w:bCs/>
          <w:lang w:val="en-GB"/>
        </w:rPr>
        <w:t xml:space="preserve"> activity</w:t>
      </w:r>
      <w:r w:rsidR="00CD0B51" w:rsidRPr="00DE1E8C">
        <w:rPr>
          <w:bCs/>
          <w:lang w:val="en-GB"/>
        </w:rPr>
        <w:t xml:space="preserve"> </w:t>
      </w:r>
      <w:r w:rsidR="00953786" w:rsidRPr="00DE1E8C">
        <w:rPr>
          <w:bCs/>
          <w:lang w:val="en-GB"/>
        </w:rPr>
        <w:t xml:space="preserve">of </w:t>
      </w:r>
      <w:r w:rsidR="00C80222" w:rsidRPr="00DE1E8C">
        <w:rPr>
          <w:bCs/>
          <w:lang w:val="en-GB"/>
        </w:rPr>
        <w:t>neurons</w:t>
      </w:r>
      <w:r w:rsidR="00CD0B51" w:rsidRPr="00DE1E8C">
        <w:rPr>
          <w:bCs/>
          <w:lang w:val="en-GB"/>
        </w:rPr>
        <w:t xml:space="preserve">, such </w:t>
      </w:r>
      <w:r w:rsidR="00C80222" w:rsidRPr="00DE1E8C">
        <w:rPr>
          <w:bCs/>
          <w:lang w:val="en-GB"/>
        </w:rPr>
        <w:t xml:space="preserve">that </w:t>
      </w:r>
      <w:r w:rsidR="006B7955" w:rsidRPr="00DE1E8C">
        <w:rPr>
          <w:bCs/>
          <w:lang w:val="en-GB"/>
        </w:rPr>
        <w:t>the highest aggregate activity will be observed when sensory evidence is weak</w:t>
      </w:r>
      <w:r w:rsidR="00CD0B51" w:rsidRPr="00DE1E8C">
        <w:rPr>
          <w:bCs/>
          <w:lang w:val="en-GB"/>
        </w:rPr>
        <w:t>/noisy</w:t>
      </w:r>
      <w:r w:rsidR="009B61CB" w:rsidRPr="00DE1E8C">
        <w:rPr>
          <w:bCs/>
          <w:lang w:val="en-GB"/>
        </w:rPr>
        <w:t xml:space="preserve"> and th</w:t>
      </w:r>
      <w:r w:rsidR="00522674" w:rsidRPr="00DE1E8C">
        <w:rPr>
          <w:bCs/>
          <w:lang w:val="en-GB"/>
        </w:rPr>
        <w:t>e</w:t>
      </w:r>
      <w:r w:rsidR="009B61CB" w:rsidRPr="00DE1E8C">
        <w:rPr>
          <w:bCs/>
          <w:lang w:val="en-GB"/>
        </w:rPr>
        <w:t xml:space="preserve"> build</w:t>
      </w:r>
      <w:r w:rsidR="00CD0B51" w:rsidRPr="00DE1E8C">
        <w:rPr>
          <w:bCs/>
          <w:lang w:val="en-GB"/>
        </w:rPr>
        <w:t>-</w:t>
      </w:r>
      <w:r w:rsidR="009B61CB" w:rsidRPr="00DE1E8C">
        <w:rPr>
          <w:bCs/>
          <w:lang w:val="en-GB"/>
        </w:rPr>
        <w:t>up of firing, although shallower,</w:t>
      </w:r>
      <w:r w:rsidR="00CD0B51" w:rsidRPr="00DE1E8C">
        <w:rPr>
          <w:bCs/>
          <w:lang w:val="en-GB"/>
        </w:rPr>
        <w:t xml:space="preserve"> will</w:t>
      </w:r>
      <w:r w:rsidR="0034432D" w:rsidRPr="00DE1E8C">
        <w:rPr>
          <w:bCs/>
          <w:lang w:val="en-GB"/>
        </w:rPr>
        <w:t xml:space="preserve"> be</w:t>
      </w:r>
      <w:r w:rsidR="00CD0B51" w:rsidRPr="00DE1E8C">
        <w:rPr>
          <w:bCs/>
          <w:lang w:val="en-GB"/>
        </w:rPr>
        <w:t xml:space="preserve"> </w:t>
      </w:r>
      <w:r w:rsidR="009B61CB" w:rsidRPr="00DE1E8C">
        <w:rPr>
          <w:bCs/>
          <w:lang w:val="en-GB"/>
        </w:rPr>
        <w:t>prolonged</w:t>
      </w:r>
      <w:r w:rsidR="00CD0B51" w:rsidRPr="00DE1E8C">
        <w:rPr>
          <w:bCs/>
          <w:lang w:val="en-GB"/>
        </w:rPr>
        <w:t xml:space="preserve"> with slower drift rates,</w:t>
      </w:r>
      <w:r w:rsidR="009B61CB" w:rsidRPr="00DE1E8C">
        <w:rPr>
          <w:bCs/>
          <w:lang w:val="en-GB"/>
        </w:rPr>
        <w:t xml:space="preserve"> </w:t>
      </w:r>
      <w:r w:rsidR="002A3FC1" w:rsidRPr="00DE1E8C">
        <w:rPr>
          <w:bCs/>
          <w:lang w:val="en-GB"/>
        </w:rPr>
        <w:t xml:space="preserve">resulting in increased </w:t>
      </w:r>
      <w:r w:rsidR="00554DE2" w:rsidRPr="00DE1E8C">
        <w:rPr>
          <w:bCs/>
          <w:lang w:val="en-GB"/>
        </w:rPr>
        <w:t xml:space="preserve">overall </w:t>
      </w:r>
      <w:r w:rsidR="002A3FC1" w:rsidRPr="00DE1E8C">
        <w:rPr>
          <w:bCs/>
          <w:lang w:val="en-GB"/>
        </w:rPr>
        <w:t>BOLD on those trials</w:t>
      </w:r>
      <w:r w:rsidR="00B366E0" w:rsidRPr="00DE1E8C">
        <w:rPr>
          <w:bCs/>
          <w:lang w:val="en-GB"/>
        </w:rPr>
        <w:t xml:space="preserve"> </w:t>
      </w:r>
      <w:r w:rsidR="00B366E0" w:rsidRPr="00DE1E8C">
        <w:rPr>
          <w:bCs/>
          <w:lang w:val="en-GB"/>
        </w:rPr>
        <w:fldChar w:fldCharType="begin"/>
      </w:r>
      <w:r w:rsidR="00E805F6" w:rsidRPr="00DE1E8C">
        <w:rPr>
          <w:bCs/>
          <w:lang w:val="en-GB"/>
        </w:rPr>
        <w:instrText xml:space="preserve"> ADDIN ZOTERO_ITEM CSL_CITATION {"citationID":"a22eemslt11","properties":{"formattedCitation":"(Mulder {\\i{}et al.}, 2014; Hanks and Summerfield, 2017)","plainCitation":"(Mulder et al., 2014; Hanks and Summerfield, 2017)","noteIndex":0},"citationItems":[{"id":14292,"uris":["http://zotero.org/users/local/xUwQuTPV/items/WT8UYQYK"],"uri":["http://zotero.org/users/local/xUwQuTPV/items/WT8UYQYK"],"itemData":{"id":14292,"type":"article-journal","abstract":"In this review we summarize ﬁndings published over the past 10 years focusing on the neural correlates of perceptual decision-making. Importantly, this review highlights only studies that employ a model-based approach, i.e., they use quantitative cognitive models in combination with neuroscientiﬁc data. The model-based approach allows capturing latent decision-making processes such as strategic adjustments of response thresholds and relate these to interindividual diﬀerences or single-trial blood-oxygenated level dependent (BOLD) functional Magnetic Resonance Imaging (fMRI) responses. The review shows that diﬀerent cortico-subcortical networks are responsive to diﬀerent latent decision-making processes. More concretely, we show that evidence accumulation is associated with a frontoparietal network which is partly overlapping with choice bias in perceptual decision making. The setting of decision thresholds is associated with fronto-basal ganglia networks which are also found for choice bias. In sum, we argue that the model-based approach holds great promises to understand the neural correlates of latent cognitive processes. Ó 2014 IBRO. Published by Elsevier Ltd. All rights reserved.","container-title":"Neuroscience","DOI":"10.1016/j.neuroscience.2014.07.031","ISSN":"03064522","journalAbbreviation":"Neuroscience","language":"en","page":"872-884","source":"DOI.org (Crossref)","title":"Perceptual decision neurosciences – A model-based review","volume":"277","author":[{"family":"Mulder","given":"M.J."},{"family":"Maanen","given":"L.","non-dropping-particle":"van"},{"family":"Forstmann","given":"B.U."}],"issued":{"date-parts":[["2014",9]]}}},{"id":14286,"uris":["http://zotero.org/users/local/xUwQuTPV/items/WV5W88IK"],"uri":["http://zotero.org/users/local/xUwQuTPV/items/WV5W88IK"],"itemData":{"id":14286,"type":"article-journal","container-title":"Neuron","DOI":"10.1016/j.neuron.2016.12.003","ISSN":"08966273","issue":"1","journalAbbreviation":"Neuron","language":"en","page":"15-31","source":"DOI.org (Crossref)","title":"Perceptual Decision Making in Rodents, Monkeys, and Humans","volume":"93","author":[{"family":"Hanks","given":"Timothy D."},{"family":"Summerfield","given":"Christopher"}],"issued":{"date-parts":[["2017",1]]}}}],"schema":"https://github.com/citation-style-language/schema/raw/master/csl-citation.json"} </w:instrText>
      </w:r>
      <w:r w:rsidR="00B366E0" w:rsidRPr="00DE1E8C">
        <w:rPr>
          <w:bCs/>
          <w:lang w:val="en-GB"/>
        </w:rPr>
        <w:fldChar w:fldCharType="separate"/>
      </w:r>
      <w:r w:rsidR="00E805F6" w:rsidRPr="00DE1E8C">
        <w:rPr>
          <w:lang w:val="en-GB"/>
        </w:rPr>
        <w:t xml:space="preserve">(Mulder </w:t>
      </w:r>
      <w:r w:rsidR="00E805F6" w:rsidRPr="00DE1E8C">
        <w:rPr>
          <w:i/>
          <w:iCs/>
          <w:lang w:val="en-GB"/>
        </w:rPr>
        <w:t>et al.</w:t>
      </w:r>
      <w:r w:rsidR="00E805F6" w:rsidRPr="00DE1E8C">
        <w:rPr>
          <w:lang w:val="en-GB"/>
        </w:rPr>
        <w:t>, 2014; Hanks and Summerfield, 2017)</w:t>
      </w:r>
      <w:r w:rsidR="00B366E0" w:rsidRPr="00DE1E8C">
        <w:rPr>
          <w:bCs/>
          <w:lang w:val="en-GB"/>
        </w:rPr>
        <w:fldChar w:fldCharType="end"/>
      </w:r>
      <w:r w:rsidR="00B02889" w:rsidRPr="00DE1E8C">
        <w:rPr>
          <w:bCs/>
          <w:lang w:val="en-GB"/>
        </w:rPr>
        <w:t>.</w:t>
      </w:r>
      <w:r w:rsidR="003602DE" w:rsidRPr="00DE1E8C">
        <w:rPr>
          <w:bCs/>
          <w:lang w:val="en-GB"/>
        </w:rPr>
        <w:t xml:space="preserve"> Whilst our finding</w:t>
      </w:r>
      <w:r w:rsidR="00890CE4" w:rsidRPr="00DE1E8C">
        <w:rPr>
          <w:bCs/>
          <w:lang w:val="en-GB"/>
        </w:rPr>
        <w:t xml:space="preserve"> do</w:t>
      </w:r>
      <w:r w:rsidR="00B209C7" w:rsidRPr="00DE1E8C">
        <w:rPr>
          <w:bCs/>
          <w:lang w:val="en-GB"/>
        </w:rPr>
        <w:t>es</w:t>
      </w:r>
      <w:r w:rsidR="00890CE4" w:rsidRPr="00DE1E8C">
        <w:rPr>
          <w:bCs/>
          <w:lang w:val="en-GB"/>
        </w:rPr>
        <w:t xml:space="preserve"> not </w:t>
      </w:r>
      <w:r w:rsidR="003602DE" w:rsidRPr="00DE1E8C">
        <w:rPr>
          <w:bCs/>
          <w:lang w:val="en-GB"/>
        </w:rPr>
        <w:t xml:space="preserve">disambiguate this debate, </w:t>
      </w:r>
      <w:r w:rsidR="00C97D94" w:rsidRPr="00DE1E8C">
        <w:rPr>
          <w:bCs/>
          <w:lang w:val="en-GB"/>
        </w:rPr>
        <w:t>it</w:t>
      </w:r>
      <w:r w:rsidR="004054BF" w:rsidRPr="00DE1E8C">
        <w:rPr>
          <w:bCs/>
          <w:lang w:val="en-GB"/>
        </w:rPr>
        <w:t xml:space="preserve"> </w:t>
      </w:r>
      <w:r w:rsidR="00785D14" w:rsidRPr="00DE1E8C">
        <w:rPr>
          <w:bCs/>
          <w:lang w:val="en-GB"/>
        </w:rPr>
        <w:t>establishes</w:t>
      </w:r>
      <w:r w:rsidR="00924C0F" w:rsidRPr="00DE1E8C">
        <w:rPr>
          <w:bCs/>
          <w:lang w:val="en-GB"/>
        </w:rPr>
        <w:t xml:space="preserve"> a positive relationship between d</w:t>
      </w:r>
      <w:r w:rsidR="00522674" w:rsidRPr="00DE1E8C">
        <w:rPr>
          <w:bCs/>
          <w:lang w:val="en-GB"/>
        </w:rPr>
        <w:t>orsal attention</w:t>
      </w:r>
      <w:r w:rsidR="00924C0F" w:rsidRPr="00DE1E8C">
        <w:rPr>
          <w:bCs/>
          <w:lang w:val="en-GB"/>
        </w:rPr>
        <w:t xml:space="preserve"> network activity and drift rate during perceptual decision making</w:t>
      </w:r>
      <w:r w:rsidR="00785D14" w:rsidRPr="00DE1E8C">
        <w:rPr>
          <w:bCs/>
          <w:lang w:val="en-GB"/>
        </w:rPr>
        <w:t>,</w:t>
      </w:r>
      <w:r w:rsidR="00924C0F" w:rsidRPr="00DE1E8C">
        <w:rPr>
          <w:bCs/>
          <w:lang w:val="en-GB"/>
        </w:rPr>
        <w:t xml:space="preserve"> in both healthy elderly and neurodegenerative disease cohorts</w:t>
      </w:r>
      <w:r w:rsidR="00FB3F2D" w:rsidRPr="00DE1E8C">
        <w:rPr>
          <w:bCs/>
          <w:lang w:val="en-GB"/>
        </w:rPr>
        <w:t xml:space="preserve">. </w:t>
      </w:r>
    </w:p>
    <w:p w14:paraId="163B57BA" w14:textId="77777777" w:rsidR="0002073A" w:rsidRPr="00DE1E8C" w:rsidRDefault="0002073A" w:rsidP="0002073A">
      <w:pPr>
        <w:spacing w:line="360" w:lineRule="auto"/>
        <w:contextualSpacing/>
        <w:jc w:val="both"/>
        <w:rPr>
          <w:bCs/>
          <w:iCs/>
          <w:lang w:val="en-GB"/>
        </w:rPr>
      </w:pPr>
    </w:p>
    <w:p w14:paraId="339D0BC5" w14:textId="77777777" w:rsidR="00054AB9" w:rsidRPr="00DE1E8C" w:rsidRDefault="00973EFA" w:rsidP="0002073A">
      <w:pPr>
        <w:spacing w:line="360" w:lineRule="auto"/>
        <w:contextualSpacing/>
        <w:jc w:val="both"/>
        <w:rPr>
          <w:bCs/>
          <w:iCs/>
          <w:lang w:val="en-GB"/>
        </w:rPr>
      </w:pPr>
      <w:r w:rsidRPr="00DE1E8C">
        <w:rPr>
          <w:bCs/>
          <w:iCs/>
          <w:lang w:val="en-GB"/>
        </w:rPr>
        <w:t>With respect to the default network, the groups showed divergent responses</w:t>
      </w:r>
      <w:r w:rsidR="00144118" w:rsidRPr="00DE1E8C">
        <w:rPr>
          <w:bCs/>
          <w:iCs/>
          <w:lang w:val="en-GB"/>
        </w:rPr>
        <w:t xml:space="preserve">. </w:t>
      </w:r>
      <w:r w:rsidR="003E4973" w:rsidRPr="00DE1E8C">
        <w:rPr>
          <w:bCs/>
          <w:iCs/>
          <w:lang w:val="en-GB"/>
        </w:rPr>
        <w:t>The control and Alzheimer’s disease group</w:t>
      </w:r>
      <w:r w:rsidR="00AA20E3" w:rsidRPr="00DE1E8C">
        <w:rPr>
          <w:bCs/>
          <w:iCs/>
          <w:lang w:val="en-GB"/>
        </w:rPr>
        <w:t>s</w:t>
      </w:r>
      <w:r w:rsidR="003E4973" w:rsidRPr="00DE1E8C">
        <w:rPr>
          <w:bCs/>
          <w:iCs/>
          <w:lang w:val="en-GB"/>
        </w:rPr>
        <w:t xml:space="preserve"> showed a weak, positive relationship between the drift rate and BOLD activity within the default network. In contrast, the </w:t>
      </w:r>
      <w:r w:rsidR="00A5495E" w:rsidRPr="00DE1E8C">
        <w:rPr>
          <w:bCs/>
          <w:iCs/>
          <w:lang w:val="en-GB"/>
        </w:rPr>
        <w:t xml:space="preserve">Lewy body dementia group showed a stronger, negative </w:t>
      </w:r>
      <w:r w:rsidR="00E16EFF" w:rsidRPr="00DE1E8C">
        <w:rPr>
          <w:bCs/>
          <w:iCs/>
          <w:lang w:val="en-GB"/>
        </w:rPr>
        <w:t>relationship</w:t>
      </w:r>
      <w:r w:rsidR="00C63C94" w:rsidRPr="00DE1E8C">
        <w:rPr>
          <w:bCs/>
          <w:iCs/>
          <w:lang w:val="en-GB"/>
        </w:rPr>
        <w:t>, consistent with great</w:t>
      </w:r>
      <w:r w:rsidR="00200C97" w:rsidRPr="00DE1E8C">
        <w:rPr>
          <w:bCs/>
          <w:iCs/>
          <w:lang w:val="en-GB"/>
        </w:rPr>
        <w:t>er</w:t>
      </w:r>
      <w:r w:rsidR="00C63C94" w:rsidRPr="00DE1E8C">
        <w:rPr>
          <w:bCs/>
          <w:iCs/>
          <w:lang w:val="en-GB"/>
        </w:rPr>
        <w:t xml:space="preserve"> default network activity being associated with a slower drift rate. Whilst</w:t>
      </w:r>
      <w:r w:rsidR="00467E2A" w:rsidRPr="00DE1E8C">
        <w:rPr>
          <w:bCs/>
          <w:iCs/>
          <w:lang w:val="en-GB"/>
        </w:rPr>
        <w:t xml:space="preserve"> these </w:t>
      </w:r>
      <w:r w:rsidR="00754C02" w:rsidRPr="00DE1E8C">
        <w:rPr>
          <w:bCs/>
          <w:iCs/>
          <w:lang w:val="en-GB"/>
        </w:rPr>
        <w:t>results</w:t>
      </w:r>
      <w:r w:rsidR="00467E2A" w:rsidRPr="00DE1E8C">
        <w:rPr>
          <w:bCs/>
          <w:iCs/>
          <w:lang w:val="en-GB"/>
        </w:rPr>
        <w:t xml:space="preserve"> </w:t>
      </w:r>
      <w:r w:rsidR="00754C02" w:rsidRPr="00DE1E8C">
        <w:rPr>
          <w:bCs/>
          <w:iCs/>
          <w:lang w:val="en-GB"/>
        </w:rPr>
        <w:t xml:space="preserve">did not </w:t>
      </w:r>
      <w:r w:rsidR="00EB71CA" w:rsidRPr="00DE1E8C">
        <w:rPr>
          <w:bCs/>
          <w:iCs/>
          <w:lang w:val="en-GB"/>
        </w:rPr>
        <w:t>reach</w:t>
      </w:r>
      <w:r w:rsidR="008B7059" w:rsidRPr="00DE1E8C">
        <w:rPr>
          <w:bCs/>
          <w:iCs/>
          <w:lang w:val="en-GB"/>
        </w:rPr>
        <w:t xml:space="preserve"> the </w:t>
      </w:r>
      <w:r w:rsidR="00A445EA" w:rsidRPr="00DE1E8C">
        <w:rPr>
          <w:bCs/>
          <w:iCs/>
          <w:lang w:val="en-GB"/>
        </w:rPr>
        <w:t xml:space="preserve">commonly used “significance” criterion, the difference in directionality </w:t>
      </w:r>
      <w:r w:rsidR="00AB788B" w:rsidRPr="00DE1E8C">
        <w:rPr>
          <w:bCs/>
          <w:iCs/>
          <w:lang w:val="en-GB"/>
        </w:rPr>
        <w:t xml:space="preserve">suggests a tentative mechanistic </w:t>
      </w:r>
      <w:r w:rsidR="005C621F" w:rsidRPr="00DE1E8C">
        <w:rPr>
          <w:bCs/>
          <w:iCs/>
          <w:lang w:val="en-GB"/>
        </w:rPr>
        <w:t>interpretation</w:t>
      </w:r>
      <w:r w:rsidR="00AB788B" w:rsidRPr="00DE1E8C">
        <w:rPr>
          <w:bCs/>
          <w:iCs/>
          <w:lang w:val="en-GB"/>
        </w:rPr>
        <w:t xml:space="preserve">: </w:t>
      </w:r>
      <w:r w:rsidR="00647CAE" w:rsidRPr="00DE1E8C">
        <w:rPr>
          <w:bCs/>
          <w:iCs/>
          <w:lang w:val="en-GB"/>
        </w:rPr>
        <w:t xml:space="preserve">that </w:t>
      </w:r>
      <w:r w:rsidR="00AF1EF3" w:rsidRPr="00DE1E8C">
        <w:rPr>
          <w:bCs/>
          <w:iCs/>
          <w:lang w:val="en-GB"/>
        </w:rPr>
        <w:t>increased default network activity during perceptual decision making</w:t>
      </w:r>
      <w:r w:rsidR="005C621F" w:rsidRPr="00DE1E8C">
        <w:rPr>
          <w:bCs/>
          <w:iCs/>
          <w:lang w:val="en-GB"/>
        </w:rPr>
        <w:t xml:space="preserve"> </w:t>
      </w:r>
      <w:r w:rsidR="00272898" w:rsidRPr="00DE1E8C">
        <w:rPr>
          <w:bCs/>
          <w:iCs/>
          <w:lang w:val="en-GB"/>
        </w:rPr>
        <w:t>is associated with impaired evidence accumulation in Lewy body dementia.</w:t>
      </w:r>
      <w:r w:rsidR="000D1736" w:rsidRPr="00DE1E8C">
        <w:rPr>
          <w:bCs/>
          <w:iCs/>
          <w:lang w:val="en-GB"/>
        </w:rPr>
        <w:t xml:space="preserve"> </w:t>
      </w:r>
      <w:r w:rsidR="008B2B41" w:rsidRPr="00DE1E8C">
        <w:rPr>
          <w:bCs/>
          <w:iCs/>
          <w:lang w:val="en-GB"/>
        </w:rPr>
        <w:t>T</w:t>
      </w:r>
      <w:r w:rsidR="0048571C" w:rsidRPr="00DE1E8C">
        <w:rPr>
          <w:bCs/>
          <w:iCs/>
          <w:lang w:val="en-GB"/>
        </w:rPr>
        <w:t>his finding is consistent</w:t>
      </w:r>
      <w:r w:rsidR="008B2B41" w:rsidRPr="00DE1E8C">
        <w:rPr>
          <w:bCs/>
          <w:iCs/>
          <w:lang w:val="en-GB"/>
        </w:rPr>
        <w:t xml:space="preserve"> with other work </w:t>
      </w:r>
      <w:r w:rsidR="00495FE3" w:rsidRPr="00DE1E8C">
        <w:rPr>
          <w:bCs/>
          <w:iCs/>
          <w:lang w:val="en-GB"/>
        </w:rPr>
        <w:t>showing</w:t>
      </w:r>
      <w:r w:rsidR="008B2B41" w:rsidRPr="00DE1E8C">
        <w:rPr>
          <w:bCs/>
          <w:iCs/>
          <w:lang w:val="en-GB"/>
        </w:rPr>
        <w:t xml:space="preserve"> altered default network modulation during attention-related tasks </w:t>
      </w:r>
      <w:r w:rsidR="00495FE3" w:rsidRPr="00DE1E8C">
        <w:rPr>
          <w:bCs/>
          <w:iCs/>
          <w:lang w:val="en-GB"/>
        </w:rPr>
        <w:t>across the</w:t>
      </w:r>
      <w:r w:rsidR="00A25F11" w:rsidRPr="00DE1E8C">
        <w:rPr>
          <w:bCs/>
          <w:iCs/>
          <w:lang w:val="en-GB"/>
        </w:rPr>
        <w:t xml:space="preserve"> Lewy body d</w:t>
      </w:r>
      <w:r w:rsidR="00495FE3" w:rsidRPr="00DE1E8C">
        <w:rPr>
          <w:bCs/>
          <w:iCs/>
          <w:lang w:val="en-GB"/>
        </w:rPr>
        <w:t xml:space="preserve">isease spectrum </w:t>
      </w:r>
      <w:r w:rsidR="000144C6" w:rsidRPr="00DE1E8C">
        <w:rPr>
          <w:bCs/>
          <w:iCs/>
          <w:lang w:val="en-GB"/>
        </w:rPr>
        <w:fldChar w:fldCharType="begin"/>
      </w:r>
      <w:r w:rsidR="00E805F6" w:rsidRPr="00DE1E8C">
        <w:rPr>
          <w:bCs/>
          <w:iCs/>
          <w:lang w:val="en-GB"/>
        </w:rPr>
        <w:instrText xml:space="preserve"> ADDIN ZOTERO_ITEM CSL_CITATION {"citationID":"a10j1eh7v6d","properties":{"formattedCitation":"(Sauer {\\i{}et al.}, 2006; Shine {\\i{}et al.}, 2015; Firbank {\\i{}et al.}, 2016, 2018)","plainCitation":"(Sauer et al., 2006; Shine et al., 2015; Firbank et al., 2016, 2018)","noteIndex":0},"citationItems":[{"id":14309,"uris":["http://zotero.org/users/local/xUwQuTPV/items/6Q2LVA39"],"uri":["http://zotero.org/users/local/xUwQuTPV/items/6Q2LVA39"],"itemData":{"id":14309,"type":"article-journal","abstract":"Abstract.  We investigated whether previously reported differences between Alzheimer's disease and dementia with Lewy bodies (DLB) in resting occipital activity","container-title":"Brain","DOI":"10.1093/brain/awl102","ISSN":"0006-8950","issue":"7","journalAbbreviation":"Brain","language":"en","note":"publisher: Oxford Academic","page":"1780-1788","source":"academic.oup.com","title":"Differences between Alzheimer's disease and dementia with Lewy bodies: an fMRI study of task-related brain activity","title-short":"Differences between Alzheimer's disease and dementia with Lewy bodies","volume":"129","author":[{"family":"Sauer","given":"Justin"},{"family":"Ffytche","given":"Dominic H."},{"family":"Ballard","given":"Clive"},{"family":"Brown","given":"Richard G."},{"family":"Howard","given":"Robert"}],"issued":{"date-parts":[["2006",7,1]]}}},{"id":14304,"uris":["http://zotero.org/users/local/xUwQuTPV/items/Z68F9C5B"],"uri":["http://zotero.org/users/local/xUwQuTPV/items/Z68F9C5B"],"itemData":{"id":14304,"type":"article-journal","abstract":"The neural substrates of visual hallucinations remain an enigma, due primarily to the difficulties associated with directly interrogating the brain during hallucinatory episodes.","container-title":"npj Parkinson's Disease","DOI":"10.1038/npjparkd.2015.3","ISSN":"2373-8057","issue":"1","language":"en","note":"number: 1\npublisher: Nature Publishing Group","page":"1-8","source":"www.nature.com","title":"Abnormal connectivity between the default mode and the visual system underlies the manifestation of visual hallucinations in Parkinson’s disease: a task-based fMRI study","title-short":"Abnormal connectivity between the default mode and the visual system underlies the manifestation of visual hallucinations in Parkinson’s disease","volume":"1","author":[{"family":"Shine","given":"James M."},{"family":"Muller","given":"Alana J."},{"family":"O’Callaghan","given":"Claire"},{"family":"Hornberger","given":"Michael"},{"family":"Halliday","given":"Glenda M."},{"family":"Lewis","given":"Simon JG"}],"issued":{"date-parts":[["2015",4,22]]}}},{"id":5529,"uris":["http://zotero.org/users/local/xUwQuTPV/items/I7JY88G5"],"uri":["http://zotero.org/users/local/xUwQuTPV/items/I7JY88G5"],"itemData":{"id":5529,"type":"article-journal","abstract":"A significant symptom of Lewy body dementia (LBD) is slow cognitive processing or bradyphrenia. In a previous fMRI task-based study, we found slower responses in LBD, accompanied by greater deactivation in the default mode network. In this study, we investigated the timing and magnitude of the activations and deactivations with respect to reaction time to determine whether the slower responses in LBD were associated with delayed neuronal activity. Using fMRI, we examined the magnitude and latency of activations and deactivations during an event-related attention task in 32 patients with LBD and 23 healthy controls using predefined regions of interest. Default mode network deactivations did not significantly differ in their timing between groups or task conditions, while the task-related activations in the parietal, occipital, frontal, and motor cortex were all significantly later in the LBD group. Repeating the analysis with reaction time as a parametric modulator of activation magnitude produced similar findings, with the reaction time modulator being significant in a number of regions including the default mode network, suggesting that the increased deactivation in LBD is partly explained by slower task completion. Our data suggest that the default mode network deactivation is initiated at the start of the task, and remains deactivated until its end, with the increased magnitude of deactivation in LBD reflecting the more prolonged cognitive processing in these patients. These data add substantially to our understanding of the neural origins of bradyphrenia, which will be essential for determining optimum therapeutic strategies for cognitive impairment in LBD. Hum Brain Mapp 39:633-643, 2018. © 2017 The Authors Human Brain Mapping Published by Wiley Periodicals, Inc.","container-title":"Human Brain Mapping","DOI":"10.1002/hbm.23866","issue":"2","journalAbbreviation":"Hum. Brain Mapp.","language":"English","note":"PMCID: PMC5813138","page":"633-643","title":"Long reaction times are associated with delayed brain activity in lewy body dementia.","volume":"39","author":[{"family":"Firbank","given":"Michael J."},{"family":"O'Brien","given":"John T."},{"family":"Taylor","given":"John-Paul"}],"issued":{"date-parts":[["2018",2]]}}},{"id":5533,"uris":["http://zotero.org/users/local/xUwQuTPV/items/9FMHWJCZ"],"uri":["http://zotero.org/users/local/xUwQuTPV/items/9FMHWJCZ"],"itemData":{"id":5533,"type":"article-journal","abstract":"Attentional and executive dysfunction contribute to cognitive impairment in both Lewy body dementia and Alzheimer&amp;apos;s disease. Using functional MRI, we examined the neural correlates of three components of attention (alerting, orienting, and executive/conflict function) in 23 patients with Alzheimer&amp;apos;s disease, 32 patients with Lewy body dementia (19 with dementia with Lewy bodies and 13 with Parkinson&amp;apos;s disease with dementia), and 23 healthy controls using a modified Attention Network Test. Although the functional MRI demonstrated a similar fronto-parieto-occipital network activation in all groups, Alzheimer&amp;apos;s disease and Lewy body dementia patients had greater activation of this network for incongruent and more difficult trials, which were also accompanied by slower reaction times. There was no recruitment of additional brain regions or, conversely, regional deficits in brain activation. The default mode network, however, displayed diverging activity patterns in the dementia groups. The Alzheimer&amp;apos;s disease group had limited task related deactivations of the default mode network, whereas patients with Lewy body dementia showed heightened deactivation to all trials, which might be an attempt to allocate neural resources to impaired attentional networks. We posit that, despite a common endpoint of attention-executive disturbances in both dementias, the pathophysiological basis of these is very different between these diseases.","container-title":"Human Brain Mapping","DOI":"10.1002/hbm.23100","issue":"3","journalAbbreviation":"Hum. Brain Mapp.","language":"English","note":"PMCID: PMC4784171","page":"1254-1270","title":"Neural correlates of attention-executive dysfunction in lewy body dementia and Alzheimer's disease.","volume":"37","author":[{"family":"Firbank","given":"Michael"},{"family":"Kobeleva","given":"Xenia"},{"family":"Cherry","given":"George"},{"family":"Killen","given":"Alison"},{"family":"Gallagher","given":"Peter"},{"family":"Burn","given":"David J."},{"family":"Thomas","given":"Alan J."},{"family":"O&amp;apos;Brien","given":"John T."},{"family":"Taylor","given":"John-Paul"}],"issued":{"date-parts":[["2016",3]]}}}],"schema":"https://github.com/citation-style-language/schema/raw/master/csl-citation.json"} </w:instrText>
      </w:r>
      <w:r w:rsidR="000144C6" w:rsidRPr="00DE1E8C">
        <w:rPr>
          <w:bCs/>
          <w:iCs/>
          <w:lang w:val="en-GB"/>
        </w:rPr>
        <w:fldChar w:fldCharType="separate"/>
      </w:r>
      <w:r w:rsidR="00E805F6" w:rsidRPr="00DE1E8C">
        <w:rPr>
          <w:lang w:val="en-GB"/>
        </w:rPr>
        <w:t xml:space="preserve">(Sauer </w:t>
      </w:r>
      <w:r w:rsidR="00E805F6" w:rsidRPr="00DE1E8C">
        <w:rPr>
          <w:i/>
          <w:iCs/>
          <w:lang w:val="en-GB"/>
        </w:rPr>
        <w:t>et al.</w:t>
      </w:r>
      <w:r w:rsidR="00E805F6" w:rsidRPr="00DE1E8C">
        <w:rPr>
          <w:lang w:val="en-GB"/>
        </w:rPr>
        <w:t xml:space="preserve">, 2006; Shine </w:t>
      </w:r>
      <w:r w:rsidR="00E805F6" w:rsidRPr="00DE1E8C">
        <w:rPr>
          <w:i/>
          <w:iCs/>
          <w:lang w:val="en-GB"/>
        </w:rPr>
        <w:t>et al.</w:t>
      </w:r>
      <w:r w:rsidR="00E805F6" w:rsidRPr="00DE1E8C">
        <w:rPr>
          <w:lang w:val="en-GB"/>
        </w:rPr>
        <w:t xml:space="preserve">, 2015; Firbank </w:t>
      </w:r>
      <w:r w:rsidR="00E805F6" w:rsidRPr="00DE1E8C">
        <w:rPr>
          <w:i/>
          <w:iCs/>
          <w:lang w:val="en-GB"/>
        </w:rPr>
        <w:t>et al.</w:t>
      </w:r>
      <w:r w:rsidR="00E805F6" w:rsidRPr="00DE1E8C">
        <w:rPr>
          <w:lang w:val="en-GB"/>
        </w:rPr>
        <w:t xml:space="preserve">, </w:t>
      </w:r>
      <w:r w:rsidR="00E805F6" w:rsidRPr="00DE1E8C">
        <w:rPr>
          <w:lang w:val="en-GB"/>
        </w:rPr>
        <w:lastRenderedPageBreak/>
        <w:t>2016, 2018)</w:t>
      </w:r>
      <w:r w:rsidR="000144C6" w:rsidRPr="00DE1E8C">
        <w:rPr>
          <w:bCs/>
          <w:iCs/>
          <w:lang w:val="en-GB"/>
        </w:rPr>
        <w:fldChar w:fldCharType="end"/>
      </w:r>
      <w:r w:rsidR="000F24FD" w:rsidRPr="00DE1E8C">
        <w:rPr>
          <w:bCs/>
          <w:iCs/>
          <w:lang w:val="en-GB"/>
        </w:rPr>
        <w:t xml:space="preserve">, and suggests that impaired sensory evidence accumulation </w:t>
      </w:r>
      <w:r w:rsidR="00C32FF6" w:rsidRPr="00DE1E8C">
        <w:rPr>
          <w:bCs/>
          <w:iCs/>
          <w:lang w:val="en-GB"/>
        </w:rPr>
        <w:t>may be a</w:t>
      </w:r>
      <w:r w:rsidR="000F24FD" w:rsidRPr="00DE1E8C">
        <w:rPr>
          <w:bCs/>
          <w:iCs/>
          <w:lang w:val="en-GB"/>
        </w:rPr>
        <w:t xml:space="preserve"> specific behavioural correlate of default network dysfunction in Lewy body dementia. </w:t>
      </w:r>
    </w:p>
    <w:p w14:paraId="6C923548" w14:textId="77777777" w:rsidR="00054AB9" w:rsidRPr="00DE1E8C" w:rsidRDefault="00054AB9" w:rsidP="0002073A">
      <w:pPr>
        <w:spacing w:line="360" w:lineRule="auto"/>
        <w:contextualSpacing/>
        <w:jc w:val="both"/>
        <w:rPr>
          <w:bCs/>
          <w:iCs/>
          <w:lang w:val="en-GB"/>
        </w:rPr>
      </w:pPr>
    </w:p>
    <w:p w14:paraId="050C2DC3" w14:textId="4E3FE403" w:rsidR="00133087" w:rsidRPr="00DE1E8C" w:rsidRDefault="00F4171C" w:rsidP="0002073A">
      <w:pPr>
        <w:spacing w:line="360" w:lineRule="auto"/>
        <w:contextualSpacing/>
        <w:jc w:val="both"/>
        <w:rPr>
          <w:bCs/>
          <w:iCs/>
          <w:lang w:val="en-GB"/>
        </w:rPr>
      </w:pPr>
      <w:r w:rsidRPr="00DE1E8C">
        <w:rPr>
          <w:bCs/>
          <w:iCs/>
          <w:lang w:val="en-GB"/>
        </w:rPr>
        <w:t>There are inherent challenges collecting fMRI task data in dementia populations. These populations are a</w:t>
      </w:r>
      <w:r w:rsidR="006E7671" w:rsidRPr="00DE1E8C">
        <w:rPr>
          <w:bCs/>
          <w:iCs/>
          <w:lang w:val="en-GB"/>
        </w:rPr>
        <w:t>t</w:t>
      </w:r>
      <w:r w:rsidRPr="00DE1E8C">
        <w:rPr>
          <w:bCs/>
          <w:iCs/>
          <w:lang w:val="en-GB"/>
        </w:rPr>
        <w:t xml:space="preserve"> increased risk of scanner acquisition confounds</w:t>
      </w:r>
      <w:r w:rsidR="004F6A6E" w:rsidRPr="00DE1E8C">
        <w:rPr>
          <w:bCs/>
          <w:iCs/>
          <w:lang w:val="en-GB"/>
        </w:rPr>
        <w:t xml:space="preserve">, </w:t>
      </w:r>
      <w:r w:rsidR="00D176F5" w:rsidRPr="00DE1E8C">
        <w:rPr>
          <w:bCs/>
          <w:iCs/>
          <w:lang w:val="en-GB"/>
        </w:rPr>
        <w:t xml:space="preserve">in particular </w:t>
      </w:r>
      <w:r w:rsidR="004F6A6E" w:rsidRPr="00DE1E8C">
        <w:rPr>
          <w:bCs/>
          <w:iCs/>
          <w:lang w:val="en-GB"/>
        </w:rPr>
        <w:t xml:space="preserve">due to motion artifacts or difficulty with task execution. </w:t>
      </w:r>
      <w:r w:rsidR="008C056A" w:rsidRPr="00DE1E8C">
        <w:rPr>
          <w:bCs/>
          <w:iCs/>
          <w:lang w:val="en-GB"/>
        </w:rPr>
        <w:t>These limitations led to a reduced sample size in the current study, as a number of patients were excluded due to these confounds.</w:t>
      </w:r>
      <w:r w:rsidR="00057B81" w:rsidRPr="00DE1E8C">
        <w:rPr>
          <w:bCs/>
          <w:iCs/>
          <w:lang w:val="en-GB"/>
        </w:rPr>
        <w:t xml:space="preserve"> </w:t>
      </w:r>
      <w:r w:rsidR="006E7671" w:rsidRPr="00DE1E8C">
        <w:rPr>
          <w:bCs/>
          <w:iCs/>
          <w:lang w:val="en-GB"/>
        </w:rPr>
        <w:t xml:space="preserve">Futures studies are needed to replicate these findings in a larger sample.  </w:t>
      </w:r>
      <w:r w:rsidR="00D94032" w:rsidRPr="00DE1E8C">
        <w:rPr>
          <w:bCs/>
          <w:iCs/>
          <w:lang w:val="en-GB"/>
        </w:rPr>
        <w:t xml:space="preserve"> </w:t>
      </w:r>
      <w:r w:rsidR="008C056A" w:rsidRPr="00DE1E8C">
        <w:rPr>
          <w:bCs/>
          <w:iCs/>
          <w:lang w:val="en-GB"/>
        </w:rPr>
        <w:t xml:space="preserve"> </w:t>
      </w:r>
      <w:r w:rsidR="004F6A6E" w:rsidRPr="00DE1E8C">
        <w:rPr>
          <w:bCs/>
          <w:iCs/>
          <w:lang w:val="en-GB"/>
        </w:rPr>
        <w:t xml:space="preserve"> </w:t>
      </w:r>
      <w:r w:rsidRPr="00DE1E8C">
        <w:rPr>
          <w:bCs/>
          <w:iCs/>
          <w:lang w:val="en-GB"/>
        </w:rPr>
        <w:t xml:space="preserve"> </w:t>
      </w:r>
      <w:r w:rsidR="000F24FD" w:rsidRPr="00DE1E8C">
        <w:rPr>
          <w:bCs/>
          <w:iCs/>
          <w:lang w:val="en-GB"/>
        </w:rPr>
        <w:t xml:space="preserve"> </w:t>
      </w:r>
      <w:r w:rsidR="00B707EF" w:rsidRPr="00DE1E8C">
        <w:rPr>
          <w:bCs/>
          <w:iCs/>
          <w:lang w:val="en-GB"/>
        </w:rPr>
        <w:t xml:space="preserve"> </w:t>
      </w:r>
    </w:p>
    <w:p w14:paraId="3BD02752" w14:textId="4829BC61" w:rsidR="00133087" w:rsidRPr="00DE1E8C" w:rsidRDefault="00133087" w:rsidP="0002073A">
      <w:pPr>
        <w:spacing w:line="360" w:lineRule="auto"/>
        <w:contextualSpacing/>
        <w:jc w:val="both"/>
        <w:rPr>
          <w:bCs/>
          <w:iCs/>
          <w:lang w:val="en-GB"/>
        </w:rPr>
      </w:pPr>
    </w:p>
    <w:p w14:paraId="43381A73" w14:textId="36FA294F" w:rsidR="009C10FE" w:rsidRPr="00DE1E8C" w:rsidRDefault="0099740C" w:rsidP="002023D2">
      <w:pPr>
        <w:spacing w:line="360" w:lineRule="auto"/>
        <w:contextualSpacing/>
        <w:jc w:val="both"/>
        <w:rPr>
          <w:bCs/>
          <w:lang w:val="en-GB"/>
        </w:rPr>
      </w:pPr>
      <w:r w:rsidRPr="00DE1E8C">
        <w:rPr>
          <w:bCs/>
          <w:iCs/>
          <w:lang w:val="en-GB"/>
        </w:rPr>
        <w:t xml:space="preserve">In Lewy body </w:t>
      </w:r>
      <w:r w:rsidR="00F27BA6" w:rsidRPr="00DE1E8C">
        <w:rPr>
          <w:bCs/>
          <w:iCs/>
          <w:lang w:val="en-GB"/>
        </w:rPr>
        <w:t>d</w:t>
      </w:r>
      <w:r w:rsidR="00B268FD" w:rsidRPr="00DE1E8C">
        <w:rPr>
          <w:bCs/>
          <w:iCs/>
          <w:lang w:val="en-GB"/>
        </w:rPr>
        <w:t>isease</w:t>
      </w:r>
      <w:r w:rsidR="00792A4A" w:rsidRPr="00DE1E8C">
        <w:rPr>
          <w:bCs/>
          <w:iCs/>
          <w:lang w:val="en-GB"/>
        </w:rPr>
        <w:t>,</w:t>
      </w:r>
      <w:r w:rsidR="00F27BA6" w:rsidRPr="00DE1E8C">
        <w:rPr>
          <w:bCs/>
          <w:iCs/>
          <w:lang w:val="en-GB"/>
        </w:rPr>
        <w:t xml:space="preserve"> </w:t>
      </w:r>
      <w:r w:rsidR="00F27BA6" w:rsidRPr="00DE1E8C">
        <w:rPr>
          <w:bCs/>
          <w:lang w:val="en-GB"/>
        </w:rPr>
        <w:t xml:space="preserve">symptoms </w:t>
      </w:r>
      <w:r w:rsidR="00792A4A" w:rsidRPr="00DE1E8C">
        <w:rPr>
          <w:bCs/>
          <w:lang w:val="en-GB"/>
        </w:rPr>
        <w:t>associated</w:t>
      </w:r>
      <w:r w:rsidR="00F27BA6" w:rsidRPr="00DE1E8C">
        <w:rPr>
          <w:bCs/>
          <w:lang w:val="en-GB"/>
        </w:rPr>
        <w:t xml:space="preserve"> with attentional impairments, including dysexecutive problems, fluctuations and visual hallucinations, are increasingly conceptualised as disturbances in large-scale brain networks, driven by local pathological changes and dysfunctional modulation from ascending neurotransmitter systems </w:t>
      </w:r>
      <w:r w:rsidR="00F27BA6" w:rsidRPr="00DE1E8C">
        <w:rPr>
          <w:bCs/>
          <w:lang w:val="en-GB"/>
        </w:rPr>
        <w:fldChar w:fldCharType="begin"/>
      </w:r>
      <w:r w:rsidR="00E805F6" w:rsidRPr="00DE1E8C">
        <w:rPr>
          <w:bCs/>
          <w:lang w:val="en-GB"/>
        </w:rPr>
        <w:instrText xml:space="preserve"> ADDIN ZOTERO_ITEM CSL_CITATION {"citationID":"a2er07bso6u","properties":{"formattedCitation":"(Shine {\\i{}et al.}, 2014; Gratwicke {\\i{}et al.}, 2015; O\\uc0\\u8217{}Dowd {\\i{}et al.}, 2019; Matar {\\i{}et al.}, 2020)","plainCitation":"(Shine et al., 2014; Gratwicke et al., 2015; O’Dowd et al., 2019; Matar et al., 2020)","noteIndex":0},"citationItems":[{"id":3812,"uris":["http://zotero.org/users/local/xUwQuTPV/items/MA4L2YMQ"],"uri":["http://zotero.org/users/local/xUwQuTPV/items/MA4L2YMQ"],"itemData":{"id":3812,"type":"article-journal","abstract":"Progress in Neurobiology, Corrected proof. doi:10.1016/j.pneurobio.2014.01.004","container-title":"Progress in Neurobiology","DOI":"10.1016/j.pneurobio.2014.01.004","journalAbbreviation":"Progress in Neurobiology","page":"1-8","title":"Tricks of the mind: Visual hallucinations as disorders of attention","author":[{"family":"Shine","given":"James M."},{"family":"O'Callaghan","given":"Claire"},{"family":"Halliday","given":"Glenda M."},{"family":"Lewis","given":"Simon J. G."}],"issued":{"date-parts":[["2014",2,26]]}}},{"id":9321,"uris":["http://zotero.org/users/local/xUwQuTPV/items/RYFZUFJK"],"uri":["http://zotero.org/users/local/xUwQuTPV/items/RYFZUFJK"],"itemData":{"id":9321,"type":"article-journal","container-title":"Brain","DOI":"10.1093/brain/awv104","issue":"6","journalAbbreviation":"Brain","language":"English","page":"1454-1476","title":"Parkinson’s disease dementia: a neural networks perspective","volume":"138","author":[{"family":"Gratwicke","given":"James"},{"family":"Jahanshahi","given":"Marjan"},{"family":"Foltynie","given":"Thomas"}],"issued":{"date-parts":[["2015",5,26]]}}},{"id":14276,"uris":["http://zotero.org/users/local/xUwQuTPV/items/UTQ7Q49Z"],"uri":["http://zotero.org/users/local/xUwQuTPV/items/UTQ7Q49Z"],"itemData":{"id":14276,"type":"article-journal","abstract":"Fluctuating cognition is a core diagnostic feature of the Lewy body dementias, but it can be clinically challenging to identify and characterise and remains poorly understood. O’Dowd et al. review the clinical features and explore the possible aetiological mechanisms underpinning this phenomenon. They also identify potential future research avenues.","container-title":"Brain","DOI":"10.1093/brain/awz235","ISSN":"0006-8950, 1460-2156","issue":"11","language":"en","page":"3338-3350","source":"DOI.org (Crossref)","title":"Fluctuating cognition in the Lewy body dementias","volume":"142","author":[{"family":"O’Dowd","given":"Seán"},{"family":"Schumacher","given":"Julia"},{"family":"Burn","given":"David J"},{"family":"Bonanni","given":"Laura"},{"family":"Onofrj","given":"Marco"},{"family":"Thomas","given":"Alan"},{"family":"Taylor","given":"John-Paul"}],"issued":{"date-parts":[["2019",11,1]]}}},{"id":14223,"uris":["http://zotero.org/users/local/xUwQuTPV/items/5Y56QNTL"],"uri":["http://zotero.org/users/local/xUwQuTPV/items/5Y56QNTL"],"itemData":{"id":14223,"type":"article-journal","abstract":"Abstract\n            Fluctuating cognition is a complex and disabling symptom that is seen most frequently in the context of Lewy body dementias encompassing dementia with Lewy bodies and Parkinson’s disease dementia. In fact, since their description over three decades ago, cognitive fluctuations have remained a core diagnostic feature of dementia with Lewy bodies, the second most common dementia in the elderly. In the absence of reliable biomarkers for Lewy body pathology, the inclusion of such patients in therapeutic trials depends on the accurate identification of such core clinical features. Yet despite their diagnostic relevance, cognitive fluctuations remain poorly understood, in part due to the lack of a cohesive clinical and scientific explanation of the phenomenon itself. Motivated by this challenge, the present review examines the history, clinical phenomenology and assessment of cognitive fluctuations in the Lewy body dementias. Based on these data, the key neuropsychological, neurophysiological and neuroimaging correlates of cognitive fluctuations are described and integrated into a novel testable heuristic framework from which new insights may be gained.","container-title":"Brain","DOI":"10.1093/brain/awz311","ISSN":"0006-8950, 1460-2156","issue":"1","language":"en","page":"31-46","source":"DOI.org (Crossref)","title":"Cognitive fluctuations in Lewy body dementia: towards a pathophysiological framework","title-short":"Cognitive fluctuations in Lewy body dementia","volume":"143","author":[{"family":"Matar","given":"Elie"},{"family":"Shine","given":"James M"},{"family":"Halliday","given":"Glenda M"},{"family":"Lewis","given":"Simon J G"}],"issued":{"date-parts":[["2020",1,1]]}}}],"schema":"https://github.com/citation-style-language/schema/raw/master/csl-citation.json"} </w:instrText>
      </w:r>
      <w:r w:rsidR="00F27BA6" w:rsidRPr="00DE1E8C">
        <w:rPr>
          <w:bCs/>
          <w:lang w:val="en-GB"/>
        </w:rPr>
        <w:fldChar w:fldCharType="separate"/>
      </w:r>
      <w:r w:rsidR="00E805F6" w:rsidRPr="00DE1E8C">
        <w:rPr>
          <w:lang w:val="en-GB"/>
        </w:rPr>
        <w:t xml:space="preserve">(Shine </w:t>
      </w:r>
      <w:r w:rsidR="00E805F6" w:rsidRPr="00DE1E8C">
        <w:rPr>
          <w:i/>
          <w:iCs/>
          <w:lang w:val="en-GB"/>
        </w:rPr>
        <w:t>et al.</w:t>
      </w:r>
      <w:r w:rsidR="00E805F6" w:rsidRPr="00DE1E8C">
        <w:rPr>
          <w:lang w:val="en-GB"/>
        </w:rPr>
        <w:t xml:space="preserve">, 2014; Gratwicke </w:t>
      </w:r>
      <w:r w:rsidR="00E805F6" w:rsidRPr="00DE1E8C">
        <w:rPr>
          <w:i/>
          <w:iCs/>
          <w:lang w:val="en-GB"/>
        </w:rPr>
        <w:t>et al.</w:t>
      </w:r>
      <w:r w:rsidR="00E805F6" w:rsidRPr="00DE1E8C">
        <w:rPr>
          <w:lang w:val="en-GB"/>
        </w:rPr>
        <w:t xml:space="preserve">, 2015; O’Dowd </w:t>
      </w:r>
      <w:r w:rsidR="00E805F6" w:rsidRPr="00DE1E8C">
        <w:rPr>
          <w:i/>
          <w:iCs/>
          <w:lang w:val="en-GB"/>
        </w:rPr>
        <w:t>et al.</w:t>
      </w:r>
      <w:r w:rsidR="00E805F6" w:rsidRPr="00DE1E8C">
        <w:rPr>
          <w:lang w:val="en-GB"/>
        </w:rPr>
        <w:t xml:space="preserve">, 2019; Matar </w:t>
      </w:r>
      <w:r w:rsidR="00E805F6" w:rsidRPr="00DE1E8C">
        <w:rPr>
          <w:i/>
          <w:iCs/>
          <w:lang w:val="en-GB"/>
        </w:rPr>
        <w:t>et al.</w:t>
      </w:r>
      <w:r w:rsidR="00E805F6" w:rsidRPr="00DE1E8C">
        <w:rPr>
          <w:lang w:val="en-GB"/>
        </w:rPr>
        <w:t>, 2020)</w:t>
      </w:r>
      <w:r w:rsidR="00F27BA6" w:rsidRPr="00DE1E8C">
        <w:rPr>
          <w:bCs/>
          <w:lang w:val="en-GB"/>
        </w:rPr>
        <w:fldChar w:fldCharType="end"/>
      </w:r>
      <w:r w:rsidR="00F27BA6" w:rsidRPr="00DE1E8C">
        <w:rPr>
          <w:bCs/>
          <w:lang w:val="en-GB"/>
        </w:rPr>
        <w:t xml:space="preserve">. </w:t>
      </w:r>
      <w:r w:rsidR="0045136E" w:rsidRPr="00DE1E8C">
        <w:rPr>
          <w:bCs/>
          <w:lang w:val="en-GB"/>
        </w:rPr>
        <w:t>I</w:t>
      </w:r>
      <w:r w:rsidR="00863E39" w:rsidRPr="00DE1E8C">
        <w:rPr>
          <w:bCs/>
          <w:lang w:val="en-GB"/>
        </w:rPr>
        <w:t>mpro</w:t>
      </w:r>
      <w:r w:rsidR="00873910" w:rsidRPr="00DE1E8C">
        <w:rPr>
          <w:bCs/>
          <w:lang w:val="en-GB"/>
        </w:rPr>
        <w:t xml:space="preserve">ved </w:t>
      </w:r>
      <w:r w:rsidR="00A06884" w:rsidRPr="00DE1E8C">
        <w:rPr>
          <w:bCs/>
          <w:lang w:val="en-GB"/>
        </w:rPr>
        <w:t>understanding</w:t>
      </w:r>
      <w:r w:rsidR="000C382C" w:rsidRPr="00DE1E8C">
        <w:rPr>
          <w:bCs/>
          <w:lang w:val="en-GB"/>
        </w:rPr>
        <w:t xml:space="preserve"> </w:t>
      </w:r>
      <w:r w:rsidR="00C27E78" w:rsidRPr="00DE1E8C">
        <w:rPr>
          <w:bCs/>
          <w:lang w:val="en-GB"/>
        </w:rPr>
        <w:t>of</w:t>
      </w:r>
      <w:r w:rsidR="00A06884" w:rsidRPr="00DE1E8C">
        <w:rPr>
          <w:bCs/>
          <w:lang w:val="en-GB"/>
        </w:rPr>
        <w:t xml:space="preserve"> large-scale network dysfunction in these symptoms</w:t>
      </w:r>
      <w:r w:rsidR="00637BC6" w:rsidRPr="00DE1E8C">
        <w:rPr>
          <w:bCs/>
          <w:lang w:val="en-GB"/>
        </w:rPr>
        <w:t xml:space="preserve"> may continue to shape future treatment options, given </w:t>
      </w:r>
      <w:r w:rsidR="00A06884" w:rsidRPr="00DE1E8C">
        <w:rPr>
          <w:bCs/>
          <w:lang w:val="en-GB"/>
        </w:rPr>
        <w:t xml:space="preserve">the potential to modulate networks via drugs or brain stimulation </w:t>
      </w:r>
      <w:r w:rsidR="00A06884" w:rsidRPr="00DE1E8C">
        <w:rPr>
          <w:bCs/>
          <w:lang w:val="en-GB"/>
        </w:rPr>
        <w:fldChar w:fldCharType="begin"/>
      </w:r>
      <w:r w:rsidR="00E805F6" w:rsidRPr="00DE1E8C">
        <w:rPr>
          <w:bCs/>
          <w:lang w:val="en-GB"/>
        </w:rPr>
        <w:instrText xml:space="preserve"> ADDIN ZOTERO_ITEM CSL_CITATION {"citationID":"a1t2utvh2dp","properties":{"formattedCitation":"(Gratwicke {\\i{}et al.}, 2015)","plainCitation":"(Gratwicke et al., 2015)","noteIndex":0},"citationItems":[{"id":9321,"uris":["http://zotero.org/users/local/xUwQuTPV/items/RYFZUFJK"],"uri":["http://zotero.org/users/local/xUwQuTPV/items/RYFZUFJK"],"itemData":{"id":9321,"type":"article-journal","container-title":"Brain","DOI":"10.1093/brain/awv104","issue":"6","journalAbbreviation":"Brain","language":"English","page":"1454-1476","title":"Parkinson’s disease dementia: a neural networks perspective","volume":"138","author":[{"family":"Gratwicke","given":"James"},{"family":"Jahanshahi","given":"Marjan"},{"family":"Foltynie","given":"Thomas"}],"issued":{"date-parts":[["2015",5,26]]}}}],"schema":"https://github.com/citation-style-language/schema/raw/master/csl-citation.json"} </w:instrText>
      </w:r>
      <w:r w:rsidR="00A06884" w:rsidRPr="00DE1E8C">
        <w:rPr>
          <w:bCs/>
          <w:lang w:val="en-GB"/>
        </w:rPr>
        <w:fldChar w:fldCharType="separate"/>
      </w:r>
      <w:r w:rsidR="00E805F6" w:rsidRPr="00DE1E8C">
        <w:rPr>
          <w:lang w:val="en-GB"/>
        </w:rPr>
        <w:t xml:space="preserve">(Gratwicke </w:t>
      </w:r>
      <w:r w:rsidR="00E805F6" w:rsidRPr="00DE1E8C">
        <w:rPr>
          <w:i/>
          <w:iCs/>
          <w:lang w:val="en-GB"/>
        </w:rPr>
        <w:t>et al.</w:t>
      </w:r>
      <w:r w:rsidR="00E805F6" w:rsidRPr="00DE1E8C">
        <w:rPr>
          <w:lang w:val="en-GB"/>
        </w:rPr>
        <w:t>, 2015)</w:t>
      </w:r>
      <w:r w:rsidR="00A06884" w:rsidRPr="00DE1E8C">
        <w:rPr>
          <w:bCs/>
          <w:lang w:val="en-GB"/>
        </w:rPr>
        <w:fldChar w:fldCharType="end"/>
      </w:r>
      <w:r w:rsidR="00A06884" w:rsidRPr="00DE1E8C">
        <w:rPr>
          <w:bCs/>
          <w:lang w:val="en-GB"/>
        </w:rPr>
        <w:t>.</w:t>
      </w:r>
      <w:r w:rsidR="00603C0B" w:rsidRPr="00DE1E8C">
        <w:rPr>
          <w:bCs/>
          <w:lang w:val="en-GB"/>
        </w:rPr>
        <w:t xml:space="preserve"> Our findings </w:t>
      </w:r>
      <w:r w:rsidR="00DD5F7A" w:rsidRPr="00DE1E8C">
        <w:rPr>
          <w:bCs/>
          <w:lang w:val="en-GB"/>
        </w:rPr>
        <w:t xml:space="preserve">suggest that </w:t>
      </w:r>
      <w:r w:rsidR="003863C0" w:rsidRPr="00DE1E8C">
        <w:rPr>
          <w:bCs/>
          <w:lang w:val="en-GB"/>
        </w:rPr>
        <w:t xml:space="preserve">impaired sensory evidence accumulation is a specific marker of attention problems in Lewy body dementia, which </w:t>
      </w:r>
      <w:r w:rsidR="00CA3F6D" w:rsidRPr="00DE1E8C">
        <w:rPr>
          <w:bCs/>
          <w:lang w:val="en-GB"/>
        </w:rPr>
        <w:t>may relate to large-scale network</w:t>
      </w:r>
      <w:r w:rsidR="00791AB0" w:rsidRPr="00DE1E8C">
        <w:rPr>
          <w:bCs/>
          <w:lang w:val="en-GB"/>
        </w:rPr>
        <w:t xml:space="preserve"> engagement. </w:t>
      </w:r>
      <w:r w:rsidR="006660DB" w:rsidRPr="00DE1E8C">
        <w:rPr>
          <w:bCs/>
          <w:lang w:val="en-GB"/>
        </w:rPr>
        <w:t>Going forwa</w:t>
      </w:r>
      <w:r w:rsidR="00C24016" w:rsidRPr="00DE1E8C">
        <w:rPr>
          <w:bCs/>
          <w:lang w:val="en-GB"/>
        </w:rPr>
        <w:t xml:space="preserve">rd, </w:t>
      </w:r>
      <w:r w:rsidR="006660DB" w:rsidRPr="00DE1E8C">
        <w:rPr>
          <w:bCs/>
          <w:lang w:val="en-GB"/>
        </w:rPr>
        <w:t>specific behavioural parameters</w:t>
      </w:r>
      <w:r w:rsidR="00C24016" w:rsidRPr="00DE1E8C">
        <w:rPr>
          <w:bCs/>
          <w:lang w:val="en-GB"/>
        </w:rPr>
        <w:t>, such as the drift rate,</w:t>
      </w:r>
      <w:r w:rsidR="006660DB" w:rsidRPr="00DE1E8C">
        <w:rPr>
          <w:bCs/>
          <w:lang w:val="en-GB"/>
        </w:rPr>
        <w:t xml:space="preserve"> may be important to exploit in</w:t>
      </w:r>
      <w:r w:rsidR="008B05FD" w:rsidRPr="00DE1E8C">
        <w:rPr>
          <w:bCs/>
          <w:lang w:val="en-GB"/>
        </w:rPr>
        <w:t xml:space="preserve"> </w:t>
      </w:r>
      <w:r w:rsidR="006660DB" w:rsidRPr="00DE1E8C">
        <w:rPr>
          <w:bCs/>
          <w:lang w:val="en-GB"/>
        </w:rPr>
        <w:t xml:space="preserve">explanatory and treatment studies of attention-related impairments in Lewy body dementia. </w:t>
      </w:r>
    </w:p>
    <w:p w14:paraId="35315DCD" w14:textId="77777777" w:rsidR="00A63BD1" w:rsidRPr="00DE1E8C" w:rsidRDefault="00A63BD1" w:rsidP="00132B66">
      <w:pPr>
        <w:spacing w:line="360" w:lineRule="auto"/>
        <w:jc w:val="both"/>
        <w:rPr>
          <w:bCs/>
          <w:lang w:val="en-GB"/>
        </w:rPr>
      </w:pPr>
    </w:p>
    <w:p w14:paraId="029C00D4" w14:textId="77777777" w:rsidR="00966E57" w:rsidRPr="00DE1E8C" w:rsidRDefault="00966E57" w:rsidP="00132B66">
      <w:pPr>
        <w:spacing w:line="360" w:lineRule="auto"/>
        <w:jc w:val="both"/>
        <w:rPr>
          <w:b/>
          <w:lang w:val="en-GB"/>
        </w:rPr>
      </w:pPr>
    </w:p>
    <w:p w14:paraId="4C962B51" w14:textId="77777777" w:rsidR="00966E57" w:rsidRPr="00DE1E8C" w:rsidRDefault="00966E57" w:rsidP="00132B66">
      <w:pPr>
        <w:spacing w:line="360" w:lineRule="auto"/>
        <w:jc w:val="both"/>
        <w:rPr>
          <w:b/>
          <w:lang w:val="en-GB"/>
        </w:rPr>
      </w:pPr>
    </w:p>
    <w:p w14:paraId="4022CE90" w14:textId="77777777" w:rsidR="00966E57" w:rsidRPr="00DE1E8C" w:rsidRDefault="00966E57" w:rsidP="00132B66">
      <w:pPr>
        <w:spacing w:line="360" w:lineRule="auto"/>
        <w:jc w:val="both"/>
        <w:rPr>
          <w:b/>
          <w:lang w:val="en-GB"/>
        </w:rPr>
      </w:pPr>
    </w:p>
    <w:p w14:paraId="4FCE7ACF" w14:textId="77777777" w:rsidR="00966E57" w:rsidRPr="00DE1E8C" w:rsidRDefault="00966E57" w:rsidP="00132B66">
      <w:pPr>
        <w:spacing w:line="360" w:lineRule="auto"/>
        <w:jc w:val="both"/>
        <w:rPr>
          <w:b/>
          <w:lang w:val="en-GB"/>
        </w:rPr>
      </w:pPr>
    </w:p>
    <w:p w14:paraId="1C92DAF2" w14:textId="77777777" w:rsidR="00966E57" w:rsidRPr="00DE1E8C" w:rsidRDefault="00966E57" w:rsidP="00132B66">
      <w:pPr>
        <w:spacing w:line="360" w:lineRule="auto"/>
        <w:jc w:val="both"/>
        <w:rPr>
          <w:b/>
          <w:lang w:val="en-GB"/>
        </w:rPr>
      </w:pPr>
    </w:p>
    <w:p w14:paraId="41EE2611" w14:textId="77777777" w:rsidR="00966E57" w:rsidRPr="00DE1E8C" w:rsidRDefault="00966E57" w:rsidP="00132B66">
      <w:pPr>
        <w:spacing w:line="360" w:lineRule="auto"/>
        <w:jc w:val="both"/>
        <w:rPr>
          <w:b/>
          <w:lang w:val="en-GB"/>
        </w:rPr>
      </w:pPr>
    </w:p>
    <w:p w14:paraId="2A3D7ED5" w14:textId="77777777" w:rsidR="00966E57" w:rsidRPr="00DE1E8C" w:rsidRDefault="00966E57" w:rsidP="00132B66">
      <w:pPr>
        <w:spacing w:line="360" w:lineRule="auto"/>
        <w:jc w:val="both"/>
        <w:rPr>
          <w:b/>
          <w:lang w:val="en-GB"/>
        </w:rPr>
      </w:pPr>
    </w:p>
    <w:p w14:paraId="2EBFD93A" w14:textId="77777777" w:rsidR="00966E57" w:rsidRPr="00DE1E8C" w:rsidRDefault="00966E57" w:rsidP="00132B66">
      <w:pPr>
        <w:spacing w:line="360" w:lineRule="auto"/>
        <w:jc w:val="both"/>
        <w:rPr>
          <w:b/>
          <w:lang w:val="en-GB"/>
        </w:rPr>
      </w:pPr>
    </w:p>
    <w:p w14:paraId="63B6FAEB" w14:textId="77777777" w:rsidR="00966E57" w:rsidRPr="00DE1E8C" w:rsidRDefault="00966E57" w:rsidP="00132B66">
      <w:pPr>
        <w:spacing w:line="360" w:lineRule="auto"/>
        <w:jc w:val="both"/>
        <w:rPr>
          <w:b/>
          <w:lang w:val="en-GB"/>
        </w:rPr>
      </w:pPr>
    </w:p>
    <w:p w14:paraId="073BCA0C" w14:textId="77777777" w:rsidR="00966E57" w:rsidRPr="00DE1E8C" w:rsidRDefault="00966E57" w:rsidP="00132B66">
      <w:pPr>
        <w:spacing w:line="360" w:lineRule="auto"/>
        <w:jc w:val="both"/>
        <w:rPr>
          <w:b/>
          <w:lang w:val="en-GB"/>
        </w:rPr>
      </w:pPr>
    </w:p>
    <w:p w14:paraId="21557E46" w14:textId="77777777" w:rsidR="00966E57" w:rsidRPr="00DE1E8C" w:rsidRDefault="00966E57" w:rsidP="00132B66">
      <w:pPr>
        <w:spacing w:line="360" w:lineRule="auto"/>
        <w:jc w:val="both"/>
        <w:rPr>
          <w:b/>
          <w:lang w:val="en-GB"/>
        </w:rPr>
      </w:pPr>
    </w:p>
    <w:p w14:paraId="52E28689" w14:textId="1BC2F59E" w:rsidR="00132B66" w:rsidRPr="00DE1E8C" w:rsidRDefault="00132B66" w:rsidP="00132B66">
      <w:pPr>
        <w:spacing w:line="360" w:lineRule="auto"/>
        <w:jc w:val="both"/>
        <w:rPr>
          <w:b/>
          <w:lang w:val="en-GB"/>
        </w:rPr>
      </w:pPr>
      <w:r w:rsidRPr="00DE1E8C">
        <w:rPr>
          <w:b/>
          <w:lang w:val="en-GB"/>
        </w:rPr>
        <w:lastRenderedPageBreak/>
        <w:t>Acknowledgments</w:t>
      </w:r>
    </w:p>
    <w:p w14:paraId="575014B4" w14:textId="5EF34581" w:rsidR="00132B66" w:rsidRPr="00DE1E8C" w:rsidRDefault="00AE1B46" w:rsidP="00132B66">
      <w:pPr>
        <w:spacing w:line="360" w:lineRule="auto"/>
        <w:jc w:val="both"/>
        <w:rPr>
          <w:lang w:val="en-GB"/>
        </w:rPr>
      </w:pPr>
      <w:r w:rsidRPr="00DE1E8C">
        <w:rPr>
          <w:lang w:val="en-GB"/>
        </w:rPr>
        <w:t>We thank Alison Killen for the initial data collection</w:t>
      </w:r>
      <w:r w:rsidR="00D060FF" w:rsidRPr="00DE1E8C">
        <w:rPr>
          <w:lang w:val="en-GB"/>
        </w:rPr>
        <w:t xml:space="preserve"> and Christina Van Heer for helpful comments on the manuscript. </w:t>
      </w:r>
      <w:r w:rsidRPr="00DE1E8C">
        <w:rPr>
          <w:lang w:val="en-GB"/>
        </w:rPr>
        <w:t xml:space="preserve"> </w:t>
      </w:r>
    </w:p>
    <w:p w14:paraId="062C8C87" w14:textId="77777777" w:rsidR="00ED0B26" w:rsidRPr="00DE1E8C" w:rsidRDefault="00ED0B26" w:rsidP="00132B66">
      <w:pPr>
        <w:spacing w:line="360" w:lineRule="auto"/>
        <w:jc w:val="both"/>
        <w:rPr>
          <w:lang w:val="en-GB"/>
        </w:rPr>
      </w:pPr>
    </w:p>
    <w:p w14:paraId="7B4F1AEC" w14:textId="77777777" w:rsidR="00132B66" w:rsidRPr="00DE1E8C" w:rsidRDefault="00132B66" w:rsidP="00132B66">
      <w:pPr>
        <w:spacing w:line="360" w:lineRule="auto"/>
        <w:jc w:val="both"/>
        <w:rPr>
          <w:b/>
          <w:lang w:val="en-GB"/>
        </w:rPr>
      </w:pPr>
      <w:r w:rsidRPr="00DE1E8C">
        <w:rPr>
          <w:b/>
          <w:lang w:val="en-GB"/>
        </w:rPr>
        <w:t xml:space="preserve">Funding </w:t>
      </w:r>
    </w:p>
    <w:p w14:paraId="6CEDECCB" w14:textId="522BCA6D" w:rsidR="0067535A" w:rsidRPr="00DE1E8C" w:rsidRDefault="00132B66" w:rsidP="0067535A">
      <w:pPr>
        <w:spacing w:line="360" w:lineRule="auto"/>
        <w:contextualSpacing/>
        <w:jc w:val="both"/>
        <w:rPr>
          <w:color w:val="000000"/>
          <w:shd w:val="clear" w:color="auto" w:fill="FFFFFF"/>
          <w:lang w:val="en-GB"/>
        </w:rPr>
      </w:pPr>
      <w:r w:rsidRPr="00DE1E8C">
        <w:rPr>
          <w:lang w:val="en-GB"/>
        </w:rPr>
        <w:t>CO was supported by a Neil Hamilton Fairley Fellowship from the Australian National Health and Medical Research Council (GNT1091310).</w:t>
      </w:r>
      <w:r w:rsidR="0067535A" w:rsidRPr="00DE1E8C">
        <w:rPr>
          <w:lang w:val="en-GB"/>
        </w:rPr>
        <w:t xml:space="preserve"> </w:t>
      </w:r>
      <w:r w:rsidR="0067535A" w:rsidRPr="00DE1E8C">
        <w:rPr>
          <w:bCs/>
          <w:iCs/>
          <w:lang w:val="en-GB"/>
        </w:rPr>
        <w:t>AT was supported by a UK Medical Research Council Intramural Programme Grant (SUAG/051)</w:t>
      </w:r>
      <w:r w:rsidR="00F03706" w:rsidRPr="00DE1E8C">
        <w:rPr>
          <w:bCs/>
          <w:iCs/>
          <w:lang w:val="en-GB"/>
        </w:rPr>
        <w:t>.</w:t>
      </w:r>
      <w:r w:rsidR="00FA7446" w:rsidRPr="00DE1E8C">
        <w:rPr>
          <w:bCs/>
          <w:iCs/>
          <w:lang w:val="en-GB"/>
        </w:rPr>
        <w:t xml:space="preserve"> </w:t>
      </w:r>
      <w:r w:rsidR="00FA7446" w:rsidRPr="00DE1E8C">
        <w:rPr>
          <w:color w:val="000000"/>
          <w:shd w:val="clear" w:color="auto" w:fill="FFFFFF"/>
          <w:lang w:val="en-GB"/>
        </w:rPr>
        <w:t>JOB is supported by the NIHR Cambridge Biomedical Research Centre and the Cambridge Centre for Parkinson’s Plus.</w:t>
      </w:r>
      <w:r w:rsidR="00FA7446" w:rsidRPr="00DE1E8C">
        <w:rPr>
          <w:bCs/>
          <w:iCs/>
          <w:lang w:val="en-GB"/>
        </w:rPr>
        <w:t xml:space="preserve"> </w:t>
      </w:r>
      <w:r w:rsidR="00F03706" w:rsidRPr="00DE1E8C">
        <w:rPr>
          <w:color w:val="000000"/>
          <w:shd w:val="clear" w:color="auto" w:fill="FFFFFF"/>
          <w:lang w:val="en-GB"/>
        </w:rPr>
        <w:t>The research was supported by a Wellcome Trust Intermediate Clinical Fellowship (WT088441MA) to J-PT, Northumberland Tyne and Wear NHS Foundation Trust, by National Institute for Health Research (NIHR) Newcastle Biomedical Research Centre (BRC) based at Newcastle upon Tyne Hospitals NHS Foundation Trust and Newcastle University, and by Alzheimer’s Research UK.</w:t>
      </w:r>
    </w:p>
    <w:p w14:paraId="7501A79D" w14:textId="5B882114" w:rsidR="00055DFA" w:rsidRPr="00DE1E8C" w:rsidRDefault="00055DFA" w:rsidP="0067535A">
      <w:pPr>
        <w:spacing w:line="360" w:lineRule="auto"/>
        <w:contextualSpacing/>
        <w:jc w:val="both"/>
        <w:rPr>
          <w:color w:val="000000"/>
          <w:shd w:val="clear" w:color="auto" w:fill="FFFFFF"/>
          <w:lang w:val="en-GB"/>
        </w:rPr>
      </w:pPr>
    </w:p>
    <w:p w14:paraId="1069DD9A" w14:textId="04273D4C" w:rsidR="00055DFA" w:rsidRPr="00DE1E8C" w:rsidRDefault="00055DFA" w:rsidP="0067535A">
      <w:pPr>
        <w:spacing w:line="360" w:lineRule="auto"/>
        <w:contextualSpacing/>
        <w:jc w:val="both"/>
        <w:rPr>
          <w:b/>
          <w:iCs/>
          <w:lang w:val="en-GB"/>
        </w:rPr>
      </w:pPr>
      <w:r w:rsidRPr="00DE1E8C">
        <w:rPr>
          <w:b/>
          <w:iCs/>
          <w:lang w:val="en-GB"/>
        </w:rPr>
        <w:t>Competing interests</w:t>
      </w:r>
    </w:p>
    <w:p w14:paraId="7EFD07DF" w14:textId="48858384" w:rsidR="00C40C56" w:rsidRPr="00DE1E8C" w:rsidRDefault="00055DFA" w:rsidP="00C40C56">
      <w:pPr>
        <w:tabs>
          <w:tab w:val="left" w:pos="1609"/>
        </w:tabs>
        <w:spacing w:line="360" w:lineRule="auto"/>
        <w:contextualSpacing/>
        <w:jc w:val="both"/>
        <w:rPr>
          <w:bCs/>
          <w:lang w:val="en-GB"/>
        </w:rPr>
      </w:pPr>
      <w:r w:rsidRPr="00DE1E8C">
        <w:rPr>
          <w:bCs/>
          <w:lang w:val="en-GB"/>
        </w:rPr>
        <w:t xml:space="preserve">The authors declare no competing interests. </w:t>
      </w:r>
    </w:p>
    <w:p w14:paraId="67A0F1FD" w14:textId="6D3B4F51" w:rsidR="00ED0B26" w:rsidRPr="00DE1E8C" w:rsidRDefault="00ED0B26" w:rsidP="00C40C56">
      <w:pPr>
        <w:tabs>
          <w:tab w:val="left" w:pos="1609"/>
        </w:tabs>
        <w:spacing w:line="360" w:lineRule="auto"/>
        <w:contextualSpacing/>
        <w:jc w:val="both"/>
        <w:rPr>
          <w:b/>
          <w:lang w:val="en-GB"/>
        </w:rPr>
      </w:pPr>
    </w:p>
    <w:p w14:paraId="175ED7AE" w14:textId="2C84EE6D" w:rsidR="001E4922" w:rsidRPr="00DE1E8C" w:rsidRDefault="001E4922" w:rsidP="00C40C56">
      <w:pPr>
        <w:tabs>
          <w:tab w:val="left" w:pos="1609"/>
        </w:tabs>
        <w:spacing w:line="360" w:lineRule="auto"/>
        <w:contextualSpacing/>
        <w:jc w:val="both"/>
        <w:rPr>
          <w:b/>
          <w:lang w:val="en-GB"/>
        </w:rPr>
      </w:pPr>
    </w:p>
    <w:p w14:paraId="02BB98A1" w14:textId="71DB0179" w:rsidR="001E4922" w:rsidRPr="00DE1E8C" w:rsidRDefault="001E4922" w:rsidP="00C40C56">
      <w:pPr>
        <w:tabs>
          <w:tab w:val="left" w:pos="1609"/>
        </w:tabs>
        <w:spacing w:line="360" w:lineRule="auto"/>
        <w:contextualSpacing/>
        <w:jc w:val="both"/>
        <w:rPr>
          <w:b/>
          <w:lang w:val="en-GB"/>
        </w:rPr>
      </w:pPr>
    </w:p>
    <w:p w14:paraId="79D46682" w14:textId="646D7B31" w:rsidR="001E4922" w:rsidRPr="00DE1E8C" w:rsidRDefault="001E4922" w:rsidP="00C40C56">
      <w:pPr>
        <w:tabs>
          <w:tab w:val="left" w:pos="1609"/>
        </w:tabs>
        <w:spacing w:line="360" w:lineRule="auto"/>
        <w:contextualSpacing/>
        <w:jc w:val="both"/>
        <w:rPr>
          <w:b/>
          <w:lang w:val="en-GB"/>
        </w:rPr>
      </w:pPr>
    </w:p>
    <w:p w14:paraId="571BEB47" w14:textId="651DF2E2" w:rsidR="001E4922" w:rsidRPr="00DE1E8C" w:rsidRDefault="001E4922" w:rsidP="00C40C56">
      <w:pPr>
        <w:tabs>
          <w:tab w:val="left" w:pos="1609"/>
        </w:tabs>
        <w:spacing w:line="360" w:lineRule="auto"/>
        <w:contextualSpacing/>
        <w:jc w:val="both"/>
        <w:rPr>
          <w:b/>
          <w:lang w:val="en-GB"/>
        </w:rPr>
      </w:pPr>
    </w:p>
    <w:p w14:paraId="48FBBE1D" w14:textId="7CB93B98" w:rsidR="001E4922" w:rsidRPr="00DE1E8C" w:rsidRDefault="001E4922" w:rsidP="00C40C56">
      <w:pPr>
        <w:tabs>
          <w:tab w:val="left" w:pos="1609"/>
        </w:tabs>
        <w:spacing w:line="360" w:lineRule="auto"/>
        <w:contextualSpacing/>
        <w:jc w:val="both"/>
        <w:rPr>
          <w:b/>
          <w:lang w:val="en-GB"/>
        </w:rPr>
      </w:pPr>
    </w:p>
    <w:p w14:paraId="693026FC" w14:textId="7754799F" w:rsidR="001E4922" w:rsidRPr="00DE1E8C" w:rsidRDefault="001E4922" w:rsidP="00C40C56">
      <w:pPr>
        <w:tabs>
          <w:tab w:val="left" w:pos="1609"/>
        </w:tabs>
        <w:spacing w:line="360" w:lineRule="auto"/>
        <w:contextualSpacing/>
        <w:jc w:val="both"/>
        <w:rPr>
          <w:b/>
          <w:lang w:val="en-GB"/>
        </w:rPr>
      </w:pPr>
    </w:p>
    <w:p w14:paraId="7ECAAE10" w14:textId="40848BD5" w:rsidR="001E4922" w:rsidRPr="00DE1E8C" w:rsidRDefault="001E4922" w:rsidP="00C40C56">
      <w:pPr>
        <w:tabs>
          <w:tab w:val="left" w:pos="1609"/>
        </w:tabs>
        <w:spacing w:line="360" w:lineRule="auto"/>
        <w:contextualSpacing/>
        <w:jc w:val="both"/>
        <w:rPr>
          <w:b/>
          <w:lang w:val="en-GB"/>
        </w:rPr>
      </w:pPr>
    </w:p>
    <w:p w14:paraId="37F53323" w14:textId="54B78780" w:rsidR="001E4922" w:rsidRPr="00DE1E8C" w:rsidRDefault="001E4922" w:rsidP="00C40C56">
      <w:pPr>
        <w:tabs>
          <w:tab w:val="left" w:pos="1609"/>
        </w:tabs>
        <w:spacing w:line="360" w:lineRule="auto"/>
        <w:contextualSpacing/>
        <w:jc w:val="both"/>
        <w:rPr>
          <w:b/>
          <w:lang w:val="en-GB"/>
        </w:rPr>
      </w:pPr>
    </w:p>
    <w:p w14:paraId="1FD625C6" w14:textId="7573E276" w:rsidR="001E4922" w:rsidRPr="00DE1E8C" w:rsidRDefault="001E4922" w:rsidP="00C40C56">
      <w:pPr>
        <w:tabs>
          <w:tab w:val="left" w:pos="1609"/>
        </w:tabs>
        <w:spacing w:line="360" w:lineRule="auto"/>
        <w:contextualSpacing/>
        <w:jc w:val="both"/>
        <w:rPr>
          <w:b/>
          <w:lang w:val="en-GB"/>
        </w:rPr>
      </w:pPr>
    </w:p>
    <w:p w14:paraId="79C3B848" w14:textId="6481A641" w:rsidR="001E4922" w:rsidRPr="00DE1E8C" w:rsidRDefault="001E4922" w:rsidP="00C40C56">
      <w:pPr>
        <w:tabs>
          <w:tab w:val="left" w:pos="1609"/>
        </w:tabs>
        <w:spacing w:line="360" w:lineRule="auto"/>
        <w:contextualSpacing/>
        <w:jc w:val="both"/>
        <w:rPr>
          <w:b/>
          <w:lang w:val="en-GB"/>
        </w:rPr>
      </w:pPr>
    </w:p>
    <w:p w14:paraId="5CD3EE71" w14:textId="496F554B" w:rsidR="001E4922" w:rsidRPr="00DE1E8C" w:rsidRDefault="001E4922" w:rsidP="00C40C56">
      <w:pPr>
        <w:tabs>
          <w:tab w:val="left" w:pos="1609"/>
        </w:tabs>
        <w:spacing w:line="360" w:lineRule="auto"/>
        <w:contextualSpacing/>
        <w:jc w:val="both"/>
        <w:rPr>
          <w:b/>
          <w:lang w:val="en-GB"/>
        </w:rPr>
      </w:pPr>
    </w:p>
    <w:p w14:paraId="4F27FBD5" w14:textId="4BF4EF33" w:rsidR="001E4922" w:rsidRPr="00DE1E8C" w:rsidRDefault="001E4922" w:rsidP="00C40C56">
      <w:pPr>
        <w:tabs>
          <w:tab w:val="left" w:pos="1609"/>
        </w:tabs>
        <w:spacing w:line="360" w:lineRule="auto"/>
        <w:contextualSpacing/>
        <w:jc w:val="both"/>
        <w:rPr>
          <w:b/>
          <w:lang w:val="en-GB"/>
        </w:rPr>
      </w:pPr>
    </w:p>
    <w:p w14:paraId="04D21B52" w14:textId="77777777" w:rsidR="00E1352B" w:rsidRPr="00DE1E8C" w:rsidRDefault="00E1352B" w:rsidP="00C40C56">
      <w:pPr>
        <w:tabs>
          <w:tab w:val="left" w:pos="1609"/>
        </w:tabs>
        <w:spacing w:line="360" w:lineRule="auto"/>
        <w:contextualSpacing/>
        <w:jc w:val="both"/>
        <w:rPr>
          <w:b/>
          <w:lang w:val="en-GB"/>
        </w:rPr>
      </w:pPr>
    </w:p>
    <w:p w14:paraId="337F8A50" w14:textId="77777777" w:rsidR="00966E57" w:rsidRPr="00DE1E8C" w:rsidRDefault="00966E57" w:rsidP="00C40C56">
      <w:pPr>
        <w:tabs>
          <w:tab w:val="left" w:pos="1609"/>
        </w:tabs>
        <w:spacing w:line="360" w:lineRule="auto"/>
        <w:contextualSpacing/>
        <w:jc w:val="both"/>
        <w:rPr>
          <w:b/>
          <w:lang w:val="en-GB"/>
        </w:rPr>
      </w:pPr>
    </w:p>
    <w:p w14:paraId="2D892F6C" w14:textId="77777777" w:rsidR="00966E57" w:rsidRPr="00DE1E8C" w:rsidRDefault="00966E57" w:rsidP="00C40C56">
      <w:pPr>
        <w:tabs>
          <w:tab w:val="left" w:pos="1609"/>
        </w:tabs>
        <w:spacing w:line="360" w:lineRule="auto"/>
        <w:contextualSpacing/>
        <w:jc w:val="both"/>
        <w:rPr>
          <w:b/>
          <w:lang w:val="en-GB"/>
        </w:rPr>
      </w:pPr>
    </w:p>
    <w:p w14:paraId="67A1B49D" w14:textId="02ED1EED" w:rsidR="00824BD4" w:rsidRPr="00DE1E8C" w:rsidRDefault="00824BD4" w:rsidP="00C40C56">
      <w:pPr>
        <w:tabs>
          <w:tab w:val="left" w:pos="1609"/>
        </w:tabs>
        <w:spacing w:line="360" w:lineRule="auto"/>
        <w:contextualSpacing/>
        <w:jc w:val="both"/>
        <w:rPr>
          <w:b/>
          <w:lang w:val="en-GB"/>
        </w:rPr>
      </w:pPr>
      <w:r w:rsidRPr="00DE1E8C">
        <w:rPr>
          <w:b/>
          <w:lang w:val="en-GB"/>
        </w:rPr>
        <w:t>References</w:t>
      </w:r>
    </w:p>
    <w:p w14:paraId="63A087C4" w14:textId="77777777" w:rsidR="00A867A4" w:rsidRPr="00DE1E8C" w:rsidRDefault="00A65FED" w:rsidP="00A867A4">
      <w:pPr>
        <w:pStyle w:val="Bibliography"/>
        <w:rPr>
          <w:lang w:val="en-GB"/>
        </w:rPr>
      </w:pPr>
      <w:r w:rsidRPr="00DE1E8C">
        <w:rPr>
          <w:lang w:val="en-GB"/>
        </w:rPr>
        <w:fldChar w:fldCharType="begin"/>
      </w:r>
      <w:r w:rsidR="00A867A4" w:rsidRPr="00DE1E8C">
        <w:rPr>
          <w:lang w:val="en-GB"/>
        </w:rPr>
        <w:instrText xml:space="preserve"> ADDIN ZOTERO_BIBL {"uncited":[],"omitted":[],"custom":[]} CSL_BIBLIOGRAPHY </w:instrText>
      </w:r>
      <w:r w:rsidRPr="00DE1E8C">
        <w:rPr>
          <w:lang w:val="en-GB"/>
        </w:rPr>
        <w:fldChar w:fldCharType="separate"/>
      </w:r>
      <w:r w:rsidR="00A867A4" w:rsidRPr="00DE1E8C">
        <w:rPr>
          <w:lang w:val="en-GB"/>
        </w:rPr>
        <w:t>Ashburner J. A fast diffeomorphic image registration algorithm. NeuroImage 2007; 38: 95–113.</w:t>
      </w:r>
    </w:p>
    <w:p w14:paraId="20856516" w14:textId="77777777" w:rsidR="00A867A4" w:rsidRPr="00DE1E8C" w:rsidRDefault="00A867A4" w:rsidP="00A867A4">
      <w:pPr>
        <w:pStyle w:val="Bibliography"/>
        <w:rPr>
          <w:lang w:val="en-GB"/>
        </w:rPr>
      </w:pPr>
      <w:r w:rsidRPr="00DE1E8C">
        <w:rPr>
          <w:lang w:val="en-GB"/>
        </w:rPr>
        <w:t>Ballard C, O’Brien J, Gray A, Cormack F, Ayre G, Rowan E, et al. Attention and Fluctuating Attention in Patients With Dementia With Lewy Bodies and Alzheimer Disease. Arch Neurol 2001; 58: 977.</w:t>
      </w:r>
    </w:p>
    <w:p w14:paraId="3883D2A3" w14:textId="77777777" w:rsidR="00A867A4" w:rsidRPr="00DE1E8C" w:rsidRDefault="00A867A4" w:rsidP="00A867A4">
      <w:pPr>
        <w:pStyle w:val="Bibliography"/>
        <w:rPr>
          <w:lang w:val="en-GB"/>
        </w:rPr>
      </w:pPr>
      <w:r w:rsidRPr="00DE1E8C">
        <w:rPr>
          <w:lang w:val="en-GB"/>
        </w:rPr>
        <w:t>Ballard CG, Aarsland D, McKeith I, O’Brien J, Gray A, Cormack F, et al. Fluctuations in attention: PD dementia vs DLB with parkinsonism. Neurology 2002; 59: 1714–20.</w:t>
      </w:r>
    </w:p>
    <w:p w14:paraId="3434824B" w14:textId="77777777" w:rsidR="00A867A4" w:rsidRPr="00DE1E8C" w:rsidRDefault="00A867A4" w:rsidP="00A867A4">
      <w:pPr>
        <w:pStyle w:val="Bibliography"/>
        <w:rPr>
          <w:lang w:val="en-GB"/>
        </w:rPr>
      </w:pPr>
      <w:r w:rsidRPr="00DE1E8C">
        <w:rPr>
          <w:lang w:val="en-GB"/>
        </w:rPr>
        <w:t>Bliwise DL, Scullin MK, Trotti LM. Fluctuations in cognition and alertness vary independently in dementia with Lewy bodies. Movement Disorders 2014; 29: 83–9.</w:t>
      </w:r>
    </w:p>
    <w:p w14:paraId="5D77513C" w14:textId="77777777" w:rsidR="00A867A4" w:rsidRPr="00DE1E8C" w:rsidRDefault="00A867A4" w:rsidP="00A867A4">
      <w:pPr>
        <w:pStyle w:val="Bibliography"/>
        <w:rPr>
          <w:lang w:val="en-GB"/>
        </w:rPr>
      </w:pPr>
      <w:r w:rsidRPr="00DE1E8C">
        <w:rPr>
          <w:lang w:val="en-GB"/>
        </w:rPr>
        <w:t>Buckner RL, DiNicola LM. The brain’s default network: updated anatomy, physiology and evolving insights. Nat Rev Neurosci 2019: 1–16.</w:t>
      </w:r>
    </w:p>
    <w:p w14:paraId="45744A68" w14:textId="77777777" w:rsidR="00A867A4" w:rsidRPr="00DE1E8C" w:rsidRDefault="00A867A4" w:rsidP="00A867A4">
      <w:pPr>
        <w:pStyle w:val="Bibliography"/>
        <w:rPr>
          <w:lang w:val="en-GB"/>
        </w:rPr>
      </w:pPr>
      <w:r w:rsidRPr="00DE1E8C">
        <w:rPr>
          <w:lang w:val="en-GB"/>
        </w:rPr>
        <w:t>Buzsáki G. The Brain–Cognitive Behavior Problem: A Retrospective. eNeuro 2020; 7: ENEURO.0069-20.2020.</w:t>
      </w:r>
    </w:p>
    <w:p w14:paraId="195748EE" w14:textId="77777777" w:rsidR="00A867A4" w:rsidRPr="00DE1E8C" w:rsidRDefault="00A867A4" w:rsidP="00A867A4">
      <w:pPr>
        <w:pStyle w:val="Bibliography"/>
        <w:rPr>
          <w:lang w:val="en-GB"/>
        </w:rPr>
      </w:pPr>
      <w:r w:rsidRPr="00DE1E8C">
        <w:rPr>
          <w:lang w:val="en-GB"/>
        </w:rPr>
        <w:t>Cardinal RN, Aitken MRF. ANOVA for the behavioral sciences researcher. 2013</w:t>
      </w:r>
    </w:p>
    <w:p w14:paraId="4495A16F" w14:textId="77777777" w:rsidR="00A867A4" w:rsidRPr="00DE1E8C" w:rsidRDefault="00A867A4" w:rsidP="00A867A4">
      <w:pPr>
        <w:pStyle w:val="Bibliography"/>
        <w:rPr>
          <w:lang w:val="en-GB"/>
        </w:rPr>
      </w:pPr>
      <w:r w:rsidRPr="00DE1E8C">
        <w:rPr>
          <w:lang w:val="en-GB"/>
        </w:rPr>
        <w:t>Cavanagh JF, Wiecki TV, Cohen MX, Figueroa CM, Samanta J, Sherman SJ, et al. Subthalamic nucleus stimulation reverses mediofrontal influence over decision threshold. Nature Neuroscience 2011; 14: 1462–7.</w:t>
      </w:r>
    </w:p>
    <w:p w14:paraId="3B5F0A66" w14:textId="77777777" w:rsidR="00A867A4" w:rsidRPr="00DE1E8C" w:rsidRDefault="00A867A4" w:rsidP="00A867A4">
      <w:pPr>
        <w:pStyle w:val="Bibliography"/>
        <w:rPr>
          <w:lang w:val="en-GB"/>
        </w:rPr>
      </w:pPr>
      <w:r w:rsidRPr="00DE1E8C">
        <w:rPr>
          <w:lang w:val="en-GB"/>
        </w:rPr>
        <w:t>Cavanagh JF, Wiecki TV, Kochar A, Frank MJ. Eye tracking and pupillometry are indicators of dissociable latent decision processes. Journal of Experimental Psychology: General 2014; 143: 1476–88.</w:t>
      </w:r>
    </w:p>
    <w:p w14:paraId="481EB42F" w14:textId="77777777" w:rsidR="00A867A4" w:rsidRPr="00DE1E8C" w:rsidRDefault="00A867A4" w:rsidP="00A867A4">
      <w:pPr>
        <w:pStyle w:val="Bibliography"/>
        <w:rPr>
          <w:lang w:val="en-GB"/>
        </w:rPr>
      </w:pPr>
      <w:r w:rsidRPr="00DE1E8C">
        <w:rPr>
          <w:lang w:val="en-GB"/>
        </w:rPr>
        <w:t>Cisler JM, Bush K, Steele JS. A comparison of statistical methods for detecting context-modulated functional connectivity in fMRI. NeuroImage 2014; 84: 1042–52.</w:t>
      </w:r>
    </w:p>
    <w:p w14:paraId="5CF353B4" w14:textId="77777777" w:rsidR="00A867A4" w:rsidRPr="00DE1E8C" w:rsidRDefault="00A867A4" w:rsidP="00A867A4">
      <w:pPr>
        <w:pStyle w:val="Bibliography"/>
        <w:rPr>
          <w:lang w:val="en-GB"/>
        </w:rPr>
      </w:pPr>
      <w:r w:rsidRPr="00DE1E8C">
        <w:rPr>
          <w:lang w:val="en-GB"/>
        </w:rPr>
        <w:t>Corbetta M, Shulman GL. Control of goal-directed and stimulus-driven attention in the brain. Nat Rev Neurosci 2002; 3: 201–15.</w:t>
      </w:r>
    </w:p>
    <w:p w14:paraId="7DDEF80E" w14:textId="77777777" w:rsidR="00A867A4" w:rsidRPr="00DE1E8C" w:rsidRDefault="00A867A4" w:rsidP="00A867A4">
      <w:pPr>
        <w:pStyle w:val="Bibliography"/>
        <w:rPr>
          <w:lang w:val="en-GB"/>
        </w:rPr>
      </w:pPr>
      <w:r w:rsidRPr="00DE1E8C">
        <w:rPr>
          <w:lang w:val="en-GB"/>
        </w:rPr>
        <w:t>Ding L, Gold JI. Neural Correlates of Perceptual Decision Making before, during, and after Decision Commitment in Monkey Frontal Eye Field. Cereb Cortex 2012; 22: 1052–67.</w:t>
      </w:r>
    </w:p>
    <w:p w14:paraId="6DDF1EDA" w14:textId="77777777" w:rsidR="00A867A4" w:rsidRPr="00DE1E8C" w:rsidRDefault="00A867A4" w:rsidP="00A867A4">
      <w:pPr>
        <w:pStyle w:val="Bibliography"/>
        <w:rPr>
          <w:lang w:val="en-GB"/>
        </w:rPr>
      </w:pPr>
      <w:r w:rsidRPr="00DE1E8C">
        <w:rPr>
          <w:lang w:val="en-GB"/>
        </w:rPr>
        <w:t>Dixon ML, Andrews-Hanna JR, Spreng RN, Irving ZC, Mills C, Girn M, et al. Interactions between the default network and dorsal attention network vary across default subsystems, time, and cognitive states. NeuroImage 2017; 147: 632–49.</w:t>
      </w:r>
    </w:p>
    <w:p w14:paraId="23AF9572" w14:textId="77777777" w:rsidR="00A867A4" w:rsidRPr="00DE1E8C" w:rsidRDefault="00A867A4" w:rsidP="00A867A4">
      <w:pPr>
        <w:pStyle w:val="Bibliography"/>
        <w:rPr>
          <w:lang w:val="en-GB"/>
        </w:rPr>
      </w:pPr>
      <w:r w:rsidRPr="00DE1E8C">
        <w:rPr>
          <w:lang w:val="en-GB"/>
        </w:rPr>
        <w:t>Emre M, Aarsland D, Brown R, Burn DJ, Duyckaerts C, Mizuno Y, et al. Clinical diagnostic criteria for dementia associated with Parkinson’s disease. Movement Disorders 2007; 22: 1689–707.</w:t>
      </w:r>
    </w:p>
    <w:p w14:paraId="220500D2" w14:textId="77777777" w:rsidR="00A867A4" w:rsidRPr="00DE1E8C" w:rsidRDefault="00A867A4" w:rsidP="00A867A4">
      <w:pPr>
        <w:pStyle w:val="Bibliography"/>
        <w:rPr>
          <w:lang w:val="en-GB"/>
        </w:rPr>
      </w:pPr>
      <w:r w:rsidRPr="00DE1E8C">
        <w:rPr>
          <w:lang w:val="en-GB"/>
        </w:rPr>
        <w:t>Fan J, McCandliss BD, Sommer T, Raz A, Posner MI. Testing the Efficiency and Independence of Attentional Networks. Journal of Cognitive Neuroscience 2002; 14: 340–7.</w:t>
      </w:r>
    </w:p>
    <w:p w14:paraId="34FD39ED" w14:textId="77777777" w:rsidR="00A867A4" w:rsidRPr="00DE1E8C" w:rsidRDefault="00A867A4" w:rsidP="00A867A4">
      <w:pPr>
        <w:pStyle w:val="Bibliography"/>
        <w:rPr>
          <w:lang w:val="en-GB"/>
        </w:rPr>
      </w:pPr>
      <w:r w:rsidRPr="00DE1E8C">
        <w:rPr>
          <w:lang w:val="en-GB"/>
        </w:rPr>
        <w:t>Feldman H, Friston KJ. Attention, Uncertainty, and Free-Energy [Internet]. Front Hum Neurosci 2010; 4[cited 2020 Oct 16] Available from: http://journal.frontiersin.org/article/10.3389/fnhum.2010.00215/abstract</w:t>
      </w:r>
    </w:p>
    <w:p w14:paraId="71A4176E" w14:textId="77777777" w:rsidR="00A867A4" w:rsidRPr="00DE1E8C" w:rsidRDefault="00A867A4" w:rsidP="00A867A4">
      <w:pPr>
        <w:pStyle w:val="Bibliography"/>
        <w:rPr>
          <w:lang w:val="en-GB"/>
        </w:rPr>
      </w:pPr>
      <w:r w:rsidRPr="00DE1E8C">
        <w:rPr>
          <w:lang w:val="en-GB"/>
        </w:rPr>
        <w:t>Ferman TJ, Smith GE, Boeve BF, Ivnik RJ, Petersen RC, Knopman D, et al. DLB fluctuations: specific features that reliably differentiate DLB from AD and normal aging. Neurology 2004; 62: 181–7.</w:t>
      </w:r>
    </w:p>
    <w:p w14:paraId="3F23CB1A" w14:textId="77777777" w:rsidR="00A867A4" w:rsidRPr="00DE1E8C" w:rsidRDefault="00A867A4" w:rsidP="00A867A4">
      <w:pPr>
        <w:pStyle w:val="Bibliography"/>
        <w:rPr>
          <w:lang w:val="en-GB"/>
        </w:rPr>
      </w:pPr>
      <w:r w:rsidRPr="00DE1E8C">
        <w:rPr>
          <w:lang w:val="en-GB"/>
        </w:rPr>
        <w:t>Firbank M, Kobeleva X, Cherry G, Killen A, Gallagher P, Burn DJ, et al. Neural correlates of attention-executive dysfunction in lewy body dementia and Alzheimer’s disease. Hum Brain Mapp 2016; 37: 1254–70.</w:t>
      </w:r>
    </w:p>
    <w:p w14:paraId="5B336CE6" w14:textId="77777777" w:rsidR="00A867A4" w:rsidRPr="00DE1E8C" w:rsidRDefault="00A867A4" w:rsidP="00A867A4">
      <w:pPr>
        <w:pStyle w:val="Bibliography"/>
        <w:rPr>
          <w:lang w:val="en-GB"/>
        </w:rPr>
      </w:pPr>
      <w:r w:rsidRPr="00DE1E8C">
        <w:rPr>
          <w:lang w:val="en-GB"/>
        </w:rPr>
        <w:t>Firbank MJ, O’Brien JT, Taylor J-P. Long reaction times are associated with delayed brain activity in lewy body dementia. Hum Brain Mapp 2018; 39: 633–43.</w:t>
      </w:r>
    </w:p>
    <w:p w14:paraId="5EE5A632" w14:textId="77777777" w:rsidR="00A867A4" w:rsidRPr="00DE1E8C" w:rsidRDefault="00A867A4" w:rsidP="00A867A4">
      <w:pPr>
        <w:pStyle w:val="Bibliography"/>
        <w:rPr>
          <w:lang w:val="en-GB"/>
        </w:rPr>
      </w:pPr>
      <w:r w:rsidRPr="00DE1E8C">
        <w:rPr>
          <w:lang w:val="en-GB"/>
        </w:rPr>
        <w:t>Forstmann BU, Ratcliff R, Wagenmakers E-J. Sequential Sampling Models in Cognitive Neuroscience: Advantages, Applications, and Extensions. Annual Review of Psychology 2016; 67: 641–66.</w:t>
      </w:r>
    </w:p>
    <w:p w14:paraId="2B25A28F" w14:textId="77777777" w:rsidR="00A867A4" w:rsidRPr="00DE1E8C" w:rsidRDefault="00A867A4" w:rsidP="00A867A4">
      <w:pPr>
        <w:pStyle w:val="Bibliography"/>
        <w:rPr>
          <w:lang w:val="en-GB"/>
        </w:rPr>
      </w:pPr>
      <w:r w:rsidRPr="00DE1E8C">
        <w:rPr>
          <w:lang w:val="en-GB"/>
        </w:rPr>
        <w:t>Frank MJ, Gagne C, Nyhus E, Masters S, Wiecki TV, Cavanagh JF, et al. fMRI and EEG Predictors of Dynamic Decision Parameters during Human Reinforcement Learning. J Neurosci 2015; 35: 485–94.</w:t>
      </w:r>
    </w:p>
    <w:p w14:paraId="5DDA0BFC" w14:textId="77777777" w:rsidR="00A867A4" w:rsidRPr="00DE1E8C" w:rsidRDefault="00A867A4" w:rsidP="00A867A4">
      <w:pPr>
        <w:pStyle w:val="Bibliography"/>
        <w:rPr>
          <w:lang w:val="en-GB"/>
        </w:rPr>
      </w:pPr>
      <w:r w:rsidRPr="00DE1E8C">
        <w:rPr>
          <w:lang w:val="en-GB"/>
        </w:rPr>
        <w:t>Friston KJ. Hallucinations and perceptual inference. Behavioral and Brain Sciences 2005; 28: 764–6.</w:t>
      </w:r>
    </w:p>
    <w:p w14:paraId="110A99B1" w14:textId="77777777" w:rsidR="00A867A4" w:rsidRPr="00DE1E8C" w:rsidRDefault="00A867A4" w:rsidP="00A867A4">
      <w:pPr>
        <w:pStyle w:val="Bibliography"/>
        <w:rPr>
          <w:lang w:val="en-GB"/>
        </w:rPr>
      </w:pPr>
      <w:r w:rsidRPr="00DE1E8C">
        <w:rPr>
          <w:lang w:val="en-GB"/>
        </w:rPr>
        <w:t>Gold JI, Shadlen MN. The Neural Basis of Decision Making. Annual Review of Neuroscience 2007; 30: 535–74.</w:t>
      </w:r>
    </w:p>
    <w:p w14:paraId="5EB6D84A" w14:textId="77777777" w:rsidR="00A867A4" w:rsidRPr="00DE1E8C" w:rsidRDefault="00A867A4" w:rsidP="00A867A4">
      <w:pPr>
        <w:pStyle w:val="Bibliography"/>
        <w:rPr>
          <w:lang w:val="en-GB"/>
        </w:rPr>
      </w:pPr>
      <w:r w:rsidRPr="00DE1E8C">
        <w:rPr>
          <w:lang w:val="en-GB"/>
        </w:rPr>
        <w:t>Gratwicke J, Jahanshahi M, Foltynie T. Parkinson’s disease dementia: a neural networks perspective. Brain 2015; 138: 1454–76.</w:t>
      </w:r>
    </w:p>
    <w:p w14:paraId="2794898B" w14:textId="77777777" w:rsidR="00A867A4" w:rsidRPr="00DE1E8C" w:rsidRDefault="00A867A4" w:rsidP="00A867A4">
      <w:pPr>
        <w:pStyle w:val="Bibliography"/>
        <w:rPr>
          <w:lang w:val="en-GB"/>
        </w:rPr>
      </w:pPr>
      <w:r w:rsidRPr="00DE1E8C">
        <w:rPr>
          <w:lang w:val="en-GB"/>
        </w:rPr>
        <w:t>Grefkes C, Fink GR. The functional organization of the intraparietal sulcus in humans and monkeys. Journal of Anatomy 2005; 207: 3–17.</w:t>
      </w:r>
    </w:p>
    <w:p w14:paraId="086D5A3D" w14:textId="77777777" w:rsidR="00A867A4" w:rsidRPr="00DE1E8C" w:rsidRDefault="00A867A4" w:rsidP="00A867A4">
      <w:pPr>
        <w:pStyle w:val="Bibliography"/>
        <w:rPr>
          <w:lang w:val="en-GB"/>
        </w:rPr>
      </w:pPr>
      <w:r w:rsidRPr="00DE1E8C">
        <w:rPr>
          <w:lang w:val="en-GB"/>
        </w:rPr>
        <w:t>Hanks TD, Summerfield C. Perceptual Decision Making in Rodents, Monkeys, and Humans. Neuron 2017; 93: 15–31.</w:t>
      </w:r>
    </w:p>
    <w:p w14:paraId="662B873C" w14:textId="77777777" w:rsidR="00A867A4" w:rsidRPr="00DE1E8C" w:rsidRDefault="00A867A4" w:rsidP="00A867A4">
      <w:pPr>
        <w:pStyle w:val="Bibliography"/>
        <w:rPr>
          <w:lang w:val="en-GB"/>
        </w:rPr>
      </w:pPr>
      <w:r w:rsidRPr="00DE1E8C">
        <w:rPr>
          <w:lang w:val="en-GB"/>
        </w:rPr>
        <w:t>Heekeren HR, Marrett S, Bandettini PA, Ungerleider LG. A general mechanism for perceptual decision-making in the human brain. Nature 2004; 431: 859–62.</w:t>
      </w:r>
    </w:p>
    <w:p w14:paraId="2EF00807" w14:textId="77777777" w:rsidR="00A867A4" w:rsidRPr="00DE1E8C" w:rsidRDefault="00A867A4" w:rsidP="00A867A4">
      <w:pPr>
        <w:pStyle w:val="Bibliography"/>
        <w:rPr>
          <w:lang w:val="en-GB"/>
        </w:rPr>
      </w:pPr>
      <w:r w:rsidRPr="00DE1E8C">
        <w:rPr>
          <w:lang w:val="en-GB"/>
        </w:rPr>
        <w:t>Herz DM, Little S, Pedrosa DJ, Tinkhauser G, Cheeran B, Foltynie T, et al. Mechanisms Underlying Decision-Making as Revealed by Deep-Brain Stimulation in Patients with Parkinson’s Disease. CURBIO 2018; 28: 1169-1178.e6.</w:t>
      </w:r>
    </w:p>
    <w:p w14:paraId="4970B85A" w14:textId="77777777" w:rsidR="00A867A4" w:rsidRPr="00DE1E8C" w:rsidRDefault="00A867A4" w:rsidP="00A867A4">
      <w:pPr>
        <w:pStyle w:val="Bibliography"/>
        <w:rPr>
          <w:lang w:val="en-GB"/>
        </w:rPr>
      </w:pPr>
      <w:r w:rsidRPr="00DE1E8C">
        <w:rPr>
          <w:lang w:val="en-GB"/>
        </w:rPr>
        <w:t>Herz DM, Zavala BA, Bogacz R, Brown P. Neural Correlates of Decision Thresholds in the Human Subthalamic Nucleus. Current Biology 2016; 26: 916–20.</w:t>
      </w:r>
    </w:p>
    <w:p w14:paraId="045D3D4D" w14:textId="77777777" w:rsidR="00A867A4" w:rsidRPr="00DE1E8C" w:rsidRDefault="00A867A4" w:rsidP="00A867A4">
      <w:pPr>
        <w:pStyle w:val="Bibliography"/>
        <w:rPr>
          <w:lang w:val="en-GB"/>
        </w:rPr>
      </w:pPr>
      <w:r w:rsidRPr="00DE1E8C">
        <w:rPr>
          <w:lang w:val="en-GB"/>
        </w:rPr>
        <w:t>Ho TC, Brown S, Serences JT. Domain General Mechanisms of Perceptual Decision Making in Human Cortex. Journal of Neuroscience 2009; 29: 8675–87.</w:t>
      </w:r>
    </w:p>
    <w:p w14:paraId="080555F8" w14:textId="77777777" w:rsidR="00A867A4" w:rsidRPr="00DE1E8C" w:rsidRDefault="00A867A4" w:rsidP="00A867A4">
      <w:pPr>
        <w:pStyle w:val="Bibliography"/>
        <w:rPr>
          <w:lang w:val="en-GB"/>
        </w:rPr>
      </w:pPr>
      <w:r w:rsidRPr="00DE1E8C">
        <w:rPr>
          <w:lang w:val="en-GB"/>
        </w:rPr>
        <w:t>Hommel B, Chapman CS, Cisek P, Neyedli HF, Song J-H, Welsh TN. No one knows what attention is. Atten Percept Psychophys 2019; 81: 2288–303.</w:t>
      </w:r>
    </w:p>
    <w:p w14:paraId="4FBFB7E6" w14:textId="77777777" w:rsidR="00A867A4" w:rsidRPr="00DE1E8C" w:rsidRDefault="00A867A4" w:rsidP="00A867A4">
      <w:pPr>
        <w:pStyle w:val="Bibliography"/>
        <w:rPr>
          <w:lang w:val="en-GB"/>
        </w:rPr>
      </w:pPr>
      <w:r w:rsidRPr="00DE1E8C">
        <w:rPr>
          <w:lang w:val="en-GB"/>
        </w:rPr>
        <w:t>Horwitz GD, Newsome WT. Separate Signals for Target Selection and Movement Specification in the Superior Colliculus. Science 1999; 284: 1158–61.</w:t>
      </w:r>
    </w:p>
    <w:p w14:paraId="08FEE439" w14:textId="77777777" w:rsidR="00A867A4" w:rsidRPr="00DE1E8C" w:rsidRDefault="00A867A4" w:rsidP="00A867A4">
      <w:pPr>
        <w:pStyle w:val="Bibliography"/>
        <w:rPr>
          <w:lang w:val="en-GB"/>
        </w:rPr>
      </w:pPr>
      <w:r w:rsidRPr="00DE1E8C">
        <w:rPr>
          <w:lang w:val="en-GB"/>
        </w:rPr>
        <w:t>Kobeleva X, Firbank M, Peraza L, Gallagher P, Thomas A, Burn DJ, et al. Divergent functional connectivity during attentional processing in Lewy body dementia and Alzheimer’s disease. CORTEX 2017; 92: 8–18.</w:t>
      </w:r>
    </w:p>
    <w:p w14:paraId="3586273D" w14:textId="77777777" w:rsidR="00A867A4" w:rsidRPr="00DE1E8C" w:rsidRDefault="00A867A4" w:rsidP="00A867A4">
      <w:pPr>
        <w:pStyle w:val="Bibliography"/>
        <w:rPr>
          <w:lang w:val="en-GB"/>
        </w:rPr>
      </w:pPr>
      <w:r w:rsidRPr="00DE1E8C">
        <w:rPr>
          <w:lang w:val="en-GB"/>
        </w:rPr>
        <w:t>Krypotos A-M, Beckers T, Kindt M, Wagenmakers E-J. A Bayesian hierarchical diffusion model decomposition of performance in Approach-Avoidance Tasks. Cognition and Emotion 2015; 29: 1424–44.</w:t>
      </w:r>
    </w:p>
    <w:p w14:paraId="769C2267" w14:textId="77777777" w:rsidR="00A867A4" w:rsidRPr="00DE1E8C" w:rsidRDefault="00A867A4" w:rsidP="00A867A4">
      <w:pPr>
        <w:pStyle w:val="Bibliography"/>
        <w:rPr>
          <w:lang w:val="en-GB"/>
        </w:rPr>
      </w:pPr>
      <w:r w:rsidRPr="00DE1E8C">
        <w:rPr>
          <w:lang w:val="en-GB"/>
        </w:rPr>
        <w:t>Lee DR, Taylor J-P, Thomas AJ. Assessment of cognitive fluctuation in dementia: a systematic review of the literature: Cognitive fluctuation in dementia: a systematic review. Int J Geriatr Psychiatry 2012; 27: 989–98.</w:t>
      </w:r>
    </w:p>
    <w:p w14:paraId="5EE0C20D" w14:textId="77777777" w:rsidR="00A867A4" w:rsidRPr="00DE1E8C" w:rsidRDefault="00A867A4" w:rsidP="00A867A4">
      <w:pPr>
        <w:pStyle w:val="Bibliography"/>
        <w:rPr>
          <w:lang w:val="en-GB"/>
        </w:rPr>
      </w:pPr>
      <w:r w:rsidRPr="00DE1E8C">
        <w:rPr>
          <w:lang w:val="en-GB"/>
        </w:rPr>
        <w:t>Liu T, Pleskac TJ. Neural correlates of evidence accumulation in a perceptual decision task. Journal of Neurophysiology 2011; 106: 2383–98.</w:t>
      </w:r>
    </w:p>
    <w:p w14:paraId="6F8157A5" w14:textId="77777777" w:rsidR="00A867A4" w:rsidRPr="00DE1E8C" w:rsidRDefault="00A867A4" w:rsidP="00A867A4">
      <w:pPr>
        <w:pStyle w:val="Bibliography"/>
        <w:rPr>
          <w:lang w:val="en-GB"/>
        </w:rPr>
      </w:pPr>
      <w:r w:rsidRPr="00DE1E8C">
        <w:rPr>
          <w:lang w:val="en-GB"/>
        </w:rPr>
        <w:t>Matar E, Shine JM, Halliday GM, Lewis SJG. Cognitive fluctuations in Lewy body dementia: towards a pathophysiological framework. Brain 2020; 143: 31–46.</w:t>
      </w:r>
    </w:p>
    <w:p w14:paraId="500C367F" w14:textId="77777777" w:rsidR="00A867A4" w:rsidRPr="00DE1E8C" w:rsidRDefault="00A867A4" w:rsidP="00A867A4">
      <w:pPr>
        <w:pStyle w:val="Bibliography"/>
        <w:rPr>
          <w:lang w:val="en-GB"/>
        </w:rPr>
      </w:pPr>
      <w:r w:rsidRPr="00DE1E8C">
        <w:rPr>
          <w:lang w:val="en-GB"/>
        </w:rPr>
        <w:t>McKeith IG, Boeve BF, Dickson DW, Halliday G, Taylor J-P, Weintraub D, et al. Diagnosis and management of dementia with Lewy bodies: Fourth consensus report of the DLB Consortium. Neurology 2017; 89: 88–100.</w:t>
      </w:r>
    </w:p>
    <w:p w14:paraId="7F939327" w14:textId="77777777" w:rsidR="00A867A4" w:rsidRPr="00DE1E8C" w:rsidRDefault="00A867A4" w:rsidP="00A867A4">
      <w:pPr>
        <w:pStyle w:val="Bibliography"/>
        <w:rPr>
          <w:lang w:val="en-GB"/>
        </w:rPr>
      </w:pPr>
      <w:r w:rsidRPr="00DE1E8C">
        <w:rPr>
          <w:lang w:val="en-GB"/>
        </w:rPr>
        <w:t>McKeith IG, Dickson DW, Lowe J, Emre M, O’Brien JT, Feldman H, et al. Diagnosis and management of dementia with Lewy bodies: third report of the DLB Consortium. Neurology 2005; 65: 1863–72.</w:t>
      </w:r>
    </w:p>
    <w:p w14:paraId="5B814A62" w14:textId="77777777" w:rsidR="00A867A4" w:rsidRPr="00DE1E8C" w:rsidRDefault="00A867A4" w:rsidP="00A867A4">
      <w:pPr>
        <w:pStyle w:val="Bibliography"/>
        <w:rPr>
          <w:lang w:val="en-GB"/>
        </w:rPr>
      </w:pPr>
      <w:r w:rsidRPr="00DE1E8C">
        <w:rPr>
          <w:lang w:val="en-GB"/>
        </w:rPr>
        <w:t>McKhann GM, Knopman DS, Chertkow H, Hyman BT, Jack Jr. CR, Kawas CH, et al. The diagnosis of dementia due to Alzheimer’s disease: Recommendations from the National Institute on Aging-Alzheimer’s Association workgroups on diagnostic guidelines for Alzheimer’s disease. Alzheimer’s &amp; Dementia 2011; 7: 263–9.</w:t>
      </w:r>
    </w:p>
    <w:p w14:paraId="0A0F7E53" w14:textId="77777777" w:rsidR="00A867A4" w:rsidRPr="00DE1E8C" w:rsidRDefault="00A867A4" w:rsidP="00A867A4">
      <w:pPr>
        <w:pStyle w:val="Bibliography"/>
        <w:rPr>
          <w:lang w:val="en-GB"/>
        </w:rPr>
      </w:pPr>
      <w:r w:rsidRPr="00DE1E8C">
        <w:rPr>
          <w:lang w:val="en-GB"/>
        </w:rPr>
        <w:t>Metzler-Baddeley C. A Review of Cognitive Impairments in Dementia with Lewy Bodies Relative to Alzheimer’s Disease and Parkinson’s Disease with Dementia. Cortex 2007; 43: 583–600.</w:t>
      </w:r>
    </w:p>
    <w:p w14:paraId="0F6DFF23" w14:textId="77777777" w:rsidR="00A867A4" w:rsidRPr="00DE1E8C" w:rsidRDefault="00A867A4" w:rsidP="00A867A4">
      <w:pPr>
        <w:pStyle w:val="Bibliography"/>
        <w:rPr>
          <w:lang w:val="en-GB"/>
        </w:rPr>
      </w:pPr>
      <w:r w:rsidRPr="00DE1E8C">
        <w:rPr>
          <w:lang w:val="en-GB"/>
        </w:rPr>
        <w:t>Mosimann UP, Rowan EN, Partington CE, Collerton D, Littlewood E, O’Brien JT, et al. Characteristics of Visual Hallucinations in Parkinson Disease Dementia and Dementia With Lewy Bodies. The American Journal of Geriatric Psychiatry 2006; 14: 153–60.</w:t>
      </w:r>
    </w:p>
    <w:p w14:paraId="09E1920C" w14:textId="77777777" w:rsidR="00A867A4" w:rsidRPr="00DE1E8C" w:rsidRDefault="00A867A4" w:rsidP="00A867A4">
      <w:pPr>
        <w:pStyle w:val="Bibliography"/>
        <w:rPr>
          <w:lang w:val="en-GB"/>
        </w:rPr>
      </w:pPr>
      <w:r w:rsidRPr="00DE1E8C">
        <w:rPr>
          <w:lang w:val="en-GB"/>
        </w:rPr>
        <w:t>Mulder MJ, van Maanen L, Forstmann BU. Perceptual decision neurosciences – A model-based review. Neuroscience 2014; 277: 872–84.</w:t>
      </w:r>
    </w:p>
    <w:p w14:paraId="2DAC8FE8" w14:textId="77777777" w:rsidR="00A867A4" w:rsidRPr="00DE1E8C" w:rsidRDefault="00A867A4" w:rsidP="00A867A4">
      <w:pPr>
        <w:pStyle w:val="Bibliography"/>
        <w:rPr>
          <w:lang w:val="en-GB"/>
        </w:rPr>
      </w:pPr>
      <w:r w:rsidRPr="00DE1E8C">
        <w:rPr>
          <w:lang w:val="en-GB"/>
        </w:rPr>
        <w:t>O’Callaghan C, Hall JM, Tomassini A, Muller AJ, Walpola IC, Moustafa AA, et al. Visual Hallucinations Are Characterized by Impaired Sensory Evidence Accumulation: Insights From Hierarchical Drift Diffusion Modeling in Parkinson’s Disease. Biological Psychiatry: Cognitive Neuroscience and Neuroimaging 2017</w:t>
      </w:r>
      <w:r w:rsidRPr="00DE1E8C">
        <w:rPr>
          <w:i/>
          <w:iCs/>
          <w:lang w:val="en-GB"/>
        </w:rPr>
        <w:t>a</w:t>
      </w:r>
      <w:r w:rsidRPr="00DE1E8C">
        <w:rPr>
          <w:lang w:val="en-GB"/>
        </w:rPr>
        <w:t>; 2: 680–8.</w:t>
      </w:r>
    </w:p>
    <w:p w14:paraId="50197DF0" w14:textId="77777777" w:rsidR="00A867A4" w:rsidRPr="00DE1E8C" w:rsidRDefault="00A867A4" w:rsidP="00A867A4">
      <w:pPr>
        <w:pStyle w:val="Bibliography"/>
        <w:rPr>
          <w:lang w:val="en-GB"/>
        </w:rPr>
      </w:pPr>
      <w:r w:rsidRPr="00DE1E8C">
        <w:rPr>
          <w:lang w:val="en-GB"/>
        </w:rPr>
        <w:t>O’Callaghan C, Hezemans FH, Ye R, Rua C, Jones PS, Murley AG, et al. Locus coeruleus integrity and the effect of atomoxetine on response inhibition in Parkinson’s disease [Internet]. 2020[cited 2020 Dec 27] Available from: http://medrxiv.org/lookup/doi/10.1101/2020.09.03.20176800</w:t>
      </w:r>
    </w:p>
    <w:p w14:paraId="7D01450A" w14:textId="77777777" w:rsidR="00A867A4" w:rsidRPr="00DE1E8C" w:rsidRDefault="00A867A4" w:rsidP="00A867A4">
      <w:pPr>
        <w:pStyle w:val="Bibliography"/>
        <w:rPr>
          <w:lang w:val="en-GB"/>
        </w:rPr>
      </w:pPr>
      <w:r w:rsidRPr="00DE1E8C">
        <w:rPr>
          <w:lang w:val="en-GB"/>
        </w:rPr>
        <w:t>O’Callaghan C, Kveraga K, Shine JM, Adams RB, Bar M. Predictions penetrate perception: Converging insights from brain, behaviour and disorder. Consciousness and Cognition 2017</w:t>
      </w:r>
      <w:r w:rsidRPr="00DE1E8C">
        <w:rPr>
          <w:i/>
          <w:iCs/>
          <w:lang w:val="en-GB"/>
        </w:rPr>
        <w:t>b</w:t>
      </w:r>
      <w:r w:rsidRPr="00DE1E8C">
        <w:rPr>
          <w:lang w:val="en-GB"/>
        </w:rPr>
        <w:t>; 47: 63–74.</w:t>
      </w:r>
    </w:p>
    <w:p w14:paraId="34C27D34" w14:textId="77777777" w:rsidR="00A867A4" w:rsidRPr="00DE1E8C" w:rsidRDefault="00A867A4" w:rsidP="00A867A4">
      <w:pPr>
        <w:pStyle w:val="Bibliography"/>
        <w:rPr>
          <w:lang w:val="en-GB"/>
        </w:rPr>
      </w:pPr>
      <w:r w:rsidRPr="00DE1E8C">
        <w:rPr>
          <w:lang w:val="en-GB"/>
        </w:rPr>
        <w:t>O’Connell RG, Shadlen MN, Wong-Lin K, Kelly SP. Bridging Neural and Computational Viewpoints on Perceptual Decision-Making. Trends in Neurosciences 2018; 41: 838–52.</w:t>
      </w:r>
    </w:p>
    <w:p w14:paraId="244A1560" w14:textId="77777777" w:rsidR="00A867A4" w:rsidRPr="00DE1E8C" w:rsidRDefault="00A867A4" w:rsidP="00A867A4">
      <w:pPr>
        <w:pStyle w:val="Bibliography"/>
        <w:rPr>
          <w:lang w:val="en-GB"/>
        </w:rPr>
      </w:pPr>
      <w:r w:rsidRPr="00DE1E8C">
        <w:rPr>
          <w:lang w:val="en-GB"/>
        </w:rPr>
        <w:t>O’Dowd S, Schumacher J, Burn DJ, Bonanni L, Onofrj M, Thomas A, et al. Fluctuating cognition in the Lewy body dementias. Brain 2019; 142: 3338–50.</w:t>
      </w:r>
    </w:p>
    <w:p w14:paraId="4922C36A" w14:textId="77777777" w:rsidR="00A867A4" w:rsidRPr="00DE1E8C" w:rsidRDefault="00A867A4" w:rsidP="00A867A4">
      <w:pPr>
        <w:pStyle w:val="Bibliography"/>
        <w:rPr>
          <w:lang w:val="en-GB"/>
        </w:rPr>
      </w:pPr>
      <w:r w:rsidRPr="00DE1E8C">
        <w:rPr>
          <w:lang w:val="en-GB"/>
        </w:rPr>
        <w:t>Onofrj M, Espay AJ, Bonanni L, Delli Pizzi S, Sensi SL. Hallucinations, somatic-functional disorders of PD-DLB as expressions of thalamic dysfunction. Mov Disord 2019; 34: 1100–11.</w:t>
      </w:r>
    </w:p>
    <w:p w14:paraId="55AF948B" w14:textId="77777777" w:rsidR="00A867A4" w:rsidRPr="00DE1E8C" w:rsidRDefault="00A867A4" w:rsidP="00A867A4">
      <w:pPr>
        <w:pStyle w:val="Bibliography"/>
        <w:rPr>
          <w:lang w:val="en-GB"/>
        </w:rPr>
      </w:pPr>
      <w:r w:rsidRPr="00DE1E8C">
        <w:rPr>
          <w:lang w:val="en-GB"/>
        </w:rPr>
        <w:t>Peraza LR, Taylor J-P, Kaiser M. Divergent brain functional network alterations in dementia with Lewy bodies and Alzheimer’s disease. Neurobiology of Aging 2015; 36: 2458–67.</w:t>
      </w:r>
    </w:p>
    <w:p w14:paraId="4BE28CEF" w14:textId="77777777" w:rsidR="00A867A4" w:rsidRPr="00DE1E8C" w:rsidRDefault="00A867A4" w:rsidP="00A867A4">
      <w:pPr>
        <w:pStyle w:val="Bibliography"/>
        <w:rPr>
          <w:lang w:val="en-GB"/>
        </w:rPr>
      </w:pPr>
      <w:r w:rsidRPr="00DE1E8C">
        <w:rPr>
          <w:lang w:val="en-GB"/>
        </w:rPr>
        <w:t>Philiastides MG, Sajda P. EEG-Informed fMRI Reveals Spatiotemporal Characteristics of Perceptual Decision Making. Journal of Neuroscience 2007; 27: 13082–91.</w:t>
      </w:r>
    </w:p>
    <w:p w14:paraId="4D459101" w14:textId="77777777" w:rsidR="00A867A4" w:rsidRPr="00DE1E8C" w:rsidRDefault="00A867A4" w:rsidP="00A867A4">
      <w:pPr>
        <w:pStyle w:val="Bibliography"/>
        <w:rPr>
          <w:lang w:val="en-GB"/>
        </w:rPr>
      </w:pPr>
      <w:r w:rsidRPr="00DE1E8C">
        <w:rPr>
          <w:lang w:val="en-GB"/>
        </w:rPr>
        <w:t>Power JD, Barnes KA, Snyder AZ, Schlaggar BL, Petersen SE. Spurious but systematic correlations in functional connectivity MRI networks arise from subject motion. NeuroImage 2012; 59: 2142–54.</w:t>
      </w:r>
    </w:p>
    <w:p w14:paraId="00D8A796" w14:textId="77777777" w:rsidR="00A867A4" w:rsidRPr="00DE1E8C" w:rsidRDefault="00A867A4" w:rsidP="00A867A4">
      <w:pPr>
        <w:pStyle w:val="Bibliography"/>
        <w:rPr>
          <w:lang w:val="en-GB"/>
        </w:rPr>
      </w:pPr>
      <w:r w:rsidRPr="00DE1E8C">
        <w:rPr>
          <w:lang w:val="en-GB"/>
        </w:rPr>
        <w:t>Ratcliff R, McKoon G. The diffusion decision model: theory and data for two-choice decision tasks. Neural Comput 2008; 20: 873–922.</w:t>
      </w:r>
    </w:p>
    <w:p w14:paraId="12A1DF44" w14:textId="77777777" w:rsidR="00A867A4" w:rsidRPr="00DE1E8C" w:rsidRDefault="00A867A4" w:rsidP="00A867A4">
      <w:pPr>
        <w:pStyle w:val="Bibliography"/>
        <w:rPr>
          <w:lang w:val="en-GB"/>
        </w:rPr>
      </w:pPr>
      <w:r w:rsidRPr="00DE1E8C">
        <w:rPr>
          <w:lang w:val="en-GB"/>
        </w:rPr>
        <w:t>Ratcliff R, Smith PL, Brown SD, McKoon G. Diffusion Decision Model: Current Issues and History. Trends in Cognitive Sciences 2016; 20: 260–81.</w:t>
      </w:r>
    </w:p>
    <w:p w14:paraId="66FEE8E7" w14:textId="77777777" w:rsidR="00A867A4" w:rsidRPr="00DE1E8C" w:rsidRDefault="00A867A4" w:rsidP="00A867A4">
      <w:pPr>
        <w:pStyle w:val="Bibliography"/>
        <w:rPr>
          <w:lang w:val="en-GB"/>
        </w:rPr>
      </w:pPr>
      <w:r w:rsidRPr="00DE1E8C">
        <w:rPr>
          <w:lang w:val="en-GB"/>
        </w:rPr>
        <w:t>Ratcliff R, Thapar A, McKoon G. Application of the Diffusion Model to Two-Choice Tasks for Adults 75−90 Years Old. Psychol Aging 2007; 22: 56–66.</w:t>
      </w:r>
    </w:p>
    <w:p w14:paraId="5C39C9E9" w14:textId="77777777" w:rsidR="00A867A4" w:rsidRPr="00DE1E8C" w:rsidRDefault="00A867A4" w:rsidP="00A867A4">
      <w:pPr>
        <w:pStyle w:val="Bibliography"/>
        <w:rPr>
          <w:lang w:val="en-GB"/>
        </w:rPr>
      </w:pPr>
      <w:r w:rsidRPr="00DE1E8C">
        <w:rPr>
          <w:lang w:val="en-GB"/>
        </w:rPr>
        <w:t>Ratcliff R, Thapar A, McKoon G. Individual differences, aging, and IQ in two-choice tasks. Cognitive Psychology 2010; 60: 127–57.</w:t>
      </w:r>
    </w:p>
    <w:p w14:paraId="3003C5AA" w14:textId="77777777" w:rsidR="00A867A4" w:rsidRPr="00DE1E8C" w:rsidRDefault="00A867A4" w:rsidP="00A867A4">
      <w:pPr>
        <w:pStyle w:val="Bibliography"/>
        <w:rPr>
          <w:lang w:val="en-GB"/>
        </w:rPr>
      </w:pPr>
      <w:r w:rsidRPr="00DE1E8C">
        <w:rPr>
          <w:lang w:val="en-GB"/>
        </w:rPr>
        <w:t>Rissman J, Gazzaley A, D’Esposito M. Measuring functional connectivity during distinct stages of a cognitive task. NeuroImage 2004; 23: 752–63.</w:t>
      </w:r>
    </w:p>
    <w:p w14:paraId="1BC2D251" w14:textId="77777777" w:rsidR="00A867A4" w:rsidRPr="00DE1E8C" w:rsidRDefault="00A867A4" w:rsidP="00A867A4">
      <w:pPr>
        <w:pStyle w:val="Bibliography"/>
        <w:rPr>
          <w:lang w:val="en-GB"/>
        </w:rPr>
      </w:pPr>
      <w:r w:rsidRPr="00DE1E8C">
        <w:rPr>
          <w:lang w:val="en-GB"/>
        </w:rPr>
        <w:t>Roitman JD, Shadlen MN. Response of Neurons in the Lateral Intraparietal Area during a Combined Visual Discrimination Reaction Time Task. J Neurosci 2002; 22: 9475–89.</w:t>
      </w:r>
    </w:p>
    <w:p w14:paraId="1C0B32D0" w14:textId="77777777" w:rsidR="00A867A4" w:rsidRPr="00DE1E8C" w:rsidRDefault="00A867A4" w:rsidP="00A867A4">
      <w:pPr>
        <w:pStyle w:val="Bibliography"/>
        <w:rPr>
          <w:lang w:val="en-GB"/>
        </w:rPr>
      </w:pPr>
      <w:r w:rsidRPr="00DE1E8C">
        <w:rPr>
          <w:lang w:val="en-GB"/>
        </w:rPr>
        <w:t>Roth M, Tym E, Mountjoy CQ, Huppert FA, Hendrie H, Verma S, et al. CAMDEX: a standardised instrument for the diagnosis of mental disorder in the elderly with special reference to the early detection of dementia. The British journal of psychiatry 1986; 149: 698–709.</w:t>
      </w:r>
    </w:p>
    <w:p w14:paraId="74A910AE" w14:textId="77777777" w:rsidR="00A867A4" w:rsidRPr="00DE1E8C" w:rsidRDefault="00A867A4" w:rsidP="00A867A4">
      <w:pPr>
        <w:pStyle w:val="Bibliography"/>
        <w:rPr>
          <w:lang w:val="en-GB"/>
        </w:rPr>
      </w:pPr>
      <w:r w:rsidRPr="00DE1E8C">
        <w:rPr>
          <w:lang w:val="en-GB"/>
        </w:rPr>
        <w:t>Sauer J, Ffytche DH, Ballard C, Brown RG, Howard R. Differences between Alzheimer’s disease and dementia with Lewy bodies: an fMRI study of task-related brain activity. Brain 2006; 129: 1780–8.</w:t>
      </w:r>
    </w:p>
    <w:p w14:paraId="14F1C91E" w14:textId="77777777" w:rsidR="00A867A4" w:rsidRPr="00DE1E8C" w:rsidRDefault="00A867A4" w:rsidP="00A867A4">
      <w:pPr>
        <w:pStyle w:val="Bibliography"/>
        <w:rPr>
          <w:lang w:val="en-GB"/>
        </w:rPr>
      </w:pPr>
      <w:r w:rsidRPr="00DE1E8C">
        <w:rPr>
          <w:lang w:val="en-GB"/>
        </w:rPr>
        <w:t>Schumacher J, Peraza LR, Firbank M, Thomas AJ, Kaiser M, Gallagher P, et al. Dynamic functional connectivity changes in dementia with Lewy bodies and Alzheimer’s disease. NeuroImage: Clinical 2019</w:t>
      </w:r>
      <w:r w:rsidRPr="00DE1E8C">
        <w:rPr>
          <w:i/>
          <w:iCs/>
          <w:lang w:val="en-GB"/>
        </w:rPr>
        <w:t>a</w:t>
      </w:r>
      <w:r w:rsidRPr="00DE1E8C">
        <w:rPr>
          <w:lang w:val="en-GB"/>
        </w:rPr>
        <w:t>; 22: 101812.</w:t>
      </w:r>
    </w:p>
    <w:p w14:paraId="1ABD3893" w14:textId="77777777" w:rsidR="00A867A4" w:rsidRPr="00DE1E8C" w:rsidRDefault="00A867A4" w:rsidP="00A867A4">
      <w:pPr>
        <w:pStyle w:val="Bibliography"/>
        <w:rPr>
          <w:lang w:val="en-GB"/>
        </w:rPr>
      </w:pPr>
      <w:r w:rsidRPr="00DE1E8C">
        <w:rPr>
          <w:lang w:val="en-GB"/>
        </w:rPr>
        <w:t>Schumacher J, Peraza LR, Firbank M, Thomas AJ, Kaiser M, Gallagher P, et al. Dysfunctional brain dynamics and their origin in Lewy body dementia. Brain 2019</w:t>
      </w:r>
      <w:r w:rsidRPr="00DE1E8C">
        <w:rPr>
          <w:i/>
          <w:iCs/>
          <w:lang w:val="en-GB"/>
        </w:rPr>
        <w:t>b</w:t>
      </w:r>
      <w:r w:rsidRPr="00DE1E8C">
        <w:rPr>
          <w:lang w:val="en-GB"/>
        </w:rPr>
        <w:t>; 142: 1767–82.</w:t>
      </w:r>
    </w:p>
    <w:p w14:paraId="68302D7A" w14:textId="77777777" w:rsidR="00A867A4" w:rsidRPr="00DE1E8C" w:rsidRDefault="00A867A4" w:rsidP="00A867A4">
      <w:pPr>
        <w:pStyle w:val="Bibliography"/>
        <w:rPr>
          <w:lang w:val="en-GB"/>
        </w:rPr>
      </w:pPr>
      <w:r w:rsidRPr="00DE1E8C">
        <w:rPr>
          <w:lang w:val="en-GB"/>
        </w:rPr>
        <w:t>Shadlen MN, Newsome WT. Neural Basis of a Perceptual Decision in the Parietal Cortex (Area LIP) of the Rhesus Monkey. Journal of Neurophysiology 2001; 86: 1916–36.</w:t>
      </w:r>
    </w:p>
    <w:p w14:paraId="1B4D8581" w14:textId="77777777" w:rsidR="00A867A4" w:rsidRPr="00DE1E8C" w:rsidRDefault="00A867A4" w:rsidP="00A867A4">
      <w:pPr>
        <w:pStyle w:val="Bibliography"/>
        <w:rPr>
          <w:lang w:val="en-GB"/>
        </w:rPr>
      </w:pPr>
      <w:r w:rsidRPr="00DE1E8C">
        <w:rPr>
          <w:lang w:val="en-GB"/>
        </w:rPr>
        <w:t>Shine JM, Muller AJ, O’Callaghan C, Hornberger M, Halliday GM, Lewis SJ. Abnormal connectivity between the default mode and the visual system underlies the manifestation of visual hallucinations in Parkinson’s disease: a task-based fMRI study. npj Parkinson’s Disease 2015; 1: 1–8.</w:t>
      </w:r>
    </w:p>
    <w:p w14:paraId="080753B9" w14:textId="77777777" w:rsidR="00A867A4" w:rsidRPr="00DE1E8C" w:rsidRDefault="00A867A4" w:rsidP="00A867A4">
      <w:pPr>
        <w:pStyle w:val="Bibliography"/>
        <w:rPr>
          <w:lang w:val="en-GB"/>
        </w:rPr>
      </w:pPr>
      <w:r w:rsidRPr="00DE1E8C">
        <w:rPr>
          <w:lang w:val="en-GB"/>
        </w:rPr>
        <w:t>Shine JM, O’Callaghan C, Halliday GM, Lewis SJG. Tricks of the mind: Visual hallucinations as disorders of attention. Progress in Neurobiology 2014: 1–8.</w:t>
      </w:r>
    </w:p>
    <w:p w14:paraId="1C2399FB" w14:textId="77777777" w:rsidR="00A867A4" w:rsidRPr="00DE1E8C" w:rsidRDefault="00A867A4" w:rsidP="00A867A4">
      <w:pPr>
        <w:pStyle w:val="Bibliography"/>
        <w:rPr>
          <w:lang w:val="en-GB"/>
        </w:rPr>
      </w:pPr>
      <w:r w:rsidRPr="00DE1E8C">
        <w:rPr>
          <w:lang w:val="en-GB"/>
        </w:rPr>
        <w:t>Spaniol J, Madden DJ, Voss A. A Diffusion Model Analysis of Adult Age Differences in Episodic and Semantic Long-Term Memory Retrieval. J Exp Psychol Learn Mem Cogn 2006; 32: 101–17.</w:t>
      </w:r>
    </w:p>
    <w:p w14:paraId="1CD6E763" w14:textId="77777777" w:rsidR="00A867A4" w:rsidRPr="00DE1E8C" w:rsidRDefault="00A867A4" w:rsidP="00A867A4">
      <w:pPr>
        <w:pStyle w:val="Bibliography"/>
        <w:rPr>
          <w:lang w:val="en-GB"/>
        </w:rPr>
      </w:pPr>
      <w:r w:rsidRPr="00DE1E8C">
        <w:rPr>
          <w:lang w:val="en-GB"/>
        </w:rPr>
        <w:t>Spiegelhalter DJ, Best NG, Carlin BP, Linde AVD. Bayesian measures of model complexity and fit. Journal of the Royal Statistical Society: Series B (Statistical Methodology) 2002; 64: 583–639.</w:t>
      </w:r>
    </w:p>
    <w:p w14:paraId="7B777317" w14:textId="77777777" w:rsidR="00A867A4" w:rsidRPr="00DE1E8C" w:rsidRDefault="00A867A4" w:rsidP="00A867A4">
      <w:pPr>
        <w:pStyle w:val="Bibliography"/>
        <w:rPr>
          <w:lang w:val="en-GB"/>
        </w:rPr>
      </w:pPr>
      <w:r w:rsidRPr="00DE1E8C">
        <w:rPr>
          <w:lang w:val="en-GB"/>
        </w:rPr>
        <w:t>Starns JJ, Ratcliff R. The effects of aging on the speed–accuracy compromise: Boundary optimality in the diffusion model. Psychology and Aging 2010; 25: 377–90.</w:t>
      </w:r>
    </w:p>
    <w:p w14:paraId="3087270D" w14:textId="77777777" w:rsidR="00A867A4" w:rsidRPr="00DE1E8C" w:rsidRDefault="00A867A4" w:rsidP="00A867A4">
      <w:pPr>
        <w:pStyle w:val="Bibliography"/>
        <w:rPr>
          <w:lang w:val="en-GB"/>
        </w:rPr>
      </w:pPr>
      <w:r w:rsidRPr="00DE1E8C">
        <w:rPr>
          <w:lang w:val="en-GB"/>
        </w:rPr>
        <w:t>Tiraboschi P, Salmon DP, Hansen LA, Hofstetter RC, Thal LJ, Corey-Bloom J. What best differentiates Lewy body from Alzheimer’s disease in early-stage dementia? Brain 2006; 129: 729–35.</w:t>
      </w:r>
    </w:p>
    <w:p w14:paraId="4BF1F490" w14:textId="77777777" w:rsidR="00A867A4" w:rsidRPr="00DE1E8C" w:rsidRDefault="00A867A4" w:rsidP="00A867A4">
      <w:pPr>
        <w:pStyle w:val="Bibliography"/>
        <w:rPr>
          <w:lang w:val="en-GB"/>
        </w:rPr>
      </w:pPr>
      <w:r w:rsidRPr="00DE1E8C">
        <w:rPr>
          <w:lang w:val="en-GB"/>
        </w:rPr>
        <w:t>Tomassini A, Pollak TA, Edwards MJ, Bestmann S. Learning from the past and expecting the future in Parkinsonism: Dopaminergic influence on predictions about the timing of future events. Neuropsychologia 2019; 127: 9–18.</w:t>
      </w:r>
    </w:p>
    <w:p w14:paraId="1C402629" w14:textId="77777777" w:rsidR="00A867A4" w:rsidRPr="00DE1E8C" w:rsidRDefault="00A867A4" w:rsidP="00A867A4">
      <w:pPr>
        <w:pStyle w:val="Bibliography"/>
        <w:rPr>
          <w:lang w:val="en-GB"/>
        </w:rPr>
      </w:pPr>
      <w:r w:rsidRPr="00DE1E8C">
        <w:rPr>
          <w:lang w:val="en-GB"/>
        </w:rPr>
        <w:t>Voss A, Nagler M, Lerche V. Diffusion models in experimental psychology: A practical introduction. Experimental Psychology 2013; 60: 385–402.</w:t>
      </w:r>
    </w:p>
    <w:p w14:paraId="6404B14F" w14:textId="77777777" w:rsidR="00A867A4" w:rsidRPr="00DE1E8C" w:rsidRDefault="00A867A4" w:rsidP="00A867A4">
      <w:pPr>
        <w:pStyle w:val="Bibliography"/>
        <w:rPr>
          <w:lang w:val="en-GB"/>
        </w:rPr>
      </w:pPr>
      <w:r w:rsidRPr="00DE1E8C">
        <w:rPr>
          <w:lang w:val="en-GB"/>
        </w:rPr>
        <w:t>Wagenmakers E-J. Methodological and empirical developments for the Ratcliff diffusion model of response times and accuracy. European Journal of Cognitive Psychology 2009; 21: 641–71.</w:t>
      </w:r>
    </w:p>
    <w:p w14:paraId="2313094E" w14:textId="77777777" w:rsidR="00A867A4" w:rsidRPr="00DE1E8C" w:rsidRDefault="00A867A4" w:rsidP="00A867A4">
      <w:pPr>
        <w:pStyle w:val="Bibliography"/>
        <w:rPr>
          <w:lang w:val="en-GB"/>
        </w:rPr>
      </w:pPr>
      <w:r w:rsidRPr="00DE1E8C">
        <w:rPr>
          <w:lang w:val="en-GB"/>
        </w:rPr>
        <w:t>Walker MP, Ayre GA, Cummings JL, Wesnes K, McKeith IG, O’Brien JT, et al. Quantifying fluctuation in dementia with Lewy bodies, Alzheimer’s disease, and vascular dementia. Neurology 2000</w:t>
      </w:r>
      <w:r w:rsidRPr="00DE1E8C">
        <w:rPr>
          <w:i/>
          <w:iCs/>
          <w:lang w:val="en-GB"/>
        </w:rPr>
        <w:t>a</w:t>
      </w:r>
      <w:r w:rsidRPr="00DE1E8C">
        <w:rPr>
          <w:lang w:val="en-GB"/>
        </w:rPr>
        <w:t>; 54: 1616–25.</w:t>
      </w:r>
    </w:p>
    <w:p w14:paraId="2C58B481" w14:textId="77777777" w:rsidR="00A867A4" w:rsidRPr="00DE1E8C" w:rsidRDefault="00A867A4" w:rsidP="00A867A4">
      <w:pPr>
        <w:pStyle w:val="Bibliography"/>
        <w:rPr>
          <w:lang w:val="en-GB"/>
        </w:rPr>
      </w:pPr>
      <w:r w:rsidRPr="00DE1E8C">
        <w:rPr>
          <w:lang w:val="en-GB"/>
        </w:rPr>
        <w:t>Walker MP, Ayre GA, Cummings JL, Wesnes K, McKeith IG, O’Brien JT, et al. The Clinician Assessment of Fluctuation and the One Day Fluctuation Assessment Scale: Two methods to assess fluctuating confusion in dementia. Br J Psychiatry 2000</w:t>
      </w:r>
      <w:r w:rsidRPr="00DE1E8C">
        <w:rPr>
          <w:i/>
          <w:iCs/>
          <w:lang w:val="en-GB"/>
        </w:rPr>
        <w:t>b</w:t>
      </w:r>
      <w:r w:rsidRPr="00DE1E8C">
        <w:rPr>
          <w:lang w:val="en-GB"/>
        </w:rPr>
        <w:t>; 177: 252–6.</w:t>
      </w:r>
    </w:p>
    <w:p w14:paraId="6211710F" w14:textId="77777777" w:rsidR="00A867A4" w:rsidRPr="00DE1E8C" w:rsidRDefault="00A867A4" w:rsidP="00A867A4">
      <w:pPr>
        <w:pStyle w:val="Bibliography"/>
        <w:rPr>
          <w:lang w:val="en-GB"/>
        </w:rPr>
      </w:pPr>
      <w:r w:rsidRPr="00DE1E8C">
        <w:rPr>
          <w:lang w:val="en-GB"/>
        </w:rPr>
        <w:t>Walker MP, Ayre GA, Perry EK, Wesnes K, McKeith IG, Tovee M, et al. Quantification and Characterisation of Fluctuating Cognition in Dementia with Lewy Bodies and Alzheimer’s Disease. DEM 2000</w:t>
      </w:r>
      <w:r w:rsidRPr="00DE1E8C">
        <w:rPr>
          <w:i/>
          <w:iCs/>
          <w:lang w:val="en-GB"/>
        </w:rPr>
        <w:t>c</w:t>
      </w:r>
      <w:r w:rsidRPr="00DE1E8C">
        <w:rPr>
          <w:lang w:val="en-GB"/>
        </w:rPr>
        <w:t>; 11: 327–35.</w:t>
      </w:r>
    </w:p>
    <w:p w14:paraId="522B2F21" w14:textId="77777777" w:rsidR="00A867A4" w:rsidRPr="00DE1E8C" w:rsidRDefault="00A867A4" w:rsidP="00A867A4">
      <w:pPr>
        <w:pStyle w:val="Bibliography"/>
        <w:rPr>
          <w:lang w:val="en-GB"/>
        </w:rPr>
      </w:pPr>
      <w:r w:rsidRPr="00DE1E8C">
        <w:rPr>
          <w:lang w:val="en-GB"/>
        </w:rPr>
        <w:t>Walpola IC, Muller AJ, Hall JM, Andrews-Hanna JR, Irish M, Lewis SJG, et al. Mind-wandering in Parkinson’s disease hallucinations reflects primary visual and default network coupling. CORTEX 2020; 125: 233–45.</w:t>
      </w:r>
    </w:p>
    <w:p w14:paraId="5DBBE74B" w14:textId="77777777" w:rsidR="00A867A4" w:rsidRPr="00DE1E8C" w:rsidRDefault="00A867A4" w:rsidP="00A867A4">
      <w:pPr>
        <w:pStyle w:val="Bibliography"/>
        <w:rPr>
          <w:lang w:val="en-GB"/>
        </w:rPr>
      </w:pPr>
      <w:r w:rsidRPr="00DE1E8C">
        <w:rPr>
          <w:lang w:val="en-GB"/>
        </w:rPr>
        <w:t>Weil RS, Schrag AE, Warren JD, Crutch SJ, Lees AJ, Morris HR. Visual dysfunction in Parkinson’s disease. Brain 2016; 139: 2827–43.</w:t>
      </w:r>
    </w:p>
    <w:p w14:paraId="0CA50E14" w14:textId="77777777" w:rsidR="00A867A4" w:rsidRPr="00DE1E8C" w:rsidRDefault="00A867A4" w:rsidP="00A867A4">
      <w:pPr>
        <w:pStyle w:val="Bibliography"/>
        <w:rPr>
          <w:lang w:val="en-GB"/>
        </w:rPr>
      </w:pPr>
      <w:r w:rsidRPr="00DE1E8C">
        <w:rPr>
          <w:lang w:val="en-GB"/>
        </w:rPr>
        <w:t>Wiecki TV, Sofer I, Frank MJ. HDDM: Hierarchical Bayesian estimation of the Drift-Diffusion Model in Python. Front Neuroinform 2013; 7: 14.</w:t>
      </w:r>
    </w:p>
    <w:p w14:paraId="3319C2F9" w14:textId="77777777" w:rsidR="00A867A4" w:rsidRPr="00DE1E8C" w:rsidRDefault="00A867A4" w:rsidP="00A867A4">
      <w:pPr>
        <w:pStyle w:val="Bibliography"/>
        <w:rPr>
          <w:lang w:val="en-GB"/>
        </w:rPr>
      </w:pPr>
      <w:r w:rsidRPr="00DE1E8C">
        <w:rPr>
          <w:lang w:val="en-GB"/>
        </w:rPr>
        <w:t>Yau Y, Dadar M, Taylor M, Zeighami Y, Fellows LK, Cisek P, et al. Neural Correlates of Evidence and Urgency During Human Perceptual Decision-Making in Dynamically Changing Conditions. Cerebral Cortex 2020; 30: 5471–83.</w:t>
      </w:r>
    </w:p>
    <w:p w14:paraId="7E599CA6" w14:textId="77777777" w:rsidR="00A867A4" w:rsidRPr="00DE1E8C" w:rsidRDefault="00A867A4" w:rsidP="00A867A4">
      <w:pPr>
        <w:pStyle w:val="Bibliography"/>
        <w:rPr>
          <w:lang w:val="en-GB"/>
        </w:rPr>
      </w:pPr>
      <w:r w:rsidRPr="00DE1E8C">
        <w:rPr>
          <w:lang w:val="en-GB"/>
        </w:rPr>
        <w:t>Yeo BTT, Krienen FM, Sepulcre J, Sabuncu MR, Lashkari D, Hollinshead M, et al. The organization of the human cerebral cortex estimated by intrinsic functional connectivity. Journal of Neurophysiology 2011; 106: 1125–65.</w:t>
      </w:r>
    </w:p>
    <w:p w14:paraId="4EDB9679" w14:textId="77777777" w:rsidR="00A867A4" w:rsidRPr="00DE1E8C" w:rsidRDefault="00A867A4" w:rsidP="00A867A4">
      <w:pPr>
        <w:pStyle w:val="Bibliography"/>
        <w:rPr>
          <w:lang w:val="en-GB"/>
        </w:rPr>
      </w:pPr>
      <w:r w:rsidRPr="00DE1E8C">
        <w:rPr>
          <w:lang w:val="en-GB"/>
        </w:rPr>
        <w:t>Zarkali A, Adams RA, Psarras S, Leyland L-A, Rees G, Weil RS. Increased weighting on prior knowledge in Lewy body-associated visual hallucinations. Brain Communications 2019; 1: fcz007.</w:t>
      </w:r>
    </w:p>
    <w:p w14:paraId="592877B2" w14:textId="77777777" w:rsidR="00A867A4" w:rsidRPr="00DE1E8C" w:rsidRDefault="00A867A4" w:rsidP="00A867A4">
      <w:pPr>
        <w:pStyle w:val="Bibliography"/>
        <w:rPr>
          <w:lang w:val="en-GB"/>
        </w:rPr>
      </w:pPr>
      <w:r w:rsidRPr="00DE1E8C">
        <w:rPr>
          <w:lang w:val="en-GB"/>
        </w:rPr>
        <w:t>Zhang J, Rittman T, Nombela C, Fois A, Coyle-Gilchrist I, Barker RA, et al. Different decision deficits impair response inhibition in progressive supranuclear palsy and Parkinson’s disease. Brain 2016; 139: 161–73.</w:t>
      </w:r>
    </w:p>
    <w:p w14:paraId="0084DC68" w14:textId="77777777" w:rsidR="00A867A4" w:rsidRPr="00DE1E8C" w:rsidRDefault="00A867A4" w:rsidP="00A867A4">
      <w:pPr>
        <w:pStyle w:val="Bibliography"/>
        <w:rPr>
          <w:lang w:val="en-GB"/>
        </w:rPr>
      </w:pPr>
      <w:r w:rsidRPr="00DE1E8C">
        <w:rPr>
          <w:lang w:val="en-GB"/>
        </w:rPr>
        <w:t>Zhang J, Rowe JB. Dissociable mechanisms of speed-accuracy tradeoff during visual perceptual learning are revealed by a hierarchical drift-diffusion model [Internet]. Front Neurosci 2014; 8[cited 2021 Jan 7] Available from: http://journal.frontiersin.org/article/10.3389/fnins.2014.00069/abstract</w:t>
      </w:r>
    </w:p>
    <w:p w14:paraId="33406E27" w14:textId="3CC8A667" w:rsidR="00E1352B" w:rsidRPr="00DE1E8C" w:rsidRDefault="00A65FED" w:rsidP="00551517">
      <w:pPr>
        <w:spacing w:line="360" w:lineRule="auto"/>
        <w:contextualSpacing/>
        <w:jc w:val="both"/>
        <w:rPr>
          <w:lang w:val="en-GB"/>
        </w:rPr>
      </w:pPr>
      <w:r w:rsidRPr="00DE1E8C">
        <w:rPr>
          <w:lang w:val="en-GB"/>
        </w:rPr>
        <w:fldChar w:fldCharType="end"/>
      </w:r>
    </w:p>
    <w:p w14:paraId="189A2032" w14:textId="6BD1CB32" w:rsidR="00E1352B" w:rsidRPr="00DE1E8C" w:rsidRDefault="00E1352B" w:rsidP="00551517">
      <w:pPr>
        <w:spacing w:line="360" w:lineRule="auto"/>
        <w:contextualSpacing/>
        <w:jc w:val="both"/>
        <w:rPr>
          <w:b/>
          <w:bCs/>
          <w:lang w:val="en-GB"/>
        </w:rPr>
      </w:pPr>
      <w:r w:rsidRPr="00DE1E8C">
        <w:rPr>
          <w:b/>
          <w:bCs/>
          <w:lang w:val="en-GB"/>
        </w:rPr>
        <w:t>Figure legends</w:t>
      </w:r>
    </w:p>
    <w:p w14:paraId="3E711801" w14:textId="77777777" w:rsidR="00E1352B" w:rsidRPr="00DE1E8C" w:rsidRDefault="00E1352B" w:rsidP="00477322">
      <w:pPr>
        <w:spacing w:line="360" w:lineRule="auto"/>
        <w:contextualSpacing/>
        <w:jc w:val="both"/>
        <w:rPr>
          <w:lang w:val="en-GB"/>
        </w:rPr>
      </w:pPr>
    </w:p>
    <w:p w14:paraId="59A584D1" w14:textId="48CE8383" w:rsidR="00851F63" w:rsidRPr="00DE1E8C" w:rsidRDefault="00477322" w:rsidP="00477322">
      <w:pPr>
        <w:spacing w:line="360" w:lineRule="auto"/>
        <w:contextualSpacing/>
        <w:jc w:val="both"/>
        <w:rPr>
          <w:b/>
          <w:iCs/>
          <w:lang w:val="en-GB"/>
        </w:rPr>
      </w:pPr>
      <w:r w:rsidRPr="00DE1E8C">
        <w:rPr>
          <w:b/>
          <w:iCs/>
          <w:lang w:val="en-GB"/>
        </w:rPr>
        <w:t>Figure 1</w:t>
      </w:r>
      <w:r w:rsidR="00904BCB" w:rsidRPr="00DE1E8C">
        <w:rPr>
          <w:b/>
          <w:iCs/>
          <w:lang w:val="en-GB"/>
        </w:rPr>
        <w:t>.</w:t>
      </w:r>
    </w:p>
    <w:p w14:paraId="37350BFC" w14:textId="0CACBB99" w:rsidR="00477322" w:rsidRPr="00DE1E8C" w:rsidRDefault="00851F63" w:rsidP="00477322">
      <w:pPr>
        <w:spacing w:line="360" w:lineRule="auto"/>
        <w:contextualSpacing/>
        <w:jc w:val="both"/>
        <w:rPr>
          <w:b/>
          <w:iCs/>
          <w:lang w:val="en-GB"/>
        </w:rPr>
      </w:pPr>
      <w:r w:rsidRPr="00DE1E8C">
        <w:rPr>
          <w:b/>
          <w:bCs/>
          <w:lang w:val="en-GB"/>
        </w:rPr>
        <w:t>Attention Network Task and drift diffusion model schematic</w:t>
      </w:r>
      <w:r w:rsidRPr="00DE1E8C">
        <w:rPr>
          <w:lang w:val="en-GB"/>
        </w:rPr>
        <w:t xml:space="preserve"> </w:t>
      </w:r>
    </w:p>
    <w:p w14:paraId="0E619C57" w14:textId="51279F6C" w:rsidR="00477322" w:rsidRPr="00DE1E8C" w:rsidRDefault="00477322" w:rsidP="00477322">
      <w:pPr>
        <w:spacing w:line="360" w:lineRule="auto"/>
        <w:contextualSpacing/>
        <w:jc w:val="both"/>
        <w:rPr>
          <w:lang w:val="en-GB"/>
        </w:rPr>
      </w:pPr>
      <w:r w:rsidRPr="00DE1E8C">
        <w:rPr>
          <w:lang w:val="en-GB"/>
        </w:rPr>
        <w:t>A) Examples of the three conditions in the Attention Network Task; B) Schematic example of drift diffusion model. Two decision boundaries (left and right) are separated by the boundary threshold (</w:t>
      </w:r>
      <w:r w:rsidRPr="00DE1E8C">
        <w:rPr>
          <w:i/>
          <w:lang w:val="en-GB"/>
        </w:rPr>
        <w:t>a</w:t>
      </w:r>
      <w:r w:rsidRPr="00DE1E8C">
        <w:rPr>
          <w:lang w:val="en-GB"/>
        </w:rPr>
        <w:t>). Evidence is nosily accumulated toward a left or right response, with the average evidence accumulation denoted by the drift rate (</w:t>
      </w:r>
      <w:r w:rsidRPr="00DE1E8C">
        <w:rPr>
          <w:i/>
          <w:lang w:val="en-GB"/>
        </w:rPr>
        <w:t>v</w:t>
      </w:r>
      <w:r w:rsidRPr="00DE1E8C">
        <w:rPr>
          <w:lang w:val="en-GB"/>
        </w:rPr>
        <w:t xml:space="preserve">). In this way, the drift rate refers to the average amount of sensory evidence gathered per unit of time </w:t>
      </w:r>
      <w:r w:rsidRPr="00DE1E8C">
        <w:rPr>
          <w:lang w:val="en-GB"/>
        </w:rPr>
        <w:fldChar w:fldCharType="begin"/>
      </w:r>
      <w:r w:rsidR="00A867A4" w:rsidRPr="00DE1E8C">
        <w:rPr>
          <w:lang w:val="en-GB"/>
        </w:rPr>
        <w:instrText xml:space="preserve"> ADDIN ZOTERO_ITEM CSL_CITATION {"citationID":"ai1xfMlo","properties":{"formattedCitation":"(Zhang and Rowe, 2014)","plainCitation":"(Zhang and Rowe, 2014)","noteIndex":0},"citationItems":[{"id":14782,"uris":["http://zotero.org/users/local/xUwQuTPV/items/7MI8IGVR"],"uri":["http://zotero.org/users/local/xUwQuTPV/items/7MI8IGVR"],"itemData":{"id":14782,"type":"article-journal","container-title":"Frontiers in Neuroscience","DOI":"10.3389/fnins.2014.00069","ISSN":"1662-453X","journalAbbreviation":"Front. Neurosci.","language":"en","source":"DOI.org (Crossref)","title":"Dissociable mechanisms of speed-accuracy tradeoff during visual perceptual learning are revealed by a hierarchical drift-diffusion model","URL":"http://journal.frontiersin.org/article/10.3389/fnins.2014.00069/abstract","volume":"8","author":[{"family":"Zhang","given":"Jiaxiang"},{"family":"Rowe","given":"James B."}],"accessed":{"date-parts":[["2021",1,7]]},"issued":{"date-parts":[["2014",4,9]]}}}],"schema":"https://github.com/citation-style-language/schema/raw/master/csl-citation.json"} </w:instrText>
      </w:r>
      <w:r w:rsidRPr="00DE1E8C">
        <w:rPr>
          <w:lang w:val="en-GB"/>
        </w:rPr>
        <w:fldChar w:fldCharType="separate"/>
      </w:r>
      <w:r w:rsidRPr="00DE1E8C">
        <w:rPr>
          <w:lang w:val="en-GB"/>
        </w:rPr>
        <w:t>(Zhang and Rowe, 2014)</w:t>
      </w:r>
      <w:r w:rsidRPr="00DE1E8C">
        <w:rPr>
          <w:lang w:val="en-GB"/>
        </w:rPr>
        <w:fldChar w:fldCharType="end"/>
      </w:r>
      <w:r w:rsidRPr="00DE1E8C">
        <w:rPr>
          <w:lang w:val="en-GB"/>
        </w:rPr>
        <w:t>. The evidence accumulation begins after a period of non-decision time (</w:t>
      </w:r>
      <w:r w:rsidRPr="00DE1E8C">
        <w:rPr>
          <w:i/>
          <w:lang w:val="en-GB"/>
        </w:rPr>
        <w:t>T</w:t>
      </w:r>
      <w:r w:rsidRPr="00DE1E8C">
        <w:rPr>
          <w:lang w:val="en-GB"/>
        </w:rPr>
        <w:t xml:space="preserve">). Density plots show the distribution of observable reaction times (RT) that are used to calculate the parameters. Adapted from </w:t>
      </w:r>
      <w:r w:rsidRPr="00DE1E8C">
        <w:rPr>
          <w:lang w:val="en-GB"/>
        </w:rPr>
        <w:fldChar w:fldCharType="begin"/>
      </w:r>
      <w:r w:rsidR="00A867A4" w:rsidRPr="00DE1E8C">
        <w:rPr>
          <w:lang w:val="en-GB"/>
        </w:rPr>
        <w:instrText xml:space="preserve"> ADDIN ZOTERO_ITEM CSL_CITATION {"citationID":"7uJpJS54","properties":{"formattedCitation":"(O\\uc0\\u8217{}Callaghan {\\i{}et al.}, 2017{\\i{}a})","plainCitation":"(O’Callaghan et al., 2017a)","noteIndex":0},"citationItems":[{"id":"pCIaS5xB/Faayigvl","uris":["http://zotero.org/users/local/xUwQuTPV/items/7BPW3P5C"],"uri":["http://zotero.org/users/local/xUwQuTPV/items/7BPW3P5C"],"itemData":{"id":3505,"type":"article-journal","abstract":"Biological Psychiatry: Cognitive Neuroscience and Neuroimaging, 2 (2017) 680-688. doi:10.1016/j.bpsc.2017.04.007","container-title":"Biological Psychiatry: Cognitive Neuroscience and Neuroimaging","DOI":"10.1016/j.bpsc.2017.04.007","issue":"8","journalAbbreviation":"Biological Psychiatry: Cognitive Neuroscience and Neuroimaging","page":"680-688","title":"Visual Hallucinations Are Characterized by Impaired Sensory Evidence Accumulation: Insights From Hierarchical Drift Diffusion Modeling in Parkinson's Disease","volume":"2","author":[{"family":"O'Callaghan","given":"Claire"},{"family":"Hall","given":"Julie M."},{"family":"Tomassini","given":"Alessandro"},{"family":"Muller","given":"Alana J."},{"family":"Walpola","given":"Ishan C."},{"family":"Moustafa","given":"Ahmed A."},{"family":"Shine","given":"James M."},{"family":"Lewis","given":"Simon J. G."}],"issued":{"date-parts":[["2017",11,1]]}}}],"schema":"https://github.com/citation-style-language/schema/raw/master/csl-citation.json"} </w:instrText>
      </w:r>
      <w:r w:rsidRPr="00DE1E8C">
        <w:rPr>
          <w:lang w:val="en-GB"/>
        </w:rPr>
        <w:fldChar w:fldCharType="separate"/>
      </w:r>
      <w:r w:rsidRPr="00DE1E8C">
        <w:rPr>
          <w:lang w:val="en-GB"/>
        </w:rPr>
        <w:t xml:space="preserve">(O’Callaghan </w:t>
      </w:r>
      <w:r w:rsidRPr="00DE1E8C">
        <w:rPr>
          <w:i/>
          <w:iCs/>
          <w:lang w:val="en-GB"/>
        </w:rPr>
        <w:t>et al.</w:t>
      </w:r>
      <w:r w:rsidRPr="00DE1E8C">
        <w:rPr>
          <w:lang w:val="en-GB"/>
        </w:rPr>
        <w:t>, 2017</w:t>
      </w:r>
      <w:r w:rsidRPr="00DE1E8C">
        <w:rPr>
          <w:i/>
          <w:iCs/>
          <w:lang w:val="en-GB"/>
        </w:rPr>
        <w:t>a</w:t>
      </w:r>
      <w:r w:rsidRPr="00DE1E8C">
        <w:rPr>
          <w:lang w:val="en-GB"/>
        </w:rPr>
        <w:t>)</w:t>
      </w:r>
      <w:r w:rsidRPr="00DE1E8C">
        <w:rPr>
          <w:lang w:val="en-GB"/>
        </w:rPr>
        <w:fldChar w:fldCharType="end"/>
      </w:r>
      <w:r w:rsidRPr="00DE1E8C">
        <w:rPr>
          <w:lang w:val="en-GB"/>
        </w:rPr>
        <w:t xml:space="preserve">. </w:t>
      </w:r>
    </w:p>
    <w:p w14:paraId="0D26D615" w14:textId="77777777" w:rsidR="00904BCB" w:rsidRPr="00DE1E8C" w:rsidRDefault="00904BCB" w:rsidP="00477322">
      <w:pPr>
        <w:spacing w:line="360" w:lineRule="auto"/>
        <w:contextualSpacing/>
        <w:jc w:val="both"/>
        <w:rPr>
          <w:lang w:val="en-GB"/>
        </w:rPr>
      </w:pPr>
    </w:p>
    <w:p w14:paraId="53915505" w14:textId="77777777" w:rsidR="00904BCB" w:rsidRPr="00DE1E8C" w:rsidRDefault="00904BCB" w:rsidP="00904BCB">
      <w:pPr>
        <w:spacing w:line="360" w:lineRule="auto"/>
        <w:contextualSpacing/>
        <w:jc w:val="both"/>
        <w:rPr>
          <w:b/>
          <w:lang w:val="en-GB"/>
        </w:rPr>
      </w:pPr>
      <w:r w:rsidRPr="00DE1E8C">
        <w:rPr>
          <w:b/>
          <w:lang w:val="en-GB"/>
        </w:rPr>
        <w:t xml:space="preserve">Figure 2. </w:t>
      </w:r>
    </w:p>
    <w:p w14:paraId="2A20F8AA" w14:textId="77777777" w:rsidR="00904BCB" w:rsidRPr="00DE1E8C" w:rsidRDefault="00904BCB" w:rsidP="00904BCB">
      <w:pPr>
        <w:spacing w:line="360" w:lineRule="auto"/>
        <w:contextualSpacing/>
        <w:jc w:val="both"/>
        <w:rPr>
          <w:b/>
          <w:lang w:val="en-GB"/>
        </w:rPr>
      </w:pPr>
      <w:r w:rsidRPr="00DE1E8C">
        <w:rPr>
          <w:b/>
          <w:lang w:val="en-GB"/>
        </w:rPr>
        <w:t>Attention Network Task behavioural results</w:t>
      </w:r>
    </w:p>
    <w:p w14:paraId="357616B5" w14:textId="5771218D" w:rsidR="00904BCB" w:rsidRPr="00DE1E8C" w:rsidRDefault="00904BCB" w:rsidP="00904BCB">
      <w:pPr>
        <w:spacing w:line="360" w:lineRule="auto"/>
        <w:contextualSpacing/>
        <w:jc w:val="both"/>
        <w:rPr>
          <w:b/>
          <w:lang w:val="en-GB"/>
        </w:rPr>
      </w:pPr>
      <w:r w:rsidRPr="00DE1E8C">
        <w:rPr>
          <w:lang w:val="en-GB"/>
        </w:rPr>
        <w:t xml:space="preserve">Left panel: Percentage of correct responses across the three groups [F(2, 67) = 13.76, p &lt; 0.001]; Right panel: Distributions of reaction times across the three groups [F(2, 67) = 28.50, p &lt; 0.001]. N = 23 Controls, 16 Alzheimer’s disease (AD), 31 Lewy body disease (LBD). </w:t>
      </w:r>
    </w:p>
    <w:p w14:paraId="6B241EA8" w14:textId="77777777" w:rsidR="00AA1449" w:rsidRPr="00DE1E8C" w:rsidRDefault="00AA1449" w:rsidP="00477322">
      <w:pPr>
        <w:spacing w:line="360" w:lineRule="auto"/>
        <w:contextualSpacing/>
        <w:jc w:val="both"/>
        <w:rPr>
          <w:lang w:val="en-GB"/>
        </w:rPr>
      </w:pPr>
    </w:p>
    <w:p w14:paraId="185C69F3" w14:textId="77777777" w:rsidR="00AA1449" w:rsidRPr="00DE1E8C" w:rsidRDefault="00AA1449" w:rsidP="00AA1449">
      <w:pPr>
        <w:spacing w:line="360" w:lineRule="auto"/>
        <w:contextualSpacing/>
        <w:jc w:val="both"/>
        <w:rPr>
          <w:b/>
          <w:lang w:val="en-GB"/>
        </w:rPr>
      </w:pPr>
      <w:r w:rsidRPr="00DE1E8C">
        <w:rPr>
          <w:b/>
          <w:lang w:val="en-GB"/>
        </w:rPr>
        <w:t xml:space="preserve">Figure 3. </w:t>
      </w:r>
    </w:p>
    <w:p w14:paraId="1170F16A" w14:textId="77777777" w:rsidR="00AA1449" w:rsidRPr="00DE1E8C" w:rsidRDefault="00AA1449" w:rsidP="00AA1449">
      <w:pPr>
        <w:spacing w:line="360" w:lineRule="auto"/>
        <w:contextualSpacing/>
        <w:jc w:val="both"/>
        <w:rPr>
          <w:b/>
          <w:lang w:val="en-GB"/>
        </w:rPr>
      </w:pPr>
      <w:r w:rsidRPr="00DE1E8C">
        <w:rPr>
          <w:b/>
          <w:lang w:val="en-GB"/>
        </w:rPr>
        <w:t>Drift rates and decision boundaries</w:t>
      </w:r>
    </w:p>
    <w:p w14:paraId="17A89410" w14:textId="77777777" w:rsidR="00AA1449" w:rsidRPr="00DE1E8C" w:rsidRDefault="00AA1449" w:rsidP="00AA1449">
      <w:pPr>
        <w:spacing w:line="360" w:lineRule="auto"/>
        <w:contextualSpacing/>
        <w:jc w:val="both"/>
        <w:rPr>
          <w:lang w:val="en-GB"/>
        </w:rPr>
      </w:pPr>
      <w:r w:rsidRPr="00DE1E8C">
        <w:rPr>
          <w:lang w:val="en-GB"/>
        </w:rPr>
        <w:t xml:space="preserve">Group comparisons of the posterior probability density plots for drift rates </w:t>
      </w:r>
      <w:r w:rsidRPr="00DE1E8C">
        <w:rPr>
          <w:i/>
          <w:lang w:val="en-GB"/>
        </w:rPr>
        <w:t>v</w:t>
      </w:r>
      <w:r w:rsidRPr="00DE1E8C">
        <w:rPr>
          <w:lang w:val="en-GB"/>
        </w:rPr>
        <w:t xml:space="preserve"> (top panel) and decision boundaries </w:t>
      </w:r>
      <w:r w:rsidRPr="00DE1E8C">
        <w:rPr>
          <w:i/>
          <w:lang w:val="en-GB"/>
        </w:rPr>
        <w:t>a</w:t>
      </w:r>
      <w:r w:rsidRPr="00DE1E8C">
        <w:rPr>
          <w:lang w:val="en-GB"/>
        </w:rPr>
        <w:t xml:space="preserve"> (bottom panel), in each task condition. </w:t>
      </w:r>
      <w:r w:rsidRPr="00DE1E8C">
        <w:rPr>
          <w:bCs/>
          <w:iCs/>
          <w:lang w:val="en-GB"/>
        </w:rPr>
        <w:t>Peaks of distributions reflect the most likely value of the parameter.</w:t>
      </w:r>
      <w:r w:rsidRPr="00DE1E8C">
        <w:rPr>
          <w:lang w:val="en-GB"/>
        </w:rPr>
        <w:t xml:space="preserve"> N = 23 Controls, 16 Alzheimer’s disease (AD), 31 Lewy body disease (LBD). For the drift rate, percentage of overlap in the posterior probabilities (P) in LBD vs. AD: congruent: P = 0.02%; incongruent-EASY: P = 1.35%; incongruent-HARD: P = 2.80%; LBD and AD vs. Controls: congruent: P = 0.00%; incongruent-EASY: P = 0.00%; incongruent-HARD: P = 0.00%. For the decision boundaries, LBD vs. AD: congruent: P = 23.49%; incongruent-EASY: P = 25.77%; incongruent-HARD: P = 38.22%; LBD vs. Controls: congruent: P = 0.00%; incongruent-EASY: P = 0.00%; incongruent-HARD: P = 0.00%; AD vs. Controls: congruent: P = 0.06%; incongruent-EASY: P = 0.00%; incongruent-HARD: P = 0.00%. </w:t>
      </w:r>
    </w:p>
    <w:p w14:paraId="2462951B" w14:textId="070ED34B" w:rsidR="00AA1449" w:rsidRPr="00DE1E8C" w:rsidRDefault="00AA1449" w:rsidP="00AA1449">
      <w:pPr>
        <w:spacing w:line="360" w:lineRule="auto"/>
        <w:contextualSpacing/>
        <w:jc w:val="both"/>
        <w:rPr>
          <w:lang w:val="en-GB"/>
        </w:rPr>
      </w:pPr>
    </w:p>
    <w:p w14:paraId="6E1976C6" w14:textId="77777777" w:rsidR="001C4CD0" w:rsidRPr="00DE1E8C" w:rsidRDefault="001C4CD0" w:rsidP="001C4CD0">
      <w:pPr>
        <w:spacing w:line="360" w:lineRule="auto"/>
        <w:contextualSpacing/>
        <w:jc w:val="both"/>
        <w:rPr>
          <w:b/>
          <w:lang w:val="en-GB"/>
        </w:rPr>
      </w:pPr>
      <w:r w:rsidRPr="00DE1E8C">
        <w:rPr>
          <w:b/>
          <w:lang w:val="en-GB"/>
        </w:rPr>
        <w:t xml:space="preserve">Figure 4. </w:t>
      </w:r>
    </w:p>
    <w:p w14:paraId="47686D94" w14:textId="77777777" w:rsidR="001C4CD0" w:rsidRPr="00DE1E8C" w:rsidRDefault="001C4CD0" w:rsidP="001C4CD0">
      <w:pPr>
        <w:spacing w:line="360" w:lineRule="auto"/>
        <w:contextualSpacing/>
        <w:jc w:val="both"/>
        <w:rPr>
          <w:lang w:val="en-GB"/>
        </w:rPr>
      </w:pPr>
      <w:r w:rsidRPr="00DE1E8C">
        <w:rPr>
          <w:b/>
          <w:lang w:val="en-GB"/>
        </w:rPr>
        <w:t>Non-decision time</w:t>
      </w:r>
    </w:p>
    <w:p w14:paraId="10A54582" w14:textId="34673D9A" w:rsidR="001C4CD0" w:rsidRPr="00DE1E8C" w:rsidRDefault="001C4CD0" w:rsidP="001C4CD0">
      <w:pPr>
        <w:spacing w:line="360" w:lineRule="auto"/>
        <w:contextualSpacing/>
        <w:jc w:val="both"/>
        <w:rPr>
          <w:bCs/>
          <w:iCs/>
          <w:lang w:val="en-GB"/>
        </w:rPr>
      </w:pPr>
      <w:r w:rsidRPr="00DE1E8C">
        <w:rPr>
          <w:bCs/>
          <w:iCs/>
          <w:lang w:val="en-GB"/>
        </w:rPr>
        <w:t xml:space="preserve">Group comparison of the posterior probability density plots for non-decision time (T), combined across task conditions. Peaks of distributions reflect the most likely value of the parameter. N = 23 Controls, 16 Alzheimer’s disease (AD), 31 Lewy body disease (LBD). </w:t>
      </w:r>
      <w:r w:rsidRPr="00DE1E8C">
        <w:rPr>
          <w:lang w:val="en-GB"/>
        </w:rPr>
        <w:t>Percentage of overlap in the posterior probabilities (P) in</w:t>
      </w:r>
      <w:r w:rsidRPr="00DE1E8C">
        <w:rPr>
          <w:bCs/>
          <w:iCs/>
          <w:lang w:val="en-GB"/>
        </w:rPr>
        <w:t xml:space="preserve"> LBD vs. AD: P = 0.50%; LBD vs. Controls: P = 0.00%; AD vs. controls: P = 0.08%. </w:t>
      </w:r>
    </w:p>
    <w:p w14:paraId="77B30E8A" w14:textId="2B41BCEB" w:rsidR="00D54DF1" w:rsidRPr="00DE1E8C" w:rsidRDefault="00D54DF1" w:rsidP="001C4CD0">
      <w:pPr>
        <w:spacing w:line="360" w:lineRule="auto"/>
        <w:contextualSpacing/>
        <w:jc w:val="both"/>
        <w:rPr>
          <w:bCs/>
          <w:iCs/>
          <w:lang w:val="en-GB"/>
        </w:rPr>
      </w:pPr>
    </w:p>
    <w:p w14:paraId="2E8D0363" w14:textId="77777777" w:rsidR="00D54DF1" w:rsidRPr="00DE1E8C" w:rsidRDefault="00D54DF1" w:rsidP="00D54DF1">
      <w:pPr>
        <w:spacing w:line="360" w:lineRule="auto"/>
        <w:contextualSpacing/>
        <w:jc w:val="both"/>
        <w:rPr>
          <w:b/>
          <w:lang w:val="en-GB"/>
        </w:rPr>
      </w:pPr>
      <w:r w:rsidRPr="00DE1E8C">
        <w:rPr>
          <w:b/>
          <w:lang w:val="en-GB"/>
        </w:rPr>
        <w:t xml:space="preserve">Figure 5. </w:t>
      </w:r>
    </w:p>
    <w:p w14:paraId="5E1D2C27" w14:textId="77777777" w:rsidR="00D54DF1" w:rsidRPr="00DE1E8C" w:rsidRDefault="00D54DF1" w:rsidP="00D54DF1">
      <w:pPr>
        <w:spacing w:line="360" w:lineRule="auto"/>
        <w:contextualSpacing/>
        <w:jc w:val="both"/>
        <w:rPr>
          <w:b/>
          <w:lang w:val="en-GB"/>
        </w:rPr>
      </w:pPr>
      <w:r w:rsidRPr="00DE1E8C">
        <w:rPr>
          <w:b/>
          <w:lang w:val="en-GB"/>
        </w:rPr>
        <w:t>Relationship between drift rate and activity in the default and dorsal attention networks</w:t>
      </w:r>
    </w:p>
    <w:p w14:paraId="13F955B8" w14:textId="12D221FD" w:rsidR="00D54DF1" w:rsidRPr="00DE1E8C" w:rsidRDefault="00D54DF1" w:rsidP="00D54DF1">
      <w:pPr>
        <w:spacing w:line="360" w:lineRule="auto"/>
        <w:contextualSpacing/>
        <w:jc w:val="both"/>
        <w:rPr>
          <w:b/>
          <w:lang w:val="en-GB"/>
        </w:rPr>
      </w:pPr>
      <w:r w:rsidRPr="00DE1E8C">
        <w:rPr>
          <w:iCs/>
          <w:lang w:val="en-GB"/>
        </w:rPr>
        <w:t xml:space="preserve">Top panel shows the default (purple) and dorsal attention (pink) network maps taken from the Yeo et al parcellation </w:t>
      </w:r>
      <w:r w:rsidRPr="00DE1E8C">
        <w:rPr>
          <w:iCs/>
          <w:lang w:val="en-GB"/>
        </w:rPr>
        <w:fldChar w:fldCharType="begin"/>
      </w:r>
      <w:r w:rsidR="00A867A4" w:rsidRPr="00DE1E8C">
        <w:rPr>
          <w:iCs/>
          <w:lang w:val="en-GB"/>
        </w:rPr>
        <w:instrText xml:space="preserve"> ADDIN ZOTERO_ITEM CSL_CITATION {"citationID":"40qWHoEe","properties":{"formattedCitation":"(Yeo {\\i{}et al.}, 2011)","plainCitation":"(Yeo et al., 2011)","noteIndex":0},"citationItems":[{"id":14110,"uris":["http://zotero.org/users/local/xUwQuTPV/items/RZMRBM46"],"uri":["http://zotero.org/users/local/xUwQuTPV/items/RZMRBM46"],"itemData":{"id":14110,"type":"article-journal","abstract":"Information processing in the cerebral cortex involves interactions among distributed areas. Anatomical connectivity suggests that certain areas form local hierarchical relations such as within the visual system. Other connectivity patterns, particularly among association areas, suggest the presence of large-scale circuits without clear hierarchical relations. In this study the organization of networks in the human cerebrum was explored using resting-state functional connectivity MRI. Data from 1,000 subjects were registered using surface-based alignment. A clustering approach was employed to identify and replicate networks of functionally coupled regions across the cerebral cortex. The results revealed local networks confined to sensory and motor cortices as well as distributed networks of association regions. Within the sensory and motor cortices, functional connectivity followed topographic representations across adjacent areas. In association cortex, the connectivity patterns often showed abrupt transitions between network boundaries. Focused analyses were performed to better understand properties of network connectivity. A canonical sensory-motor pathway involving primary visual area, putative middle temporal area complex (MT+), lateral intraparietal area, and frontal eye field was analyzed to explore how interactions might arise within and between networks. Results showed that adjacent regions of the MT+ complex demonstrate differential connectivity consistent with a hierarchical pathway that spans networks. The functional connectivity of parietal and prefrontal association cortices was next explored. Distinct connectivity profiles of neighboring regions suggest they participate in distributed networks that, while showing evidence for interactions, are embedded within largely parallel, interdigitated circuits. We conclude by discussing the organization of these large-scale cerebral networks in relation to monkey anatomy and their potential evolutionary expansion in humans to support cognition.","container-title":"Journal of Neurophysiology","DOI":"10.1152/jn.00338.2011","ISSN":"0022-3077","issue":"3","note":"publisher: American Physiological Society","page":"1125-1165","source":"journals.physiology.org (Atypon)","title":"The organization of the human cerebral cortex estimated by intrinsic functional connectivity","volume":"106","author":[{"family":"Yeo","given":"B. T. T."},{"family":"Krienen","given":"Fenna M."},{"family":"Sepulcre","given":"Jorge"},{"family":"Sabuncu","given":"Mert R."},{"family":"Lashkari","given":"Danial"},{"family":"Hollinshead","given":"Marisa"},{"family":"Roffman","given":"Joshua L."},{"family":"Smoller","given":"Jordan W."},{"family":"Zöllei","given":"Lilla"},{"family":"Polimeni","given":"Jonathan R."},{"family":"Fischl","given":"Bruce"},{"family":"Liu","given":"Hesheng"},{"family":"Buckner","given":"Randy L."}],"issued":{"date-parts":[["2011",6,8]]}}}],"schema":"https://github.com/citation-style-language/schema/raw/master/csl-citation.json"} </w:instrText>
      </w:r>
      <w:r w:rsidRPr="00DE1E8C">
        <w:rPr>
          <w:iCs/>
          <w:lang w:val="en-GB"/>
        </w:rPr>
        <w:fldChar w:fldCharType="separate"/>
      </w:r>
      <w:r w:rsidRPr="00DE1E8C">
        <w:rPr>
          <w:lang w:val="en-GB"/>
        </w:rPr>
        <w:t xml:space="preserve">(Yeo </w:t>
      </w:r>
      <w:r w:rsidRPr="00DE1E8C">
        <w:rPr>
          <w:i/>
          <w:iCs/>
          <w:lang w:val="en-GB"/>
        </w:rPr>
        <w:t>et al.</w:t>
      </w:r>
      <w:r w:rsidRPr="00DE1E8C">
        <w:rPr>
          <w:lang w:val="en-GB"/>
        </w:rPr>
        <w:t>, 2011)</w:t>
      </w:r>
      <w:r w:rsidRPr="00DE1E8C">
        <w:rPr>
          <w:iCs/>
          <w:lang w:val="en-GB"/>
        </w:rPr>
        <w:fldChar w:fldCharType="end"/>
      </w:r>
      <w:r w:rsidRPr="00DE1E8C">
        <w:rPr>
          <w:rFonts w:eastAsiaTheme="minorEastAsia"/>
          <w:lang w:val="en-GB" w:eastAsia="en-US"/>
        </w:rPr>
        <w:t xml:space="preserve">. Bottom panel shows the </w:t>
      </w:r>
      <w:r w:rsidRPr="00DE1E8C">
        <w:rPr>
          <w:lang w:val="en-GB"/>
        </w:rPr>
        <w:t xml:space="preserve">posterior probability density plots of the drift rates estimated from the hDDM regression model (y-axis) and how they varied as a function of activity in the default and dorsal attention networks (x-axis). Strength of the relationship reflected by the amount of distribution being to the </w:t>
      </w:r>
      <w:r w:rsidRPr="00DE1E8C">
        <w:rPr>
          <w:bCs/>
          <w:iCs/>
          <w:lang w:val="en-GB"/>
        </w:rPr>
        <w:t>left or right of zero. Peaks of distributions reflect the most likely value of the parameter.</w:t>
      </w:r>
      <w:r w:rsidRPr="00DE1E8C">
        <w:rPr>
          <w:lang w:val="en-GB"/>
        </w:rPr>
        <w:t xml:space="preserve"> </w:t>
      </w:r>
      <w:r w:rsidRPr="00DE1E8C">
        <w:rPr>
          <w:bCs/>
          <w:iCs/>
          <w:lang w:val="en-GB"/>
        </w:rPr>
        <w:t xml:space="preserve">N = 23 Controls, 16 Alzheimer’s disease (AD), 31 Lewy body disease (LBD). </w:t>
      </w:r>
      <w:r w:rsidRPr="00DE1E8C">
        <w:rPr>
          <w:lang w:val="en-GB"/>
        </w:rPr>
        <w:t xml:space="preserve">P refers to the percentage of the distribution that is greater (or less than) zero. Dorsal attention network, controls: P = 99.92%; AD: P = 94.02%; Lewy body dementia: P = 99.81%; Default network: controls: P = 70.96 %; AD: P = 59.78%; Lewy body dementia: P = 80.62%.  </w:t>
      </w:r>
    </w:p>
    <w:p w14:paraId="4C49DA9B" w14:textId="77777777" w:rsidR="001C4CD0" w:rsidRPr="00DE1E8C" w:rsidRDefault="001C4CD0" w:rsidP="001C4CD0">
      <w:pPr>
        <w:spacing w:line="360" w:lineRule="auto"/>
        <w:contextualSpacing/>
        <w:jc w:val="both"/>
        <w:rPr>
          <w:bCs/>
          <w:iCs/>
          <w:lang w:val="en-GB"/>
        </w:rPr>
      </w:pPr>
    </w:p>
    <w:p w14:paraId="6E9B7A47" w14:textId="2F683870" w:rsidR="001C4CD0" w:rsidRPr="00DE1E8C" w:rsidRDefault="001C4CD0" w:rsidP="001C4CD0">
      <w:pPr>
        <w:spacing w:line="360" w:lineRule="auto"/>
        <w:contextualSpacing/>
        <w:jc w:val="both"/>
        <w:rPr>
          <w:lang w:val="en-GB"/>
        </w:rPr>
      </w:pPr>
      <w:r w:rsidRPr="00DE1E8C">
        <w:rPr>
          <w:bCs/>
          <w:iCs/>
          <w:lang w:val="en-GB"/>
        </w:rPr>
        <w:t xml:space="preserve">      </w:t>
      </w:r>
    </w:p>
    <w:p w14:paraId="5ECCAA01" w14:textId="50A0D871" w:rsidR="00AA1449" w:rsidRPr="00DE1E8C" w:rsidRDefault="00AA1449" w:rsidP="00AA1449">
      <w:pPr>
        <w:spacing w:line="360" w:lineRule="auto"/>
        <w:contextualSpacing/>
        <w:jc w:val="both"/>
        <w:rPr>
          <w:lang w:val="en-GB"/>
        </w:rPr>
      </w:pPr>
    </w:p>
    <w:p w14:paraId="72FA4AA7" w14:textId="77777777" w:rsidR="00AA1449" w:rsidRPr="00DE1E8C" w:rsidRDefault="00AA1449" w:rsidP="00AA1449">
      <w:pPr>
        <w:spacing w:line="360" w:lineRule="auto"/>
        <w:contextualSpacing/>
        <w:jc w:val="both"/>
        <w:rPr>
          <w:lang w:val="en-GB"/>
        </w:rPr>
      </w:pPr>
    </w:p>
    <w:p w14:paraId="0B429BA8" w14:textId="74FEEDEB" w:rsidR="002D30B6" w:rsidRPr="00832475" w:rsidRDefault="00AA1449" w:rsidP="00AA1449">
      <w:pPr>
        <w:spacing w:line="360" w:lineRule="auto"/>
        <w:contextualSpacing/>
        <w:jc w:val="both"/>
        <w:rPr>
          <w:b/>
          <w:lang w:val="en-GB"/>
        </w:rPr>
      </w:pPr>
      <w:r w:rsidRPr="00DE1E8C">
        <w:rPr>
          <w:lang w:val="en-GB"/>
        </w:rPr>
        <w:t xml:space="preserve">    </w:t>
      </w:r>
      <w:r w:rsidR="00F46DCA" w:rsidRPr="00DE1E8C">
        <w:rPr>
          <w:lang w:val="en-GB"/>
        </w:rPr>
        <w:fldChar w:fldCharType="begin"/>
      </w:r>
      <w:r w:rsidR="00F46DCA" w:rsidRPr="00DE1E8C">
        <w:rPr>
          <w:lang w:val="en-GB"/>
        </w:rPr>
        <w:instrText xml:space="preserve"> ADDIN PAPERS2_CITATIONS &lt;papers2_bibliography/&gt;</w:instrText>
      </w:r>
      <w:r w:rsidR="00F46DCA" w:rsidRPr="00DE1E8C">
        <w:rPr>
          <w:lang w:val="en-GB"/>
        </w:rPr>
        <w:fldChar w:fldCharType="end"/>
      </w:r>
      <w:bookmarkStart w:id="0" w:name="_GoBack"/>
      <w:bookmarkEnd w:id="0"/>
    </w:p>
    <w:sectPr w:rsidR="002D30B6" w:rsidRPr="00832475" w:rsidSect="005604BF">
      <w:headerReference w:type="even" r:id="rId23"/>
      <w:headerReference w:type="default" r:id="rId24"/>
      <w:footerReference w:type="default" r:id="rId25"/>
      <w:pgSz w:w="11900" w:h="16840"/>
      <w:pgMar w:top="1440" w:right="1800" w:bottom="1440" w:left="180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96E582" w16cex:dateUtc="2020-12-30T11:39:00Z"/>
  <w16cex:commentExtensible w16cex:durableId="2364D35D" w16cex:dateUtc="2020-11-22T12:09:00Z"/>
  <w16cex:commentExtensible w16cex:durableId="2364D458" w16cex:dateUtc="2020-11-22T12:13:00Z"/>
  <w16cex:commentExtensible w16cex:durableId="2364D481" w16cex:dateUtc="2020-11-22T12:13:00Z"/>
  <w16cex:commentExtensible w16cex:durableId="2364D6B1" w16cex:dateUtc="2020-11-22T12:23:00Z"/>
  <w16cex:commentExtensible w16cex:durableId="2364DAC6" w16cex:dateUtc="2020-11-22T12:40:00Z"/>
  <w16cex:commentExtensible w16cex:durableId="2396E211" w16cex:dateUtc="2020-12-30T11:25:00Z"/>
  <w16cex:commentExtensible w16cex:durableId="2364DB75" w16cex:dateUtc="2020-11-22T12:43:00Z"/>
  <w16cex:commentExtensible w16cex:durableId="2396DFC1" w16cex:dateUtc="2020-12-30T11:15:00Z"/>
  <w16cex:commentExtensible w16cex:durableId="2396DFF7" w16cex:dateUtc="2020-12-30T11:16:00Z"/>
  <w16cex:commentExtensible w16cex:durableId="2396E26D" w16cex:dateUtc="2020-12-30T11:26:00Z"/>
  <w16cex:commentExtensible w16cex:durableId="2396E2F1" w16cex:dateUtc="2020-12-30T11:28:00Z"/>
  <w16cex:commentExtensible w16cex:durableId="2396E31F" w16cex:dateUtc="2020-12-30T11:29:00Z"/>
  <w16cex:commentExtensible w16cex:durableId="2396E3A0" w16cex:dateUtc="2020-12-30T11:31:00Z"/>
  <w16cex:commentExtensible w16cex:durableId="2396E3D9" w16cex:dateUtc="2020-12-30T11:32:00Z"/>
  <w16cex:commentExtensible w16cex:durableId="2396E437" w16cex:dateUtc="2020-12-30T11:34:00Z"/>
  <w16cex:commentExtensible w16cex:durableId="2396E53A" w16cex:dateUtc="2020-12-30T11:38:00Z"/>
  <w16cex:commentExtensible w16cex:durableId="2396E568" w16cex:dateUtc="2020-12-30T11:39: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5144CC7" w14:textId="77777777" w:rsidR="0004781F" w:rsidRDefault="0004781F" w:rsidP="002053DF">
      <w:r>
        <w:separator/>
      </w:r>
    </w:p>
  </w:endnote>
  <w:endnote w:type="continuationSeparator" w:id="0">
    <w:p w14:paraId="19F2AB60" w14:textId="77777777" w:rsidR="0004781F" w:rsidRDefault="0004781F" w:rsidP="002053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Lucida Grande">
    <w:panose1 w:val="020B0600040502020204"/>
    <w:charset w:val="00"/>
    <w:family w:val="swiss"/>
    <w:pitch w:val="variable"/>
    <w:sig w:usb0="E1000AEF" w:usb1="5000A1FF" w:usb2="00000000" w:usb3="00000000" w:csb0="000001B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832949582"/>
      <w:docPartObj>
        <w:docPartGallery w:val="Page Numbers (Bottom of Page)"/>
        <w:docPartUnique/>
      </w:docPartObj>
    </w:sdtPr>
    <w:sdtEndPr>
      <w:rPr>
        <w:rStyle w:val="PageNumber"/>
      </w:rPr>
    </w:sdtEndPr>
    <w:sdtContent>
      <w:p w14:paraId="55E7AEB4" w14:textId="77777777" w:rsidR="001A425D" w:rsidRDefault="001A425D" w:rsidP="005604BF">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4260329" w14:textId="77777777" w:rsidR="001A425D" w:rsidRDefault="001A425D" w:rsidP="00F05E6A">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129013880"/>
      <w:docPartObj>
        <w:docPartGallery w:val="Page Numbers (Bottom of Page)"/>
        <w:docPartUnique/>
      </w:docPartObj>
    </w:sdtPr>
    <w:sdtEndPr>
      <w:rPr>
        <w:rStyle w:val="PageNumber"/>
      </w:rPr>
    </w:sdtEndPr>
    <w:sdtContent>
      <w:p w14:paraId="260C98E5" w14:textId="2E6675DF" w:rsidR="001A425D" w:rsidRDefault="001A425D" w:rsidP="00F51D80">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023FDA0F" w14:textId="19BC34C3" w:rsidR="001A425D" w:rsidRPr="008B7C1A" w:rsidRDefault="001A425D" w:rsidP="005604BF">
    <w:pPr>
      <w:pStyle w:val="Footer"/>
      <w:framePr w:wrap="none" w:vAnchor="text" w:hAnchor="margin" w:xAlign="right" w:y="1"/>
      <w:ind w:right="360"/>
      <w:rPr>
        <w:rStyle w:val="PageNumber"/>
        <w:rFonts w:ascii="Times New Roman" w:hAnsi="Times New Roman" w:cs="Times New Roman"/>
      </w:rPr>
    </w:pPr>
  </w:p>
  <w:p w14:paraId="669D2154" w14:textId="77777777" w:rsidR="001A425D" w:rsidRPr="008B7C1A" w:rsidRDefault="001A425D" w:rsidP="00F05E6A">
    <w:pPr>
      <w:pStyle w:val="Footer"/>
      <w:ind w:right="360"/>
      <w:rPr>
        <w:rFonts w:ascii="Times New Roman" w:hAnsi="Times New Roman" w:cs="Times New Roman"/>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Fonts w:ascii="Times New Roman" w:hAnsi="Times New Roman" w:cs="Times New Roman"/>
      </w:rPr>
      <w:id w:val="-839696477"/>
      <w:docPartObj>
        <w:docPartGallery w:val="Page Numbers (Bottom of Page)"/>
        <w:docPartUnique/>
      </w:docPartObj>
    </w:sdtPr>
    <w:sdtEndPr>
      <w:rPr>
        <w:rStyle w:val="PageNumber"/>
      </w:rPr>
    </w:sdtEndPr>
    <w:sdtContent>
      <w:p w14:paraId="58973318" w14:textId="11B98D68" w:rsidR="001A425D" w:rsidRPr="005604BF" w:rsidRDefault="001A425D" w:rsidP="005604BF">
        <w:pPr>
          <w:pStyle w:val="Footer"/>
          <w:framePr w:wrap="none" w:vAnchor="text" w:hAnchor="margin" w:xAlign="right" w:y="1"/>
          <w:jc w:val="right"/>
          <w:rPr>
            <w:rStyle w:val="PageNumber"/>
            <w:rFonts w:ascii="Times New Roman" w:hAnsi="Times New Roman" w:cs="Times New Roman"/>
          </w:rPr>
        </w:pPr>
        <w:r w:rsidRPr="005604BF">
          <w:rPr>
            <w:rStyle w:val="PageNumber"/>
            <w:rFonts w:ascii="Times New Roman" w:hAnsi="Times New Roman" w:cs="Times New Roman"/>
          </w:rPr>
          <w:fldChar w:fldCharType="begin"/>
        </w:r>
        <w:r w:rsidRPr="005604BF">
          <w:rPr>
            <w:rStyle w:val="PageNumber"/>
            <w:rFonts w:ascii="Times New Roman" w:hAnsi="Times New Roman" w:cs="Times New Roman"/>
          </w:rPr>
          <w:instrText xml:space="preserve"> PAGE </w:instrText>
        </w:r>
        <w:r w:rsidRPr="005604BF">
          <w:rPr>
            <w:rStyle w:val="PageNumber"/>
            <w:rFonts w:ascii="Times New Roman" w:hAnsi="Times New Roman" w:cs="Times New Roman"/>
          </w:rPr>
          <w:fldChar w:fldCharType="separate"/>
        </w:r>
        <w:r>
          <w:rPr>
            <w:rStyle w:val="PageNumber"/>
            <w:rFonts w:ascii="Times New Roman" w:hAnsi="Times New Roman" w:cs="Times New Roman"/>
            <w:noProof/>
          </w:rPr>
          <w:t>25</w:t>
        </w:r>
        <w:r w:rsidRPr="005604BF">
          <w:rPr>
            <w:rStyle w:val="PageNumber"/>
            <w:rFonts w:ascii="Times New Roman" w:hAnsi="Times New Roman" w:cs="Times New Roman"/>
          </w:rPr>
          <w:fldChar w:fldCharType="end"/>
        </w:r>
      </w:p>
    </w:sdtContent>
  </w:sdt>
  <w:p w14:paraId="3B8FF85C" w14:textId="77777777" w:rsidR="001A425D" w:rsidRPr="005604BF" w:rsidRDefault="001A425D" w:rsidP="005604BF">
    <w:pPr>
      <w:pStyle w:val="Footer"/>
      <w:framePr w:wrap="none" w:vAnchor="text" w:hAnchor="margin" w:xAlign="right" w:y="1"/>
      <w:ind w:right="360"/>
      <w:rPr>
        <w:rStyle w:val="PageNumber"/>
        <w:rFonts w:ascii="Times New Roman" w:hAnsi="Times New Roman" w:cs="Times New Roman"/>
      </w:rPr>
    </w:pPr>
  </w:p>
  <w:p w14:paraId="1D37B6B1" w14:textId="77777777" w:rsidR="001A425D" w:rsidRPr="008B7C1A" w:rsidRDefault="001A425D" w:rsidP="00F05E6A">
    <w:pPr>
      <w:pStyle w:val="Footer"/>
      <w:ind w:right="360"/>
      <w:rPr>
        <w:rFonts w:ascii="Times New Roman" w:hAnsi="Times New Roman" w:cs="Times New Roman"/>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CDA6396" w14:textId="77777777" w:rsidR="0004781F" w:rsidRDefault="0004781F" w:rsidP="002053DF">
      <w:r>
        <w:separator/>
      </w:r>
    </w:p>
  </w:footnote>
  <w:footnote w:type="continuationSeparator" w:id="0">
    <w:p w14:paraId="608F003F" w14:textId="77777777" w:rsidR="0004781F" w:rsidRDefault="0004781F" w:rsidP="002053D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583608029"/>
      <w:docPartObj>
        <w:docPartGallery w:val="Page Numbers (Top of Page)"/>
        <w:docPartUnique/>
      </w:docPartObj>
    </w:sdtPr>
    <w:sdtEndPr>
      <w:rPr>
        <w:rStyle w:val="PageNumber"/>
      </w:rPr>
    </w:sdtEndPr>
    <w:sdtContent>
      <w:p w14:paraId="209FA7A1" w14:textId="03C318D2" w:rsidR="001A425D" w:rsidRDefault="001A425D" w:rsidP="00F51D80">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1F0DEC9" w14:textId="77777777" w:rsidR="001A425D" w:rsidRDefault="001A425D" w:rsidP="00064E68">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824663531"/>
      <w:docPartObj>
        <w:docPartGallery w:val="Page Numbers (Top of Page)"/>
        <w:docPartUnique/>
      </w:docPartObj>
    </w:sdtPr>
    <w:sdtEndPr>
      <w:rPr>
        <w:rStyle w:val="PageNumber"/>
      </w:rPr>
    </w:sdtEndPr>
    <w:sdtContent>
      <w:p w14:paraId="413B0154" w14:textId="3D9649ED" w:rsidR="001A425D" w:rsidRDefault="001A425D" w:rsidP="00F51D80">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5441DE1" w14:textId="77777777" w:rsidR="001A425D" w:rsidRDefault="001A425D" w:rsidP="00064E68">
    <w:pPr>
      <w:pStyle w:val="Header"/>
      <w:ind w:right="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7102BF" w14:textId="77777777" w:rsidR="001A425D" w:rsidRDefault="001A425D" w:rsidP="00923AC0">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6239753" w14:textId="77777777" w:rsidR="001A425D" w:rsidRDefault="001A425D" w:rsidP="002053DF">
    <w:pPr>
      <w:pStyle w:val="Header"/>
      <w:ind w:right="36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C91658" w14:textId="77777777" w:rsidR="001A425D" w:rsidRDefault="001A425D" w:rsidP="002053DF">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DC359F"/>
    <w:multiLevelType w:val="hybridMultilevel"/>
    <w:tmpl w:val="A0C8BF0C"/>
    <w:lvl w:ilvl="0" w:tplc="04090001">
      <w:start w:val="1"/>
      <w:numFmt w:val="bullet"/>
      <w:lvlText w:val=""/>
      <w:lvlJc w:val="left"/>
      <w:pPr>
        <w:ind w:left="720" w:hanging="360"/>
      </w:pPr>
      <w:rPr>
        <w:rFonts w:ascii="Symbol" w:hAnsi="Symbol" w:hint="default"/>
      </w:rPr>
    </w:lvl>
    <w:lvl w:ilvl="1" w:tplc="04090009">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57A760D"/>
    <w:multiLevelType w:val="hybridMultilevel"/>
    <w:tmpl w:val="1F08ED1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C7E3F82"/>
    <w:multiLevelType w:val="hybridMultilevel"/>
    <w:tmpl w:val="D7F8C8F2"/>
    <w:lvl w:ilvl="0" w:tplc="84808B20">
      <w:start w:val="1"/>
      <w:numFmt w:val="decimal"/>
      <w:lvlText w:val="%1"/>
      <w:lvlJc w:val="right"/>
      <w:pPr>
        <w:ind w:left="340" w:hanging="227"/>
      </w:pPr>
      <w:rPr>
        <w:rFonts w:hint="default"/>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726F6186"/>
    <w:multiLevelType w:val="hybridMultilevel"/>
    <w:tmpl w:val="53706EE4"/>
    <w:lvl w:ilvl="0" w:tplc="04090001">
      <w:start w:val="1"/>
      <w:numFmt w:val="bullet"/>
      <w:lvlText w:val=""/>
      <w:lvlJc w:val="left"/>
      <w:pPr>
        <w:ind w:left="720" w:hanging="360"/>
      </w:pPr>
      <w:rPr>
        <w:rFonts w:ascii="Symbol" w:hAnsi="Symbol" w:hint="default"/>
      </w:rPr>
    </w:lvl>
    <w:lvl w:ilvl="1" w:tplc="04090005">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1"/>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Brain&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1&lt;/SpaceAfter&gt;&lt;HyperlinksEnabled&gt;0&lt;/HyperlinksEnabled&gt;&lt;HyperlinksVisible&gt;0&lt;/HyperlinksVisible&gt;&lt;EnableBibliographyCategories&gt;0&lt;/EnableBibliographyCategories&gt;&lt;/ENLayout&gt;"/>
    <w:docVar w:name="EN.Libraries" w:val="&lt;Libraries&gt;&lt;item db-id=&quot;wvs2s9eeb0tw0oe509w5xv5tfaptdz20ertv&quot;&gt;My EndNote Library&lt;record-ids&gt;&lt;item&gt;41&lt;/item&gt;&lt;item&gt;44&lt;/item&gt;&lt;item&gt;486&lt;/item&gt;&lt;item&gt;2205&lt;/item&gt;&lt;item&gt;3212&lt;/item&gt;&lt;item&gt;3224&lt;/item&gt;&lt;item&gt;3226&lt;/item&gt;&lt;item&gt;3227&lt;/item&gt;&lt;item&gt;3254&lt;/item&gt;&lt;item&gt;3255&lt;/item&gt;&lt;item&gt;3256&lt;/item&gt;&lt;item&gt;3260&lt;/item&gt;&lt;item&gt;3263&lt;/item&gt;&lt;item&gt;3689&lt;/item&gt;&lt;item&gt;3699&lt;/item&gt;&lt;item&gt;3782&lt;/item&gt;&lt;item&gt;3783&lt;/item&gt;&lt;item&gt;3785&lt;/item&gt;&lt;item&gt;3786&lt;/item&gt;&lt;item&gt;3787&lt;/item&gt;&lt;/record-ids&gt;&lt;/item&gt;&lt;/Libraries&gt;"/>
  </w:docVars>
  <w:rsids>
    <w:rsidRoot w:val="00E54E3C"/>
    <w:rsid w:val="000007B7"/>
    <w:rsid w:val="00001294"/>
    <w:rsid w:val="000020EB"/>
    <w:rsid w:val="00002BCB"/>
    <w:rsid w:val="0000318D"/>
    <w:rsid w:val="000040EB"/>
    <w:rsid w:val="000040F3"/>
    <w:rsid w:val="000044E6"/>
    <w:rsid w:val="0000680A"/>
    <w:rsid w:val="000115D3"/>
    <w:rsid w:val="00012208"/>
    <w:rsid w:val="00012536"/>
    <w:rsid w:val="00012C6D"/>
    <w:rsid w:val="00012FCB"/>
    <w:rsid w:val="00013381"/>
    <w:rsid w:val="0001392F"/>
    <w:rsid w:val="000144C6"/>
    <w:rsid w:val="00014666"/>
    <w:rsid w:val="000154DA"/>
    <w:rsid w:val="00015516"/>
    <w:rsid w:val="00015EE9"/>
    <w:rsid w:val="00015F60"/>
    <w:rsid w:val="00016432"/>
    <w:rsid w:val="000172CE"/>
    <w:rsid w:val="00017AA2"/>
    <w:rsid w:val="00020111"/>
    <w:rsid w:val="0002073A"/>
    <w:rsid w:val="000210FD"/>
    <w:rsid w:val="00021F57"/>
    <w:rsid w:val="000223D1"/>
    <w:rsid w:val="00026BE3"/>
    <w:rsid w:val="0002705A"/>
    <w:rsid w:val="00027A2E"/>
    <w:rsid w:val="00027A54"/>
    <w:rsid w:val="00027D36"/>
    <w:rsid w:val="00030D96"/>
    <w:rsid w:val="00031209"/>
    <w:rsid w:val="00031539"/>
    <w:rsid w:val="00031D29"/>
    <w:rsid w:val="00032266"/>
    <w:rsid w:val="000323D1"/>
    <w:rsid w:val="00033DDC"/>
    <w:rsid w:val="00034268"/>
    <w:rsid w:val="00034A67"/>
    <w:rsid w:val="00036E3F"/>
    <w:rsid w:val="00037E7B"/>
    <w:rsid w:val="000410C3"/>
    <w:rsid w:val="00041F2E"/>
    <w:rsid w:val="0004369B"/>
    <w:rsid w:val="00043C3F"/>
    <w:rsid w:val="00044713"/>
    <w:rsid w:val="00044D7B"/>
    <w:rsid w:val="000451C2"/>
    <w:rsid w:val="00045D7A"/>
    <w:rsid w:val="0004604C"/>
    <w:rsid w:val="000465C4"/>
    <w:rsid w:val="000472C4"/>
    <w:rsid w:val="0004778C"/>
    <w:rsid w:val="0004781F"/>
    <w:rsid w:val="00047827"/>
    <w:rsid w:val="000502CD"/>
    <w:rsid w:val="00050834"/>
    <w:rsid w:val="00050DA8"/>
    <w:rsid w:val="00050FB3"/>
    <w:rsid w:val="000513A9"/>
    <w:rsid w:val="000513CB"/>
    <w:rsid w:val="00051D33"/>
    <w:rsid w:val="00052131"/>
    <w:rsid w:val="00052707"/>
    <w:rsid w:val="00052B56"/>
    <w:rsid w:val="00052CE2"/>
    <w:rsid w:val="00052D9A"/>
    <w:rsid w:val="00053030"/>
    <w:rsid w:val="0005304F"/>
    <w:rsid w:val="00054AB9"/>
    <w:rsid w:val="00055DFA"/>
    <w:rsid w:val="00055E32"/>
    <w:rsid w:val="00056A7D"/>
    <w:rsid w:val="00056CAB"/>
    <w:rsid w:val="00057B81"/>
    <w:rsid w:val="0006217E"/>
    <w:rsid w:val="00064E68"/>
    <w:rsid w:val="00065039"/>
    <w:rsid w:val="00065FB3"/>
    <w:rsid w:val="000660D6"/>
    <w:rsid w:val="0006679A"/>
    <w:rsid w:val="00066EDA"/>
    <w:rsid w:val="00066FDD"/>
    <w:rsid w:val="00066FE1"/>
    <w:rsid w:val="000672EF"/>
    <w:rsid w:val="00067E97"/>
    <w:rsid w:val="00067F10"/>
    <w:rsid w:val="00070941"/>
    <w:rsid w:val="000710FC"/>
    <w:rsid w:val="0007148A"/>
    <w:rsid w:val="000739C6"/>
    <w:rsid w:val="00074A9A"/>
    <w:rsid w:val="00075864"/>
    <w:rsid w:val="0007644A"/>
    <w:rsid w:val="00080FBA"/>
    <w:rsid w:val="000814C8"/>
    <w:rsid w:val="000818AB"/>
    <w:rsid w:val="00082179"/>
    <w:rsid w:val="00083F58"/>
    <w:rsid w:val="000842CA"/>
    <w:rsid w:val="000846F3"/>
    <w:rsid w:val="00084CA3"/>
    <w:rsid w:val="00084F82"/>
    <w:rsid w:val="000856BA"/>
    <w:rsid w:val="00085D95"/>
    <w:rsid w:val="000905B9"/>
    <w:rsid w:val="00090D83"/>
    <w:rsid w:val="00091E80"/>
    <w:rsid w:val="00092B68"/>
    <w:rsid w:val="0009307B"/>
    <w:rsid w:val="00093150"/>
    <w:rsid w:val="00094765"/>
    <w:rsid w:val="00096853"/>
    <w:rsid w:val="00097330"/>
    <w:rsid w:val="000978BB"/>
    <w:rsid w:val="00097A42"/>
    <w:rsid w:val="000A0EEB"/>
    <w:rsid w:val="000A10D3"/>
    <w:rsid w:val="000A19E3"/>
    <w:rsid w:val="000A1F23"/>
    <w:rsid w:val="000A264A"/>
    <w:rsid w:val="000A354E"/>
    <w:rsid w:val="000A3CE8"/>
    <w:rsid w:val="000A3DA2"/>
    <w:rsid w:val="000A3E05"/>
    <w:rsid w:val="000A3EB6"/>
    <w:rsid w:val="000A65EB"/>
    <w:rsid w:val="000A6E79"/>
    <w:rsid w:val="000B07F6"/>
    <w:rsid w:val="000B17D8"/>
    <w:rsid w:val="000B1C69"/>
    <w:rsid w:val="000B2419"/>
    <w:rsid w:val="000B2DB0"/>
    <w:rsid w:val="000B3D38"/>
    <w:rsid w:val="000B49DD"/>
    <w:rsid w:val="000B4B55"/>
    <w:rsid w:val="000B56DD"/>
    <w:rsid w:val="000B5D85"/>
    <w:rsid w:val="000B5F87"/>
    <w:rsid w:val="000B64A7"/>
    <w:rsid w:val="000B69F3"/>
    <w:rsid w:val="000B7111"/>
    <w:rsid w:val="000B75C2"/>
    <w:rsid w:val="000B7A20"/>
    <w:rsid w:val="000B7A47"/>
    <w:rsid w:val="000B7CD9"/>
    <w:rsid w:val="000C01A7"/>
    <w:rsid w:val="000C034B"/>
    <w:rsid w:val="000C0590"/>
    <w:rsid w:val="000C0B93"/>
    <w:rsid w:val="000C14F8"/>
    <w:rsid w:val="000C1836"/>
    <w:rsid w:val="000C1F80"/>
    <w:rsid w:val="000C27A0"/>
    <w:rsid w:val="000C2A52"/>
    <w:rsid w:val="000C313E"/>
    <w:rsid w:val="000C3519"/>
    <w:rsid w:val="000C382C"/>
    <w:rsid w:val="000C436D"/>
    <w:rsid w:val="000C46C2"/>
    <w:rsid w:val="000C5E0E"/>
    <w:rsid w:val="000C6B7F"/>
    <w:rsid w:val="000C6E28"/>
    <w:rsid w:val="000C7410"/>
    <w:rsid w:val="000D060A"/>
    <w:rsid w:val="000D0EB7"/>
    <w:rsid w:val="000D0F07"/>
    <w:rsid w:val="000D1069"/>
    <w:rsid w:val="000D171A"/>
    <w:rsid w:val="000D1736"/>
    <w:rsid w:val="000D1FA9"/>
    <w:rsid w:val="000D242F"/>
    <w:rsid w:val="000D26AD"/>
    <w:rsid w:val="000D4076"/>
    <w:rsid w:val="000D4746"/>
    <w:rsid w:val="000D51C2"/>
    <w:rsid w:val="000D5C69"/>
    <w:rsid w:val="000D65BA"/>
    <w:rsid w:val="000D75E9"/>
    <w:rsid w:val="000D7B75"/>
    <w:rsid w:val="000D7DA2"/>
    <w:rsid w:val="000E0643"/>
    <w:rsid w:val="000E1B71"/>
    <w:rsid w:val="000E2807"/>
    <w:rsid w:val="000E2944"/>
    <w:rsid w:val="000E299A"/>
    <w:rsid w:val="000E3270"/>
    <w:rsid w:val="000E3496"/>
    <w:rsid w:val="000E39B4"/>
    <w:rsid w:val="000E487A"/>
    <w:rsid w:val="000E5BD4"/>
    <w:rsid w:val="000E6913"/>
    <w:rsid w:val="000F1A11"/>
    <w:rsid w:val="000F20E9"/>
    <w:rsid w:val="000F228B"/>
    <w:rsid w:val="000F24FD"/>
    <w:rsid w:val="000F4219"/>
    <w:rsid w:val="000F4EB4"/>
    <w:rsid w:val="000F5ABD"/>
    <w:rsid w:val="000F644D"/>
    <w:rsid w:val="000F73A2"/>
    <w:rsid w:val="000F74E9"/>
    <w:rsid w:val="00100F75"/>
    <w:rsid w:val="00101465"/>
    <w:rsid w:val="00102617"/>
    <w:rsid w:val="00102B41"/>
    <w:rsid w:val="00103AEF"/>
    <w:rsid w:val="00104454"/>
    <w:rsid w:val="001046CE"/>
    <w:rsid w:val="00104B04"/>
    <w:rsid w:val="001052E9"/>
    <w:rsid w:val="0010560E"/>
    <w:rsid w:val="001067FB"/>
    <w:rsid w:val="00106D59"/>
    <w:rsid w:val="00106F72"/>
    <w:rsid w:val="00107EA3"/>
    <w:rsid w:val="00110237"/>
    <w:rsid w:val="001104B0"/>
    <w:rsid w:val="00111745"/>
    <w:rsid w:val="001119F2"/>
    <w:rsid w:val="00111A22"/>
    <w:rsid w:val="00111E7B"/>
    <w:rsid w:val="001121D6"/>
    <w:rsid w:val="00112833"/>
    <w:rsid w:val="00112B2E"/>
    <w:rsid w:val="0011438C"/>
    <w:rsid w:val="001146C0"/>
    <w:rsid w:val="00114CE2"/>
    <w:rsid w:val="0011580B"/>
    <w:rsid w:val="00117F66"/>
    <w:rsid w:val="001210D3"/>
    <w:rsid w:val="00121839"/>
    <w:rsid w:val="001225F5"/>
    <w:rsid w:val="001230CE"/>
    <w:rsid w:val="001231F1"/>
    <w:rsid w:val="00123B2E"/>
    <w:rsid w:val="00124082"/>
    <w:rsid w:val="00125314"/>
    <w:rsid w:val="0012620B"/>
    <w:rsid w:val="00126FD2"/>
    <w:rsid w:val="00127B1E"/>
    <w:rsid w:val="0013088A"/>
    <w:rsid w:val="00131150"/>
    <w:rsid w:val="001312E1"/>
    <w:rsid w:val="0013177E"/>
    <w:rsid w:val="00132B66"/>
    <w:rsid w:val="00133087"/>
    <w:rsid w:val="001341BE"/>
    <w:rsid w:val="001350B2"/>
    <w:rsid w:val="0013614B"/>
    <w:rsid w:val="001369FB"/>
    <w:rsid w:val="00137FCF"/>
    <w:rsid w:val="00140CCF"/>
    <w:rsid w:val="00140EC1"/>
    <w:rsid w:val="00141A53"/>
    <w:rsid w:val="001420CA"/>
    <w:rsid w:val="001426DF"/>
    <w:rsid w:val="00144118"/>
    <w:rsid w:val="001444CD"/>
    <w:rsid w:val="00144730"/>
    <w:rsid w:val="001453BB"/>
    <w:rsid w:val="00146E05"/>
    <w:rsid w:val="001477DD"/>
    <w:rsid w:val="00150035"/>
    <w:rsid w:val="0015011D"/>
    <w:rsid w:val="0015029E"/>
    <w:rsid w:val="00150602"/>
    <w:rsid w:val="001511B4"/>
    <w:rsid w:val="00151631"/>
    <w:rsid w:val="00152F9A"/>
    <w:rsid w:val="00153E17"/>
    <w:rsid w:val="001546E3"/>
    <w:rsid w:val="00155298"/>
    <w:rsid w:val="00155F00"/>
    <w:rsid w:val="001562FB"/>
    <w:rsid w:val="00157372"/>
    <w:rsid w:val="00160C7B"/>
    <w:rsid w:val="0016236C"/>
    <w:rsid w:val="0016551E"/>
    <w:rsid w:val="0016600B"/>
    <w:rsid w:val="0016733C"/>
    <w:rsid w:val="00167C32"/>
    <w:rsid w:val="0017137B"/>
    <w:rsid w:val="00171807"/>
    <w:rsid w:val="001720CF"/>
    <w:rsid w:val="001729CE"/>
    <w:rsid w:val="00172ACC"/>
    <w:rsid w:val="00173D0E"/>
    <w:rsid w:val="00174CC0"/>
    <w:rsid w:val="00175638"/>
    <w:rsid w:val="00176866"/>
    <w:rsid w:val="00177DDB"/>
    <w:rsid w:val="00181505"/>
    <w:rsid w:val="00181596"/>
    <w:rsid w:val="00183721"/>
    <w:rsid w:val="00184717"/>
    <w:rsid w:val="0018526E"/>
    <w:rsid w:val="001911E2"/>
    <w:rsid w:val="00191323"/>
    <w:rsid w:val="00192175"/>
    <w:rsid w:val="00194695"/>
    <w:rsid w:val="00194D02"/>
    <w:rsid w:val="001979D9"/>
    <w:rsid w:val="001A0072"/>
    <w:rsid w:val="001A206A"/>
    <w:rsid w:val="001A27C3"/>
    <w:rsid w:val="001A3B73"/>
    <w:rsid w:val="001A3F29"/>
    <w:rsid w:val="001A425D"/>
    <w:rsid w:val="001A45B9"/>
    <w:rsid w:val="001A4C4C"/>
    <w:rsid w:val="001A4F2A"/>
    <w:rsid w:val="001A6225"/>
    <w:rsid w:val="001A6590"/>
    <w:rsid w:val="001A6F7B"/>
    <w:rsid w:val="001A7343"/>
    <w:rsid w:val="001B1A46"/>
    <w:rsid w:val="001B30BB"/>
    <w:rsid w:val="001B3830"/>
    <w:rsid w:val="001B425F"/>
    <w:rsid w:val="001B43E4"/>
    <w:rsid w:val="001B4BD3"/>
    <w:rsid w:val="001B5424"/>
    <w:rsid w:val="001B5775"/>
    <w:rsid w:val="001B5FCE"/>
    <w:rsid w:val="001B626D"/>
    <w:rsid w:val="001B6EDE"/>
    <w:rsid w:val="001B764C"/>
    <w:rsid w:val="001B7F3C"/>
    <w:rsid w:val="001C0883"/>
    <w:rsid w:val="001C112E"/>
    <w:rsid w:val="001C19B2"/>
    <w:rsid w:val="001C1CA2"/>
    <w:rsid w:val="001C1F03"/>
    <w:rsid w:val="001C3C28"/>
    <w:rsid w:val="001C4CD0"/>
    <w:rsid w:val="001C4D9C"/>
    <w:rsid w:val="001C5D90"/>
    <w:rsid w:val="001C6733"/>
    <w:rsid w:val="001D014B"/>
    <w:rsid w:val="001D03EE"/>
    <w:rsid w:val="001D045C"/>
    <w:rsid w:val="001D0AE0"/>
    <w:rsid w:val="001D0FFA"/>
    <w:rsid w:val="001D1C6F"/>
    <w:rsid w:val="001D20D9"/>
    <w:rsid w:val="001D23A9"/>
    <w:rsid w:val="001D275F"/>
    <w:rsid w:val="001D27C3"/>
    <w:rsid w:val="001D347E"/>
    <w:rsid w:val="001D3876"/>
    <w:rsid w:val="001D511E"/>
    <w:rsid w:val="001D610D"/>
    <w:rsid w:val="001D67A8"/>
    <w:rsid w:val="001D6C6E"/>
    <w:rsid w:val="001D73FF"/>
    <w:rsid w:val="001D7D1D"/>
    <w:rsid w:val="001E04BC"/>
    <w:rsid w:val="001E04C4"/>
    <w:rsid w:val="001E13B3"/>
    <w:rsid w:val="001E15E8"/>
    <w:rsid w:val="001E325E"/>
    <w:rsid w:val="001E34FE"/>
    <w:rsid w:val="001E4181"/>
    <w:rsid w:val="001E46DC"/>
    <w:rsid w:val="001E4777"/>
    <w:rsid w:val="001E4922"/>
    <w:rsid w:val="001E4F38"/>
    <w:rsid w:val="001E5D67"/>
    <w:rsid w:val="001E5FA7"/>
    <w:rsid w:val="001E64CF"/>
    <w:rsid w:val="001E703B"/>
    <w:rsid w:val="001E73C5"/>
    <w:rsid w:val="001F0279"/>
    <w:rsid w:val="001F08C3"/>
    <w:rsid w:val="001F20D3"/>
    <w:rsid w:val="001F2732"/>
    <w:rsid w:val="001F3245"/>
    <w:rsid w:val="001F34A6"/>
    <w:rsid w:val="001F538E"/>
    <w:rsid w:val="001F692A"/>
    <w:rsid w:val="001F6D10"/>
    <w:rsid w:val="001F7163"/>
    <w:rsid w:val="001F7B38"/>
    <w:rsid w:val="001F7F97"/>
    <w:rsid w:val="001F7FF7"/>
    <w:rsid w:val="00200C97"/>
    <w:rsid w:val="00201FED"/>
    <w:rsid w:val="002021DD"/>
    <w:rsid w:val="002023D2"/>
    <w:rsid w:val="00203323"/>
    <w:rsid w:val="002046B4"/>
    <w:rsid w:val="002053DF"/>
    <w:rsid w:val="00205A34"/>
    <w:rsid w:val="00206762"/>
    <w:rsid w:val="002067C2"/>
    <w:rsid w:val="0020742E"/>
    <w:rsid w:val="00207930"/>
    <w:rsid w:val="00210B43"/>
    <w:rsid w:val="0021199E"/>
    <w:rsid w:val="00213F96"/>
    <w:rsid w:val="002148FC"/>
    <w:rsid w:val="002150E8"/>
    <w:rsid w:val="00215A0F"/>
    <w:rsid w:val="00215BF2"/>
    <w:rsid w:val="00216338"/>
    <w:rsid w:val="002168BB"/>
    <w:rsid w:val="00221169"/>
    <w:rsid w:val="0022158B"/>
    <w:rsid w:val="002225B8"/>
    <w:rsid w:val="00222788"/>
    <w:rsid w:val="00222BA9"/>
    <w:rsid w:val="00222E67"/>
    <w:rsid w:val="0022354F"/>
    <w:rsid w:val="0022402E"/>
    <w:rsid w:val="00225B5E"/>
    <w:rsid w:val="002276A6"/>
    <w:rsid w:val="00230624"/>
    <w:rsid w:val="00230A14"/>
    <w:rsid w:val="00231121"/>
    <w:rsid w:val="002314A1"/>
    <w:rsid w:val="00231E78"/>
    <w:rsid w:val="002345A2"/>
    <w:rsid w:val="002346F1"/>
    <w:rsid w:val="00234CB4"/>
    <w:rsid w:val="0023559B"/>
    <w:rsid w:val="0023593D"/>
    <w:rsid w:val="002359EE"/>
    <w:rsid w:val="00235A82"/>
    <w:rsid w:val="00236DA0"/>
    <w:rsid w:val="00237AFA"/>
    <w:rsid w:val="00237EF4"/>
    <w:rsid w:val="002400B0"/>
    <w:rsid w:val="0024146F"/>
    <w:rsid w:val="00241C91"/>
    <w:rsid w:val="00241F5C"/>
    <w:rsid w:val="002421FA"/>
    <w:rsid w:val="0024346E"/>
    <w:rsid w:val="00244061"/>
    <w:rsid w:val="00244385"/>
    <w:rsid w:val="00244C32"/>
    <w:rsid w:val="00244CE6"/>
    <w:rsid w:val="00244DFE"/>
    <w:rsid w:val="002452DD"/>
    <w:rsid w:val="0024606D"/>
    <w:rsid w:val="00247661"/>
    <w:rsid w:val="00247AED"/>
    <w:rsid w:val="002507B2"/>
    <w:rsid w:val="00251DF8"/>
    <w:rsid w:val="002539CA"/>
    <w:rsid w:val="00253D6F"/>
    <w:rsid w:val="0025543F"/>
    <w:rsid w:val="00260595"/>
    <w:rsid w:val="00261DBA"/>
    <w:rsid w:val="00262294"/>
    <w:rsid w:val="00262A27"/>
    <w:rsid w:val="002639DA"/>
    <w:rsid w:val="00263F07"/>
    <w:rsid w:val="00264CE8"/>
    <w:rsid w:val="0026558E"/>
    <w:rsid w:val="00265961"/>
    <w:rsid w:val="00265A49"/>
    <w:rsid w:val="00266887"/>
    <w:rsid w:val="00266DF5"/>
    <w:rsid w:val="00267FA4"/>
    <w:rsid w:val="00270426"/>
    <w:rsid w:val="00271028"/>
    <w:rsid w:val="002714B5"/>
    <w:rsid w:val="00271716"/>
    <w:rsid w:val="002721E6"/>
    <w:rsid w:val="00272898"/>
    <w:rsid w:val="00274F2E"/>
    <w:rsid w:val="002750C7"/>
    <w:rsid w:val="00275707"/>
    <w:rsid w:val="0027589F"/>
    <w:rsid w:val="00275B8C"/>
    <w:rsid w:val="002760FF"/>
    <w:rsid w:val="00277651"/>
    <w:rsid w:val="00277F44"/>
    <w:rsid w:val="002811FA"/>
    <w:rsid w:val="002819DB"/>
    <w:rsid w:val="00283248"/>
    <w:rsid w:val="00283302"/>
    <w:rsid w:val="002840C9"/>
    <w:rsid w:val="00284913"/>
    <w:rsid w:val="00285F5D"/>
    <w:rsid w:val="00286FDD"/>
    <w:rsid w:val="00290AAC"/>
    <w:rsid w:val="002915AD"/>
    <w:rsid w:val="00291E7C"/>
    <w:rsid w:val="00291FB2"/>
    <w:rsid w:val="00292680"/>
    <w:rsid w:val="00292FDD"/>
    <w:rsid w:val="002930DC"/>
    <w:rsid w:val="002930DD"/>
    <w:rsid w:val="00293345"/>
    <w:rsid w:val="00293562"/>
    <w:rsid w:val="00293B05"/>
    <w:rsid w:val="00293F12"/>
    <w:rsid w:val="0029427A"/>
    <w:rsid w:val="0029436A"/>
    <w:rsid w:val="00294599"/>
    <w:rsid w:val="00294841"/>
    <w:rsid w:val="00295202"/>
    <w:rsid w:val="00295954"/>
    <w:rsid w:val="00295AB2"/>
    <w:rsid w:val="00296D23"/>
    <w:rsid w:val="002A00F2"/>
    <w:rsid w:val="002A0AB9"/>
    <w:rsid w:val="002A1331"/>
    <w:rsid w:val="002A160E"/>
    <w:rsid w:val="002A1A9C"/>
    <w:rsid w:val="002A2CBE"/>
    <w:rsid w:val="002A2D9E"/>
    <w:rsid w:val="002A362F"/>
    <w:rsid w:val="002A3974"/>
    <w:rsid w:val="002A3FC1"/>
    <w:rsid w:val="002A6F21"/>
    <w:rsid w:val="002A7631"/>
    <w:rsid w:val="002A79CD"/>
    <w:rsid w:val="002A7A46"/>
    <w:rsid w:val="002B0A70"/>
    <w:rsid w:val="002B0A96"/>
    <w:rsid w:val="002B0F2E"/>
    <w:rsid w:val="002B1245"/>
    <w:rsid w:val="002B2C17"/>
    <w:rsid w:val="002B35DD"/>
    <w:rsid w:val="002B3B09"/>
    <w:rsid w:val="002B435B"/>
    <w:rsid w:val="002B5891"/>
    <w:rsid w:val="002B5B63"/>
    <w:rsid w:val="002B6058"/>
    <w:rsid w:val="002C0316"/>
    <w:rsid w:val="002C11B3"/>
    <w:rsid w:val="002C14CB"/>
    <w:rsid w:val="002C1992"/>
    <w:rsid w:val="002C227D"/>
    <w:rsid w:val="002C2F48"/>
    <w:rsid w:val="002C3106"/>
    <w:rsid w:val="002C37C8"/>
    <w:rsid w:val="002C4CF4"/>
    <w:rsid w:val="002C53A3"/>
    <w:rsid w:val="002C58AF"/>
    <w:rsid w:val="002C7864"/>
    <w:rsid w:val="002C7BD5"/>
    <w:rsid w:val="002C7E0A"/>
    <w:rsid w:val="002D0A1A"/>
    <w:rsid w:val="002D0A48"/>
    <w:rsid w:val="002D1A98"/>
    <w:rsid w:val="002D1B59"/>
    <w:rsid w:val="002D23D0"/>
    <w:rsid w:val="002D30B6"/>
    <w:rsid w:val="002D3419"/>
    <w:rsid w:val="002D3B19"/>
    <w:rsid w:val="002D4E37"/>
    <w:rsid w:val="002D69BE"/>
    <w:rsid w:val="002D6DBD"/>
    <w:rsid w:val="002E025F"/>
    <w:rsid w:val="002E1488"/>
    <w:rsid w:val="002E188D"/>
    <w:rsid w:val="002E1DDC"/>
    <w:rsid w:val="002E211F"/>
    <w:rsid w:val="002E2336"/>
    <w:rsid w:val="002E2A1A"/>
    <w:rsid w:val="002E42B8"/>
    <w:rsid w:val="002E483D"/>
    <w:rsid w:val="002E515C"/>
    <w:rsid w:val="002E526F"/>
    <w:rsid w:val="002E53A8"/>
    <w:rsid w:val="002E556F"/>
    <w:rsid w:val="002E68EB"/>
    <w:rsid w:val="002E73AE"/>
    <w:rsid w:val="002F08F3"/>
    <w:rsid w:val="002F0E6B"/>
    <w:rsid w:val="002F0FBA"/>
    <w:rsid w:val="002F3014"/>
    <w:rsid w:val="002F3645"/>
    <w:rsid w:val="002F65E4"/>
    <w:rsid w:val="002F6901"/>
    <w:rsid w:val="002F6D96"/>
    <w:rsid w:val="002F738D"/>
    <w:rsid w:val="0030018A"/>
    <w:rsid w:val="00300430"/>
    <w:rsid w:val="00300513"/>
    <w:rsid w:val="0030123A"/>
    <w:rsid w:val="00301F65"/>
    <w:rsid w:val="00302923"/>
    <w:rsid w:val="00302DA7"/>
    <w:rsid w:val="0030372A"/>
    <w:rsid w:val="0030378C"/>
    <w:rsid w:val="00303D50"/>
    <w:rsid w:val="003045C1"/>
    <w:rsid w:val="00304D44"/>
    <w:rsid w:val="00305C54"/>
    <w:rsid w:val="00305CEE"/>
    <w:rsid w:val="003060DD"/>
    <w:rsid w:val="00306136"/>
    <w:rsid w:val="003067F5"/>
    <w:rsid w:val="003103A8"/>
    <w:rsid w:val="003108ED"/>
    <w:rsid w:val="00310EA5"/>
    <w:rsid w:val="0031188B"/>
    <w:rsid w:val="00312E58"/>
    <w:rsid w:val="0031325D"/>
    <w:rsid w:val="003134E4"/>
    <w:rsid w:val="00314CE2"/>
    <w:rsid w:val="00314FDF"/>
    <w:rsid w:val="00315BCD"/>
    <w:rsid w:val="00316CE9"/>
    <w:rsid w:val="00316ECD"/>
    <w:rsid w:val="00316F38"/>
    <w:rsid w:val="00317683"/>
    <w:rsid w:val="00317729"/>
    <w:rsid w:val="00317D77"/>
    <w:rsid w:val="00320E77"/>
    <w:rsid w:val="00321398"/>
    <w:rsid w:val="003217E1"/>
    <w:rsid w:val="00321919"/>
    <w:rsid w:val="003234F1"/>
    <w:rsid w:val="00323DF9"/>
    <w:rsid w:val="00324FFB"/>
    <w:rsid w:val="0032596C"/>
    <w:rsid w:val="00325B6F"/>
    <w:rsid w:val="0032701A"/>
    <w:rsid w:val="0032784D"/>
    <w:rsid w:val="00330D39"/>
    <w:rsid w:val="003320F3"/>
    <w:rsid w:val="00332436"/>
    <w:rsid w:val="003328DF"/>
    <w:rsid w:val="00332C83"/>
    <w:rsid w:val="003331C8"/>
    <w:rsid w:val="003336BD"/>
    <w:rsid w:val="00333B06"/>
    <w:rsid w:val="00334B97"/>
    <w:rsid w:val="00334E11"/>
    <w:rsid w:val="0033598C"/>
    <w:rsid w:val="0033655B"/>
    <w:rsid w:val="0033712F"/>
    <w:rsid w:val="00337AA3"/>
    <w:rsid w:val="00341555"/>
    <w:rsid w:val="00342E23"/>
    <w:rsid w:val="00343F5E"/>
    <w:rsid w:val="0034432D"/>
    <w:rsid w:val="00344C11"/>
    <w:rsid w:val="00344D1B"/>
    <w:rsid w:val="00345A55"/>
    <w:rsid w:val="00346908"/>
    <w:rsid w:val="003470B0"/>
    <w:rsid w:val="00347C01"/>
    <w:rsid w:val="00351720"/>
    <w:rsid w:val="00352196"/>
    <w:rsid w:val="003526A9"/>
    <w:rsid w:val="00352BC5"/>
    <w:rsid w:val="00354ECB"/>
    <w:rsid w:val="00355DD5"/>
    <w:rsid w:val="00356374"/>
    <w:rsid w:val="0035701B"/>
    <w:rsid w:val="00357DC8"/>
    <w:rsid w:val="00357EFB"/>
    <w:rsid w:val="003602DE"/>
    <w:rsid w:val="00360FC4"/>
    <w:rsid w:val="00361398"/>
    <w:rsid w:val="00362458"/>
    <w:rsid w:val="003631C1"/>
    <w:rsid w:val="00363BE3"/>
    <w:rsid w:val="0036431F"/>
    <w:rsid w:val="00364D4F"/>
    <w:rsid w:val="00365160"/>
    <w:rsid w:val="00366782"/>
    <w:rsid w:val="00366A0C"/>
    <w:rsid w:val="003674D4"/>
    <w:rsid w:val="003709DF"/>
    <w:rsid w:val="00371E78"/>
    <w:rsid w:val="003724D4"/>
    <w:rsid w:val="0037282B"/>
    <w:rsid w:val="00373565"/>
    <w:rsid w:val="00375AC8"/>
    <w:rsid w:val="00375B81"/>
    <w:rsid w:val="00377FDE"/>
    <w:rsid w:val="0038035F"/>
    <w:rsid w:val="003806C6"/>
    <w:rsid w:val="00380A18"/>
    <w:rsid w:val="00381030"/>
    <w:rsid w:val="003812D8"/>
    <w:rsid w:val="00381461"/>
    <w:rsid w:val="00381487"/>
    <w:rsid w:val="003814A7"/>
    <w:rsid w:val="00382587"/>
    <w:rsid w:val="00382AE9"/>
    <w:rsid w:val="00382F9A"/>
    <w:rsid w:val="003831FA"/>
    <w:rsid w:val="00384283"/>
    <w:rsid w:val="00384328"/>
    <w:rsid w:val="003863C0"/>
    <w:rsid w:val="003863D7"/>
    <w:rsid w:val="00386DEA"/>
    <w:rsid w:val="003872A9"/>
    <w:rsid w:val="003904C6"/>
    <w:rsid w:val="003904D6"/>
    <w:rsid w:val="0039079D"/>
    <w:rsid w:val="0039203C"/>
    <w:rsid w:val="00392C21"/>
    <w:rsid w:val="00392CCE"/>
    <w:rsid w:val="003936EF"/>
    <w:rsid w:val="00393E28"/>
    <w:rsid w:val="00394002"/>
    <w:rsid w:val="00395027"/>
    <w:rsid w:val="003950E3"/>
    <w:rsid w:val="00395557"/>
    <w:rsid w:val="0039602F"/>
    <w:rsid w:val="00396721"/>
    <w:rsid w:val="003972C4"/>
    <w:rsid w:val="003974BC"/>
    <w:rsid w:val="003978A2"/>
    <w:rsid w:val="00397EFC"/>
    <w:rsid w:val="003A0528"/>
    <w:rsid w:val="003A0C53"/>
    <w:rsid w:val="003A1511"/>
    <w:rsid w:val="003A1BAF"/>
    <w:rsid w:val="003A1DDA"/>
    <w:rsid w:val="003A2005"/>
    <w:rsid w:val="003A2D51"/>
    <w:rsid w:val="003A3D9E"/>
    <w:rsid w:val="003A47B8"/>
    <w:rsid w:val="003A4F50"/>
    <w:rsid w:val="003A4F5D"/>
    <w:rsid w:val="003A52F0"/>
    <w:rsid w:val="003A5F88"/>
    <w:rsid w:val="003A608C"/>
    <w:rsid w:val="003A62B8"/>
    <w:rsid w:val="003A662B"/>
    <w:rsid w:val="003A6922"/>
    <w:rsid w:val="003A7E42"/>
    <w:rsid w:val="003B0234"/>
    <w:rsid w:val="003B1A7F"/>
    <w:rsid w:val="003B229F"/>
    <w:rsid w:val="003B377D"/>
    <w:rsid w:val="003B3AB8"/>
    <w:rsid w:val="003B3B49"/>
    <w:rsid w:val="003B3CD8"/>
    <w:rsid w:val="003B42A6"/>
    <w:rsid w:val="003B44CC"/>
    <w:rsid w:val="003B49FA"/>
    <w:rsid w:val="003B54F4"/>
    <w:rsid w:val="003B688A"/>
    <w:rsid w:val="003B73D9"/>
    <w:rsid w:val="003B75B4"/>
    <w:rsid w:val="003B7770"/>
    <w:rsid w:val="003B7FBC"/>
    <w:rsid w:val="003C0719"/>
    <w:rsid w:val="003C0E30"/>
    <w:rsid w:val="003C1420"/>
    <w:rsid w:val="003C2849"/>
    <w:rsid w:val="003C30CB"/>
    <w:rsid w:val="003C3639"/>
    <w:rsid w:val="003C3B2B"/>
    <w:rsid w:val="003C3D5A"/>
    <w:rsid w:val="003C5E3A"/>
    <w:rsid w:val="003C6978"/>
    <w:rsid w:val="003C7106"/>
    <w:rsid w:val="003C72D5"/>
    <w:rsid w:val="003C7521"/>
    <w:rsid w:val="003D02B7"/>
    <w:rsid w:val="003D141E"/>
    <w:rsid w:val="003D1F20"/>
    <w:rsid w:val="003D2E3C"/>
    <w:rsid w:val="003D4522"/>
    <w:rsid w:val="003D4CAF"/>
    <w:rsid w:val="003D558C"/>
    <w:rsid w:val="003D56FA"/>
    <w:rsid w:val="003D5AE0"/>
    <w:rsid w:val="003D5FC5"/>
    <w:rsid w:val="003D64CA"/>
    <w:rsid w:val="003D66F4"/>
    <w:rsid w:val="003D6DEA"/>
    <w:rsid w:val="003D6EA3"/>
    <w:rsid w:val="003E0B21"/>
    <w:rsid w:val="003E139F"/>
    <w:rsid w:val="003E2F9F"/>
    <w:rsid w:val="003E3A74"/>
    <w:rsid w:val="003E4271"/>
    <w:rsid w:val="003E4645"/>
    <w:rsid w:val="003E4973"/>
    <w:rsid w:val="003E49E8"/>
    <w:rsid w:val="003E4CE8"/>
    <w:rsid w:val="003E7514"/>
    <w:rsid w:val="003F0ABE"/>
    <w:rsid w:val="003F2102"/>
    <w:rsid w:val="003F318A"/>
    <w:rsid w:val="003F444D"/>
    <w:rsid w:val="003F5123"/>
    <w:rsid w:val="003F52A5"/>
    <w:rsid w:val="003F626D"/>
    <w:rsid w:val="003F7BDF"/>
    <w:rsid w:val="003F7DAF"/>
    <w:rsid w:val="004002B9"/>
    <w:rsid w:val="0040090A"/>
    <w:rsid w:val="004009BD"/>
    <w:rsid w:val="00400C09"/>
    <w:rsid w:val="004012B7"/>
    <w:rsid w:val="00403332"/>
    <w:rsid w:val="0040358B"/>
    <w:rsid w:val="00403637"/>
    <w:rsid w:val="00403F29"/>
    <w:rsid w:val="004054BF"/>
    <w:rsid w:val="00405C06"/>
    <w:rsid w:val="00406DEA"/>
    <w:rsid w:val="00407FB3"/>
    <w:rsid w:val="004113C0"/>
    <w:rsid w:val="00412662"/>
    <w:rsid w:val="0041363C"/>
    <w:rsid w:val="004153B2"/>
    <w:rsid w:val="004153E1"/>
    <w:rsid w:val="00415789"/>
    <w:rsid w:val="00416EC2"/>
    <w:rsid w:val="0041710E"/>
    <w:rsid w:val="00417384"/>
    <w:rsid w:val="00417393"/>
    <w:rsid w:val="004175AA"/>
    <w:rsid w:val="00417DFA"/>
    <w:rsid w:val="00420363"/>
    <w:rsid w:val="004204B2"/>
    <w:rsid w:val="00420667"/>
    <w:rsid w:val="00420CD2"/>
    <w:rsid w:val="00420DF2"/>
    <w:rsid w:val="00421DEF"/>
    <w:rsid w:val="004221B3"/>
    <w:rsid w:val="00422E4B"/>
    <w:rsid w:val="00425076"/>
    <w:rsid w:val="00425C90"/>
    <w:rsid w:val="004267C9"/>
    <w:rsid w:val="00427EAD"/>
    <w:rsid w:val="00432F20"/>
    <w:rsid w:val="00432F45"/>
    <w:rsid w:val="00433817"/>
    <w:rsid w:val="00433AA9"/>
    <w:rsid w:val="00433B06"/>
    <w:rsid w:val="004341A4"/>
    <w:rsid w:val="00434433"/>
    <w:rsid w:val="00434FDA"/>
    <w:rsid w:val="00437368"/>
    <w:rsid w:val="004425DF"/>
    <w:rsid w:val="00442B2A"/>
    <w:rsid w:val="00444015"/>
    <w:rsid w:val="004465F1"/>
    <w:rsid w:val="00447771"/>
    <w:rsid w:val="004478B3"/>
    <w:rsid w:val="00450FD2"/>
    <w:rsid w:val="0045136E"/>
    <w:rsid w:val="00451901"/>
    <w:rsid w:val="00451C9E"/>
    <w:rsid w:val="00451FF9"/>
    <w:rsid w:val="00452969"/>
    <w:rsid w:val="004532F5"/>
    <w:rsid w:val="0045349C"/>
    <w:rsid w:val="004543A2"/>
    <w:rsid w:val="00454B53"/>
    <w:rsid w:val="004556BB"/>
    <w:rsid w:val="00455F53"/>
    <w:rsid w:val="004565CE"/>
    <w:rsid w:val="00457285"/>
    <w:rsid w:val="00457879"/>
    <w:rsid w:val="0046027D"/>
    <w:rsid w:val="0046084F"/>
    <w:rsid w:val="0046155B"/>
    <w:rsid w:val="004619DE"/>
    <w:rsid w:val="004645AC"/>
    <w:rsid w:val="00464913"/>
    <w:rsid w:val="00465E40"/>
    <w:rsid w:val="004665DD"/>
    <w:rsid w:val="004667FA"/>
    <w:rsid w:val="0046703C"/>
    <w:rsid w:val="00467E2A"/>
    <w:rsid w:val="004705C3"/>
    <w:rsid w:val="00470616"/>
    <w:rsid w:val="00470AE5"/>
    <w:rsid w:val="00471F6E"/>
    <w:rsid w:val="00472210"/>
    <w:rsid w:val="0047286C"/>
    <w:rsid w:val="00473172"/>
    <w:rsid w:val="00473296"/>
    <w:rsid w:val="004736FF"/>
    <w:rsid w:val="00473A04"/>
    <w:rsid w:val="00474A01"/>
    <w:rsid w:val="00474CCC"/>
    <w:rsid w:val="00477322"/>
    <w:rsid w:val="0048016B"/>
    <w:rsid w:val="00480C9C"/>
    <w:rsid w:val="00481D1F"/>
    <w:rsid w:val="00481EB4"/>
    <w:rsid w:val="00483602"/>
    <w:rsid w:val="00483887"/>
    <w:rsid w:val="00483CEF"/>
    <w:rsid w:val="0048403A"/>
    <w:rsid w:val="00484686"/>
    <w:rsid w:val="0048571C"/>
    <w:rsid w:val="00485FFA"/>
    <w:rsid w:val="00486CFB"/>
    <w:rsid w:val="004878B0"/>
    <w:rsid w:val="0049058A"/>
    <w:rsid w:val="00490F74"/>
    <w:rsid w:val="00492583"/>
    <w:rsid w:val="00494B92"/>
    <w:rsid w:val="00495B07"/>
    <w:rsid w:val="00495FE3"/>
    <w:rsid w:val="00496CF9"/>
    <w:rsid w:val="004976B0"/>
    <w:rsid w:val="00497CB0"/>
    <w:rsid w:val="004A0593"/>
    <w:rsid w:val="004A0E3E"/>
    <w:rsid w:val="004A100F"/>
    <w:rsid w:val="004A1A1C"/>
    <w:rsid w:val="004A1DED"/>
    <w:rsid w:val="004A2993"/>
    <w:rsid w:val="004A2B0C"/>
    <w:rsid w:val="004A2EA2"/>
    <w:rsid w:val="004A3691"/>
    <w:rsid w:val="004A3860"/>
    <w:rsid w:val="004A3B95"/>
    <w:rsid w:val="004A55BD"/>
    <w:rsid w:val="004A57D4"/>
    <w:rsid w:val="004A608C"/>
    <w:rsid w:val="004A71E4"/>
    <w:rsid w:val="004A730F"/>
    <w:rsid w:val="004A73C9"/>
    <w:rsid w:val="004B02C7"/>
    <w:rsid w:val="004B1E82"/>
    <w:rsid w:val="004B1F40"/>
    <w:rsid w:val="004B2138"/>
    <w:rsid w:val="004B2E93"/>
    <w:rsid w:val="004B488D"/>
    <w:rsid w:val="004B4956"/>
    <w:rsid w:val="004B4ECD"/>
    <w:rsid w:val="004B51A0"/>
    <w:rsid w:val="004B653B"/>
    <w:rsid w:val="004B6969"/>
    <w:rsid w:val="004B6ADA"/>
    <w:rsid w:val="004B6D0A"/>
    <w:rsid w:val="004B6E25"/>
    <w:rsid w:val="004C0806"/>
    <w:rsid w:val="004C09FC"/>
    <w:rsid w:val="004C0C73"/>
    <w:rsid w:val="004C10CF"/>
    <w:rsid w:val="004C1AAD"/>
    <w:rsid w:val="004C1CFF"/>
    <w:rsid w:val="004C237F"/>
    <w:rsid w:val="004C2DC1"/>
    <w:rsid w:val="004C3217"/>
    <w:rsid w:val="004C408F"/>
    <w:rsid w:val="004C4C84"/>
    <w:rsid w:val="004C5078"/>
    <w:rsid w:val="004C5B66"/>
    <w:rsid w:val="004C64D8"/>
    <w:rsid w:val="004C696C"/>
    <w:rsid w:val="004C69BE"/>
    <w:rsid w:val="004C6BE4"/>
    <w:rsid w:val="004C71DA"/>
    <w:rsid w:val="004C763C"/>
    <w:rsid w:val="004C7B38"/>
    <w:rsid w:val="004D0D2D"/>
    <w:rsid w:val="004D1023"/>
    <w:rsid w:val="004D1214"/>
    <w:rsid w:val="004D19F4"/>
    <w:rsid w:val="004D1A2E"/>
    <w:rsid w:val="004D1C62"/>
    <w:rsid w:val="004D2257"/>
    <w:rsid w:val="004D23E0"/>
    <w:rsid w:val="004D37A9"/>
    <w:rsid w:val="004D4235"/>
    <w:rsid w:val="004D4E99"/>
    <w:rsid w:val="004D5247"/>
    <w:rsid w:val="004D54BB"/>
    <w:rsid w:val="004D5858"/>
    <w:rsid w:val="004D61D2"/>
    <w:rsid w:val="004D6C15"/>
    <w:rsid w:val="004D7198"/>
    <w:rsid w:val="004D787E"/>
    <w:rsid w:val="004E0853"/>
    <w:rsid w:val="004E0F16"/>
    <w:rsid w:val="004E1E4D"/>
    <w:rsid w:val="004E20BB"/>
    <w:rsid w:val="004E223A"/>
    <w:rsid w:val="004E2604"/>
    <w:rsid w:val="004E3159"/>
    <w:rsid w:val="004E3218"/>
    <w:rsid w:val="004E3AA7"/>
    <w:rsid w:val="004E442D"/>
    <w:rsid w:val="004E4C52"/>
    <w:rsid w:val="004E6E1E"/>
    <w:rsid w:val="004E75B4"/>
    <w:rsid w:val="004E7776"/>
    <w:rsid w:val="004E77C2"/>
    <w:rsid w:val="004E7E8D"/>
    <w:rsid w:val="004F2CA1"/>
    <w:rsid w:val="004F33D9"/>
    <w:rsid w:val="004F39CA"/>
    <w:rsid w:val="004F3F20"/>
    <w:rsid w:val="004F425F"/>
    <w:rsid w:val="004F4540"/>
    <w:rsid w:val="004F4A4A"/>
    <w:rsid w:val="004F4DA6"/>
    <w:rsid w:val="004F626F"/>
    <w:rsid w:val="004F6A6E"/>
    <w:rsid w:val="004F6DC2"/>
    <w:rsid w:val="004F731F"/>
    <w:rsid w:val="004F73C6"/>
    <w:rsid w:val="004F78C2"/>
    <w:rsid w:val="004F7E1B"/>
    <w:rsid w:val="005006A2"/>
    <w:rsid w:val="00501BF7"/>
    <w:rsid w:val="00501CD5"/>
    <w:rsid w:val="0050207E"/>
    <w:rsid w:val="00503657"/>
    <w:rsid w:val="0050403A"/>
    <w:rsid w:val="00504927"/>
    <w:rsid w:val="005057ED"/>
    <w:rsid w:val="0050653E"/>
    <w:rsid w:val="00507A7A"/>
    <w:rsid w:val="005104E1"/>
    <w:rsid w:val="005110EE"/>
    <w:rsid w:val="00511120"/>
    <w:rsid w:val="00511623"/>
    <w:rsid w:val="005120D6"/>
    <w:rsid w:val="005129F7"/>
    <w:rsid w:val="005141A4"/>
    <w:rsid w:val="00515B69"/>
    <w:rsid w:val="00515BBD"/>
    <w:rsid w:val="005168C1"/>
    <w:rsid w:val="005205F4"/>
    <w:rsid w:val="00520BA5"/>
    <w:rsid w:val="00521331"/>
    <w:rsid w:val="005217CE"/>
    <w:rsid w:val="00521BDF"/>
    <w:rsid w:val="00522674"/>
    <w:rsid w:val="005226F8"/>
    <w:rsid w:val="00522857"/>
    <w:rsid w:val="00523099"/>
    <w:rsid w:val="00523584"/>
    <w:rsid w:val="00523D37"/>
    <w:rsid w:val="00523F65"/>
    <w:rsid w:val="00523FBD"/>
    <w:rsid w:val="0052441E"/>
    <w:rsid w:val="00525C88"/>
    <w:rsid w:val="00526633"/>
    <w:rsid w:val="0052742B"/>
    <w:rsid w:val="00527E28"/>
    <w:rsid w:val="0053070B"/>
    <w:rsid w:val="005313CB"/>
    <w:rsid w:val="00531D41"/>
    <w:rsid w:val="0053261A"/>
    <w:rsid w:val="005330B1"/>
    <w:rsid w:val="00533EBB"/>
    <w:rsid w:val="00534030"/>
    <w:rsid w:val="005346A0"/>
    <w:rsid w:val="0053503C"/>
    <w:rsid w:val="00535969"/>
    <w:rsid w:val="00535D59"/>
    <w:rsid w:val="0053661D"/>
    <w:rsid w:val="0053675E"/>
    <w:rsid w:val="0053685D"/>
    <w:rsid w:val="0053729A"/>
    <w:rsid w:val="0054028F"/>
    <w:rsid w:val="00540F24"/>
    <w:rsid w:val="00541185"/>
    <w:rsid w:val="00541344"/>
    <w:rsid w:val="00541D19"/>
    <w:rsid w:val="00542525"/>
    <w:rsid w:val="005438E8"/>
    <w:rsid w:val="00543956"/>
    <w:rsid w:val="005439DA"/>
    <w:rsid w:val="00543BBF"/>
    <w:rsid w:val="005440D8"/>
    <w:rsid w:val="005446AC"/>
    <w:rsid w:val="005449B8"/>
    <w:rsid w:val="00544DC9"/>
    <w:rsid w:val="005450EE"/>
    <w:rsid w:val="00545165"/>
    <w:rsid w:val="005456D0"/>
    <w:rsid w:val="005464AA"/>
    <w:rsid w:val="00547168"/>
    <w:rsid w:val="00547C4D"/>
    <w:rsid w:val="00547DD0"/>
    <w:rsid w:val="00550630"/>
    <w:rsid w:val="00551517"/>
    <w:rsid w:val="00552522"/>
    <w:rsid w:val="005528BC"/>
    <w:rsid w:val="00553789"/>
    <w:rsid w:val="005548BA"/>
    <w:rsid w:val="00554D2E"/>
    <w:rsid w:val="00554DE2"/>
    <w:rsid w:val="00556009"/>
    <w:rsid w:val="00556848"/>
    <w:rsid w:val="00556FCC"/>
    <w:rsid w:val="005604BF"/>
    <w:rsid w:val="00561250"/>
    <w:rsid w:val="00561F7F"/>
    <w:rsid w:val="005625DC"/>
    <w:rsid w:val="00563B61"/>
    <w:rsid w:val="00563FD2"/>
    <w:rsid w:val="00564503"/>
    <w:rsid w:val="00564F4C"/>
    <w:rsid w:val="005656FC"/>
    <w:rsid w:val="00565B2F"/>
    <w:rsid w:val="005675AD"/>
    <w:rsid w:val="005677D5"/>
    <w:rsid w:val="00567F65"/>
    <w:rsid w:val="005701AA"/>
    <w:rsid w:val="005707B9"/>
    <w:rsid w:val="00570C37"/>
    <w:rsid w:val="00570E5D"/>
    <w:rsid w:val="00571CE3"/>
    <w:rsid w:val="005727B5"/>
    <w:rsid w:val="00572883"/>
    <w:rsid w:val="00573577"/>
    <w:rsid w:val="00573B50"/>
    <w:rsid w:val="00576043"/>
    <w:rsid w:val="005767C2"/>
    <w:rsid w:val="00576EE3"/>
    <w:rsid w:val="00577E6C"/>
    <w:rsid w:val="00580018"/>
    <w:rsid w:val="005812C8"/>
    <w:rsid w:val="0058147B"/>
    <w:rsid w:val="00581EFC"/>
    <w:rsid w:val="00582623"/>
    <w:rsid w:val="00582C32"/>
    <w:rsid w:val="005830AB"/>
    <w:rsid w:val="005837EF"/>
    <w:rsid w:val="0058425F"/>
    <w:rsid w:val="00584575"/>
    <w:rsid w:val="00584581"/>
    <w:rsid w:val="00585398"/>
    <w:rsid w:val="00585523"/>
    <w:rsid w:val="00585A09"/>
    <w:rsid w:val="005862B2"/>
    <w:rsid w:val="005863AF"/>
    <w:rsid w:val="00586471"/>
    <w:rsid w:val="00586F29"/>
    <w:rsid w:val="00587130"/>
    <w:rsid w:val="00587BF8"/>
    <w:rsid w:val="00587F34"/>
    <w:rsid w:val="00590DFA"/>
    <w:rsid w:val="00591185"/>
    <w:rsid w:val="00591A86"/>
    <w:rsid w:val="00591D4C"/>
    <w:rsid w:val="00593278"/>
    <w:rsid w:val="00593F86"/>
    <w:rsid w:val="00596187"/>
    <w:rsid w:val="005962AC"/>
    <w:rsid w:val="00596592"/>
    <w:rsid w:val="00596E06"/>
    <w:rsid w:val="00597BFA"/>
    <w:rsid w:val="005A0115"/>
    <w:rsid w:val="005A01DA"/>
    <w:rsid w:val="005A0973"/>
    <w:rsid w:val="005A150E"/>
    <w:rsid w:val="005A15D7"/>
    <w:rsid w:val="005A15E6"/>
    <w:rsid w:val="005A1E36"/>
    <w:rsid w:val="005A283D"/>
    <w:rsid w:val="005A28CE"/>
    <w:rsid w:val="005A31CD"/>
    <w:rsid w:val="005A3FB0"/>
    <w:rsid w:val="005A42F9"/>
    <w:rsid w:val="005A43DB"/>
    <w:rsid w:val="005A4533"/>
    <w:rsid w:val="005A570B"/>
    <w:rsid w:val="005A589F"/>
    <w:rsid w:val="005A5988"/>
    <w:rsid w:val="005A6557"/>
    <w:rsid w:val="005A733A"/>
    <w:rsid w:val="005B044E"/>
    <w:rsid w:val="005B0647"/>
    <w:rsid w:val="005B1945"/>
    <w:rsid w:val="005B1D8A"/>
    <w:rsid w:val="005B2BB3"/>
    <w:rsid w:val="005B37ED"/>
    <w:rsid w:val="005B3B14"/>
    <w:rsid w:val="005B625C"/>
    <w:rsid w:val="005B6C14"/>
    <w:rsid w:val="005B766A"/>
    <w:rsid w:val="005B7A8B"/>
    <w:rsid w:val="005B7CA9"/>
    <w:rsid w:val="005C0C4E"/>
    <w:rsid w:val="005C27EC"/>
    <w:rsid w:val="005C28D7"/>
    <w:rsid w:val="005C47FE"/>
    <w:rsid w:val="005C5202"/>
    <w:rsid w:val="005C5204"/>
    <w:rsid w:val="005C5C2C"/>
    <w:rsid w:val="005C621F"/>
    <w:rsid w:val="005D0189"/>
    <w:rsid w:val="005D0923"/>
    <w:rsid w:val="005D1528"/>
    <w:rsid w:val="005D1B21"/>
    <w:rsid w:val="005D3631"/>
    <w:rsid w:val="005D3675"/>
    <w:rsid w:val="005D3EA2"/>
    <w:rsid w:val="005D5EBA"/>
    <w:rsid w:val="005D6C91"/>
    <w:rsid w:val="005D71D9"/>
    <w:rsid w:val="005D74BE"/>
    <w:rsid w:val="005E0DAF"/>
    <w:rsid w:val="005E157F"/>
    <w:rsid w:val="005E2E07"/>
    <w:rsid w:val="005E4EFC"/>
    <w:rsid w:val="005E5247"/>
    <w:rsid w:val="005E6518"/>
    <w:rsid w:val="005E6D0F"/>
    <w:rsid w:val="005E7021"/>
    <w:rsid w:val="005E70ED"/>
    <w:rsid w:val="005F0530"/>
    <w:rsid w:val="005F1209"/>
    <w:rsid w:val="005F17B4"/>
    <w:rsid w:val="005F188B"/>
    <w:rsid w:val="005F2704"/>
    <w:rsid w:val="005F292B"/>
    <w:rsid w:val="005F2A1D"/>
    <w:rsid w:val="005F2B1E"/>
    <w:rsid w:val="005F312D"/>
    <w:rsid w:val="005F3665"/>
    <w:rsid w:val="005F41FB"/>
    <w:rsid w:val="005F4A68"/>
    <w:rsid w:val="005F542C"/>
    <w:rsid w:val="005F5FE3"/>
    <w:rsid w:val="005F64D0"/>
    <w:rsid w:val="005F6CFA"/>
    <w:rsid w:val="005F74FE"/>
    <w:rsid w:val="0060072B"/>
    <w:rsid w:val="0060147D"/>
    <w:rsid w:val="00601DD7"/>
    <w:rsid w:val="00602204"/>
    <w:rsid w:val="006023BC"/>
    <w:rsid w:val="00603C0B"/>
    <w:rsid w:val="00604C5A"/>
    <w:rsid w:val="00605927"/>
    <w:rsid w:val="00606AB5"/>
    <w:rsid w:val="0061059E"/>
    <w:rsid w:val="00610A9A"/>
    <w:rsid w:val="00610F90"/>
    <w:rsid w:val="0061146F"/>
    <w:rsid w:val="006127A6"/>
    <w:rsid w:val="00612B80"/>
    <w:rsid w:val="00613182"/>
    <w:rsid w:val="00613976"/>
    <w:rsid w:val="00613D35"/>
    <w:rsid w:val="0061438A"/>
    <w:rsid w:val="0061502C"/>
    <w:rsid w:val="006162F5"/>
    <w:rsid w:val="006163D2"/>
    <w:rsid w:val="00620DBB"/>
    <w:rsid w:val="006212C8"/>
    <w:rsid w:val="006224CB"/>
    <w:rsid w:val="0062259D"/>
    <w:rsid w:val="00622A8A"/>
    <w:rsid w:val="006233A6"/>
    <w:rsid w:val="00624092"/>
    <w:rsid w:val="0062462D"/>
    <w:rsid w:val="00626FCF"/>
    <w:rsid w:val="00627865"/>
    <w:rsid w:val="006319BD"/>
    <w:rsid w:val="00632E84"/>
    <w:rsid w:val="0063413D"/>
    <w:rsid w:val="00634941"/>
    <w:rsid w:val="00635032"/>
    <w:rsid w:val="006354FB"/>
    <w:rsid w:val="00635BE9"/>
    <w:rsid w:val="00635F29"/>
    <w:rsid w:val="006377E4"/>
    <w:rsid w:val="00637BC6"/>
    <w:rsid w:val="00637E67"/>
    <w:rsid w:val="00640C58"/>
    <w:rsid w:val="00640F16"/>
    <w:rsid w:val="0064122E"/>
    <w:rsid w:val="00641C35"/>
    <w:rsid w:val="00642609"/>
    <w:rsid w:val="006438E1"/>
    <w:rsid w:val="00643D41"/>
    <w:rsid w:val="006442A9"/>
    <w:rsid w:val="0064450C"/>
    <w:rsid w:val="00644A55"/>
    <w:rsid w:val="00645FAF"/>
    <w:rsid w:val="00646425"/>
    <w:rsid w:val="0064652A"/>
    <w:rsid w:val="00647CAE"/>
    <w:rsid w:val="0065042B"/>
    <w:rsid w:val="00650624"/>
    <w:rsid w:val="00652A97"/>
    <w:rsid w:val="00652CB9"/>
    <w:rsid w:val="006533C9"/>
    <w:rsid w:val="006540B1"/>
    <w:rsid w:val="00654339"/>
    <w:rsid w:val="0065489C"/>
    <w:rsid w:val="006556D0"/>
    <w:rsid w:val="00656194"/>
    <w:rsid w:val="006564B9"/>
    <w:rsid w:val="00656D97"/>
    <w:rsid w:val="0065747E"/>
    <w:rsid w:val="00657E89"/>
    <w:rsid w:val="00660688"/>
    <w:rsid w:val="006613E1"/>
    <w:rsid w:val="006615CA"/>
    <w:rsid w:val="00661F7F"/>
    <w:rsid w:val="00662566"/>
    <w:rsid w:val="00663260"/>
    <w:rsid w:val="006634FE"/>
    <w:rsid w:val="00663A31"/>
    <w:rsid w:val="00664127"/>
    <w:rsid w:val="006653D2"/>
    <w:rsid w:val="006660DB"/>
    <w:rsid w:val="006665E7"/>
    <w:rsid w:val="00666B22"/>
    <w:rsid w:val="00666E4A"/>
    <w:rsid w:val="00667044"/>
    <w:rsid w:val="006670D0"/>
    <w:rsid w:val="00667DB0"/>
    <w:rsid w:val="00667F03"/>
    <w:rsid w:val="00670C9B"/>
    <w:rsid w:val="00671189"/>
    <w:rsid w:val="006714E6"/>
    <w:rsid w:val="006729AE"/>
    <w:rsid w:val="00673C7C"/>
    <w:rsid w:val="0067535A"/>
    <w:rsid w:val="00675863"/>
    <w:rsid w:val="00677435"/>
    <w:rsid w:val="00680248"/>
    <w:rsid w:val="0068131E"/>
    <w:rsid w:val="006820B0"/>
    <w:rsid w:val="006843E1"/>
    <w:rsid w:val="00684429"/>
    <w:rsid w:val="00684D8E"/>
    <w:rsid w:val="00686B04"/>
    <w:rsid w:val="00687210"/>
    <w:rsid w:val="00687CA9"/>
    <w:rsid w:val="0069182C"/>
    <w:rsid w:val="00692907"/>
    <w:rsid w:val="00693D2A"/>
    <w:rsid w:val="006945FC"/>
    <w:rsid w:val="00694EFB"/>
    <w:rsid w:val="00695414"/>
    <w:rsid w:val="00695AC7"/>
    <w:rsid w:val="00695B7C"/>
    <w:rsid w:val="00695ED5"/>
    <w:rsid w:val="006966BC"/>
    <w:rsid w:val="00696A09"/>
    <w:rsid w:val="00696C97"/>
    <w:rsid w:val="006975D0"/>
    <w:rsid w:val="00697FB0"/>
    <w:rsid w:val="006A040F"/>
    <w:rsid w:val="006A08D9"/>
    <w:rsid w:val="006A0EBF"/>
    <w:rsid w:val="006A0F0A"/>
    <w:rsid w:val="006A1622"/>
    <w:rsid w:val="006A1778"/>
    <w:rsid w:val="006A193F"/>
    <w:rsid w:val="006A5D07"/>
    <w:rsid w:val="006A6137"/>
    <w:rsid w:val="006A63E1"/>
    <w:rsid w:val="006A69D0"/>
    <w:rsid w:val="006A709A"/>
    <w:rsid w:val="006B0071"/>
    <w:rsid w:val="006B0BB7"/>
    <w:rsid w:val="006B1D4E"/>
    <w:rsid w:val="006B1E73"/>
    <w:rsid w:val="006B342C"/>
    <w:rsid w:val="006B3C78"/>
    <w:rsid w:val="006B4CF3"/>
    <w:rsid w:val="006B52C2"/>
    <w:rsid w:val="006B6025"/>
    <w:rsid w:val="006B6B62"/>
    <w:rsid w:val="006B74FB"/>
    <w:rsid w:val="006B7955"/>
    <w:rsid w:val="006C0044"/>
    <w:rsid w:val="006C0AD0"/>
    <w:rsid w:val="006C142B"/>
    <w:rsid w:val="006C1725"/>
    <w:rsid w:val="006C2262"/>
    <w:rsid w:val="006C2DB3"/>
    <w:rsid w:val="006C4192"/>
    <w:rsid w:val="006C4375"/>
    <w:rsid w:val="006C4D2E"/>
    <w:rsid w:val="006C58FE"/>
    <w:rsid w:val="006C660E"/>
    <w:rsid w:val="006C6896"/>
    <w:rsid w:val="006C6B53"/>
    <w:rsid w:val="006C7100"/>
    <w:rsid w:val="006C72D9"/>
    <w:rsid w:val="006C77AD"/>
    <w:rsid w:val="006C7A7F"/>
    <w:rsid w:val="006C7AF7"/>
    <w:rsid w:val="006D048D"/>
    <w:rsid w:val="006D0538"/>
    <w:rsid w:val="006D0920"/>
    <w:rsid w:val="006D1845"/>
    <w:rsid w:val="006D1DAC"/>
    <w:rsid w:val="006D20A1"/>
    <w:rsid w:val="006D210D"/>
    <w:rsid w:val="006D517D"/>
    <w:rsid w:val="006D5282"/>
    <w:rsid w:val="006D54DA"/>
    <w:rsid w:val="006D5682"/>
    <w:rsid w:val="006D72A1"/>
    <w:rsid w:val="006D7CA1"/>
    <w:rsid w:val="006E1F32"/>
    <w:rsid w:val="006E2197"/>
    <w:rsid w:val="006E2630"/>
    <w:rsid w:val="006E4B8D"/>
    <w:rsid w:val="006E59A6"/>
    <w:rsid w:val="006E5C79"/>
    <w:rsid w:val="006E71E1"/>
    <w:rsid w:val="006E7671"/>
    <w:rsid w:val="006E7688"/>
    <w:rsid w:val="006F0B10"/>
    <w:rsid w:val="006F0D83"/>
    <w:rsid w:val="006F1DD9"/>
    <w:rsid w:val="006F2E6F"/>
    <w:rsid w:val="006F501D"/>
    <w:rsid w:val="006F536B"/>
    <w:rsid w:val="006F5710"/>
    <w:rsid w:val="006F774D"/>
    <w:rsid w:val="00700792"/>
    <w:rsid w:val="00701306"/>
    <w:rsid w:val="0070138D"/>
    <w:rsid w:val="007022C3"/>
    <w:rsid w:val="007023D2"/>
    <w:rsid w:val="00703894"/>
    <w:rsid w:val="00703CC6"/>
    <w:rsid w:val="00704131"/>
    <w:rsid w:val="007051CC"/>
    <w:rsid w:val="0070592F"/>
    <w:rsid w:val="00705C95"/>
    <w:rsid w:val="00710155"/>
    <w:rsid w:val="00712438"/>
    <w:rsid w:val="0071245C"/>
    <w:rsid w:val="0071479F"/>
    <w:rsid w:val="00714999"/>
    <w:rsid w:val="00715348"/>
    <w:rsid w:val="007160AF"/>
    <w:rsid w:val="0071617D"/>
    <w:rsid w:val="00716B43"/>
    <w:rsid w:val="00716E28"/>
    <w:rsid w:val="00717C39"/>
    <w:rsid w:val="00721319"/>
    <w:rsid w:val="00721B43"/>
    <w:rsid w:val="00721B58"/>
    <w:rsid w:val="007225A4"/>
    <w:rsid w:val="0072292C"/>
    <w:rsid w:val="007243F2"/>
    <w:rsid w:val="00724C51"/>
    <w:rsid w:val="00724CD9"/>
    <w:rsid w:val="007255B4"/>
    <w:rsid w:val="00726609"/>
    <w:rsid w:val="00726905"/>
    <w:rsid w:val="00727013"/>
    <w:rsid w:val="00730036"/>
    <w:rsid w:val="0073146E"/>
    <w:rsid w:val="007318FE"/>
    <w:rsid w:val="00731A1F"/>
    <w:rsid w:val="00731AF1"/>
    <w:rsid w:val="007333B1"/>
    <w:rsid w:val="007337CE"/>
    <w:rsid w:val="007338DE"/>
    <w:rsid w:val="00733BE3"/>
    <w:rsid w:val="00733F13"/>
    <w:rsid w:val="00734BA4"/>
    <w:rsid w:val="00734FFD"/>
    <w:rsid w:val="0073527C"/>
    <w:rsid w:val="00735BC6"/>
    <w:rsid w:val="00740357"/>
    <w:rsid w:val="0074197E"/>
    <w:rsid w:val="00742B90"/>
    <w:rsid w:val="00742CED"/>
    <w:rsid w:val="007439D7"/>
    <w:rsid w:val="00743B3F"/>
    <w:rsid w:val="00743DEC"/>
    <w:rsid w:val="00744111"/>
    <w:rsid w:val="007444EB"/>
    <w:rsid w:val="00744C28"/>
    <w:rsid w:val="0074531B"/>
    <w:rsid w:val="0074790C"/>
    <w:rsid w:val="00747B24"/>
    <w:rsid w:val="00747F4C"/>
    <w:rsid w:val="00751D75"/>
    <w:rsid w:val="00752FF0"/>
    <w:rsid w:val="00753055"/>
    <w:rsid w:val="00754126"/>
    <w:rsid w:val="007545CA"/>
    <w:rsid w:val="00754C02"/>
    <w:rsid w:val="00755DE2"/>
    <w:rsid w:val="007560A1"/>
    <w:rsid w:val="00756438"/>
    <w:rsid w:val="00756CE9"/>
    <w:rsid w:val="007573BA"/>
    <w:rsid w:val="00757BBE"/>
    <w:rsid w:val="00757FA1"/>
    <w:rsid w:val="00760AE6"/>
    <w:rsid w:val="00760B08"/>
    <w:rsid w:val="00760E7C"/>
    <w:rsid w:val="0076137D"/>
    <w:rsid w:val="007619FC"/>
    <w:rsid w:val="00761E8A"/>
    <w:rsid w:val="00762456"/>
    <w:rsid w:val="00763581"/>
    <w:rsid w:val="007649BA"/>
    <w:rsid w:val="00764B7A"/>
    <w:rsid w:val="00764BF6"/>
    <w:rsid w:val="00765261"/>
    <w:rsid w:val="00765751"/>
    <w:rsid w:val="007658D0"/>
    <w:rsid w:val="00765AEB"/>
    <w:rsid w:val="00765CDB"/>
    <w:rsid w:val="0076688C"/>
    <w:rsid w:val="00766CE0"/>
    <w:rsid w:val="00766EE1"/>
    <w:rsid w:val="0076764E"/>
    <w:rsid w:val="0076785A"/>
    <w:rsid w:val="00767C95"/>
    <w:rsid w:val="00770B81"/>
    <w:rsid w:val="00770CBA"/>
    <w:rsid w:val="00770D50"/>
    <w:rsid w:val="007716E3"/>
    <w:rsid w:val="007723C6"/>
    <w:rsid w:val="0077287A"/>
    <w:rsid w:val="00772E4A"/>
    <w:rsid w:val="00773782"/>
    <w:rsid w:val="00773816"/>
    <w:rsid w:val="00774C06"/>
    <w:rsid w:val="00774CA5"/>
    <w:rsid w:val="007751A9"/>
    <w:rsid w:val="0077522B"/>
    <w:rsid w:val="00775887"/>
    <w:rsid w:val="0077591F"/>
    <w:rsid w:val="00775AE4"/>
    <w:rsid w:val="00775DED"/>
    <w:rsid w:val="00775EDC"/>
    <w:rsid w:val="00776224"/>
    <w:rsid w:val="00776A81"/>
    <w:rsid w:val="007777AC"/>
    <w:rsid w:val="00782FB3"/>
    <w:rsid w:val="00782FD2"/>
    <w:rsid w:val="007847FF"/>
    <w:rsid w:val="007857BC"/>
    <w:rsid w:val="00785D14"/>
    <w:rsid w:val="00785F5C"/>
    <w:rsid w:val="0078654D"/>
    <w:rsid w:val="0078669F"/>
    <w:rsid w:val="0078677C"/>
    <w:rsid w:val="00786E54"/>
    <w:rsid w:val="007908C1"/>
    <w:rsid w:val="00791AB0"/>
    <w:rsid w:val="00792A4A"/>
    <w:rsid w:val="0079365A"/>
    <w:rsid w:val="007938D2"/>
    <w:rsid w:val="00793AE8"/>
    <w:rsid w:val="00793D7A"/>
    <w:rsid w:val="00793DC3"/>
    <w:rsid w:val="007944B9"/>
    <w:rsid w:val="007949A6"/>
    <w:rsid w:val="00794AD9"/>
    <w:rsid w:val="007951AA"/>
    <w:rsid w:val="007956FB"/>
    <w:rsid w:val="007973AF"/>
    <w:rsid w:val="00797518"/>
    <w:rsid w:val="00797A08"/>
    <w:rsid w:val="00797B9A"/>
    <w:rsid w:val="00797FBC"/>
    <w:rsid w:val="007A0D87"/>
    <w:rsid w:val="007A21C8"/>
    <w:rsid w:val="007A25D1"/>
    <w:rsid w:val="007A2CDE"/>
    <w:rsid w:val="007A3F34"/>
    <w:rsid w:val="007A4688"/>
    <w:rsid w:val="007A5185"/>
    <w:rsid w:val="007A59BC"/>
    <w:rsid w:val="007A5DD8"/>
    <w:rsid w:val="007A7047"/>
    <w:rsid w:val="007A7122"/>
    <w:rsid w:val="007A7277"/>
    <w:rsid w:val="007A77C7"/>
    <w:rsid w:val="007B0706"/>
    <w:rsid w:val="007B0739"/>
    <w:rsid w:val="007B0C30"/>
    <w:rsid w:val="007B0CBB"/>
    <w:rsid w:val="007B1509"/>
    <w:rsid w:val="007B1578"/>
    <w:rsid w:val="007B174D"/>
    <w:rsid w:val="007B41D3"/>
    <w:rsid w:val="007B42B0"/>
    <w:rsid w:val="007B5425"/>
    <w:rsid w:val="007B5B56"/>
    <w:rsid w:val="007B668A"/>
    <w:rsid w:val="007C0F0A"/>
    <w:rsid w:val="007C0F65"/>
    <w:rsid w:val="007C1789"/>
    <w:rsid w:val="007C1AF0"/>
    <w:rsid w:val="007C1F9A"/>
    <w:rsid w:val="007C25D6"/>
    <w:rsid w:val="007C3A5E"/>
    <w:rsid w:val="007C41D8"/>
    <w:rsid w:val="007C449D"/>
    <w:rsid w:val="007C550F"/>
    <w:rsid w:val="007C5FA9"/>
    <w:rsid w:val="007C603A"/>
    <w:rsid w:val="007C650F"/>
    <w:rsid w:val="007D102C"/>
    <w:rsid w:val="007D161A"/>
    <w:rsid w:val="007D17FB"/>
    <w:rsid w:val="007D1E9B"/>
    <w:rsid w:val="007D2749"/>
    <w:rsid w:val="007D2B3E"/>
    <w:rsid w:val="007D3733"/>
    <w:rsid w:val="007D3B41"/>
    <w:rsid w:val="007D3F81"/>
    <w:rsid w:val="007D4500"/>
    <w:rsid w:val="007D4CA6"/>
    <w:rsid w:val="007D4F1E"/>
    <w:rsid w:val="007D53D6"/>
    <w:rsid w:val="007D636E"/>
    <w:rsid w:val="007D6373"/>
    <w:rsid w:val="007D69DE"/>
    <w:rsid w:val="007D7253"/>
    <w:rsid w:val="007D7261"/>
    <w:rsid w:val="007D7BB6"/>
    <w:rsid w:val="007D7BC3"/>
    <w:rsid w:val="007E0761"/>
    <w:rsid w:val="007E2B65"/>
    <w:rsid w:val="007E3C2A"/>
    <w:rsid w:val="007E4A84"/>
    <w:rsid w:val="007E6A6E"/>
    <w:rsid w:val="007E6CCD"/>
    <w:rsid w:val="007E77E4"/>
    <w:rsid w:val="007E785F"/>
    <w:rsid w:val="007F009D"/>
    <w:rsid w:val="007F03D3"/>
    <w:rsid w:val="007F0CEF"/>
    <w:rsid w:val="007F0E93"/>
    <w:rsid w:val="007F0E96"/>
    <w:rsid w:val="007F0F05"/>
    <w:rsid w:val="007F1E3F"/>
    <w:rsid w:val="007F2C43"/>
    <w:rsid w:val="007F2DBA"/>
    <w:rsid w:val="007F3412"/>
    <w:rsid w:val="007F343C"/>
    <w:rsid w:val="007F447C"/>
    <w:rsid w:val="007F4C13"/>
    <w:rsid w:val="007F4D49"/>
    <w:rsid w:val="007F5500"/>
    <w:rsid w:val="007F7C41"/>
    <w:rsid w:val="007F7E30"/>
    <w:rsid w:val="00800270"/>
    <w:rsid w:val="00801720"/>
    <w:rsid w:val="00801889"/>
    <w:rsid w:val="00801DA7"/>
    <w:rsid w:val="0080290E"/>
    <w:rsid w:val="00802EA8"/>
    <w:rsid w:val="0080373B"/>
    <w:rsid w:val="00803878"/>
    <w:rsid w:val="008040B4"/>
    <w:rsid w:val="0080471C"/>
    <w:rsid w:val="00805074"/>
    <w:rsid w:val="00805E22"/>
    <w:rsid w:val="0080612C"/>
    <w:rsid w:val="008061E0"/>
    <w:rsid w:val="008068D9"/>
    <w:rsid w:val="008071A5"/>
    <w:rsid w:val="008073DC"/>
    <w:rsid w:val="00807CC4"/>
    <w:rsid w:val="00810522"/>
    <w:rsid w:val="00810966"/>
    <w:rsid w:val="008122AA"/>
    <w:rsid w:val="00812B58"/>
    <w:rsid w:val="008131F1"/>
    <w:rsid w:val="00813B59"/>
    <w:rsid w:val="00813EA1"/>
    <w:rsid w:val="008140DD"/>
    <w:rsid w:val="0081469E"/>
    <w:rsid w:val="00814713"/>
    <w:rsid w:val="00814952"/>
    <w:rsid w:val="00814CE5"/>
    <w:rsid w:val="008154D0"/>
    <w:rsid w:val="0081574C"/>
    <w:rsid w:val="00815D8B"/>
    <w:rsid w:val="00816526"/>
    <w:rsid w:val="00816700"/>
    <w:rsid w:val="00817161"/>
    <w:rsid w:val="0081748A"/>
    <w:rsid w:val="00817657"/>
    <w:rsid w:val="008200B8"/>
    <w:rsid w:val="008204A6"/>
    <w:rsid w:val="00821449"/>
    <w:rsid w:val="0082233E"/>
    <w:rsid w:val="00822A5B"/>
    <w:rsid w:val="00823256"/>
    <w:rsid w:val="00823CE9"/>
    <w:rsid w:val="00824BD4"/>
    <w:rsid w:val="00824C14"/>
    <w:rsid w:val="00824D5A"/>
    <w:rsid w:val="00825658"/>
    <w:rsid w:val="00825760"/>
    <w:rsid w:val="00825B00"/>
    <w:rsid w:val="00825DCC"/>
    <w:rsid w:val="00826942"/>
    <w:rsid w:val="008306C0"/>
    <w:rsid w:val="008307C7"/>
    <w:rsid w:val="00832475"/>
    <w:rsid w:val="008325C6"/>
    <w:rsid w:val="0083270E"/>
    <w:rsid w:val="00832975"/>
    <w:rsid w:val="00832B1B"/>
    <w:rsid w:val="00833A3B"/>
    <w:rsid w:val="0083437E"/>
    <w:rsid w:val="00835057"/>
    <w:rsid w:val="0083527D"/>
    <w:rsid w:val="0083557F"/>
    <w:rsid w:val="00835B81"/>
    <w:rsid w:val="0083652C"/>
    <w:rsid w:val="00836859"/>
    <w:rsid w:val="00836B6D"/>
    <w:rsid w:val="00836D87"/>
    <w:rsid w:val="00840768"/>
    <w:rsid w:val="00840890"/>
    <w:rsid w:val="008408FD"/>
    <w:rsid w:val="00840B31"/>
    <w:rsid w:val="0084105C"/>
    <w:rsid w:val="00841BA7"/>
    <w:rsid w:val="00845F3A"/>
    <w:rsid w:val="00845FFE"/>
    <w:rsid w:val="0084622B"/>
    <w:rsid w:val="00846AC1"/>
    <w:rsid w:val="00846AC6"/>
    <w:rsid w:val="00846C9C"/>
    <w:rsid w:val="00847AED"/>
    <w:rsid w:val="00850416"/>
    <w:rsid w:val="008509D5"/>
    <w:rsid w:val="00850F03"/>
    <w:rsid w:val="00851F63"/>
    <w:rsid w:val="00852AA4"/>
    <w:rsid w:val="008545CB"/>
    <w:rsid w:val="00854834"/>
    <w:rsid w:val="00854CA4"/>
    <w:rsid w:val="00855CC5"/>
    <w:rsid w:val="00856337"/>
    <w:rsid w:val="00856705"/>
    <w:rsid w:val="00857632"/>
    <w:rsid w:val="00860973"/>
    <w:rsid w:val="008615CD"/>
    <w:rsid w:val="00861734"/>
    <w:rsid w:val="00863B16"/>
    <w:rsid w:val="00863B42"/>
    <w:rsid w:val="00863C17"/>
    <w:rsid w:val="00863E39"/>
    <w:rsid w:val="00864362"/>
    <w:rsid w:val="00866C8D"/>
    <w:rsid w:val="00866F30"/>
    <w:rsid w:val="00867A9B"/>
    <w:rsid w:val="008700F0"/>
    <w:rsid w:val="0087188C"/>
    <w:rsid w:val="00871B14"/>
    <w:rsid w:val="0087264E"/>
    <w:rsid w:val="00872C65"/>
    <w:rsid w:val="00872E8D"/>
    <w:rsid w:val="00872F84"/>
    <w:rsid w:val="0087320A"/>
    <w:rsid w:val="008733FA"/>
    <w:rsid w:val="00873416"/>
    <w:rsid w:val="00873438"/>
    <w:rsid w:val="00873910"/>
    <w:rsid w:val="00873A42"/>
    <w:rsid w:val="00873B11"/>
    <w:rsid w:val="00874240"/>
    <w:rsid w:val="00874634"/>
    <w:rsid w:val="0087518E"/>
    <w:rsid w:val="00875799"/>
    <w:rsid w:val="00875975"/>
    <w:rsid w:val="0087742A"/>
    <w:rsid w:val="00881FF6"/>
    <w:rsid w:val="0088287F"/>
    <w:rsid w:val="00883722"/>
    <w:rsid w:val="008844FD"/>
    <w:rsid w:val="00885A0A"/>
    <w:rsid w:val="00887C54"/>
    <w:rsid w:val="00887E35"/>
    <w:rsid w:val="008906C8"/>
    <w:rsid w:val="00890CE4"/>
    <w:rsid w:val="00891B6B"/>
    <w:rsid w:val="0089234E"/>
    <w:rsid w:val="00894445"/>
    <w:rsid w:val="0089498E"/>
    <w:rsid w:val="008950E0"/>
    <w:rsid w:val="008954D2"/>
    <w:rsid w:val="00897B3A"/>
    <w:rsid w:val="008A0358"/>
    <w:rsid w:val="008A0E73"/>
    <w:rsid w:val="008A1908"/>
    <w:rsid w:val="008A21A5"/>
    <w:rsid w:val="008A21D1"/>
    <w:rsid w:val="008A21E5"/>
    <w:rsid w:val="008A22B4"/>
    <w:rsid w:val="008A25FC"/>
    <w:rsid w:val="008A2C1A"/>
    <w:rsid w:val="008A3142"/>
    <w:rsid w:val="008A36D6"/>
    <w:rsid w:val="008A3CB3"/>
    <w:rsid w:val="008A41B7"/>
    <w:rsid w:val="008A4251"/>
    <w:rsid w:val="008A56D8"/>
    <w:rsid w:val="008A581B"/>
    <w:rsid w:val="008B01A5"/>
    <w:rsid w:val="008B05FD"/>
    <w:rsid w:val="008B096E"/>
    <w:rsid w:val="008B1651"/>
    <w:rsid w:val="008B2B41"/>
    <w:rsid w:val="008B2D37"/>
    <w:rsid w:val="008B3045"/>
    <w:rsid w:val="008B30E4"/>
    <w:rsid w:val="008B3301"/>
    <w:rsid w:val="008B383C"/>
    <w:rsid w:val="008B3B62"/>
    <w:rsid w:val="008B42DD"/>
    <w:rsid w:val="008B4954"/>
    <w:rsid w:val="008B5599"/>
    <w:rsid w:val="008B69F0"/>
    <w:rsid w:val="008B6F71"/>
    <w:rsid w:val="008B7059"/>
    <w:rsid w:val="008B7198"/>
    <w:rsid w:val="008C056A"/>
    <w:rsid w:val="008C060C"/>
    <w:rsid w:val="008C17FD"/>
    <w:rsid w:val="008C1D14"/>
    <w:rsid w:val="008C3024"/>
    <w:rsid w:val="008C3B6D"/>
    <w:rsid w:val="008C5407"/>
    <w:rsid w:val="008C5595"/>
    <w:rsid w:val="008C6F80"/>
    <w:rsid w:val="008D0502"/>
    <w:rsid w:val="008D0632"/>
    <w:rsid w:val="008D0702"/>
    <w:rsid w:val="008D1785"/>
    <w:rsid w:val="008D1AA6"/>
    <w:rsid w:val="008D1D31"/>
    <w:rsid w:val="008D2DD7"/>
    <w:rsid w:val="008D2DE7"/>
    <w:rsid w:val="008D35C7"/>
    <w:rsid w:val="008D3F85"/>
    <w:rsid w:val="008D4059"/>
    <w:rsid w:val="008D4C3A"/>
    <w:rsid w:val="008D591E"/>
    <w:rsid w:val="008D5968"/>
    <w:rsid w:val="008D5CF4"/>
    <w:rsid w:val="008D6368"/>
    <w:rsid w:val="008D6C8B"/>
    <w:rsid w:val="008D6E5E"/>
    <w:rsid w:val="008D7325"/>
    <w:rsid w:val="008E0D60"/>
    <w:rsid w:val="008E10BB"/>
    <w:rsid w:val="008E15E8"/>
    <w:rsid w:val="008E17B9"/>
    <w:rsid w:val="008E264E"/>
    <w:rsid w:val="008E4A2C"/>
    <w:rsid w:val="008E6855"/>
    <w:rsid w:val="008F0007"/>
    <w:rsid w:val="008F00E3"/>
    <w:rsid w:val="008F0996"/>
    <w:rsid w:val="008F1CE9"/>
    <w:rsid w:val="008F2037"/>
    <w:rsid w:val="008F30E2"/>
    <w:rsid w:val="008F4C3B"/>
    <w:rsid w:val="008F5C10"/>
    <w:rsid w:val="008F628A"/>
    <w:rsid w:val="008F641D"/>
    <w:rsid w:val="008F6648"/>
    <w:rsid w:val="008F7E92"/>
    <w:rsid w:val="00900A42"/>
    <w:rsid w:val="00900E2C"/>
    <w:rsid w:val="0090168C"/>
    <w:rsid w:val="009017DF"/>
    <w:rsid w:val="00901F3C"/>
    <w:rsid w:val="00903467"/>
    <w:rsid w:val="009038C5"/>
    <w:rsid w:val="00904B6A"/>
    <w:rsid w:val="00904BCB"/>
    <w:rsid w:val="009058AB"/>
    <w:rsid w:val="00905C4A"/>
    <w:rsid w:val="009063A9"/>
    <w:rsid w:val="00906D2E"/>
    <w:rsid w:val="00906F20"/>
    <w:rsid w:val="00911042"/>
    <w:rsid w:val="00911722"/>
    <w:rsid w:val="00912BBE"/>
    <w:rsid w:val="00914ED9"/>
    <w:rsid w:val="0091518A"/>
    <w:rsid w:val="00915E56"/>
    <w:rsid w:val="009163D6"/>
    <w:rsid w:val="00916FB3"/>
    <w:rsid w:val="00917930"/>
    <w:rsid w:val="00917CF0"/>
    <w:rsid w:val="00920291"/>
    <w:rsid w:val="00921020"/>
    <w:rsid w:val="00921710"/>
    <w:rsid w:val="0092177D"/>
    <w:rsid w:val="0092180E"/>
    <w:rsid w:val="009218CD"/>
    <w:rsid w:val="00923AC0"/>
    <w:rsid w:val="00923B79"/>
    <w:rsid w:val="00923E8D"/>
    <w:rsid w:val="00923F68"/>
    <w:rsid w:val="00923F9C"/>
    <w:rsid w:val="00924AF4"/>
    <w:rsid w:val="00924C0F"/>
    <w:rsid w:val="00925DFB"/>
    <w:rsid w:val="0092730B"/>
    <w:rsid w:val="00930893"/>
    <w:rsid w:val="00931037"/>
    <w:rsid w:val="009310F8"/>
    <w:rsid w:val="00931387"/>
    <w:rsid w:val="0093164D"/>
    <w:rsid w:val="00932ACC"/>
    <w:rsid w:val="00934BE7"/>
    <w:rsid w:val="00935A7F"/>
    <w:rsid w:val="00936BAD"/>
    <w:rsid w:val="00936BEB"/>
    <w:rsid w:val="0094273C"/>
    <w:rsid w:val="00943AFB"/>
    <w:rsid w:val="00943C47"/>
    <w:rsid w:val="00944619"/>
    <w:rsid w:val="00944880"/>
    <w:rsid w:val="009448F7"/>
    <w:rsid w:val="00944D6E"/>
    <w:rsid w:val="009450F1"/>
    <w:rsid w:val="009455BA"/>
    <w:rsid w:val="00945C2A"/>
    <w:rsid w:val="0094690F"/>
    <w:rsid w:val="00946F96"/>
    <w:rsid w:val="0094742B"/>
    <w:rsid w:val="00947AA2"/>
    <w:rsid w:val="00947C4D"/>
    <w:rsid w:val="00947F73"/>
    <w:rsid w:val="00950BEA"/>
    <w:rsid w:val="0095117D"/>
    <w:rsid w:val="00951CEA"/>
    <w:rsid w:val="009521A3"/>
    <w:rsid w:val="00952768"/>
    <w:rsid w:val="009528E2"/>
    <w:rsid w:val="00952E80"/>
    <w:rsid w:val="00953786"/>
    <w:rsid w:val="0095554E"/>
    <w:rsid w:val="0095608B"/>
    <w:rsid w:val="009564C1"/>
    <w:rsid w:val="00960465"/>
    <w:rsid w:val="00960579"/>
    <w:rsid w:val="00960B08"/>
    <w:rsid w:val="00960B4E"/>
    <w:rsid w:val="00961DCD"/>
    <w:rsid w:val="009628FE"/>
    <w:rsid w:val="00963E9B"/>
    <w:rsid w:val="009648AE"/>
    <w:rsid w:val="00964E2E"/>
    <w:rsid w:val="00965C47"/>
    <w:rsid w:val="00965F11"/>
    <w:rsid w:val="00966D59"/>
    <w:rsid w:val="00966E57"/>
    <w:rsid w:val="00967782"/>
    <w:rsid w:val="00971008"/>
    <w:rsid w:val="009712C5"/>
    <w:rsid w:val="0097176A"/>
    <w:rsid w:val="009724C3"/>
    <w:rsid w:val="009726F6"/>
    <w:rsid w:val="00972D2C"/>
    <w:rsid w:val="00973779"/>
    <w:rsid w:val="00973EFA"/>
    <w:rsid w:val="00976D1E"/>
    <w:rsid w:val="00976F67"/>
    <w:rsid w:val="0098004C"/>
    <w:rsid w:val="009805D7"/>
    <w:rsid w:val="0098146F"/>
    <w:rsid w:val="00984078"/>
    <w:rsid w:val="00984445"/>
    <w:rsid w:val="0098444B"/>
    <w:rsid w:val="00984AA1"/>
    <w:rsid w:val="009851A2"/>
    <w:rsid w:val="00985FEB"/>
    <w:rsid w:val="00986036"/>
    <w:rsid w:val="009864E0"/>
    <w:rsid w:val="00986DFF"/>
    <w:rsid w:val="0098772E"/>
    <w:rsid w:val="00987F2D"/>
    <w:rsid w:val="00987FF0"/>
    <w:rsid w:val="00990040"/>
    <w:rsid w:val="009901A3"/>
    <w:rsid w:val="0099096E"/>
    <w:rsid w:val="009914BF"/>
    <w:rsid w:val="00991896"/>
    <w:rsid w:val="009919DD"/>
    <w:rsid w:val="0099274D"/>
    <w:rsid w:val="009935FA"/>
    <w:rsid w:val="00993E87"/>
    <w:rsid w:val="00993E98"/>
    <w:rsid w:val="00994115"/>
    <w:rsid w:val="00994D74"/>
    <w:rsid w:val="00995CDC"/>
    <w:rsid w:val="0099740C"/>
    <w:rsid w:val="00997FDB"/>
    <w:rsid w:val="009A036C"/>
    <w:rsid w:val="009A0DFE"/>
    <w:rsid w:val="009A0E89"/>
    <w:rsid w:val="009A0EFA"/>
    <w:rsid w:val="009A103B"/>
    <w:rsid w:val="009A195E"/>
    <w:rsid w:val="009A1BE4"/>
    <w:rsid w:val="009A2438"/>
    <w:rsid w:val="009A27A5"/>
    <w:rsid w:val="009A2C62"/>
    <w:rsid w:val="009A3364"/>
    <w:rsid w:val="009A359F"/>
    <w:rsid w:val="009A3AF1"/>
    <w:rsid w:val="009A43D1"/>
    <w:rsid w:val="009A46CA"/>
    <w:rsid w:val="009A58F5"/>
    <w:rsid w:val="009A5AE0"/>
    <w:rsid w:val="009A717B"/>
    <w:rsid w:val="009A7457"/>
    <w:rsid w:val="009B14D6"/>
    <w:rsid w:val="009B1DAE"/>
    <w:rsid w:val="009B1E5D"/>
    <w:rsid w:val="009B3273"/>
    <w:rsid w:val="009B3293"/>
    <w:rsid w:val="009B3523"/>
    <w:rsid w:val="009B363E"/>
    <w:rsid w:val="009B510F"/>
    <w:rsid w:val="009B54F0"/>
    <w:rsid w:val="009B61CB"/>
    <w:rsid w:val="009B6256"/>
    <w:rsid w:val="009B7DDF"/>
    <w:rsid w:val="009C0A0C"/>
    <w:rsid w:val="009C10FE"/>
    <w:rsid w:val="009C120A"/>
    <w:rsid w:val="009C154A"/>
    <w:rsid w:val="009C1825"/>
    <w:rsid w:val="009C186D"/>
    <w:rsid w:val="009C2230"/>
    <w:rsid w:val="009C2640"/>
    <w:rsid w:val="009C2B12"/>
    <w:rsid w:val="009C2DFC"/>
    <w:rsid w:val="009C3D05"/>
    <w:rsid w:val="009C4E0A"/>
    <w:rsid w:val="009C5018"/>
    <w:rsid w:val="009C610E"/>
    <w:rsid w:val="009C64CF"/>
    <w:rsid w:val="009C783F"/>
    <w:rsid w:val="009D1626"/>
    <w:rsid w:val="009D181A"/>
    <w:rsid w:val="009D449F"/>
    <w:rsid w:val="009D4AC6"/>
    <w:rsid w:val="009D5C97"/>
    <w:rsid w:val="009D5E70"/>
    <w:rsid w:val="009D6BAF"/>
    <w:rsid w:val="009E0B07"/>
    <w:rsid w:val="009E0B4E"/>
    <w:rsid w:val="009E17C0"/>
    <w:rsid w:val="009E1AB8"/>
    <w:rsid w:val="009E2F76"/>
    <w:rsid w:val="009E35F5"/>
    <w:rsid w:val="009E3DE7"/>
    <w:rsid w:val="009E409B"/>
    <w:rsid w:val="009E41F1"/>
    <w:rsid w:val="009E4C80"/>
    <w:rsid w:val="009E564D"/>
    <w:rsid w:val="009E654A"/>
    <w:rsid w:val="009E6A2F"/>
    <w:rsid w:val="009E6ACA"/>
    <w:rsid w:val="009E6B57"/>
    <w:rsid w:val="009E6C28"/>
    <w:rsid w:val="009E6D33"/>
    <w:rsid w:val="009E6FA2"/>
    <w:rsid w:val="009F0CEA"/>
    <w:rsid w:val="009F108A"/>
    <w:rsid w:val="009F23AE"/>
    <w:rsid w:val="009F3E9F"/>
    <w:rsid w:val="009F3EA5"/>
    <w:rsid w:val="009F4676"/>
    <w:rsid w:val="009F4E6C"/>
    <w:rsid w:val="009F6887"/>
    <w:rsid w:val="009F6F67"/>
    <w:rsid w:val="009F73F9"/>
    <w:rsid w:val="009F75A2"/>
    <w:rsid w:val="009F7E14"/>
    <w:rsid w:val="00A00CB8"/>
    <w:rsid w:val="00A0148A"/>
    <w:rsid w:val="00A045F5"/>
    <w:rsid w:val="00A05A2B"/>
    <w:rsid w:val="00A06376"/>
    <w:rsid w:val="00A06884"/>
    <w:rsid w:val="00A069C2"/>
    <w:rsid w:val="00A06FE9"/>
    <w:rsid w:val="00A07934"/>
    <w:rsid w:val="00A07B57"/>
    <w:rsid w:val="00A07C03"/>
    <w:rsid w:val="00A10710"/>
    <w:rsid w:val="00A115E1"/>
    <w:rsid w:val="00A1297C"/>
    <w:rsid w:val="00A135C2"/>
    <w:rsid w:val="00A15A97"/>
    <w:rsid w:val="00A1637E"/>
    <w:rsid w:val="00A177BE"/>
    <w:rsid w:val="00A206A2"/>
    <w:rsid w:val="00A21E15"/>
    <w:rsid w:val="00A23AE3"/>
    <w:rsid w:val="00A24802"/>
    <w:rsid w:val="00A256C5"/>
    <w:rsid w:val="00A25F11"/>
    <w:rsid w:val="00A260D9"/>
    <w:rsid w:val="00A26A07"/>
    <w:rsid w:val="00A272B8"/>
    <w:rsid w:val="00A27383"/>
    <w:rsid w:val="00A273E6"/>
    <w:rsid w:val="00A27724"/>
    <w:rsid w:val="00A27AD3"/>
    <w:rsid w:val="00A30F00"/>
    <w:rsid w:val="00A3128D"/>
    <w:rsid w:val="00A322DD"/>
    <w:rsid w:val="00A3312A"/>
    <w:rsid w:val="00A36069"/>
    <w:rsid w:val="00A36370"/>
    <w:rsid w:val="00A36A07"/>
    <w:rsid w:val="00A37692"/>
    <w:rsid w:val="00A37FA7"/>
    <w:rsid w:val="00A40DEB"/>
    <w:rsid w:val="00A41165"/>
    <w:rsid w:val="00A41AD5"/>
    <w:rsid w:val="00A429D7"/>
    <w:rsid w:val="00A437E9"/>
    <w:rsid w:val="00A445EA"/>
    <w:rsid w:val="00A447CA"/>
    <w:rsid w:val="00A461DD"/>
    <w:rsid w:val="00A461E8"/>
    <w:rsid w:val="00A4729B"/>
    <w:rsid w:val="00A516D2"/>
    <w:rsid w:val="00A521DE"/>
    <w:rsid w:val="00A52411"/>
    <w:rsid w:val="00A525D5"/>
    <w:rsid w:val="00A5261E"/>
    <w:rsid w:val="00A529B9"/>
    <w:rsid w:val="00A52EC1"/>
    <w:rsid w:val="00A53534"/>
    <w:rsid w:val="00A53B4F"/>
    <w:rsid w:val="00A5495E"/>
    <w:rsid w:val="00A54BD1"/>
    <w:rsid w:val="00A54F4E"/>
    <w:rsid w:val="00A552A2"/>
    <w:rsid w:val="00A5598B"/>
    <w:rsid w:val="00A561B2"/>
    <w:rsid w:val="00A568F2"/>
    <w:rsid w:val="00A576D7"/>
    <w:rsid w:val="00A57D39"/>
    <w:rsid w:val="00A6092F"/>
    <w:rsid w:val="00A61C28"/>
    <w:rsid w:val="00A62130"/>
    <w:rsid w:val="00A6255E"/>
    <w:rsid w:val="00A63A42"/>
    <w:rsid w:val="00A63BD1"/>
    <w:rsid w:val="00A63FF3"/>
    <w:rsid w:val="00A6426A"/>
    <w:rsid w:val="00A64F82"/>
    <w:rsid w:val="00A65077"/>
    <w:rsid w:val="00A65FED"/>
    <w:rsid w:val="00A66D6D"/>
    <w:rsid w:val="00A6729B"/>
    <w:rsid w:val="00A71544"/>
    <w:rsid w:val="00A71A4F"/>
    <w:rsid w:val="00A7295E"/>
    <w:rsid w:val="00A729FA"/>
    <w:rsid w:val="00A72CB8"/>
    <w:rsid w:val="00A74655"/>
    <w:rsid w:val="00A747DD"/>
    <w:rsid w:val="00A749C4"/>
    <w:rsid w:val="00A74D0F"/>
    <w:rsid w:val="00A74E45"/>
    <w:rsid w:val="00A76088"/>
    <w:rsid w:val="00A76181"/>
    <w:rsid w:val="00A772FE"/>
    <w:rsid w:val="00A7743F"/>
    <w:rsid w:val="00A800BB"/>
    <w:rsid w:val="00A801F3"/>
    <w:rsid w:val="00A803BB"/>
    <w:rsid w:val="00A8057A"/>
    <w:rsid w:val="00A833FC"/>
    <w:rsid w:val="00A842CF"/>
    <w:rsid w:val="00A851EB"/>
    <w:rsid w:val="00A851F1"/>
    <w:rsid w:val="00A85719"/>
    <w:rsid w:val="00A86692"/>
    <w:rsid w:val="00A867A4"/>
    <w:rsid w:val="00A86A39"/>
    <w:rsid w:val="00A874D5"/>
    <w:rsid w:val="00A87CAA"/>
    <w:rsid w:val="00A87F4A"/>
    <w:rsid w:val="00A902DF"/>
    <w:rsid w:val="00A93F1B"/>
    <w:rsid w:val="00A95579"/>
    <w:rsid w:val="00A95DED"/>
    <w:rsid w:val="00A96482"/>
    <w:rsid w:val="00A97E81"/>
    <w:rsid w:val="00AA1449"/>
    <w:rsid w:val="00AA16C4"/>
    <w:rsid w:val="00AA20E3"/>
    <w:rsid w:val="00AA282D"/>
    <w:rsid w:val="00AA2BC7"/>
    <w:rsid w:val="00AA305B"/>
    <w:rsid w:val="00AA407C"/>
    <w:rsid w:val="00AA45A2"/>
    <w:rsid w:val="00AA4C2C"/>
    <w:rsid w:val="00AA4D6C"/>
    <w:rsid w:val="00AA5571"/>
    <w:rsid w:val="00AB08A9"/>
    <w:rsid w:val="00AB0C35"/>
    <w:rsid w:val="00AB0FA2"/>
    <w:rsid w:val="00AB1443"/>
    <w:rsid w:val="00AB3F3D"/>
    <w:rsid w:val="00AB41D2"/>
    <w:rsid w:val="00AB5A0D"/>
    <w:rsid w:val="00AB6466"/>
    <w:rsid w:val="00AB73E6"/>
    <w:rsid w:val="00AB7422"/>
    <w:rsid w:val="00AB745A"/>
    <w:rsid w:val="00AB77F6"/>
    <w:rsid w:val="00AB788B"/>
    <w:rsid w:val="00AC1C45"/>
    <w:rsid w:val="00AC23BB"/>
    <w:rsid w:val="00AC2FD2"/>
    <w:rsid w:val="00AC34FE"/>
    <w:rsid w:val="00AC3CC4"/>
    <w:rsid w:val="00AC409D"/>
    <w:rsid w:val="00AC5841"/>
    <w:rsid w:val="00AC5ECE"/>
    <w:rsid w:val="00AC66D3"/>
    <w:rsid w:val="00AC6838"/>
    <w:rsid w:val="00AD08BC"/>
    <w:rsid w:val="00AD16DE"/>
    <w:rsid w:val="00AD1819"/>
    <w:rsid w:val="00AD1F64"/>
    <w:rsid w:val="00AD21A3"/>
    <w:rsid w:val="00AD2AE9"/>
    <w:rsid w:val="00AD3603"/>
    <w:rsid w:val="00AD3DCD"/>
    <w:rsid w:val="00AD6411"/>
    <w:rsid w:val="00AD6850"/>
    <w:rsid w:val="00AD7220"/>
    <w:rsid w:val="00AD73B7"/>
    <w:rsid w:val="00AD7E84"/>
    <w:rsid w:val="00AE1927"/>
    <w:rsid w:val="00AE1B46"/>
    <w:rsid w:val="00AE26C4"/>
    <w:rsid w:val="00AE2C7B"/>
    <w:rsid w:val="00AE2CC2"/>
    <w:rsid w:val="00AE3888"/>
    <w:rsid w:val="00AE3A7A"/>
    <w:rsid w:val="00AE4469"/>
    <w:rsid w:val="00AE4F26"/>
    <w:rsid w:val="00AE526D"/>
    <w:rsid w:val="00AE5E8F"/>
    <w:rsid w:val="00AE66C8"/>
    <w:rsid w:val="00AE6C52"/>
    <w:rsid w:val="00AE792B"/>
    <w:rsid w:val="00AF1EF3"/>
    <w:rsid w:val="00AF1FED"/>
    <w:rsid w:val="00AF2077"/>
    <w:rsid w:val="00AF2AA2"/>
    <w:rsid w:val="00AF2D94"/>
    <w:rsid w:val="00AF30D7"/>
    <w:rsid w:val="00AF3121"/>
    <w:rsid w:val="00AF385F"/>
    <w:rsid w:val="00AF458D"/>
    <w:rsid w:val="00AF49F2"/>
    <w:rsid w:val="00AF4D41"/>
    <w:rsid w:val="00AF4ECF"/>
    <w:rsid w:val="00AF5418"/>
    <w:rsid w:val="00AF5760"/>
    <w:rsid w:val="00AF6C89"/>
    <w:rsid w:val="00AF738E"/>
    <w:rsid w:val="00AF7681"/>
    <w:rsid w:val="00AF7DB8"/>
    <w:rsid w:val="00B0054C"/>
    <w:rsid w:val="00B00B29"/>
    <w:rsid w:val="00B00F2A"/>
    <w:rsid w:val="00B01689"/>
    <w:rsid w:val="00B01B0B"/>
    <w:rsid w:val="00B021BF"/>
    <w:rsid w:val="00B02889"/>
    <w:rsid w:val="00B03E30"/>
    <w:rsid w:val="00B0423D"/>
    <w:rsid w:val="00B05D42"/>
    <w:rsid w:val="00B05FD5"/>
    <w:rsid w:val="00B0625A"/>
    <w:rsid w:val="00B0701E"/>
    <w:rsid w:val="00B07E04"/>
    <w:rsid w:val="00B07F9D"/>
    <w:rsid w:val="00B10460"/>
    <w:rsid w:val="00B1091D"/>
    <w:rsid w:val="00B12167"/>
    <w:rsid w:val="00B133DC"/>
    <w:rsid w:val="00B137F6"/>
    <w:rsid w:val="00B141F0"/>
    <w:rsid w:val="00B1649C"/>
    <w:rsid w:val="00B166EF"/>
    <w:rsid w:val="00B16EA1"/>
    <w:rsid w:val="00B209C7"/>
    <w:rsid w:val="00B2124D"/>
    <w:rsid w:val="00B21D6B"/>
    <w:rsid w:val="00B221F2"/>
    <w:rsid w:val="00B225FE"/>
    <w:rsid w:val="00B2438D"/>
    <w:rsid w:val="00B25595"/>
    <w:rsid w:val="00B268FD"/>
    <w:rsid w:val="00B27631"/>
    <w:rsid w:val="00B30375"/>
    <w:rsid w:val="00B30B1F"/>
    <w:rsid w:val="00B3112D"/>
    <w:rsid w:val="00B3194E"/>
    <w:rsid w:val="00B31A44"/>
    <w:rsid w:val="00B31A91"/>
    <w:rsid w:val="00B350EF"/>
    <w:rsid w:val="00B356BE"/>
    <w:rsid w:val="00B35D33"/>
    <w:rsid w:val="00B366E0"/>
    <w:rsid w:val="00B37847"/>
    <w:rsid w:val="00B40324"/>
    <w:rsid w:val="00B40D7F"/>
    <w:rsid w:val="00B40F13"/>
    <w:rsid w:val="00B41946"/>
    <w:rsid w:val="00B4197A"/>
    <w:rsid w:val="00B41FE4"/>
    <w:rsid w:val="00B44483"/>
    <w:rsid w:val="00B445CB"/>
    <w:rsid w:val="00B44759"/>
    <w:rsid w:val="00B45334"/>
    <w:rsid w:val="00B45481"/>
    <w:rsid w:val="00B458CF"/>
    <w:rsid w:val="00B46027"/>
    <w:rsid w:val="00B46A94"/>
    <w:rsid w:val="00B479BA"/>
    <w:rsid w:val="00B507AC"/>
    <w:rsid w:val="00B50F90"/>
    <w:rsid w:val="00B50FD8"/>
    <w:rsid w:val="00B51C85"/>
    <w:rsid w:val="00B52319"/>
    <w:rsid w:val="00B5309E"/>
    <w:rsid w:val="00B53602"/>
    <w:rsid w:val="00B53C98"/>
    <w:rsid w:val="00B53D38"/>
    <w:rsid w:val="00B54365"/>
    <w:rsid w:val="00B55D90"/>
    <w:rsid w:val="00B568EC"/>
    <w:rsid w:val="00B57137"/>
    <w:rsid w:val="00B57F69"/>
    <w:rsid w:val="00B62730"/>
    <w:rsid w:val="00B6390D"/>
    <w:rsid w:val="00B64091"/>
    <w:rsid w:val="00B64527"/>
    <w:rsid w:val="00B6468D"/>
    <w:rsid w:val="00B6494F"/>
    <w:rsid w:val="00B64E70"/>
    <w:rsid w:val="00B64ED3"/>
    <w:rsid w:val="00B64EE8"/>
    <w:rsid w:val="00B666C3"/>
    <w:rsid w:val="00B66A5B"/>
    <w:rsid w:val="00B706FF"/>
    <w:rsid w:val="00B707EF"/>
    <w:rsid w:val="00B7082E"/>
    <w:rsid w:val="00B72B65"/>
    <w:rsid w:val="00B73BF8"/>
    <w:rsid w:val="00B74AD8"/>
    <w:rsid w:val="00B74F5A"/>
    <w:rsid w:val="00B7706B"/>
    <w:rsid w:val="00B81720"/>
    <w:rsid w:val="00B81DF1"/>
    <w:rsid w:val="00B8323B"/>
    <w:rsid w:val="00B856A5"/>
    <w:rsid w:val="00B85B94"/>
    <w:rsid w:val="00B866CA"/>
    <w:rsid w:val="00B901B1"/>
    <w:rsid w:val="00B90FB5"/>
    <w:rsid w:val="00B93D66"/>
    <w:rsid w:val="00B94882"/>
    <w:rsid w:val="00B957C7"/>
    <w:rsid w:val="00B9597C"/>
    <w:rsid w:val="00B95A20"/>
    <w:rsid w:val="00B95CD7"/>
    <w:rsid w:val="00B961BC"/>
    <w:rsid w:val="00B96336"/>
    <w:rsid w:val="00B96B61"/>
    <w:rsid w:val="00B972D8"/>
    <w:rsid w:val="00B97529"/>
    <w:rsid w:val="00BA0A6D"/>
    <w:rsid w:val="00BA0FCC"/>
    <w:rsid w:val="00BA179A"/>
    <w:rsid w:val="00BA1AFB"/>
    <w:rsid w:val="00BA1D1D"/>
    <w:rsid w:val="00BA230F"/>
    <w:rsid w:val="00BA2CF3"/>
    <w:rsid w:val="00BA2F9D"/>
    <w:rsid w:val="00BA3782"/>
    <w:rsid w:val="00BA5129"/>
    <w:rsid w:val="00BA5A89"/>
    <w:rsid w:val="00BA5D42"/>
    <w:rsid w:val="00BA605E"/>
    <w:rsid w:val="00BA6A5E"/>
    <w:rsid w:val="00BA6AE2"/>
    <w:rsid w:val="00BB0880"/>
    <w:rsid w:val="00BB0E5B"/>
    <w:rsid w:val="00BB0EDD"/>
    <w:rsid w:val="00BB0F56"/>
    <w:rsid w:val="00BB253D"/>
    <w:rsid w:val="00BB272F"/>
    <w:rsid w:val="00BB3743"/>
    <w:rsid w:val="00BB3934"/>
    <w:rsid w:val="00BB3BB4"/>
    <w:rsid w:val="00BB43AC"/>
    <w:rsid w:val="00BB48DA"/>
    <w:rsid w:val="00BB5C34"/>
    <w:rsid w:val="00BB6E71"/>
    <w:rsid w:val="00BC0EDB"/>
    <w:rsid w:val="00BC0FDA"/>
    <w:rsid w:val="00BC1101"/>
    <w:rsid w:val="00BC1115"/>
    <w:rsid w:val="00BC1E57"/>
    <w:rsid w:val="00BC21E1"/>
    <w:rsid w:val="00BC356F"/>
    <w:rsid w:val="00BC3CA0"/>
    <w:rsid w:val="00BC4062"/>
    <w:rsid w:val="00BC4FE8"/>
    <w:rsid w:val="00BC552F"/>
    <w:rsid w:val="00BC5A11"/>
    <w:rsid w:val="00BC78FA"/>
    <w:rsid w:val="00BC7B88"/>
    <w:rsid w:val="00BD0BCC"/>
    <w:rsid w:val="00BD1A53"/>
    <w:rsid w:val="00BD1DF3"/>
    <w:rsid w:val="00BD1ED0"/>
    <w:rsid w:val="00BD2369"/>
    <w:rsid w:val="00BD32D3"/>
    <w:rsid w:val="00BD3ABA"/>
    <w:rsid w:val="00BD4372"/>
    <w:rsid w:val="00BD512A"/>
    <w:rsid w:val="00BD57C0"/>
    <w:rsid w:val="00BD5926"/>
    <w:rsid w:val="00BD612D"/>
    <w:rsid w:val="00BD62EA"/>
    <w:rsid w:val="00BD7565"/>
    <w:rsid w:val="00BE0709"/>
    <w:rsid w:val="00BE0EDF"/>
    <w:rsid w:val="00BE10FD"/>
    <w:rsid w:val="00BE2063"/>
    <w:rsid w:val="00BE2BB9"/>
    <w:rsid w:val="00BE3037"/>
    <w:rsid w:val="00BE3B40"/>
    <w:rsid w:val="00BE4E26"/>
    <w:rsid w:val="00BE58B4"/>
    <w:rsid w:val="00BE5BA5"/>
    <w:rsid w:val="00BE5C81"/>
    <w:rsid w:val="00BE62B3"/>
    <w:rsid w:val="00BE6543"/>
    <w:rsid w:val="00BE7136"/>
    <w:rsid w:val="00BE7381"/>
    <w:rsid w:val="00BF2907"/>
    <w:rsid w:val="00BF29D7"/>
    <w:rsid w:val="00BF31EA"/>
    <w:rsid w:val="00BF3ACD"/>
    <w:rsid w:val="00BF407E"/>
    <w:rsid w:val="00BF4C4B"/>
    <w:rsid w:val="00BF60D0"/>
    <w:rsid w:val="00BF6FC6"/>
    <w:rsid w:val="00BF72F7"/>
    <w:rsid w:val="00C00216"/>
    <w:rsid w:val="00C026F5"/>
    <w:rsid w:val="00C02A9F"/>
    <w:rsid w:val="00C03625"/>
    <w:rsid w:val="00C03A15"/>
    <w:rsid w:val="00C042DC"/>
    <w:rsid w:val="00C04586"/>
    <w:rsid w:val="00C04998"/>
    <w:rsid w:val="00C04F69"/>
    <w:rsid w:val="00C05C0E"/>
    <w:rsid w:val="00C05CFD"/>
    <w:rsid w:val="00C060B2"/>
    <w:rsid w:val="00C06DBC"/>
    <w:rsid w:val="00C07040"/>
    <w:rsid w:val="00C1006E"/>
    <w:rsid w:val="00C10140"/>
    <w:rsid w:val="00C112A3"/>
    <w:rsid w:val="00C117EF"/>
    <w:rsid w:val="00C126C0"/>
    <w:rsid w:val="00C12897"/>
    <w:rsid w:val="00C129EF"/>
    <w:rsid w:val="00C15173"/>
    <w:rsid w:val="00C161EC"/>
    <w:rsid w:val="00C162A4"/>
    <w:rsid w:val="00C16330"/>
    <w:rsid w:val="00C164CD"/>
    <w:rsid w:val="00C16520"/>
    <w:rsid w:val="00C17458"/>
    <w:rsid w:val="00C177CE"/>
    <w:rsid w:val="00C206E5"/>
    <w:rsid w:val="00C217FA"/>
    <w:rsid w:val="00C229F9"/>
    <w:rsid w:val="00C2345E"/>
    <w:rsid w:val="00C23E36"/>
    <w:rsid w:val="00C24016"/>
    <w:rsid w:val="00C242C3"/>
    <w:rsid w:val="00C25091"/>
    <w:rsid w:val="00C25522"/>
    <w:rsid w:val="00C2614F"/>
    <w:rsid w:val="00C269C2"/>
    <w:rsid w:val="00C26D6B"/>
    <w:rsid w:val="00C27E78"/>
    <w:rsid w:val="00C3047B"/>
    <w:rsid w:val="00C3070C"/>
    <w:rsid w:val="00C3210A"/>
    <w:rsid w:val="00C3238B"/>
    <w:rsid w:val="00C325F3"/>
    <w:rsid w:val="00C32FF6"/>
    <w:rsid w:val="00C33362"/>
    <w:rsid w:val="00C34697"/>
    <w:rsid w:val="00C369C2"/>
    <w:rsid w:val="00C376B9"/>
    <w:rsid w:val="00C378F3"/>
    <w:rsid w:val="00C40221"/>
    <w:rsid w:val="00C408ED"/>
    <w:rsid w:val="00C40A67"/>
    <w:rsid w:val="00C40C56"/>
    <w:rsid w:val="00C41E6B"/>
    <w:rsid w:val="00C432BC"/>
    <w:rsid w:val="00C434CE"/>
    <w:rsid w:val="00C43816"/>
    <w:rsid w:val="00C44B50"/>
    <w:rsid w:val="00C451E7"/>
    <w:rsid w:val="00C45B26"/>
    <w:rsid w:val="00C468F0"/>
    <w:rsid w:val="00C47010"/>
    <w:rsid w:val="00C505CD"/>
    <w:rsid w:val="00C506B1"/>
    <w:rsid w:val="00C5099C"/>
    <w:rsid w:val="00C50D03"/>
    <w:rsid w:val="00C513F8"/>
    <w:rsid w:val="00C528F8"/>
    <w:rsid w:val="00C52F7A"/>
    <w:rsid w:val="00C5318D"/>
    <w:rsid w:val="00C53222"/>
    <w:rsid w:val="00C536B0"/>
    <w:rsid w:val="00C53FA2"/>
    <w:rsid w:val="00C543D7"/>
    <w:rsid w:val="00C5515A"/>
    <w:rsid w:val="00C55553"/>
    <w:rsid w:val="00C56336"/>
    <w:rsid w:val="00C56B29"/>
    <w:rsid w:val="00C57B08"/>
    <w:rsid w:val="00C607B2"/>
    <w:rsid w:val="00C60855"/>
    <w:rsid w:val="00C6092B"/>
    <w:rsid w:val="00C60BC8"/>
    <w:rsid w:val="00C614BF"/>
    <w:rsid w:val="00C61861"/>
    <w:rsid w:val="00C619AA"/>
    <w:rsid w:val="00C62B13"/>
    <w:rsid w:val="00C635EE"/>
    <w:rsid w:val="00C63C94"/>
    <w:rsid w:val="00C64333"/>
    <w:rsid w:val="00C65593"/>
    <w:rsid w:val="00C66511"/>
    <w:rsid w:val="00C66723"/>
    <w:rsid w:val="00C66B07"/>
    <w:rsid w:val="00C67926"/>
    <w:rsid w:val="00C70254"/>
    <w:rsid w:val="00C709E0"/>
    <w:rsid w:val="00C70CEB"/>
    <w:rsid w:val="00C70ED6"/>
    <w:rsid w:val="00C710B5"/>
    <w:rsid w:val="00C710D3"/>
    <w:rsid w:val="00C71DF5"/>
    <w:rsid w:val="00C722DF"/>
    <w:rsid w:val="00C727E3"/>
    <w:rsid w:val="00C73214"/>
    <w:rsid w:val="00C733BD"/>
    <w:rsid w:val="00C75049"/>
    <w:rsid w:val="00C75AF9"/>
    <w:rsid w:val="00C762C3"/>
    <w:rsid w:val="00C7637C"/>
    <w:rsid w:val="00C76D94"/>
    <w:rsid w:val="00C77B3C"/>
    <w:rsid w:val="00C77C48"/>
    <w:rsid w:val="00C77CF2"/>
    <w:rsid w:val="00C80222"/>
    <w:rsid w:val="00C80388"/>
    <w:rsid w:val="00C80CD0"/>
    <w:rsid w:val="00C823B8"/>
    <w:rsid w:val="00C837AE"/>
    <w:rsid w:val="00C83C4B"/>
    <w:rsid w:val="00C84D5D"/>
    <w:rsid w:val="00C85373"/>
    <w:rsid w:val="00C85D88"/>
    <w:rsid w:val="00C85ED7"/>
    <w:rsid w:val="00C87364"/>
    <w:rsid w:val="00C878BC"/>
    <w:rsid w:val="00C87DB0"/>
    <w:rsid w:val="00C90F77"/>
    <w:rsid w:val="00C91B4B"/>
    <w:rsid w:val="00C920D2"/>
    <w:rsid w:val="00C938EF"/>
    <w:rsid w:val="00C93AB5"/>
    <w:rsid w:val="00C954D4"/>
    <w:rsid w:val="00C95822"/>
    <w:rsid w:val="00C95E67"/>
    <w:rsid w:val="00C97D94"/>
    <w:rsid w:val="00CA050E"/>
    <w:rsid w:val="00CA06BD"/>
    <w:rsid w:val="00CA0A17"/>
    <w:rsid w:val="00CA0D82"/>
    <w:rsid w:val="00CA3F6D"/>
    <w:rsid w:val="00CA4C4A"/>
    <w:rsid w:val="00CA4FB6"/>
    <w:rsid w:val="00CA513D"/>
    <w:rsid w:val="00CA56B7"/>
    <w:rsid w:val="00CA6977"/>
    <w:rsid w:val="00CA6AE8"/>
    <w:rsid w:val="00CB0374"/>
    <w:rsid w:val="00CB0712"/>
    <w:rsid w:val="00CB12FC"/>
    <w:rsid w:val="00CB1BD3"/>
    <w:rsid w:val="00CB2C67"/>
    <w:rsid w:val="00CB3D69"/>
    <w:rsid w:val="00CB440F"/>
    <w:rsid w:val="00CB46CE"/>
    <w:rsid w:val="00CB53D2"/>
    <w:rsid w:val="00CB56A5"/>
    <w:rsid w:val="00CB5789"/>
    <w:rsid w:val="00CB61F8"/>
    <w:rsid w:val="00CC16DE"/>
    <w:rsid w:val="00CC26EE"/>
    <w:rsid w:val="00CC3B92"/>
    <w:rsid w:val="00CC4B4F"/>
    <w:rsid w:val="00CC5395"/>
    <w:rsid w:val="00CC70FB"/>
    <w:rsid w:val="00CD0B51"/>
    <w:rsid w:val="00CD1500"/>
    <w:rsid w:val="00CD18A1"/>
    <w:rsid w:val="00CD2B3B"/>
    <w:rsid w:val="00CD4E0F"/>
    <w:rsid w:val="00CD584B"/>
    <w:rsid w:val="00CD5D7E"/>
    <w:rsid w:val="00CD624F"/>
    <w:rsid w:val="00CD698F"/>
    <w:rsid w:val="00CD6C4D"/>
    <w:rsid w:val="00CD72C5"/>
    <w:rsid w:val="00CD7931"/>
    <w:rsid w:val="00CD7B7F"/>
    <w:rsid w:val="00CD7D64"/>
    <w:rsid w:val="00CE0039"/>
    <w:rsid w:val="00CE0C10"/>
    <w:rsid w:val="00CE0E0C"/>
    <w:rsid w:val="00CE16C7"/>
    <w:rsid w:val="00CE3541"/>
    <w:rsid w:val="00CE4925"/>
    <w:rsid w:val="00CE5FC4"/>
    <w:rsid w:val="00CE7383"/>
    <w:rsid w:val="00CE75F5"/>
    <w:rsid w:val="00CE7CC2"/>
    <w:rsid w:val="00CE7FCA"/>
    <w:rsid w:val="00CF14D7"/>
    <w:rsid w:val="00CF173C"/>
    <w:rsid w:val="00CF24F0"/>
    <w:rsid w:val="00CF2596"/>
    <w:rsid w:val="00CF2AB6"/>
    <w:rsid w:val="00CF2C97"/>
    <w:rsid w:val="00CF3985"/>
    <w:rsid w:val="00CF3AE3"/>
    <w:rsid w:val="00CF55A6"/>
    <w:rsid w:val="00CF5688"/>
    <w:rsid w:val="00CF7046"/>
    <w:rsid w:val="00CF70F3"/>
    <w:rsid w:val="00CF73E8"/>
    <w:rsid w:val="00CF77D1"/>
    <w:rsid w:val="00D00724"/>
    <w:rsid w:val="00D00ED3"/>
    <w:rsid w:val="00D01630"/>
    <w:rsid w:val="00D01A1B"/>
    <w:rsid w:val="00D01E0F"/>
    <w:rsid w:val="00D0279D"/>
    <w:rsid w:val="00D0288B"/>
    <w:rsid w:val="00D0453C"/>
    <w:rsid w:val="00D049DC"/>
    <w:rsid w:val="00D060FF"/>
    <w:rsid w:val="00D07107"/>
    <w:rsid w:val="00D1025E"/>
    <w:rsid w:val="00D117C9"/>
    <w:rsid w:val="00D12085"/>
    <w:rsid w:val="00D132C0"/>
    <w:rsid w:val="00D1512A"/>
    <w:rsid w:val="00D1694A"/>
    <w:rsid w:val="00D17158"/>
    <w:rsid w:val="00D176F5"/>
    <w:rsid w:val="00D20A5B"/>
    <w:rsid w:val="00D20AF3"/>
    <w:rsid w:val="00D20C5D"/>
    <w:rsid w:val="00D20DFF"/>
    <w:rsid w:val="00D219C0"/>
    <w:rsid w:val="00D21A85"/>
    <w:rsid w:val="00D21EBF"/>
    <w:rsid w:val="00D22342"/>
    <w:rsid w:val="00D22A00"/>
    <w:rsid w:val="00D2303B"/>
    <w:rsid w:val="00D2502B"/>
    <w:rsid w:val="00D26D4E"/>
    <w:rsid w:val="00D278FE"/>
    <w:rsid w:val="00D30A8C"/>
    <w:rsid w:val="00D30D80"/>
    <w:rsid w:val="00D3104E"/>
    <w:rsid w:val="00D3106D"/>
    <w:rsid w:val="00D31840"/>
    <w:rsid w:val="00D31FA9"/>
    <w:rsid w:val="00D32DF9"/>
    <w:rsid w:val="00D33251"/>
    <w:rsid w:val="00D33767"/>
    <w:rsid w:val="00D33CCD"/>
    <w:rsid w:val="00D33DD5"/>
    <w:rsid w:val="00D3419E"/>
    <w:rsid w:val="00D347F5"/>
    <w:rsid w:val="00D34EB9"/>
    <w:rsid w:val="00D361A0"/>
    <w:rsid w:val="00D366D8"/>
    <w:rsid w:val="00D36DCC"/>
    <w:rsid w:val="00D37940"/>
    <w:rsid w:val="00D4168A"/>
    <w:rsid w:val="00D41802"/>
    <w:rsid w:val="00D42E93"/>
    <w:rsid w:val="00D43924"/>
    <w:rsid w:val="00D45DFA"/>
    <w:rsid w:val="00D45E3A"/>
    <w:rsid w:val="00D45E42"/>
    <w:rsid w:val="00D50712"/>
    <w:rsid w:val="00D50BDD"/>
    <w:rsid w:val="00D50C5D"/>
    <w:rsid w:val="00D51731"/>
    <w:rsid w:val="00D517B6"/>
    <w:rsid w:val="00D517C2"/>
    <w:rsid w:val="00D534D2"/>
    <w:rsid w:val="00D538FA"/>
    <w:rsid w:val="00D5393D"/>
    <w:rsid w:val="00D54DF1"/>
    <w:rsid w:val="00D55767"/>
    <w:rsid w:val="00D55C0B"/>
    <w:rsid w:val="00D56382"/>
    <w:rsid w:val="00D5693B"/>
    <w:rsid w:val="00D61408"/>
    <w:rsid w:val="00D61725"/>
    <w:rsid w:val="00D6210C"/>
    <w:rsid w:val="00D621D9"/>
    <w:rsid w:val="00D6272D"/>
    <w:rsid w:val="00D63A25"/>
    <w:rsid w:val="00D63E82"/>
    <w:rsid w:val="00D63E8E"/>
    <w:rsid w:val="00D6421C"/>
    <w:rsid w:val="00D661D4"/>
    <w:rsid w:val="00D66917"/>
    <w:rsid w:val="00D67C2F"/>
    <w:rsid w:val="00D67F31"/>
    <w:rsid w:val="00D70D58"/>
    <w:rsid w:val="00D716EF"/>
    <w:rsid w:val="00D71B7F"/>
    <w:rsid w:val="00D732AC"/>
    <w:rsid w:val="00D73BFD"/>
    <w:rsid w:val="00D73FD0"/>
    <w:rsid w:val="00D74181"/>
    <w:rsid w:val="00D74473"/>
    <w:rsid w:val="00D745BC"/>
    <w:rsid w:val="00D74692"/>
    <w:rsid w:val="00D747BB"/>
    <w:rsid w:val="00D752CF"/>
    <w:rsid w:val="00D75E99"/>
    <w:rsid w:val="00D76DC6"/>
    <w:rsid w:val="00D77209"/>
    <w:rsid w:val="00D777D5"/>
    <w:rsid w:val="00D80CA3"/>
    <w:rsid w:val="00D80DF1"/>
    <w:rsid w:val="00D81960"/>
    <w:rsid w:val="00D82067"/>
    <w:rsid w:val="00D82438"/>
    <w:rsid w:val="00D824D1"/>
    <w:rsid w:val="00D829DE"/>
    <w:rsid w:val="00D82AF8"/>
    <w:rsid w:val="00D83AF5"/>
    <w:rsid w:val="00D844C1"/>
    <w:rsid w:val="00D845CE"/>
    <w:rsid w:val="00D871E4"/>
    <w:rsid w:val="00D87FBB"/>
    <w:rsid w:val="00D90FF8"/>
    <w:rsid w:val="00D93790"/>
    <w:rsid w:val="00D93F77"/>
    <w:rsid w:val="00D94032"/>
    <w:rsid w:val="00D95036"/>
    <w:rsid w:val="00D95741"/>
    <w:rsid w:val="00D957DA"/>
    <w:rsid w:val="00D958EF"/>
    <w:rsid w:val="00D9647A"/>
    <w:rsid w:val="00D973EC"/>
    <w:rsid w:val="00D9748E"/>
    <w:rsid w:val="00D977E6"/>
    <w:rsid w:val="00D97FB4"/>
    <w:rsid w:val="00DA039A"/>
    <w:rsid w:val="00DA1722"/>
    <w:rsid w:val="00DA43B0"/>
    <w:rsid w:val="00DA45CD"/>
    <w:rsid w:val="00DA4A47"/>
    <w:rsid w:val="00DA4A7D"/>
    <w:rsid w:val="00DB0E0E"/>
    <w:rsid w:val="00DB2960"/>
    <w:rsid w:val="00DB57B6"/>
    <w:rsid w:val="00DB617C"/>
    <w:rsid w:val="00DB620A"/>
    <w:rsid w:val="00DB63E5"/>
    <w:rsid w:val="00DB6679"/>
    <w:rsid w:val="00DB6DD4"/>
    <w:rsid w:val="00DB6E7F"/>
    <w:rsid w:val="00DB6FAA"/>
    <w:rsid w:val="00DB73AB"/>
    <w:rsid w:val="00DB750D"/>
    <w:rsid w:val="00DC0E60"/>
    <w:rsid w:val="00DC11F3"/>
    <w:rsid w:val="00DC152F"/>
    <w:rsid w:val="00DC4B4C"/>
    <w:rsid w:val="00DC4C07"/>
    <w:rsid w:val="00DC4D1F"/>
    <w:rsid w:val="00DC4F57"/>
    <w:rsid w:val="00DC5757"/>
    <w:rsid w:val="00DC669F"/>
    <w:rsid w:val="00DC7477"/>
    <w:rsid w:val="00DD0A11"/>
    <w:rsid w:val="00DD13BA"/>
    <w:rsid w:val="00DD247E"/>
    <w:rsid w:val="00DD2754"/>
    <w:rsid w:val="00DD3B37"/>
    <w:rsid w:val="00DD4C1C"/>
    <w:rsid w:val="00DD5463"/>
    <w:rsid w:val="00DD5F7A"/>
    <w:rsid w:val="00DD63CD"/>
    <w:rsid w:val="00DD6883"/>
    <w:rsid w:val="00DD733D"/>
    <w:rsid w:val="00DD777B"/>
    <w:rsid w:val="00DE00FF"/>
    <w:rsid w:val="00DE1C89"/>
    <w:rsid w:val="00DE1E8C"/>
    <w:rsid w:val="00DE2822"/>
    <w:rsid w:val="00DE3F39"/>
    <w:rsid w:val="00DE4538"/>
    <w:rsid w:val="00DE493E"/>
    <w:rsid w:val="00DE5AC4"/>
    <w:rsid w:val="00DE7F15"/>
    <w:rsid w:val="00DE7F4C"/>
    <w:rsid w:val="00DF0310"/>
    <w:rsid w:val="00DF05EB"/>
    <w:rsid w:val="00DF0AEB"/>
    <w:rsid w:val="00DF1A03"/>
    <w:rsid w:val="00DF2BED"/>
    <w:rsid w:val="00DF2D1F"/>
    <w:rsid w:val="00DF32ED"/>
    <w:rsid w:val="00DF385C"/>
    <w:rsid w:val="00DF406A"/>
    <w:rsid w:val="00DF5D4C"/>
    <w:rsid w:val="00DF5F97"/>
    <w:rsid w:val="00DF72A8"/>
    <w:rsid w:val="00DF76EC"/>
    <w:rsid w:val="00E00011"/>
    <w:rsid w:val="00E00F9C"/>
    <w:rsid w:val="00E011B5"/>
    <w:rsid w:val="00E03D21"/>
    <w:rsid w:val="00E0403D"/>
    <w:rsid w:val="00E049C5"/>
    <w:rsid w:val="00E04C7F"/>
    <w:rsid w:val="00E0532D"/>
    <w:rsid w:val="00E05CF6"/>
    <w:rsid w:val="00E07ADE"/>
    <w:rsid w:val="00E103BF"/>
    <w:rsid w:val="00E10CDA"/>
    <w:rsid w:val="00E10E8D"/>
    <w:rsid w:val="00E11EFC"/>
    <w:rsid w:val="00E1243D"/>
    <w:rsid w:val="00E1352B"/>
    <w:rsid w:val="00E14A93"/>
    <w:rsid w:val="00E157AF"/>
    <w:rsid w:val="00E16D10"/>
    <w:rsid w:val="00E16DF2"/>
    <w:rsid w:val="00E16EFF"/>
    <w:rsid w:val="00E202B6"/>
    <w:rsid w:val="00E20544"/>
    <w:rsid w:val="00E207C1"/>
    <w:rsid w:val="00E211B9"/>
    <w:rsid w:val="00E22C91"/>
    <w:rsid w:val="00E22D19"/>
    <w:rsid w:val="00E23D81"/>
    <w:rsid w:val="00E240C2"/>
    <w:rsid w:val="00E252AF"/>
    <w:rsid w:val="00E2561E"/>
    <w:rsid w:val="00E25854"/>
    <w:rsid w:val="00E25F72"/>
    <w:rsid w:val="00E26136"/>
    <w:rsid w:val="00E26AE7"/>
    <w:rsid w:val="00E309EF"/>
    <w:rsid w:val="00E30BFE"/>
    <w:rsid w:val="00E30D0B"/>
    <w:rsid w:val="00E31618"/>
    <w:rsid w:val="00E3230F"/>
    <w:rsid w:val="00E32801"/>
    <w:rsid w:val="00E32E5B"/>
    <w:rsid w:val="00E334CC"/>
    <w:rsid w:val="00E33CE3"/>
    <w:rsid w:val="00E34B5E"/>
    <w:rsid w:val="00E351EB"/>
    <w:rsid w:val="00E35441"/>
    <w:rsid w:val="00E35DD6"/>
    <w:rsid w:val="00E35EDE"/>
    <w:rsid w:val="00E361EF"/>
    <w:rsid w:val="00E3703C"/>
    <w:rsid w:val="00E3740D"/>
    <w:rsid w:val="00E37AC5"/>
    <w:rsid w:val="00E40847"/>
    <w:rsid w:val="00E40F69"/>
    <w:rsid w:val="00E410FA"/>
    <w:rsid w:val="00E41BB2"/>
    <w:rsid w:val="00E4269F"/>
    <w:rsid w:val="00E42834"/>
    <w:rsid w:val="00E43E2F"/>
    <w:rsid w:val="00E44760"/>
    <w:rsid w:val="00E44B82"/>
    <w:rsid w:val="00E452BE"/>
    <w:rsid w:val="00E46962"/>
    <w:rsid w:val="00E47198"/>
    <w:rsid w:val="00E4782E"/>
    <w:rsid w:val="00E47AF6"/>
    <w:rsid w:val="00E47CBB"/>
    <w:rsid w:val="00E5098A"/>
    <w:rsid w:val="00E517C5"/>
    <w:rsid w:val="00E51AA8"/>
    <w:rsid w:val="00E51BBB"/>
    <w:rsid w:val="00E52759"/>
    <w:rsid w:val="00E53419"/>
    <w:rsid w:val="00E541F8"/>
    <w:rsid w:val="00E549E0"/>
    <w:rsid w:val="00E54E3C"/>
    <w:rsid w:val="00E551A2"/>
    <w:rsid w:val="00E5586E"/>
    <w:rsid w:val="00E55B25"/>
    <w:rsid w:val="00E55F6C"/>
    <w:rsid w:val="00E564CA"/>
    <w:rsid w:val="00E5752B"/>
    <w:rsid w:val="00E57B2C"/>
    <w:rsid w:val="00E57C97"/>
    <w:rsid w:val="00E6016F"/>
    <w:rsid w:val="00E603DD"/>
    <w:rsid w:val="00E60910"/>
    <w:rsid w:val="00E60D28"/>
    <w:rsid w:val="00E61E73"/>
    <w:rsid w:val="00E61EC3"/>
    <w:rsid w:val="00E61F19"/>
    <w:rsid w:val="00E63540"/>
    <w:rsid w:val="00E6376B"/>
    <w:rsid w:val="00E63A61"/>
    <w:rsid w:val="00E64037"/>
    <w:rsid w:val="00E64F2C"/>
    <w:rsid w:val="00E654D9"/>
    <w:rsid w:val="00E65EAE"/>
    <w:rsid w:val="00E6786B"/>
    <w:rsid w:val="00E70FB7"/>
    <w:rsid w:val="00E723A5"/>
    <w:rsid w:val="00E72407"/>
    <w:rsid w:val="00E724D6"/>
    <w:rsid w:val="00E728AD"/>
    <w:rsid w:val="00E73491"/>
    <w:rsid w:val="00E74E22"/>
    <w:rsid w:val="00E7537F"/>
    <w:rsid w:val="00E7611B"/>
    <w:rsid w:val="00E7663E"/>
    <w:rsid w:val="00E7733B"/>
    <w:rsid w:val="00E8016F"/>
    <w:rsid w:val="00E805F6"/>
    <w:rsid w:val="00E82ECC"/>
    <w:rsid w:val="00E8367A"/>
    <w:rsid w:val="00E8467E"/>
    <w:rsid w:val="00E84864"/>
    <w:rsid w:val="00E8554A"/>
    <w:rsid w:val="00E858AD"/>
    <w:rsid w:val="00E8631F"/>
    <w:rsid w:val="00E86A14"/>
    <w:rsid w:val="00E877FE"/>
    <w:rsid w:val="00E87904"/>
    <w:rsid w:val="00E87AE0"/>
    <w:rsid w:val="00E900A7"/>
    <w:rsid w:val="00E9053B"/>
    <w:rsid w:val="00E90D65"/>
    <w:rsid w:val="00E923DE"/>
    <w:rsid w:val="00E93773"/>
    <w:rsid w:val="00E93881"/>
    <w:rsid w:val="00E93D52"/>
    <w:rsid w:val="00E95078"/>
    <w:rsid w:val="00E96967"/>
    <w:rsid w:val="00E9783A"/>
    <w:rsid w:val="00E97CA6"/>
    <w:rsid w:val="00E97EB2"/>
    <w:rsid w:val="00EA045F"/>
    <w:rsid w:val="00EA1773"/>
    <w:rsid w:val="00EA2F76"/>
    <w:rsid w:val="00EA313E"/>
    <w:rsid w:val="00EA3C61"/>
    <w:rsid w:val="00EA4295"/>
    <w:rsid w:val="00EA55D1"/>
    <w:rsid w:val="00EA6B34"/>
    <w:rsid w:val="00EA7C47"/>
    <w:rsid w:val="00EB0DB1"/>
    <w:rsid w:val="00EB13F6"/>
    <w:rsid w:val="00EB1C50"/>
    <w:rsid w:val="00EB2506"/>
    <w:rsid w:val="00EB30E0"/>
    <w:rsid w:val="00EB33C6"/>
    <w:rsid w:val="00EB3878"/>
    <w:rsid w:val="00EB3A8F"/>
    <w:rsid w:val="00EB49E5"/>
    <w:rsid w:val="00EB4E78"/>
    <w:rsid w:val="00EB6847"/>
    <w:rsid w:val="00EB6EA5"/>
    <w:rsid w:val="00EB71CA"/>
    <w:rsid w:val="00EB72FC"/>
    <w:rsid w:val="00EB7FA1"/>
    <w:rsid w:val="00EC0DE2"/>
    <w:rsid w:val="00EC42DD"/>
    <w:rsid w:val="00EC4EB2"/>
    <w:rsid w:val="00ED0B26"/>
    <w:rsid w:val="00ED15FC"/>
    <w:rsid w:val="00ED2E21"/>
    <w:rsid w:val="00ED3317"/>
    <w:rsid w:val="00ED3B50"/>
    <w:rsid w:val="00ED3D3F"/>
    <w:rsid w:val="00ED3E09"/>
    <w:rsid w:val="00ED4435"/>
    <w:rsid w:val="00ED51A0"/>
    <w:rsid w:val="00ED6A80"/>
    <w:rsid w:val="00ED6FDE"/>
    <w:rsid w:val="00ED79DE"/>
    <w:rsid w:val="00ED7A5F"/>
    <w:rsid w:val="00EE0CDB"/>
    <w:rsid w:val="00EE1071"/>
    <w:rsid w:val="00EE2571"/>
    <w:rsid w:val="00EE264D"/>
    <w:rsid w:val="00EE2F54"/>
    <w:rsid w:val="00EE35A5"/>
    <w:rsid w:val="00EE5B34"/>
    <w:rsid w:val="00EE5DD8"/>
    <w:rsid w:val="00EE62D4"/>
    <w:rsid w:val="00EE7497"/>
    <w:rsid w:val="00EE7ABC"/>
    <w:rsid w:val="00EE7DA3"/>
    <w:rsid w:val="00EF0328"/>
    <w:rsid w:val="00EF038B"/>
    <w:rsid w:val="00EF0436"/>
    <w:rsid w:val="00EF229C"/>
    <w:rsid w:val="00EF24B2"/>
    <w:rsid w:val="00EF2C1B"/>
    <w:rsid w:val="00EF47E8"/>
    <w:rsid w:val="00EF5232"/>
    <w:rsid w:val="00EF5548"/>
    <w:rsid w:val="00EF59A5"/>
    <w:rsid w:val="00EF5FDB"/>
    <w:rsid w:val="00EF60D5"/>
    <w:rsid w:val="00EF6963"/>
    <w:rsid w:val="00EF7489"/>
    <w:rsid w:val="00EF751C"/>
    <w:rsid w:val="00F00449"/>
    <w:rsid w:val="00F00F39"/>
    <w:rsid w:val="00F00FDF"/>
    <w:rsid w:val="00F02EDA"/>
    <w:rsid w:val="00F03706"/>
    <w:rsid w:val="00F04F74"/>
    <w:rsid w:val="00F05E6A"/>
    <w:rsid w:val="00F06B4A"/>
    <w:rsid w:val="00F0774A"/>
    <w:rsid w:val="00F10312"/>
    <w:rsid w:val="00F10D07"/>
    <w:rsid w:val="00F110D2"/>
    <w:rsid w:val="00F11D7B"/>
    <w:rsid w:val="00F11E99"/>
    <w:rsid w:val="00F13F50"/>
    <w:rsid w:val="00F148D0"/>
    <w:rsid w:val="00F14B15"/>
    <w:rsid w:val="00F14D90"/>
    <w:rsid w:val="00F1504E"/>
    <w:rsid w:val="00F15EA6"/>
    <w:rsid w:val="00F165EF"/>
    <w:rsid w:val="00F17612"/>
    <w:rsid w:val="00F203A0"/>
    <w:rsid w:val="00F20658"/>
    <w:rsid w:val="00F20B5B"/>
    <w:rsid w:val="00F215B3"/>
    <w:rsid w:val="00F216A1"/>
    <w:rsid w:val="00F21B95"/>
    <w:rsid w:val="00F21CEC"/>
    <w:rsid w:val="00F21D55"/>
    <w:rsid w:val="00F22DE2"/>
    <w:rsid w:val="00F23A22"/>
    <w:rsid w:val="00F24DF0"/>
    <w:rsid w:val="00F25495"/>
    <w:rsid w:val="00F2563C"/>
    <w:rsid w:val="00F2578C"/>
    <w:rsid w:val="00F25815"/>
    <w:rsid w:val="00F259F0"/>
    <w:rsid w:val="00F265C2"/>
    <w:rsid w:val="00F26F48"/>
    <w:rsid w:val="00F27BA6"/>
    <w:rsid w:val="00F3038B"/>
    <w:rsid w:val="00F32213"/>
    <w:rsid w:val="00F32363"/>
    <w:rsid w:val="00F324C1"/>
    <w:rsid w:val="00F32DBE"/>
    <w:rsid w:val="00F3340E"/>
    <w:rsid w:val="00F34DE6"/>
    <w:rsid w:val="00F35DEF"/>
    <w:rsid w:val="00F360FB"/>
    <w:rsid w:val="00F40C8A"/>
    <w:rsid w:val="00F40F5A"/>
    <w:rsid w:val="00F41026"/>
    <w:rsid w:val="00F4171C"/>
    <w:rsid w:val="00F41A04"/>
    <w:rsid w:val="00F41C34"/>
    <w:rsid w:val="00F41FF2"/>
    <w:rsid w:val="00F42896"/>
    <w:rsid w:val="00F42AFA"/>
    <w:rsid w:val="00F42CF2"/>
    <w:rsid w:val="00F443A3"/>
    <w:rsid w:val="00F44A77"/>
    <w:rsid w:val="00F44B7C"/>
    <w:rsid w:val="00F45BBA"/>
    <w:rsid w:val="00F45D9C"/>
    <w:rsid w:val="00F46DCA"/>
    <w:rsid w:val="00F47BB2"/>
    <w:rsid w:val="00F509DD"/>
    <w:rsid w:val="00F50CF3"/>
    <w:rsid w:val="00F519E1"/>
    <w:rsid w:val="00F51D80"/>
    <w:rsid w:val="00F527EB"/>
    <w:rsid w:val="00F539D0"/>
    <w:rsid w:val="00F53E51"/>
    <w:rsid w:val="00F5504A"/>
    <w:rsid w:val="00F5524D"/>
    <w:rsid w:val="00F555B9"/>
    <w:rsid w:val="00F5561A"/>
    <w:rsid w:val="00F56311"/>
    <w:rsid w:val="00F567DC"/>
    <w:rsid w:val="00F56BF6"/>
    <w:rsid w:val="00F607EE"/>
    <w:rsid w:val="00F6098E"/>
    <w:rsid w:val="00F61BC9"/>
    <w:rsid w:val="00F62287"/>
    <w:rsid w:val="00F62824"/>
    <w:rsid w:val="00F636EB"/>
    <w:rsid w:val="00F63DED"/>
    <w:rsid w:val="00F6436C"/>
    <w:rsid w:val="00F64AA1"/>
    <w:rsid w:val="00F64BB2"/>
    <w:rsid w:val="00F65617"/>
    <w:rsid w:val="00F67734"/>
    <w:rsid w:val="00F67762"/>
    <w:rsid w:val="00F67AE8"/>
    <w:rsid w:val="00F70180"/>
    <w:rsid w:val="00F701EE"/>
    <w:rsid w:val="00F70718"/>
    <w:rsid w:val="00F71294"/>
    <w:rsid w:val="00F71682"/>
    <w:rsid w:val="00F72C35"/>
    <w:rsid w:val="00F74AD3"/>
    <w:rsid w:val="00F75EEE"/>
    <w:rsid w:val="00F801B8"/>
    <w:rsid w:val="00F8030F"/>
    <w:rsid w:val="00F80FD5"/>
    <w:rsid w:val="00F823D5"/>
    <w:rsid w:val="00F82511"/>
    <w:rsid w:val="00F83A9B"/>
    <w:rsid w:val="00F83ABA"/>
    <w:rsid w:val="00F851FF"/>
    <w:rsid w:val="00F862D5"/>
    <w:rsid w:val="00F8652F"/>
    <w:rsid w:val="00F8672D"/>
    <w:rsid w:val="00F867F4"/>
    <w:rsid w:val="00F87193"/>
    <w:rsid w:val="00F874C8"/>
    <w:rsid w:val="00F87F36"/>
    <w:rsid w:val="00F90534"/>
    <w:rsid w:val="00F90710"/>
    <w:rsid w:val="00F91E20"/>
    <w:rsid w:val="00F92C36"/>
    <w:rsid w:val="00F93BDF"/>
    <w:rsid w:val="00F94D31"/>
    <w:rsid w:val="00F950AE"/>
    <w:rsid w:val="00F95863"/>
    <w:rsid w:val="00F95F40"/>
    <w:rsid w:val="00F9600F"/>
    <w:rsid w:val="00F96D51"/>
    <w:rsid w:val="00FA11A4"/>
    <w:rsid w:val="00FA1F66"/>
    <w:rsid w:val="00FA2118"/>
    <w:rsid w:val="00FA2B34"/>
    <w:rsid w:val="00FA33E4"/>
    <w:rsid w:val="00FA38BA"/>
    <w:rsid w:val="00FA42A7"/>
    <w:rsid w:val="00FA4E85"/>
    <w:rsid w:val="00FA545B"/>
    <w:rsid w:val="00FA5C44"/>
    <w:rsid w:val="00FA7446"/>
    <w:rsid w:val="00FB00AE"/>
    <w:rsid w:val="00FB053D"/>
    <w:rsid w:val="00FB10ED"/>
    <w:rsid w:val="00FB3EF5"/>
    <w:rsid w:val="00FB3F2D"/>
    <w:rsid w:val="00FB491F"/>
    <w:rsid w:val="00FB4E24"/>
    <w:rsid w:val="00FB6669"/>
    <w:rsid w:val="00FB6BC5"/>
    <w:rsid w:val="00FB6C0E"/>
    <w:rsid w:val="00FC01ED"/>
    <w:rsid w:val="00FC0393"/>
    <w:rsid w:val="00FC2445"/>
    <w:rsid w:val="00FC245C"/>
    <w:rsid w:val="00FC2AFC"/>
    <w:rsid w:val="00FC32A6"/>
    <w:rsid w:val="00FC3416"/>
    <w:rsid w:val="00FC45D6"/>
    <w:rsid w:val="00FC482C"/>
    <w:rsid w:val="00FC4DF9"/>
    <w:rsid w:val="00FC5B33"/>
    <w:rsid w:val="00FC67E0"/>
    <w:rsid w:val="00FC71BF"/>
    <w:rsid w:val="00FC72DD"/>
    <w:rsid w:val="00FD1025"/>
    <w:rsid w:val="00FD23AA"/>
    <w:rsid w:val="00FD2B2C"/>
    <w:rsid w:val="00FD36F0"/>
    <w:rsid w:val="00FD36F8"/>
    <w:rsid w:val="00FD384F"/>
    <w:rsid w:val="00FD597B"/>
    <w:rsid w:val="00FD5B76"/>
    <w:rsid w:val="00FD5E55"/>
    <w:rsid w:val="00FD61B3"/>
    <w:rsid w:val="00FD64A0"/>
    <w:rsid w:val="00FD72C4"/>
    <w:rsid w:val="00FD734E"/>
    <w:rsid w:val="00FD740A"/>
    <w:rsid w:val="00FD7E60"/>
    <w:rsid w:val="00FE0551"/>
    <w:rsid w:val="00FE0885"/>
    <w:rsid w:val="00FE0BA8"/>
    <w:rsid w:val="00FE14EF"/>
    <w:rsid w:val="00FE249B"/>
    <w:rsid w:val="00FE2EB6"/>
    <w:rsid w:val="00FE349F"/>
    <w:rsid w:val="00FE3522"/>
    <w:rsid w:val="00FE3E40"/>
    <w:rsid w:val="00FE5032"/>
    <w:rsid w:val="00FE52F8"/>
    <w:rsid w:val="00FE5B54"/>
    <w:rsid w:val="00FE737A"/>
    <w:rsid w:val="00FE7422"/>
    <w:rsid w:val="00FE7467"/>
    <w:rsid w:val="00FF060C"/>
    <w:rsid w:val="00FF07FE"/>
    <w:rsid w:val="00FF1C18"/>
    <w:rsid w:val="00FF2FF9"/>
    <w:rsid w:val="00FF3DC5"/>
    <w:rsid w:val="00FF3E05"/>
    <w:rsid w:val="00FF3EB5"/>
    <w:rsid w:val="00FF4095"/>
    <w:rsid w:val="00FF4860"/>
    <w:rsid w:val="00FF53E7"/>
    <w:rsid w:val="00FF5F3C"/>
    <w:rsid w:val="00FF679A"/>
    <w:rsid w:val="00FF6C0F"/>
    <w:rsid w:val="00FF6E9C"/>
    <w:rsid w:val="00FF7B46"/>
    <w:rsid w:val="00FF7C4D"/>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61E14CF5"/>
  <w14:defaultImageDpi w14:val="300"/>
  <w15:docId w15:val="{3F096305-51E9-6E4A-AE73-D5D5B2E63E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EastAsia" w:hAnsi="Times New Roman" w:cstheme="minorBidi"/>
        <w:sz w:val="24"/>
        <w:szCs w:val="24"/>
        <w:lang w:val="en-A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518E"/>
    <w:rPr>
      <w:rFonts w:eastAsia="Times New Roman" w:cs="Times New Roman"/>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ndNoteBibliographyTitle">
    <w:name w:val="EndNote Bibliography Title"/>
    <w:basedOn w:val="Normal"/>
    <w:rsid w:val="001E04C4"/>
    <w:pPr>
      <w:jc w:val="center"/>
    </w:pPr>
    <w:rPr>
      <w:rFonts w:eastAsiaTheme="minorEastAsia"/>
      <w:lang w:val="en-US" w:eastAsia="en-US"/>
    </w:rPr>
  </w:style>
  <w:style w:type="paragraph" w:customStyle="1" w:styleId="EndNoteBibliography">
    <w:name w:val="EndNote Bibliography"/>
    <w:basedOn w:val="Normal"/>
    <w:rsid w:val="001E04C4"/>
    <w:rPr>
      <w:rFonts w:eastAsiaTheme="minorEastAsia"/>
      <w:lang w:val="en-US" w:eastAsia="en-US"/>
    </w:rPr>
  </w:style>
  <w:style w:type="paragraph" w:styleId="ListParagraph">
    <w:name w:val="List Paragraph"/>
    <w:basedOn w:val="Normal"/>
    <w:uiPriority w:val="34"/>
    <w:qFormat/>
    <w:rsid w:val="002A2CBE"/>
    <w:pPr>
      <w:ind w:left="720"/>
      <w:contextualSpacing/>
    </w:pPr>
    <w:rPr>
      <w:rFonts w:eastAsiaTheme="minorEastAsia" w:cstheme="minorBidi"/>
      <w:lang w:eastAsia="en-US"/>
    </w:rPr>
  </w:style>
  <w:style w:type="paragraph" w:styleId="BalloonText">
    <w:name w:val="Balloon Text"/>
    <w:basedOn w:val="Normal"/>
    <w:link w:val="BalloonTextChar"/>
    <w:uiPriority w:val="99"/>
    <w:semiHidden/>
    <w:unhideWhenUsed/>
    <w:rsid w:val="00B41FE4"/>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B41FE4"/>
    <w:rPr>
      <w:rFonts w:ascii="Lucida Grande" w:hAnsi="Lucida Grande" w:cs="Lucida Grande"/>
      <w:sz w:val="18"/>
      <w:szCs w:val="18"/>
    </w:rPr>
  </w:style>
  <w:style w:type="paragraph" w:styleId="Header">
    <w:name w:val="header"/>
    <w:basedOn w:val="Normal"/>
    <w:link w:val="HeaderChar"/>
    <w:uiPriority w:val="99"/>
    <w:unhideWhenUsed/>
    <w:rsid w:val="002053DF"/>
    <w:pPr>
      <w:tabs>
        <w:tab w:val="center" w:pos="4320"/>
        <w:tab w:val="right" w:pos="8640"/>
      </w:tabs>
    </w:pPr>
    <w:rPr>
      <w:rFonts w:eastAsiaTheme="minorEastAsia" w:cstheme="minorBidi"/>
      <w:lang w:eastAsia="en-US"/>
    </w:rPr>
  </w:style>
  <w:style w:type="character" w:customStyle="1" w:styleId="HeaderChar">
    <w:name w:val="Header Char"/>
    <w:basedOn w:val="DefaultParagraphFont"/>
    <w:link w:val="Header"/>
    <w:uiPriority w:val="99"/>
    <w:rsid w:val="002053DF"/>
  </w:style>
  <w:style w:type="character" w:styleId="PageNumber">
    <w:name w:val="page number"/>
    <w:basedOn w:val="DefaultParagraphFont"/>
    <w:uiPriority w:val="99"/>
    <w:semiHidden/>
    <w:unhideWhenUsed/>
    <w:rsid w:val="002053DF"/>
  </w:style>
  <w:style w:type="character" w:styleId="Hyperlink">
    <w:name w:val="Hyperlink"/>
    <w:basedOn w:val="DefaultParagraphFont"/>
    <w:uiPriority w:val="99"/>
    <w:unhideWhenUsed/>
    <w:rsid w:val="00C44B50"/>
    <w:rPr>
      <w:color w:val="0000FF" w:themeColor="hyperlink"/>
      <w:u w:val="single"/>
    </w:rPr>
  </w:style>
  <w:style w:type="character" w:customStyle="1" w:styleId="Hyperlink1">
    <w:name w:val="Hyperlink.1"/>
    <w:basedOn w:val="DefaultParagraphFont"/>
    <w:rsid w:val="003C0719"/>
    <w:rPr>
      <w:color w:val="0000FF"/>
      <w:u w:val="single" w:color="000000"/>
      <w:lang w:val="en-US"/>
    </w:rPr>
  </w:style>
  <w:style w:type="paragraph" w:styleId="FootnoteText">
    <w:name w:val="footnote text"/>
    <w:basedOn w:val="Normal"/>
    <w:link w:val="FootnoteTextChar"/>
    <w:uiPriority w:val="99"/>
    <w:semiHidden/>
    <w:unhideWhenUsed/>
    <w:rsid w:val="00F21B95"/>
    <w:rPr>
      <w:sz w:val="20"/>
      <w:szCs w:val="20"/>
    </w:rPr>
  </w:style>
  <w:style w:type="character" w:customStyle="1" w:styleId="FootnoteTextChar">
    <w:name w:val="Footnote Text Char"/>
    <w:basedOn w:val="DefaultParagraphFont"/>
    <w:link w:val="FootnoteText"/>
    <w:uiPriority w:val="99"/>
    <w:semiHidden/>
    <w:rsid w:val="00F21B95"/>
    <w:rPr>
      <w:rFonts w:eastAsia="Times New Roman" w:cs="Times New Roman"/>
      <w:sz w:val="20"/>
      <w:szCs w:val="20"/>
      <w:lang w:eastAsia="en-GB"/>
    </w:rPr>
  </w:style>
  <w:style w:type="character" w:styleId="FootnoteReference">
    <w:name w:val="footnote reference"/>
    <w:basedOn w:val="DefaultParagraphFont"/>
    <w:uiPriority w:val="99"/>
    <w:semiHidden/>
    <w:unhideWhenUsed/>
    <w:rsid w:val="00F21B95"/>
    <w:rPr>
      <w:vertAlign w:val="superscript"/>
    </w:rPr>
  </w:style>
  <w:style w:type="paragraph" w:styleId="NormalWeb">
    <w:name w:val="Normal (Web)"/>
    <w:basedOn w:val="Normal"/>
    <w:uiPriority w:val="99"/>
    <w:unhideWhenUsed/>
    <w:rsid w:val="00CD7D64"/>
    <w:pPr>
      <w:spacing w:before="100" w:beforeAutospacing="1" w:after="100" w:afterAutospacing="1"/>
    </w:pPr>
  </w:style>
  <w:style w:type="character" w:customStyle="1" w:styleId="UnresolvedMention1">
    <w:name w:val="Unresolved Mention1"/>
    <w:basedOn w:val="DefaultParagraphFont"/>
    <w:uiPriority w:val="99"/>
    <w:semiHidden/>
    <w:unhideWhenUsed/>
    <w:rsid w:val="00316ECD"/>
    <w:rPr>
      <w:color w:val="605E5C"/>
      <w:shd w:val="clear" w:color="auto" w:fill="E1DFDD"/>
    </w:rPr>
  </w:style>
  <w:style w:type="character" w:customStyle="1" w:styleId="apple-converted-space">
    <w:name w:val="apple-converted-space"/>
    <w:basedOn w:val="DefaultParagraphFont"/>
    <w:rsid w:val="008131F1"/>
  </w:style>
  <w:style w:type="character" w:styleId="CommentReference">
    <w:name w:val="annotation reference"/>
    <w:basedOn w:val="DefaultParagraphFont"/>
    <w:uiPriority w:val="99"/>
    <w:semiHidden/>
    <w:unhideWhenUsed/>
    <w:rsid w:val="008122AA"/>
    <w:rPr>
      <w:sz w:val="16"/>
      <w:szCs w:val="16"/>
    </w:rPr>
  </w:style>
  <w:style w:type="paragraph" w:styleId="CommentText">
    <w:name w:val="annotation text"/>
    <w:basedOn w:val="Normal"/>
    <w:link w:val="CommentTextChar"/>
    <w:uiPriority w:val="99"/>
    <w:semiHidden/>
    <w:unhideWhenUsed/>
    <w:rsid w:val="008122AA"/>
    <w:rPr>
      <w:sz w:val="20"/>
      <w:szCs w:val="20"/>
    </w:rPr>
  </w:style>
  <w:style w:type="character" w:customStyle="1" w:styleId="CommentTextChar">
    <w:name w:val="Comment Text Char"/>
    <w:basedOn w:val="DefaultParagraphFont"/>
    <w:link w:val="CommentText"/>
    <w:uiPriority w:val="99"/>
    <w:semiHidden/>
    <w:rsid w:val="008122AA"/>
    <w:rPr>
      <w:rFonts w:eastAsia="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8122AA"/>
    <w:rPr>
      <w:b/>
      <w:bCs/>
    </w:rPr>
  </w:style>
  <w:style w:type="character" w:customStyle="1" w:styleId="CommentSubjectChar">
    <w:name w:val="Comment Subject Char"/>
    <w:basedOn w:val="CommentTextChar"/>
    <w:link w:val="CommentSubject"/>
    <w:uiPriority w:val="99"/>
    <w:semiHidden/>
    <w:rsid w:val="008122AA"/>
    <w:rPr>
      <w:rFonts w:eastAsia="Times New Roman" w:cs="Times New Roman"/>
      <w:b/>
      <w:bCs/>
      <w:sz w:val="20"/>
      <w:szCs w:val="20"/>
      <w:lang w:eastAsia="en-GB"/>
    </w:rPr>
  </w:style>
  <w:style w:type="paragraph" w:styleId="Bibliography">
    <w:name w:val="Bibliography"/>
    <w:basedOn w:val="Normal"/>
    <w:next w:val="Normal"/>
    <w:uiPriority w:val="37"/>
    <w:unhideWhenUsed/>
    <w:rsid w:val="00A65FED"/>
    <w:pPr>
      <w:spacing w:after="240"/>
    </w:pPr>
  </w:style>
  <w:style w:type="paragraph" w:styleId="Footer">
    <w:name w:val="footer"/>
    <w:basedOn w:val="Normal"/>
    <w:link w:val="FooterChar"/>
    <w:uiPriority w:val="99"/>
    <w:unhideWhenUsed/>
    <w:rsid w:val="00357EFB"/>
    <w:pPr>
      <w:tabs>
        <w:tab w:val="center" w:pos="4680"/>
        <w:tab w:val="right" w:pos="9360"/>
      </w:tabs>
    </w:pPr>
    <w:rPr>
      <w:rFonts w:asciiTheme="minorHAnsi" w:eastAsiaTheme="minorHAnsi" w:hAnsiTheme="minorHAnsi" w:cstheme="minorBidi"/>
      <w:lang w:val="en-GB" w:eastAsia="en-US"/>
    </w:rPr>
  </w:style>
  <w:style w:type="character" w:customStyle="1" w:styleId="FooterChar">
    <w:name w:val="Footer Char"/>
    <w:basedOn w:val="DefaultParagraphFont"/>
    <w:link w:val="Footer"/>
    <w:uiPriority w:val="99"/>
    <w:rsid w:val="00357EFB"/>
    <w:rPr>
      <w:rFonts w:asciiTheme="minorHAnsi" w:eastAsiaTheme="minorHAnsi" w:hAnsiTheme="minorHAnsi"/>
      <w:lang w:val="en-GB"/>
    </w:rPr>
  </w:style>
  <w:style w:type="character" w:styleId="FollowedHyperlink">
    <w:name w:val="FollowedHyperlink"/>
    <w:basedOn w:val="DefaultParagraphFont"/>
    <w:uiPriority w:val="99"/>
    <w:semiHidden/>
    <w:unhideWhenUsed/>
    <w:rsid w:val="009B3523"/>
    <w:rPr>
      <w:color w:val="800080" w:themeColor="followedHyperlink"/>
      <w:u w:val="single"/>
    </w:rPr>
  </w:style>
  <w:style w:type="character" w:styleId="Strong">
    <w:name w:val="Strong"/>
    <w:basedOn w:val="DefaultParagraphFont"/>
    <w:uiPriority w:val="22"/>
    <w:qFormat/>
    <w:rsid w:val="001C3C28"/>
    <w:rPr>
      <w:b/>
      <w:bCs/>
    </w:rPr>
  </w:style>
  <w:style w:type="character" w:customStyle="1" w:styleId="mi">
    <w:name w:val="mi"/>
    <w:basedOn w:val="DefaultParagraphFont"/>
    <w:rsid w:val="0087518E"/>
  </w:style>
  <w:style w:type="character" w:customStyle="1" w:styleId="mjxassistivemathml">
    <w:name w:val="mjx_assistive_mathml"/>
    <w:basedOn w:val="DefaultParagraphFont"/>
    <w:rsid w:val="0087518E"/>
  </w:style>
  <w:style w:type="character" w:styleId="Emphasis">
    <w:name w:val="Emphasis"/>
    <w:basedOn w:val="DefaultParagraphFont"/>
    <w:uiPriority w:val="20"/>
    <w:qFormat/>
    <w:rsid w:val="00CA0D82"/>
    <w:rPr>
      <w:i/>
      <w:iCs/>
    </w:rPr>
  </w:style>
  <w:style w:type="character" w:styleId="UnresolvedMention">
    <w:name w:val="Unresolved Mention"/>
    <w:basedOn w:val="DefaultParagraphFont"/>
    <w:uiPriority w:val="99"/>
    <w:semiHidden/>
    <w:unhideWhenUsed/>
    <w:rsid w:val="005A598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01604">
      <w:bodyDiv w:val="1"/>
      <w:marLeft w:val="0"/>
      <w:marRight w:val="0"/>
      <w:marTop w:val="0"/>
      <w:marBottom w:val="0"/>
      <w:divBdr>
        <w:top w:val="none" w:sz="0" w:space="0" w:color="auto"/>
        <w:left w:val="none" w:sz="0" w:space="0" w:color="auto"/>
        <w:bottom w:val="none" w:sz="0" w:space="0" w:color="auto"/>
        <w:right w:val="none" w:sz="0" w:space="0" w:color="auto"/>
      </w:divBdr>
    </w:div>
    <w:div w:id="10114016">
      <w:bodyDiv w:val="1"/>
      <w:marLeft w:val="0"/>
      <w:marRight w:val="0"/>
      <w:marTop w:val="0"/>
      <w:marBottom w:val="0"/>
      <w:divBdr>
        <w:top w:val="none" w:sz="0" w:space="0" w:color="auto"/>
        <w:left w:val="none" w:sz="0" w:space="0" w:color="auto"/>
        <w:bottom w:val="none" w:sz="0" w:space="0" w:color="auto"/>
        <w:right w:val="none" w:sz="0" w:space="0" w:color="auto"/>
      </w:divBdr>
    </w:div>
    <w:div w:id="16278412">
      <w:bodyDiv w:val="1"/>
      <w:marLeft w:val="0"/>
      <w:marRight w:val="0"/>
      <w:marTop w:val="0"/>
      <w:marBottom w:val="0"/>
      <w:divBdr>
        <w:top w:val="none" w:sz="0" w:space="0" w:color="auto"/>
        <w:left w:val="none" w:sz="0" w:space="0" w:color="auto"/>
        <w:bottom w:val="none" w:sz="0" w:space="0" w:color="auto"/>
        <w:right w:val="none" w:sz="0" w:space="0" w:color="auto"/>
      </w:divBdr>
    </w:div>
    <w:div w:id="22437476">
      <w:bodyDiv w:val="1"/>
      <w:marLeft w:val="0"/>
      <w:marRight w:val="0"/>
      <w:marTop w:val="0"/>
      <w:marBottom w:val="0"/>
      <w:divBdr>
        <w:top w:val="none" w:sz="0" w:space="0" w:color="auto"/>
        <w:left w:val="none" w:sz="0" w:space="0" w:color="auto"/>
        <w:bottom w:val="none" w:sz="0" w:space="0" w:color="auto"/>
        <w:right w:val="none" w:sz="0" w:space="0" w:color="auto"/>
      </w:divBdr>
    </w:div>
    <w:div w:id="29886777">
      <w:bodyDiv w:val="1"/>
      <w:marLeft w:val="0"/>
      <w:marRight w:val="0"/>
      <w:marTop w:val="0"/>
      <w:marBottom w:val="0"/>
      <w:divBdr>
        <w:top w:val="none" w:sz="0" w:space="0" w:color="auto"/>
        <w:left w:val="none" w:sz="0" w:space="0" w:color="auto"/>
        <w:bottom w:val="none" w:sz="0" w:space="0" w:color="auto"/>
        <w:right w:val="none" w:sz="0" w:space="0" w:color="auto"/>
      </w:divBdr>
    </w:div>
    <w:div w:id="33888084">
      <w:bodyDiv w:val="1"/>
      <w:marLeft w:val="0"/>
      <w:marRight w:val="0"/>
      <w:marTop w:val="0"/>
      <w:marBottom w:val="0"/>
      <w:divBdr>
        <w:top w:val="none" w:sz="0" w:space="0" w:color="auto"/>
        <w:left w:val="none" w:sz="0" w:space="0" w:color="auto"/>
        <w:bottom w:val="none" w:sz="0" w:space="0" w:color="auto"/>
        <w:right w:val="none" w:sz="0" w:space="0" w:color="auto"/>
      </w:divBdr>
      <w:divsChild>
        <w:div w:id="298996421">
          <w:marLeft w:val="0"/>
          <w:marRight w:val="0"/>
          <w:marTop w:val="0"/>
          <w:marBottom w:val="0"/>
          <w:divBdr>
            <w:top w:val="none" w:sz="0" w:space="0" w:color="auto"/>
            <w:left w:val="none" w:sz="0" w:space="0" w:color="auto"/>
            <w:bottom w:val="none" w:sz="0" w:space="0" w:color="auto"/>
            <w:right w:val="none" w:sz="0" w:space="0" w:color="auto"/>
          </w:divBdr>
          <w:divsChild>
            <w:div w:id="1516576877">
              <w:marLeft w:val="0"/>
              <w:marRight w:val="0"/>
              <w:marTop w:val="0"/>
              <w:marBottom w:val="0"/>
              <w:divBdr>
                <w:top w:val="none" w:sz="0" w:space="0" w:color="auto"/>
                <w:left w:val="none" w:sz="0" w:space="0" w:color="auto"/>
                <w:bottom w:val="none" w:sz="0" w:space="0" w:color="auto"/>
                <w:right w:val="none" w:sz="0" w:space="0" w:color="auto"/>
              </w:divBdr>
              <w:divsChild>
                <w:div w:id="963734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448470">
      <w:bodyDiv w:val="1"/>
      <w:marLeft w:val="0"/>
      <w:marRight w:val="0"/>
      <w:marTop w:val="0"/>
      <w:marBottom w:val="0"/>
      <w:divBdr>
        <w:top w:val="none" w:sz="0" w:space="0" w:color="auto"/>
        <w:left w:val="none" w:sz="0" w:space="0" w:color="auto"/>
        <w:bottom w:val="none" w:sz="0" w:space="0" w:color="auto"/>
        <w:right w:val="none" w:sz="0" w:space="0" w:color="auto"/>
      </w:divBdr>
      <w:divsChild>
        <w:div w:id="490608008">
          <w:marLeft w:val="0"/>
          <w:marRight w:val="0"/>
          <w:marTop w:val="0"/>
          <w:marBottom w:val="0"/>
          <w:divBdr>
            <w:top w:val="none" w:sz="0" w:space="0" w:color="auto"/>
            <w:left w:val="none" w:sz="0" w:space="0" w:color="auto"/>
            <w:bottom w:val="none" w:sz="0" w:space="0" w:color="auto"/>
            <w:right w:val="none" w:sz="0" w:space="0" w:color="auto"/>
          </w:divBdr>
          <w:divsChild>
            <w:div w:id="150339992">
              <w:marLeft w:val="0"/>
              <w:marRight w:val="0"/>
              <w:marTop w:val="0"/>
              <w:marBottom w:val="0"/>
              <w:divBdr>
                <w:top w:val="none" w:sz="0" w:space="0" w:color="auto"/>
                <w:left w:val="none" w:sz="0" w:space="0" w:color="auto"/>
                <w:bottom w:val="none" w:sz="0" w:space="0" w:color="auto"/>
                <w:right w:val="none" w:sz="0" w:space="0" w:color="auto"/>
              </w:divBdr>
              <w:divsChild>
                <w:div w:id="252587582">
                  <w:marLeft w:val="0"/>
                  <w:marRight w:val="0"/>
                  <w:marTop w:val="0"/>
                  <w:marBottom w:val="0"/>
                  <w:divBdr>
                    <w:top w:val="none" w:sz="0" w:space="0" w:color="auto"/>
                    <w:left w:val="none" w:sz="0" w:space="0" w:color="auto"/>
                    <w:bottom w:val="none" w:sz="0" w:space="0" w:color="auto"/>
                    <w:right w:val="none" w:sz="0" w:space="0" w:color="auto"/>
                  </w:divBdr>
                  <w:divsChild>
                    <w:div w:id="845287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372815">
      <w:bodyDiv w:val="1"/>
      <w:marLeft w:val="0"/>
      <w:marRight w:val="0"/>
      <w:marTop w:val="0"/>
      <w:marBottom w:val="0"/>
      <w:divBdr>
        <w:top w:val="none" w:sz="0" w:space="0" w:color="auto"/>
        <w:left w:val="none" w:sz="0" w:space="0" w:color="auto"/>
        <w:bottom w:val="none" w:sz="0" w:space="0" w:color="auto"/>
        <w:right w:val="none" w:sz="0" w:space="0" w:color="auto"/>
      </w:divBdr>
      <w:divsChild>
        <w:div w:id="1964070758">
          <w:marLeft w:val="0"/>
          <w:marRight w:val="0"/>
          <w:marTop w:val="0"/>
          <w:marBottom w:val="0"/>
          <w:divBdr>
            <w:top w:val="none" w:sz="0" w:space="0" w:color="auto"/>
            <w:left w:val="none" w:sz="0" w:space="0" w:color="auto"/>
            <w:bottom w:val="none" w:sz="0" w:space="0" w:color="auto"/>
            <w:right w:val="none" w:sz="0" w:space="0" w:color="auto"/>
          </w:divBdr>
          <w:divsChild>
            <w:div w:id="924923203">
              <w:marLeft w:val="0"/>
              <w:marRight w:val="0"/>
              <w:marTop w:val="0"/>
              <w:marBottom w:val="0"/>
              <w:divBdr>
                <w:top w:val="none" w:sz="0" w:space="0" w:color="auto"/>
                <w:left w:val="none" w:sz="0" w:space="0" w:color="auto"/>
                <w:bottom w:val="none" w:sz="0" w:space="0" w:color="auto"/>
                <w:right w:val="none" w:sz="0" w:space="0" w:color="auto"/>
              </w:divBdr>
              <w:divsChild>
                <w:div w:id="2118060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575521">
      <w:bodyDiv w:val="1"/>
      <w:marLeft w:val="0"/>
      <w:marRight w:val="0"/>
      <w:marTop w:val="0"/>
      <w:marBottom w:val="0"/>
      <w:divBdr>
        <w:top w:val="none" w:sz="0" w:space="0" w:color="auto"/>
        <w:left w:val="none" w:sz="0" w:space="0" w:color="auto"/>
        <w:bottom w:val="none" w:sz="0" w:space="0" w:color="auto"/>
        <w:right w:val="none" w:sz="0" w:space="0" w:color="auto"/>
      </w:divBdr>
    </w:div>
    <w:div w:id="144861070">
      <w:bodyDiv w:val="1"/>
      <w:marLeft w:val="0"/>
      <w:marRight w:val="0"/>
      <w:marTop w:val="0"/>
      <w:marBottom w:val="0"/>
      <w:divBdr>
        <w:top w:val="none" w:sz="0" w:space="0" w:color="auto"/>
        <w:left w:val="none" w:sz="0" w:space="0" w:color="auto"/>
        <w:bottom w:val="none" w:sz="0" w:space="0" w:color="auto"/>
        <w:right w:val="none" w:sz="0" w:space="0" w:color="auto"/>
      </w:divBdr>
    </w:div>
    <w:div w:id="146895908">
      <w:bodyDiv w:val="1"/>
      <w:marLeft w:val="0"/>
      <w:marRight w:val="0"/>
      <w:marTop w:val="0"/>
      <w:marBottom w:val="0"/>
      <w:divBdr>
        <w:top w:val="none" w:sz="0" w:space="0" w:color="auto"/>
        <w:left w:val="none" w:sz="0" w:space="0" w:color="auto"/>
        <w:bottom w:val="none" w:sz="0" w:space="0" w:color="auto"/>
        <w:right w:val="none" w:sz="0" w:space="0" w:color="auto"/>
      </w:divBdr>
    </w:div>
    <w:div w:id="158007546">
      <w:bodyDiv w:val="1"/>
      <w:marLeft w:val="0"/>
      <w:marRight w:val="0"/>
      <w:marTop w:val="0"/>
      <w:marBottom w:val="0"/>
      <w:divBdr>
        <w:top w:val="none" w:sz="0" w:space="0" w:color="auto"/>
        <w:left w:val="none" w:sz="0" w:space="0" w:color="auto"/>
        <w:bottom w:val="none" w:sz="0" w:space="0" w:color="auto"/>
        <w:right w:val="none" w:sz="0" w:space="0" w:color="auto"/>
      </w:divBdr>
      <w:divsChild>
        <w:div w:id="1288897770">
          <w:marLeft w:val="0"/>
          <w:marRight w:val="0"/>
          <w:marTop w:val="0"/>
          <w:marBottom w:val="0"/>
          <w:divBdr>
            <w:top w:val="none" w:sz="0" w:space="0" w:color="auto"/>
            <w:left w:val="none" w:sz="0" w:space="0" w:color="auto"/>
            <w:bottom w:val="none" w:sz="0" w:space="0" w:color="auto"/>
            <w:right w:val="none" w:sz="0" w:space="0" w:color="auto"/>
          </w:divBdr>
          <w:divsChild>
            <w:div w:id="371200133">
              <w:marLeft w:val="0"/>
              <w:marRight w:val="0"/>
              <w:marTop w:val="0"/>
              <w:marBottom w:val="0"/>
              <w:divBdr>
                <w:top w:val="none" w:sz="0" w:space="0" w:color="auto"/>
                <w:left w:val="none" w:sz="0" w:space="0" w:color="auto"/>
                <w:bottom w:val="none" w:sz="0" w:space="0" w:color="auto"/>
                <w:right w:val="none" w:sz="0" w:space="0" w:color="auto"/>
              </w:divBdr>
              <w:divsChild>
                <w:div w:id="2079671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297930">
      <w:bodyDiv w:val="1"/>
      <w:marLeft w:val="0"/>
      <w:marRight w:val="0"/>
      <w:marTop w:val="0"/>
      <w:marBottom w:val="0"/>
      <w:divBdr>
        <w:top w:val="none" w:sz="0" w:space="0" w:color="auto"/>
        <w:left w:val="none" w:sz="0" w:space="0" w:color="auto"/>
        <w:bottom w:val="none" w:sz="0" w:space="0" w:color="auto"/>
        <w:right w:val="none" w:sz="0" w:space="0" w:color="auto"/>
      </w:divBdr>
      <w:divsChild>
        <w:div w:id="396560061">
          <w:marLeft w:val="0"/>
          <w:marRight w:val="0"/>
          <w:marTop w:val="0"/>
          <w:marBottom w:val="0"/>
          <w:divBdr>
            <w:top w:val="none" w:sz="0" w:space="0" w:color="auto"/>
            <w:left w:val="none" w:sz="0" w:space="0" w:color="auto"/>
            <w:bottom w:val="none" w:sz="0" w:space="0" w:color="auto"/>
            <w:right w:val="none" w:sz="0" w:space="0" w:color="auto"/>
          </w:divBdr>
          <w:divsChild>
            <w:div w:id="1642229328">
              <w:marLeft w:val="0"/>
              <w:marRight w:val="0"/>
              <w:marTop w:val="0"/>
              <w:marBottom w:val="0"/>
              <w:divBdr>
                <w:top w:val="none" w:sz="0" w:space="0" w:color="auto"/>
                <w:left w:val="none" w:sz="0" w:space="0" w:color="auto"/>
                <w:bottom w:val="none" w:sz="0" w:space="0" w:color="auto"/>
                <w:right w:val="none" w:sz="0" w:space="0" w:color="auto"/>
              </w:divBdr>
              <w:divsChild>
                <w:div w:id="1048190120">
                  <w:marLeft w:val="0"/>
                  <w:marRight w:val="0"/>
                  <w:marTop w:val="0"/>
                  <w:marBottom w:val="0"/>
                  <w:divBdr>
                    <w:top w:val="none" w:sz="0" w:space="0" w:color="auto"/>
                    <w:left w:val="none" w:sz="0" w:space="0" w:color="auto"/>
                    <w:bottom w:val="none" w:sz="0" w:space="0" w:color="auto"/>
                    <w:right w:val="none" w:sz="0" w:space="0" w:color="auto"/>
                  </w:divBdr>
                  <w:divsChild>
                    <w:div w:id="364257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983258">
      <w:bodyDiv w:val="1"/>
      <w:marLeft w:val="0"/>
      <w:marRight w:val="0"/>
      <w:marTop w:val="0"/>
      <w:marBottom w:val="0"/>
      <w:divBdr>
        <w:top w:val="none" w:sz="0" w:space="0" w:color="auto"/>
        <w:left w:val="none" w:sz="0" w:space="0" w:color="auto"/>
        <w:bottom w:val="none" w:sz="0" w:space="0" w:color="auto"/>
        <w:right w:val="none" w:sz="0" w:space="0" w:color="auto"/>
      </w:divBdr>
    </w:div>
    <w:div w:id="193466816">
      <w:bodyDiv w:val="1"/>
      <w:marLeft w:val="0"/>
      <w:marRight w:val="0"/>
      <w:marTop w:val="0"/>
      <w:marBottom w:val="0"/>
      <w:divBdr>
        <w:top w:val="none" w:sz="0" w:space="0" w:color="auto"/>
        <w:left w:val="none" w:sz="0" w:space="0" w:color="auto"/>
        <w:bottom w:val="none" w:sz="0" w:space="0" w:color="auto"/>
        <w:right w:val="none" w:sz="0" w:space="0" w:color="auto"/>
      </w:divBdr>
      <w:divsChild>
        <w:div w:id="601693526">
          <w:marLeft w:val="0"/>
          <w:marRight w:val="0"/>
          <w:marTop w:val="0"/>
          <w:marBottom w:val="0"/>
          <w:divBdr>
            <w:top w:val="none" w:sz="0" w:space="0" w:color="auto"/>
            <w:left w:val="none" w:sz="0" w:space="0" w:color="auto"/>
            <w:bottom w:val="none" w:sz="0" w:space="0" w:color="auto"/>
            <w:right w:val="none" w:sz="0" w:space="0" w:color="auto"/>
          </w:divBdr>
          <w:divsChild>
            <w:div w:id="2018580089">
              <w:marLeft w:val="0"/>
              <w:marRight w:val="0"/>
              <w:marTop w:val="0"/>
              <w:marBottom w:val="0"/>
              <w:divBdr>
                <w:top w:val="none" w:sz="0" w:space="0" w:color="auto"/>
                <w:left w:val="none" w:sz="0" w:space="0" w:color="auto"/>
                <w:bottom w:val="none" w:sz="0" w:space="0" w:color="auto"/>
                <w:right w:val="none" w:sz="0" w:space="0" w:color="auto"/>
              </w:divBdr>
              <w:divsChild>
                <w:div w:id="167136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625583">
      <w:bodyDiv w:val="1"/>
      <w:marLeft w:val="0"/>
      <w:marRight w:val="0"/>
      <w:marTop w:val="0"/>
      <w:marBottom w:val="0"/>
      <w:divBdr>
        <w:top w:val="none" w:sz="0" w:space="0" w:color="auto"/>
        <w:left w:val="none" w:sz="0" w:space="0" w:color="auto"/>
        <w:bottom w:val="none" w:sz="0" w:space="0" w:color="auto"/>
        <w:right w:val="none" w:sz="0" w:space="0" w:color="auto"/>
      </w:divBdr>
    </w:div>
    <w:div w:id="201869389">
      <w:bodyDiv w:val="1"/>
      <w:marLeft w:val="0"/>
      <w:marRight w:val="0"/>
      <w:marTop w:val="0"/>
      <w:marBottom w:val="0"/>
      <w:divBdr>
        <w:top w:val="none" w:sz="0" w:space="0" w:color="auto"/>
        <w:left w:val="none" w:sz="0" w:space="0" w:color="auto"/>
        <w:bottom w:val="none" w:sz="0" w:space="0" w:color="auto"/>
        <w:right w:val="none" w:sz="0" w:space="0" w:color="auto"/>
      </w:divBdr>
    </w:div>
    <w:div w:id="227616392">
      <w:bodyDiv w:val="1"/>
      <w:marLeft w:val="0"/>
      <w:marRight w:val="0"/>
      <w:marTop w:val="0"/>
      <w:marBottom w:val="0"/>
      <w:divBdr>
        <w:top w:val="none" w:sz="0" w:space="0" w:color="auto"/>
        <w:left w:val="none" w:sz="0" w:space="0" w:color="auto"/>
        <w:bottom w:val="none" w:sz="0" w:space="0" w:color="auto"/>
        <w:right w:val="none" w:sz="0" w:space="0" w:color="auto"/>
      </w:divBdr>
    </w:div>
    <w:div w:id="233125860">
      <w:bodyDiv w:val="1"/>
      <w:marLeft w:val="0"/>
      <w:marRight w:val="0"/>
      <w:marTop w:val="0"/>
      <w:marBottom w:val="0"/>
      <w:divBdr>
        <w:top w:val="none" w:sz="0" w:space="0" w:color="auto"/>
        <w:left w:val="none" w:sz="0" w:space="0" w:color="auto"/>
        <w:bottom w:val="none" w:sz="0" w:space="0" w:color="auto"/>
        <w:right w:val="none" w:sz="0" w:space="0" w:color="auto"/>
      </w:divBdr>
      <w:divsChild>
        <w:div w:id="1176502869">
          <w:marLeft w:val="0"/>
          <w:marRight w:val="0"/>
          <w:marTop w:val="0"/>
          <w:marBottom w:val="0"/>
          <w:divBdr>
            <w:top w:val="none" w:sz="0" w:space="0" w:color="auto"/>
            <w:left w:val="none" w:sz="0" w:space="0" w:color="auto"/>
            <w:bottom w:val="none" w:sz="0" w:space="0" w:color="auto"/>
            <w:right w:val="none" w:sz="0" w:space="0" w:color="auto"/>
          </w:divBdr>
          <w:divsChild>
            <w:div w:id="2004967669">
              <w:marLeft w:val="0"/>
              <w:marRight w:val="0"/>
              <w:marTop w:val="0"/>
              <w:marBottom w:val="0"/>
              <w:divBdr>
                <w:top w:val="none" w:sz="0" w:space="0" w:color="auto"/>
                <w:left w:val="none" w:sz="0" w:space="0" w:color="auto"/>
                <w:bottom w:val="none" w:sz="0" w:space="0" w:color="auto"/>
                <w:right w:val="none" w:sz="0" w:space="0" w:color="auto"/>
              </w:divBdr>
              <w:divsChild>
                <w:div w:id="1792283632">
                  <w:marLeft w:val="0"/>
                  <w:marRight w:val="0"/>
                  <w:marTop w:val="0"/>
                  <w:marBottom w:val="0"/>
                  <w:divBdr>
                    <w:top w:val="none" w:sz="0" w:space="0" w:color="auto"/>
                    <w:left w:val="none" w:sz="0" w:space="0" w:color="auto"/>
                    <w:bottom w:val="none" w:sz="0" w:space="0" w:color="auto"/>
                    <w:right w:val="none" w:sz="0" w:space="0" w:color="auto"/>
                  </w:divBdr>
                  <w:divsChild>
                    <w:div w:id="258678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3201831">
      <w:bodyDiv w:val="1"/>
      <w:marLeft w:val="0"/>
      <w:marRight w:val="0"/>
      <w:marTop w:val="0"/>
      <w:marBottom w:val="0"/>
      <w:divBdr>
        <w:top w:val="none" w:sz="0" w:space="0" w:color="auto"/>
        <w:left w:val="none" w:sz="0" w:space="0" w:color="auto"/>
        <w:bottom w:val="none" w:sz="0" w:space="0" w:color="auto"/>
        <w:right w:val="none" w:sz="0" w:space="0" w:color="auto"/>
      </w:divBdr>
    </w:div>
    <w:div w:id="238446629">
      <w:bodyDiv w:val="1"/>
      <w:marLeft w:val="0"/>
      <w:marRight w:val="0"/>
      <w:marTop w:val="0"/>
      <w:marBottom w:val="0"/>
      <w:divBdr>
        <w:top w:val="none" w:sz="0" w:space="0" w:color="auto"/>
        <w:left w:val="none" w:sz="0" w:space="0" w:color="auto"/>
        <w:bottom w:val="none" w:sz="0" w:space="0" w:color="auto"/>
        <w:right w:val="none" w:sz="0" w:space="0" w:color="auto"/>
      </w:divBdr>
    </w:div>
    <w:div w:id="239755926">
      <w:bodyDiv w:val="1"/>
      <w:marLeft w:val="0"/>
      <w:marRight w:val="0"/>
      <w:marTop w:val="0"/>
      <w:marBottom w:val="0"/>
      <w:divBdr>
        <w:top w:val="none" w:sz="0" w:space="0" w:color="auto"/>
        <w:left w:val="none" w:sz="0" w:space="0" w:color="auto"/>
        <w:bottom w:val="none" w:sz="0" w:space="0" w:color="auto"/>
        <w:right w:val="none" w:sz="0" w:space="0" w:color="auto"/>
      </w:divBdr>
      <w:divsChild>
        <w:div w:id="1549296707">
          <w:marLeft w:val="0"/>
          <w:marRight w:val="0"/>
          <w:marTop w:val="0"/>
          <w:marBottom w:val="0"/>
          <w:divBdr>
            <w:top w:val="none" w:sz="0" w:space="0" w:color="auto"/>
            <w:left w:val="none" w:sz="0" w:space="0" w:color="auto"/>
            <w:bottom w:val="none" w:sz="0" w:space="0" w:color="auto"/>
            <w:right w:val="none" w:sz="0" w:space="0" w:color="auto"/>
          </w:divBdr>
          <w:divsChild>
            <w:div w:id="560755579">
              <w:marLeft w:val="0"/>
              <w:marRight w:val="0"/>
              <w:marTop w:val="0"/>
              <w:marBottom w:val="0"/>
              <w:divBdr>
                <w:top w:val="none" w:sz="0" w:space="0" w:color="auto"/>
                <w:left w:val="none" w:sz="0" w:space="0" w:color="auto"/>
                <w:bottom w:val="none" w:sz="0" w:space="0" w:color="auto"/>
                <w:right w:val="none" w:sz="0" w:space="0" w:color="auto"/>
              </w:divBdr>
              <w:divsChild>
                <w:div w:id="468984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3365382">
      <w:bodyDiv w:val="1"/>
      <w:marLeft w:val="0"/>
      <w:marRight w:val="0"/>
      <w:marTop w:val="0"/>
      <w:marBottom w:val="0"/>
      <w:divBdr>
        <w:top w:val="none" w:sz="0" w:space="0" w:color="auto"/>
        <w:left w:val="none" w:sz="0" w:space="0" w:color="auto"/>
        <w:bottom w:val="none" w:sz="0" w:space="0" w:color="auto"/>
        <w:right w:val="none" w:sz="0" w:space="0" w:color="auto"/>
      </w:divBdr>
      <w:divsChild>
        <w:div w:id="62679058">
          <w:marLeft w:val="0"/>
          <w:marRight w:val="0"/>
          <w:marTop w:val="0"/>
          <w:marBottom w:val="0"/>
          <w:divBdr>
            <w:top w:val="none" w:sz="0" w:space="0" w:color="auto"/>
            <w:left w:val="none" w:sz="0" w:space="0" w:color="auto"/>
            <w:bottom w:val="none" w:sz="0" w:space="0" w:color="auto"/>
            <w:right w:val="none" w:sz="0" w:space="0" w:color="auto"/>
          </w:divBdr>
          <w:divsChild>
            <w:div w:id="539633497">
              <w:marLeft w:val="0"/>
              <w:marRight w:val="0"/>
              <w:marTop w:val="0"/>
              <w:marBottom w:val="0"/>
              <w:divBdr>
                <w:top w:val="none" w:sz="0" w:space="0" w:color="auto"/>
                <w:left w:val="none" w:sz="0" w:space="0" w:color="auto"/>
                <w:bottom w:val="none" w:sz="0" w:space="0" w:color="auto"/>
                <w:right w:val="none" w:sz="0" w:space="0" w:color="auto"/>
              </w:divBdr>
              <w:divsChild>
                <w:div w:id="620919434">
                  <w:marLeft w:val="0"/>
                  <w:marRight w:val="0"/>
                  <w:marTop w:val="0"/>
                  <w:marBottom w:val="0"/>
                  <w:divBdr>
                    <w:top w:val="none" w:sz="0" w:space="0" w:color="auto"/>
                    <w:left w:val="none" w:sz="0" w:space="0" w:color="auto"/>
                    <w:bottom w:val="none" w:sz="0" w:space="0" w:color="auto"/>
                    <w:right w:val="none" w:sz="0" w:space="0" w:color="auto"/>
                  </w:divBdr>
                  <w:divsChild>
                    <w:div w:id="1736050907">
                      <w:marLeft w:val="0"/>
                      <w:marRight w:val="0"/>
                      <w:marTop w:val="0"/>
                      <w:marBottom w:val="0"/>
                      <w:divBdr>
                        <w:top w:val="none" w:sz="0" w:space="0" w:color="auto"/>
                        <w:left w:val="none" w:sz="0" w:space="0" w:color="auto"/>
                        <w:bottom w:val="none" w:sz="0" w:space="0" w:color="auto"/>
                        <w:right w:val="none" w:sz="0" w:space="0" w:color="auto"/>
                      </w:divBdr>
                    </w:div>
                    <w:div w:id="1197934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5969089">
      <w:bodyDiv w:val="1"/>
      <w:marLeft w:val="0"/>
      <w:marRight w:val="0"/>
      <w:marTop w:val="0"/>
      <w:marBottom w:val="0"/>
      <w:divBdr>
        <w:top w:val="none" w:sz="0" w:space="0" w:color="auto"/>
        <w:left w:val="none" w:sz="0" w:space="0" w:color="auto"/>
        <w:bottom w:val="none" w:sz="0" w:space="0" w:color="auto"/>
        <w:right w:val="none" w:sz="0" w:space="0" w:color="auto"/>
      </w:divBdr>
    </w:div>
    <w:div w:id="293952867">
      <w:bodyDiv w:val="1"/>
      <w:marLeft w:val="0"/>
      <w:marRight w:val="0"/>
      <w:marTop w:val="0"/>
      <w:marBottom w:val="0"/>
      <w:divBdr>
        <w:top w:val="none" w:sz="0" w:space="0" w:color="auto"/>
        <w:left w:val="none" w:sz="0" w:space="0" w:color="auto"/>
        <w:bottom w:val="none" w:sz="0" w:space="0" w:color="auto"/>
        <w:right w:val="none" w:sz="0" w:space="0" w:color="auto"/>
      </w:divBdr>
      <w:divsChild>
        <w:div w:id="1295596832">
          <w:marLeft w:val="0"/>
          <w:marRight w:val="0"/>
          <w:marTop w:val="0"/>
          <w:marBottom w:val="0"/>
          <w:divBdr>
            <w:top w:val="none" w:sz="0" w:space="0" w:color="auto"/>
            <w:left w:val="none" w:sz="0" w:space="0" w:color="auto"/>
            <w:bottom w:val="none" w:sz="0" w:space="0" w:color="auto"/>
            <w:right w:val="none" w:sz="0" w:space="0" w:color="auto"/>
          </w:divBdr>
          <w:divsChild>
            <w:div w:id="2062946591">
              <w:marLeft w:val="0"/>
              <w:marRight w:val="0"/>
              <w:marTop w:val="0"/>
              <w:marBottom w:val="0"/>
              <w:divBdr>
                <w:top w:val="none" w:sz="0" w:space="0" w:color="auto"/>
                <w:left w:val="none" w:sz="0" w:space="0" w:color="auto"/>
                <w:bottom w:val="none" w:sz="0" w:space="0" w:color="auto"/>
                <w:right w:val="none" w:sz="0" w:space="0" w:color="auto"/>
              </w:divBdr>
              <w:divsChild>
                <w:div w:id="402795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4842656">
      <w:bodyDiv w:val="1"/>
      <w:marLeft w:val="0"/>
      <w:marRight w:val="0"/>
      <w:marTop w:val="0"/>
      <w:marBottom w:val="0"/>
      <w:divBdr>
        <w:top w:val="none" w:sz="0" w:space="0" w:color="auto"/>
        <w:left w:val="none" w:sz="0" w:space="0" w:color="auto"/>
        <w:bottom w:val="none" w:sz="0" w:space="0" w:color="auto"/>
        <w:right w:val="none" w:sz="0" w:space="0" w:color="auto"/>
      </w:divBdr>
    </w:div>
    <w:div w:id="357630102">
      <w:bodyDiv w:val="1"/>
      <w:marLeft w:val="0"/>
      <w:marRight w:val="0"/>
      <w:marTop w:val="0"/>
      <w:marBottom w:val="0"/>
      <w:divBdr>
        <w:top w:val="none" w:sz="0" w:space="0" w:color="auto"/>
        <w:left w:val="none" w:sz="0" w:space="0" w:color="auto"/>
        <w:bottom w:val="none" w:sz="0" w:space="0" w:color="auto"/>
        <w:right w:val="none" w:sz="0" w:space="0" w:color="auto"/>
      </w:divBdr>
    </w:div>
    <w:div w:id="365376921">
      <w:bodyDiv w:val="1"/>
      <w:marLeft w:val="0"/>
      <w:marRight w:val="0"/>
      <w:marTop w:val="0"/>
      <w:marBottom w:val="0"/>
      <w:divBdr>
        <w:top w:val="none" w:sz="0" w:space="0" w:color="auto"/>
        <w:left w:val="none" w:sz="0" w:space="0" w:color="auto"/>
        <w:bottom w:val="none" w:sz="0" w:space="0" w:color="auto"/>
        <w:right w:val="none" w:sz="0" w:space="0" w:color="auto"/>
      </w:divBdr>
      <w:divsChild>
        <w:div w:id="1123160252">
          <w:marLeft w:val="0"/>
          <w:marRight w:val="0"/>
          <w:marTop w:val="0"/>
          <w:marBottom w:val="0"/>
          <w:divBdr>
            <w:top w:val="none" w:sz="0" w:space="0" w:color="auto"/>
            <w:left w:val="none" w:sz="0" w:space="0" w:color="auto"/>
            <w:bottom w:val="none" w:sz="0" w:space="0" w:color="auto"/>
            <w:right w:val="none" w:sz="0" w:space="0" w:color="auto"/>
          </w:divBdr>
          <w:divsChild>
            <w:div w:id="2077892622">
              <w:marLeft w:val="0"/>
              <w:marRight w:val="0"/>
              <w:marTop w:val="0"/>
              <w:marBottom w:val="0"/>
              <w:divBdr>
                <w:top w:val="none" w:sz="0" w:space="0" w:color="auto"/>
                <w:left w:val="none" w:sz="0" w:space="0" w:color="auto"/>
                <w:bottom w:val="none" w:sz="0" w:space="0" w:color="auto"/>
                <w:right w:val="none" w:sz="0" w:space="0" w:color="auto"/>
              </w:divBdr>
              <w:divsChild>
                <w:div w:id="234126366">
                  <w:marLeft w:val="0"/>
                  <w:marRight w:val="0"/>
                  <w:marTop w:val="0"/>
                  <w:marBottom w:val="0"/>
                  <w:divBdr>
                    <w:top w:val="none" w:sz="0" w:space="0" w:color="auto"/>
                    <w:left w:val="none" w:sz="0" w:space="0" w:color="auto"/>
                    <w:bottom w:val="none" w:sz="0" w:space="0" w:color="auto"/>
                    <w:right w:val="none" w:sz="0" w:space="0" w:color="auto"/>
                  </w:divBdr>
                </w:div>
                <w:div w:id="972054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0594070">
      <w:bodyDiv w:val="1"/>
      <w:marLeft w:val="0"/>
      <w:marRight w:val="0"/>
      <w:marTop w:val="0"/>
      <w:marBottom w:val="0"/>
      <w:divBdr>
        <w:top w:val="none" w:sz="0" w:space="0" w:color="auto"/>
        <w:left w:val="none" w:sz="0" w:space="0" w:color="auto"/>
        <w:bottom w:val="none" w:sz="0" w:space="0" w:color="auto"/>
        <w:right w:val="none" w:sz="0" w:space="0" w:color="auto"/>
      </w:divBdr>
    </w:div>
    <w:div w:id="389039988">
      <w:bodyDiv w:val="1"/>
      <w:marLeft w:val="0"/>
      <w:marRight w:val="0"/>
      <w:marTop w:val="0"/>
      <w:marBottom w:val="0"/>
      <w:divBdr>
        <w:top w:val="none" w:sz="0" w:space="0" w:color="auto"/>
        <w:left w:val="none" w:sz="0" w:space="0" w:color="auto"/>
        <w:bottom w:val="none" w:sz="0" w:space="0" w:color="auto"/>
        <w:right w:val="none" w:sz="0" w:space="0" w:color="auto"/>
      </w:divBdr>
    </w:div>
    <w:div w:id="397702900">
      <w:bodyDiv w:val="1"/>
      <w:marLeft w:val="0"/>
      <w:marRight w:val="0"/>
      <w:marTop w:val="0"/>
      <w:marBottom w:val="0"/>
      <w:divBdr>
        <w:top w:val="none" w:sz="0" w:space="0" w:color="auto"/>
        <w:left w:val="none" w:sz="0" w:space="0" w:color="auto"/>
        <w:bottom w:val="none" w:sz="0" w:space="0" w:color="auto"/>
        <w:right w:val="none" w:sz="0" w:space="0" w:color="auto"/>
      </w:divBdr>
      <w:divsChild>
        <w:div w:id="546187087">
          <w:marLeft w:val="0"/>
          <w:marRight w:val="0"/>
          <w:marTop w:val="0"/>
          <w:marBottom w:val="0"/>
          <w:divBdr>
            <w:top w:val="none" w:sz="0" w:space="0" w:color="auto"/>
            <w:left w:val="none" w:sz="0" w:space="0" w:color="auto"/>
            <w:bottom w:val="none" w:sz="0" w:space="0" w:color="auto"/>
            <w:right w:val="none" w:sz="0" w:space="0" w:color="auto"/>
          </w:divBdr>
          <w:divsChild>
            <w:div w:id="1555584060">
              <w:marLeft w:val="0"/>
              <w:marRight w:val="0"/>
              <w:marTop w:val="0"/>
              <w:marBottom w:val="0"/>
              <w:divBdr>
                <w:top w:val="none" w:sz="0" w:space="0" w:color="auto"/>
                <w:left w:val="none" w:sz="0" w:space="0" w:color="auto"/>
                <w:bottom w:val="none" w:sz="0" w:space="0" w:color="auto"/>
                <w:right w:val="none" w:sz="0" w:space="0" w:color="auto"/>
              </w:divBdr>
              <w:divsChild>
                <w:div w:id="1825272122">
                  <w:marLeft w:val="0"/>
                  <w:marRight w:val="0"/>
                  <w:marTop w:val="0"/>
                  <w:marBottom w:val="0"/>
                  <w:divBdr>
                    <w:top w:val="none" w:sz="0" w:space="0" w:color="auto"/>
                    <w:left w:val="none" w:sz="0" w:space="0" w:color="auto"/>
                    <w:bottom w:val="none" w:sz="0" w:space="0" w:color="auto"/>
                    <w:right w:val="none" w:sz="0" w:space="0" w:color="auto"/>
                  </w:divBdr>
                  <w:divsChild>
                    <w:div w:id="931548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8207533">
      <w:bodyDiv w:val="1"/>
      <w:marLeft w:val="0"/>
      <w:marRight w:val="0"/>
      <w:marTop w:val="0"/>
      <w:marBottom w:val="0"/>
      <w:divBdr>
        <w:top w:val="none" w:sz="0" w:space="0" w:color="auto"/>
        <w:left w:val="none" w:sz="0" w:space="0" w:color="auto"/>
        <w:bottom w:val="none" w:sz="0" w:space="0" w:color="auto"/>
        <w:right w:val="none" w:sz="0" w:space="0" w:color="auto"/>
      </w:divBdr>
    </w:div>
    <w:div w:id="415176432">
      <w:bodyDiv w:val="1"/>
      <w:marLeft w:val="0"/>
      <w:marRight w:val="0"/>
      <w:marTop w:val="0"/>
      <w:marBottom w:val="0"/>
      <w:divBdr>
        <w:top w:val="none" w:sz="0" w:space="0" w:color="auto"/>
        <w:left w:val="none" w:sz="0" w:space="0" w:color="auto"/>
        <w:bottom w:val="none" w:sz="0" w:space="0" w:color="auto"/>
        <w:right w:val="none" w:sz="0" w:space="0" w:color="auto"/>
      </w:divBdr>
      <w:divsChild>
        <w:div w:id="2013868573">
          <w:marLeft w:val="0"/>
          <w:marRight w:val="0"/>
          <w:marTop w:val="0"/>
          <w:marBottom w:val="0"/>
          <w:divBdr>
            <w:top w:val="none" w:sz="0" w:space="0" w:color="auto"/>
            <w:left w:val="none" w:sz="0" w:space="0" w:color="auto"/>
            <w:bottom w:val="none" w:sz="0" w:space="0" w:color="auto"/>
            <w:right w:val="none" w:sz="0" w:space="0" w:color="auto"/>
          </w:divBdr>
          <w:divsChild>
            <w:div w:id="1347443818">
              <w:marLeft w:val="0"/>
              <w:marRight w:val="0"/>
              <w:marTop w:val="0"/>
              <w:marBottom w:val="0"/>
              <w:divBdr>
                <w:top w:val="none" w:sz="0" w:space="0" w:color="auto"/>
                <w:left w:val="none" w:sz="0" w:space="0" w:color="auto"/>
                <w:bottom w:val="none" w:sz="0" w:space="0" w:color="auto"/>
                <w:right w:val="none" w:sz="0" w:space="0" w:color="auto"/>
              </w:divBdr>
              <w:divsChild>
                <w:div w:id="224991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9618225">
      <w:bodyDiv w:val="1"/>
      <w:marLeft w:val="0"/>
      <w:marRight w:val="0"/>
      <w:marTop w:val="0"/>
      <w:marBottom w:val="0"/>
      <w:divBdr>
        <w:top w:val="none" w:sz="0" w:space="0" w:color="auto"/>
        <w:left w:val="none" w:sz="0" w:space="0" w:color="auto"/>
        <w:bottom w:val="none" w:sz="0" w:space="0" w:color="auto"/>
        <w:right w:val="none" w:sz="0" w:space="0" w:color="auto"/>
      </w:divBdr>
      <w:divsChild>
        <w:div w:id="2119525580">
          <w:marLeft w:val="0"/>
          <w:marRight w:val="0"/>
          <w:marTop w:val="0"/>
          <w:marBottom w:val="0"/>
          <w:divBdr>
            <w:top w:val="none" w:sz="0" w:space="0" w:color="auto"/>
            <w:left w:val="none" w:sz="0" w:space="0" w:color="auto"/>
            <w:bottom w:val="none" w:sz="0" w:space="0" w:color="auto"/>
            <w:right w:val="none" w:sz="0" w:space="0" w:color="auto"/>
          </w:divBdr>
          <w:divsChild>
            <w:div w:id="742289402">
              <w:marLeft w:val="0"/>
              <w:marRight w:val="0"/>
              <w:marTop w:val="0"/>
              <w:marBottom w:val="0"/>
              <w:divBdr>
                <w:top w:val="none" w:sz="0" w:space="0" w:color="auto"/>
                <w:left w:val="none" w:sz="0" w:space="0" w:color="auto"/>
                <w:bottom w:val="none" w:sz="0" w:space="0" w:color="auto"/>
                <w:right w:val="none" w:sz="0" w:space="0" w:color="auto"/>
              </w:divBdr>
              <w:divsChild>
                <w:div w:id="1156334624">
                  <w:marLeft w:val="0"/>
                  <w:marRight w:val="0"/>
                  <w:marTop w:val="0"/>
                  <w:marBottom w:val="0"/>
                  <w:divBdr>
                    <w:top w:val="none" w:sz="0" w:space="0" w:color="auto"/>
                    <w:left w:val="none" w:sz="0" w:space="0" w:color="auto"/>
                    <w:bottom w:val="none" w:sz="0" w:space="0" w:color="auto"/>
                    <w:right w:val="none" w:sz="0" w:space="0" w:color="auto"/>
                  </w:divBdr>
                  <w:divsChild>
                    <w:div w:id="1240138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0656629">
      <w:bodyDiv w:val="1"/>
      <w:marLeft w:val="0"/>
      <w:marRight w:val="0"/>
      <w:marTop w:val="0"/>
      <w:marBottom w:val="0"/>
      <w:divBdr>
        <w:top w:val="none" w:sz="0" w:space="0" w:color="auto"/>
        <w:left w:val="none" w:sz="0" w:space="0" w:color="auto"/>
        <w:bottom w:val="none" w:sz="0" w:space="0" w:color="auto"/>
        <w:right w:val="none" w:sz="0" w:space="0" w:color="auto"/>
      </w:divBdr>
    </w:div>
    <w:div w:id="487284336">
      <w:bodyDiv w:val="1"/>
      <w:marLeft w:val="0"/>
      <w:marRight w:val="0"/>
      <w:marTop w:val="0"/>
      <w:marBottom w:val="0"/>
      <w:divBdr>
        <w:top w:val="none" w:sz="0" w:space="0" w:color="auto"/>
        <w:left w:val="none" w:sz="0" w:space="0" w:color="auto"/>
        <w:bottom w:val="none" w:sz="0" w:space="0" w:color="auto"/>
        <w:right w:val="none" w:sz="0" w:space="0" w:color="auto"/>
      </w:divBdr>
    </w:div>
    <w:div w:id="494566767">
      <w:bodyDiv w:val="1"/>
      <w:marLeft w:val="0"/>
      <w:marRight w:val="0"/>
      <w:marTop w:val="0"/>
      <w:marBottom w:val="0"/>
      <w:divBdr>
        <w:top w:val="none" w:sz="0" w:space="0" w:color="auto"/>
        <w:left w:val="none" w:sz="0" w:space="0" w:color="auto"/>
        <w:bottom w:val="none" w:sz="0" w:space="0" w:color="auto"/>
        <w:right w:val="none" w:sz="0" w:space="0" w:color="auto"/>
      </w:divBdr>
    </w:div>
    <w:div w:id="497842499">
      <w:bodyDiv w:val="1"/>
      <w:marLeft w:val="0"/>
      <w:marRight w:val="0"/>
      <w:marTop w:val="0"/>
      <w:marBottom w:val="0"/>
      <w:divBdr>
        <w:top w:val="none" w:sz="0" w:space="0" w:color="auto"/>
        <w:left w:val="none" w:sz="0" w:space="0" w:color="auto"/>
        <w:bottom w:val="none" w:sz="0" w:space="0" w:color="auto"/>
        <w:right w:val="none" w:sz="0" w:space="0" w:color="auto"/>
      </w:divBdr>
      <w:divsChild>
        <w:div w:id="1505784484">
          <w:marLeft w:val="0"/>
          <w:marRight w:val="0"/>
          <w:marTop w:val="0"/>
          <w:marBottom w:val="0"/>
          <w:divBdr>
            <w:top w:val="none" w:sz="0" w:space="0" w:color="auto"/>
            <w:left w:val="none" w:sz="0" w:space="0" w:color="auto"/>
            <w:bottom w:val="none" w:sz="0" w:space="0" w:color="auto"/>
            <w:right w:val="none" w:sz="0" w:space="0" w:color="auto"/>
          </w:divBdr>
          <w:divsChild>
            <w:div w:id="2117754328">
              <w:marLeft w:val="0"/>
              <w:marRight w:val="0"/>
              <w:marTop w:val="0"/>
              <w:marBottom w:val="0"/>
              <w:divBdr>
                <w:top w:val="none" w:sz="0" w:space="0" w:color="auto"/>
                <w:left w:val="none" w:sz="0" w:space="0" w:color="auto"/>
                <w:bottom w:val="none" w:sz="0" w:space="0" w:color="auto"/>
                <w:right w:val="none" w:sz="0" w:space="0" w:color="auto"/>
              </w:divBdr>
              <w:divsChild>
                <w:div w:id="431166992">
                  <w:marLeft w:val="0"/>
                  <w:marRight w:val="0"/>
                  <w:marTop w:val="0"/>
                  <w:marBottom w:val="0"/>
                  <w:divBdr>
                    <w:top w:val="none" w:sz="0" w:space="0" w:color="auto"/>
                    <w:left w:val="none" w:sz="0" w:space="0" w:color="auto"/>
                    <w:bottom w:val="none" w:sz="0" w:space="0" w:color="auto"/>
                    <w:right w:val="none" w:sz="0" w:space="0" w:color="auto"/>
                  </w:divBdr>
                  <w:divsChild>
                    <w:div w:id="303431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3059347">
      <w:bodyDiv w:val="1"/>
      <w:marLeft w:val="0"/>
      <w:marRight w:val="0"/>
      <w:marTop w:val="0"/>
      <w:marBottom w:val="0"/>
      <w:divBdr>
        <w:top w:val="none" w:sz="0" w:space="0" w:color="auto"/>
        <w:left w:val="none" w:sz="0" w:space="0" w:color="auto"/>
        <w:bottom w:val="none" w:sz="0" w:space="0" w:color="auto"/>
        <w:right w:val="none" w:sz="0" w:space="0" w:color="auto"/>
      </w:divBdr>
    </w:div>
    <w:div w:id="503394990">
      <w:bodyDiv w:val="1"/>
      <w:marLeft w:val="0"/>
      <w:marRight w:val="0"/>
      <w:marTop w:val="0"/>
      <w:marBottom w:val="0"/>
      <w:divBdr>
        <w:top w:val="none" w:sz="0" w:space="0" w:color="auto"/>
        <w:left w:val="none" w:sz="0" w:space="0" w:color="auto"/>
        <w:bottom w:val="none" w:sz="0" w:space="0" w:color="auto"/>
        <w:right w:val="none" w:sz="0" w:space="0" w:color="auto"/>
      </w:divBdr>
    </w:div>
    <w:div w:id="518079646">
      <w:bodyDiv w:val="1"/>
      <w:marLeft w:val="0"/>
      <w:marRight w:val="0"/>
      <w:marTop w:val="0"/>
      <w:marBottom w:val="0"/>
      <w:divBdr>
        <w:top w:val="none" w:sz="0" w:space="0" w:color="auto"/>
        <w:left w:val="none" w:sz="0" w:space="0" w:color="auto"/>
        <w:bottom w:val="none" w:sz="0" w:space="0" w:color="auto"/>
        <w:right w:val="none" w:sz="0" w:space="0" w:color="auto"/>
      </w:divBdr>
      <w:divsChild>
        <w:div w:id="1179737462">
          <w:marLeft w:val="0"/>
          <w:marRight w:val="0"/>
          <w:marTop w:val="0"/>
          <w:marBottom w:val="0"/>
          <w:divBdr>
            <w:top w:val="none" w:sz="0" w:space="0" w:color="auto"/>
            <w:left w:val="none" w:sz="0" w:space="0" w:color="auto"/>
            <w:bottom w:val="none" w:sz="0" w:space="0" w:color="auto"/>
            <w:right w:val="none" w:sz="0" w:space="0" w:color="auto"/>
          </w:divBdr>
          <w:divsChild>
            <w:div w:id="180552112">
              <w:marLeft w:val="0"/>
              <w:marRight w:val="0"/>
              <w:marTop w:val="0"/>
              <w:marBottom w:val="0"/>
              <w:divBdr>
                <w:top w:val="none" w:sz="0" w:space="0" w:color="auto"/>
                <w:left w:val="none" w:sz="0" w:space="0" w:color="auto"/>
                <w:bottom w:val="none" w:sz="0" w:space="0" w:color="auto"/>
                <w:right w:val="none" w:sz="0" w:space="0" w:color="auto"/>
              </w:divBdr>
              <w:divsChild>
                <w:div w:id="1795054959">
                  <w:marLeft w:val="0"/>
                  <w:marRight w:val="0"/>
                  <w:marTop w:val="0"/>
                  <w:marBottom w:val="0"/>
                  <w:divBdr>
                    <w:top w:val="none" w:sz="0" w:space="0" w:color="auto"/>
                    <w:left w:val="none" w:sz="0" w:space="0" w:color="auto"/>
                    <w:bottom w:val="none" w:sz="0" w:space="0" w:color="auto"/>
                    <w:right w:val="none" w:sz="0" w:space="0" w:color="auto"/>
                  </w:divBdr>
                  <w:divsChild>
                    <w:div w:id="1457291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6527215">
      <w:bodyDiv w:val="1"/>
      <w:marLeft w:val="0"/>
      <w:marRight w:val="0"/>
      <w:marTop w:val="0"/>
      <w:marBottom w:val="0"/>
      <w:divBdr>
        <w:top w:val="none" w:sz="0" w:space="0" w:color="auto"/>
        <w:left w:val="none" w:sz="0" w:space="0" w:color="auto"/>
        <w:bottom w:val="none" w:sz="0" w:space="0" w:color="auto"/>
        <w:right w:val="none" w:sz="0" w:space="0" w:color="auto"/>
      </w:divBdr>
    </w:div>
    <w:div w:id="534003099">
      <w:bodyDiv w:val="1"/>
      <w:marLeft w:val="0"/>
      <w:marRight w:val="0"/>
      <w:marTop w:val="0"/>
      <w:marBottom w:val="0"/>
      <w:divBdr>
        <w:top w:val="none" w:sz="0" w:space="0" w:color="auto"/>
        <w:left w:val="none" w:sz="0" w:space="0" w:color="auto"/>
        <w:bottom w:val="none" w:sz="0" w:space="0" w:color="auto"/>
        <w:right w:val="none" w:sz="0" w:space="0" w:color="auto"/>
      </w:divBdr>
    </w:div>
    <w:div w:id="548229457">
      <w:bodyDiv w:val="1"/>
      <w:marLeft w:val="0"/>
      <w:marRight w:val="0"/>
      <w:marTop w:val="0"/>
      <w:marBottom w:val="0"/>
      <w:divBdr>
        <w:top w:val="none" w:sz="0" w:space="0" w:color="auto"/>
        <w:left w:val="none" w:sz="0" w:space="0" w:color="auto"/>
        <w:bottom w:val="none" w:sz="0" w:space="0" w:color="auto"/>
        <w:right w:val="none" w:sz="0" w:space="0" w:color="auto"/>
      </w:divBdr>
    </w:div>
    <w:div w:id="574583368">
      <w:bodyDiv w:val="1"/>
      <w:marLeft w:val="0"/>
      <w:marRight w:val="0"/>
      <w:marTop w:val="0"/>
      <w:marBottom w:val="0"/>
      <w:divBdr>
        <w:top w:val="none" w:sz="0" w:space="0" w:color="auto"/>
        <w:left w:val="none" w:sz="0" w:space="0" w:color="auto"/>
        <w:bottom w:val="none" w:sz="0" w:space="0" w:color="auto"/>
        <w:right w:val="none" w:sz="0" w:space="0" w:color="auto"/>
      </w:divBdr>
    </w:div>
    <w:div w:id="581722569">
      <w:bodyDiv w:val="1"/>
      <w:marLeft w:val="0"/>
      <w:marRight w:val="0"/>
      <w:marTop w:val="0"/>
      <w:marBottom w:val="0"/>
      <w:divBdr>
        <w:top w:val="none" w:sz="0" w:space="0" w:color="auto"/>
        <w:left w:val="none" w:sz="0" w:space="0" w:color="auto"/>
        <w:bottom w:val="none" w:sz="0" w:space="0" w:color="auto"/>
        <w:right w:val="none" w:sz="0" w:space="0" w:color="auto"/>
      </w:divBdr>
      <w:divsChild>
        <w:div w:id="682827192">
          <w:marLeft w:val="0"/>
          <w:marRight w:val="0"/>
          <w:marTop w:val="0"/>
          <w:marBottom w:val="0"/>
          <w:divBdr>
            <w:top w:val="none" w:sz="0" w:space="0" w:color="auto"/>
            <w:left w:val="none" w:sz="0" w:space="0" w:color="auto"/>
            <w:bottom w:val="none" w:sz="0" w:space="0" w:color="auto"/>
            <w:right w:val="none" w:sz="0" w:space="0" w:color="auto"/>
          </w:divBdr>
          <w:divsChild>
            <w:div w:id="40906079">
              <w:marLeft w:val="0"/>
              <w:marRight w:val="0"/>
              <w:marTop w:val="0"/>
              <w:marBottom w:val="0"/>
              <w:divBdr>
                <w:top w:val="none" w:sz="0" w:space="0" w:color="auto"/>
                <w:left w:val="none" w:sz="0" w:space="0" w:color="auto"/>
                <w:bottom w:val="none" w:sz="0" w:space="0" w:color="auto"/>
                <w:right w:val="none" w:sz="0" w:space="0" w:color="auto"/>
              </w:divBdr>
              <w:divsChild>
                <w:div w:id="694234655">
                  <w:marLeft w:val="0"/>
                  <w:marRight w:val="0"/>
                  <w:marTop w:val="0"/>
                  <w:marBottom w:val="0"/>
                  <w:divBdr>
                    <w:top w:val="none" w:sz="0" w:space="0" w:color="auto"/>
                    <w:left w:val="none" w:sz="0" w:space="0" w:color="auto"/>
                    <w:bottom w:val="none" w:sz="0" w:space="0" w:color="auto"/>
                    <w:right w:val="none" w:sz="0" w:space="0" w:color="auto"/>
                  </w:divBdr>
                  <w:divsChild>
                    <w:div w:id="425544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7714949">
      <w:bodyDiv w:val="1"/>
      <w:marLeft w:val="0"/>
      <w:marRight w:val="0"/>
      <w:marTop w:val="0"/>
      <w:marBottom w:val="0"/>
      <w:divBdr>
        <w:top w:val="none" w:sz="0" w:space="0" w:color="auto"/>
        <w:left w:val="none" w:sz="0" w:space="0" w:color="auto"/>
        <w:bottom w:val="none" w:sz="0" w:space="0" w:color="auto"/>
        <w:right w:val="none" w:sz="0" w:space="0" w:color="auto"/>
      </w:divBdr>
      <w:divsChild>
        <w:div w:id="222108354">
          <w:marLeft w:val="0"/>
          <w:marRight w:val="0"/>
          <w:marTop w:val="0"/>
          <w:marBottom w:val="0"/>
          <w:divBdr>
            <w:top w:val="none" w:sz="0" w:space="0" w:color="auto"/>
            <w:left w:val="none" w:sz="0" w:space="0" w:color="auto"/>
            <w:bottom w:val="none" w:sz="0" w:space="0" w:color="auto"/>
            <w:right w:val="none" w:sz="0" w:space="0" w:color="auto"/>
          </w:divBdr>
          <w:divsChild>
            <w:div w:id="821964770">
              <w:marLeft w:val="0"/>
              <w:marRight w:val="0"/>
              <w:marTop w:val="0"/>
              <w:marBottom w:val="0"/>
              <w:divBdr>
                <w:top w:val="none" w:sz="0" w:space="0" w:color="auto"/>
                <w:left w:val="none" w:sz="0" w:space="0" w:color="auto"/>
                <w:bottom w:val="none" w:sz="0" w:space="0" w:color="auto"/>
                <w:right w:val="none" w:sz="0" w:space="0" w:color="auto"/>
              </w:divBdr>
              <w:divsChild>
                <w:div w:id="1296525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5067568">
      <w:bodyDiv w:val="1"/>
      <w:marLeft w:val="0"/>
      <w:marRight w:val="0"/>
      <w:marTop w:val="0"/>
      <w:marBottom w:val="0"/>
      <w:divBdr>
        <w:top w:val="none" w:sz="0" w:space="0" w:color="auto"/>
        <w:left w:val="none" w:sz="0" w:space="0" w:color="auto"/>
        <w:bottom w:val="none" w:sz="0" w:space="0" w:color="auto"/>
        <w:right w:val="none" w:sz="0" w:space="0" w:color="auto"/>
      </w:divBdr>
      <w:divsChild>
        <w:div w:id="516890370">
          <w:marLeft w:val="0"/>
          <w:marRight w:val="0"/>
          <w:marTop w:val="0"/>
          <w:marBottom w:val="0"/>
          <w:divBdr>
            <w:top w:val="none" w:sz="0" w:space="0" w:color="auto"/>
            <w:left w:val="none" w:sz="0" w:space="0" w:color="auto"/>
            <w:bottom w:val="none" w:sz="0" w:space="0" w:color="auto"/>
            <w:right w:val="none" w:sz="0" w:space="0" w:color="auto"/>
          </w:divBdr>
          <w:divsChild>
            <w:div w:id="775714255">
              <w:marLeft w:val="0"/>
              <w:marRight w:val="0"/>
              <w:marTop w:val="0"/>
              <w:marBottom w:val="0"/>
              <w:divBdr>
                <w:top w:val="none" w:sz="0" w:space="0" w:color="auto"/>
                <w:left w:val="none" w:sz="0" w:space="0" w:color="auto"/>
                <w:bottom w:val="none" w:sz="0" w:space="0" w:color="auto"/>
                <w:right w:val="none" w:sz="0" w:space="0" w:color="auto"/>
              </w:divBdr>
              <w:divsChild>
                <w:div w:id="743062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6596401">
      <w:bodyDiv w:val="1"/>
      <w:marLeft w:val="0"/>
      <w:marRight w:val="0"/>
      <w:marTop w:val="0"/>
      <w:marBottom w:val="0"/>
      <w:divBdr>
        <w:top w:val="none" w:sz="0" w:space="0" w:color="auto"/>
        <w:left w:val="none" w:sz="0" w:space="0" w:color="auto"/>
        <w:bottom w:val="none" w:sz="0" w:space="0" w:color="auto"/>
        <w:right w:val="none" w:sz="0" w:space="0" w:color="auto"/>
      </w:divBdr>
      <w:divsChild>
        <w:div w:id="1167865807">
          <w:marLeft w:val="0"/>
          <w:marRight w:val="0"/>
          <w:marTop w:val="0"/>
          <w:marBottom w:val="0"/>
          <w:divBdr>
            <w:top w:val="none" w:sz="0" w:space="0" w:color="auto"/>
            <w:left w:val="none" w:sz="0" w:space="0" w:color="auto"/>
            <w:bottom w:val="none" w:sz="0" w:space="0" w:color="auto"/>
            <w:right w:val="none" w:sz="0" w:space="0" w:color="auto"/>
          </w:divBdr>
          <w:divsChild>
            <w:div w:id="1313480811">
              <w:marLeft w:val="0"/>
              <w:marRight w:val="0"/>
              <w:marTop w:val="0"/>
              <w:marBottom w:val="0"/>
              <w:divBdr>
                <w:top w:val="none" w:sz="0" w:space="0" w:color="auto"/>
                <w:left w:val="none" w:sz="0" w:space="0" w:color="auto"/>
                <w:bottom w:val="none" w:sz="0" w:space="0" w:color="auto"/>
                <w:right w:val="none" w:sz="0" w:space="0" w:color="auto"/>
              </w:divBdr>
              <w:divsChild>
                <w:div w:id="344475345">
                  <w:marLeft w:val="0"/>
                  <w:marRight w:val="0"/>
                  <w:marTop w:val="0"/>
                  <w:marBottom w:val="0"/>
                  <w:divBdr>
                    <w:top w:val="none" w:sz="0" w:space="0" w:color="auto"/>
                    <w:left w:val="none" w:sz="0" w:space="0" w:color="auto"/>
                    <w:bottom w:val="none" w:sz="0" w:space="0" w:color="auto"/>
                    <w:right w:val="none" w:sz="0" w:space="0" w:color="auto"/>
                  </w:divBdr>
                  <w:divsChild>
                    <w:div w:id="1012225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1571987">
      <w:bodyDiv w:val="1"/>
      <w:marLeft w:val="0"/>
      <w:marRight w:val="0"/>
      <w:marTop w:val="0"/>
      <w:marBottom w:val="0"/>
      <w:divBdr>
        <w:top w:val="none" w:sz="0" w:space="0" w:color="auto"/>
        <w:left w:val="none" w:sz="0" w:space="0" w:color="auto"/>
        <w:bottom w:val="none" w:sz="0" w:space="0" w:color="auto"/>
        <w:right w:val="none" w:sz="0" w:space="0" w:color="auto"/>
      </w:divBdr>
      <w:divsChild>
        <w:div w:id="1011489511">
          <w:marLeft w:val="0"/>
          <w:marRight w:val="0"/>
          <w:marTop w:val="0"/>
          <w:marBottom w:val="0"/>
          <w:divBdr>
            <w:top w:val="none" w:sz="0" w:space="0" w:color="auto"/>
            <w:left w:val="none" w:sz="0" w:space="0" w:color="auto"/>
            <w:bottom w:val="none" w:sz="0" w:space="0" w:color="auto"/>
            <w:right w:val="none" w:sz="0" w:space="0" w:color="auto"/>
          </w:divBdr>
          <w:divsChild>
            <w:div w:id="116992485">
              <w:marLeft w:val="0"/>
              <w:marRight w:val="0"/>
              <w:marTop w:val="0"/>
              <w:marBottom w:val="0"/>
              <w:divBdr>
                <w:top w:val="none" w:sz="0" w:space="0" w:color="auto"/>
                <w:left w:val="none" w:sz="0" w:space="0" w:color="auto"/>
                <w:bottom w:val="none" w:sz="0" w:space="0" w:color="auto"/>
                <w:right w:val="none" w:sz="0" w:space="0" w:color="auto"/>
              </w:divBdr>
              <w:divsChild>
                <w:div w:id="1341195541">
                  <w:marLeft w:val="0"/>
                  <w:marRight w:val="0"/>
                  <w:marTop w:val="0"/>
                  <w:marBottom w:val="0"/>
                  <w:divBdr>
                    <w:top w:val="none" w:sz="0" w:space="0" w:color="auto"/>
                    <w:left w:val="none" w:sz="0" w:space="0" w:color="auto"/>
                    <w:bottom w:val="none" w:sz="0" w:space="0" w:color="auto"/>
                    <w:right w:val="none" w:sz="0" w:space="0" w:color="auto"/>
                  </w:divBdr>
                  <w:divsChild>
                    <w:div w:id="769545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1808292">
      <w:bodyDiv w:val="1"/>
      <w:marLeft w:val="0"/>
      <w:marRight w:val="0"/>
      <w:marTop w:val="0"/>
      <w:marBottom w:val="0"/>
      <w:divBdr>
        <w:top w:val="none" w:sz="0" w:space="0" w:color="auto"/>
        <w:left w:val="none" w:sz="0" w:space="0" w:color="auto"/>
        <w:bottom w:val="none" w:sz="0" w:space="0" w:color="auto"/>
        <w:right w:val="none" w:sz="0" w:space="0" w:color="auto"/>
      </w:divBdr>
      <w:divsChild>
        <w:div w:id="191379794">
          <w:marLeft w:val="0"/>
          <w:marRight w:val="0"/>
          <w:marTop w:val="0"/>
          <w:marBottom w:val="0"/>
          <w:divBdr>
            <w:top w:val="none" w:sz="0" w:space="0" w:color="auto"/>
            <w:left w:val="none" w:sz="0" w:space="0" w:color="auto"/>
            <w:bottom w:val="none" w:sz="0" w:space="0" w:color="auto"/>
            <w:right w:val="none" w:sz="0" w:space="0" w:color="auto"/>
          </w:divBdr>
          <w:divsChild>
            <w:div w:id="941110332">
              <w:marLeft w:val="0"/>
              <w:marRight w:val="0"/>
              <w:marTop w:val="0"/>
              <w:marBottom w:val="0"/>
              <w:divBdr>
                <w:top w:val="none" w:sz="0" w:space="0" w:color="auto"/>
                <w:left w:val="none" w:sz="0" w:space="0" w:color="auto"/>
                <w:bottom w:val="none" w:sz="0" w:space="0" w:color="auto"/>
                <w:right w:val="none" w:sz="0" w:space="0" w:color="auto"/>
              </w:divBdr>
              <w:divsChild>
                <w:div w:id="59594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0682591">
      <w:bodyDiv w:val="1"/>
      <w:marLeft w:val="0"/>
      <w:marRight w:val="0"/>
      <w:marTop w:val="0"/>
      <w:marBottom w:val="0"/>
      <w:divBdr>
        <w:top w:val="none" w:sz="0" w:space="0" w:color="auto"/>
        <w:left w:val="none" w:sz="0" w:space="0" w:color="auto"/>
        <w:bottom w:val="none" w:sz="0" w:space="0" w:color="auto"/>
        <w:right w:val="none" w:sz="0" w:space="0" w:color="auto"/>
      </w:divBdr>
      <w:divsChild>
        <w:div w:id="1275140336">
          <w:marLeft w:val="0"/>
          <w:marRight w:val="0"/>
          <w:marTop w:val="0"/>
          <w:marBottom w:val="0"/>
          <w:divBdr>
            <w:top w:val="none" w:sz="0" w:space="0" w:color="auto"/>
            <w:left w:val="none" w:sz="0" w:space="0" w:color="auto"/>
            <w:bottom w:val="none" w:sz="0" w:space="0" w:color="auto"/>
            <w:right w:val="none" w:sz="0" w:space="0" w:color="auto"/>
          </w:divBdr>
          <w:divsChild>
            <w:div w:id="765030847">
              <w:marLeft w:val="0"/>
              <w:marRight w:val="0"/>
              <w:marTop w:val="0"/>
              <w:marBottom w:val="0"/>
              <w:divBdr>
                <w:top w:val="none" w:sz="0" w:space="0" w:color="auto"/>
                <w:left w:val="none" w:sz="0" w:space="0" w:color="auto"/>
                <w:bottom w:val="none" w:sz="0" w:space="0" w:color="auto"/>
                <w:right w:val="none" w:sz="0" w:space="0" w:color="auto"/>
              </w:divBdr>
              <w:divsChild>
                <w:div w:id="1624266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2341253">
      <w:bodyDiv w:val="1"/>
      <w:marLeft w:val="0"/>
      <w:marRight w:val="0"/>
      <w:marTop w:val="0"/>
      <w:marBottom w:val="0"/>
      <w:divBdr>
        <w:top w:val="none" w:sz="0" w:space="0" w:color="auto"/>
        <w:left w:val="none" w:sz="0" w:space="0" w:color="auto"/>
        <w:bottom w:val="none" w:sz="0" w:space="0" w:color="auto"/>
        <w:right w:val="none" w:sz="0" w:space="0" w:color="auto"/>
      </w:divBdr>
    </w:div>
    <w:div w:id="783620624">
      <w:bodyDiv w:val="1"/>
      <w:marLeft w:val="0"/>
      <w:marRight w:val="0"/>
      <w:marTop w:val="0"/>
      <w:marBottom w:val="0"/>
      <w:divBdr>
        <w:top w:val="none" w:sz="0" w:space="0" w:color="auto"/>
        <w:left w:val="none" w:sz="0" w:space="0" w:color="auto"/>
        <w:bottom w:val="none" w:sz="0" w:space="0" w:color="auto"/>
        <w:right w:val="none" w:sz="0" w:space="0" w:color="auto"/>
      </w:divBdr>
      <w:divsChild>
        <w:div w:id="1751586515">
          <w:marLeft w:val="0"/>
          <w:marRight w:val="0"/>
          <w:marTop w:val="0"/>
          <w:marBottom w:val="0"/>
          <w:divBdr>
            <w:top w:val="none" w:sz="0" w:space="0" w:color="auto"/>
            <w:left w:val="none" w:sz="0" w:space="0" w:color="auto"/>
            <w:bottom w:val="none" w:sz="0" w:space="0" w:color="auto"/>
            <w:right w:val="none" w:sz="0" w:space="0" w:color="auto"/>
          </w:divBdr>
          <w:divsChild>
            <w:div w:id="782845156">
              <w:marLeft w:val="0"/>
              <w:marRight w:val="0"/>
              <w:marTop w:val="0"/>
              <w:marBottom w:val="0"/>
              <w:divBdr>
                <w:top w:val="none" w:sz="0" w:space="0" w:color="auto"/>
                <w:left w:val="none" w:sz="0" w:space="0" w:color="auto"/>
                <w:bottom w:val="none" w:sz="0" w:space="0" w:color="auto"/>
                <w:right w:val="none" w:sz="0" w:space="0" w:color="auto"/>
              </w:divBdr>
              <w:divsChild>
                <w:div w:id="1507094887">
                  <w:marLeft w:val="0"/>
                  <w:marRight w:val="0"/>
                  <w:marTop w:val="0"/>
                  <w:marBottom w:val="0"/>
                  <w:divBdr>
                    <w:top w:val="none" w:sz="0" w:space="0" w:color="auto"/>
                    <w:left w:val="none" w:sz="0" w:space="0" w:color="auto"/>
                    <w:bottom w:val="none" w:sz="0" w:space="0" w:color="auto"/>
                    <w:right w:val="none" w:sz="0" w:space="0" w:color="auto"/>
                  </w:divBdr>
                  <w:divsChild>
                    <w:div w:id="59182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3350114">
      <w:bodyDiv w:val="1"/>
      <w:marLeft w:val="0"/>
      <w:marRight w:val="0"/>
      <w:marTop w:val="0"/>
      <w:marBottom w:val="0"/>
      <w:divBdr>
        <w:top w:val="none" w:sz="0" w:space="0" w:color="auto"/>
        <w:left w:val="none" w:sz="0" w:space="0" w:color="auto"/>
        <w:bottom w:val="none" w:sz="0" w:space="0" w:color="auto"/>
        <w:right w:val="none" w:sz="0" w:space="0" w:color="auto"/>
      </w:divBdr>
      <w:divsChild>
        <w:div w:id="1233657022">
          <w:marLeft w:val="0"/>
          <w:marRight w:val="0"/>
          <w:marTop w:val="0"/>
          <w:marBottom w:val="0"/>
          <w:divBdr>
            <w:top w:val="none" w:sz="0" w:space="0" w:color="auto"/>
            <w:left w:val="none" w:sz="0" w:space="0" w:color="auto"/>
            <w:bottom w:val="none" w:sz="0" w:space="0" w:color="auto"/>
            <w:right w:val="none" w:sz="0" w:space="0" w:color="auto"/>
          </w:divBdr>
          <w:divsChild>
            <w:div w:id="456458595">
              <w:marLeft w:val="0"/>
              <w:marRight w:val="0"/>
              <w:marTop w:val="0"/>
              <w:marBottom w:val="0"/>
              <w:divBdr>
                <w:top w:val="none" w:sz="0" w:space="0" w:color="auto"/>
                <w:left w:val="none" w:sz="0" w:space="0" w:color="auto"/>
                <w:bottom w:val="none" w:sz="0" w:space="0" w:color="auto"/>
                <w:right w:val="none" w:sz="0" w:space="0" w:color="auto"/>
              </w:divBdr>
              <w:divsChild>
                <w:div w:id="1000278077">
                  <w:marLeft w:val="0"/>
                  <w:marRight w:val="0"/>
                  <w:marTop w:val="0"/>
                  <w:marBottom w:val="0"/>
                  <w:divBdr>
                    <w:top w:val="none" w:sz="0" w:space="0" w:color="auto"/>
                    <w:left w:val="none" w:sz="0" w:space="0" w:color="auto"/>
                    <w:bottom w:val="none" w:sz="0" w:space="0" w:color="auto"/>
                    <w:right w:val="none" w:sz="0" w:space="0" w:color="auto"/>
                  </w:divBdr>
                  <w:divsChild>
                    <w:div w:id="1461192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8665197">
      <w:bodyDiv w:val="1"/>
      <w:marLeft w:val="0"/>
      <w:marRight w:val="0"/>
      <w:marTop w:val="0"/>
      <w:marBottom w:val="0"/>
      <w:divBdr>
        <w:top w:val="none" w:sz="0" w:space="0" w:color="auto"/>
        <w:left w:val="none" w:sz="0" w:space="0" w:color="auto"/>
        <w:bottom w:val="none" w:sz="0" w:space="0" w:color="auto"/>
        <w:right w:val="none" w:sz="0" w:space="0" w:color="auto"/>
      </w:divBdr>
    </w:div>
    <w:div w:id="819811294">
      <w:bodyDiv w:val="1"/>
      <w:marLeft w:val="0"/>
      <w:marRight w:val="0"/>
      <w:marTop w:val="0"/>
      <w:marBottom w:val="0"/>
      <w:divBdr>
        <w:top w:val="none" w:sz="0" w:space="0" w:color="auto"/>
        <w:left w:val="none" w:sz="0" w:space="0" w:color="auto"/>
        <w:bottom w:val="none" w:sz="0" w:space="0" w:color="auto"/>
        <w:right w:val="none" w:sz="0" w:space="0" w:color="auto"/>
      </w:divBdr>
      <w:divsChild>
        <w:div w:id="505023300">
          <w:marLeft w:val="0"/>
          <w:marRight w:val="0"/>
          <w:marTop w:val="0"/>
          <w:marBottom w:val="0"/>
          <w:divBdr>
            <w:top w:val="none" w:sz="0" w:space="0" w:color="auto"/>
            <w:left w:val="none" w:sz="0" w:space="0" w:color="auto"/>
            <w:bottom w:val="none" w:sz="0" w:space="0" w:color="auto"/>
            <w:right w:val="none" w:sz="0" w:space="0" w:color="auto"/>
          </w:divBdr>
          <w:divsChild>
            <w:div w:id="1511482856">
              <w:marLeft w:val="0"/>
              <w:marRight w:val="0"/>
              <w:marTop w:val="0"/>
              <w:marBottom w:val="0"/>
              <w:divBdr>
                <w:top w:val="none" w:sz="0" w:space="0" w:color="auto"/>
                <w:left w:val="none" w:sz="0" w:space="0" w:color="auto"/>
                <w:bottom w:val="none" w:sz="0" w:space="0" w:color="auto"/>
                <w:right w:val="none" w:sz="0" w:space="0" w:color="auto"/>
              </w:divBdr>
              <w:divsChild>
                <w:div w:id="1224029744">
                  <w:marLeft w:val="0"/>
                  <w:marRight w:val="0"/>
                  <w:marTop w:val="0"/>
                  <w:marBottom w:val="0"/>
                  <w:divBdr>
                    <w:top w:val="none" w:sz="0" w:space="0" w:color="auto"/>
                    <w:left w:val="none" w:sz="0" w:space="0" w:color="auto"/>
                    <w:bottom w:val="none" w:sz="0" w:space="0" w:color="auto"/>
                    <w:right w:val="none" w:sz="0" w:space="0" w:color="auto"/>
                  </w:divBdr>
                  <w:divsChild>
                    <w:div w:id="41179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5315274">
      <w:bodyDiv w:val="1"/>
      <w:marLeft w:val="0"/>
      <w:marRight w:val="0"/>
      <w:marTop w:val="0"/>
      <w:marBottom w:val="0"/>
      <w:divBdr>
        <w:top w:val="none" w:sz="0" w:space="0" w:color="auto"/>
        <w:left w:val="none" w:sz="0" w:space="0" w:color="auto"/>
        <w:bottom w:val="none" w:sz="0" w:space="0" w:color="auto"/>
        <w:right w:val="none" w:sz="0" w:space="0" w:color="auto"/>
      </w:divBdr>
    </w:div>
    <w:div w:id="825323806">
      <w:bodyDiv w:val="1"/>
      <w:marLeft w:val="0"/>
      <w:marRight w:val="0"/>
      <w:marTop w:val="0"/>
      <w:marBottom w:val="0"/>
      <w:divBdr>
        <w:top w:val="none" w:sz="0" w:space="0" w:color="auto"/>
        <w:left w:val="none" w:sz="0" w:space="0" w:color="auto"/>
        <w:bottom w:val="none" w:sz="0" w:space="0" w:color="auto"/>
        <w:right w:val="none" w:sz="0" w:space="0" w:color="auto"/>
      </w:divBdr>
      <w:divsChild>
        <w:div w:id="1516574623">
          <w:marLeft w:val="0"/>
          <w:marRight w:val="0"/>
          <w:marTop w:val="0"/>
          <w:marBottom w:val="0"/>
          <w:divBdr>
            <w:top w:val="none" w:sz="0" w:space="0" w:color="auto"/>
            <w:left w:val="none" w:sz="0" w:space="0" w:color="auto"/>
            <w:bottom w:val="none" w:sz="0" w:space="0" w:color="auto"/>
            <w:right w:val="none" w:sz="0" w:space="0" w:color="auto"/>
          </w:divBdr>
          <w:divsChild>
            <w:div w:id="892694138">
              <w:marLeft w:val="0"/>
              <w:marRight w:val="0"/>
              <w:marTop w:val="0"/>
              <w:marBottom w:val="0"/>
              <w:divBdr>
                <w:top w:val="none" w:sz="0" w:space="0" w:color="auto"/>
                <w:left w:val="none" w:sz="0" w:space="0" w:color="auto"/>
                <w:bottom w:val="none" w:sz="0" w:space="0" w:color="auto"/>
                <w:right w:val="none" w:sz="0" w:space="0" w:color="auto"/>
              </w:divBdr>
              <w:divsChild>
                <w:div w:id="1914463284">
                  <w:marLeft w:val="0"/>
                  <w:marRight w:val="0"/>
                  <w:marTop w:val="0"/>
                  <w:marBottom w:val="0"/>
                  <w:divBdr>
                    <w:top w:val="none" w:sz="0" w:space="0" w:color="auto"/>
                    <w:left w:val="none" w:sz="0" w:space="0" w:color="auto"/>
                    <w:bottom w:val="none" w:sz="0" w:space="0" w:color="auto"/>
                    <w:right w:val="none" w:sz="0" w:space="0" w:color="auto"/>
                  </w:divBdr>
                  <w:divsChild>
                    <w:div w:id="291249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3255726">
      <w:bodyDiv w:val="1"/>
      <w:marLeft w:val="0"/>
      <w:marRight w:val="0"/>
      <w:marTop w:val="0"/>
      <w:marBottom w:val="0"/>
      <w:divBdr>
        <w:top w:val="none" w:sz="0" w:space="0" w:color="auto"/>
        <w:left w:val="none" w:sz="0" w:space="0" w:color="auto"/>
        <w:bottom w:val="none" w:sz="0" w:space="0" w:color="auto"/>
        <w:right w:val="none" w:sz="0" w:space="0" w:color="auto"/>
      </w:divBdr>
      <w:divsChild>
        <w:div w:id="1528904726">
          <w:marLeft w:val="0"/>
          <w:marRight w:val="0"/>
          <w:marTop w:val="0"/>
          <w:marBottom w:val="0"/>
          <w:divBdr>
            <w:top w:val="none" w:sz="0" w:space="0" w:color="auto"/>
            <w:left w:val="none" w:sz="0" w:space="0" w:color="auto"/>
            <w:bottom w:val="none" w:sz="0" w:space="0" w:color="auto"/>
            <w:right w:val="none" w:sz="0" w:space="0" w:color="auto"/>
          </w:divBdr>
          <w:divsChild>
            <w:div w:id="462694101">
              <w:marLeft w:val="0"/>
              <w:marRight w:val="0"/>
              <w:marTop w:val="0"/>
              <w:marBottom w:val="0"/>
              <w:divBdr>
                <w:top w:val="none" w:sz="0" w:space="0" w:color="auto"/>
                <w:left w:val="none" w:sz="0" w:space="0" w:color="auto"/>
                <w:bottom w:val="none" w:sz="0" w:space="0" w:color="auto"/>
                <w:right w:val="none" w:sz="0" w:space="0" w:color="auto"/>
              </w:divBdr>
              <w:divsChild>
                <w:div w:id="1591546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1920501">
      <w:bodyDiv w:val="1"/>
      <w:marLeft w:val="0"/>
      <w:marRight w:val="0"/>
      <w:marTop w:val="0"/>
      <w:marBottom w:val="0"/>
      <w:divBdr>
        <w:top w:val="none" w:sz="0" w:space="0" w:color="auto"/>
        <w:left w:val="none" w:sz="0" w:space="0" w:color="auto"/>
        <w:bottom w:val="none" w:sz="0" w:space="0" w:color="auto"/>
        <w:right w:val="none" w:sz="0" w:space="0" w:color="auto"/>
      </w:divBdr>
    </w:div>
    <w:div w:id="891693711">
      <w:bodyDiv w:val="1"/>
      <w:marLeft w:val="0"/>
      <w:marRight w:val="0"/>
      <w:marTop w:val="0"/>
      <w:marBottom w:val="0"/>
      <w:divBdr>
        <w:top w:val="none" w:sz="0" w:space="0" w:color="auto"/>
        <w:left w:val="none" w:sz="0" w:space="0" w:color="auto"/>
        <w:bottom w:val="none" w:sz="0" w:space="0" w:color="auto"/>
        <w:right w:val="none" w:sz="0" w:space="0" w:color="auto"/>
      </w:divBdr>
      <w:divsChild>
        <w:div w:id="888884311">
          <w:marLeft w:val="0"/>
          <w:marRight w:val="0"/>
          <w:marTop w:val="0"/>
          <w:marBottom w:val="0"/>
          <w:divBdr>
            <w:top w:val="none" w:sz="0" w:space="0" w:color="auto"/>
            <w:left w:val="none" w:sz="0" w:space="0" w:color="auto"/>
            <w:bottom w:val="none" w:sz="0" w:space="0" w:color="auto"/>
            <w:right w:val="none" w:sz="0" w:space="0" w:color="auto"/>
          </w:divBdr>
          <w:divsChild>
            <w:div w:id="1288119069">
              <w:marLeft w:val="0"/>
              <w:marRight w:val="0"/>
              <w:marTop w:val="0"/>
              <w:marBottom w:val="0"/>
              <w:divBdr>
                <w:top w:val="none" w:sz="0" w:space="0" w:color="auto"/>
                <w:left w:val="none" w:sz="0" w:space="0" w:color="auto"/>
                <w:bottom w:val="none" w:sz="0" w:space="0" w:color="auto"/>
                <w:right w:val="none" w:sz="0" w:space="0" w:color="auto"/>
              </w:divBdr>
              <w:divsChild>
                <w:div w:id="30031391">
                  <w:marLeft w:val="0"/>
                  <w:marRight w:val="0"/>
                  <w:marTop w:val="0"/>
                  <w:marBottom w:val="0"/>
                  <w:divBdr>
                    <w:top w:val="none" w:sz="0" w:space="0" w:color="auto"/>
                    <w:left w:val="none" w:sz="0" w:space="0" w:color="auto"/>
                    <w:bottom w:val="none" w:sz="0" w:space="0" w:color="auto"/>
                    <w:right w:val="none" w:sz="0" w:space="0" w:color="auto"/>
                  </w:divBdr>
                  <w:divsChild>
                    <w:div w:id="554780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6092681">
      <w:bodyDiv w:val="1"/>
      <w:marLeft w:val="0"/>
      <w:marRight w:val="0"/>
      <w:marTop w:val="0"/>
      <w:marBottom w:val="0"/>
      <w:divBdr>
        <w:top w:val="none" w:sz="0" w:space="0" w:color="auto"/>
        <w:left w:val="none" w:sz="0" w:space="0" w:color="auto"/>
        <w:bottom w:val="none" w:sz="0" w:space="0" w:color="auto"/>
        <w:right w:val="none" w:sz="0" w:space="0" w:color="auto"/>
      </w:divBdr>
      <w:divsChild>
        <w:div w:id="1295865296">
          <w:marLeft w:val="0"/>
          <w:marRight w:val="0"/>
          <w:marTop w:val="0"/>
          <w:marBottom w:val="0"/>
          <w:divBdr>
            <w:top w:val="none" w:sz="0" w:space="0" w:color="auto"/>
            <w:left w:val="none" w:sz="0" w:space="0" w:color="auto"/>
            <w:bottom w:val="none" w:sz="0" w:space="0" w:color="auto"/>
            <w:right w:val="none" w:sz="0" w:space="0" w:color="auto"/>
          </w:divBdr>
          <w:divsChild>
            <w:div w:id="304746659">
              <w:marLeft w:val="0"/>
              <w:marRight w:val="0"/>
              <w:marTop w:val="0"/>
              <w:marBottom w:val="0"/>
              <w:divBdr>
                <w:top w:val="none" w:sz="0" w:space="0" w:color="auto"/>
                <w:left w:val="none" w:sz="0" w:space="0" w:color="auto"/>
                <w:bottom w:val="none" w:sz="0" w:space="0" w:color="auto"/>
                <w:right w:val="none" w:sz="0" w:space="0" w:color="auto"/>
              </w:divBdr>
              <w:divsChild>
                <w:div w:id="1252468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3494937">
      <w:bodyDiv w:val="1"/>
      <w:marLeft w:val="0"/>
      <w:marRight w:val="0"/>
      <w:marTop w:val="0"/>
      <w:marBottom w:val="0"/>
      <w:divBdr>
        <w:top w:val="none" w:sz="0" w:space="0" w:color="auto"/>
        <w:left w:val="none" w:sz="0" w:space="0" w:color="auto"/>
        <w:bottom w:val="none" w:sz="0" w:space="0" w:color="auto"/>
        <w:right w:val="none" w:sz="0" w:space="0" w:color="auto"/>
      </w:divBdr>
      <w:divsChild>
        <w:div w:id="1515264917">
          <w:marLeft w:val="0"/>
          <w:marRight w:val="0"/>
          <w:marTop w:val="0"/>
          <w:marBottom w:val="0"/>
          <w:divBdr>
            <w:top w:val="none" w:sz="0" w:space="0" w:color="auto"/>
            <w:left w:val="none" w:sz="0" w:space="0" w:color="auto"/>
            <w:bottom w:val="none" w:sz="0" w:space="0" w:color="auto"/>
            <w:right w:val="none" w:sz="0" w:space="0" w:color="auto"/>
          </w:divBdr>
          <w:divsChild>
            <w:div w:id="417483403">
              <w:marLeft w:val="0"/>
              <w:marRight w:val="0"/>
              <w:marTop w:val="0"/>
              <w:marBottom w:val="0"/>
              <w:divBdr>
                <w:top w:val="none" w:sz="0" w:space="0" w:color="auto"/>
                <w:left w:val="none" w:sz="0" w:space="0" w:color="auto"/>
                <w:bottom w:val="none" w:sz="0" w:space="0" w:color="auto"/>
                <w:right w:val="none" w:sz="0" w:space="0" w:color="auto"/>
              </w:divBdr>
              <w:divsChild>
                <w:div w:id="800658878">
                  <w:marLeft w:val="0"/>
                  <w:marRight w:val="0"/>
                  <w:marTop w:val="0"/>
                  <w:marBottom w:val="0"/>
                  <w:divBdr>
                    <w:top w:val="none" w:sz="0" w:space="0" w:color="auto"/>
                    <w:left w:val="none" w:sz="0" w:space="0" w:color="auto"/>
                    <w:bottom w:val="none" w:sz="0" w:space="0" w:color="auto"/>
                    <w:right w:val="none" w:sz="0" w:space="0" w:color="auto"/>
                  </w:divBdr>
                  <w:divsChild>
                    <w:div w:id="1977686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2152870">
      <w:bodyDiv w:val="1"/>
      <w:marLeft w:val="0"/>
      <w:marRight w:val="0"/>
      <w:marTop w:val="0"/>
      <w:marBottom w:val="0"/>
      <w:divBdr>
        <w:top w:val="none" w:sz="0" w:space="0" w:color="auto"/>
        <w:left w:val="none" w:sz="0" w:space="0" w:color="auto"/>
        <w:bottom w:val="none" w:sz="0" w:space="0" w:color="auto"/>
        <w:right w:val="none" w:sz="0" w:space="0" w:color="auto"/>
      </w:divBdr>
    </w:div>
    <w:div w:id="951787178">
      <w:bodyDiv w:val="1"/>
      <w:marLeft w:val="0"/>
      <w:marRight w:val="0"/>
      <w:marTop w:val="0"/>
      <w:marBottom w:val="0"/>
      <w:divBdr>
        <w:top w:val="none" w:sz="0" w:space="0" w:color="auto"/>
        <w:left w:val="none" w:sz="0" w:space="0" w:color="auto"/>
        <w:bottom w:val="none" w:sz="0" w:space="0" w:color="auto"/>
        <w:right w:val="none" w:sz="0" w:space="0" w:color="auto"/>
      </w:divBdr>
    </w:div>
    <w:div w:id="958339985">
      <w:bodyDiv w:val="1"/>
      <w:marLeft w:val="0"/>
      <w:marRight w:val="0"/>
      <w:marTop w:val="0"/>
      <w:marBottom w:val="0"/>
      <w:divBdr>
        <w:top w:val="none" w:sz="0" w:space="0" w:color="auto"/>
        <w:left w:val="none" w:sz="0" w:space="0" w:color="auto"/>
        <w:bottom w:val="none" w:sz="0" w:space="0" w:color="auto"/>
        <w:right w:val="none" w:sz="0" w:space="0" w:color="auto"/>
      </w:divBdr>
      <w:divsChild>
        <w:div w:id="1165512364">
          <w:marLeft w:val="0"/>
          <w:marRight w:val="0"/>
          <w:marTop w:val="0"/>
          <w:marBottom w:val="0"/>
          <w:divBdr>
            <w:top w:val="none" w:sz="0" w:space="0" w:color="auto"/>
            <w:left w:val="none" w:sz="0" w:space="0" w:color="auto"/>
            <w:bottom w:val="none" w:sz="0" w:space="0" w:color="auto"/>
            <w:right w:val="none" w:sz="0" w:space="0" w:color="auto"/>
          </w:divBdr>
          <w:divsChild>
            <w:div w:id="369502099">
              <w:marLeft w:val="0"/>
              <w:marRight w:val="0"/>
              <w:marTop w:val="0"/>
              <w:marBottom w:val="0"/>
              <w:divBdr>
                <w:top w:val="none" w:sz="0" w:space="0" w:color="auto"/>
                <w:left w:val="none" w:sz="0" w:space="0" w:color="auto"/>
                <w:bottom w:val="none" w:sz="0" w:space="0" w:color="auto"/>
                <w:right w:val="none" w:sz="0" w:space="0" w:color="auto"/>
              </w:divBdr>
              <w:divsChild>
                <w:div w:id="483086275">
                  <w:marLeft w:val="0"/>
                  <w:marRight w:val="0"/>
                  <w:marTop w:val="0"/>
                  <w:marBottom w:val="0"/>
                  <w:divBdr>
                    <w:top w:val="none" w:sz="0" w:space="0" w:color="auto"/>
                    <w:left w:val="none" w:sz="0" w:space="0" w:color="auto"/>
                    <w:bottom w:val="none" w:sz="0" w:space="0" w:color="auto"/>
                    <w:right w:val="none" w:sz="0" w:space="0" w:color="auto"/>
                  </w:divBdr>
                  <w:divsChild>
                    <w:div w:id="1765682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3457362">
      <w:bodyDiv w:val="1"/>
      <w:marLeft w:val="0"/>
      <w:marRight w:val="0"/>
      <w:marTop w:val="0"/>
      <w:marBottom w:val="0"/>
      <w:divBdr>
        <w:top w:val="none" w:sz="0" w:space="0" w:color="auto"/>
        <w:left w:val="none" w:sz="0" w:space="0" w:color="auto"/>
        <w:bottom w:val="none" w:sz="0" w:space="0" w:color="auto"/>
        <w:right w:val="none" w:sz="0" w:space="0" w:color="auto"/>
      </w:divBdr>
      <w:divsChild>
        <w:div w:id="983237817">
          <w:marLeft w:val="0"/>
          <w:marRight w:val="0"/>
          <w:marTop w:val="0"/>
          <w:marBottom w:val="0"/>
          <w:divBdr>
            <w:top w:val="none" w:sz="0" w:space="0" w:color="auto"/>
            <w:left w:val="none" w:sz="0" w:space="0" w:color="auto"/>
            <w:bottom w:val="none" w:sz="0" w:space="0" w:color="auto"/>
            <w:right w:val="none" w:sz="0" w:space="0" w:color="auto"/>
          </w:divBdr>
          <w:divsChild>
            <w:div w:id="1796751409">
              <w:marLeft w:val="0"/>
              <w:marRight w:val="0"/>
              <w:marTop w:val="0"/>
              <w:marBottom w:val="0"/>
              <w:divBdr>
                <w:top w:val="none" w:sz="0" w:space="0" w:color="auto"/>
                <w:left w:val="none" w:sz="0" w:space="0" w:color="auto"/>
                <w:bottom w:val="none" w:sz="0" w:space="0" w:color="auto"/>
                <w:right w:val="none" w:sz="0" w:space="0" w:color="auto"/>
              </w:divBdr>
              <w:divsChild>
                <w:div w:id="1978341197">
                  <w:marLeft w:val="0"/>
                  <w:marRight w:val="0"/>
                  <w:marTop w:val="0"/>
                  <w:marBottom w:val="0"/>
                  <w:divBdr>
                    <w:top w:val="none" w:sz="0" w:space="0" w:color="auto"/>
                    <w:left w:val="none" w:sz="0" w:space="0" w:color="auto"/>
                    <w:bottom w:val="none" w:sz="0" w:space="0" w:color="auto"/>
                    <w:right w:val="none" w:sz="0" w:space="0" w:color="auto"/>
                  </w:divBdr>
                  <w:divsChild>
                    <w:div w:id="1585608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1782440">
      <w:bodyDiv w:val="1"/>
      <w:marLeft w:val="0"/>
      <w:marRight w:val="0"/>
      <w:marTop w:val="0"/>
      <w:marBottom w:val="0"/>
      <w:divBdr>
        <w:top w:val="none" w:sz="0" w:space="0" w:color="auto"/>
        <w:left w:val="none" w:sz="0" w:space="0" w:color="auto"/>
        <w:bottom w:val="none" w:sz="0" w:space="0" w:color="auto"/>
        <w:right w:val="none" w:sz="0" w:space="0" w:color="auto"/>
      </w:divBdr>
      <w:divsChild>
        <w:div w:id="1027681561">
          <w:marLeft w:val="0"/>
          <w:marRight w:val="0"/>
          <w:marTop w:val="0"/>
          <w:marBottom w:val="0"/>
          <w:divBdr>
            <w:top w:val="none" w:sz="0" w:space="0" w:color="auto"/>
            <w:left w:val="none" w:sz="0" w:space="0" w:color="auto"/>
            <w:bottom w:val="none" w:sz="0" w:space="0" w:color="auto"/>
            <w:right w:val="none" w:sz="0" w:space="0" w:color="auto"/>
          </w:divBdr>
          <w:divsChild>
            <w:div w:id="1964386288">
              <w:marLeft w:val="0"/>
              <w:marRight w:val="0"/>
              <w:marTop w:val="0"/>
              <w:marBottom w:val="0"/>
              <w:divBdr>
                <w:top w:val="none" w:sz="0" w:space="0" w:color="auto"/>
                <w:left w:val="none" w:sz="0" w:space="0" w:color="auto"/>
                <w:bottom w:val="none" w:sz="0" w:space="0" w:color="auto"/>
                <w:right w:val="none" w:sz="0" w:space="0" w:color="auto"/>
              </w:divBdr>
              <w:divsChild>
                <w:div w:id="949242561">
                  <w:marLeft w:val="0"/>
                  <w:marRight w:val="0"/>
                  <w:marTop w:val="0"/>
                  <w:marBottom w:val="0"/>
                  <w:divBdr>
                    <w:top w:val="none" w:sz="0" w:space="0" w:color="auto"/>
                    <w:left w:val="none" w:sz="0" w:space="0" w:color="auto"/>
                    <w:bottom w:val="none" w:sz="0" w:space="0" w:color="auto"/>
                    <w:right w:val="none" w:sz="0" w:space="0" w:color="auto"/>
                  </w:divBdr>
                  <w:divsChild>
                    <w:div w:id="1070881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5298123">
      <w:bodyDiv w:val="1"/>
      <w:marLeft w:val="0"/>
      <w:marRight w:val="0"/>
      <w:marTop w:val="0"/>
      <w:marBottom w:val="0"/>
      <w:divBdr>
        <w:top w:val="none" w:sz="0" w:space="0" w:color="auto"/>
        <w:left w:val="none" w:sz="0" w:space="0" w:color="auto"/>
        <w:bottom w:val="none" w:sz="0" w:space="0" w:color="auto"/>
        <w:right w:val="none" w:sz="0" w:space="0" w:color="auto"/>
      </w:divBdr>
      <w:divsChild>
        <w:div w:id="1791313436">
          <w:marLeft w:val="0"/>
          <w:marRight w:val="0"/>
          <w:marTop w:val="0"/>
          <w:marBottom w:val="0"/>
          <w:divBdr>
            <w:top w:val="none" w:sz="0" w:space="0" w:color="auto"/>
            <w:left w:val="none" w:sz="0" w:space="0" w:color="auto"/>
            <w:bottom w:val="none" w:sz="0" w:space="0" w:color="auto"/>
            <w:right w:val="none" w:sz="0" w:space="0" w:color="auto"/>
          </w:divBdr>
          <w:divsChild>
            <w:div w:id="1591235646">
              <w:marLeft w:val="0"/>
              <w:marRight w:val="0"/>
              <w:marTop w:val="0"/>
              <w:marBottom w:val="0"/>
              <w:divBdr>
                <w:top w:val="none" w:sz="0" w:space="0" w:color="auto"/>
                <w:left w:val="none" w:sz="0" w:space="0" w:color="auto"/>
                <w:bottom w:val="none" w:sz="0" w:space="0" w:color="auto"/>
                <w:right w:val="none" w:sz="0" w:space="0" w:color="auto"/>
              </w:divBdr>
              <w:divsChild>
                <w:div w:id="1850757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6956707">
      <w:bodyDiv w:val="1"/>
      <w:marLeft w:val="0"/>
      <w:marRight w:val="0"/>
      <w:marTop w:val="0"/>
      <w:marBottom w:val="0"/>
      <w:divBdr>
        <w:top w:val="none" w:sz="0" w:space="0" w:color="auto"/>
        <w:left w:val="none" w:sz="0" w:space="0" w:color="auto"/>
        <w:bottom w:val="none" w:sz="0" w:space="0" w:color="auto"/>
        <w:right w:val="none" w:sz="0" w:space="0" w:color="auto"/>
      </w:divBdr>
      <w:divsChild>
        <w:div w:id="1925993646">
          <w:marLeft w:val="0"/>
          <w:marRight w:val="0"/>
          <w:marTop w:val="0"/>
          <w:marBottom w:val="0"/>
          <w:divBdr>
            <w:top w:val="none" w:sz="0" w:space="0" w:color="auto"/>
            <w:left w:val="none" w:sz="0" w:space="0" w:color="auto"/>
            <w:bottom w:val="none" w:sz="0" w:space="0" w:color="auto"/>
            <w:right w:val="none" w:sz="0" w:space="0" w:color="auto"/>
          </w:divBdr>
          <w:divsChild>
            <w:div w:id="750735595">
              <w:marLeft w:val="0"/>
              <w:marRight w:val="0"/>
              <w:marTop w:val="0"/>
              <w:marBottom w:val="0"/>
              <w:divBdr>
                <w:top w:val="none" w:sz="0" w:space="0" w:color="auto"/>
                <w:left w:val="none" w:sz="0" w:space="0" w:color="auto"/>
                <w:bottom w:val="none" w:sz="0" w:space="0" w:color="auto"/>
                <w:right w:val="none" w:sz="0" w:space="0" w:color="auto"/>
              </w:divBdr>
              <w:divsChild>
                <w:div w:id="945190521">
                  <w:marLeft w:val="0"/>
                  <w:marRight w:val="0"/>
                  <w:marTop w:val="0"/>
                  <w:marBottom w:val="0"/>
                  <w:divBdr>
                    <w:top w:val="none" w:sz="0" w:space="0" w:color="auto"/>
                    <w:left w:val="none" w:sz="0" w:space="0" w:color="auto"/>
                    <w:bottom w:val="none" w:sz="0" w:space="0" w:color="auto"/>
                    <w:right w:val="none" w:sz="0" w:space="0" w:color="auto"/>
                  </w:divBdr>
                  <w:divsChild>
                    <w:div w:id="1984113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8089115">
      <w:bodyDiv w:val="1"/>
      <w:marLeft w:val="0"/>
      <w:marRight w:val="0"/>
      <w:marTop w:val="0"/>
      <w:marBottom w:val="0"/>
      <w:divBdr>
        <w:top w:val="none" w:sz="0" w:space="0" w:color="auto"/>
        <w:left w:val="none" w:sz="0" w:space="0" w:color="auto"/>
        <w:bottom w:val="none" w:sz="0" w:space="0" w:color="auto"/>
        <w:right w:val="none" w:sz="0" w:space="0" w:color="auto"/>
      </w:divBdr>
    </w:div>
    <w:div w:id="1083451817">
      <w:bodyDiv w:val="1"/>
      <w:marLeft w:val="0"/>
      <w:marRight w:val="0"/>
      <w:marTop w:val="0"/>
      <w:marBottom w:val="0"/>
      <w:divBdr>
        <w:top w:val="none" w:sz="0" w:space="0" w:color="auto"/>
        <w:left w:val="none" w:sz="0" w:space="0" w:color="auto"/>
        <w:bottom w:val="none" w:sz="0" w:space="0" w:color="auto"/>
        <w:right w:val="none" w:sz="0" w:space="0" w:color="auto"/>
      </w:divBdr>
      <w:divsChild>
        <w:div w:id="680087653">
          <w:marLeft w:val="0"/>
          <w:marRight w:val="0"/>
          <w:marTop w:val="0"/>
          <w:marBottom w:val="0"/>
          <w:divBdr>
            <w:top w:val="none" w:sz="0" w:space="0" w:color="auto"/>
            <w:left w:val="none" w:sz="0" w:space="0" w:color="auto"/>
            <w:bottom w:val="none" w:sz="0" w:space="0" w:color="auto"/>
            <w:right w:val="none" w:sz="0" w:space="0" w:color="auto"/>
          </w:divBdr>
          <w:divsChild>
            <w:div w:id="1355032173">
              <w:marLeft w:val="0"/>
              <w:marRight w:val="0"/>
              <w:marTop w:val="0"/>
              <w:marBottom w:val="0"/>
              <w:divBdr>
                <w:top w:val="none" w:sz="0" w:space="0" w:color="auto"/>
                <w:left w:val="none" w:sz="0" w:space="0" w:color="auto"/>
                <w:bottom w:val="none" w:sz="0" w:space="0" w:color="auto"/>
                <w:right w:val="none" w:sz="0" w:space="0" w:color="auto"/>
              </w:divBdr>
              <w:divsChild>
                <w:div w:id="50737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9565056">
      <w:bodyDiv w:val="1"/>
      <w:marLeft w:val="0"/>
      <w:marRight w:val="0"/>
      <w:marTop w:val="0"/>
      <w:marBottom w:val="0"/>
      <w:divBdr>
        <w:top w:val="none" w:sz="0" w:space="0" w:color="auto"/>
        <w:left w:val="none" w:sz="0" w:space="0" w:color="auto"/>
        <w:bottom w:val="none" w:sz="0" w:space="0" w:color="auto"/>
        <w:right w:val="none" w:sz="0" w:space="0" w:color="auto"/>
      </w:divBdr>
    </w:div>
    <w:div w:id="1108504967">
      <w:bodyDiv w:val="1"/>
      <w:marLeft w:val="0"/>
      <w:marRight w:val="0"/>
      <w:marTop w:val="0"/>
      <w:marBottom w:val="0"/>
      <w:divBdr>
        <w:top w:val="none" w:sz="0" w:space="0" w:color="auto"/>
        <w:left w:val="none" w:sz="0" w:space="0" w:color="auto"/>
        <w:bottom w:val="none" w:sz="0" w:space="0" w:color="auto"/>
        <w:right w:val="none" w:sz="0" w:space="0" w:color="auto"/>
      </w:divBdr>
      <w:divsChild>
        <w:div w:id="1563633275">
          <w:marLeft w:val="0"/>
          <w:marRight w:val="0"/>
          <w:marTop w:val="0"/>
          <w:marBottom w:val="0"/>
          <w:divBdr>
            <w:top w:val="none" w:sz="0" w:space="0" w:color="auto"/>
            <w:left w:val="none" w:sz="0" w:space="0" w:color="auto"/>
            <w:bottom w:val="none" w:sz="0" w:space="0" w:color="auto"/>
            <w:right w:val="none" w:sz="0" w:space="0" w:color="auto"/>
          </w:divBdr>
          <w:divsChild>
            <w:div w:id="557083921">
              <w:marLeft w:val="0"/>
              <w:marRight w:val="0"/>
              <w:marTop w:val="0"/>
              <w:marBottom w:val="0"/>
              <w:divBdr>
                <w:top w:val="none" w:sz="0" w:space="0" w:color="auto"/>
                <w:left w:val="none" w:sz="0" w:space="0" w:color="auto"/>
                <w:bottom w:val="none" w:sz="0" w:space="0" w:color="auto"/>
                <w:right w:val="none" w:sz="0" w:space="0" w:color="auto"/>
              </w:divBdr>
              <w:divsChild>
                <w:div w:id="1882554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5515455">
      <w:bodyDiv w:val="1"/>
      <w:marLeft w:val="0"/>
      <w:marRight w:val="0"/>
      <w:marTop w:val="0"/>
      <w:marBottom w:val="0"/>
      <w:divBdr>
        <w:top w:val="none" w:sz="0" w:space="0" w:color="auto"/>
        <w:left w:val="none" w:sz="0" w:space="0" w:color="auto"/>
        <w:bottom w:val="none" w:sz="0" w:space="0" w:color="auto"/>
        <w:right w:val="none" w:sz="0" w:space="0" w:color="auto"/>
      </w:divBdr>
    </w:div>
    <w:div w:id="1141729016">
      <w:bodyDiv w:val="1"/>
      <w:marLeft w:val="0"/>
      <w:marRight w:val="0"/>
      <w:marTop w:val="0"/>
      <w:marBottom w:val="0"/>
      <w:divBdr>
        <w:top w:val="none" w:sz="0" w:space="0" w:color="auto"/>
        <w:left w:val="none" w:sz="0" w:space="0" w:color="auto"/>
        <w:bottom w:val="none" w:sz="0" w:space="0" w:color="auto"/>
        <w:right w:val="none" w:sz="0" w:space="0" w:color="auto"/>
      </w:divBdr>
      <w:divsChild>
        <w:div w:id="154031529">
          <w:marLeft w:val="0"/>
          <w:marRight w:val="0"/>
          <w:marTop w:val="0"/>
          <w:marBottom w:val="0"/>
          <w:divBdr>
            <w:top w:val="none" w:sz="0" w:space="0" w:color="auto"/>
            <w:left w:val="none" w:sz="0" w:space="0" w:color="auto"/>
            <w:bottom w:val="none" w:sz="0" w:space="0" w:color="auto"/>
            <w:right w:val="none" w:sz="0" w:space="0" w:color="auto"/>
          </w:divBdr>
          <w:divsChild>
            <w:div w:id="1437408155">
              <w:marLeft w:val="0"/>
              <w:marRight w:val="0"/>
              <w:marTop w:val="0"/>
              <w:marBottom w:val="0"/>
              <w:divBdr>
                <w:top w:val="none" w:sz="0" w:space="0" w:color="auto"/>
                <w:left w:val="none" w:sz="0" w:space="0" w:color="auto"/>
                <w:bottom w:val="none" w:sz="0" w:space="0" w:color="auto"/>
                <w:right w:val="none" w:sz="0" w:space="0" w:color="auto"/>
              </w:divBdr>
              <w:divsChild>
                <w:div w:id="1254976889">
                  <w:marLeft w:val="0"/>
                  <w:marRight w:val="0"/>
                  <w:marTop w:val="0"/>
                  <w:marBottom w:val="0"/>
                  <w:divBdr>
                    <w:top w:val="none" w:sz="0" w:space="0" w:color="auto"/>
                    <w:left w:val="none" w:sz="0" w:space="0" w:color="auto"/>
                    <w:bottom w:val="none" w:sz="0" w:space="0" w:color="auto"/>
                    <w:right w:val="none" w:sz="0" w:space="0" w:color="auto"/>
                  </w:divBdr>
                  <w:divsChild>
                    <w:div w:id="1856383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7554544">
      <w:bodyDiv w:val="1"/>
      <w:marLeft w:val="0"/>
      <w:marRight w:val="0"/>
      <w:marTop w:val="0"/>
      <w:marBottom w:val="0"/>
      <w:divBdr>
        <w:top w:val="none" w:sz="0" w:space="0" w:color="auto"/>
        <w:left w:val="none" w:sz="0" w:space="0" w:color="auto"/>
        <w:bottom w:val="none" w:sz="0" w:space="0" w:color="auto"/>
        <w:right w:val="none" w:sz="0" w:space="0" w:color="auto"/>
      </w:divBdr>
    </w:div>
    <w:div w:id="1173035734">
      <w:bodyDiv w:val="1"/>
      <w:marLeft w:val="0"/>
      <w:marRight w:val="0"/>
      <w:marTop w:val="0"/>
      <w:marBottom w:val="0"/>
      <w:divBdr>
        <w:top w:val="none" w:sz="0" w:space="0" w:color="auto"/>
        <w:left w:val="none" w:sz="0" w:space="0" w:color="auto"/>
        <w:bottom w:val="none" w:sz="0" w:space="0" w:color="auto"/>
        <w:right w:val="none" w:sz="0" w:space="0" w:color="auto"/>
      </w:divBdr>
      <w:divsChild>
        <w:div w:id="1584071011">
          <w:marLeft w:val="0"/>
          <w:marRight w:val="0"/>
          <w:marTop w:val="0"/>
          <w:marBottom w:val="0"/>
          <w:divBdr>
            <w:top w:val="none" w:sz="0" w:space="0" w:color="auto"/>
            <w:left w:val="none" w:sz="0" w:space="0" w:color="auto"/>
            <w:bottom w:val="none" w:sz="0" w:space="0" w:color="auto"/>
            <w:right w:val="none" w:sz="0" w:space="0" w:color="auto"/>
          </w:divBdr>
          <w:divsChild>
            <w:div w:id="1883252761">
              <w:marLeft w:val="0"/>
              <w:marRight w:val="0"/>
              <w:marTop w:val="0"/>
              <w:marBottom w:val="0"/>
              <w:divBdr>
                <w:top w:val="none" w:sz="0" w:space="0" w:color="auto"/>
                <w:left w:val="none" w:sz="0" w:space="0" w:color="auto"/>
                <w:bottom w:val="none" w:sz="0" w:space="0" w:color="auto"/>
                <w:right w:val="none" w:sz="0" w:space="0" w:color="auto"/>
              </w:divBdr>
              <w:divsChild>
                <w:div w:id="1655988631">
                  <w:marLeft w:val="0"/>
                  <w:marRight w:val="0"/>
                  <w:marTop w:val="0"/>
                  <w:marBottom w:val="0"/>
                  <w:divBdr>
                    <w:top w:val="none" w:sz="0" w:space="0" w:color="auto"/>
                    <w:left w:val="none" w:sz="0" w:space="0" w:color="auto"/>
                    <w:bottom w:val="none" w:sz="0" w:space="0" w:color="auto"/>
                    <w:right w:val="none" w:sz="0" w:space="0" w:color="auto"/>
                  </w:divBdr>
                  <w:divsChild>
                    <w:div w:id="1230380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1164200">
      <w:bodyDiv w:val="1"/>
      <w:marLeft w:val="0"/>
      <w:marRight w:val="0"/>
      <w:marTop w:val="0"/>
      <w:marBottom w:val="0"/>
      <w:divBdr>
        <w:top w:val="none" w:sz="0" w:space="0" w:color="auto"/>
        <w:left w:val="none" w:sz="0" w:space="0" w:color="auto"/>
        <w:bottom w:val="none" w:sz="0" w:space="0" w:color="auto"/>
        <w:right w:val="none" w:sz="0" w:space="0" w:color="auto"/>
      </w:divBdr>
      <w:divsChild>
        <w:div w:id="2013488190">
          <w:marLeft w:val="0"/>
          <w:marRight w:val="0"/>
          <w:marTop w:val="0"/>
          <w:marBottom w:val="0"/>
          <w:divBdr>
            <w:top w:val="none" w:sz="0" w:space="0" w:color="auto"/>
            <w:left w:val="none" w:sz="0" w:space="0" w:color="auto"/>
            <w:bottom w:val="none" w:sz="0" w:space="0" w:color="auto"/>
            <w:right w:val="none" w:sz="0" w:space="0" w:color="auto"/>
          </w:divBdr>
          <w:divsChild>
            <w:div w:id="33234746">
              <w:marLeft w:val="0"/>
              <w:marRight w:val="0"/>
              <w:marTop w:val="0"/>
              <w:marBottom w:val="0"/>
              <w:divBdr>
                <w:top w:val="none" w:sz="0" w:space="0" w:color="auto"/>
                <w:left w:val="none" w:sz="0" w:space="0" w:color="auto"/>
                <w:bottom w:val="none" w:sz="0" w:space="0" w:color="auto"/>
                <w:right w:val="none" w:sz="0" w:space="0" w:color="auto"/>
              </w:divBdr>
              <w:divsChild>
                <w:div w:id="13119441">
                  <w:marLeft w:val="0"/>
                  <w:marRight w:val="0"/>
                  <w:marTop w:val="0"/>
                  <w:marBottom w:val="0"/>
                  <w:divBdr>
                    <w:top w:val="none" w:sz="0" w:space="0" w:color="auto"/>
                    <w:left w:val="none" w:sz="0" w:space="0" w:color="auto"/>
                    <w:bottom w:val="none" w:sz="0" w:space="0" w:color="auto"/>
                    <w:right w:val="none" w:sz="0" w:space="0" w:color="auto"/>
                  </w:divBdr>
                  <w:divsChild>
                    <w:div w:id="1295939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7425464">
      <w:bodyDiv w:val="1"/>
      <w:marLeft w:val="0"/>
      <w:marRight w:val="0"/>
      <w:marTop w:val="0"/>
      <w:marBottom w:val="0"/>
      <w:divBdr>
        <w:top w:val="none" w:sz="0" w:space="0" w:color="auto"/>
        <w:left w:val="none" w:sz="0" w:space="0" w:color="auto"/>
        <w:bottom w:val="none" w:sz="0" w:space="0" w:color="auto"/>
        <w:right w:val="none" w:sz="0" w:space="0" w:color="auto"/>
      </w:divBdr>
    </w:div>
    <w:div w:id="1244951878">
      <w:bodyDiv w:val="1"/>
      <w:marLeft w:val="0"/>
      <w:marRight w:val="0"/>
      <w:marTop w:val="0"/>
      <w:marBottom w:val="0"/>
      <w:divBdr>
        <w:top w:val="none" w:sz="0" w:space="0" w:color="auto"/>
        <w:left w:val="none" w:sz="0" w:space="0" w:color="auto"/>
        <w:bottom w:val="none" w:sz="0" w:space="0" w:color="auto"/>
        <w:right w:val="none" w:sz="0" w:space="0" w:color="auto"/>
      </w:divBdr>
      <w:divsChild>
        <w:div w:id="986393228">
          <w:marLeft w:val="0"/>
          <w:marRight w:val="0"/>
          <w:marTop w:val="0"/>
          <w:marBottom w:val="0"/>
          <w:divBdr>
            <w:top w:val="none" w:sz="0" w:space="0" w:color="auto"/>
            <w:left w:val="none" w:sz="0" w:space="0" w:color="auto"/>
            <w:bottom w:val="none" w:sz="0" w:space="0" w:color="auto"/>
            <w:right w:val="none" w:sz="0" w:space="0" w:color="auto"/>
          </w:divBdr>
          <w:divsChild>
            <w:div w:id="1959605950">
              <w:marLeft w:val="0"/>
              <w:marRight w:val="0"/>
              <w:marTop w:val="0"/>
              <w:marBottom w:val="0"/>
              <w:divBdr>
                <w:top w:val="none" w:sz="0" w:space="0" w:color="auto"/>
                <w:left w:val="none" w:sz="0" w:space="0" w:color="auto"/>
                <w:bottom w:val="none" w:sz="0" w:space="0" w:color="auto"/>
                <w:right w:val="none" w:sz="0" w:space="0" w:color="auto"/>
              </w:divBdr>
              <w:divsChild>
                <w:div w:id="1090195200">
                  <w:marLeft w:val="0"/>
                  <w:marRight w:val="0"/>
                  <w:marTop w:val="0"/>
                  <w:marBottom w:val="0"/>
                  <w:divBdr>
                    <w:top w:val="none" w:sz="0" w:space="0" w:color="auto"/>
                    <w:left w:val="none" w:sz="0" w:space="0" w:color="auto"/>
                    <w:bottom w:val="none" w:sz="0" w:space="0" w:color="auto"/>
                    <w:right w:val="none" w:sz="0" w:space="0" w:color="auto"/>
                  </w:divBdr>
                  <w:divsChild>
                    <w:div w:id="276719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7113107">
      <w:bodyDiv w:val="1"/>
      <w:marLeft w:val="0"/>
      <w:marRight w:val="0"/>
      <w:marTop w:val="0"/>
      <w:marBottom w:val="0"/>
      <w:divBdr>
        <w:top w:val="none" w:sz="0" w:space="0" w:color="auto"/>
        <w:left w:val="none" w:sz="0" w:space="0" w:color="auto"/>
        <w:bottom w:val="none" w:sz="0" w:space="0" w:color="auto"/>
        <w:right w:val="none" w:sz="0" w:space="0" w:color="auto"/>
      </w:divBdr>
      <w:divsChild>
        <w:div w:id="590165318">
          <w:marLeft w:val="0"/>
          <w:marRight w:val="0"/>
          <w:marTop w:val="0"/>
          <w:marBottom w:val="0"/>
          <w:divBdr>
            <w:top w:val="none" w:sz="0" w:space="0" w:color="auto"/>
            <w:left w:val="none" w:sz="0" w:space="0" w:color="auto"/>
            <w:bottom w:val="none" w:sz="0" w:space="0" w:color="auto"/>
            <w:right w:val="none" w:sz="0" w:space="0" w:color="auto"/>
          </w:divBdr>
          <w:divsChild>
            <w:div w:id="1365323036">
              <w:marLeft w:val="0"/>
              <w:marRight w:val="0"/>
              <w:marTop w:val="0"/>
              <w:marBottom w:val="0"/>
              <w:divBdr>
                <w:top w:val="none" w:sz="0" w:space="0" w:color="auto"/>
                <w:left w:val="none" w:sz="0" w:space="0" w:color="auto"/>
                <w:bottom w:val="none" w:sz="0" w:space="0" w:color="auto"/>
                <w:right w:val="none" w:sz="0" w:space="0" w:color="auto"/>
              </w:divBdr>
              <w:divsChild>
                <w:div w:id="1669283249">
                  <w:marLeft w:val="0"/>
                  <w:marRight w:val="0"/>
                  <w:marTop w:val="0"/>
                  <w:marBottom w:val="0"/>
                  <w:divBdr>
                    <w:top w:val="none" w:sz="0" w:space="0" w:color="auto"/>
                    <w:left w:val="none" w:sz="0" w:space="0" w:color="auto"/>
                    <w:bottom w:val="none" w:sz="0" w:space="0" w:color="auto"/>
                    <w:right w:val="none" w:sz="0" w:space="0" w:color="auto"/>
                  </w:divBdr>
                  <w:divsChild>
                    <w:div w:id="1316031587">
                      <w:marLeft w:val="0"/>
                      <w:marRight w:val="0"/>
                      <w:marTop w:val="0"/>
                      <w:marBottom w:val="0"/>
                      <w:divBdr>
                        <w:top w:val="none" w:sz="0" w:space="0" w:color="auto"/>
                        <w:left w:val="none" w:sz="0" w:space="0" w:color="auto"/>
                        <w:bottom w:val="none" w:sz="0" w:space="0" w:color="auto"/>
                        <w:right w:val="none" w:sz="0" w:space="0" w:color="auto"/>
                      </w:divBdr>
                    </w:div>
                    <w:div w:id="1074201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3515908">
      <w:bodyDiv w:val="1"/>
      <w:marLeft w:val="0"/>
      <w:marRight w:val="0"/>
      <w:marTop w:val="0"/>
      <w:marBottom w:val="0"/>
      <w:divBdr>
        <w:top w:val="none" w:sz="0" w:space="0" w:color="auto"/>
        <w:left w:val="none" w:sz="0" w:space="0" w:color="auto"/>
        <w:bottom w:val="none" w:sz="0" w:space="0" w:color="auto"/>
        <w:right w:val="none" w:sz="0" w:space="0" w:color="auto"/>
      </w:divBdr>
    </w:div>
    <w:div w:id="1282767803">
      <w:bodyDiv w:val="1"/>
      <w:marLeft w:val="0"/>
      <w:marRight w:val="0"/>
      <w:marTop w:val="0"/>
      <w:marBottom w:val="0"/>
      <w:divBdr>
        <w:top w:val="none" w:sz="0" w:space="0" w:color="auto"/>
        <w:left w:val="none" w:sz="0" w:space="0" w:color="auto"/>
        <w:bottom w:val="none" w:sz="0" w:space="0" w:color="auto"/>
        <w:right w:val="none" w:sz="0" w:space="0" w:color="auto"/>
      </w:divBdr>
      <w:divsChild>
        <w:div w:id="525146022">
          <w:marLeft w:val="0"/>
          <w:marRight w:val="0"/>
          <w:marTop w:val="0"/>
          <w:marBottom w:val="0"/>
          <w:divBdr>
            <w:top w:val="none" w:sz="0" w:space="0" w:color="auto"/>
            <w:left w:val="none" w:sz="0" w:space="0" w:color="auto"/>
            <w:bottom w:val="none" w:sz="0" w:space="0" w:color="auto"/>
            <w:right w:val="none" w:sz="0" w:space="0" w:color="auto"/>
          </w:divBdr>
        </w:div>
        <w:div w:id="1318260876">
          <w:marLeft w:val="0"/>
          <w:marRight w:val="0"/>
          <w:marTop w:val="0"/>
          <w:marBottom w:val="0"/>
          <w:divBdr>
            <w:top w:val="none" w:sz="0" w:space="0" w:color="auto"/>
            <w:left w:val="none" w:sz="0" w:space="0" w:color="auto"/>
            <w:bottom w:val="none" w:sz="0" w:space="0" w:color="auto"/>
            <w:right w:val="none" w:sz="0" w:space="0" w:color="auto"/>
          </w:divBdr>
        </w:div>
      </w:divsChild>
    </w:div>
    <w:div w:id="1306199398">
      <w:bodyDiv w:val="1"/>
      <w:marLeft w:val="0"/>
      <w:marRight w:val="0"/>
      <w:marTop w:val="0"/>
      <w:marBottom w:val="0"/>
      <w:divBdr>
        <w:top w:val="none" w:sz="0" w:space="0" w:color="auto"/>
        <w:left w:val="none" w:sz="0" w:space="0" w:color="auto"/>
        <w:bottom w:val="none" w:sz="0" w:space="0" w:color="auto"/>
        <w:right w:val="none" w:sz="0" w:space="0" w:color="auto"/>
      </w:divBdr>
    </w:div>
    <w:div w:id="1313754123">
      <w:bodyDiv w:val="1"/>
      <w:marLeft w:val="0"/>
      <w:marRight w:val="0"/>
      <w:marTop w:val="0"/>
      <w:marBottom w:val="0"/>
      <w:divBdr>
        <w:top w:val="none" w:sz="0" w:space="0" w:color="auto"/>
        <w:left w:val="none" w:sz="0" w:space="0" w:color="auto"/>
        <w:bottom w:val="none" w:sz="0" w:space="0" w:color="auto"/>
        <w:right w:val="none" w:sz="0" w:space="0" w:color="auto"/>
      </w:divBdr>
    </w:div>
    <w:div w:id="1317419403">
      <w:bodyDiv w:val="1"/>
      <w:marLeft w:val="0"/>
      <w:marRight w:val="0"/>
      <w:marTop w:val="0"/>
      <w:marBottom w:val="0"/>
      <w:divBdr>
        <w:top w:val="none" w:sz="0" w:space="0" w:color="auto"/>
        <w:left w:val="none" w:sz="0" w:space="0" w:color="auto"/>
        <w:bottom w:val="none" w:sz="0" w:space="0" w:color="auto"/>
        <w:right w:val="none" w:sz="0" w:space="0" w:color="auto"/>
      </w:divBdr>
      <w:divsChild>
        <w:div w:id="463500688">
          <w:marLeft w:val="0"/>
          <w:marRight w:val="0"/>
          <w:marTop w:val="0"/>
          <w:marBottom w:val="0"/>
          <w:divBdr>
            <w:top w:val="none" w:sz="0" w:space="0" w:color="auto"/>
            <w:left w:val="none" w:sz="0" w:space="0" w:color="auto"/>
            <w:bottom w:val="none" w:sz="0" w:space="0" w:color="auto"/>
            <w:right w:val="none" w:sz="0" w:space="0" w:color="auto"/>
          </w:divBdr>
          <w:divsChild>
            <w:div w:id="1150288860">
              <w:marLeft w:val="0"/>
              <w:marRight w:val="0"/>
              <w:marTop w:val="0"/>
              <w:marBottom w:val="0"/>
              <w:divBdr>
                <w:top w:val="none" w:sz="0" w:space="0" w:color="auto"/>
                <w:left w:val="none" w:sz="0" w:space="0" w:color="auto"/>
                <w:bottom w:val="none" w:sz="0" w:space="0" w:color="auto"/>
                <w:right w:val="none" w:sz="0" w:space="0" w:color="auto"/>
              </w:divBdr>
              <w:divsChild>
                <w:div w:id="1296446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4972560">
      <w:bodyDiv w:val="1"/>
      <w:marLeft w:val="0"/>
      <w:marRight w:val="0"/>
      <w:marTop w:val="0"/>
      <w:marBottom w:val="0"/>
      <w:divBdr>
        <w:top w:val="none" w:sz="0" w:space="0" w:color="auto"/>
        <w:left w:val="none" w:sz="0" w:space="0" w:color="auto"/>
        <w:bottom w:val="none" w:sz="0" w:space="0" w:color="auto"/>
        <w:right w:val="none" w:sz="0" w:space="0" w:color="auto"/>
      </w:divBdr>
      <w:divsChild>
        <w:div w:id="728503863">
          <w:marLeft w:val="0"/>
          <w:marRight w:val="0"/>
          <w:marTop w:val="0"/>
          <w:marBottom w:val="0"/>
          <w:divBdr>
            <w:top w:val="none" w:sz="0" w:space="0" w:color="auto"/>
            <w:left w:val="none" w:sz="0" w:space="0" w:color="auto"/>
            <w:bottom w:val="none" w:sz="0" w:space="0" w:color="auto"/>
            <w:right w:val="none" w:sz="0" w:space="0" w:color="auto"/>
          </w:divBdr>
        </w:div>
        <w:div w:id="1493907349">
          <w:marLeft w:val="0"/>
          <w:marRight w:val="0"/>
          <w:marTop w:val="0"/>
          <w:marBottom w:val="0"/>
          <w:divBdr>
            <w:top w:val="none" w:sz="0" w:space="0" w:color="auto"/>
            <w:left w:val="none" w:sz="0" w:space="0" w:color="auto"/>
            <w:bottom w:val="none" w:sz="0" w:space="0" w:color="auto"/>
            <w:right w:val="none" w:sz="0" w:space="0" w:color="auto"/>
          </w:divBdr>
        </w:div>
        <w:div w:id="1518498897">
          <w:marLeft w:val="0"/>
          <w:marRight w:val="0"/>
          <w:marTop w:val="0"/>
          <w:marBottom w:val="0"/>
          <w:divBdr>
            <w:top w:val="none" w:sz="0" w:space="0" w:color="auto"/>
            <w:left w:val="none" w:sz="0" w:space="0" w:color="auto"/>
            <w:bottom w:val="none" w:sz="0" w:space="0" w:color="auto"/>
            <w:right w:val="none" w:sz="0" w:space="0" w:color="auto"/>
          </w:divBdr>
        </w:div>
        <w:div w:id="1941522916">
          <w:marLeft w:val="0"/>
          <w:marRight w:val="0"/>
          <w:marTop w:val="0"/>
          <w:marBottom w:val="0"/>
          <w:divBdr>
            <w:top w:val="none" w:sz="0" w:space="0" w:color="auto"/>
            <w:left w:val="none" w:sz="0" w:space="0" w:color="auto"/>
            <w:bottom w:val="none" w:sz="0" w:space="0" w:color="auto"/>
            <w:right w:val="none" w:sz="0" w:space="0" w:color="auto"/>
          </w:divBdr>
        </w:div>
        <w:div w:id="1333726900">
          <w:marLeft w:val="0"/>
          <w:marRight w:val="0"/>
          <w:marTop w:val="0"/>
          <w:marBottom w:val="0"/>
          <w:divBdr>
            <w:top w:val="none" w:sz="0" w:space="0" w:color="auto"/>
            <w:left w:val="none" w:sz="0" w:space="0" w:color="auto"/>
            <w:bottom w:val="none" w:sz="0" w:space="0" w:color="auto"/>
            <w:right w:val="none" w:sz="0" w:space="0" w:color="auto"/>
          </w:divBdr>
        </w:div>
        <w:div w:id="354043844">
          <w:marLeft w:val="0"/>
          <w:marRight w:val="0"/>
          <w:marTop w:val="0"/>
          <w:marBottom w:val="0"/>
          <w:divBdr>
            <w:top w:val="none" w:sz="0" w:space="0" w:color="auto"/>
            <w:left w:val="none" w:sz="0" w:space="0" w:color="auto"/>
            <w:bottom w:val="none" w:sz="0" w:space="0" w:color="auto"/>
            <w:right w:val="none" w:sz="0" w:space="0" w:color="auto"/>
          </w:divBdr>
        </w:div>
      </w:divsChild>
    </w:div>
    <w:div w:id="1334842545">
      <w:bodyDiv w:val="1"/>
      <w:marLeft w:val="0"/>
      <w:marRight w:val="0"/>
      <w:marTop w:val="0"/>
      <w:marBottom w:val="0"/>
      <w:divBdr>
        <w:top w:val="none" w:sz="0" w:space="0" w:color="auto"/>
        <w:left w:val="none" w:sz="0" w:space="0" w:color="auto"/>
        <w:bottom w:val="none" w:sz="0" w:space="0" w:color="auto"/>
        <w:right w:val="none" w:sz="0" w:space="0" w:color="auto"/>
      </w:divBdr>
      <w:divsChild>
        <w:div w:id="1064061082">
          <w:marLeft w:val="0"/>
          <w:marRight w:val="0"/>
          <w:marTop w:val="0"/>
          <w:marBottom w:val="0"/>
          <w:divBdr>
            <w:top w:val="none" w:sz="0" w:space="0" w:color="auto"/>
            <w:left w:val="none" w:sz="0" w:space="0" w:color="auto"/>
            <w:bottom w:val="none" w:sz="0" w:space="0" w:color="auto"/>
            <w:right w:val="none" w:sz="0" w:space="0" w:color="auto"/>
          </w:divBdr>
          <w:divsChild>
            <w:div w:id="1350252906">
              <w:marLeft w:val="0"/>
              <w:marRight w:val="0"/>
              <w:marTop w:val="0"/>
              <w:marBottom w:val="0"/>
              <w:divBdr>
                <w:top w:val="none" w:sz="0" w:space="0" w:color="auto"/>
                <w:left w:val="none" w:sz="0" w:space="0" w:color="auto"/>
                <w:bottom w:val="none" w:sz="0" w:space="0" w:color="auto"/>
                <w:right w:val="none" w:sz="0" w:space="0" w:color="auto"/>
              </w:divBdr>
              <w:divsChild>
                <w:div w:id="194735334">
                  <w:marLeft w:val="0"/>
                  <w:marRight w:val="0"/>
                  <w:marTop w:val="0"/>
                  <w:marBottom w:val="0"/>
                  <w:divBdr>
                    <w:top w:val="none" w:sz="0" w:space="0" w:color="auto"/>
                    <w:left w:val="none" w:sz="0" w:space="0" w:color="auto"/>
                    <w:bottom w:val="none" w:sz="0" w:space="0" w:color="auto"/>
                    <w:right w:val="none" w:sz="0" w:space="0" w:color="auto"/>
                  </w:divBdr>
                  <w:divsChild>
                    <w:div w:id="1127505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9625590">
      <w:bodyDiv w:val="1"/>
      <w:marLeft w:val="0"/>
      <w:marRight w:val="0"/>
      <w:marTop w:val="0"/>
      <w:marBottom w:val="0"/>
      <w:divBdr>
        <w:top w:val="none" w:sz="0" w:space="0" w:color="auto"/>
        <w:left w:val="none" w:sz="0" w:space="0" w:color="auto"/>
        <w:bottom w:val="none" w:sz="0" w:space="0" w:color="auto"/>
        <w:right w:val="none" w:sz="0" w:space="0" w:color="auto"/>
      </w:divBdr>
    </w:div>
    <w:div w:id="1370688855">
      <w:bodyDiv w:val="1"/>
      <w:marLeft w:val="0"/>
      <w:marRight w:val="0"/>
      <w:marTop w:val="0"/>
      <w:marBottom w:val="0"/>
      <w:divBdr>
        <w:top w:val="none" w:sz="0" w:space="0" w:color="auto"/>
        <w:left w:val="none" w:sz="0" w:space="0" w:color="auto"/>
        <w:bottom w:val="none" w:sz="0" w:space="0" w:color="auto"/>
        <w:right w:val="none" w:sz="0" w:space="0" w:color="auto"/>
      </w:divBdr>
    </w:div>
    <w:div w:id="1372874637">
      <w:bodyDiv w:val="1"/>
      <w:marLeft w:val="0"/>
      <w:marRight w:val="0"/>
      <w:marTop w:val="0"/>
      <w:marBottom w:val="0"/>
      <w:divBdr>
        <w:top w:val="none" w:sz="0" w:space="0" w:color="auto"/>
        <w:left w:val="none" w:sz="0" w:space="0" w:color="auto"/>
        <w:bottom w:val="none" w:sz="0" w:space="0" w:color="auto"/>
        <w:right w:val="none" w:sz="0" w:space="0" w:color="auto"/>
      </w:divBdr>
      <w:divsChild>
        <w:div w:id="282738281">
          <w:marLeft w:val="0"/>
          <w:marRight w:val="0"/>
          <w:marTop w:val="0"/>
          <w:marBottom w:val="0"/>
          <w:divBdr>
            <w:top w:val="none" w:sz="0" w:space="0" w:color="auto"/>
            <w:left w:val="none" w:sz="0" w:space="0" w:color="auto"/>
            <w:bottom w:val="none" w:sz="0" w:space="0" w:color="auto"/>
            <w:right w:val="none" w:sz="0" w:space="0" w:color="auto"/>
          </w:divBdr>
          <w:divsChild>
            <w:div w:id="275722177">
              <w:marLeft w:val="0"/>
              <w:marRight w:val="0"/>
              <w:marTop w:val="0"/>
              <w:marBottom w:val="0"/>
              <w:divBdr>
                <w:top w:val="none" w:sz="0" w:space="0" w:color="auto"/>
                <w:left w:val="none" w:sz="0" w:space="0" w:color="auto"/>
                <w:bottom w:val="none" w:sz="0" w:space="0" w:color="auto"/>
                <w:right w:val="none" w:sz="0" w:space="0" w:color="auto"/>
              </w:divBdr>
              <w:divsChild>
                <w:div w:id="801733584">
                  <w:marLeft w:val="0"/>
                  <w:marRight w:val="0"/>
                  <w:marTop w:val="0"/>
                  <w:marBottom w:val="0"/>
                  <w:divBdr>
                    <w:top w:val="none" w:sz="0" w:space="0" w:color="auto"/>
                    <w:left w:val="none" w:sz="0" w:space="0" w:color="auto"/>
                    <w:bottom w:val="none" w:sz="0" w:space="0" w:color="auto"/>
                    <w:right w:val="none" w:sz="0" w:space="0" w:color="auto"/>
                  </w:divBdr>
                  <w:divsChild>
                    <w:div w:id="1087650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3092608">
      <w:bodyDiv w:val="1"/>
      <w:marLeft w:val="0"/>
      <w:marRight w:val="0"/>
      <w:marTop w:val="0"/>
      <w:marBottom w:val="0"/>
      <w:divBdr>
        <w:top w:val="none" w:sz="0" w:space="0" w:color="auto"/>
        <w:left w:val="none" w:sz="0" w:space="0" w:color="auto"/>
        <w:bottom w:val="none" w:sz="0" w:space="0" w:color="auto"/>
        <w:right w:val="none" w:sz="0" w:space="0" w:color="auto"/>
      </w:divBdr>
    </w:div>
    <w:div w:id="1415512497">
      <w:bodyDiv w:val="1"/>
      <w:marLeft w:val="0"/>
      <w:marRight w:val="0"/>
      <w:marTop w:val="0"/>
      <w:marBottom w:val="0"/>
      <w:divBdr>
        <w:top w:val="none" w:sz="0" w:space="0" w:color="auto"/>
        <w:left w:val="none" w:sz="0" w:space="0" w:color="auto"/>
        <w:bottom w:val="none" w:sz="0" w:space="0" w:color="auto"/>
        <w:right w:val="none" w:sz="0" w:space="0" w:color="auto"/>
      </w:divBdr>
    </w:div>
    <w:div w:id="1420249035">
      <w:bodyDiv w:val="1"/>
      <w:marLeft w:val="0"/>
      <w:marRight w:val="0"/>
      <w:marTop w:val="0"/>
      <w:marBottom w:val="0"/>
      <w:divBdr>
        <w:top w:val="none" w:sz="0" w:space="0" w:color="auto"/>
        <w:left w:val="none" w:sz="0" w:space="0" w:color="auto"/>
        <w:bottom w:val="none" w:sz="0" w:space="0" w:color="auto"/>
        <w:right w:val="none" w:sz="0" w:space="0" w:color="auto"/>
      </w:divBdr>
    </w:div>
    <w:div w:id="1427966210">
      <w:bodyDiv w:val="1"/>
      <w:marLeft w:val="0"/>
      <w:marRight w:val="0"/>
      <w:marTop w:val="0"/>
      <w:marBottom w:val="0"/>
      <w:divBdr>
        <w:top w:val="none" w:sz="0" w:space="0" w:color="auto"/>
        <w:left w:val="none" w:sz="0" w:space="0" w:color="auto"/>
        <w:bottom w:val="none" w:sz="0" w:space="0" w:color="auto"/>
        <w:right w:val="none" w:sz="0" w:space="0" w:color="auto"/>
      </w:divBdr>
      <w:divsChild>
        <w:div w:id="921721067">
          <w:marLeft w:val="0"/>
          <w:marRight w:val="0"/>
          <w:marTop w:val="0"/>
          <w:marBottom w:val="0"/>
          <w:divBdr>
            <w:top w:val="none" w:sz="0" w:space="0" w:color="auto"/>
            <w:left w:val="none" w:sz="0" w:space="0" w:color="auto"/>
            <w:bottom w:val="none" w:sz="0" w:space="0" w:color="auto"/>
            <w:right w:val="none" w:sz="0" w:space="0" w:color="auto"/>
          </w:divBdr>
          <w:divsChild>
            <w:div w:id="153228741">
              <w:marLeft w:val="0"/>
              <w:marRight w:val="0"/>
              <w:marTop w:val="0"/>
              <w:marBottom w:val="0"/>
              <w:divBdr>
                <w:top w:val="none" w:sz="0" w:space="0" w:color="auto"/>
                <w:left w:val="none" w:sz="0" w:space="0" w:color="auto"/>
                <w:bottom w:val="none" w:sz="0" w:space="0" w:color="auto"/>
                <w:right w:val="none" w:sz="0" w:space="0" w:color="auto"/>
              </w:divBdr>
              <w:divsChild>
                <w:div w:id="1438675733">
                  <w:marLeft w:val="0"/>
                  <w:marRight w:val="0"/>
                  <w:marTop w:val="0"/>
                  <w:marBottom w:val="0"/>
                  <w:divBdr>
                    <w:top w:val="none" w:sz="0" w:space="0" w:color="auto"/>
                    <w:left w:val="none" w:sz="0" w:space="0" w:color="auto"/>
                    <w:bottom w:val="none" w:sz="0" w:space="0" w:color="auto"/>
                    <w:right w:val="none" w:sz="0" w:space="0" w:color="auto"/>
                  </w:divBdr>
                  <w:divsChild>
                    <w:div w:id="1055154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8038605">
      <w:bodyDiv w:val="1"/>
      <w:marLeft w:val="0"/>
      <w:marRight w:val="0"/>
      <w:marTop w:val="0"/>
      <w:marBottom w:val="0"/>
      <w:divBdr>
        <w:top w:val="none" w:sz="0" w:space="0" w:color="auto"/>
        <w:left w:val="none" w:sz="0" w:space="0" w:color="auto"/>
        <w:bottom w:val="none" w:sz="0" w:space="0" w:color="auto"/>
        <w:right w:val="none" w:sz="0" w:space="0" w:color="auto"/>
      </w:divBdr>
    </w:div>
    <w:div w:id="1436944994">
      <w:bodyDiv w:val="1"/>
      <w:marLeft w:val="0"/>
      <w:marRight w:val="0"/>
      <w:marTop w:val="0"/>
      <w:marBottom w:val="0"/>
      <w:divBdr>
        <w:top w:val="none" w:sz="0" w:space="0" w:color="auto"/>
        <w:left w:val="none" w:sz="0" w:space="0" w:color="auto"/>
        <w:bottom w:val="none" w:sz="0" w:space="0" w:color="auto"/>
        <w:right w:val="none" w:sz="0" w:space="0" w:color="auto"/>
      </w:divBdr>
      <w:divsChild>
        <w:div w:id="952829477">
          <w:marLeft w:val="0"/>
          <w:marRight w:val="0"/>
          <w:marTop w:val="0"/>
          <w:marBottom w:val="0"/>
          <w:divBdr>
            <w:top w:val="none" w:sz="0" w:space="0" w:color="auto"/>
            <w:left w:val="none" w:sz="0" w:space="0" w:color="auto"/>
            <w:bottom w:val="none" w:sz="0" w:space="0" w:color="auto"/>
            <w:right w:val="none" w:sz="0" w:space="0" w:color="auto"/>
          </w:divBdr>
          <w:divsChild>
            <w:div w:id="700056394">
              <w:marLeft w:val="0"/>
              <w:marRight w:val="0"/>
              <w:marTop w:val="0"/>
              <w:marBottom w:val="0"/>
              <w:divBdr>
                <w:top w:val="none" w:sz="0" w:space="0" w:color="auto"/>
                <w:left w:val="none" w:sz="0" w:space="0" w:color="auto"/>
                <w:bottom w:val="none" w:sz="0" w:space="0" w:color="auto"/>
                <w:right w:val="none" w:sz="0" w:space="0" w:color="auto"/>
              </w:divBdr>
              <w:divsChild>
                <w:div w:id="509762467">
                  <w:marLeft w:val="0"/>
                  <w:marRight w:val="0"/>
                  <w:marTop w:val="0"/>
                  <w:marBottom w:val="0"/>
                  <w:divBdr>
                    <w:top w:val="none" w:sz="0" w:space="0" w:color="auto"/>
                    <w:left w:val="none" w:sz="0" w:space="0" w:color="auto"/>
                    <w:bottom w:val="none" w:sz="0" w:space="0" w:color="auto"/>
                    <w:right w:val="none" w:sz="0" w:space="0" w:color="auto"/>
                  </w:divBdr>
                  <w:divsChild>
                    <w:div w:id="1000304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4714542">
      <w:bodyDiv w:val="1"/>
      <w:marLeft w:val="0"/>
      <w:marRight w:val="0"/>
      <w:marTop w:val="0"/>
      <w:marBottom w:val="0"/>
      <w:divBdr>
        <w:top w:val="none" w:sz="0" w:space="0" w:color="auto"/>
        <w:left w:val="none" w:sz="0" w:space="0" w:color="auto"/>
        <w:bottom w:val="none" w:sz="0" w:space="0" w:color="auto"/>
        <w:right w:val="none" w:sz="0" w:space="0" w:color="auto"/>
      </w:divBdr>
      <w:divsChild>
        <w:div w:id="635523804">
          <w:marLeft w:val="0"/>
          <w:marRight w:val="0"/>
          <w:marTop w:val="0"/>
          <w:marBottom w:val="0"/>
          <w:divBdr>
            <w:top w:val="none" w:sz="0" w:space="0" w:color="auto"/>
            <w:left w:val="none" w:sz="0" w:space="0" w:color="auto"/>
            <w:bottom w:val="none" w:sz="0" w:space="0" w:color="auto"/>
            <w:right w:val="none" w:sz="0" w:space="0" w:color="auto"/>
          </w:divBdr>
          <w:divsChild>
            <w:div w:id="840660411">
              <w:marLeft w:val="0"/>
              <w:marRight w:val="0"/>
              <w:marTop w:val="0"/>
              <w:marBottom w:val="0"/>
              <w:divBdr>
                <w:top w:val="none" w:sz="0" w:space="0" w:color="auto"/>
                <w:left w:val="none" w:sz="0" w:space="0" w:color="auto"/>
                <w:bottom w:val="none" w:sz="0" w:space="0" w:color="auto"/>
                <w:right w:val="none" w:sz="0" w:space="0" w:color="auto"/>
              </w:divBdr>
              <w:divsChild>
                <w:div w:id="1386022894">
                  <w:marLeft w:val="0"/>
                  <w:marRight w:val="0"/>
                  <w:marTop w:val="0"/>
                  <w:marBottom w:val="0"/>
                  <w:divBdr>
                    <w:top w:val="none" w:sz="0" w:space="0" w:color="auto"/>
                    <w:left w:val="none" w:sz="0" w:space="0" w:color="auto"/>
                    <w:bottom w:val="none" w:sz="0" w:space="0" w:color="auto"/>
                    <w:right w:val="none" w:sz="0" w:space="0" w:color="auto"/>
                  </w:divBdr>
                  <w:divsChild>
                    <w:div w:id="2113623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1117888">
      <w:bodyDiv w:val="1"/>
      <w:marLeft w:val="0"/>
      <w:marRight w:val="0"/>
      <w:marTop w:val="0"/>
      <w:marBottom w:val="0"/>
      <w:divBdr>
        <w:top w:val="none" w:sz="0" w:space="0" w:color="auto"/>
        <w:left w:val="none" w:sz="0" w:space="0" w:color="auto"/>
        <w:bottom w:val="none" w:sz="0" w:space="0" w:color="auto"/>
        <w:right w:val="none" w:sz="0" w:space="0" w:color="auto"/>
      </w:divBdr>
    </w:div>
    <w:div w:id="1555001760">
      <w:bodyDiv w:val="1"/>
      <w:marLeft w:val="0"/>
      <w:marRight w:val="0"/>
      <w:marTop w:val="0"/>
      <w:marBottom w:val="0"/>
      <w:divBdr>
        <w:top w:val="none" w:sz="0" w:space="0" w:color="auto"/>
        <w:left w:val="none" w:sz="0" w:space="0" w:color="auto"/>
        <w:bottom w:val="none" w:sz="0" w:space="0" w:color="auto"/>
        <w:right w:val="none" w:sz="0" w:space="0" w:color="auto"/>
      </w:divBdr>
      <w:divsChild>
        <w:div w:id="547886487">
          <w:marLeft w:val="0"/>
          <w:marRight w:val="0"/>
          <w:marTop w:val="0"/>
          <w:marBottom w:val="0"/>
          <w:divBdr>
            <w:top w:val="none" w:sz="0" w:space="0" w:color="auto"/>
            <w:left w:val="none" w:sz="0" w:space="0" w:color="auto"/>
            <w:bottom w:val="none" w:sz="0" w:space="0" w:color="auto"/>
            <w:right w:val="none" w:sz="0" w:space="0" w:color="auto"/>
          </w:divBdr>
          <w:divsChild>
            <w:div w:id="993685232">
              <w:marLeft w:val="0"/>
              <w:marRight w:val="0"/>
              <w:marTop w:val="0"/>
              <w:marBottom w:val="0"/>
              <w:divBdr>
                <w:top w:val="none" w:sz="0" w:space="0" w:color="auto"/>
                <w:left w:val="none" w:sz="0" w:space="0" w:color="auto"/>
                <w:bottom w:val="none" w:sz="0" w:space="0" w:color="auto"/>
                <w:right w:val="none" w:sz="0" w:space="0" w:color="auto"/>
              </w:divBdr>
              <w:divsChild>
                <w:div w:id="523328927">
                  <w:marLeft w:val="0"/>
                  <w:marRight w:val="0"/>
                  <w:marTop w:val="0"/>
                  <w:marBottom w:val="0"/>
                  <w:divBdr>
                    <w:top w:val="none" w:sz="0" w:space="0" w:color="auto"/>
                    <w:left w:val="none" w:sz="0" w:space="0" w:color="auto"/>
                    <w:bottom w:val="none" w:sz="0" w:space="0" w:color="auto"/>
                    <w:right w:val="none" w:sz="0" w:space="0" w:color="auto"/>
                  </w:divBdr>
                  <w:divsChild>
                    <w:div w:id="626356638">
                      <w:marLeft w:val="0"/>
                      <w:marRight w:val="0"/>
                      <w:marTop w:val="0"/>
                      <w:marBottom w:val="0"/>
                      <w:divBdr>
                        <w:top w:val="none" w:sz="0" w:space="0" w:color="auto"/>
                        <w:left w:val="none" w:sz="0" w:space="0" w:color="auto"/>
                        <w:bottom w:val="none" w:sz="0" w:space="0" w:color="auto"/>
                        <w:right w:val="none" w:sz="0" w:space="0" w:color="auto"/>
                      </w:divBdr>
                    </w:div>
                    <w:div w:id="1528370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0628561">
      <w:bodyDiv w:val="1"/>
      <w:marLeft w:val="0"/>
      <w:marRight w:val="0"/>
      <w:marTop w:val="0"/>
      <w:marBottom w:val="0"/>
      <w:divBdr>
        <w:top w:val="none" w:sz="0" w:space="0" w:color="auto"/>
        <w:left w:val="none" w:sz="0" w:space="0" w:color="auto"/>
        <w:bottom w:val="none" w:sz="0" w:space="0" w:color="auto"/>
        <w:right w:val="none" w:sz="0" w:space="0" w:color="auto"/>
      </w:divBdr>
      <w:divsChild>
        <w:div w:id="1341809857">
          <w:marLeft w:val="0"/>
          <w:marRight w:val="0"/>
          <w:marTop w:val="0"/>
          <w:marBottom w:val="0"/>
          <w:divBdr>
            <w:top w:val="none" w:sz="0" w:space="0" w:color="auto"/>
            <w:left w:val="none" w:sz="0" w:space="0" w:color="auto"/>
            <w:bottom w:val="none" w:sz="0" w:space="0" w:color="auto"/>
            <w:right w:val="none" w:sz="0" w:space="0" w:color="auto"/>
          </w:divBdr>
          <w:divsChild>
            <w:div w:id="2137673268">
              <w:marLeft w:val="0"/>
              <w:marRight w:val="0"/>
              <w:marTop w:val="0"/>
              <w:marBottom w:val="0"/>
              <w:divBdr>
                <w:top w:val="none" w:sz="0" w:space="0" w:color="auto"/>
                <w:left w:val="none" w:sz="0" w:space="0" w:color="auto"/>
                <w:bottom w:val="none" w:sz="0" w:space="0" w:color="auto"/>
                <w:right w:val="none" w:sz="0" w:space="0" w:color="auto"/>
              </w:divBdr>
              <w:divsChild>
                <w:div w:id="1234315457">
                  <w:marLeft w:val="0"/>
                  <w:marRight w:val="0"/>
                  <w:marTop w:val="0"/>
                  <w:marBottom w:val="0"/>
                  <w:divBdr>
                    <w:top w:val="none" w:sz="0" w:space="0" w:color="auto"/>
                    <w:left w:val="none" w:sz="0" w:space="0" w:color="auto"/>
                    <w:bottom w:val="none" w:sz="0" w:space="0" w:color="auto"/>
                    <w:right w:val="none" w:sz="0" w:space="0" w:color="auto"/>
                  </w:divBdr>
                  <w:divsChild>
                    <w:div w:id="1308317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0994526">
      <w:bodyDiv w:val="1"/>
      <w:marLeft w:val="0"/>
      <w:marRight w:val="0"/>
      <w:marTop w:val="0"/>
      <w:marBottom w:val="0"/>
      <w:divBdr>
        <w:top w:val="none" w:sz="0" w:space="0" w:color="auto"/>
        <w:left w:val="none" w:sz="0" w:space="0" w:color="auto"/>
        <w:bottom w:val="none" w:sz="0" w:space="0" w:color="auto"/>
        <w:right w:val="none" w:sz="0" w:space="0" w:color="auto"/>
      </w:divBdr>
    </w:div>
    <w:div w:id="1642464708">
      <w:bodyDiv w:val="1"/>
      <w:marLeft w:val="0"/>
      <w:marRight w:val="0"/>
      <w:marTop w:val="0"/>
      <w:marBottom w:val="0"/>
      <w:divBdr>
        <w:top w:val="none" w:sz="0" w:space="0" w:color="auto"/>
        <w:left w:val="none" w:sz="0" w:space="0" w:color="auto"/>
        <w:bottom w:val="none" w:sz="0" w:space="0" w:color="auto"/>
        <w:right w:val="none" w:sz="0" w:space="0" w:color="auto"/>
      </w:divBdr>
    </w:div>
    <w:div w:id="1698699309">
      <w:bodyDiv w:val="1"/>
      <w:marLeft w:val="0"/>
      <w:marRight w:val="0"/>
      <w:marTop w:val="0"/>
      <w:marBottom w:val="0"/>
      <w:divBdr>
        <w:top w:val="none" w:sz="0" w:space="0" w:color="auto"/>
        <w:left w:val="none" w:sz="0" w:space="0" w:color="auto"/>
        <w:bottom w:val="none" w:sz="0" w:space="0" w:color="auto"/>
        <w:right w:val="none" w:sz="0" w:space="0" w:color="auto"/>
      </w:divBdr>
      <w:divsChild>
        <w:div w:id="1652710045">
          <w:marLeft w:val="0"/>
          <w:marRight w:val="0"/>
          <w:marTop w:val="0"/>
          <w:marBottom w:val="0"/>
          <w:divBdr>
            <w:top w:val="none" w:sz="0" w:space="0" w:color="auto"/>
            <w:left w:val="none" w:sz="0" w:space="0" w:color="auto"/>
            <w:bottom w:val="none" w:sz="0" w:space="0" w:color="auto"/>
            <w:right w:val="none" w:sz="0" w:space="0" w:color="auto"/>
          </w:divBdr>
          <w:divsChild>
            <w:div w:id="267396138">
              <w:marLeft w:val="0"/>
              <w:marRight w:val="0"/>
              <w:marTop w:val="0"/>
              <w:marBottom w:val="0"/>
              <w:divBdr>
                <w:top w:val="none" w:sz="0" w:space="0" w:color="auto"/>
                <w:left w:val="none" w:sz="0" w:space="0" w:color="auto"/>
                <w:bottom w:val="none" w:sz="0" w:space="0" w:color="auto"/>
                <w:right w:val="none" w:sz="0" w:space="0" w:color="auto"/>
              </w:divBdr>
              <w:divsChild>
                <w:div w:id="1036194154">
                  <w:marLeft w:val="0"/>
                  <w:marRight w:val="0"/>
                  <w:marTop w:val="0"/>
                  <w:marBottom w:val="0"/>
                  <w:divBdr>
                    <w:top w:val="none" w:sz="0" w:space="0" w:color="auto"/>
                    <w:left w:val="none" w:sz="0" w:space="0" w:color="auto"/>
                    <w:bottom w:val="none" w:sz="0" w:space="0" w:color="auto"/>
                    <w:right w:val="none" w:sz="0" w:space="0" w:color="auto"/>
                  </w:divBdr>
                  <w:divsChild>
                    <w:div w:id="1695419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9796661">
      <w:bodyDiv w:val="1"/>
      <w:marLeft w:val="0"/>
      <w:marRight w:val="0"/>
      <w:marTop w:val="0"/>
      <w:marBottom w:val="0"/>
      <w:divBdr>
        <w:top w:val="none" w:sz="0" w:space="0" w:color="auto"/>
        <w:left w:val="none" w:sz="0" w:space="0" w:color="auto"/>
        <w:bottom w:val="none" w:sz="0" w:space="0" w:color="auto"/>
        <w:right w:val="none" w:sz="0" w:space="0" w:color="auto"/>
      </w:divBdr>
    </w:div>
    <w:div w:id="1719863867">
      <w:bodyDiv w:val="1"/>
      <w:marLeft w:val="0"/>
      <w:marRight w:val="0"/>
      <w:marTop w:val="0"/>
      <w:marBottom w:val="0"/>
      <w:divBdr>
        <w:top w:val="none" w:sz="0" w:space="0" w:color="auto"/>
        <w:left w:val="none" w:sz="0" w:space="0" w:color="auto"/>
        <w:bottom w:val="none" w:sz="0" w:space="0" w:color="auto"/>
        <w:right w:val="none" w:sz="0" w:space="0" w:color="auto"/>
      </w:divBdr>
    </w:div>
    <w:div w:id="1720784565">
      <w:bodyDiv w:val="1"/>
      <w:marLeft w:val="0"/>
      <w:marRight w:val="0"/>
      <w:marTop w:val="0"/>
      <w:marBottom w:val="0"/>
      <w:divBdr>
        <w:top w:val="none" w:sz="0" w:space="0" w:color="auto"/>
        <w:left w:val="none" w:sz="0" w:space="0" w:color="auto"/>
        <w:bottom w:val="none" w:sz="0" w:space="0" w:color="auto"/>
        <w:right w:val="none" w:sz="0" w:space="0" w:color="auto"/>
      </w:divBdr>
    </w:div>
    <w:div w:id="1728796294">
      <w:bodyDiv w:val="1"/>
      <w:marLeft w:val="0"/>
      <w:marRight w:val="0"/>
      <w:marTop w:val="0"/>
      <w:marBottom w:val="0"/>
      <w:divBdr>
        <w:top w:val="none" w:sz="0" w:space="0" w:color="auto"/>
        <w:left w:val="none" w:sz="0" w:space="0" w:color="auto"/>
        <w:bottom w:val="none" w:sz="0" w:space="0" w:color="auto"/>
        <w:right w:val="none" w:sz="0" w:space="0" w:color="auto"/>
      </w:divBdr>
    </w:div>
    <w:div w:id="1741519876">
      <w:bodyDiv w:val="1"/>
      <w:marLeft w:val="0"/>
      <w:marRight w:val="0"/>
      <w:marTop w:val="0"/>
      <w:marBottom w:val="0"/>
      <w:divBdr>
        <w:top w:val="none" w:sz="0" w:space="0" w:color="auto"/>
        <w:left w:val="none" w:sz="0" w:space="0" w:color="auto"/>
        <w:bottom w:val="none" w:sz="0" w:space="0" w:color="auto"/>
        <w:right w:val="none" w:sz="0" w:space="0" w:color="auto"/>
      </w:divBdr>
    </w:div>
    <w:div w:id="1746805064">
      <w:bodyDiv w:val="1"/>
      <w:marLeft w:val="0"/>
      <w:marRight w:val="0"/>
      <w:marTop w:val="0"/>
      <w:marBottom w:val="0"/>
      <w:divBdr>
        <w:top w:val="none" w:sz="0" w:space="0" w:color="auto"/>
        <w:left w:val="none" w:sz="0" w:space="0" w:color="auto"/>
        <w:bottom w:val="none" w:sz="0" w:space="0" w:color="auto"/>
        <w:right w:val="none" w:sz="0" w:space="0" w:color="auto"/>
      </w:divBdr>
      <w:divsChild>
        <w:div w:id="2104255397">
          <w:marLeft w:val="0"/>
          <w:marRight w:val="0"/>
          <w:marTop w:val="0"/>
          <w:marBottom w:val="0"/>
          <w:divBdr>
            <w:top w:val="none" w:sz="0" w:space="0" w:color="auto"/>
            <w:left w:val="none" w:sz="0" w:space="0" w:color="auto"/>
            <w:bottom w:val="none" w:sz="0" w:space="0" w:color="auto"/>
            <w:right w:val="none" w:sz="0" w:space="0" w:color="auto"/>
          </w:divBdr>
          <w:divsChild>
            <w:div w:id="1147625822">
              <w:marLeft w:val="0"/>
              <w:marRight w:val="0"/>
              <w:marTop w:val="0"/>
              <w:marBottom w:val="0"/>
              <w:divBdr>
                <w:top w:val="none" w:sz="0" w:space="0" w:color="auto"/>
                <w:left w:val="none" w:sz="0" w:space="0" w:color="auto"/>
                <w:bottom w:val="none" w:sz="0" w:space="0" w:color="auto"/>
                <w:right w:val="none" w:sz="0" w:space="0" w:color="auto"/>
              </w:divBdr>
              <w:divsChild>
                <w:div w:id="245848058">
                  <w:marLeft w:val="0"/>
                  <w:marRight w:val="0"/>
                  <w:marTop w:val="0"/>
                  <w:marBottom w:val="0"/>
                  <w:divBdr>
                    <w:top w:val="none" w:sz="0" w:space="0" w:color="auto"/>
                    <w:left w:val="none" w:sz="0" w:space="0" w:color="auto"/>
                    <w:bottom w:val="none" w:sz="0" w:space="0" w:color="auto"/>
                    <w:right w:val="none" w:sz="0" w:space="0" w:color="auto"/>
                  </w:divBdr>
                  <w:divsChild>
                    <w:div w:id="656610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7552959">
      <w:bodyDiv w:val="1"/>
      <w:marLeft w:val="0"/>
      <w:marRight w:val="0"/>
      <w:marTop w:val="0"/>
      <w:marBottom w:val="0"/>
      <w:divBdr>
        <w:top w:val="none" w:sz="0" w:space="0" w:color="auto"/>
        <w:left w:val="none" w:sz="0" w:space="0" w:color="auto"/>
        <w:bottom w:val="none" w:sz="0" w:space="0" w:color="auto"/>
        <w:right w:val="none" w:sz="0" w:space="0" w:color="auto"/>
      </w:divBdr>
      <w:divsChild>
        <w:div w:id="318119117">
          <w:marLeft w:val="0"/>
          <w:marRight w:val="0"/>
          <w:marTop w:val="0"/>
          <w:marBottom w:val="0"/>
          <w:divBdr>
            <w:top w:val="none" w:sz="0" w:space="0" w:color="auto"/>
            <w:left w:val="none" w:sz="0" w:space="0" w:color="auto"/>
            <w:bottom w:val="none" w:sz="0" w:space="0" w:color="auto"/>
            <w:right w:val="none" w:sz="0" w:space="0" w:color="auto"/>
          </w:divBdr>
          <w:divsChild>
            <w:div w:id="1361318757">
              <w:marLeft w:val="0"/>
              <w:marRight w:val="0"/>
              <w:marTop w:val="0"/>
              <w:marBottom w:val="0"/>
              <w:divBdr>
                <w:top w:val="none" w:sz="0" w:space="0" w:color="auto"/>
                <w:left w:val="none" w:sz="0" w:space="0" w:color="auto"/>
                <w:bottom w:val="none" w:sz="0" w:space="0" w:color="auto"/>
                <w:right w:val="none" w:sz="0" w:space="0" w:color="auto"/>
              </w:divBdr>
              <w:divsChild>
                <w:div w:id="1810392890">
                  <w:marLeft w:val="0"/>
                  <w:marRight w:val="0"/>
                  <w:marTop w:val="0"/>
                  <w:marBottom w:val="0"/>
                  <w:divBdr>
                    <w:top w:val="none" w:sz="0" w:space="0" w:color="auto"/>
                    <w:left w:val="none" w:sz="0" w:space="0" w:color="auto"/>
                    <w:bottom w:val="none" w:sz="0" w:space="0" w:color="auto"/>
                    <w:right w:val="none" w:sz="0" w:space="0" w:color="auto"/>
                  </w:divBdr>
                  <w:divsChild>
                    <w:div w:id="138697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2319397">
      <w:bodyDiv w:val="1"/>
      <w:marLeft w:val="0"/>
      <w:marRight w:val="0"/>
      <w:marTop w:val="0"/>
      <w:marBottom w:val="0"/>
      <w:divBdr>
        <w:top w:val="none" w:sz="0" w:space="0" w:color="auto"/>
        <w:left w:val="none" w:sz="0" w:space="0" w:color="auto"/>
        <w:bottom w:val="none" w:sz="0" w:space="0" w:color="auto"/>
        <w:right w:val="none" w:sz="0" w:space="0" w:color="auto"/>
      </w:divBdr>
    </w:div>
    <w:div w:id="1778478882">
      <w:bodyDiv w:val="1"/>
      <w:marLeft w:val="0"/>
      <w:marRight w:val="0"/>
      <w:marTop w:val="0"/>
      <w:marBottom w:val="0"/>
      <w:divBdr>
        <w:top w:val="none" w:sz="0" w:space="0" w:color="auto"/>
        <w:left w:val="none" w:sz="0" w:space="0" w:color="auto"/>
        <w:bottom w:val="none" w:sz="0" w:space="0" w:color="auto"/>
        <w:right w:val="none" w:sz="0" w:space="0" w:color="auto"/>
      </w:divBdr>
      <w:divsChild>
        <w:div w:id="690380679">
          <w:marLeft w:val="0"/>
          <w:marRight w:val="0"/>
          <w:marTop w:val="0"/>
          <w:marBottom w:val="0"/>
          <w:divBdr>
            <w:top w:val="none" w:sz="0" w:space="0" w:color="auto"/>
            <w:left w:val="none" w:sz="0" w:space="0" w:color="auto"/>
            <w:bottom w:val="none" w:sz="0" w:space="0" w:color="auto"/>
            <w:right w:val="none" w:sz="0" w:space="0" w:color="auto"/>
          </w:divBdr>
          <w:divsChild>
            <w:div w:id="1270237273">
              <w:marLeft w:val="0"/>
              <w:marRight w:val="0"/>
              <w:marTop w:val="0"/>
              <w:marBottom w:val="0"/>
              <w:divBdr>
                <w:top w:val="none" w:sz="0" w:space="0" w:color="auto"/>
                <w:left w:val="none" w:sz="0" w:space="0" w:color="auto"/>
                <w:bottom w:val="none" w:sz="0" w:space="0" w:color="auto"/>
                <w:right w:val="none" w:sz="0" w:space="0" w:color="auto"/>
              </w:divBdr>
              <w:divsChild>
                <w:div w:id="1757090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2868408">
      <w:bodyDiv w:val="1"/>
      <w:marLeft w:val="0"/>
      <w:marRight w:val="0"/>
      <w:marTop w:val="0"/>
      <w:marBottom w:val="0"/>
      <w:divBdr>
        <w:top w:val="none" w:sz="0" w:space="0" w:color="auto"/>
        <w:left w:val="none" w:sz="0" w:space="0" w:color="auto"/>
        <w:bottom w:val="none" w:sz="0" w:space="0" w:color="auto"/>
        <w:right w:val="none" w:sz="0" w:space="0" w:color="auto"/>
      </w:divBdr>
      <w:divsChild>
        <w:div w:id="1876309152">
          <w:marLeft w:val="0"/>
          <w:marRight w:val="0"/>
          <w:marTop w:val="0"/>
          <w:marBottom w:val="0"/>
          <w:divBdr>
            <w:top w:val="none" w:sz="0" w:space="0" w:color="auto"/>
            <w:left w:val="none" w:sz="0" w:space="0" w:color="auto"/>
            <w:bottom w:val="none" w:sz="0" w:space="0" w:color="auto"/>
            <w:right w:val="none" w:sz="0" w:space="0" w:color="auto"/>
          </w:divBdr>
          <w:divsChild>
            <w:div w:id="1033573884">
              <w:marLeft w:val="0"/>
              <w:marRight w:val="0"/>
              <w:marTop w:val="0"/>
              <w:marBottom w:val="0"/>
              <w:divBdr>
                <w:top w:val="none" w:sz="0" w:space="0" w:color="auto"/>
                <w:left w:val="none" w:sz="0" w:space="0" w:color="auto"/>
                <w:bottom w:val="none" w:sz="0" w:space="0" w:color="auto"/>
                <w:right w:val="none" w:sz="0" w:space="0" w:color="auto"/>
              </w:divBdr>
              <w:divsChild>
                <w:div w:id="622613154">
                  <w:marLeft w:val="0"/>
                  <w:marRight w:val="0"/>
                  <w:marTop w:val="0"/>
                  <w:marBottom w:val="0"/>
                  <w:divBdr>
                    <w:top w:val="none" w:sz="0" w:space="0" w:color="auto"/>
                    <w:left w:val="none" w:sz="0" w:space="0" w:color="auto"/>
                    <w:bottom w:val="none" w:sz="0" w:space="0" w:color="auto"/>
                    <w:right w:val="none" w:sz="0" w:space="0" w:color="auto"/>
                  </w:divBdr>
                  <w:divsChild>
                    <w:div w:id="1990938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7058863">
      <w:bodyDiv w:val="1"/>
      <w:marLeft w:val="0"/>
      <w:marRight w:val="0"/>
      <w:marTop w:val="0"/>
      <w:marBottom w:val="0"/>
      <w:divBdr>
        <w:top w:val="none" w:sz="0" w:space="0" w:color="auto"/>
        <w:left w:val="none" w:sz="0" w:space="0" w:color="auto"/>
        <w:bottom w:val="none" w:sz="0" w:space="0" w:color="auto"/>
        <w:right w:val="none" w:sz="0" w:space="0" w:color="auto"/>
      </w:divBdr>
      <w:divsChild>
        <w:div w:id="2029595404">
          <w:marLeft w:val="0"/>
          <w:marRight w:val="0"/>
          <w:marTop w:val="0"/>
          <w:marBottom w:val="0"/>
          <w:divBdr>
            <w:top w:val="none" w:sz="0" w:space="0" w:color="auto"/>
            <w:left w:val="none" w:sz="0" w:space="0" w:color="auto"/>
            <w:bottom w:val="none" w:sz="0" w:space="0" w:color="auto"/>
            <w:right w:val="none" w:sz="0" w:space="0" w:color="auto"/>
          </w:divBdr>
          <w:divsChild>
            <w:div w:id="903106512">
              <w:marLeft w:val="0"/>
              <w:marRight w:val="0"/>
              <w:marTop w:val="0"/>
              <w:marBottom w:val="0"/>
              <w:divBdr>
                <w:top w:val="none" w:sz="0" w:space="0" w:color="auto"/>
                <w:left w:val="none" w:sz="0" w:space="0" w:color="auto"/>
                <w:bottom w:val="none" w:sz="0" w:space="0" w:color="auto"/>
                <w:right w:val="none" w:sz="0" w:space="0" w:color="auto"/>
              </w:divBdr>
              <w:divsChild>
                <w:div w:id="1101029934">
                  <w:marLeft w:val="0"/>
                  <w:marRight w:val="0"/>
                  <w:marTop w:val="0"/>
                  <w:marBottom w:val="0"/>
                  <w:divBdr>
                    <w:top w:val="none" w:sz="0" w:space="0" w:color="auto"/>
                    <w:left w:val="none" w:sz="0" w:space="0" w:color="auto"/>
                    <w:bottom w:val="none" w:sz="0" w:space="0" w:color="auto"/>
                    <w:right w:val="none" w:sz="0" w:space="0" w:color="auto"/>
                  </w:divBdr>
                  <w:divsChild>
                    <w:div w:id="2121991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1721988">
      <w:bodyDiv w:val="1"/>
      <w:marLeft w:val="0"/>
      <w:marRight w:val="0"/>
      <w:marTop w:val="0"/>
      <w:marBottom w:val="0"/>
      <w:divBdr>
        <w:top w:val="none" w:sz="0" w:space="0" w:color="auto"/>
        <w:left w:val="none" w:sz="0" w:space="0" w:color="auto"/>
        <w:bottom w:val="none" w:sz="0" w:space="0" w:color="auto"/>
        <w:right w:val="none" w:sz="0" w:space="0" w:color="auto"/>
      </w:divBdr>
      <w:divsChild>
        <w:div w:id="2092772381">
          <w:marLeft w:val="0"/>
          <w:marRight w:val="0"/>
          <w:marTop w:val="0"/>
          <w:marBottom w:val="0"/>
          <w:divBdr>
            <w:top w:val="none" w:sz="0" w:space="0" w:color="auto"/>
            <w:left w:val="none" w:sz="0" w:space="0" w:color="auto"/>
            <w:bottom w:val="none" w:sz="0" w:space="0" w:color="auto"/>
            <w:right w:val="none" w:sz="0" w:space="0" w:color="auto"/>
          </w:divBdr>
          <w:divsChild>
            <w:div w:id="1419255473">
              <w:marLeft w:val="0"/>
              <w:marRight w:val="0"/>
              <w:marTop w:val="0"/>
              <w:marBottom w:val="0"/>
              <w:divBdr>
                <w:top w:val="none" w:sz="0" w:space="0" w:color="auto"/>
                <w:left w:val="none" w:sz="0" w:space="0" w:color="auto"/>
                <w:bottom w:val="none" w:sz="0" w:space="0" w:color="auto"/>
                <w:right w:val="none" w:sz="0" w:space="0" w:color="auto"/>
              </w:divBdr>
              <w:divsChild>
                <w:div w:id="669796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5384296">
      <w:bodyDiv w:val="1"/>
      <w:marLeft w:val="0"/>
      <w:marRight w:val="0"/>
      <w:marTop w:val="0"/>
      <w:marBottom w:val="0"/>
      <w:divBdr>
        <w:top w:val="none" w:sz="0" w:space="0" w:color="auto"/>
        <w:left w:val="none" w:sz="0" w:space="0" w:color="auto"/>
        <w:bottom w:val="none" w:sz="0" w:space="0" w:color="auto"/>
        <w:right w:val="none" w:sz="0" w:space="0" w:color="auto"/>
      </w:divBdr>
      <w:divsChild>
        <w:div w:id="1959800044">
          <w:marLeft w:val="0"/>
          <w:marRight w:val="0"/>
          <w:marTop w:val="0"/>
          <w:marBottom w:val="0"/>
          <w:divBdr>
            <w:top w:val="none" w:sz="0" w:space="0" w:color="auto"/>
            <w:left w:val="none" w:sz="0" w:space="0" w:color="auto"/>
            <w:bottom w:val="none" w:sz="0" w:space="0" w:color="auto"/>
            <w:right w:val="none" w:sz="0" w:space="0" w:color="auto"/>
          </w:divBdr>
          <w:divsChild>
            <w:div w:id="740098651">
              <w:marLeft w:val="0"/>
              <w:marRight w:val="0"/>
              <w:marTop w:val="0"/>
              <w:marBottom w:val="0"/>
              <w:divBdr>
                <w:top w:val="none" w:sz="0" w:space="0" w:color="auto"/>
                <w:left w:val="none" w:sz="0" w:space="0" w:color="auto"/>
                <w:bottom w:val="none" w:sz="0" w:space="0" w:color="auto"/>
                <w:right w:val="none" w:sz="0" w:space="0" w:color="auto"/>
              </w:divBdr>
              <w:divsChild>
                <w:div w:id="2076317448">
                  <w:marLeft w:val="0"/>
                  <w:marRight w:val="0"/>
                  <w:marTop w:val="0"/>
                  <w:marBottom w:val="0"/>
                  <w:divBdr>
                    <w:top w:val="none" w:sz="0" w:space="0" w:color="auto"/>
                    <w:left w:val="none" w:sz="0" w:space="0" w:color="auto"/>
                    <w:bottom w:val="none" w:sz="0" w:space="0" w:color="auto"/>
                    <w:right w:val="none" w:sz="0" w:space="0" w:color="auto"/>
                  </w:divBdr>
                  <w:divsChild>
                    <w:div w:id="868106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9588160">
      <w:bodyDiv w:val="1"/>
      <w:marLeft w:val="0"/>
      <w:marRight w:val="0"/>
      <w:marTop w:val="0"/>
      <w:marBottom w:val="0"/>
      <w:divBdr>
        <w:top w:val="none" w:sz="0" w:space="0" w:color="auto"/>
        <w:left w:val="none" w:sz="0" w:space="0" w:color="auto"/>
        <w:bottom w:val="none" w:sz="0" w:space="0" w:color="auto"/>
        <w:right w:val="none" w:sz="0" w:space="0" w:color="auto"/>
      </w:divBdr>
    </w:div>
    <w:div w:id="1888032629">
      <w:bodyDiv w:val="1"/>
      <w:marLeft w:val="0"/>
      <w:marRight w:val="0"/>
      <w:marTop w:val="0"/>
      <w:marBottom w:val="0"/>
      <w:divBdr>
        <w:top w:val="none" w:sz="0" w:space="0" w:color="auto"/>
        <w:left w:val="none" w:sz="0" w:space="0" w:color="auto"/>
        <w:bottom w:val="none" w:sz="0" w:space="0" w:color="auto"/>
        <w:right w:val="none" w:sz="0" w:space="0" w:color="auto"/>
      </w:divBdr>
      <w:divsChild>
        <w:div w:id="1214195888">
          <w:marLeft w:val="0"/>
          <w:marRight w:val="0"/>
          <w:marTop w:val="0"/>
          <w:marBottom w:val="0"/>
          <w:divBdr>
            <w:top w:val="none" w:sz="0" w:space="0" w:color="auto"/>
            <w:left w:val="none" w:sz="0" w:space="0" w:color="auto"/>
            <w:bottom w:val="none" w:sz="0" w:space="0" w:color="auto"/>
            <w:right w:val="none" w:sz="0" w:space="0" w:color="auto"/>
          </w:divBdr>
          <w:divsChild>
            <w:div w:id="1779254615">
              <w:marLeft w:val="0"/>
              <w:marRight w:val="0"/>
              <w:marTop w:val="0"/>
              <w:marBottom w:val="0"/>
              <w:divBdr>
                <w:top w:val="none" w:sz="0" w:space="0" w:color="auto"/>
                <w:left w:val="none" w:sz="0" w:space="0" w:color="auto"/>
                <w:bottom w:val="none" w:sz="0" w:space="0" w:color="auto"/>
                <w:right w:val="none" w:sz="0" w:space="0" w:color="auto"/>
              </w:divBdr>
              <w:divsChild>
                <w:div w:id="894854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8803210">
      <w:bodyDiv w:val="1"/>
      <w:marLeft w:val="0"/>
      <w:marRight w:val="0"/>
      <w:marTop w:val="0"/>
      <w:marBottom w:val="0"/>
      <w:divBdr>
        <w:top w:val="none" w:sz="0" w:space="0" w:color="auto"/>
        <w:left w:val="none" w:sz="0" w:space="0" w:color="auto"/>
        <w:bottom w:val="none" w:sz="0" w:space="0" w:color="auto"/>
        <w:right w:val="none" w:sz="0" w:space="0" w:color="auto"/>
      </w:divBdr>
      <w:divsChild>
        <w:div w:id="1610626201">
          <w:marLeft w:val="0"/>
          <w:marRight w:val="0"/>
          <w:marTop w:val="0"/>
          <w:marBottom w:val="0"/>
          <w:divBdr>
            <w:top w:val="none" w:sz="0" w:space="0" w:color="auto"/>
            <w:left w:val="none" w:sz="0" w:space="0" w:color="auto"/>
            <w:bottom w:val="none" w:sz="0" w:space="0" w:color="auto"/>
            <w:right w:val="none" w:sz="0" w:space="0" w:color="auto"/>
          </w:divBdr>
          <w:divsChild>
            <w:div w:id="939143327">
              <w:marLeft w:val="0"/>
              <w:marRight w:val="0"/>
              <w:marTop w:val="0"/>
              <w:marBottom w:val="0"/>
              <w:divBdr>
                <w:top w:val="none" w:sz="0" w:space="0" w:color="auto"/>
                <w:left w:val="none" w:sz="0" w:space="0" w:color="auto"/>
                <w:bottom w:val="none" w:sz="0" w:space="0" w:color="auto"/>
                <w:right w:val="none" w:sz="0" w:space="0" w:color="auto"/>
              </w:divBdr>
              <w:divsChild>
                <w:div w:id="1345981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0892456">
      <w:bodyDiv w:val="1"/>
      <w:marLeft w:val="0"/>
      <w:marRight w:val="0"/>
      <w:marTop w:val="0"/>
      <w:marBottom w:val="0"/>
      <w:divBdr>
        <w:top w:val="none" w:sz="0" w:space="0" w:color="auto"/>
        <w:left w:val="none" w:sz="0" w:space="0" w:color="auto"/>
        <w:bottom w:val="none" w:sz="0" w:space="0" w:color="auto"/>
        <w:right w:val="none" w:sz="0" w:space="0" w:color="auto"/>
      </w:divBdr>
    </w:div>
    <w:div w:id="1954243675">
      <w:bodyDiv w:val="1"/>
      <w:marLeft w:val="0"/>
      <w:marRight w:val="0"/>
      <w:marTop w:val="0"/>
      <w:marBottom w:val="0"/>
      <w:divBdr>
        <w:top w:val="none" w:sz="0" w:space="0" w:color="auto"/>
        <w:left w:val="none" w:sz="0" w:space="0" w:color="auto"/>
        <w:bottom w:val="none" w:sz="0" w:space="0" w:color="auto"/>
        <w:right w:val="none" w:sz="0" w:space="0" w:color="auto"/>
      </w:divBdr>
    </w:div>
    <w:div w:id="1966884706">
      <w:bodyDiv w:val="1"/>
      <w:marLeft w:val="0"/>
      <w:marRight w:val="0"/>
      <w:marTop w:val="0"/>
      <w:marBottom w:val="0"/>
      <w:divBdr>
        <w:top w:val="none" w:sz="0" w:space="0" w:color="auto"/>
        <w:left w:val="none" w:sz="0" w:space="0" w:color="auto"/>
        <w:bottom w:val="none" w:sz="0" w:space="0" w:color="auto"/>
        <w:right w:val="none" w:sz="0" w:space="0" w:color="auto"/>
      </w:divBdr>
    </w:div>
    <w:div w:id="1977834707">
      <w:bodyDiv w:val="1"/>
      <w:marLeft w:val="0"/>
      <w:marRight w:val="0"/>
      <w:marTop w:val="0"/>
      <w:marBottom w:val="0"/>
      <w:divBdr>
        <w:top w:val="none" w:sz="0" w:space="0" w:color="auto"/>
        <w:left w:val="none" w:sz="0" w:space="0" w:color="auto"/>
        <w:bottom w:val="none" w:sz="0" w:space="0" w:color="auto"/>
        <w:right w:val="none" w:sz="0" w:space="0" w:color="auto"/>
      </w:divBdr>
    </w:div>
    <w:div w:id="1979332205">
      <w:bodyDiv w:val="1"/>
      <w:marLeft w:val="0"/>
      <w:marRight w:val="0"/>
      <w:marTop w:val="0"/>
      <w:marBottom w:val="0"/>
      <w:divBdr>
        <w:top w:val="none" w:sz="0" w:space="0" w:color="auto"/>
        <w:left w:val="none" w:sz="0" w:space="0" w:color="auto"/>
        <w:bottom w:val="none" w:sz="0" w:space="0" w:color="auto"/>
        <w:right w:val="none" w:sz="0" w:space="0" w:color="auto"/>
      </w:divBdr>
    </w:div>
    <w:div w:id="1988968195">
      <w:bodyDiv w:val="1"/>
      <w:marLeft w:val="0"/>
      <w:marRight w:val="0"/>
      <w:marTop w:val="0"/>
      <w:marBottom w:val="0"/>
      <w:divBdr>
        <w:top w:val="none" w:sz="0" w:space="0" w:color="auto"/>
        <w:left w:val="none" w:sz="0" w:space="0" w:color="auto"/>
        <w:bottom w:val="none" w:sz="0" w:space="0" w:color="auto"/>
        <w:right w:val="none" w:sz="0" w:space="0" w:color="auto"/>
      </w:divBdr>
      <w:divsChild>
        <w:div w:id="53433787">
          <w:marLeft w:val="0"/>
          <w:marRight w:val="0"/>
          <w:marTop w:val="0"/>
          <w:marBottom w:val="0"/>
          <w:divBdr>
            <w:top w:val="none" w:sz="0" w:space="0" w:color="auto"/>
            <w:left w:val="none" w:sz="0" w:space="0" w:color="auto"/>
            <w:bottom w:val="none" w:sz="0" w:space="0" w:color="auto"/>
            <w:right w:val="none" w:sz="0" w:space="0" w:color="auto"/>
          </w:divBdr>
          <w:divsChild>
            <w:div w:id="1041980873">
              <w:marLeft w:val="0"/>
              <w:marRight w:val="0"/>
              <w:marTop w:val="0"/>
              <w:marBottom w:val="0"/>
              <w:divBdr>
                <w:top w:val="none" w:sz="0" w:space="0" w:color="auto"/>
                <w:left w:val="none" w:sz="0" w:space="0" w:color="auto"/>
                <w:bottom w:val="none" w:sz="0" w:space="0" w:color="auto"/>
                <w:right w:val="none" w:sz="0" w:space="0" w:color="auto"/>
              </w:divBdr>
              <w:divsChild>
                <w:div w:id="1835409128">
                  <w:marLeft w:val="0"/>
                  <w:marRight w:val="0"/>
                  <w:marTop w:val="0"/>
                  <w:marBottom w:val="0"/>
                  <w:divBdr>
                    <w:top w:val="none" w:sz="0" w:space="0" w:color="auto"/>
                    <w:left w:val="none" w:sz="0" w:space="0" w:color="auto"/>
                    <w:bottom w:val="none" w:sz="0" w:space="0" w:color="auto"/>
                    <w:right w:val="none" w:sz="0" w:space="0" w:color="auto"/>
                  </w:divBdr>
                  <w:divsChild>
                    <w:div w:id="374887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1083655">
      <w:bodyDiv w:val="1"/>
      <w:marLeft w:val="0"/>
      <w:marRight w:val="0"/>
      <w:marTop w:val="0"/>
      <w:marBottom w:val="0"/>
      <w:divBdr>
        <w:top w:val="none" w:sz="0" w:space="0" w:color="auto"/>
        <w:left w:val="none" w:sz="0" w:space="0" w:color="auto"/>
        <w:bottom w:val="none" w:sz="0" w:space="0" w:color="auto"/>
        <w:right w:val="none" w:sz="0" w:space="0" w:color="auto"/>
      </w:divBdr>
      <w:divsChild>
        <w:div w:id="681862811">
          <w:marLeft w:val="0"/>
          <w:marRight w:val="0"/>
          <w:marTop w:val="0"/>
          <w:marBottom w:val="0"/>
          <w:divBdr>
            <w:top w:val="none" w:sz="0" w:space="0" w:color="auto"/>
            <w:left w:val="none" w:sz="0" w:space="0" w:color="auto"/>
            <w:bottom w:val="none" w:sz="0" w:space="0" w:color="auto"/>
            <w:right w:val="none" w:sz="0" w:space="0" w:color="auto"/>
          </w:divBdr>
          <w:divsChild>
            <w:div w:id="117261471">
              <w:marLeft w:val="0"/>
              <w:marRight w:val="0"/>
              <w:marTop w:val="0"/>
              <w:marBottom w:val="0"/>
              <w:divBdr>
                <w:top w:val="none" w:sz="0" w:space="0" w:color="auto"/>
                <w:left w:val="none" w:sz="0" w:space="0" w:color="auto"/>
                <w:bottom w:val="none" w:sz="0" w:space="0" w:color="auto"/>
                <w:right w:val="none" w:sz="0" w:space="0" w:color="auto"/>
              </w:divBdr>
              <w:divsChild>
                <w:div w:id="159277406">
                  <w:marLeft w:val="0"/>
                  <w:marRight w:val="0"/>
                  <w:marTop w:val="0"/>
                  <w:marBottom w:val="0"/>
                  <w:divBdr>
                    <w:top w:val="none" w:sz="0" w:space="0" w:color="auto"/>
                    <w:left w:val="none" w:sz="0" w:space="0" w:color="auto"/>
                    <w:bottom w:val="none" w:sz="0" w:space="0" w:color="auto"/>
                    <w:right w:val="none" w:sz="0" w:space="0" w:color="auto"/>
                  </w:divBdr>
                  <w:divsChild>
                    <w:div w:id="34738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1787604">
      <w:bodyDiv w:val="1"/>
      <w:marLeft w:val="0"/>
      <w:marRight w:val="0"/>
      <w:marTop w:val="0"/>
      <w:marBottom w:val="0"/>
      <w:divBdr>
        <w:top w:val="none" w:sz="0" w:space="0" w:color="auto"/>
        <w:left w:val="none" w:sz="0" w:space="0" w:color="auto"/>
        <w:bottom w:val="none" w:sz="0" w:space="0" w:color="auto"/>
        <w:right w:val="none" w:sz="0" w:space="0" w:color="auto"/>
      </w:divBdr>
      <w:divsChild>
        <w:div w:id="1081415671">
          <w:marLeft w:val="0"/>
          <w:marRight w:val="0"/>
          <w:marTop w:val="0"/>
          <w:marBottom w:val="0"/>
          <w:divBdr>
            <w:top w:val="none" w:sz="0" w:space="0" w:color="auto"/>
            <w:left w:val="none" w:sz="0" w:space="0" w:color="auto"/>
            <w:bottom w:val="none" w:sz="0" w:space="0" w:color="auto"/>
            <w:right w:val="none" w:sz="0" w:space="0" w:color="auto"/>
          </w:divBdr>
          <w:divsChild>
            <w:div w:id="1587694232">
              <w:marLeft w:val="0"/>
              <w:marRight w:val="0"/>
              <w:marTop w:val="0"/>
              <w:marBottom w:val="0"/>
              <w:divBdr>
                <w:top w:val="none" w:sz="0" w:space="0" w:color="auto"/>
                <w:left w:val="none" w:sz="0" w:space="0" w:color="auto"/>
                <w:bottom w:val="none" w:sz="0" w:space="0" w:color="auto"/>
                <w:right w:val="none" w:sz="0" w:space="0" w:color="auto"/>
              </w:divBdr>
              <w:divsChild>
                <w:div w:id="137693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946722">
      <w:bodyDiv w:val="1"/>
      <w:marLeft w:val="0"/>
      <w:marRight w:val="0"/>
      <w:marTop w:val="0"/>
      <w:marBottom w:val="0"/>
      <w:divBdr>
        <w:top w:val="none" w:sz="0" w:space="0" w:color="auto"/>
        <w:left w:val="none" w:sz="0" w:space="0" w:color="auto"/>
        <w:bottom w:val="none" w:sz="0" w:space="0" w:color="auto"/>
        <w:right w:val="none" w:sz="0" w:space="0" w:color="auto"/>
      </w:divBdr>
    </w:div>
    <w:div w:id="2031105380">
      <w:bodyDiv w:val="1"/>
      <w:marLeft w:val="0"/>
      <w:marRight w:val="0"/>
      <w:marTop w:val="0"/>
      <w:marBottom w:val="0"/>
      <w:divBdr>
        <w:top w:val="none" w:sz="0" w:space="0" w:color="auto"/>
        <w:left w:val="none" w:sz="0" w:space="0" w:color="auto"/>
        <w:bottom w:val="none" w:sz="0" w:space="0" w:color="auto"/>
        <w:right w:val="none" w:sz="0" w:space="0" w:color="auto"/>
      </w:divBdr>
      <w:divsChild>
        <w:div w:id="1295020460">
          <w:marLeft w:val="0"/>
          <w:marRight w:val="0"/>
          <w:marTop w:val="0"/>
          <w:marBottom w:val="0"/>
          <w:divBdr>
            <w:top w:val="none" w:sz="0" w:space="0" w:color="auto"/>
            <w:left w:val="none" w:sz="0" w:space="0" w:color="auto"/>
            <w:bottom w:val="none" w:sz="0" w:space="0" w:color="auto"/>
            <w:right w:val="none" w:sz="0" w:space="0" w:color="auto"/>
          </w:divBdr>
          <w:divsChild>
            <w:div w:id="1004631988">
              <w:marLeft w:val="0"/>
              <w:marRight w:val="0"/>
              <w:marTop w:val="0"/>
              <w:marBottom w:val="0"/>
              <w:divBdr>
                <w:top w:val="none" w:sz="0" w:space="0" w:color="auto"/>
                <w:left w:val="none" w:sz="0" w:space="0" w:color="auto"/>
                <w:bottom w:val="none" w:sz="0" w:space="0" w:color="auto"/>
                <w:right w:val="none" w:sz="0" w:space="0" w:color="auto"/>
              </w:divBdr>
              <w:divsChild>
                <w:div w:id="354772560">
                  <w:marLeft w:val="0"/>
                  <w:marRight w:val="0"/>
                  <w:marTop w:val="0"/>
                  <w:marBottom w:val="0"/>
                  <w:divBdr>
                    <w:top w:val="none" w:sz="0" w:space="0" w:color="auto"/>
                    <w:left w:val="none" w:sz="0" w:space="0" w:color="auto"/>
                    <w:bottom w:val="none" w:sz="0" w:space="0" w:color="auto"/>
                    <w:right w:val="none" w:sz="0" w:space="0" w:color="auto"/>
                  </w:divBdr>
                  <w:divsChild>
                    <w:div w:id="1220092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0744118">
      <w:bodyDiv w:val="1"/>
      <w:marLeft w:val="0"/>
      <w:marRight w:val="0"/>
      <w:marTop w:val="0"/>
      <w:marBottom w:val="0"/>
      <w:divBdr>
        <w:top w:val="none" w:sz="0" w:space="0" w:color="auto"/>
        <w:left w:val="none" w:sz="0" w:space="0" w:color="auto"/>
        <w:bottom w:val="none" w:sz="0" w:space="0" w:color="auto"/>
        <w:right w:val="none" w:sz="0" w:space="0" w:color="auto"/>
      </w:divBdr>
    </w:div>
    <w:div w:id="2086028155">
      <w:bodyDiv w:val="1"/>
      <w:marLeft w:val="0"/>
      <w:marRight w:val="0"/>
      <w:marTop w:val="0"/>
      <w:marBottom w:val="0"/>
      <w:divBdr>
        <w:top w:val="none" w:sz="0" w:space="0" w:color="auto"/>
        <w:left w:val="none" w:sz="0" w:space="0" w:color="auto"/>
        <w:bottom w:val="none" w:sz="0" w:space="0" w:color="auto"/>
        <w:right w:val="none" w:sz="0" w:space="0" w:color="auto"/>
      </w:divBdr>
      <w:divsChild>
        <w:div w:id="1870411323">
          <w:marLeft w:val="0"/>
          <w:marRight w:val="0"/>
          <w:marTop w:val="0"/>
          <w:marBottom w:val="0"/>
          <w:divBdr>
            <w:top w:val="none" w:sz="0" w:space="0" w:color="auto"/>
            <w:left w:val="none" w:sz="0" w:space="0" w:color="auto"/>
            <w:bottom w:val="none" w:sz="0" w:space="0" w:color="auto"/>
            <w:right w:val="none" w:sz="0" w:space="0" w:color="auto"/>
          </w:divBdr>
          <w:divsChild>
            <w:div w:id="859977268">
              <w:marLeft w:val="0"/>
              <w:marRight w:val="0"/>
              <w:marTop w:val="0"/>
              <w:marBottom w:val="0"/>
              <w:divBdr>
                <w:top w:val="none" w:sz="0" w:space="0" w:color="auto"/>
                <w:left w:val="none" w:sz="0" w:space="0" w:color="auto"/>
                <w:bottom w:val="none" w:sz="0" w:space="0" w:color="auto"/>
                <w:right w:val="none" w:sz="0" w:space="0" w:color="auto"/>
              </w:divBdr>
              <w:divsChild>
                <w:div w:id="1160803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8429636">
      <w:bodyDiv w:val="1"/>
      <w:marLeft w:val="0"/>
      <w:marRight w:val="0"/>
      <w:marTop w:val="0"/>
      <w:marBottom w:val="0"/>
      <w:divBdr>
        <w:top w:val="none" w:sz="0" w:space="0" w:color="auto"/>
        <w:left w:val="none" w:sz="0" w:space="0" w:color="auto"/>
        <w:bottom w:val="none" w:sz="0" w:space="0" w:color="auto"/>
        <w:right w:val="none" w:sz="0" w:space="0" w:color="auto"/>
      </w:divBdr>
    </w:div>
    <w:div w:id="214488267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laire.ocallaghan@sydney.edu.au" TargetMode="External"/><Relationship Id="rId13" Type="http://schemas.openxmlformats.org/officeDocument/2006/relationships/hyperlink" Target="http://www.vislab.ucl.ac.uk/cogent_2000.php" TargetMode="External"/><Relationship Id="rId18" Type="http://schemas.openxmlformats.org/officeDocument/2006/relationships/hyperlink" Target="https://osf.io/gm8th/"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4.emf"/><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www.fil.ion.ucl.ac.uk/spm/" TargetMode="External"/><Relationship Id="rId25" Type="http://schemas.openxmlformats.org/officeDocument/2006/relationships/footer" Target="footer3.xml"/><Relationship Id="rId33" Type="http://schemas.microsoft.com/office/2018/08/relationships/commentsExtensible" Target="commentsExtensible.xml"/><Relationship Id="rId2" Type="http://schemas.openxmlformats.org/officeDocument/2006/relationships/numbering" Target="numbering.xml"/><Relationship Id="rId16" Type="http://schemas.openxmlformats.org/officeDocument/2006/relationships/hyperlink" Target="http://ski.clps.brown.edu/hddm_docs/" TargetMode="External"/><Relationship Id="rId20"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hyperlink" Target="http://www.r-project.org/" TargetMode="External"/><Relationship Id="rId23" Type="http://schemas.openxmlformats.org/officeDocument/2006/relationships/header" Target="header3.xml"/><Relationship Id="rId10" Type="http://schemas.openxmlformats.org/officeDocument/2006/relationships/header" Target="header2.xml"/><Relationship Id="rId19"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1.emf"/><Relationship Id="rId22" Type="http://schemas.openxmlformats.org/officeDocument/2006/relationships/image" Target="media/image5.emf"/><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2C5EDF-395A-1D4A-B844-A061EF97F4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303</TotalTime>
  <Pages>27</Pages>
  <Words>48936</Words>
  <Characters>278940</Characters>
  <Application>Microsoft Office Word</Application>
  <DocSecurity>0</DocSecurity>
  <Lines>2324</Lines>
  <Paragraphs>654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327222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Claire O'Callaghan</dc:creator>
  <cp:keywords/>
  <dc:description/>
  <cp:lastModifiedBy>Claire O'Callaghan</cp:lastModifiedBy>
  <cp:revision>507</cp:revision>
  <dcterms:created xsi:type="dcterms:W3CDTF">2021-01-05T19:48:00Z</dcterms:created>
  <dcterms:modified xsi:type="dcterms:W3CDTF">2021-03-18T11:14:00Z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APERS2_INFO_01">
    <vt:lpwstr>&lt;info&gt;&lt;style id="http://www.zotero.org/styles/brain_edit"/&gt;&lt;format class="21"/&gt;&lt;count citations="26" publications="25"/&gt;&lt;/info&gt;PAPERS2_INFO_END</vt:lpwstr>
  </property>
  <property fmtid="{D5CDD505-2E9C-101B-9397-08002B2CF9AE}" pid="3" name="ZOTERO_PREF_1">
    <vt:lpwstr>&lt;data data-version="3" zotero-version="5.0.96"&gt;&lt;session id="pCIaS5xB"/&gt;&lt;style id="http://www.zotero.org/styles/brain" hasBibliography="1" bibliographyStyleHasBeenSet="1"/&gt;&lt;prefs&gt;&lt;pref name="fieldType" value="Field"/&gt;&lt;pref name="delayCitationUpdates" value</vt:lpwstr>
  </property>
  <property fmtid="{D5CDD505-2E9C-101B-9397-08002B2CF9AE}" pid="4" name="ZOTERO_PREF_2">
    <vt:lpwstr>="true"/&gt;&lt;pref name="dontAskDelayCitationUpdates" value="true"/&gt;&lt;/prefs&gt;&lt;/data&gt;</vt:lpwstr>
  </property>
</Properties>
</file>