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CA75AF" w14:textId="3A99E6C4" w:rsidR="0046431D" w:rsidRPr="00135762" w:rsidRDefault="00D27429" w:rsidP="00E50F82">
      <w:pPr>
        <w:jc w:val="center"/>
        <w:rPr>
          <w:rFonts w:cstheme="minorHAnsi"/>
          <w:b/>
          <w:sz w:val="28"/>
          <w:szCs w:val="28"/>
        </w:rPr>
      </w:pPr>
      <w:bookmarkStart w:id="0" w:name="_Hlk526273492"/>
      <w:r w:rsidRPr="00135762">
        <w:rPr>
          <w:rFonts w:cstheme="minorHAnsi"/>
          <w:b/>
          <w:sz w:val="28"/>
          <w:szCs w:val="28"/>
        </w:rPr>
        <w:t xml:space="preserve">A new strategy for </w:t>
      </w:r>
      <w:r w:rsidR="00AB148C" w:rsidRPr="00135762">
        <w:rPr>
          <w:rFonts w:cstheme="minorHAnsi"/>
          <w:b/>
          <w:sz w:val="28"/>
          <w:szCs w:val="28"/>
        </w:rPr>
        <w:t>vascular complications</w:t>
      </w:r>
      <w:r w:rsidR="001D5533" w:rsidRPr="00135762">
        <w:rPr>
          <w:rFonts w:cstheme="minorHAnsi"/>
          <w:b/>
          <w:sz w:val="28"/>
          <w:szCs w:val="28"/>
        </w:rPr>
        <w:t xml:space="preserve"> in </w:t>
      </w:r>
      <w:r w:rsidRPr="00135762">
        <w:rPr>
          <w:rFonts w:cstheme="minorHAnsi"/>
          <w:b/>
          <w:sz w:val="28"/>
          <w:szCs w:val="28"/>
        </w:rPr>
        <w:t>young people</w:t>
      </w:r>
      <w:r w:rsidR="00DC4489" w:rsidRPr="00135762">
        <w:rPr>
          <w:rFonts w:cstheme="minorHAnsi"/>
          <w:b/>
          <w:sz w:val="28"/>
          <w:szCs w:val="28"/>
        </w:rPr>
        <w:t xml:space="preserve"> with</w:t>
      </w:r>
      <w:r w:rsidR="00044A60" w:rsidRPr="00135762">
        <w:rPr>
          <w:rFonts w:cstheme="minorHAnsi"/>
          <w:b/>
          <w:sz w:val="28"/>
          <w:szCs w:val="28"/>
        </w:rPr>
        <w:t xml:space="preserve"> </w:t>
      </w:r>
      <w:r w:rsidR="001D5533" w:rsidRPr="00135762">
        <w:rPr>
          <w:rFonts w:cstheme="minorHAnsi"/>
          <w:b/>
          <w:sz w:val="28"/>
          <w:szCs w:val="28"/>
        </w:rPr>
        <w:t>type 1 diabetes</w:t>
      </w:r>
      <w:r w:rsidRPr="00135762">
        <w:rPr>
          <w:rFonts w:cstheme="minorHAnsi"/>
          <w:b/>
          <w:sz w:val="28"/>
          <w:szCs w:val="28"/>
        </w:rPr>
        <w:t xml:space="preserve"> </w:t>
      </w:r>
    </w:p>
    <w:bookmarkEnd w:id="0"/>
    <w:p w14:paraId="0FC28096" w14:textId="77777777" w:rsidR="00870A3F" w:rsidRPr="00135762" w:rsidRDefault="00870A3F" w:rsidP="00870A3F">
      <w:pPr>
        <w:spacing w:line="360" w:lineRule="auto"/>
        <w:rPr>
          <w:rFonts w:cstheme="minorHAnsi"/>
          <w:sz w:val="24"/>
          <w:szCs w:val="24"/>
        </w:rPr>
      </w:pPr>
    </w:p>
    <w:p w14:paraId="1C47F5F8" w14:textId="695071E9" w:rsidR="00870A3F" w:rsidRPr="007B5715" w:rsidRDefault="00870A3F" w:rsidP="007B5715">
      <w:pPr>
        <w:spacing w:line="360" w:lineRule="auto"/>
        <w:jc w:val="center"/>
        <w:rPr>
          <w:rFonts w:cstheme="minorHAnsi"/>
          <w:sz w:val="24"/>
          <w:szCs w:val="24"/>
          <w:shd w:val="clear" w:color="auto" w:fill="FFFFFF"/>
        </w:rPr>
      </w:pPr>
      <w:r w:rsidRPr="00135762">
        <w:rPr>
          <w:rFonts w:cstheme="minorHAnsi"/>
          <w:sz w:val="24"/>
          <w:szCs w:val="24"/>
        </w:rPr>
        <w:t>M. Loredana Marcovecchio</w:t>
      </w:r>
      <w:r w:rsidRPr="00135762">
        <w:rPr>
          <w:rFonts w:cstheme="minorHAnsi"/>
          <w:sz w:val="24"/>
          <w:szCs w:val="24"/>
          <w:vertAlign w:val="superscript"/>
        </w:rPr>
        <w:t>1</w:t>
      </w:r>
      <w:r w:rsidRPr="00135762">
        <w:rPr>
          <w:rFonts w:cstheme="minorHAnsi"/>
          <w:sz w:val="24"/>
          <w:szCs w:val="24"/>
        </w:rPr>
        <w:t xml:space="preserve">, R. </w:t>
      </w:r>
      <w:r w:rsidRPr="00135762">
        <w:rPr>
          <w:rFonts w:cstheme="minorHAnsi"/>
          <w:sz w:val="24"/>
          <w:szCs w:val="24"/>
          <w:shd w:val="clear" w:color="auto" w:fill="FFFFFF"/>
        </w:rPr>
        <w:t>Neil Dalton</w:t>
      </w:r>
      <w:r w:rsidRPr="00135762">
        <w:rPr>
          <w:rFonts w:cstheme="minorHAnsi"/>
          <w:sz w:val="24"/>
          <w:szCs w:val="24"/>
          <w:vertAlign w:val="superscript"/>
        </w:rPr>
        <w:t>2</w:t>
      </w:r>
      <w:r w:rsidRPr="00135762">
        <w:rPr>
          <w:rFonts w:cstheme="minorHAnsi"/>
          <w:sz w:val="24"/>
          <w:szCs w:val="24"/>
          <w:shd w:val="clear" w:color="auto" w:fill="FFFFFF"/>
        </w:rPr>
        <w:t>, Denis Daneman</w:t>
      </w:r>
      <w:r w:rsidRPr="00135762">
        <w:rPr>
          <w:rFonts w:cstheme="minorHAnsi"/>
          <w:sz w:val="24"/>
          <w:szCs w:val="24"/>
          <w:vertAlign w:val="superscript"/>
        </w:rPr>
        <w:t>3</w:t>
      </w:r>
      <w:r w:rsidRPr="00135762">
        <w:rPr>
          <w:rFonts w:cstheme="minorHAnsi"/>
          <w:sz w:val="24"/>
          <w:szCs w:val="24"/>
          <w:shd w:val="clear" w:color="auto" w:fill="FFFFFF"/>
        </w:rPr>
        <w:t>, John Deanfield</w:t>
      </w:r>
      <w:r w:rsidRPr="00135762">
        <w:rPr>
          <w:rFonts w:cstheme="minorHAnsi"/>
          <w:sz w:val="24"/>
          <w:szCs w:val="24"/>
          <w:vertAlign w:val="superscript"/>
        </w:rPr>
        <w:t>4</w:t>
      </w:r>
      <w:r w:rsidRPr="00135762">
        <w:rPr>
          <w:rFonts w:cstheme="minorHAnsi"/>
          <w:sz w:val="24"/>
          <w:szCs w:val="24"/>
          <w:shd w:val="clear" w:color="auto" w:fill="FFFFFF"/>
        </w:rPr>
        <w:t>, Tim</w:t>
      </w:r>
      <w:r w:rsidR="00B05A93" w:rsidRPr="00135762">
        <w:rPr>
          <w:rFonts w:cstheme="minorHAnsi"/>
          <w:sz w:val="24"/>
          <w:szCs w:val="24"/>
          <w:shd w:val="clear" w:color="auto" w:fill="FFFFFF"/>
        </w:rPr>
        <w:t>othy</w:t>
      </w:r>
      <w:r w:rsidR="00DD3DA2" w:rsidRPr="00135762">
        <w:rPr>
          <w:rFonts w:cstheme="minorHAnsi"/>
          <w:sz w:val="24"/>
          <w:szCs w:val="24"/>
          <w:shd w:val="clear" w:color="auto" w:fill="FFFFFF"/>
        </w:rPr>
        <w:t xml:space="preserve"> W. </w:t>
      </w:r>
      <w:r w:rsidRPr="00135762">
        <w:rPr>
          <w:rFonts w:cstheme="minorHAnsi"/>
          <w:sz w:val="24"/>
          <w:szCs w:val="24"/>
          <w:shd w:val="clear" w:color="auto" w:fill="FFFFFF"/>
        </w:rPr>
        <w:t>Jones</w:t>
      </w:r>
      <w:r w:rsidRPr="00135762">
        <w:rPr>
          <w:rFonts w:cstheme="minorHAnsi"/>
          <w:sz w:val="24"/>
          <w:szCs w:val="24"/>
          <w:shd w:val="clear" w:color="auto" w:fill="FFFFFF"/>
          <w:vertAlign w:val="superscript"/>
        </w:rPr>
        <w:t>5</w:t>
      </w:r>
      <w:r w:rsidRPr="00135762">
        <w:rPr>
          <w:rFonts w:cstheme="minorHAnsi"/>
          <w:sz w:val="24"/>
          <w:szCs w:val="24"/>
          <w:shd w:val="clear" w:color="auto" w:fill="FFFFFF"/>
        </w:rPr>
        <w:t xml:space="preserve">, </w:t>
      </w:r>
      <w:r w:rsidR="00DD3DA2" w:rsidRPr="00135762">
        <w:rPr>
          <w:rFonts w:cstheme="minorHAnsi"/>
          <w:sz w:val="24"/>
          <w:szCs w:val="24"/>
          <w:shd w:val="clear" w:color="auto" w:fill="FFFFFF"/>
        </w:rPr>
        <w:t xml:space="preserve">H. </w:t>
      </w:r>
      <w:r w:rsidRPr="00135762">
        <w:rPr>
          <w:rFonts w:cstheme="minorHAnsi"/>
          <w:sz w:val="24"/>
          <w:szCs w:val="24"/>
          <w:shd w:val="clear" w:color="auto" w:fill="FFFFFF"/>
        </w:rPr>
        <w:t xml:space="preserve">Andrew </w:t>
      </w:r>
      <w:r w:rsidR="00DD3DA2" w:rsidRPr="00135762">
        <w:rPr>
          <w:rFonts w:cstheme="minorHAnsi"/>
          <w:sz w:val="24"/>
          <w:szCs w:val="24"/>
          <w:shd w:val="clear" w:color="auto" w:fill="FFFFFF"/>
        </w:rPr>
        <w:t xml:space="preserve">W. </w:t>
      </w:r>
      <w:r w:rsidRPr="00135762">
        <w:rPr>
          <w:rFonts w:cstheme="minorHAnsi"/>
          <w:sz w:val="24"/>
          <w:szCs w:val="24"/>
          <w:shd w:val="clear" w:color="auto" w:fill="FFFFFF"/>
        </w:rPr>
        <w:t>Neil</w:t>
      </w:r>
      <w:r w:rsidRPr="00135762">
        <w:rPr>
          <w:rFonts w:cstheme="minorHAnsi"/>
          <w:sz w:val="24"/>
          <w:szCs w:val="24"/>
          <w:vertAlign w:val="superscript"/>
        </w:rPr>
        <w:t>6</w:t>
      </w:r>
      <w:r w:rsidR="00C5634B" w:rsidRPr="00135762">
        <w:rPr>
          <w:rFonts w:cstheme="minorHAnsi"/>
          <w:sz w:val="24"/>
          <w:szCs w:val="24"/>
          <w:shd w:val="clear" w:color="auto" w:fill="FFFFFF"/>
        </w:rPr>
        <w:t xml:space="preserve"> and</w:t>
      </w:r>
      <w:r w:rsidRPr="00135762">
        <w:rPr>
          <w:rFonts w:cstheme="minorHAnsi"/>
          <w:sz w:val="24"/>
          <w:szCs w:val="24"/>
          <w:shd w:val="clear" w:color="auto" w:fill="FFFFFF"/>
        </w:rPr>
        <w:t xml:space="preserve"> David </w:t>
      </w:r>
      <w:r w:rsidR="00CB058F" w:rsidRPr="00135762">
        <w:rPr>
          <w:rFonts w:cstheme="minorHAnsi"/>
          <w:sz w:val="24"/>
          <w:szCs w:val="24"/>
          <w:shd w:val="clear" w:color="auto" w:fill="FFFFFF"/>
        </w:rPr>
        <w:t xml:space="preserve">B. </w:t>
      </w:r>
      <w:r w:rsidRPr="00135762">
        <w:rPr>
          <w:rFonts w:cstheme="minorHAnsi"/>
          <w:sz w:val="24"/>
          <w:szCs w:val="24"/>
          <w:shd w:val="clear" w:color="auto" w:fill="FFFFFF"/>
        </w:rPr>
        <w:t>Dunger</w:t>
      </w:r>
      <w:r w:rsidRPr="00135762">
        <w:rPr>
          <w:rFonts w:cstheme="minorHAnsi"/>
          <w:sz w:val="24"/>
          <w:szCs w:val="24"/>
          <w:vertAlign w:val="superscript"/>
        </w:rPr>
        <w:t>1,7</w:t>
      </w:r>
      <w:r w:rsidR="00AE4C24" w:rsidRPr="00135762">
        <w:rPr>
          <w:rFonts w:cstheme="minorHAnsi"/>
          <w:sz w:val="24"/>
          <w:szCs w:val="24"/>
        </w:rPr>
        <w:t>*</w:t>
      </w:r>
      <w:r w:rsidRPr="00135762">
        <w:rPr>
          <w:rFonts w:cstheme="minorHAnsi"/>
          <w:sz w:val="24"/>
          <w:szCs w:val="24"/>
          <w:shd w:val="clear" w:color="auto" w:fill="FFFFFF"/>
        </w:rPr>
        <w:t>,</w:t>
      </w:r>
      <w:r w:rsidR="00F96BE4" w:rsidRPr="00135762">
        <w:rPr>
          <w:rFonts w:cstheme="minorHAnsi"/>
          <w:sz w:val="24"/>
          <w:szCs w:val="24"/>
          <w:shd w:val="clear" w:color="auto" w:fill="FFFFFF"/>
        </w:rPr>
        <w:t xml:space="preserve"> </w:t>
      </w:r>
      <w:r w:rsidR="00C5634B" w:rsidRPr="00135762">
        <w:rPr>
          <w:rFonts w:cstheme="minorHAnsi"/>
          <w:sz w:val="24"/>
          <w:szCs w:val="24"/>
          <w:shd w:val="clear" w:color="auto" w:fill="FFFFFF"/>
        </w:rPr>
        <w:t xml:space="preserve"> </w:t>
      </w:r>
      <w:r w:rsidRPr="00135762">
        <w:rPr>
          <w:rFonts w:cstheme="minorHAnsi"/>
          <w:sz w:val="24"/>
          <w:szCs w:val="24"/>
        </w:rPr>
        <w:t xml:space="preserve">on behalf of the </w:t>
      </w:r>
      <w:r w:rsidRPr="00135762">
        <w:rPr>
          <w:rFonts w:cstheme="minorHAnsi"/>
          <w:sz w:val="24"/>
          <w:szCs w:val="24"/>
          <w:shd w:val="clear" w:color="auto" w:fill="FFFFFF"/>
        </w:rPr>
        <w:t>Adolescent type 1 Diabetes cardio-renal Intervention Trial (AdDIT) study group</w:t>
      </w:r>
      <w:r w:rsidR="00C5634B" w:rsidRPr="00135762">
        <w:rPr>
          <w:rFonts w:ascii="Arial" w:eastAsia="Arial Unicode MS" w:hAnsi="Arial" w:cs="Arial"/>
          <w:b/>
          <w:color w:val="0000FF"/>
          <w:sz w:val="28"/>
          <w:szCs w:val="28"/>
          <w:vertAlign w:val="superscript"/>
        </w:rPr>
        <w:t xml:space="preserve"> </w:t>
      </w:r>
    </w:p>
    <w:p w14:paraId="6CFA923A" w14:textId="77777777" w:rsidR="00870A3F" w:rsidRPr="00135762" w:rsidRDefault="00870A3F" w:rsidP="00A51DC1">
      <w:pPr>
        <w:spacing w:after="0" w:line="360" w:lineRule="auto"/>
        <w:rPr>
          <w:rFonts w:eastAsia="SimSun" w:cstheme="minorHAnsi"/>
          <w:color w:val="0D0D0D" w:themeColor="text1" w:themeTint="F2"/>
          <w:sz w:val="24"/>
          <w:szCs w:val="24"/>
          <w:lang w:val="en-US" w:eastAsia="zh-CN"/>
        </w:rPr>
      </w:pPr>
      <w:r w:rsidRPr="00135762">
        <w:rPr>
          <w:rFonts w:cstheme="minorHAnsi"/>
          <w:color w:val="0D0D0D" w:themeColor="text1" w:themeTint="F2"/>
          <w:sz w:val="24"/>
          <w:szCs w:val="24"/>
          <w:vertAlign w:val="superscript"/>
          <w:lang w:val="en-US"/>
        </w:rPr>
        <w:t>1</w:t>
      </w:r>
      <w:r w:rsidRPr="00135762">
        <w:rPr>
          <w:rFonts w:cstheme="minorHAnsi"/>
          <w:color w:val="0D0D0D" w:themeColor="text1" w:themeTint="F2"/>
          <w:sz w:val="24"/>
          <w:szCs w:val="24"/>
          <w:lang w:val="en-US"/>
        </w:rPr>
        <w:t>Department of Paediatrics, University of Cambridge, Cambridge, UK</w:t>
      </w:r>
      <w:r w:rsidRPr="00135762">
        <w:rPr>
          <w:rFonts w:eastAsia="SimSun" w:cstheme="minorHAnsi"/>
          <w:color w:val="0D0D0D" w:themeColor="text1" w:themeTint="F2"/>
          <w:sz w:val="24"/>
          <w:szCs w:val="24"/>
          <w:lang w:val="en-US" w:eastAsia="zh-CN"/>
        </w:rPr>
        <w:t xml:space="preserve"> </w:t>
      </w:r>
    </w:p>
    <w:p w14:paraId="5962100F" w14:textId="27ABFD21" w:rsidR="00870A3F" w:rsidRPr="00135762" w:rsidRDefault="00870A3F" w:rsidP="00A51DC1">
      <w:pPr>
        <w:pStyle w:val="Heading3"/>
        <w:shd w:val="clear" w:color="auto" w:fill="FFFFFF"/>
        <w:spacing w:before="0" w:beforeAutospacing="0" w:after="0" w:afterAutospacing="0" w:line="360" w:lineRule="auto"/>
        <w:rPr>
          <w:rFonts w:asciiTheme="minorHAnsi" w:hAnsiTheme="minorHAnsi" w:cs="Arial"/>
          <w:b w:val="0"/>
          <w:bCs w:val="0"/>
          <w:sz w:val="24"/>
          <w:szCs w:val="24"/>
        </w:rPr>
      </w:pPr>
      <w:r w:rsidRPr="00135762">
        <w:rPr>
          <w:rStyle w:val="apple-converted-space"/>
          <w:rFonts w:asciiTheme="minorHAnsi" w:eastAsiaTheme="minorEastAsia" w:hAnsiTheme="minorHAnsi"/>
          <w:b w:val="0"/>
          <w:sz w:val="24"/>
          <w:szCs w:val="24"/>
          <w:shd w:val="clear" w:color="auto" w:fill="FFFFFF"/>
          <w:vertAlign w:val="superscript"/>
          <w:lang w:val="en-US"/>
        </w:rPr>
        <w:t>2</w:t>
      </w:r>
      <w:r w:rsidRPr="00135762">
        <w:rPr>
          <w:rFonts w:asciiTheme="minorHAnsi" w:hAnsiTheme="minorHAnsi" w:cs="Arial"/>
          <w:b w:val="0"/>
          <w:bCs w:val="0"/>
          <w:sz w:val="24"/>
          <w:szCs w:val="24"/>
        </w:rPr>
        <w:t>Guy's and St Thomas' NHS Foundation Trust</w:t>
      </w:r>
      <w:r w:rsidRPr="00135762">
        <w:rPr>
          <w:rFonts w:asciiTheme="minorHAnsi" w:hAnsiTheme="minorHAnsi"/>
          <w:b w:val="0"/>
          <w:sz w:val="24"/>
          <w:szCs w:val="24"/>
          <w:lang w:val="en-US"/>
        </w:rPr>
        <w:t>, London, UK</w:t>
      </w:r>
    </w:p>
    <w:p w14:paraId="5A5BA083" w14:textId="767B677D" w:rsidR="00870A3F" w:rsidRPr="00021247" w:rsidRDefault="00870A3F" w:rsidP="00A51DC1">
      <w:pPr>
        <w:spacing w:after="0" w:line="360" w:lineRule="auto"/>
        <w:rPr>
          <w:rFonts w:cstheme="minorHAnsi"/>
          <w:sz w:val="24"/>
          <w:szCs w:val="24"/>
          <w:lang w:val="en-US"/>
        </w:rPr>
      </w:pPr>
      <w:r w:rsidRPr="00021247">
        <w:rPr>
          <w:rFonts w:eastAsia="SimSun" w:cstheme="minorHAnsi"/>
          <w:sz w:val="24"/>
          <w:szCs w:val="24"/>
          <w:vertAlign w:val="superscript"/>
          <w:lang w:val="en-US" w:eastAsia="zh-CN"/>
        </w:rPr>
        <w:t>3</w:t>
      </w:r>
      <w:r w:rsidRPr="00021247">
        <w:rPr>
          <w:rFonts w:eastAsia="SimSun" w:cstheme="minorHAnsi"/>
          <w:sz w:val="24"/>
          <w:szCs w:val="24"/>
          <w:lang w:val="en-US" w:eastAsia="zh-CN"/>
        </w:rPr>
        <w:t>D</w:t>
      </w:r>
      <w:r w:rsidRPr="00021247">
        <w:rPr>
          <w:rFonts w:cstheme="minorHAnsi"/>
          <w:color w:val="000000"/>
          <w:sz w:val="24"/>
          <w:szCs w:val="24"/>
          <w:shd w:val="clear" w:color="auto" w:fill="FFFFFF"/>
          <w:lang w:val="en-US"/>
        </w:rPr>
        <w:t xml:space="preserve">epartment of Paediatrics, The Hospital for Sick Children and University of Toronto, </w:t>
      </w:r>
      <w:r w:rsidRPr="00021247">
        <w:rPr>
          <w:rFonts w:cstheme="minorHAnsi"/>
          <w:sz w:val="24"/>
          <w:szCs w:val="24"/>
          <w:shd w:val="clear" w:color="auto" w:fill="FFFFFF"/>
          <w:lang w:val="en-US"/>
        </w:rPr>
        <w:t>Toronto, Ontario, Canada</w:t>
      </w:r>
      <w:r w:rsidRPr="00021247">
        <w:rPr>
          <w:rFonts w:cstheme="minorHAnsi"/>
          <w:sz w:val="24"/>
          <w:szCs w:val="24"/>
          <w:lang w:val="en-US"/>
        </w:rPr>
        <w:t xml:space="preserve"> </w:t>
      </w:r>
    </w:p>
    <w:p w14:paraId="6A4E0371" w14:textId="447358B9" w:rsidR="005A000B" w:rsidRPr="00021247" w:rsidRDefault="00870A3F" w:rsidP="008736A2">
      <w:pPr>
        <w:spacing w:after="0" w:line="360" w:lineRule="auto"/>
        <w:rPr>
          <w:rFonts w:cstheme="minorHAnsi"/>
          <w:sz w:val="24"/>
          <w:szCs w:val="24"/>
          <w:shd w:val="clear" w:color="auto" w:fill="FFFFFF"/>
          <w:lang w:val="en-US"/>
        </w:rPr>
      </w:pPr>
      <w:r w:rsidRPr="00021247">
        <w:rPr>
          <w:rFonts w:cstheme="minorHAnsi"/>
          <w:sz w:val="24"/>
          <w:szCs w:val="24"/>
          <w:shd w:val="clear" w:color="auto" w:fill="FFFFFF"/>
          <w:vertAlign w:val="superscript"/>
          <w:lang w:val="en-US"/>
        </w:rPr>
        <w:t>4</w:t>
      </w:r>
      <w:r w:rsidR="005A000B" w:rsidRPr="007B5715">
        <w:rPr>
          <w:rFonts w:cstheme="minorHAnsi"/>
          <w:sz w:val="24"/>
          <w:szCs w:val="24"/>
          <w:lang w:val="en-US"/>
        </w:rPr>
        <w:t xml:space="preserve">Vascular Physiology Unit, </w:t>
      </w:r>
      <w:r w:rsidR="00021247" w:rsidRPr="00021247">
        <w:rPr>
          <w:rFonts w:cstheme="minorHAnsi"/>
          <w:color w:val="000000"/>
          <w:sz w:val="24"/>
          <w:szCs w:val="24"/>
          <w:shd w:val="clear" w:color="auto" w:fill="FFFFFF"/>
        </w:rPr>
        <w:t>Institute of Cardiovascular Science, University College</w:t>
      </w:r>
      <w:r w:rsidR="005A000B" w:rsidRPr="00021247">
        <w:rPr>
          <w:rFonts w:cstheme="minorHAnsi"/>
          <w:sz w:val="24"/>
          <w:szCs w:val="24"/>
          <w:lang w:val="en-US"/>
        </w:rPr>
        <w:t xml:space="preserve">, London, </w:t>
      </w:r>
      <w:r w:rsidR="00A84E1D" w:rsidRPr="00021247">
        <w:rPr>
          <w:rFonts w:cstheme="minorHAnsi"/>
          <w:sz w:val="24"/>
          <w:szCs w:val="24"/>
          <w:lang w:val="en-US"/>
        </w:rPr>
        <w:t>UK</w:t>
      </w:r>
    </w:p>
    <w:p w14:paraId="5E25A425" w14:textId="47FCE12F" w:rsidR="00870A3F" w:rsidRPr="00021247" w:rsidRDefault="00870A3F" w:rsidP="00A90E57">
      <w:pPr>
        <w:spacing w:after="0" w:line="360" w:lineRule="auto"/>
        <w:rPr>
          <w:rFonts w:cstheme="minorHAnsi"/>
          <w:color w:val="0D0D0D" w:themeColor="text1" w:themeTint="F2"/>
          <w:sz w:val="24"/>
          <w:szCs w:val="24"/>
          <w:vertAlign w:val="superscript"/>
          <w:lang w:val="en-US"/>
        </w:rPr>
      </w:pPr>
      <w:r w:rsidRPr="00021247">
        <w:rPr>
          <w:rFonts w:cstheme="minorHAnsi"/>
          <w:sz w:val="24"/>
          <w:szCs w:val="24"/>
          <w:vertAlign w:val="superscript"/>
          <w:lang w:val="en-US"/>
        </w:rPr>
        <w:t>5</w:t>
      </w:r>
      <w:r w:rsidRPr="00021247">
        <w:rPr>
          <w:rFonts w:cstheme="minorHAnsi"/>
          <w:sz w:val="24"/>
          <w:szCs w:val="24"/>
          <w:lang w:val="en-US"/>
        </w:rPr>
        <w:t>Telethon Kids Institute, University of Western Australia, Perth, Australia</w:t>
      </w:r>
    </w:p>
    <w:p w14:paraId="54B7C3E6" w14:textId="7D6C8E59" w:rsidR="00870A3F" w:rsidRPr="00706022" w:rsidRDefault="00870A3F" w:rsidP="00D35F6E">
      <w:pPr>
        <w:spacing w:after="0" w:line="360" w:lineRule="auto"/>
        <w:rPr>
          <w:rFonts w:cs="Times New Roman"/>
          <w:sz w:val="24"/>
          <w:szCs w:val="24"/>
          <w:shd w:val="clear" w:color="auto" w:fill="FFFFFF"/>
          <w:lang w:val="en-US"/>
        </w:rPr>
      </w:pPr>
      <w:r w:rsidRPr="00706022">
        <w:rPr>
          <w:rFonts w:cstheme="minorHAnsi"/>
          <w:sz w:val="24"/>
          <w:szCs w:val="24"/>
          <w:vertAlign w:val="superscript"/>
          <w:lang w:val="en-US"/>
        </w:rPr>
        <w:t>6</w:t>
      </w:r>
      <w:r w:rsidRPr="00706022">
        <w:rPr>
          <w:rFonts w:cstheme="minorHAnsi"/>
          <w:sz w:val="24"/>
          <w:szCs w:val="24"/>
          <w:lang w:val="en-US"/>
        </w:rPr>
        <w:t>Oxford Centre for Diabetes, Endocrinology&amp; Metabolism</w:t>
      </w:r>
      <w:r w:rsidRPr="00706022">
        <w:rPr>
          <w:rFonts w:cstheme="minorHAnsi"/>
          <w:bCs/>
          <w:sz w:val="24"/>
          <w:szCs w:val="24"/>
          <w:lang w:val="en-US"/>
        </w:rPr>
        <w:t>, University of Oxford</w:t>
      </w:r>
      <w:r w:rsidRPr="00706022">
        <w:rPr>
          <w:rFonts w:cs="Times New Roman"/>
          <w:sz w:val="24"/>
          <w:szCs w:val="24"/>
          <w:shd w:val="clear" w:color="auto" w:fill="FFFFFF"/>
          <w:lang w:val="en-US"/>
        </w:rPr>
        <w:t>, Oxford, UK</w:t>
      </w:r>
    </w:p>
    <w:p w14:paraId="2E2135E6" w14:textId="7E39D390" w:rsidR="00870A3F" w:rsidRPr="00706022" w:rsidRDefault="00870A3F" w:rsidP="00870A3F">
      <w:pPr>
        <w:spacing w:after="0" w:line="360" w:lineRule="auto"/>
        <w:rPr>
          <w:rFonts w:ascii="Arial" w:hAnsi="Arial" w:cs="Arial"/>
          <w:b/>
        </w:rPr>
      </w:pPr>
      <w:r w:rsidRPr="00706022">
        <w:rPr>
          <w:rFonts w:cs="Times New Roman"/>
          <w:sz w:val="24"/>
          <w:szCs w:val="24"/>
          <w:vertAlign w:val="superscript"/>
          <w:lang w:val="en-US"/>
        </w:rPr>
        <w:t>7</w:t>
      </w:r>
      <w:r w:rsidRPr="00706022">
        <w:rPr>
          <w:rFonts w:cs="Arial"/>
          <w:sz w:val="24"/>
          <w:szCs w:val="24"/>
          <w:shd w:val="clear" w:color="auto" w:fill="FFFFFF"/>
        </w:rPr>
        <w:t>Wellcome Trust-MRC Institute of Metabolic Science, University of Cambridge, Cambridge, UK.</w:t>
      </w:r>
      <w:r w:rsidR="00AE4C24" w:rsidRPr="00706022">
        <w:rPr>
          <w:rFonts w:ascii="Arial" w:hAnsi="Arial" w:cs="Arial"/>
          <w:b/>
        </w:rPr>
        <w:t xml:space="preserve"> </w:t>
      </w:r>
    </w:p>
    <w:p w14:paraId="0B763FB7" w14:textId="77777777" w:rsidR="007B5715" w:rsidRPr="00706022" w:rsidRDefault="007B5715" w:rsidP="00870A3F">
      <w:pPr>
        <w:spacing w:after="0" w:line="360" w:lineRule="auto"/>
        <w:rPr>
          <w:rFonts w:cs="Times New Roman"/>
          <w:sz w:val="24"/>
          <w:szCs w:val="24"/>
          <w:lang w:val="en-US"/>
        </w:rPr>
      </w:pPr>
    </w:p>
    <w:p w14:paraId="76973349" w14:textId="689ECF79" w:rsidR="00E36A41" w:rsidRPr="00706022" w:rsidRDefault="008B2218">
      <w:pPr>
        <w:rPr>
          <w:b/>
          <w:sz w:val="24"/>
          <w:szCs w:val="24"/>
        </w:rPr>
      </w:pPr>
      <w:r w:rsidRPr="00706022">
        <w:rPr>
          <w:b/>
          <w:sz w:val="24"/>
          <w:szCs w:val="24"/>
        </w:rPr>
        <w:t xml:space="preserve">Word count: </w:t>
      </w:r>
      <w:r w:rsidR="00772D28" w:rsidRPr="00706022">
        <w:rPr>
          <w:b/>
          <w:sz w:val="24"/>
          <w:szCs w:val="24"/>
        </w:rPr>
        <w:t>31</w:t>
      </w:r>
      <w:r w:rsidR="00D207D6" w:rsidRPr="00706022">
        <w:rPr>
          <w:b/>
          <w:sz w:val="24"/>
          <w:szCs w:val="24"/>
        </w:rPr>
        <w:t>86</w:t>
      </w:r>
    </w:p>
    <w:p w14:paraId="1437872F" w14:textId="252983AC" w:rsidR="008B2218" w:rsidRPr="00706022" w:rsidRDefault="008B2218">
      <w:pPr>
        <w:rPr>
          <w:b/>
          <w:sz w:val="24"/>
          <w:szCs w:val="24"/>
        </w:rPr>
      </w:pPr>
      <w:r w:rsidRPr="00706022">
        <w:rPr>
          <w:b/>
          <w:sz w:val="24"/>
          <w:szCs w:val="24"/>
        </w:rPr>
        <w:t xml:space="preserve">Figures: </w:t>
      </w:r>
      <w:r w:rsidR="00C72790" w:rsidRPr="00706022">
        <w:rPr>
          <w:b/>
          <w:sz w:val="24"/>
          <w:szCs w:val="24"/>
        </w:rPr>
        <w:t>5</w:t>
      </w:r>
      <w:r w:rsidR="00205B63" w:rsidRPr="00706022">
        <w:rPr>
          <w:b/>
          <w:sz w:val="24"/>
          <w:szCs w:val="24"/>
        </w:rPr>
        <w:t xml:space="preserve"> </w:t>
      </w:r>
    </w:p>
    <w:p w14:paraId="43E6F8F9" w14:textId="044A9957" w:rsidR="001C5513" w:rsidRPr="00706022" w:rsidRDefault="001C5513" w:rsidP="00477637">
      <w:pPr>
        <w:spacing w:line="360" w:lineRule="auto"/>
        <w:rPr>
          <w:rFonts w:cstheme="minorHAnsi"/>
          <w:sz w:val="24"/>
          <w:szCs w:val="24"/>
        </w:rPr>
      </w:pPr>
    </w:p>
    <w:p w14:paraId="79C27F40" w14:textId="57512BA9" w:rsidR="00DB706B" w:rsidRPr="00706022" w:rsidRDefault="00AE4C24" w:rsidP="007B5715">
      <w:pPr>
        <w:spacing w:after="0" w:line="240" w:lineRule="auto"/>
        <w:rPr>
          <w:rStyle w:val="Hyperlink"/>
          <w:rFonts w:cstheme="minorHAnsi"/>
          <w:bCs/>
          <w:color w:val="auto"/>
          <w:sz w:val="24"/>
          <w:szCs w:val="24"/>
          <w:lang w:val="en-US"/>
        </w:rPr>
      </w:pPr>
      <w:r w:rsidRPr="00706022">
        <w:rPr>
          <w:rFonts w:cstheme="minorHAnsi"/>
          <w:bCs/>
          <w:sz w:val="24"/>
          <w:szCs w:val="24"/>
          <w:lang w:val="en-US"/>
        </w:rPr>
        <w:t>*e</w:t>
      </w:r>
      <w:r w:rsidR="00C170F3" w:rsidRPr="00706022">
        <w:rPr>
          <w:rFonts w:cstheme="minorHAnsi"/>
          <w:bCs/>
          <w:sz w:val="24"/>
          <w:szCs w:val="24"/>
          <w:lang w:val="en-US"/>
        </w:rPr>
        <w:t xml:space="preserve">mail: </w:t>
      </w:r>
      <w:hyperlink r:id="rId8" w:history="1">
        <w:r w:rsidR="00C170F3" w:rsidRPr="00706022">
          <w:rPr>
            <w:rStyle w:val="Hyperlink"/>
            <w:rFonts w:cstheme="minorHAnsi"/>
            <w:bCs/>
            <w:color w:val="auto"/>
            <w:sz w:val="24"/>
            <w:szCs w:val="24"/>
            <w:u w:val="none"/>
            <w:lang w:val="en-US"/>
          </w:rPr>
          <w:t>dbd25@cam.ac.uk</w:t>
        </w:r>
      </w:hyperlink>
    </w:p>
    <w:p w14:paraId="6004CDBB" w14:textId="5269D7F5" w:rsidR="007B5715" w:rsidRDefault="007B5715" w:rsidP="007B5715">
      <w:pPr>
        <w:spacing w:after="0" w:line="240" w:lineRule="auto"/>
        <w:rPr>
          <w:b/>
          <w:sz w:val="24"/>
          <w:szCs w:val="24"/>
        </w:rPr>
      </w:pPr>
    </w:p>
    <w:p w14:paraId="418EAC84" w14:textId="3F0F3A64" w:rsidR="007B5715" w:rsidRDefault="007B5715" w:rsidP="007B5715">
      <w:pPr>
        <w:spacing w:after="0" w:line="240" w:lineRule="auto"/>
        <w:rPr>
          <w:b/>
          <w:sz w:val="24"/>
          <w:szCs w:val="24"/>
        </w:rPr>
      </w:pPr>
    </w:p>
    <w:p w14:paraId="463FD86F" w14:textId="10B74406" w:rsidR="007B5715" w:rsidRDefault="007B5715" w:rsidP="007B5715">
      <w:pPr>
        <w:spacing w:after="0" w:line="240" w:lineRule="auto"/>
        <w:rPr>
          <w:b/>
          <w:sz w:val="24"/>
          <w:szCs w:val="24"/>
        </w:rPr>
      </w:pPr>
    </w:p>
    <w:p w14:paraId="61B96388" w14:textId="34241513" w:rsidR="007B5715" w:rsidRDefault="007B5715" w:rsidP="007B5715">
      <w:pPr>
        <w:spacing w:after="0" w:line="240" w:lineRule="auto"/>
        <w:rPr>
          <w:b/>
          <w:sz w:val="24"/>
          <w:szCs w:val="24"/>
        </w:rPr>
      </w:pPr>
    </w:p>
    <w:p w14:paraId="67494667" w14:textId="14FDD2C3" w:rsidR="007B5715" w:rsidRDefault="007B5715" w:rsidP="007B5715">
      <w:pPr>
        <w:spacing w:after="0" w:line="240" w:lineRule="auto"/>
        <w:rPr>
          <w:b/>
          <w:sz w:val="24"/>
          <w:szCs w:val="24"/>
        </w:rPr>
      </w:pPr>
    </w:p>
    <w:p w14:paraId="688B3DE2" w14:textId="01AFEDB4" w:rsidR="007B5715" w:rsidRDefault="007B5715" w:rsidP="007B5715">
      <w:pPr>
        <w:spacing w:after="0" w:line="240" w:lineRule="auto"/>
        <w:rPr>
          <w:b/>
          <w:sz w:val="24"/>
          <w:szCs w:val="24"/>
        </w:rPr>
      </w:pPr>
    </w:p>
    <w:p w14:paraId="553EB202" w14:textId="48285CF9" w:rsidR="007B5715" w:rsidRDefault="007B5715" w:rsidP="007B5715">
      <w:pPr>
        <w:spacing w:after="0" w:line="240" w:lineRule="auto"/>
        <w:rPr>
          <w:b/>
          <w:sz w:val="24"/>
          <w:szCs w:val="24"/>
        </w:rPr>
      </w:pPr>
    </w:p>
    <w:p w14:paraId="4F83A847" w14:textId="5EDCF1F4" w:rsidR="007B5715" w:rsidRDefault="007B5715" w:rsidP="007B5715">
      <w:pPr>
        <w:spacing w:after="0" w:line="240" w:lineRule="auto"/>
        <w:rPr>
          <w:b/>
          <w:sz w:val="24"/>
          <w:szCs w:val="24"/>
        </w:rPr>
      </w:pPr>
    </w:p>
    <w:p w14:paraId="5D3B0FC1" w14:textId="072C8C74" w:rsidR="007B5715" w:rsidRDefault="007B5715" w:rsidP="007B5715">
      <w:pPr>
        <w:spacing w:after="0" w:line="240" w:lineRule="auto"/>
        <w:rPr>
          <w:b/>
          <w:sz w:val="24"/>
          <w:szCs w:val="24"/>
        </w:rPr>
      </w:pPr>
    </w:p>
    <w:p w14:paraId="5315058C" w14:textId="3A66702E" w:rsidR="007B5715" w:rsidRDefault="007B5715" w:rsidP="007B5715">
      <w:pPr>
        <w:spacing w:after="0" w:line="240" w:lineRule="auto"/>
        <w:rPr>
          <w:b/>
          <w:sz w:val="24"/>
          <w:szCs w:val="24"/>
        </w:rPr>
      </w:pPr>
    </w:p>
    <w:p w14:paraId="06EA5BBF" w14:textId="18BEF108" w:rsidR="007B5715" w:rsidRDefault="007B5715" w:rsidP="007B5715">
      <w:pPr>
        <w:spacing w:after="0" w:line="240" w:lineRule="auto"/>
        <w:rPr>
          <w:b/>
          <w:sz w:val="24"/>
          <w:szCs w:val="24"/>
        </w:rPr>
      </w:pPr>
    </w:p>
    <w:p w14:paraId="70317241" w14:textId="61EFD4D1" w:rsidR="007B5715" w:rsidRDefault="007B5715" w:rsidP="007B5715">
      <w:pPr>
        <w:spacing w:after="0" w:line="240" w:lineRule="auto"/>
        <w:rPr>
          <w:b/>
          <w:sz w:val="24"/>
          <w:szCs w:val="24"/>
        </w:rPr>
      </w:pPr>
    </w:p>
    <w:p w14:paraId="48C435FC" w14:textId="6B68009D" w:rsidR="007B5715" w:rsidRDefault="007B5715" w:rsidP="007B5715">
      <w:pPr>
        <w:spacing w:after="0" w:line="240" w:lineRule="auto"/>
        <w:rPr>
          <w:b/>
          <w:sz w:val="24"/>
          <w:szCs w:val="24"/>
        </w:rPr>
      </w:pPr>
    </w:p>
    <w:p w14:paraId="443EE323" w14:textId="3D4E5CED" w:rsidR="007B5715" w:rsidRPr="00135762" w:rsidRDefault="007B5715" w:rsidP="007B5715">
      <w:pPr>
        <w:spacing w:after="0" w:line="240" w:lineRule="auto"/>
        <w:rPr>
          <w:b/>
          <w:sz w:val="24"/>
          <w:szCs w:val="24"/>
        </w:rPr>
      </w:pPr>
    </w:p>
    <w:p w14:paraId="2D9414F1" w14:textId="641A5163" w:rsidR="00A45244" w:rsidRPr="00135762" w:rsidRDefault="00A45244" w:rsidP="001976DA">
      <w:pPr>
        <w:spacing w:after="0" w:line="360" w:lineRule="auto"/>
        <w:rPr>
          <w:b/>
          <w:sz w:val="24"/>
          <w:szCs w:val="24"/>
        </w:rPr>
      </w:pPr>
      <w:r w:rsidRPr="00135762">
        <w:rPr>
          <w:b/>
          <w:sz w:val="24"/>
          <w:szCs w:val="24"/>
        </w:rPr>
        <w:lastRenderedPageBreak/>
        <w:t>Abstract</w:t>
      </w:r>
      <w:r w:rsidR="00AE4C24" w:rsidRPr="00135762">
        <w:rPr>
          <w:b/>
          <w:sz w:val="24"/>
          <w:szCs w:val="24"/>
        </w:rPr>
        <w:t xml:space="preserve"> </w:t>
      </w:r>
    </w:p>
    <w:p w14:paraId="41278D54" w14:textId="42B699E4" w:rsidR="00734705" w:rsidRPr="00135762" w:rsidRDefault="004A6689" w:rsidP="007951D3">
      <w:pPr>
        <w:spacing w:after="0" w:line="360" w:lineRule="auto"/>
        <w:rPr>
          <w:sz w:val="24"/>
          <w:szCs w:val="24"/>
        </w:rPr>
      </w:pPr>
      <w:r w:rsidRPr="00135762">
        <w:rPr>
          <w:sz w:val="24"/>
          <w:szCs w:val="24"/>
        </w:rPr>
        <w:t>D</w:t>
      </w:r>
      <w:r w:rsidR="00A45244" w:rsidRPr="00135762">
        <w:rPr>
          <w:sz w:val="24"/>
          <w:szCs w:val="24"/>
        </w:rPr>
        <w:t>iabet</w:t>
      </w:r>
      <w:r w:rsidR="007B5715">
        <w:rPr>
          <w:sz w:val="24"/>
          <w:szCs w:val="24"/>
        </w:rPr>
        <w:t>es</w:t>
      </w:r>
      <w:r w:rsidR="00A45244" w:rsidRPr="00135762">
        <w:rPr>
          <w:sz w:val="24"/>
          <w:szCs w:val="24"/>
        </w:rPr>
        <w:t xml:space="preserve"> vascular complications, including cardiovascular disease, diabetic nephropathy and retinopathy,</w:t>
      </w:r>
      <w:r w:rsidR="004D6996" w:rsidRPr="00135762">
        <w:rPr>
          <w:sz w:val="24"/>
          <w:szCs w:val="24"/>
        </w:rPr>
        <w:t xml:space="preserve"> </w:t>
      </w:r>
      <w:r w:rsidR="00075801" w:rsidRPr="00135762">
        <w:rPr>
          <w:sz w:val="24"/>
          <w:szCs w:val="24"/>
        </w:rPr>
        <w:t>ha</w:t>
      </w:r>
      <w:r w:rsidRPr="00135762">
        <w:rPr>
          <w:sz w:val="24"/>
          <w:szCs w:val="24"/>
        </w:rPr>
        <w:t>ve</w:t>
      </w:r>
      <w:r w:rsidR="00075801" w:rsidRPr="00135762">
        <w:rPr>
          <w:sz w:val="24"/>
          <w:szCs w:val="24"/>
        </w:rPr>
        <w:t xml:space="preserve"> a negative </w:t>
      </w:r>
      <w:r w:rsidR="0064239A" w:rsidRPr="00135762">
        <w:rPr>
          <w:sz w:val="24"/>
          <w:szCs w:val="24"/>
        </w:rPr>
        <w:t>effect</w:t>
      </w:r>
      <w:r w:rsidR="00075801" w:rsidRPr="00135762">
        <w:rPr>
          <w:sz w:val="24"/>
          <w:szCs w:val="24"/>
        </w:rPr>
        <w:t xml:space="preserve"> on the long</w:t>
      </w:r>
      <w:r w:rsidRPr="00135762">
        <w:rPr>
          <w:sz w:val="24"/>
          <w:szCs w:val="24"/>
        </w:rPr>
        <w:t>-</w:t>
      </w:r>
      <w:r w:rsidR="00075801" w:rsidRPr="00135762">
        <w:rPr>
          <w:sz w:val="24"/>
          <w:szCs w:val="24"/>
        </w:rPr>
        <w:t>term prognosis of young people with type 1 diabetes</w:t>
      </w:r>
      <w:r w:rsidR="0064239A" w:rsidRPr="00135762">
        <w:rPr>
          <w:sz w:val="24"/>
          <w:szCs w:val="24"/>
        </w:rPr>
        <w:t xml:space="preserve"> mellitus</w:t>
      </w:r>
      <w:r w:rsidR="00075801" w:rsidRPr="00135762">
        <w:rPr>
          <w:sz w:val="24"/>
          <w:szCs w:val="24"/>
        </w:rPr>
        <w:t>.</w:t>
      </w:r>
      <w:r w:rsidR="00F96BE4" w:rsidRPr="00135762">
        <w:rPr>
          <w:sz w:val="24"/>
          <w:szCs w:val="24"/>
        </w:rPr>
        <w:t xml:space="preserve"> </w:t>
      </w:r>
      <w:r w:rsidR="00B5452B" w:rsidRPr="00135762">
        <w:rPr>
          <w:sz w:val="24"/>
          <w:szCs w:val="24"/>
        </w:rPr>
        <w:t xml:space="preserve">Poor glycaemic control and consequent increased </w:t>
      </w:r>
      <w:r w:rsidR="00734705" w:rsidRPr="00135762">
        <w:rPr>
          <w:sz w:val="24"/>
          <w:szCs w:val="24"/>
        </w:rPr>
        <w:t>HbA</w:t>
      </w:r>
      <w:r w:rsidR="00734705" w:rsidRPr="00135762">
        <w:rPr>
          <w:sz w:val="24"/>
          <w:szCs w:val="24"/>
          <w:vertAlign w:val="subscript"/>
        </w:rPr>
        <w:t>1c</w:t>
      </w:r>
      <w:r w:rsidR="00734705" w:rsidRPr="00135762">
        <w:rPr>
          <w:sz w:val="24"/>
          <w:szCs w:val="24"/>
        </w:rPr>
        <w:t xml:space="preserve"> </w:t>
      </w:r>
      <w:r w:rsidR="00B5452B" w:rsidRPr="00135762">
        <w:rPr>
          <w:sz w:val="24"/>
          <w:szCs w:val="24"/>
        </w:rPr>
        <w:t>levels are</w:t>
      </w:r>
      <w:r w:rsidR="00734705" w:rsidRPr="00135762">
        <w:rPr>
          <w:sz w:val="24"/>
          <w:szCs w:val="24"/>
        </w:rPr>
        <w:t xml:space="preserve"> major risk factor</w:t>
      </w:r>
      <w:r w:rsidR="00B5452B" w:rsidRPr="00135762">
        <w:rPr>
          <w:sz w:val="24"/>
          <w:szCs w:val="24"/>
        </w:rPr>
        <w:t>s</w:t>
      </w:r>
      <w:r w:rsidR="00734705" w:rsidRPr="00135762">
        <w:rPr>
          <w:sz w:val="24"/>
          <w:szCs w:val="24"/>
        </w:rPr>
        <w:t xml:space="preserve"> for </w:t>
      </w:r>
      <w:r w:rsidR="00610D92">
        <w:rPr>
          <w:sz w:val="24"/>
          <w:szCs w:val="24"/>
        </w:rPr>
        <w:t xml:space="preserve">the </w:t>
      </w:r>
      <w:r w:rsidR="00734705" w:rsidRPr="00135762">
        <w:rPr>
          <w:sz w:val="24"/>
          <w:szCs w:val="24"/>
        </w:rPr>
        <w:t>development</w:t>
      </w:r>
      <w:r w:rsidR="00B5452B" w:rsidRPr="00135762">
        <w:rPr>
          <w:sz w:val="24"/>
          <w:szCs w:val="24"/>
        </w:rPr>
        <w:t xml:space="preserve"> of vascular complications.</w:t>
      </w:r>
      <w:r w:rsidR="00734705" w:rsidRPr="00135762">
        <w:rPr>
          <w:sz w:val="24"/>
          <w:szCs w:val="24"/>
        </w:rPr>
        <w:t xml:space="preserve"> </w:t>
      </w:r>
      <w:r w:rsidR="00B5452B" w:rsidRPr="00135762">
        <w:rPr>
          <w:sz w:val="24"/>
          <w:szCs w:val="24"/>
        </w:rPr>
        <w:t>HbA</w:t>
      </w:r>
      <w:r w:rsidR="00B5452B" w:rsidRPr="00135762">
        <w:rPr>
          <w:sz w:val="24"/>
          <w:szCs w:val="24"/>
          <w:vertAlign w:val="subscript"/>
        </w:rPr>
        <w:t>1c</w:t>
      </w:r>
      <w:r w:rsidR="00B5452B" w:rsidRPr="00135762">
        <w:rPr>
          <w:sz w:val="24"/>
          <w:szCs w:val="24"/>
        </w:rPr>
        <w:t xml:space="preserve"> levels are</w:t>
      </w:r>
      <w:r w:rsidR="00734705" w:rsidRPr="00135762">
        <w:rPr>
          <w:sz w:val="24"/>
          <w:szCs w:val="24"/>
        </w:rPr>
        <w:t xml:space="preserve"> the main focus of current </w:t>
      </w:r>
      <w:r w:rsidR="00B5452B" w:rsidRPr="00135762">
        <w:rPr>
          <w:sz w:val="24"/>
          <w:szCs w:val="24"/>
        </w:rPr>
        <w:t>management</w:t>
      </w:r>
      <w:r w:rsidR="00734705" w:rsidRPr="00135762">
        <w:rPr>
          <w:sz w:val="24"/>
          <w:szCs w:val="24"/>
        </w:rPr>
        <w:t xml:space="preserve"> strategies, </w:t>
      </w:r>
      <w:r w:rsidR="00B5452B" w:rsidRPr="00135762">
        <w:rPr>
          <w:sz w:val="24"/>
          <w:szCs w:val="24"/>
        </w:rPr>
        <w:t xml:space="preserve">however, </w:t>
      </w:r>
      <w:r w:rsidR="00734705" w:rsidRPr="00135762">
        <w:rPr>
          <w:sz w:val="24"/>
          <w:szCs w:val="24"/>
        </w:rPr>
        <w:t xml:space="preserve">recommended target </w:t>
      </w:r>
      <w:r w:rsidR="007B5715">
        <w:rPr>
          <w:sz w:val="24"/>
          <w:szCs w:val="24"/>
        </w:rPr>
        <w:t xml:space="preserve">is </w:t>
      </w:r>
      <w:r w:rsidR="00734705" w:rsidRPr="00135762">
        <w:rPr>
          <w:sz w:val="24"/>
          <w:szCs w:val="24"/>
        </w:rPr>
        <w:t>rarely achieved</w:t>
      </w:r>
      <w:r w:rsidR="00593FA5" w:rsidRPr="00135762">
        <w:rPr>
          <w:sz w:val="24"/>
          <w:szCs w:val="24"/>
        </w:rPr>
        <w:t xml:space="preserve"> in adolescents</w:t>
      </w:r>
      <w:r w:rsidR="00734705" w:rsidRPr="00135762">
        <w:rPr>
          <w:rFonts w:cstheme="minorHAnsi"/>
          <w:sz w:val="24"/>
          <w:szCs w:val="24"/>
        </w:rPr>
        <w:t>. Thus,</w:t>
      </w:r>
      <w:r w:rsidR="00734705" w:rsidRPr="00135762">
        <w:rPr>
          <w:sz w:val="24"/>
          <w:szCs w:val="24"/>
        </w:rPr>
        <w:t xml:space="preserve"> a clear need</w:t>
      </w:r>
      <w:r w:rsidR="00A871BF" w:rsidRPr="00135762">
        <w:rPr>
          <w:sz w:val="24"/>
          <w:szCs w:val="24"/>
        </w:rPr>
        <w:t xml:space="preserve"> exists</w:t>
      </w:r>
      <w:r w:rsidR="00734705" w:rsidRPr="00135762">
        <w:rPr>
          <w:sz w:val="24"/>
          <w:szCs w:val="24"/>
        </w:rPr>
        <w:t xml:space="preserve"> for improved </w:t>
      </w:r>
      <w:r w:rsidR="00A871BF" w:rsidRPr="00135762">
        <w:rPr>
          <w:sz w:val="24"/>
          <w:szCs w:val="24"/>
        </w:rPr>
        <w:t>bio</w:t>
      </w:r>
      <w:r w:rsidR="00734705" w:rsidRPr="00135762">
        <w:rPr>
          <w:sz w:val="24"/>
          <w:szCs w:val="24"/>
        </w:rPr>
        <w:t xml:space="preserve">markers to identify </w:t>
      </w:r>
      <w:r w:rsidR="00593FA5" w:rsidRPr="00135762">
        <w:rPr>
          <w:sz w:val="24"/>
          <w:szCs w:val="24"/>
        </w:rPr>
        <w:t>high risk young p</w:t>
      </w:r>
      <w:r w:rsidR="00A871BF" w:rsidRPr="00135762">
        <w:rPr>
          <w:sz w:val="24"/>
          <w:szCs w:val="24"/>
        </w:rPr>
        <w:t>eople</w:t>
      </w:r>
      <w:r w:rsidR="00734705" w:rsidRPr="00135762">
        <w:rPr>
          <w:sz w:val="24"/>
          <w:szCs w:val="24"/>
        </w:rPr>
        <w:t xml:space="preserve"> at an early stage and to develop new intervention strategies.</w:t>
      </w:r>
      <w:r w:rsidR="007951D3" w:rsidRPr="00135762">
        <w:rPr>
          <w:sz w:val="24"/>
          <w:szCs w:val="24"/>
        </w:rPr>
        <w:t xml:space="preserve"> </w:t>
      </w:r>
      <w:r w:rsidR="00A871BF" w:rsidRPr="00135762">
        <w:rPr>
          <w:sz w:val="24"/>
          <w:szCs w:val="24"/>
        </w:rPr>
        <w:t>Evidence is accumulating</w:t>
      </w:r>
      <w:r w:rsidR="00075801" w:rsidRPr="00135762">
        <w:rPr>
          <w:rFonts w:cs="Tahoma"/>
          <w:sz w:val="24"/>
          <w:szCs w:val="24"/>
        </w:rPr>
        <w:t xml:space="preserve"> that early increases in urinary albumin excretion </w:t>
      </w:r>
      <w:r w:rsidR="00A871BF" w:rsidRPr="00135762">
        <w:rPr>
          <w:rFonts w:cs="Tahoma"/>
          <w:sz w:val="24"/>
          <w:szCs w:val="24"/>
        </w:rPr>
        <w:t>could be</w:t>
      </w:r>
      <w:r w:rsidR="00075801" w:rsidRPr="00135762">
        <w:rPr>
          <w:rFonts w:cs="Tahoma"/>
          <w:sz w:val="24"/>
          <w:szCs w:val="24"/>
        </w:rPr>
        <w:t xml:space="preserve"> predict</w:t>
      </w:r>
      <w:r w:rsidR="00A871BF" w:rsidRPr="00135762">
        <w:rPr>
          <w:rFonts w:cs="Tahoma"/>
          <w:sz w:val="24"/>
          <w:szCs w:val="24"/>
        </w:rPr>
        <w:t>ive of</w:t>
      </w:r>
      <w:r w:rsidR="00075801" w:rsidRPr="00135762">
        <w:rPr>
          <w:rFonts w:cs="Tahoma"/>
          <w:sz w:val="24"/>
          <w:szCs w:val="24"/>
        </w:rPr>
        <w:t xml:space="preserve"> adolescents </w:t>
      </w:r>
      <w:r w:rsidRPr="00135762">
        <w:rPr>
          <w:rFonts w:cs="Tahoma"/>
          <w:sz w:val="24"/>
          <w:szCs w:val="24"/>
        </w:rPr>
        <w:t xml:space="preserve">with type 1 diabetes </w:t>
      </w:r>
      <w:r w:rsidR="00A871BF" w:rsidRPr="00135762">
        <w:rPr>
          <w:rFonts w:cs="Tahoma"/>
          <w:sz w:val="24"/>
          <w:szCs w:val="24"/>
        </w:rPr>
        <w:t xml:space="preserve">who are </w:t>
      </w:r>
      <w:r w:rsidR="00075801" w:rsidRPr="00135762">
        <w:rPr>
          <w:rFonts w:cs="Tahoma"/>
          <w:sz w:val="24"/>
          <w:szCs w:val="24"/>
        </w:rPr>
        <w:t xml:space="preserve">at </w:t>
      </w:r>
      <w:r w:rsidR="00B5452B" w:rsidRPr="00135762">
        <w:rPr>
          <w:rFonts w:cs="Tahoma"/>
          <w:sz w:val="24"/>
          <w:szCs w:val="24"/>
        </w:rPr>
        <w:t xml:space="preserve">an </w:t>
      </w:r>
      <w:r w:rsidR="00075801" w:rsidRPr="00135762">
        <w:rPr>
          <w:rFonts w:cs="Tahoma"/>
          <w:sz w:val="24"/>
          <w:szCs w:val="24"/>
        </w:rPr>
        <w:t xml:space="preserve">increased risk of developing </w:t>
      </w:r>
      <w:r w:rsidR="00A871BF" w:rsidRPr="00135762">
        <w:rPr>
          <w:rFonts w:cs="Tahoma"/>
          <w:sz w:val="24"/>
          <w:szCs w:val="24"/>
        </w:rPr>
        <w:t>vascular complications,</w:t>
      </w:r>
      <w:r w:rsidR="00075801" w:rsidRPr="00135762">
        <w:rPr>
          <w:rFonts w:cs="Tahoma"/>
          <w:sz w:val="24"/>
          <w:szCs w:val="24"/>
        </w:rPr>
        <w:t xml:space="preserve"> independently of HbA</w:t>
      </w:r>
      <w:r w:rsidR="00075801" w:rsidRPr="00135762">
        <w:rPr>
          <w:rFonts w:cs="Tahoma"/>
          <w:sz w:val="24"/>
          <w:szCs w:val="24"/>
          <w:vertAlign w:val="subscript"/>
        </w:rPr>
        <w:t>1c</w:t>
      </w:r>
      <w:r w:rsidR="00A871BF" w:rsidRPr="00135762">
        <w:rPr>
          <w:rFonts w:cs="Tahoma"/>
          <w:sz w:val="24"/>
          <w:szCs w:val="24"/>
        </w:rPr>
        <w:t xml:space="preserve"> levels</w:t>
      </w:r>
      <w:r w:rsidR="00075801" w:rsidRPr="00135762">
        <w:rPr>
          <w:rFonts w:cs="Tahoma"/>
          <w:sz w:val="24"/>
          <w:szCs w:val="24"/>
        </w:rPr>
        <w:t xml:space="preserve">. </w:t>
      </w:r>
      <w:r w:rsidR="00075801" w:rsidRPr="00135762">
        <w:rPr>
          <w:sz w:val="24"/>
          <w:szCs w:val="24"/>
        </w:rPr>
        <w:t xml:space="preserve">These findings </w:t>
      </w:r>
      <w:r w:rsidR="00734705" w:rsidRPr="00135762">
        <w:rPr>
          <w:sz w:val="24"/>
          <w:szCs w:val="24"/>
        </w:rPr>
        <w:t>pr</w:t>
      </w:r>
      <w:r w:rsidR="00A871BF" w:rsidRPr="00135762">
        <w:rPr>
          <w:sz w:val="24"/>
          <w:szCs w:val="24"/>
        </w:rPr>
        <w:t>esent</w:t>
      </w:r>
      <w:r w:rsidR="00734705" w:rsidRPr="00135762">
        <w:rPr>
          <w:sz w:val="24"/>
          <w:szCs w:val="24"/>
        </w:rPr>
        <w:t xml:space="preserve"> an opportunity to move towards </w:t>
      </w:r>
      <w:r w:rsidR="00B5452B" w:rsidRPr="00135762">
        <w:rPr>
          <w:sz w:val="24"/>
          <w:szCs w:val="24"/>
        </w:rPr>
        <w:t xml:space="preserve">the </w:t>
      </w:r>
      <w:r w:rsidR="00734705" w:rsidRPr="00135762">
        <w:rPr>
          <w:sz w:val="24"/>
          <w:szCs w:val="24"/>
        </w:rPr>
        <w:t>personali</w:t>
      </w:r>
      <w:r w:rsidR="00F47B38" w:rsidRPr="00135762">
        <w:rPr>
          <w:sz w:val="24"/>
          <w:szCs w:val="24"/>
        </w:rPr>
        <w:t>z</w:t>
      </w:r>
      <w:r w:rsidR="00734705" w:rsidRPr="00135762">
        <w:rPr>
          <w:sz w:val="24"/>
          <w:szCs w:val="24"/>
        </w:rPr>
        <w:t xml:space="preserve">ed care of adolescents with </w:t>
      </w:r>
      <w:r w:rsidR="00CB058F" w:rsidRPr="00135762">
        <w:rPr>
          <w:sz w:val="24"/>
          <w:szCs w:val="24"/>
        </w:rPr>
        <w:t xml:space="preserve">type 1 </w:t>
      </w:r>
      <w:r w:rsidR="00734705" w:rsidRPr="00135762">
        <w:rPr>
          <w:sz w:val="24"/>
          <w:szCs w:val="24"/>
        </w:rPr>
        <w:t>diabetes</w:t>
      </w:r>
      <w:r w:rsidR="00E565EA" w:rsidRPr="00135762">
        <w:rPr>
          <w:sz w:val="24"/>
          <w:szCs w:val="24"/>
        </w:rPr>
        <w:t>,</w:t>
      </w:r>
      <w:r w:rsidR="00734705" w:rsidRPr="00135762">
        <w:rPr>
          <w:sz w:val="24"/>
          <w:szCs w:val="24"/>
        </w:rPr>
        <w:t xml:space="preserve"> </w:t>
      </w:r>
      <w:r w:rsidR="00A871BF" w:rsidRPr="00135762">
        <w:rPr>
          <w:sz w:val="24"/>
          <w:szCs w:val="24"/>
        </w:rPr>
        <w:t xml:space="preserve">which </w:t>
      </w:r>
      <w:r w:rsidR="00734705" w:rsidRPr="00135762">
        <w:rPr>
          <w:sz w:val="24"/>
          <w:szCs w:val="24"/>
        </w:rPr>
        <w:t>tak</w:t>
      </w:r>
      <w:r w:rsidR="00A871BF" w:rsidRPr="00135762">
        <w:rPr>
          <w:sz w:val="24"/>
          <w:szCs w:val="24"/>
        </w:rPr>
        <w:t>es</w:t>
      </w:r>
      <w:r w:rsidR="00734705" w:rsidRPr="00135762">
        <w:rPr>
          <w:sz w:val="24"/>
          <w:szCs w:val="24"/>
        </w:rPr>
        <w:t xml:space="preserve"> into consideration</w:t>
      </w:r>
      <w:r w:rsidR="00A871BF" w:rsidRPr="00135762">
        <w:rPr>
          <w:sz w:val="24"/>
          <w:szCs w:val="24"/>
        </w:rPr>
        <w:t xml:space="preserve"> changes in albumin excretion and other risk factors, in addition to</w:t>
      </w:r>
      <w:r w:rsidR="00F96BE4" w:rsidRPr="00135762">
        <w:rPr>
          <w:sz w:val="24"/>
          <w:szCs w:val="24"/>
        </w:rPr>
        <w:t xml:space="preserve"> </w:t>
      </w:r>
      <w:r w:rsidR="00734705" w:rsidRPr="00135762">
        <w:rPr>
          <w:sz w:val="24"/>
          <w:szCs w:val="24"/>
        </w:rPr>
        <w:t>HbA</w:t>
      </w:r>
      <w:r w:rsidR="00734705" w:rsidRPr="00135762">
        <w:rPr>
          <w:sz w:val="24"/>
          <w:szCs w:val="24"/>
          <w:vertAlign w:val="subscript"/>
        </w:rPr>
        <w:t>1c</w:t>
      </w:r>
      <w:r w:rsidR="00A871BF" w:rsidRPr="00135762">
        <w:rPr>
          <w:sz w:val="24"/>
          <w:szCs w:val="24"/>
        </w:rPr>
        <w:t xml:space="preserve"> levels</w:t>
      </w:r>
      <w:r w:rsidR="00734705" w:rsidRPr="00135762">
        <w:rPr>
          <w:sz w:val="24"/>
          <w:szCs w:val="24"/>
        </w:rPr>
        <w:t>.</w:t>
      </w:r>
    </w:p>
    <w:p w14:paraId="6F183180" w14:textId="15106CA6" w:rsidR="00A45244" w:rsidRPr="00135762" w:rsidRDefault="00A45244" w:rsidP="001976DA">
      <w:pPr>
        <w:spacing w:after="0" w:line="360" w:lineRule="auto"/>
        <w:rPr>
          <w:b/>
          <w:sz w:val="24"/>
          <w:szCs w:val="24"/>
        </w:rPr>
      </w:pPr>
    </w:p>
    <w:p w14:paraId="3224EC1B" w14:textId="3AF5FBCC" w:rsidR="00AB779A" w:rsidRPr="00135762" w:rsidRDefault="00AB779A" w:rsidP="001976DA">
      <w:pPr>
        <w:spacing w:after="0" w:line="360" w:lineRule="auto"/>
        <w:rPr>
          <w:b/>
          <w:sz w:val="24"/>
          <w:szCs w:val="24"/>
        </w:rPr>
      </w:pPr>
    </w:p>
    <w:p w14:paraId="09C98D2A" w14:textId="4B8BB7BE" w:rsidR="00AB779A" w:rsidRPr="00135762" w:rsidRDefault="00AB779A" w:rsidP="001976DA">
      <w:pPr>
        <w:spacing w:after="0" w:line="360" w:lineRule="auto"/>
        <w:rPr>
          <w:b/>
          <w:sz w:val="24"/>
          <w:szCs w:val="24"/>
        </w:rPr>
      </w:pPr>
    </w:p>
    <w:p w14:paraId="4A14D8A7" w14:textId="0AE36DA1" w:rsidR="00AB779A" w:rsidRPr="00135762" w:rsidRDefault="00AB779A" w:rsidP="001976DA">
      <w:pPr>
        <w:spacing w:after="0" w:line="360" w:lineRule="auto"/>
        <w:rPr>
          <w:b/>
          <w:sz w:val="24"/>
          <w:szCs w:val="24"/>
        </w:rPr>
      </w:pPr>
    </w:p>
    <w:p w14:paraId="51F16EE9" w14:textId="47E53A4C" w:rsidR="00AB779A" w:rsidRPr="00135762" w:rsidRDefault="00AB779A" w:rsidP="001976DA">
      <w:pPr>
        <w:spacing w:after="0" w:line="360" w:lineRule="auto"/>
        <w:rPr>
          <w:b/>
          <w:sz w:val="24"/>
          <w:szCs w:val="24"/>
        </w:rPr>
      </w:pPr>
    </w:p>
    <w:p w14:paraId="3FFA6314" w14:textId="36426FF5" w:rsidR="00AB779A" w:rsidRPr="00135762" w:rsidRDefault="00AB779A" w:rsidP="001976DA">
      <w:pPr>
        <w:spacing w:after="0" w:line="360" w:lineRule="auto"/>
        <w:rPr>
          <w:b/>
          <w:sz w:val="24"/>
          <w:szCs w:val="24"/>
        </w:rPr>
      </w:pPr>
    </w:p>
    <w:p w14:paraId="2DCDE2F2" w14:textId="29B579C4" w:rsidR="00AB779A" w:rsidRPr="00135762" w:rsidRDefault="00AB779A" w:rsidP="001976DA">
      <w:pPr>
        <w:spacing w:after="0" w:line="360" w:lineRule="auto"/>
        <w:rPr>
          <w:b/>
          <w:sz w:val="24"/>
          <w:szCs w:val="24"/>
        </w:rPr>
      </w:pPr>
    </w:p>
    <w:p w14:paraId="320D0C7A" w14:textId="44E4931A" w:rsidR="00AB779A" w:rsidRPr="00135762" w:rsidRDefault="00AB779A" w:rsidP="001976DA">
      <w:pPr>
        <w:spacing w:after="0" w:line="360" w:lineRule="auto"/>
        <w:rPr>
          <w:b/>
          <w:sz w:val="24"/>
          <w:szCs w:val="24"/>
        </w:rPr>
      </w:pPr>
    </w:p>
    <w:p w14:paraId="0FEC3221" w14:textId="6DF8895E" w:rsidR="00AB779A" w:rsidRPr="00135762" w:rsidRDefault="00AB779A" w:rsidP="001976DA">
      <w:pPr>
        <w:spacing w:after="0" w:line="360" w:lineRule="auto"/>
        <w:rPr>
          <w:b/>
          <w:sz w:val="24"/>
          <w:szCs w:val="24"/>
        </w:rPr>
      </w:pPr>
    </w:p>
    <w:p w14:paraId="76507CEE" w14:textId="5A2819DF" w:rsidR="00AB779A" w:rsidRPr="00135762" w:rsidRDefault="00AB779A" w:rsidP="001976DA">
      <w:pPr>
        <w:spacing w:after="0" w:line="360" w:lineRule="auto"/>
        <w:rPr>
          <w:b/>
          <w:sz w:val="24"/>
          <w:szCs w:val="24"/>
        </w:rPr>
      </w:pPr>
    </w:p>
    <w:p w14:paraId="4F756CF5" w14:textId="66E1D0E3" w:rsidR="00F96035" w:rsidRPr="00135762" w:rsidRDefault="00F96035" w:rsidP="001976DA">
      <w:pPr>
        <w:spacing w:after="0" w:line="360" w:lineRule="auto"/>
        <w:rPr>
          <w:b/>
          <w:sz w:val="24"/>
          <w:szCs w:val="24"/>
        </w:rPr>
      </w:pPr>
    </w:p>
    <w:p w14:paraId="00178529" w14:textId="215C3091" w:rsidR="00F96035" w:rsidRPr="00135762" w:rsidRDefault="00F96035" w:rsidP="001976DA">
      <w:pPr>
        <w:spacing w:after="0" w:line="360" w:lineRule="auto"/>
        <w:rPr>
          <w:b/>
          <w:sz w:val="24"/>
          <w:szCs w:val="24"/>
        </w:rPr>
      </w:pPr>
    </w:p>
    <w:p w14:paraId="68BFE6C4" w14:textId="42A1EA4D" w:rsidR="00F96035" w:rsidRPr="00135762" w:rsidRDefault="00F96035" w:rsidP="001976DA">
      <w:pPr>
        <w:spacing w:after="0" w:line="360" w:lineRule="auto"/>
        <w:rPr>
          <w:b/>
          <w:sz w:val="24"/>
          <w:szCs w:val="24"/>
        </w:rPr>
      </w:pPr>
    </w:p>
    <w:p w14:paraId="58A66882" w14:textId="472E2E94" w:rsidR="005A000B" w:rsidRPr="00135762" w:rsidRDefault="005A000B" w:rsidP="001976DA">
      <w:pPr>
        <w:spacing w:after="0" w:line="360" w:lineRule="auto"/>
        <w:rPr>
          <w:b/>
          <w:sz w:val="24"/>
          <w:szCs w:val="24"/>
        </w:rPr>
      </w:pPr>
    </w:p>
    <w:p w14:paraId="0C7E1C39" w14:textId="77777777" w:rsidR="007B5715" w:rsidRDefault="007B5715" w:rsidP="00AA7F02">
      <w:pPr>
        <w:spacing w:after="0" w:line="360" w:lineRule="auto"/>
        <w:rPr>
          <w:b/>
          <w:sz w:val="24"/>
          <w:szCs w:val="24"/>
        </w:rPr>
      </w:pPr>
    </w:p>
    <w:p w14:paraId="594185C9" w14:textId="77777777" w:rsidR="007B5715" w:rsidRDefault="007B5715" w:rsidP="00AA7F02">
      <w:pPr>
        <w:spacing w:after="0" w:line="360" w:lineRule="auto"/>
        <w:rPr>
          <w:b/>
          <w:sz w:val="24"/>
          <w:szCs w:val="24"/>
        </w:rPr>
      </w:pPr>
    </w:p>
    <w:p w14:paraId="2AC19CAE" w14:textId="77777777" w:rsidR="007B5715" w:rsidRDefault="007B5715" w:rsidP="00AA7F02">
      <w:pPr>
        <w:spacing w:after="0" w:line="360" w:lineRule="auto"/>
        <w:rPr>
          <w:b/>
          <w:sz w:val="24"/>
          <w:szCs w:val="24"/>
        </w:rPr>
      </w:pPr>
    </w:p>
    <w:p w14:paraId="092DA8FB" w14:textId="77777777" w:rsidR="007B5715" w:rsidRDefault="007B5715" w:rsidP="00AA7F02">
      <w:pPr>
        <w:spacing w:after="0" w:line="360" w:lineRule="auto"/>
        <w:rPr>
          <w:b/>
          <w:sz w:val="24"/>
          <w:szCs w:val="24"/>
        </w:rPr>
      </w:pPr>
    </w:p>
    <w:p w14:paraId="3F7A4549" w14:textId="5CE49CFC" w:rsidR="0096161A" w:rsidRPr="00135762" w:rsidRDefault="0096161A" w:rsidP="00AA7F02">
      <w:pPr>
        <w:spacing w:after="0" w:line="360" w:lineRule="auto"/>
        <w:rPr>
          <w:b/>
          <w:sz w:val="24"/>
          <w:szCs w:val="24"/>
        </w:rPr>
      </w:pPr>
      <w:r w:rsidRPr="00135762">
        <w:rPr>
          <w:b/>
          <w:sz w:val="24"/>
          <w:szCs w:val="24"/>
        </w:rPr>
        <w:lastRenderedPageBreak/>
        <w:t>Introduction</w:t>
      </w:r>
    </w:p>
    <w:p w14:paraId="223C941F" w14:textId="727E9974" w:rsidR="004A6689" w:rsidRPr="00135762" w:rsidRDefault="000A6375" w:rsidP="00AA7F02">
      <w:pPr>
        <w:spacing w:after="0" w:line="360" w:lineRule="auto"/>
        <w:rPr>
          <w:sz w:val="24"/>
          <w:szCs w:val="24"/>
        </w:rPr>
      </w:pPr>
      <w:r w:rsidRPr="00135762">
        <w:rPr>
          <w:sz w:val="24"/>
          <w:szCs w:val="24"/>
        </w:rPr>
        <w:t>Type 1 d</w:t>
      </w:r>
      <w:r w:rsidR="00477637" w:rsidRPr="00135762">
        <w:rPr>
          <w:sz w:val="24"/>
          <w:szCs w:val="24"/>
        </w:rPr>
        <w:t>iabetes</w:t>
      </w:r>
      <w:r w:rsidR="007951D3" w:rsidRPr="00135762">
        <w:rPr>
          <w:sz w:val="24"/>
          <w:szCs w:val="24"/>
        </w:rPr>
        <w:t xml:space="preserve"> mellitus (T1DM</w:t>
      </w:r>
      <w:r w:rsidR="00F96BE4" w:rsidRPr="00135762">
        <w:rPr>
          <w:sz w:val="24"/>
          <w:szCs w:val="24"/>
        </w:rPr>
        <w:t xml:space="preserve"> </w:t>
      </w:r>
      <w:r w:rsidR="00477637" w:rsidRPr="00135762">
        <w:rPr>
          <w:sz w:val="24"/>
          <w:szCs w:val="24"/>
        </w:rPr>
        <w:t>a</w:t>
      </w:r>
      <w:r w:rsidR="0046431D" w:rsidRPr="00135762">
        <w:rPr>
          <w:sz w:val="24"/>
          <w:szCs w:val="24"/>
        </w:rPr>
        <w:t xml:space="preserve">ffects over </w:t>
      </w:r>
      <w:r w:rsidR="00ED53BB" w:rsidRPr="00135762">
        <w:rPr>
          <w:sz w:val="24"/>
          <w:szCs w:val="24"/>
        </w:rPr>
        <w:t>1 million</w:t>
      </w:r>
      <w:r w:rsidR="00477637" w:rsidRPr="00135762">
        <w:rPr>
          <w:sz w:val="24"/>
          <w:szCs w:val="24"/>
        </w:rPr>
        <w:t xml:space="preserve"> young people (</w:t>
      </w:r>
      <w:r w:rsidR="007951D3" w:rsidRPr="00135762">
        <w:rPr>
          <w:sz w:val="24"/>
          <w:szCs w:val="24"/>
        </w:rPr>
        <w:t xml:space="preserve">aged </w:t>
      </w:r>
      <w:r w:rsidR="00477637" w:rsidRPr="00135762">
        <w:rPr>
          <w:sz w:val="24"/>
          <w:szCs w:val="24"/>
        </w:rPr>
        <w:t>0</w:t>
      </w:r>
      <w:r w:rsidR="007951D3" w:rsidRPr="00135762">
        <w:rPr>
          <w:sz w:val="24"/>
          <w:szCs w:val="24"/>
        </w:rPr>
        <w:t>–</w:t>
      </w:r>
      <w:r w:rsidR="00477637" w:rsidRPr="00135762">
        <w:rPr>
          <w:sz w:val="24"/>
          <w:szCs w:val="24"/>
        </w:rPr>
        <w:t xml:space="preserve">20 years) </w:t>
      </w:r>
      <w:r w:rsidR="0046431D" w:rsidRPr="00135762">
        <w:rPr>
          <w:sz w:val="24"/>
          <w:szCs w:val="24"/>
        </w:rPr>
        <w:t>worldwide</w:t>
      </w:r>
      <w:r w:rsidR="00A65484" w:rsidRPr="00135762">
        <w:rPr>
          <w:sz w:val="24"/>
          <w:szCs w:val="24"/>
        </w:rPr>
        <w:t xml:space="preserve"> and its incidence is increasing</w:t>
      </w:r>
      <w:r w:rsidR="00705406">
        <w:rPr>
          <w:sz w:val="24"/>
          <w:szCs w:val="24"/>
        </w:rPr>
        <w:fldChar w:fldCharType="begin" w:fldLock="1"/>
      </w:r>
      <w:r w:rsidR="008736A2">
        <w:rPr>
          <w:sz w:val="24"/>
          <w:szCs w:val="24"/>
        </w:rPr>
        <w:instrText>ADDIN CSL_CITATION {"citationItems":[{"id":"ITEM-1","itemData":{"URL":"http://www.diabetesatlas.org/","id":"ITEM-1","issued":{"date-parts":[["2017"]]},"title":"IDF Diabetes Atlas","type":"webpage"},"uris":["http://www.mendeley.com/documents/?uuid=f9538ade-12a8-4326-bc7a-97dea93462a9"]},{"id":"ITEM-2","itemData":{"DOI":"10.1056/NEJMoa1610187","ISSN":"0028-4793","PMID":"28402773","abstract":"BACKGROUND Diagnoses of type 1 and type 2 diabetes in youths present a substantial clinical and public health burden. The prevalence of these diseases increased in the 2001-2009 period, but data on recent incidence trends are lacking. METHODS We ascertained cases of type 1 and type 2 diabetes mellitus at five study centers in the United States. Denominators (4.9 million youths annually) were obtained from the U.S. Census or health-plan member counts. After the calculation of annual incidence rates for the 2002-2012 period, we analyzed trends using generalized autoregressive moving-average models with 2-year moving averages. RESULTS A total of 11,245 youths with type 1 diabetes (0 to 19 years of age) and 2846 with type 2 diabetes (10 to 19 years of age) were identified. Overall unadjusted estimated incidence rates of type 1 diabetes increased by 1.4% annually (from 19.5 cases per 100,000 youths per year in 2002-2003 to 21.7 cases per 100,000 youths per year in 2011-2012, P=0.03). In adjusted pairwise comparisons, the annual rate of increase was greater among Hispanics than among non-Hispanic whites (4.2% vs. 1.2%, P&lt;0.001). Overall unadjusted incidence rates of type 2 diabetes increased by 7.1% annually (from 9.0 cases per 100,000 youths per year in 2002-2003 to 12.5 cases per 100,000 youths per year in 2011-2012, P&lt;0.001 for trend across race or ethnic group, sex, and age subgroups). Adjusted pairwise comparisons showed that the relative annual increase in the incidence of type 2 diabetes among non-Hispanic whites (0.6%) was lower than that among non-Hispanic blacks, Asians or Pacific Islanders, and Native Americans (P&lt;0.05 for all comparisons) and that the annual rate of increase among Hispanics differed significantly from that among Native Americans (3.1% vs. 8.9%, P=0.01). After adjustment for age, sex, and race or ethnic group, the relative annual increase in the incidence of type 1 diabetes was 1.8% (P&lt;0.001) and that of type 2 diabetes was 4.8% (P&lt;0.001). CONCLUSIONS The incidences of both type 1 and type 2 diabetes among youths increased significantly in the 2002-2012 period, particularly among youths of minority racial and ethnic groups. (Funded by the National Institute of Diabetes and Digestive and Kidney Diseases and the Centers for Disease Control and Prevention.).","author":[{"dropping-particle":"","family":"Mayer-Davis","given":"Elizabeth J.","non-dropping-particle":"","parse-names":false,"suffix":""},{"dropping-particle":"","family":"Lawrence","given":"Jean M.","non-dropping-particle":"","parse-names":false,"suffix":""},{"dropping-particle":"","family":"Dabelea","given":"Dana","non-dropping-particle":"","parse-names":false,"suffix":""},{"dropping-particle":"","family":"Divers","given":"Jasmin","non-dropping-particle":"","parse-names":false,"suffix":""},{"dropping-particle":"","family":"Isom","given":"Scott","non-dropping-particle":"","parse-names":false,"suffix":""},{"dropping-particle":"","family":"Dolan","given":"Lawrence","non-dropping-particle":"","parse-names":false,"suffix":""},{"dropping-particle":"","family":"Imperatore","given":"Giuseppina","non-dropping-particle":"","parse-names":false,"suffix":""},{"dropping-particle":"","family":"Linder","given":"Barbara","non-dropping-particle":"","parse-names":false,"suffix":""},{"dropping-particle":"","family":"Marcovina","given":"Santica","non-dropping-particle":"","parse-names":false,"suffix":""},{"dropping-particle":"","family":"Pettitt","given":"David J.","non-dropping-particle":"","parse-names":false,"suffix":""},{"dropping-particle":"","family":"Pihoker","given":"Catherine","non-dropping-particle":"","parse-names":false,"suffix":""},{"dropping-particle":"","family":"Saydah","given":"Sharon","non-dropping-particle":"","parse-names":false,"suffix":""},{"dropping-particle":"","family":"Wagenknecht","given":"Lynne","non-dropping-particle":"","parse-names":false,"suffix":""},{"dropping-particle":"","family":"SEARCH for Diabetes in Youth Study","given":"","non-dropping-particle":"","parse-names":false,"suffix":""}],"container-title":"New England Journal of Medicine","id":"ITEM-2","issue":"15","issued":{"date-parts":[["2017","4","13"]]},"page":"1419-1429","title":"Incidence Trends of Type 1 and Type 2 Diabetes among Youths, 2002–2012","type":"article-journal","volume":"376"},"uris":["http://www.mendeley.com/documents/?uuid=e613c891-653b-33d6-9311-2a24909dc00e"]},{"id":"ITEM-3","itemData":{"DOI":"10.1007/s00125-018-4763-3","ISSN":"1432-0428","PMID":"30483858","abstract":"AIMS/HYPOTHESIS Against a background of a near-universally increasing incidence of childhood type 1 diabetes, recent reports from some countries suggest a slowing in this increase. Occasional reports also describe cyclical variations in incidence, with periodicities of between 4 and 6 years. METHODS Age/sex-standardised incidence rates for the 0- to 14-year-old age group are reported for 26 European centres (representing 22 countries) that have registered newly diagnosed individuals in geographically defined regions for up to 25 years during the period 1989-2013. Poisson regression was used to estimate rates of increase and test for cyclical patterns. Joinpoint regression software was used to fit segmented log-linear relationships to incidence trends. RESULTS Significant increases in incidence were noted in all but two small centres, with a maximum rate of increase of 6.6% per annum in a Polish centre. Several centres in high-incidence countries showed reducing rates of increase in more recent years. Despite this, a pooled analysis across all centres revealed a 3.4% (95% CI 2.8%, 3.9%) per annum increase in incidence rate, although there was some suggestion of a reduced rate of increase in the 2004-2008 period. Rates of increase were similar in boys and girls in the 0- to 4-year-old age group (3.7% and 3.7% per annum, respectively) and in the 5- to 9-year-old age group (3.4% and 3.7% per annum, respectively), but were higher in boys than girls in the 10- to 14-year-old age group (3.3% and 2.6% per annum, respectively). Significant 4 year periodicity was detected in four centres, with three centres showing that the most recent peak in fitted rates occurred in 2012. CONCLUSIONS/INTERPRETATION Despite reductions in the rate of increase in some high-risk countries, the pooled estimate across centres continues to show a 3.4% increase per annum in incidence rate, suggesting a doubling in incidence rate within approximately 20 years in Europe. Although four centres showed support for a cyclical pattern of incidence with a 4 year periodicity, no plausible explanation for this can be given.","author":[{"dropping-particle":"","family":"Patterson","given":"Christopher C","non-dropping-particle":"","parse-names":false,"suffix":""},{"dropping-particle":"","family":"Harjutsalo","given":"Valma","non-dropping-particle":"","parse-names":false,"suffix":""},{"dropping-particle":"","family":"Rosenbauer","given":"Joachim","non-dropping-particle":"","parse-names":false,"suffix":""},{"dropping-particle":"","family":"Neu","given":"Andreas","non-dropping-particle":"","parse-names":false,"suffix":""},{"dropping-particle":"","family":"Cinek","given":"Ondrej","non-dropping-particle":"","parse-names":false,"suffix":""},{"dropping-particle":"","family":"Skrivarhaug","given":"Torild","non-dropping-particle":"","parse-names":false,"suffix":""},{"dropping-particle":"","family":"Rami-Merhar","given":"Birgit","non-dropping-particle":"","parse-names":false,"suffix":""},{"dropping-particle":"","family":"Soltesz","given":"Gyula","non-dropping-particle":"","parse-names":false,"suffix":""},{"dropping-particle":"","family":"Svensson","given":"Jannet","non-dropping-particle":"","parse-names":false,"suffix":""},{"dropping-particle":"","family":"Parslow","given":"Roger C","non-dropping-particle":"","parse-names":false,"suffix":""},{"dropping-particle":"","family":"Castell","given":"Conxa","non-dropping-particle":"","parse-names":false,"suffix":""},{"dropping-particle":"","family":"Schoenle","given":"Eugen J","non-dropping-particle":"","parse-names":false,"suffix":""},{"dropping-particle":"","family":"Bingley","given":"Polly J","non-dropping-particle":"","parse-names":false,"suffix":""},{"dropping-particle":"","family":"Dahlquist","given":"Gisela","non-dropping-particle":"","parse-names":false,"suffix":""},{"dropping-particle":"","family":"Jarosz-Chobot","given":"Przemysława K","non-dropping-particle":"","parse-names":false,"suffix":""},{"dropping-particle":"","family":"Marčiulionytė","given":"Dalė","non-dropping-particle":"","parse-names":false,"suffix":""},{"dropping-particle":"","family":"Roche","given":"Edna F","non-dropping-particle":"","parse-names":false,"suffix":""},{"dropping-particle":"","family":"Rothe","given":"Ulrike","non-dropping-particle":"","parse-names":false,"suffix":""},{"dropping-particle":"","family":"Bratina","given":"Natasa","non-dropping-particle":"","parse-names":false,"suffix":""},{"dropping-particle":"","family":"Ionescu-Tirgoviste","given":"Constantin","non-dropping-particle":"","parse-names":false,"suffix":""},{"dropping-particle":"","family":"Weets","given":"Ilse","non-dropping-particle":"","parse-names":false,"suffix":""},{"dropping-particle":"","family":"Kocova","given":"Mirjana","non-dropping-particle":"","parse-names":false,"suffix":""},{"dropping-particle":"","family":"Cherubini","given":"Valentino","non-dropping-particle":"","parse-names":false,"suffix":""},{"dropping-particle":"","family":"Rojnic Putarek","given":"Natasa","non-dropping-particle":"","parse-names":false,"suffix":""},{"dropping-particle":"","family":"deBeaufort","given":"Carine E","non-dropping-particle":"","parse-names":false,"suffix":""},{"dropping-particle":"","family":"Samardzic","given":"Mira","non-dropping-particle":"","parse-names":false,"suffix":""},{"dropping-particle":"","family":"Green","given":"Anders","non-dropping-particle":"","parse-names":false,"suffix":""}],"container-title":"Diabetologia","id":"ITEM-3","issue":"3","issued":{"date-parts":[["2019","3","28"]]},"page":"408-417","title":"Trends and cyclical variation in the incidence of childhood type 1 diabetes in 26 European centres in the 25 year period 1989-2013: a multicentre prospective registration study.","type":"article-journal","volume":"62"},"uris":["http://www.mendeley.com/documents/?uuid=fdebf8da-2601-3bfb-8400-b42141f3731d"]}],"mendeley":{"formattedCitation":"&lt;sup&gt;1–3&lt;/sup&gt;","plainTextFormattedCitation":"1–3","previouslyFormattedCitation":"&lt;sup&gt;1–3&lt;/sup&gt;"},"properties":{"noteIndex":0},"schema":"https://github.com/citation-style-language/schema/raw/master/csl-citation.json"}</w:instrText>
      </w:r>
      <w:r w:rsidR="00705406">
        <w:rPr>
          <w:sz w:val="24"/>
          <w:szCs w:val="24"/>
        </w:rPr>
        <w:fldChar w:fldCharType="separate"/>
      </w:r>
      <w:r w:rsidR="00705406" w:rsidRPr="00705406">
        <w:rPr>
          <w:noProof/>
          <w:sz w:val="24"/>
          <w:szCs w:val="24"/>
          <w:vertAlign w:val="superscript"/>
        </w:rPr>
        <w:t>1–3</w:t>
      </w:r>
      <w:r w:rsidR="00705406">
        <w:rPr>
          <w:sz w:val="24"/>
          <w:szCs w:val="24"/>
        </w:rPr>
        <w:fldChar w:fldCharType="end"/>
      </w:r>
      <w:r w:rsidR="00034A4E" w:rsidRPr="00135762">
        <w:rPr>
          <w:sz w:val="24"/>
          <w:szCs w:val="24"/>
        </w:rPr>
        <w:t>.</w:t>
      </w:r>
      <w:r w:rsidR="0046431D" w:rsidRPr="00135762">
        <w:rPr>
          <w:sz w:val="24"/>
          <w:szCs w:val="24"/>
        </w:rPr>
        <w:t xml:space="preserve"> </w:t>
      </w:r>
      <w:r w:rsidR="00F56F41" w:rsidRPr="00135762">
        <w:rPr>
          <w:sz w:val="24"/>
          <w:szCs w:val="24"/>
        </w:rPr>
        <w:t xml:space="preserve">In Europe the incidence </w:t>
      </w:r>
      <w:r w:rsidR="006E7820" w:rsidRPr="00135762">
        <w:rPr>
          <w:sz w:val="24"/>
          <w:szCs w:val="24"/>
        </w:rPr>
        <w:t>rate doubled between 1989 and 2013</w:t>
      </w:r>
      <w:r w:rsidR="00621DD5" w:rsidRPr="00135762">
        <w:rPr>
          <w:sz w:val="24"/>
          <w:szCs w:val="24"/>
        </w:rPr>
        <w:t xml:space="preserve">, with </w:t>
      </w:r>
      <w:r w:rsidR="00B17183" w:rsidRPr="00135762">
        <w:rPr>
          <w:sz w:val="24"/>
          <w:szCs w:val="24"/>
        </w:rPr>
        <w:t xml:space="preserve">an overall </w:t>
      </w:r>
      <w:r w:rsidR="00621DD5" w:rsidRPr="00135762">
        <w:rPr>
          <w:sz w:val="24"/>
          <w:szCs w:val="24"/>
        </w:rPr>
        <w:t xml:space="preserve">annual increase of </w:t>
      </w:r>
      <w:r w:rsidR="00B17183" w:rsidRPr="00135762">
        <w:rPr>
          <w:sz w:val="24"/>
          <w:szCs w:val="24"/>
        </w:rPr>
        <w:t>3.</w:t>
      </w:r>
      <w:r w:rsidR="00EF3E04" w:rsidRPr="00135762">
        <w:rPr>
          <w:sz w:val="24"/>
          <w:szCs w:val="24"/>
        </w:rPr>
        <w:t>4</w:t>
      </w:r>
      <w:r w:rsidR="00621DD5" w:rsidRPr="00135762">
        <w:rPr>
          <w:sz w:val="24"/>
          <w:szCs w:val="24"/>
        </w:rPr>
        <w:t>%</w:t>
      </w:r>
      <w:r w:rsidR="00FD6B3B" w:rsidRPr="00135762">
        <w:rPr>
          <w:sz w:val="24"/>
          <w:szCs w:val="24"/>
        </w:rPr>
        <w:t xml:space="preserve"> per year</w:t>
      </w:r>
      <w:r w:rsidR="00705406">
        <w:rPr>
          <w:sz w:val="24"/>
          <w:szCs w:val="24"/>
        </w:rPr>
        <w:fldChar w:fldCharType="begin" w:fldLock="1"/>
      </w:r>
      <w:r w:rsidR="008736A2">
        <w:rPr>
          <w:sz w:val="24"/>
          <w:szCs w:val="24"/>
        </w:rPr>
        <w:instrText>ADDIN CSL_CITATION {"citationItems":[{"id":"ITEM-1","itemData":{"DOI":"10.1007/s00125-018-4763-3","ISSN":"1432-0428","PMID":"30483858","abstract":"AIMS/HYPOTHESIS Against a background of a near-universally increasing incidence of childhood type 1 diabetes, recent reports from some countries suggest a slowing in this increase. Occasional reports also describe cyclical variations in incidence, with periodicities of between 4 and 6 years. METHODS Age/sex-standardised incidence rates for the 0- to 14-year-old age group are reported for 26 European centres (representing 22 countries) that have registered newly diagnosed individuals in geographically defined regions for up to 25 years during the period 1989-2013. Poisson regression was used to estimate rates of increase and test for cyclical patterns. Joinpoint regression software was used to fit segmented log-linear relationships to incidence trends. RESULTS Significant increases in incidence were noted in all but two small centres, with a maximum rate of increase of 6.6% per annum in a Polish centre. Several centres in high-incidence countries showed reducing rates of increase in more recent years. Despite this, a pooled analysis across all centres revealed a 3.4% (95% CI 2.8%, 3.9%) per annum increase in incidence rate, although there was some suggestion of a reduced rate of increase in the 2004-2008 period. Rates of increase were similar in boys and girls in the 0- to 4-year-old age group (3.7% and 3.7% per annum, respectively) and in the 5- to 9-year-old age group (3.4% and 3.7% per annum, respectively), but were higher in boys than girls in the 10- to 14-year-old age group (3.3% and 2.6% per annum, respectively). Significant 4 year periodicity was detected in four centres, with three centres showing that the most recent peak in fitted rates occurred in 2012. CONCLUSIONS/INTERPRETATION Despite reductions in the rate of increase in some high-risk countries, the pooled estimate across centres continues to show a 3.4% increase per annum in incidence rate, suggesting a doubling in incidence rate within approximately 20 years in Europe. Although four centres showed support for a cyclical pattern of incidence with a 4 year periodicity, no plausible explanation for this can be given.","author":[{"dropping-particle":"","family":"Patterson","given":"Christopher C","non-dropping-particle":"","parse-names":false,"suffix":""},{"dropping-particle":"","family":"Harjutsalo","given":"Valma","non-dropping-particle":"","parse-names":false,"suffix":""},{"dropping-particle":"","family":"Rosenbauer","given":"Joachim","non-dropping-particle":"","parse-names":false,"suffix":""},{"dropping-particle":"","family":"Neu","given":"Andreas","non-dropping-particle":"","parse-names":false,"suffix":""},{"dropping-particle":"","family":"Cinek","given":"Ondrej","non-dropping-particle":"","parse-names":false,"suffix":""},{"dropping-particle":"","family":"Skrivarhaug","given":"Torild","non-dropping-particle":"","parse-names":false,"suffix":""},{"dropping-particle":"","family":"Rami-Merhar","given":"Birgit","non-dropping-particle":"","parse-names":false,"suffix":""},{"dropping-particle":"","family":"Soltesz","given":"Gyula","non-dropping-particle":"","parse-names":false,"suffix":""},{"dropping-particle":"","family":"Svensson","given":"Jannet","non-dropping-particle":"","parse-names":false,"suffix":""},{"dropping-particle":"","family":"Parslow","given":"Roger C","non-dropping-particle":"","parse-names":false,"suffix":""},{"dropping-particle":"","family":"Castell","given":"Conxa","non-dropping-particle":"","parse-names":false,"suffix":""},{"dropping-particle":"","family":"Schoenle","given":"Eugen J","non-dropping-particle":"","parse-names":false,"suffix":""},{"dropping-particle":"","family":"Bingley","given":"Polly J","non-dropping-particle":"","parse-names":false,"suffix":""},{"dropping-particle":"","family":"Dahlquist","given":"Gisela","non-dropping-particle":"","parse-names":false,"suffix":""},{"dropping-particle":"","family":"Jarosz-Chobot","given":"Przemysława K","non-dropping-particle":"","parse-names":false,"suffix":""},{"dropping-particle":"","family":"Marčiulionytė","given":"Dalė","non-dropping-particle":"","parse-names":false,"suffix":""},{"dropping-particle":"","family":"Roche","given":"Edna F","non-dropping-particle":"","parse-names":false,"suffix":""},{"dropping-particle":"","family":"Rothe","given":"Ulrike","non-dropping-particle":"","parse-names":false,"suffix":""},{"dropping-particle":"","family":"Bratina","given":"Natasa","non-dropping-particle":"","parse-names":false,"suffix":""},{"dropping-particle":"","family":"Ionescu-Tirgoviste","given":"Constantin","non-dropping-particle":"","parse-names":false,"suffix":""},{"dropping-particle":"","family":"Weets","given":"Ilse","non-dropping-particle":"","parse-names":false,"suffix":""},{"dropping-particle":"","family":"Kocova","given":"Mirjana","non-dropping-particle":"","parse-names":false,"suffix":""},{"dropping-particle":"","family":"Cherubini","given":"Valentino","non-dropping-particle":"","parse-names":false,"suffix":""},{"dropping-particle":"","family":"Rojnic Putarek","given":"Natasa","non-dropping-particle":"","parse-names":false,"suffix":""},{"dropping-particle":"","family":"deBeaufort","given":"Carine E","non-dropping-particle":"","parse-names":false,"suffix":""},{"dropping-particle":"","family":"Samardzic","given":"Mira","non-dropping-particle":"","parse-names":false,"suffix":""},{"dropping-particle":"","family":"Green","given":"Anders","non-dropping-particle":"","parse-names":false,"suffix":""}],"container-title":"Diabetologia","id":"ITEM-1","issue":"3","issued":{"date-parts":[["2019","3","28"]]},"page":"408-417","title":"Trends and cyclical variation in the incidence of childhood type 1 diabetes in 26 European centres in the 25 year period 1989-2013: a multicentre prospective registration study.","type":"article-journal","volume":"62"},"uris":["http://www.mendeley.com/documents/?uuid=fdebf8da-2601-3bfb-8400-b42141f3731d"]}],"mendeley":{"formattedCitation":"&lt;sup&gt;3&lt;/sup&gt;","plainTextFormattedCitation":"3","previouslyFormattedCitation":"&lt;sup&gt;3&lt;/sup&gt;"},"properties":{"noteIndex":0},"schema":"https://github.com/citation-style-language/schema/raw/master/csl-citation.json"}</w:instrText>
      </w:r>
      <w:r w:rsidR="00705406">
        <w:rPr>
          <w:sz w:val="24"/>
          <w:szCs w:val="24"/>
        </w:rPr>
        <w:fldChar w:fldCharType="separate"/>
      </w:r>
      <w:r w:rsidR="00705406" w:rsidRPr="00705406">
        <w:rPr>
          <w:noProof/>
          <w:sz w:val="24"/>
          <w:szCs w:val="24"/>
          <w:vertAlign w:val="superscript"/>
        </w:rPr>
        <w:t>3</w:t>
      </w:r>
      <w:r w:rsidR="00705406">
        <w:rPr>
          <w:sz w:val="24"/>
          <w:szCs w:val="24"/>
        </w:rPr>
        <w:fldChar w:fldCharType="end"/>
      </w:r>
      <w:r w:rsidR="007B5715">
        <w:rPr>
          <w:sz w:val="24"/>
          <w:szCs w:val="24"/>
        </w:rPr>
        <w:t>.</w:t>
      </w:r>
      <w:r w:rsidR="007951D3" w:rsidRPr="00135762">
        <w:rPr>
          <w:sz w:val="24"/>
          <w:szCs w:val="24"/>
        </w:rPr>
        <w:t xml:space="preserve"> </w:t>
      </w:r>
      <w:r w:rsidR="004A6689" w:rsidRPr="00135762">
        <w:rPr>
          <w:sz w:val="24"/>
          <w:szCs w:val="24"/>
        </w:rPr>
        <w:t xml:space="preserve">The principal causes of morbidity and mortality </w:t>
      </w:r>
      <w:r w:rsidR="00B70BA3" w:rsidRPr="00135762">
        <w:rPr>
          <w:sz w:val="24"/>
          <w:szCs w:val="24"/>
        </w:rPr>
        <w:t xml:space="preserve">of T1DM are diabetic nephropathy and cardiovascular disease, which tend to occur </w:t>
      </w:r>
      <w:r w:rsidR="00610D92">
        <w:rPr>
          <w:sz w:val="24"/>
          <w:szCs w:val="24"/>
        </w:rPr>
        <w:t>1-30</w:t>
      </w:r>
      <w:r w:rsidR="00771632" w:rsidRPr="00135762">
        <w:rPr>
          <w:sz w:val="24"/>
          <w:szCs w:val="24"/>
        </w:rPr>
        <w:t xml:space="preserve"> years</w:t>
      </w:r>
      <w:r w:rsidR="004A6689" w:rsidRPr="00135762">
        <w:rPr>
          <w:sz w:val="24"/>
          <w:szCs w:val="24"/>
        </w:rPr>
        <w:t xml:space="preserve"> </w:t>
      </w:r>
      <w:r w:rsidR="00771632" w:rsidRPr="00135762">
        <w:rPr>
          <w:sz w:val="24"/>
          <w:szCs w:val="24"/>
        </w:rPr>
        <w:t>after</w:t>
      </w:r>
      <w:r w:rsidR="004A6689" w:rsidRPr="00135762">
        <w:rPr>
          <w:sz w:val="24"/>
          <w:szCs w:val="24"/>
        </w:rPr>
        <w:t xml:space="preserve"> diagnosis</w:t>
      </w:r>
      <w:r w:rsidR="004A6689" w:rsidRPr="00135762">
        <w:rPr>
          <w:sz w:val="24"/>
          <w:szCs w:val="24"/>
        </w:rPr>
        <w:fldChar w:fldCharType="begin" w:fldLock="1"/>
      </w:r>
      <w:r w:rsidR="008736A2">
        <w:rPr>
          <w:sz w:val="24"/>
          <w:szCs w:val="24"/>
        </w:rPr>
        <w:instrText>ADDIN CSL_CITATION {"citationItems":[{"id":"ITEM-1","itemData":{"DOI":"10.2337/db10-0862","ISSN":"1939-327X","PMID":"20739685","abstract":"OBJECTIVE Little is known concerning the primary cause(s) of mortality in type 1 diabetes responsible for the excess mortality seen in this population. RESEARCH DESIGN AND METHODS The Allegheny County (Pennsylvania) childhood-onset (age &lt; 18 years) type 1 diabetes registry (n = 1,075) with diagnosis from 1965 to 1979 was used to explore patterns in cause-specific mortality. Cause of death was determined by a mortality classification committee of at least three physician epidemiologists, based on the death certificate and additional records surrounding the death. RESULTS Vital status for 1,043 (97%) participants was ascertained as of 1 January 2008, revealing 279 (26.0%) deaths overall (141 females and 138 males). Within the first 10 years after diagnosis, the leading cause of death was acute diabetes complications (73.6%), while during the next 10 years, deaths were nearly evenly attributed to acute (15%), cardiovascular (22%), renal (20%), or infectious (18%) causes. After 20 years' duration, chronic diabetes complications (cardiovascular, renal, or infectious) accounted for &gt;70% of all deaths, with cardiovascular disease as the leading cause of death (40%). Women (P &lt; 0.05) and African Americans (P &lt; 0.001) have significantly higher diabetes-related mortality rates than men and Caucasians, respectively. Standardized mortality ratios (SMRs) for non-diabetes-related causes do not significantly differ from the general population (violent deaths: SMR 1.2, 95% CI 0.6-1.8; cancer: SMR 1.2, 0.5-2.0). CONCLUSIONS The excess mortality seen in type 1 diabetes is almost entirely related to diabetes and its comorbidities but varies by duration of diabetes and particularly affects women and African Americans.","author":[{"dropping-particle":"","family":"Secrest","given":"Aaron M","non-dropping-particle":"","parse-names":false,"suffix":""},{"dropping-particle":"","family":"Becker","given":"Dorothy J","non-dropping-particle":"","parse-names":false,"suffix":""},{"dropping-particle":"","family":"Kelsey","given":"Sheryl F","non-dropping-particle":"","parse-names":false,"suffix":""},{"dropping-particle":"","family":"Laporte","given":"Ronald E","non-dropping-particle":"","parse-names":false,"suffix":""},{"dropping-particle":"","family":"Orchard","given":"Trevor J","non-dropping-particle":"","parse-names":false,"suffix":""}],"container-title":"Diabetes","id":"ITEM-1","issue":"12","issued":{"date-parts":[["2010","12"]]},"page":"3216-22","title":"Cause-specific mortality trends in a large population-based cohort with long-standing childhood-onset type 1 diabetes.","type":"article-journal","volume":"59"},"uris":["http://www.mendeley.com/documents/?uuid=040b7b5e-937e-3b00-b6cc-030a6809ef66"]},{"id":"ITEM-2","itemData":{"DOI":"10.1016/S2213-8587(18)30035-4","ISSN":"22138587","PMID":"29475800","abstract":"Cardiovascular disease remains the leading cause of mortality in patients with type 1 diabetes. Although cardiovascular disease complications are rare until adulthood, pathology and early markers can manifest in adolescence. Whereas advances have been made in the management of microvascular complications of type 1 diabetes, similar progress in reducing macrovascular complications has not been made. The reasons for the absence of progress remain incompletely understood, but most likely relate to the long time needed for cardiovascular disease to manifest clinically and hence for risk factor management to show a clinical benefit, thus allowing inertia to prevail for diagnosis and particularly for targeting risk factors. In this Review, we summarise paediatric data on traditional and novel risk factors of cardiovascular disease, provide an overview of data from previous and current clinical trials, discuss future directions in cardiovascular disease research for paediatric patients with type 1 diabetes, and advocate for the early identification and treatment of cardiovascular disease risk factors as recommended in multiple guidelines.","author":[{"dropping-particle":"","family":"Bjornstad","given":"Petter","non-dropping-particle":"","parse-names":false,"suffix":""},{"dropping-particle":"","family":"Donaghue","given":"Kim C","non-dropping-particle":"","parse-names":false,"suffix":""},{"dropping-particle":"","family":"Maahs","given":"David M","non-dropping-particle":"","parse-names":false,"suffix":""}],"container-title":"The Lancet Diabetes &amp; Endocrinology","id":"ITEM-2","issue":"10","issued":{"date-parts":[["2018","10"]]},"page":"809-820","title":"Macrovascular disease and risk factors in youth with type 1 diabetes: time to be more attentive to treatment?","type":"article-journal","volume":"6"},"uris":["http://www.mendeley.com/documents/?uuid=d8cb807a-c514-35b4-b4e0-6f73482963af"]}],"mendeley":{"formattedCitation":"&lt;sup&gt;4,5&lt;/sup&gt;","plainTextFormattedCitation":"4,5","previouslyFormattedCitation":"&lt;sup&gt;4,5&lt;/sup&gt;"},"properties":{"noteIndex":0},"schema":"https://github.com/citation-style-language/schema/raw/master/csl-citation.json"}</w:instrText>
      </w:r>
      <w:r w:rsidR="004A6689" w:rsidRPr="00135762">
        <w:rPr>
          <w:sz w:val="24"/>
          <w:szCs w:val="24"/>
        </w:rPr>
        <w:fldChar w:fldCharType="separate"/>
      </w:r>
      <w:r w:rsidR="00705406" w:rsidRPr="00705406">
        <w:rPr>
          <w:noProof/>
          <w:sz w:val="24"/>
          <w:szCs w:val="24"/>
          <w:vertAlign w:val="superscript"/>
        </w:rPr>
        <w:t>4,5</w:t>
      </w:r>
      <w:r w:rsidR="004A6689" w:rsidRPr="00135762">
        <w:rPr>
          <w:sz w:val="24"/>
          <w:szCs w:val="24"/>
        </w:rPr>
        <w:fldChar w:fldCharType="end"/>
      </w:r>
      <w:r w:rsidR="00B70BA3" w:rsidRPr="00135762">
        <w:rPr>
          <w:sz w:val="24"/>
          <w:szCs w:val="24"/>
        </w:rPr>
        <w:t>.</w:t>
      </w:r>
      <w:r w:rsidR="004A6689" w:rsidRPr="00135762">
        <w:rPr>
          <w:sz w:val="24"/>
          <w:szCs w:val="24"/>
        </w:rPr>
        <w:t xml:space="preserve"> </w:t>
      </w:r>
      <w:r w:rsidR="00B70BA3" w:rsidRPr="00135762">
        <w:rPr>
          <w:sz w:val="24"/>
          <w:szCs w:val="24"/>
        </w:rPr>
        <w:t>In addition,</w:t>
      </w:r>
      <w:r w:rsidR="004A6689" w:rsidRPr="00135762">
        <w:rPr>
          <w:sz w:val="24"/>
          <w:szCs w:val="24"/>
        </w:rPr>
        <w:t xml:space="preserve"> sight threatening retinopathy </w:t>
      </w:r>
      <w:r w:rsidR="00B70BA3" w:rsidRPr="00135762">
        <w:rPr>
          <w:sz w:val="24"/>
          <w:szCs w:val="24"/>
        </w:rPr>
        <w:t xml:space="preserve">has </w:t>
      </w:r>
      <w:r w:rsidR="004A6689" w:rsidRPr="00135762">
        <w:rPr>
          <w:sz w:val="24"/>
          <w:szCs w:val="24"/>
        </w:rPr>
        <w:t>emerge</w:t>
      </w:r>
      <w:r w:rsidR="00B70BA3" w:rsidRPr="00135762">
        <w:rPr>
          <w:sz w:val="24"/>
          <w:szCs w:val="24"/>
        </w:rPr>
        <w:t>d</w:t>
      </w:r>
      <w:r w:rsidR="004A6689" w:rsidRPr="00135762">
        <w:rPr>
          <w:sz w:val="24"/>
          <w:szCs w:val="24"/>
        </w:rPr>
        <w:t xml:space="preserve"> as an important complication </w:t>
      </w:r>
      <w:r w:rsidR="00771632" w:rsidRPr="00135762">
        <w:rPr>
          <w:sz w:val="24"/>
          <w:szCs w:val="24"/>
        </w:rPr>
        <w:t xml:space="preserve">that occurs </w:t>
      </w:r>
      <w:r w:rsidR="004A6689" w:rsidRPr="00135762">
        <w:rPr>
          <w:sz w:val="24"/>
          <w:szCs w:val="24"/>
        </w:rPr>
        <w:t>from the second decade after diagnosis</w:t>
      </w:r>
      <w:r w:rsidR="004A6689" w:rsidRPr="00135762">
        <w:rPr>
          <w:sz w:val="24"/>
          <w:szCs w:val="24"/>
        </w:rPr>
        <w:fldChar w:fldCharType="begin" w:fldLock="1"/>
      </w:r>
      <w:r w:rsidR="008736A2">
        <w:rPr>
          <w:sz w:val="24"/>
          <w:szCs w:val="24"/>
        </w:rPr>
        <w:instrText>ADDIN CSL_CITATION {"citationItems":[{"id":"ITEM-1","itemData":{"DOI":"10.1210/jc.2017-01922","ISSN":"0021-972X","PMID":"29126250","abstract":"Both type 1 and type 2 diabetes adversely affect the microvasculature in multiple organs. Our understanding of the genesis of this injury and of potential interventions to prevent, limit, or reverse injury/dysfunction is continuously evolving. This statement reviews biochemical/cellular pathways involved in facilitating and abrogating microvascular injury. The statement summarizes the types of injury/dysfunction that occur in the three classical diabetes microvascular target tissues, the eye, the kidney, and the peripheral nervous system; the statement also reviews information on the effects of diabetes and insulin resistance on the microvasculature of skin, brain, adipose tissue, and cardiac and skeletal muscle. Despite extensive and intensive research, it is disappointing that microvascular complications of diabetes continue to compromise the quantity and quality of life for patients with diabetes. Hopefully, by understanding and building on current research findings, we will discover new approaches for prevention and treatment that will be effective for future generations.","author":[{"dropping-particle":"","family":"Barrett","given":"Eugene J","non-dropping-particle":"","parse-names":false,"suffix":""},{"dropping-particle":"","family":"Liu","given":"Zhenqi","non-dropping-particle":"","parse-names":false,"suffix":""},{"dropping-particle":"","family":"Khamaisi","given":"Mogher","non-dropping-particle":"","parse-names":false,"suffix":""},{"dropping-particle":"","family":"King","given":"George L","non-dropping-particle":"","parse-names":false,"suffix":""},{"dropping-particle":"","family":"Klein","given":"Ronald","non-dropping-particle":"","parse-names":false,"suffix":""},{"dropping-particle":"","family":"Klein","given":"Barbara E K","non-dropping-particle":"","parse-names":false,"suffix":""},{"dropping-particle":"","family":"Hughes","given":"Timothy M","non-dropping-particle":"","parse-names":false,"suffix":""},{"dropping-particle":"","family":"Craft","given":"Suzanne","non-dropping-particle":"","parse-names":false,"suffix":""},{"dropping-particle":"","family":"Freedman","given":"Barry I","non-dropping-particle":"","parse-names":false,"suffix":""},{"dropping-particle":"","family":"Bowden","given":"Donald W","non-dropping-particle":"","parse-names":false,"suffix":""},{"dropping-particle":"","family":"Vinik","given":"Aaron I","non-dropping-particle":"","parse-names":false,"suffix":""},{"dropping-particle":"","family":"Casellini","given":"Carolina M","non-dropping-particle":"","parse-names":false,"suffix":""}],"container-title":"The Journal of Clinical Endocrinology &amp; Metabolism","id":"ITEM-1","issue":"12","issued":{"date-parts":[["2017","12","1"]]},"page":"4343-4410","title":"Diabetic Microvascular Disease: An Endocrine Society Scientific Statement","type":"article-journal","volume":"102"},"uris":["http://www.mendeley.com/documents/?uuid=a28f94a1-fc89-3b16-9ae1-e6e8be8ebbb8"]}],"mendeley":{"formattedCitation":"&lt;sup&gt;6&lt;/sup&gt;","plainTextFormattedCitation":"6","previouslyFormattedCitation":"&lt;sup&gt;6&lt;/sup&gt;"},"properties":{"noteIndex":0},"schema":"https://github.com/citation-style-language/schema/raw/master/csl-citation.json"}</w:instrText>
      </w:r>
      <w:r w:rsidR="004A6689" w:rsidRPr="00135762">
        <w:rPr>
          <w:sz w:val="24"/>
          <w:szCs w:val="24"/>
        </w:rPr>
        <w:fldChar w:fldCharType="separate"/>
      </w:r>
      <w:r w:rsidR="00705406" w:rsidRPr="00705406">
        <w:rPr>
          <w:noProof/>
          <w:sz w:val="24"/>
          <w:szCs w:val="24"/>
          <w:vertAlign w:val="superscript"/>
        </w:rPr>
        <w:t>6</w:t>
      </w:r>
      <w:r w:rsidR="004A6689" w:rsidRPr="00135762">
        <w:rPr>
          <w:sz w:val="24"/>
          <w:szCs w:val="24"/>
        </w:rPr>
        <w:fldChar w:fldCharType="end"/>
      </w:r>
      <w:r w:rsidR="004A6689" w:rsidRPr="00135762">
        <w:rPr>
          <w:sz w:val="24"/>
          <w:szCs w:val="24"/>
        </w:rPr>
        <w:t>.</w:t>
      </w:r>
    </w:p>
    <w:p w14:paraId="56E605AD" w14:textId="77777777" w:rsidR="007951D3" w:rsidRPr="00135762" w:rsidRDefault="007951D3" w:rsidP="00AA7F02">
      <w:pPr>
        <w:spacing w:after="0" w:line="360" w:lineRule="auto"/>
        <w:rPr>
          <w:sz w:val="24"/>
          <w:szCs w:val="24"/>
        </w:rPr>
      </w:pPr>
    </w:p>
    <w:p w14:paraId="3D6A60B4" w14:textId="5EF8D118" w:rsidR="00E805C6" w:rsidRPr="00135762" w:rsidRDefault="00F47B38" w:rsidP="00AA7F02">
      <w:pPr>
        <w:spacing w:after="0" w:line="360" w:lineRule="auto"/>
        <w:rPr>
          <w:sz w:val="24"/>
          <w:szCs w:val="24"/>
        </w:rPr>
      </w:pPr>
      <w:r w:rsidRPr="00135762">
        <w:rPr>
          <w:sz w:val="24"/>
          <w:szCs w:val="24"/>
        </w:rPr>
        <w:t>People with</w:t>
      </w:r>
      <w:r w:rsidR="00946444" w:rsidRPr="00135762">
        <w:rPr>
          <w:sz w:val="24"/>
          <w:szCs w:val="24"/>
        </w:rPr>
        <w:t xml:space="preserve"> </w:t>
      </w:r>
      <w:r w:rsidR="00E805C6" w:rsidRPr="00135762">
        <w:rPr>
          <w:sz w:val="24"/>
          <w:szCs w:val="24"/>
        </w:rPr>
        <w:t>T1DM</w:t>
      </w:r>
      <w:r w:rsidR="00946444" w:rsidRPr="00135762">
        <w:rPr>
          <w:sz w:val="24"/>
          <w:szCs w:val="24"/>
        </w:rPr>
        <w:t xml:space="preserve"> </w:t>
      </w:r>
      <w:r w:rsidR="00E565EA" w:rsidRPr="00135762">
        <w:rPr>
          <w:sz w:val="24"/>
          <w:szCs w:val="24"/>
        </w:rPr>
        <w:t xml:space="preserve">have </w:t>
      </w:r>
      <w:r w:rsidR="00A43C0D" w:rsidRPr="00135762">
        <w:rPr>
          <w:sz w:val="24"/>
          <w:szCs w:val="24"/>
        </w:rPr>
        <w:t>decreased</w:t>
      </w:r>
      <w:r w:rsidR="00E565EA" w:rsidRPr="00135762">
        <w:rPr>
          <w:sz w:val="24"/>
          <w:szCs w:val="24"/>
        </w:rPr>
        <w:t xml:space="preserve"> life expectancy</w:t>
      </w:r>
      <w:r w:rsidR="005D188B" w:rsidRPr="00135762">
        <w:rPr>
          <w:sz w:val="24"/>
          <w:szCs w:val="24"/>
        </w:rPr>
        <w:t xml:space="preserve"> </w:t>
      </w:r>
      <w:r w:rsidR="00E565EA" w:rsidRPr="00135762">
        <w:rPr>
          <w:sz w:val="24"/>
          <w:szCs w:val="24"/>
        </w:rPr>
        <w:t>compared to the background population</w:t>
      </w:r>
      <w:r w:rsidRPr="00135762">
        <w:rPr>
          <w:sz w:val="24"/>
          <w:szCs w:val="24"/>
        </w:rPr>
        <w:fldChar w:fldCharType="begin" w:fldLock="1"/>
      </w:r>
      <w:r w:rsidR="008736A2">
        <w:rPr>
          <w:sz w:val="24"/>
          <w:szCs w:val="24"/>
        </w:rPr>
        <w:instrText>ADDIN CSL_CITATION {"citationItems":[{"id":"ITEM-1","itemData":{"DOI":"10.1007/s00125-007-0824-8","ISSN":"0012-186X","PMID":"17901942","abstract":"AIMS/HYPOTHESIS The aims of this study were to provide a contemporary picture of mortality and causes of death in Europe following a diagnosis of type 1 diabetes made before the 15th birthday, and to examine excess mortality by country for possible links to incidence level or national prosperity. METHODS Thirteen population-based EURODIAB registers in 12 countries followed-up 28,887 children diagnosed since 1989, either by record linkage to population registers or through contact with doctors providing care. RESULTS There were 141 deaths in the cohort during 219,061 person-years of follow-up compared with 69.1 deaths expected from national mortality rates, a standardised mortality ratio (SMR) of 2.0 (95% CI 1.7-2.4). The SMR varied from 0 to 4.7 between countries, but showed little relationship with the country's incidence rate or gross domestic product (US$ per capita). The SMR did not change significantly with attained age, calendar period or time since diagnosis. The female SMR (2.7; 95% CI 2.0-3.5) was greater than the male SMR (1.8; 95% CI 1.4-2.2), although absolute numbers of excess deaths were similar in the two sexes. One-third of deaths were classified as directly attributable to diabetes (many with mention of ketoacidosis) and half were unrelated to diabetes. There was a non-significant excess of accidental/violent deaths (48 observed vs 40.7 expected; SMR 1.2; 95% CI 0.9-1.6) but little excess in suicides (11 observed, 10.2 expected; SMR 1.1; 95% CI 0.5-1.9). CONCLUSIONS/INTERPRETATION Before the onset of late complications, significant excess mortality existed following the diagnosis of type 1 diabetes in childhood, even in recent years. Variation between countries in this excess could not be explained.","author":[{"dropping-particle":"","family":"Patterson","given":"C C","non-dropping-particle":"","parse-names":false,"suffix":""},{"dropping-particle":"","family":"Dahlquist","given":"G","non-dropping-particle":"","parse-names":false,"suffix":""},{"dropping-particle":"","family":"Harjutsalo","given":"V","non-dropping-particle":"","parse-names":false,"suffix":""},{"dropping-particle":"","family":"Joner","given":"G","non-dropping-particle":"","parse-names":false,"suffix":""},{"dropping-particle":"","family":"Feltbower","given":"R G","non-dropping-particle":"","parse-names":false,"suffix":""},{"dropping-particle":"","family":"Svensson","given":"J","non-dropping-particle":"","parse-names":false,"suffix":""},{"dropping-particle":"","family":"Schober","given":"E","non-dropping-particle":"","parse-names":false,"suffix":""},{"dropping-particle":"","family":"Gyürüs","given":"E","non-dropping-particle":"","parse-names":false,"suffix":""},{"dropping-particle":"","family":"Castell","given":"C","non-dropping-particle":"","parse-names":false,"suffix":""},{"dropping-particle":"","family":"Urbonaité","given":"B","non-dropping-particle":"","parse-names":false,"suffix":""},{"dropping-particle":"","family":"Rosenbauer","given":"J","non-dropping-particle":"","parse-names":false,"suffix":""},{"dropping-particle":"","family":"Iotova","given":"V","non-dropping-particle":"","parse-names":false,"suffix":""},{"dropping-particle":"V","family":"Thorsson","given":"A","non-dropping-particle":"","parse-names":false,"suffix":""},{"dropping-particle":"","family":"Soltész","given":"G","non-dropping-particle":"","parse-names":false,"suffix":""}],"container-title":"Diabetologia","id":"ITEM-1","issue":"12","issued":{"date-parts":[["2007","12"]]},"page":"2439-42","title":"Early mortality in EURODIAB population-based cohorts of type 1 diabetes diagnosed in childhood since 1989.","type":"article-journal","volume":"50"},"uris":["http://www.mendeley.com/documents/?uuid=d37f925c-d071-3806-a7c5-59da9b428206"]},{"id":"ITEM-2","itemData":{"DOI":"10.1001/jama.2014.16425","ISSN":"1538-3598","PMID":"25562264","abstract":"IMPORTANCE Type 1 diabetes has historically been associated with a significant reduction in life expectancy. Major advances in treatment of type 1 diabetes have occurred in the past 3 decades. Contemporary estimates of the effect of type 1 diabetes on life expectancy are needed. OBJECTIVE To examine current life expectancy in people with and without type 1 diabetes in Scotland. We also examined whether any loss of life expectancy in patients with type 1 diabetes is confined to those who develop kidney disease. DESIGN, SETTING, AND PARTICIPANTS Prospective cohort of all individuals alive in Scotland with type 1 diabetes who were aged 20 years or older from 2008 through 2010 and were in a nationwide register (n=24,691 contributing 67,712 person-years and 1043 deaths). MAIN OUTCOMES AND MEASURES Differences in life expectancy between those with and those without type 1 diabetes and the percentage of the difference due to various causes. RESULTS Life expectancy at an attained age of 20 years was an additional 46.2 years among men with type 1 diabetes and 57.3 years among men without it, an estimated loss in life expectancy with diabetes of 11.1 years (95% CI, 10.1-12.1). Life expectancy from age 20 years was an additional 48.1 years among women with type 1 diabetes and 61.0 years among women without it, an estimated loss with diabetes of 12.9 years (95% CI, 11.7-14.1). Even among those with type 1 diabetes with an estimated glomerular filtration rate of 90 mL/min/1.73 m2 or higher, life expectancy was reduced (49.0 years in men, 53.1 years in women) giving an estimated loss from age 20 years of 8.3 years (95% CI, 6.5-10.1) for men and 7.9 years (95% CI, 5.5-10.3) for women. Overall, the largest percentage of the estimated loss in life expectancy was related to ischemic heart disease (36% in men, 31% in women) but death from diabetic coma or ketoacidosis was associated with the largest percentage of the estimated loss occurring before age 50 years (29.4% in men, 21.7% in women). CONCLUSIONS AND RELEVANCE Estimated life expectancy for patients with type 1 diabetes in Scotland based on data from 2008 through 2010 indicated an estimated loss of life expectancy at age 20 years of approximately 11 years for men and 13 years for women compared with the general population without type 1 diabetes.","author":[{"dropping-particle":"","family":"Livingstone","given":"Shona J","non-dropping-particle":"","parse-names":false,"suffix":""},{"dropping-particle":"","family":"Levin","given":"Daniel","non-dropping-particle":"","parse-names":false,"suffix":""},{"dropping-particle":"","family":"Looker","given":"Helen C","non-dropping-particle":"","parse-names":false,"suffix":""},{"dropping-particle":"","family":"Lindsay","given":"Robert S","non-dropping-particle":"","parse-names":false,"suffix":""},{"dropping-particle":"","family":"Wild","given":"Sarah H","non-dropping-particle":"","parse-names":false,"suffix":""},{"dropping-particle":"","family":"Joss","given":"Nicola","non-dropping-particle":"","parse-names":false,"suffix":""},{"dropping-particle":"","family":"Leese","given":"Graham","non-dropping-particle":"","parse-names":false,"suffix":""},{"dropping-particle":"","family":"Leslie","given":"Peter","non-dropping-particle":"","parse-names":false,"suffix":""},{"dropping-particle":"","family":"McCrimmon","given":"Rory J","non-dropping-particle":"","parse-names":false,"suffix":""},{"dropping-particle":"","family":"Metcalfe","given":"Wendy","non-dropping-particle":"","parse-names":false,"suffix":""},{"dropping-particle":"","family":"McKnight","given":"John A","non-dropping-particle":"","parse-names":false,"suffix":""},{"dropping-particle":"","family":"Morris","given":"Andrew D","non-dropping-particle":"","parse-names":false,"suffix":""},{"dropping-particle":"","family":"Pearson","given":"Donald W M","non-dropping-particle":"","parse-names":false,"suffix":""},{"dropping-particle":"","family":"Petrie","given":"John R","non-dropping-particle":"","parse-names":false,"suffix":""},{"dropping-particle":"","family":"Philip","given":"Sam","non-dropping-particle":"","parse-names":false,"suffix":""},{"dropping-particle":"","family":"Sattar","given":"Naveed A","non-dropping-particle":"","parse-names":false,"suffix":""},{"dropping-particle":"","family":"Traynor","given":"Jamie P","non-dropping-particle":"","parse-names":false,"suffix":""},{"dropping-particle":"","family":"Colhoun","given":"Helen M","non-dropping-particle":"","parse-names":false,"suffix":""},{"dropping-particle":"","family":"Scottish Diabetes Research Network epidemiology group","given":"","non-dropping-particle":"","parse-names":false,"suffix":""},{"dropping-particle":"","family":"Scottish Renal Registry","given":"","non-dropping-particle":"","parse-names":false,"suffix":""}],"container-title":"JAMA","id":"ITEM-2","issue":"1","issued":{"date-parts":[["2015","1","6"]]},"page":"37-44","title":"Estimated life expectancy in a Scottish cohort with type 1 diabetes, 2008-2010.","type":"article-journal","volume":"313"},"uris":["http://www.mendeley.com/documents/?uuid=1ab1cda4-7fed-306b-8d33-603215345700"]},{"id":"ITEM-3","itemData":{"DOI":"10.1007/s00125-016-3914-7","ISSN":"1432-0428","PMID":"27044338","abstract":"AIMS/HYPOTHESIS People with type 1 diabetes have reduced life expectancy (LE) compared with the general population. Our aim is to quantify mortality changes from 2002 to 2011 in people with type 1 diabetes in Sweden. METHODS This study uses health records from the Swedish National Diabetes Register (NDR) linked with death records. Abridged period life tables for those with type 1 diabetes aged 20 years and older were derived for 2002-06 and 2007-11 using Chiang's method. Cox proportional hazard models were used to assess trends in overall and cause-specific mortality. RESULTS There were 27,841 persons aged 20 years and older identified in the NDR as living with type 1 diabetes between 2002 and 2011, contributing 194,685 person-years of follow-up and 2,018 deaths. For men with type 1 diabetes, the remaining LE at age 20 increased significantly from 47.7 (95% CI 46.6, 48.9) in 2002-06 to 49.7 years (95% CI 48.9, 50.6) in 2007-11. For women with type 1 diabetes there was no significant change, with an LE at age 20 of 51.7 years (95% CI 50.3, 53.2) in 2002-06 and 51.9 years (95% CI 50.9, 52.9) in 2007-11. Cardiovascular mortality significantly reduced, with a per year HR of 0.947 (95% CI 0.917, 0.978) for men and 0.952 (95% CI 0.916, 0.989) for women. CONCLUSIONS/INTERPRETATION From 2002-06 to 2007-11 the LE at age 20 of Swedes with type 1 diabetes increased by approximately 2 years for men but minimally for women. These recent gains have been driven by reduced cardiovascular mortality.","author":[{"dropping-particle":"","family":"Petrie","given":"Dennis","non-dropping-particle":"","parse-names":false,"suffix":""},{"dropping-particle":"","family":"Lung","given":"Tom W C","non-dropping-particle":"","parse-names":false,"suffix":""},{"dropping-particle":"","family":"Rawshani","given":"Aidin","non-dropping-particle":"","parse-names":false,"suffix":""},{"dropping-particle":"","family":"Palmer","given":"Andrew J","non-dropping-particle":"","parse-names":false,"suffix":""},{"dropping-particle":"","family":"Svensson","given":"Ann-Marie","non-dropping-particle":"","parse-names":false,"suffix":""},{"dropping-particle":"","family":"Eliasson","given":"Björn","non-dropping-particle":"","parse-names":false,"suffix":""},{"dropping-particle":"","family":"Clarke","given":"Philip","non-dropping-particle":"","parse-names":false,"suffix":""}],"container-title":"Diabetologia","id":"ITEM-3","issue":"6","issued":{"date-parts":[["2016","6"]]},"page":"1167-76","title":"Recent trends in life expectancy for people with type 1 diabetes in Sweden.","type":"article-journal","volume":"59"},"uris":["http://www.mendeley.com/documents/?uuid=75c993ff-c1ce-3d08-9271-8ec3d722e858"]},{"id":"ITEM-4","itemData":{"DOI":"10.1007/s00125-015-3857-4","ISSN":"1432-0428","PMID":"26796634","abstract":"AIMS/HYPOTHESIS There is limited information about the impact of type 1 diabetes on life expectancy in a contemporary population. We examined the life expectancy of type 1 diabetic patients and explored the contribution of mortality at different ages and of different causes of death to years of life lost (YLL) compared with the general population. METHODS We derived mortality rates of Australians with type 1 diabetes listed on the National Diabetes Services Scheme (NDSS) between 1997 and 2010 (n = 85,547) by linking the NDSS to the National Death Index. The Chiang method was used to estimate life expectancy and Arriaga's method was used to estimate the contributions of age-specific and cause-specific mortality to the YLL. RESULTS A total of 5,981 deaths were identified during the 902,136 person-years of follow up. Type 1 diabetic patients had an estimated life expectancy at birth of 68.6 years (95% CI 68.1, 69.1), which was 12.2 years (95% CI 11.8, 12.7) less than that in the general population. The improvement in life expectancy at birth in 2004-2010 compared with 1997-2003 was similar for both type 1 diabetic patients (men, 1.9 years [95% CI 0.4, 3.3]; women, 1.5 years [95% CI 0.0, 3.2]) and the general population (men, 2.2 years; women, 1.4 years). Deaths at age &lt;60 years accounted for 60% of the YLL from type 1 diabetes for men and 45% for women. The major contribution to YLL was mortality from endocrine and metabolic disease at age 10-39 years (men, 39-59%; women, 35-50%) and from circulatory disease at age ≥40 years (men, 43-75%; women, 34-75%). CONCLUSIONS/INTERPRETATION Data from 1997 to 2010 showed that Australian type 1 diabetic patients had an estimated loss in life expectancy at birth of 12.2 years compared with the general population.","author":[{"dropping-particle":"","family":"Huo","given":"Lili","non-dropping-particle":"","parse-names":false,"suffix":""},{"dropping-particle":"","family":"Harding","given":"Jessica L","non-dropping-particle":"","parse-names":false,"suffix":""},{"dropping-particle":"","family":"Peeters","given":"Anna","non-dropping-particle":"","parse-names":false,"suffix":""},{"dropping-particle":"","family":"Shaw","given":"Jonathan E","non-dropping-particle":"","parse-names":false,"suffix":""},{"dropping-particle":"","family":"Magliano","given":"Dianna J","non-dropping-particle":"","parse-names":false,"suffix":""}],"container-title":"Diabetologia","id":"ITEM-4","issue":"6","issued":{"date-parts":[["2016","6"]]},"page":"1177-85","title":"Life expectancy of type 1 diabetic patients during 1997-2010: a national Australian registry-based cohort study.","type":"article-journal","volume":"59"},"uris":["http://www.mendeley.com/documents/?uuid=badd1714-2c7b-349a-8409-20c4e8897711"]}],"mendeley":{"formattedCitation":"&lt;sup&gt;7–10&lt;/sup&gt;","plainTextFormattedCitation":"7–10","previouslyFormattedCitation":"&lt;sup&gt;7–10&lt;/sup&gt;"},"properties":{"noteIndex":0},"schema":"https://github.com/citation-style-language/schema/raw/master/csl-citation.json"}</w:instrText>
      </w:r>
      <w:r w:rsidRPr="00135762">
        <w:rPr>
          <w:sz w:val="24"/>
          <w:szCs w:val="24"/>
          <w:vertAlign w:val="superscript"/>
        </w:rPr>
        <w:fldChar w:fldCharType="separate"/>
      </w:r>
      <w:r w:rsidR="00705406" w:rsidRPr="00705406">
        <w:rPr>
          <w:noProof/>
          <w:sz w:val="24"/>
          <w:szCs w:val="24"/>
          <w:vertAlign w:val="superscript"/>
        </w:rPr>
        <w:t>7–10</w:t>
      </w:r>
      <w:r w:rsidRPr="00135762">
        <w:rPr>
          <w:sz w:val="24"/>
          <w:szCs w:val="24"/>
        </w:rPr>
        <w:fldChar w:fldCharType="end"/>
      </w:r>
      <w:r w:rsidR="00A43C0D" w:rsidRPr="00135762">
        <w:rPr>
          <w:sz w:val="24"/>
          <w:szCs w:val="24"/>
        </w:rPr>
        <w:t>.</w:t>
      </w:r>
      <w:r w:rsidRPr="00135762">
        <w:rPr>
          <w:sz w:val="24"/>
          <w:szCs w:val="24"/>
        </w:rPr>
        <w:t xml:space="preserve"> </w:t>
      </w:r>
      <w:r w:rsidR="00A43C0D" w:rsidRPr="00135762">
        <w:rPr>
          <w:sz w:val="24"/>
          <w:szCs w:val="24"/>
        </w:rPr>
        <w:t xml:space="preserve">Moreover, individuals who develop diabetes at a younger age have </w:t>
      </w:r>
      <w:r w:rsidRPr="00135762">
        <w:rPr>
          <w:sz w:val="24"/>
          <w:szCs w:val="24"/>
        </w:rPr>
        <w:t xml:space="preserve">worse outcomes </w:t>
      </w:r>
      <w:r w:rsidR="00A43C0D" w:rsidRPr="00135762">
        <w:rPr>
          <w:sz w:val="24"/>
          <w:szCs w:val="24"/>
        </w:rPr>
        <w:t>than</w:t>
      </w:r>
      <w:r w:rsidRPr="00135762">
        <w:rPr>
          <w:sz w:val="24"/>
          <w:szCs w:val="24"/>
        </w:rPr>
        <w:t xml:space="preserve"> those with an </w:t>
      </w:r>
      <w:r w:rsidR="00A43C0D" w:rsidRPr="00135762">
        <w:rPr>
          <w:sz w:val="24"/>
          <w:szCs w:val="24"/>
        </w:rPr>
        <w:t xml:space="preserve">older age of </w:t>
      </w:r>
      <w:r w:rsidRPr="00135762">
        <w:rPr>
          <w:sz w:val="24"/>
          <w:szCs w:val="24"/>
        </w:rPr>
        <w:t>onset</w:t>
      </w:r>
      <w:r w:rsidR="00BE181B" w:rsidRPr="00135762">
        <w:rPr>
          <w:sz w:val="24"/>
          <w:szCs w:val="24"/>
        </w:rPr>
        <w:fldChar w:fldCharType="begin" w:fldLock="1"/>
      </w:r>
      <w:r w:rsidR="008736A2">
        <w:rPr>
          <w:sz w:val="24"/>
          <w:szCs w:val="24"/>
        </w:rPr>
        <w:instrText>ADDIN CSL_CITATION {"citationItems":[{"id":"ITEM-1","itemData":{"DOI":"10.1016/S0140-6736(18)30314-3","ISSN":"01406736","PMID":"29784146","abstract":"BACKGROUND Large reductions in diabetes complications have altered diabetes-related morbidity in the USA. It is unclear whether similar trends have occurred in causes of death. METHODS Using data from the National Health Interview Survey Linked Mortality files from 1985 to 2015, we estimated age-specific death rates and proportional mortality from all causes, vascular causes, cancers, and non-vascular, non-cancer causes among US adults by diabetes status. FINDINGS From 1988-94, to 2010-15, all-cause death rates declined by 20% every 10 years among US adults with diabetes (from 23·1 [95% CI 20·1-26·0] to 15·2 [14·6-15·8] per 1000 person-years), while death from vascular causes decreased 32% every 10 years (from 11·0 [9·2-12·2] to 5·2 [4·8-5·6] per 1000 person-years), deaths from cancers decreased 16% every 10 years (from 4·4 [3·2-5·5] to 3·0 [2·8-3·3] per 1000 person-years), and the rate of non-vascular, non-cancer deaths declined by 8% every 10 years (from 7·7 [6·3-9·2] to 7·1 [6·6-7·5]). Death rates also declined significantly among people without diagnosed diabetes for all four major mortality categories. However, the declines in death rates were significantly greater among people with diabetes for all-causes (pinteraction&lt;0·0001), vascular causes (pinteraction=0·0214), and non-vascular, non-cancer causes (pinteration&lt;0·0001), as differences in all-cause and vascular disease death between people with and without diabetes were reduced by about a half. Among people with diabetes, all-cause mortality rates declined most in men and adults aged 65-74 years of age, and there was no decline in death rates among adults aged 20-44 years. The different magnitude of changes in cause-specific mortality led to large changes in the proportional mortality. The proportion of total deaths among adults with diabetes from vascular causes declined from 47·8% (95% CI 38·9-58·8) in 1988-94 to 34·1% (31·4-37·1) in 2010-15; this decline was offset by large increases in the proportion of deaths from non-vascular, non-cancer causes, from 33·5% (26·7-42·1) to 46·5% (43·3-50·0). The proportion of deaths caused by cancer was relatively stable over time, ranging from 16% to 20%. INTERPRETATION Declining rates of vascular disease mortality are leading to a diversification of forms of diabetes-related mortality with implications for clinical management, prevention, and disease monitoring. FUNDING None.","author":[{"dropping-particle":"","family":"Gregg","given":"Edward W","non-dropping-particle":"","parse-names":false,"suffix":""},{"dropping-particle":"","family":"Cheng","given":"Yiling J","non-dropping-particle":"","parse-names":false,"suffix":""},{"dropping-particle":"","family":"Srinivasan","given":"Meera","non-dropping-particle":"","parse-names":false,"suffix":""},{"dropping-particle":"","family":"Lin","given":"Ji","non-dropping-particle":"","parse-names":false,"suffix":""},{"dropping-particle":"","family":"Geiss","given":"Linda S","non-dropping-particle":"","parse-names":false,"suffix":""},{"dropping-particle":"","family":"Albright","given":"Ann L","non-dropping-particle":"","parse-names":false,"suffix":""},{"dropping-particle":"","family":"Imperatore","given":"Giuseppina","non-dropping-particle":"","parse-names":false,"suffix":""}],"container-title":"The Lancet","id":"ITEM-1","issue":"10138","issued":{"date-parts":[["2018","6","16"]]},"page":"2430-2440","title":"Trends in cause-specific mortality among adults with and without diagnosed diabetes in the USA: an epidemiological analysis of linked national survey and vital statistics data","type":"article-journal","volume":"391"},"uris":["http://www.mendeley.com/documents/?uuid=9ca18495-c287-3098-942c-5744aeab41ea"]},{"id":"ITEM-2","itemData":{"DOI":"10.1016/S0140-6736(18)31506-X","ISSN":"01406736","PMID":"30129464","abstract":"BACKGROUND People with type 1 diabetes are at elevated risk of mortality and cardiovascular disease, yet current guidelines do not consider age of onset as an important risk stratifier. We aimed to examine how age at diagnosis of type 1 diabetes relates to excess mortality and cardiovascular risk. METHODS We did a nationwide, register-based cohort study of individuals with type 1 diabetes in the Swedish National Diabetes Register and matched controls from the general population. We included patients with at least one registration between Jan 1, 1998, and Dec 31, 2012. Using Cox regression, and with adjustment for diabetes duration, we estimated the excess risk of all-cause mortality, cardiovascular mortality, non-cardiovascular mortality, acute myocardial infarction, stroke, cardiovascular disease (a composite of acute myocardial infarction and stroke), coronary heart disease, heart failure, and atrial fibrillation. Individuals with type 1 diabetes were categorised into five groups, according to age at diagnosis: 0-10 years, 11-15 years, 16-20 years, 21-25 years, and 26-30 years. FINDINGS 27 195 individuals with type 1 diabetes and 135 178 matched controls were selected for this study. 959 individuals with type 1 diabetes and 1501 controls died during follow-up (median follow-up was 10 years). Patients who developed type 1 diabetes at 0-10 years of age had hazard ratios of 4·11 (95% CI 3·24-5·22) for all-cause mortality, 7·38 (3·65-14·94) for cardiovascular mortality, 3·96 (3·06-5·11) for non-cardiovascular mortality, 11·44 (7·95-16·44) for cardiovascular disease, 30·50 (19·98-46·57) for coronary heart disease, 30·95 (17·59-54·45) for acute myocardial infarction, 6·45 (4·04-10·31) for stroke, 12·90 (7·39-22·51) for heart failure, and 1·17 (0·62-2·20) for atrial fibrillation. Corresponding hazard ratios for individuals who developed type 1 diabetes aged 26-30 years were 2·83 (95% CI 2·38-3·37) for all-cause mortality, 3·64 (2·34-5·66) for cardiovascular mortality, 2·78 (2·29-3·38) for non-cardiovascular mortality, 3·85 (3·05-4·87) for cardiovascular disease, 6·08 (4·71-7·84) for coronary heart disease, 5·77 (4·08-8·16) for acute myocardial infarction, 3·22 (2·35-4·42) for stroke, 5·07 (3·55-7·22) for heart failure, and 1·18 (0·79-1·77) for atrial fibrillation; hence the excess risk differed by up to five times across the diagnosis age groups. The highest overall incidence rate, noted for all-cause mortality, was 1·9 (95% CI 1·71-2·11) per 100 000 person-…","author":[{"dropping-particle":"","family":"Rawshani","given":"Araz","non-dropping-particle":"","parse-names":false,"suffix":""},{"dropping-particle":"","family":"Sattar","given":"Naveed","non-dropping-particle":"","parse-names":false,"suffix":""},{"dropping-particle":"","family":"Franzén","given":"Stefan","non-dropping-particle":"","parse-names":false,"suffix":""},{"dropping-particle":"","family":"Rawshani","given":"Aidin","non-dropping-particle":"","parse-names":false,"suffix":""},{"dropping-particle":"","family":"Hattersley","given":"Andrew T","non-dropping-particle":"","parse-names":false,"suffix":""},{"dropping-particle":"","family":"Svensson","given":"Ann-Marie","non-dropping-particle":"","parse-names":false,"suffix":""},{"dropping-particle":"","family":"Eliasson","given":"Björn","non-dropping-particle":"","parse-names":false,"suffix":""},{"dropping-particle":"","family":"Gudbjörnsdottir","given":"Soffia","non-dropping-particle":"","parse-names":false,"suffix":""}],"container-title":"The Lancet","id":"ITEM-2","issue":"10146","issued":{"date-parts":[["2018","8"]]},"page":"477-486","title":"Excess mortality and cardiovascular disease in young adults with type 1 diabetes in relation to age at onset: a nationwide, register-based cohort study","type":"article-journal","volume":"392"},"uris":["http://www.mendeley.com/documents/?uuid=acbc2edf-c418-41ef-b7ec-a883d651156e","http://www.mendeley.com/documents/?uuid=feb9b3e7-e28b-3af0-97f4-73c639750969"]}],"mendeley":{"formattedCitation":"&lt;sup&gt;11,12&lt;/sup&gt;","plainTextFormattedCitation":"11,12","previouslyFormattedCitation":"&lt;sup&gt;11,12&lt;/sup&gt;"},"properties":{"noteIndex":0},"schema":"https://github.com/citation-style-language/schema/raw/master/csl-citation.json"}</w:instrText>
      </w:r>
      <w:r w:rsidR="00BE181B" w:rsidRPr="00135762">
        <w:rPr>
          <w:sz w:val="24"/>
          <w:szCs w:val="24"/>
        </w:rPr>
        <w:fldChar w:fldCharType="separate"/>
      </w:r>
      <w:r w:rsidR="00705406" w:rsidRPr="00705406">
        <w:rPr>
          <w:noProof/>
          <w:sz w:val="24"/>
          <w:szCs w:val="24"/>
          <w:vertAlign w:val="superscript"/>
        </w:rPr>
        <w:t>11,12</w:t>
      </w:r>
      <w:r w:rsidR="00BE181B" w:rsidRPr="00135762">
        <w:rPr>
          <w:sz w:val="24"/>
          <w:szCs w:val="24"/>
        </w:rPr>
        <w:fldChar w:fldCharType="end"/>
      </w:r>
      <w:r w:rsidR="00946444" w:rsidRPr="00135762">
        <w:rPr>
          <w:sz w:val="24"/>
          <w:szCs w:val="24"/>
        </w:rPr>
        <w:t>.</w:t>
      </w:r>
      <w:r w:rsidR="00F96BE4" w:rsidRPr="00135762">
        <w:rPr>
          <w:sz w:val="24"/>
          <w:szCs w:val="24"/>
        </w:rPr>
        <w:t xml:space="preserve"> </w:t>
      </w:r>
      <w:r w:rsidR="00610D92">
        <w:rPr>
          <w:sz w:val="24"/>
          <w:szCs w:val="24"/>
        </w:rPr>
        <w:t>In</w:t>
      </w:r>
      <w:r w:rsidR="00A43C0D" w:rsidRPr="00135762">
        <w:rPr>
          <w:sz w:val="24"/>
          <w:szCs w:val="24"/>
        </w:rPr>
        <w:t xml:space="preserve"> 2018</w:t>
      </w:r>
      <w:r w:rsidR="00610D92">
        <w:rPr>
          <w:sz w:val="24"/>
          <w:szCs w:val="24"/>
        </w:rPr>
        <w:t>,</w:t>
      </w:r>
      <w:r w:rsidR="00E769F5" w:rsidRPr="00135762">
        <w:rPr>
          <w:sz w:val="24"/>
          <w:szCs w:val="24"/>
        </w:rPr>
        <w:t xml:space="preserve"> a US cohort</w:t>
      </w:r>
      <w:r w:rsidR="005809D2" w:rsidRPr="00135762">
        <w:rPr>
          <w:sz w:val="24"/>
          <w:szCs w:val="24"/>
        </w:rPr>
        <w:t xml:space="preserve"> study</w:t>
      </w:r>
      <w:r w:rsidR="00610D92">
        <w:rPr>
          <w:sz w:val="24"/>
          <w:szCs w:val="24"/>
        </w:rPr>
        <w:t xml:space="preserve"> </w:t>
      </w:r>
      <w:r w:rsidR="00E769F5" w:rsidRPr="00135762">
        <w:rPr>
          <w:sz w:val="24"/>
          <w:szCs w:val="24"/>
        </w:rPr>
        <w:t xml:space="preserve">which used </w:t>
      </w:r>
      <w:r w:rsidR="00A43C0D" w:rsidRPr="00135762">
        <w:rPr>
          <w:sz w:val="24"/>
          <w:szCs w:val="24"/>
        </w:rPr>
        <w:t>data</w:t>
      </w:r>
      <w:r w:rsidR="00610D92">
        <w:rPr>
          <w:b/>
          <w:color w:val="0000FF"/>
          <w:sz w:val="24"/>
          <w:szCs w:val="24"/>
        </w:rPr>
        <w:t xml:space="preserve"> </w:t>
      </w:r>
      <w:r w:rsidR="00946444" w:rsidRPr="00135762">
        <w:rPr>
          <w:sz w:val="24"/>
          <w:szCs w:val="24"/>
        </w:rPr>
        <w:t xml:space="preserve">derived from the </w:t>
      </w:r>
      <w:r w:rsidR="00946444" w:rsidRPr="00135762">
        <w:rPr>
          <w:sz w:val="24"/>
          <w:szCs w:val="24"/>
          <w:shd w:val="clear" w:color="auto" w:fill="FFFFFF"/>
        </w:rPr>
        <w:t xml:space="preserve">National Health Interview Survey Linked Mortality files </w:t>
      </w:r>
      <w:r w:rsidR="00F478F7" w:rsidRPr="00135762">
        <w:rPr>
          <w:sz w:val="24"/>
          <w:szCs w:val="24"/>
        </w:rPr>
        <w:t>indicate</w:t>
      </w:r>
      <w:r w:rsidR="00007DC7" w:rsidRPr="00135762">
        <w:rPr>
          <w:sz w:val="24"/>
          <w:szCs w:val="24"/>
        </w:rPr>
        <w:t>d</w:t>
      </w:r>
      <w:r w:rsidR="00F478F7" w:rsidRPr="00135762">
        <w:rPr>
          <w:sz w:val="24"/>
          <w:szCs w:val="24"/>
        </w:rPr>
        <w:t xml:space="preserve"> that, </w:t>
      </w:r>
      <w:r w:rsidR="00FB1493" w:rsidRPr="00135762">
        <w:rPr>
          <w:sz w:val="24"/>
          <w:szCs w:val="24"/>
        </w:rPr>
        <w:t>although</w:t>
      </w:r>
      <w:r w:rsidR="006C4E10" w:rsidRPr="00135762">
        <w:rPr>
          <w:sz w:val="24"/>
          <w:szCs w:val="24"/>
        </w:rPr>
        <w:t xml:space="preserve"> </w:t>
      </w:r>
      <w:r w:rsidR="006F6566" w:rsidRPr="00135762">
        <w:rPr>
          <w:sz w:val="24"/>
          <w:szCs w:val="24"/>
        </w:rPr>
        <w:t>all-caus</w:t>
      </w:r>
      <w:r w:rsidR="006C4E10" w:rsidRPr="00135762">
        <w:rPr>
          <w:sz w:val="24"/>
          <w:szCs w:val="24"/>
        </w:rPr>
        <w:t xml:space="preserve">e mortality </w:t>
      </w:r>
      <w:r w:rsidR="006D0284" w:rsidRPr="00135762">
        <w:rPr>
          <w:sz w:val="24"/>
          <w:szCs w:val="24"/>
        </w:rPr>
        <w:t xml:space="preserve">substantially </w:t>
      </w:r>
      <w:r w:rsidR="00485C7B" w:rsidRPr="00135762">
        <w:rPr>
          <w:sz w:val="24"/>
          <w:szCs w:val="24"/>
        </w:rPr>
        <w:t xml:space="preserve">declined </w:t>
      </w:r>
      <w:r w:rsidR="00007DC7" w:rsidRPr="00135762">
        <w:rPr>
          <w:sz w:val="24"/>
          <w:szCs w:val="24"/>
        </w:rPr>
        <w:t xml:space="preserve">between </w:t>
      </w:r>
      <w:r w:rsidR="00007DC7" w:rsidRPr="00135762">
        <w:rPr>
          <w:sz w:val="24"/>
          <w:szCs w:val="24"/>
          <w:shd w:val="clear" w:color="auto" w:fill="FFFFFF"/>
        </w:rPr>
        <w:t>1988–1994 and 2010–2015</w:t>
      </w:r>
      <w:r w:rsidR="00FB1493" w:rsidRPr="00135762">
        <w:rPr>
          <w:sz w:val="24"/>
          <w:szCs w:val="24"/>
        </w:rPr>
        <w:t xml:space="preserve"> </w:t>
      </w:r>
      <w:r w:rsidR="009E7198" w:rsidRPr="00135762">
        <w:rPr>
          <w:sz w:val="24"/>
          <w:szCs w:val="24"/>
        </w:rPr>
        <w:t>in adults with T1DM</w:t>
      </w:r>
      <w:r w:rsidR="006B19BA" w:rsidRPr="00135762">
        <w:rPr>
          <w:sz w:val="24"/>
          <w:szCs w:val="24"/>
        </w:rPr>
        <w:t xml:space="preserve"> </w:t>
      </w:r>
      <w:r w:rsidR="006D0284" w:rsidRPr="00135762">
        <w:rPr>
          <w:sz w:val="24"/>
          <w:szCs w:val="24"/>
        </w:rPr>
        <w:t>older than 44 years</w:t>
      </w:r>
      <w:r w:rsidR="00610D92">
        <w:rPr>
          <w:sz w:val="24"/>
          <w:szCs w:val="24"/>
        </w:rPr>
        <w:t>, mortality</w:t>
      </w:r>
      <w:r w:rsidR="00610D92" w:rsidRPr="00610D92">
        <w:rPr>
          <w:sz w:val="24"/>
          <w:szCs w:val="24"/>
        </w:rPr>
        <w:t xml:space="preserve"> </w:t>
      </w:r>
      <w:r w:rsidR="00946444" w:rsidRPr="00135762">
        <w:rPr>
          <w:sz w:val="24"/>
          <w:szCs w:val="24"/>
        </w:rPr>
        <w:t>remained almost unchanged in younger people</w:t>
      </w:r>
      <w:r w:rsidR="009E7198" w:rsidRPr="00135762">
        <w:rPr>
          <w:sz w:val="24"/>
          <w:szCs w:val="24"/>
        </w:rPr>
        <w:t xml:space="preserve"> with T1DM</w:t>
      </w:r>
      <w:r w:rsidR="00F96BE4" w:rsidRPr="00135762">
        <w:rPr>
          <w:sz w:val="24"/>
          <w:szCs w:val="24"/>
        </w:rPr>
        <w:t xml:space="preserve"> </w:t>
      </w:r>
      <w:r w:rsidR="00946444" w:rsidRPr="00135762">
        <w:rPr>
          <w:sz w:val="24"/>
          <w:szCs w:val="24"/>
        </w:rPr>
        <w:t>(</w:t>
      </w:r>
      <w:r w:rsidR="009E7198" w:rsidRPr="00135762">
        <w:rPr>
          <w:sz w:val="24"/>
          <w:szCs w:val="24"/>
        </w:rPr>
        <w:t xml:space="preserve">aged </w:t>
      </w:r>
      <w:r w:rsidR="00946444" w:rsidRPr="00135762">
        <w:rPr>
          <w:sz w:val="24"/>
          <w:szCs w:val="24"/>
        </w:rPr>
        <w:t>20</w:t>
      </w:r>
      <w:r w:rsidR="009E7198" w:rsidRPr="00135762">
        <w:rPr>
          <w:sz w:val="24"/>
          <w:szCs w:val="24"/>
        </w:rPr>
        <w:t>–</w:t>
      </w:r>
      <w:r w:rsidR="00946444" w:rsidRPr="00135762">
        <w:rPr>
          <w:sz w:val="24"/>
          <w:szCs w:val="24"/>
        </w:rPr>
        <w:t>44 years old)</w:t>
      </w:r>
      <w:r w:rsidR="00946444" w:rsidRPr="00135762">
        <w:rPr>
          <w:sz w:val="24"/>
          <w:szCs w:val="24"/>
        </w:rPr>
        <w:fldChar w:fldCharType="begin" w:fldLock="1"/>
      </w:r>
      <w:r w:rsidR="008736A2">
        <w:rPr>
          <w:sz w:val="24"/>
          <w:szCs w:val="24"/>
        </w:rPr>
        <w:instrText>ADDIN CSL_CITATION {"citationItems":[{"id":"ITEM-1","itemData":{"DOI":"10.1016/S0140-6736(18)30314-3","ISSN":"01406736","PMID":"29784146","abstract":"BACKGROUND Large reductions in diabetes complications have altered diabetes-related morbidity in the USA. It is unclear whether similar trends have occurred in causes of death. METHODS Using data from the National Health Interview Survey Linked Mortality files from 1985 to 2015, we estimated age-specific death rates and proportional mortality from all causes, vascular causes, cancers, and non-vascular, non-cancer causes among US adults by diabetes status. FINDINGS From 1988-94, to 2010-15, all-cause death rates declined by 20% every 10 years among US adults with diabetes (from 23·1 [95% CI 20·1-26·0] to 15·2 [14·6-15·8] per 1000 person-years), while death from vascular causes decreased 32% every 10 years (from 11·0 [9·2-12·2] to 5·2 [4·8-5·6] per 1000 person-years), deaths from cancers decreased 16% every 10 years (from 4·4 [3·2-5·5] to 3·0 [2·8-3·3] per 1000 person-years), and the rate of non-vascular, non-cancer deaths declined by 8% every 10 years (from 7·7 [6·3-9·2] to 7·1 [6·6-7·5]). Death rates also declined significantly among people without diagnosed diabetes for all four major mortality categories. However, the declines in death rates were significantly greater among people with diabetes for all-causes (pinteraction&lt;0·0001), vascular causes (pinteraction=0·0214), and non-vascular, non-cancer causes (pinteration&lt;0·0001), as differences in all-cause and vascular disease death between people with and without diabetes were reduced by about a half. Among people with diabetes, all-cause mortality rates declined most in men and adults aged 65-74 years of age, and there was no decline in death rates among adults aged 20-44 years. The different magnitude of changes in cause-specific mortality led to large changes in the proportional mortality. The proportion of total deaths among adults with diabetes from vascular causes declined from 47·8% (95% CI 38·9-58·8) in 1988-94 to 34·1% (31·4-37·1) in 2010-15; this decline was offset by large increases in the proportion of deaths from non-vascular, non-cancer causes, from 33·5% (26·7-42·1) to 46·5% (43·3-50·0). The proportion of deaths caused by cancer was relatively stable over time, ranging from 16% to 20%. INTERPRETATION Declining rates of vascular disease mortality are leading to a diversification of forms of diabetes-related mortality with implications for clinical management, prevention, and disease monitoring. FUNDING None.","author":[{"dropping-particle":"","family":"Gregg","given":"Edward W","non-dropping-particle":"","parse-names":false,"suffix":""},{"dropping-particle":"","family":"Cheng","given":"Yiling J","non-dropping-particle":"","parse-names":false,"suffix":""},{"dropping-particle":"","family":"Srinivasan","given":"Meera","non-dropping-particle":"","parse-names":false,"suffix":""},{"dropping-particle":"","family":"Lin","given":"Ji","non-dropping-particle":"","parse-names":false,"suffix":""},{"dropping-particle":"","family":"Geiss","given":"Linda S","non-dropping-particle":"","parse-names":false,"suffix":""},{"dropping-particle":"","family":"Albright","given":"Ann L","non-dropping-particle":"","parse-names":false,"suffix":""},{"dropping-particle":"","family":"Imperatore","given":"Giuseppina","non-dropping-particle":"","parse-names":false,"suffix":""}],"container-title":"The Lancet","id":"ITEM-1","issue":"10138","issued":{"date-parts":[["2018","6","16"]]},"page":"2430-2440","title":"Trends in cause-specific mortality among adults with and without diagnosed diabetes in the USA: an epidemiological analysis of linked national survey and vital statistics data","type":"article-journal","volume":"391"},"uris":["http://www.mendeley.com/documents/?uuid=9ca18495-c287-3098-942c-5744aeab41ea"]}],"mendeley":{"formattedCitation":"&lt;sup&gt;11&lt;/sup&gt;","plainTextFormattedCitation":"11","previouslyFormattedCitation":"&lt;sup&gt;11&lt;/sup&gt;"},"properties":{"noteIndex":0},"schema":"https://github.com/citation-style-language/schema/raw/master/csl-citation.json"}</w:instrText>
      </w:r>
      <w:r w:rsidR="00946444" w:rsidRPr="00135762">
        <w:rPr>
          <w:sz w:val="24"/>
          <w:szCs w:val="24"/>
        </w:rPr>
        <w:fldChar w:fldCharType="separate"/>
      </w:r>
      <w:r w:rsidR="00705406" w:rsidRPr="00705406">
        <w:rPr>
          <w:noProof/>
          <w:sz w:val="24"/>
          <w:szCs w:val="24"/>
          <w:vertAlign w:val="superscript"/>
        </w:rPr>
        <w:t>11</w:t>
      </w:r>
      <w:r w:rsidR="00946444" w:rsidRPr="00135762">
        <w:rPr>
          <w:sz w:val="24"/>
          <w:szCs w:val="24"/>
        </w:rPr>
        <w:fldChar w:fldCharType="end"/>
      </w:r>
      <w:r w:rsidR="00946444" w:rsidRPr="00135762">
        <w:rPr>
          <w:sz w:val="24"/>
          <w:szCs w:val="24"/>
        </w:rPr>
        <w:t xml:space="preserve">. This </w:t>
      </w:r>
      <w:r w:rsidR="009E7198" w:rsidRPr="00135762">
        <w:rPr>
          <w:sz w:val="24"/>
          <w:szCs w:val="24"/>
        </w:rPr>
        <w:t xml:space="preserve">observation </w:t>
      </w:r>
      <w:r w:rsidR="00946444" w:rsidRPr="00135762">
        <w:rPr>
          <w:sz w:val="24"/>
          <w:szCs w:val="24"/>
        </w:rPr>
        <w:t xml:space="preserve">has been further confirmed by the </w:t>
      </w:r>
      <w:r w:rsidR="009E7198" w:rsidRPr="00135762">
        <w:rPr>
          <w:sz w:val="24"/>
          <w:szCs w:val="24"/>
        </w:rPr>
        <w:t>2018</w:t>
      </w:r>
      <w:r w:rsidR="00F96BE4" w:rsidRPr="00135762">
        <w:rPr>
          <w:sz w:val="24"/>
          <w:szCs w:val="24"/>
        </w:rPr>
        <w:t xml:space="preserve"> </w:t>
      </w:r>
      <w:r w:rsidR="005D188B" w:rsidRPr="00135762">
        <w:rPr>
          <w:sz w:val="24"/>
          <w:szCs w:val="24"/>
        </w:rPr>
        <w:t xml:space="preserve">findings </w:t>
      </w:r>
      <w:r w:rsidR="00946444" w:rsidRPr="00135762">
        <w:rPr>
          <w:sz w:val="24"/>
          <w:szCs w:val="24"/>
        </w:rPr>
        <w:t xml:space="preserve">from the Swedish National Diabetes Register, </w:t>
      </w:r>
      <w:r w:rsidR="00A20E90" w:rsidRPr="00135762">
        <w:rPr>
          <w:sz w:val="24"/>
          <w:szCs w:val="24"/>
        </w:rPr>
        <w:t>which showed</w:t>
      </w:r>
      <w:r w:rsidR="00946444" w:rsidRPr="00135762">
        <w:rPr>
          <w:sz w:val="24"/>
          <w:szCs w:val="24"/>
        </w:rPr>
        <w:t xml:space="preserve"> an excess mortality and cardiovascular disease risk in young adults</w:t>
      </w:r>
      <w:r w:rsidR="00A20E90" w:rsidRPr="00135762">
        <w:rPr>
          <w:sz w:val="24"/>
          <w:szCs w:val="24"/>
        </w:rPr>
        <w:t xml:space="preserve"> </w:t>
      </w:r>
      <w:r w:rsidR="0050649E" w:rsidRPr="00135762">
        <w:rPr>
          <w:sz w:val="24"/>
          <w:szCs w:val="24"/>
        </w:rPr>
        <w:t>(mean age</w:t>
      </w:r>
      <w:r w:rsidR="001E3E16" w:rsidRPr="00135762">
        <w:rPr>
          <w:sz w:val="24"/>
          <w:szCs w:val="24"/>
        </w:rPr>
        <w:t>:</w:t>
      </w:r>
      <w:r w:rsidR="0050649E" w:rsidRPr="00135762">
        <w:rPr>
          <w:sz w:val="24"/>
          <w:szCs w:val="24"/>
        </w:rPr>
        <w:t xml:space="preserve"> </w:t>
      </w:r>
      <w:r w:rsidR="001E3E16" w:rsidRPr="00135762">
        <w:rPr>
          <w:sz w:val="24"/>
          <w:szCs w:val="24"/>
        </w:rPr>
        <w:t>29</w:t>
      </w:r>
      <w:r w:rsidR="0050649E" w:rsidRPr="00135762">
        <w:rPr>
          <w:sz w:val="24"/>
          <w:szCs w:val="24"/>
        </w:rPr>
        <w:t xml:space="preserve"> years)</w:t>
      </w:r>
      <w:r w:rsidR="00F96BE4" w:rsidRPr="00135762">
        <w:rPr>
          <w:sz w:val="24"/>
          <w:szCs w:val="24"/>
        </w:rPr>
        <w:t xml:space="preserve"> </w:t>
      </w:r>
      <w:r w:rsidR="00946444" w:rsidRPr="00135762">
        <w:rPr>
          <w:sz w:val="24"/>
          <w:szCs w:val="24"/>
        </w:rPr>
        <w:t xml:space="preserve">with </w:t>
      </w:r>
      <w:r w:rsidR="00A20E90" w:rsidRPr="00135762">
        <w:rPr>
          <w:sz w:val="24"/>
          <w:szCs w:val="24"/>
        </w:rPr>
        <w:t>T1DM</w:t>
      </w:r>
      <w:r w:rsidR="00946444" w:rsidRPr="00135762">
        <w:rPr>
          <w:sz w:val="24"/>
          <w:szCs w:val="24"/>
        </w:rPr>
        <w:t xml:space="preserve"> </w:t>
      </w:r>
      <w:r w:rsidR="00A20E90" w:rsidRPr="00135762">
        <w:rPr>
          <w:sz w:val="24"/>
          <w:szCs w:val="24"/>
        </w:rPr>
        <w:t xml:space="preserve">that </w:t>
      </w:r>
      <w:r w:rsidR="001851FC" w:rsidRPr="00135762">
        <w:rPr>
          <w:sz w:val="24"/>
          <w:szCs w:val="24"/>
        </w:rPr>
        <w:t>was related to</w:t>
      </w:r>
      <w:r w:rsidR="00A20E90" w:rsidRPr="00135762">
        <w:rPr>
          <w:sz w:val="24"/>
          <w:szCs w:val="24"/>
        </w:rPr>
        <w:t xml:space="preserve"> the</w:t>
      </w:r>
      <w:r w:rsidR="00610D92">
        <w:rPr>
          <w:b/>
          <w:color w:val="0000FF"/>
          <w:sz w:val="24"/>
          <w:szCs w:val="24"/>
        </w:rPr>
        <w:t xml:space="preserve"> </w:t>
      </w:r>
      <w:r w:rsidR="00946444" w:rsidRPr="00135762">
        <w:rPr>
          <w:sz w:val="24"/>
          <w:szCs w:val="24"/>
        </w:rPr>
        <w:t>age at onset</w:t>
      </w:r>
      <w:r w:rsidR="00946444" w:rsidRPr="00135762">
        <w:rPr>
          <w:sz w:val="24"/>
          <w:szCs w:val="24"/>
        </w:rPr>
        <w:fldChar w:fldCharType="begin" w:fldLock="1"/>
      </w:r>
      <w:r w:rsidR="008736A2">
        <w:rPr>
          <w:sz w:val="24"/>
          <w:szCs w:val="24"/>
        </w:rPr>
        <w:instrText>ADDIN CSL_CITATION {"citationItems":[{"id":"ITEM-1","itemData":{"DOI":"10.1016/S0140-6736(18)31506-X","ISSN":"01406736","PMID":"30129464","abstract":"BACKGROUND People with type 1 diabetes are at elevated risk of mortality and cardiovascular disease, yet current guidelines do not consider age of onset as an important risk stratifier. We aimed to examine how age at diagnosis of type 1 diabetes relates to excess mortality and cardiovascular risk. METHODS We did a nationwide, register-based cohort study of individuals with type 1 diabetes in the Swedish National Diabetes Register and matched controls from the general population. We included patients with at least one registration between Jan 1, 1998, and Dec 31, 2012. Using Cox regression, and with adjustment for diabetes duration, we estimated the excess risk of all-cause mortality, cardiovascular mortality, non-cardiovascular mortality, acute myocardial infarction, stroke, cardiovascular disease (a composite of acute myocardial infarction and stroke), coronary heart disease, heart failure, and atrial fibrillation. Individuals with type 1 diabetes were categorised into five groups, according to age at diagnosis: 0-10 years, 11-15 years, 16-20 years, 21-25 years, and 26-30 years. FINDINGS 27 195 individuals with type 1 diabetes and 135 178 matched controls were selected for this study. 959 individuals with type 1 diabetes and 1501 controls died during follow-up (median follow-up was 10 years). Patients who developed type 1 diabetes at 0-10 years of age had hazard ratios of 4·11 (95% CI 3·24-5·22) for all-cause mortality, 7·38 (3·65-14·94) for cardiovascular mortality, 3·96 (3·06-5·11) for non-cardiovascular mortality, 11·44 (7·95-16·44) for cardiovascular disease, 30·50 (19·98-46·57) for coronary heart disease, 30·95 (17·59-54·45) for acute myocardial infarction, 6·45 (4·04-10·31) for stroke, 12·90 (7·39-22·51) for heart failure, and 1·17 (0·62-2·20) for atrial fibrillation. Corresponding hazard ratios for individuals who developed type 1 diabetes aged 26-30 years were 2·83 (95% CI 2·38-3·37) for all-cause mortality, 3·64 (2·34-5·66) for cardiovascular mortality, 2·78 (2·29-3·38) for non-cardiovascular mortality, 3·85 (3·05-4·87) for cardiovascular disease, 6·08 (4·71-7·84) for coronary heart disease, 5·77 (4·08-8·16) for acute myocardial infarction, 3·22 (2·35-4·42) for stroke, 5·07 (3·55-7·22) for heart failure, and 1·18 (0·79-1·77) for atrial fibrillation; hence the excess risk differed by up to five times across the diagnosis age groups. The highest overall incidence rate, noted for all-cause mortality, was 1·9 (95% CI 1·71-2·11) per 100 000 person-…","author":[{"dropping-particle":"","family":"Rawshani","given":"Araz","non-dropping-particle":"","parse-names":false,"suffix":""},{"dropping-particle":"","family":"Sattar","given":"Naveed","non-dropping-particle":"","parse-names":false,"suffix":""},{"dropping-particle":"","family":"Franzén","given":"Stefan","non-dropping-particle":"","parse-names":false,"suffix":""},{"dropping-particle":"","family":"Rawshani","given":"Aidin","non-dropping-particle":"","parse-names":false,"suffix":""},{"dropping-particle":"","family":"Hattersley","given":"Andrew T","non-dropping-particle":"","parse-names":false,"suffix":""},{"dropping-particle":"","family":"Svensson","given":"Ann-Marie","non-dropping-particle":"","parse-names":false,"suffix":""},{"dropping-particle":"","family":"Eliasson","given":"Björn","non-dropping-particle":"","parse-names":false,"suffix":""},{"dropping-particle":"","family":"Gudbjörnsdottir","given":"Soffia","non-dropping-particle":"","parse-names":false,"suffix":""}],"container-title":"The Lancet","id":"ITEM-1","issue":"10146","issued":{"date-parts":[["2018","8"]]},"page":"477-486","title":"Excess mortality and cardiovascular disease in young adults with type 1 diabetes in relation to age at onset: a nationwide, register-based cohort study","type":"article-journal","volume":"392"},"uris":["http://www.mendeley.com/documents/?uuid=acbc2edf-c418-41ef-b7ec-a883d651156e","http://www.mendeley.com/documents/?uuid=feb9b3e7-e28b-3af0-97f4-73c639750969"]}],"mendeley":{"formattedCitation":"&lt;sup&gt;12&lt;/sup&gt;","plainTextFormattedCitation":"12","previouslyFormattedCitation":"&lt;sup&gt;12&lt;/sup&gt;"},"properties":{"noteIndex":0},"schema":"https://github.com/citation-style-language/schema/raw/master/csl-citation.json"}</w:instrText>
      </w:r>
      <w:r w:rsidR="00946444" w:rsidRPr="00135762">
        <w:rPr>
          <w:sz w:val="24"/>
          <w:szCs w:val="24"/>
        </w:rPr>
        <w:fldChar w:fldCharType="separate"/>
      </w:r>
      <w:r w:rsidR="00705406" w:rsidRPr="00705406">
        <w:rPr>
          <w:noProof/>
          <w:sz w:val="24"/>
          <w:szCs w:val="24"/>
          <w:vertAlign w:val="superscript"/>
        </w:rPr>
        <w:t>12</w:t>
      </w:r>
      <w:r w:rsidR="00946444" w:rsidRPr="00135762">
        <w:rPr>
          <w:sz w:val="24"/>
          <w:szCs w:val="24"/>
        </w:rPr>
        <w:fldChar w:fldCharType="end"/>
      </w:r>
      <w:r w:rsidR="00946444" w:rsidRPr="00135762">
        <w:rPr>
          <w:sz w:val="24"/>
          <w:szCs w:val="24"/>
        </w:rPr>
        <w:t>.</w:t>
      </w:r>
      <w:r w:rsidR="00F96BE4" w:rsidRPr="00135762">
        <w:rPr>
          <w:sz w:val="24"/>
          <w:szCs w:val="24"/>
        </w:rPr>
        <w:t xml:space="preserve"> </w:t>
      </w:r>
      <w:r w:rsidR="000F030A" w:rsidRPr="00135762">
        <w:rPr>
          <w:sz w:val="24"/>
          <w:szCs w:val="24"/>
        </w:rPr>
        <w:t>The results emphasiz</w:t>
      </w:r>
      <w:r w:rsidR="00946444" w:rsidRPr="00135762">
        <w:rPr>
          <w:sz w:val="24"/>
          <w:szCs w:val="24"/>
        </w:rPr>
        <w:t xml:space="preserve">ed that diagnosis before the age of 10 years </w:t>
      </w:r>
      <w:r w:rsidR="001851FC" w:rsidRPr="00135762">
        <w:rPr>
          <w:sz w:val="24"/>
          <w:szCs w:val="24"/>
        </w:rPr>
        <w:t xml:space="preserve">was associated </w:t>
      </w:r>
      <w:r w:rsidR="001851FC" w:rsidRPr="00610D92">
        <w:rPr>
          <w:sz w:val="24"/>
          <w:szCs w:val="24"/>
        </w:rPr>
        <w:t>with</w:t>
      </w:r>
      <w:r w:rsidR="00610D92" w:rsidRPr="00610D92">
        <w:rPr>
          <w:sz w:val="24"/>
          <w:szCs w:val="24"/>
        </w:rPr>
        <w:t xml:space="preserve"> </w:t>
      </w:r>
      <w:r w:rsidR="00946444" w:rsidRPr="00610D92">
        <w:rPr>
          <w:sz w:val="24"/>
          <w:szCs w:val="24"/>
        </w:rPr>
        <w:t>a</w:t>
      </w:r>
      <w:r w:rsidR="00946444" w:rsidRPr="00135762">
        <w:rPr>
          <w:sz w:val="24"/>
          <w:szCs w:val="24"/>
        </w:rPr>
        <w:t xml:space="preserve"> loss of life expectancy</w:t>
      </w:r>
      <w:r w:rsidR="00C613F4" w:rsidRPr="00135762">
        <w:rPr>
          <w:sz w:val="24"/>
          <w:szCs w:val="24"/>
        </w:rPr>
        <w:t xml:space="preserve"> from</w:t>
      </w:r>
      <w:r w:rsidR="001851FC" w:rsidRPr="00135762">
        <w:rPr>
          <w:sz w:val="24"/>
          <w:szCs w:val="24"/>
        </w:rPr>
        <w:t xml:space="preserve"> the general population</w:t>
      </w:r>
      <w:r w:rsidR="00C613F4" w:rsidRPr="00135762">
        <w:rPr>
          <w:sz w:val="24"/>
          <w:szCs w:val="24"/>
        </w:rPr>
        <w:t xml:space="preserve"> mean</w:t>
      </w:r>
      <w:r w:rsidR="00610D92">
        <w:rPr>
          <w:sz w:val="24"/>
          <w:szCs w:val="24"/>
        </w:rPr>
        <w:t xml:space="preserve"> </w:t>
      </w:r>
      <w:r w:rsidR="00946444" w:rsidRPr="00135762">
        <w:rPr>
          <w:sz w:val="24"/>
          <w:szCs w:val="24"/>
        </w:rPr>
        <w:t xml:space="preserve">of 17.7 years in women and 14.2 years in men, as compared to 10.1 </w:t>
      </w:r>
      <w:r w:rsidR="001851FC" w:rsidRPr="00135762">
        <w:rPr>
          <w:sz w:val="24"/>
          <w:szCs w:val="24"/>
        </w:rPr>
        <w:t xml:space="preserve">years in women </w:t>
      </w:r>
      <w:r w:rsidR="00946444" w:rsidRPr="00135762">
        <w:rPr>
          <w:sz w:val="24"/>
          <w:szCs w:val="24"/>
        </w:rPr>
        <w:t xml:space="preserve">and 9.4 years in men diagnosed </w:t>
      </w:r>
      <w:r w:rsidR="00A20E90" w:rsidRPr="00135762">
        <w:rPr>
          <w:sz w:val="24"/>
          <w:szCs w:val="24"/>
        </w:rPr>
        <w:t>between the ages of</w:t>
      </w:r>
      <w:r w:rsidR="00946444" w:rsidRPr="00135762">
        <w:rPr>
          <w:sz w:val="24"/>
          <w:szCs w:val="24"/>
        </w:rPr>
        <w:t xml:space="preserve"> 26</w:t>
      </w:r>
      <w:r w:rsidR="00A20E90" w:rsidRPr="00135762">
        <w:rPr>
          <w:sz w:val="24"/>
          <w:szCs w:val="24"/>
        </w:rPr>
        <w:t>–</w:t>
      </w:r>
      <w:r w:rsidR="00946444" w:rsidRPr="00135762">
        <w:rPr>
          <w:sz w:val="24"/>
          <w:szCs w:val="24"/>
        </w:rPr>
        <w:t>30 years</w:t>
      </w:r>
      <w:r w:rsidR="00443B07" w:rsidRPr="00135762">
        <w:rPr>
          <w:sz w:val="24"/>
          <w:szCs w:val="24"/>
        </w:rPr>
        <w:fldChar w:fldCharType="begin" w:fldLock="1"/>
      </w:r>
      <w:r w:rsidR="008736A2">
        <w:rPr>
          <w:sz w:val="24"/>
          <w:szCs w:val="24"/>
        </w:rPr>
        <w:instrText>ADDIN CSL_CITATION {"citationItems":[{"id":"ITEM-1","itemData":{"DOI":"10.1016/S0140-6736(18)31506-X","ISSN":"01406736","PMID":"30129464","abstract":"BACKGROUND People with type 1 diabetes are at elevated risk of mortality and cardiovascular disease, yet current guidelines do not consider age of onset as an important risk stratifier. We aimed to examine how age at diagnosis of type 1 diabetes relates to excess mortality and cardiovascular risk. METHODS We did a nationwide, register-based cohort study of individuals with type 1 diabetes in the Swedish National Diabetes Register and matched controls from the general population. We included patients with at least one registration between Jan 1, 1998, and Dec 31, 2012. Using Cox regression, and with adjustment for diabetes duration, we estimated the excess risk of all-cause mortality, cardiovascular mortality, non-cardiovascular mortality, acute myocardial infarction, stroke, cardiovascular disease (a composite of acute myocardial infarction and stroke), coronary heart disease, heart failure, and atrial fibrillation. Individuals with type 1 diabetes were categorised into five groups, according to age at diagnosis: 0-10 years, 11-15 years, 16-20 years, 21-25 years, and 26-30 years. FINDINGS 27 195 individuals with type 1 diabetes and 135 178 matched controls were selected for this study. 959 individuals with type 1 diabetes and 1501 controls died during follow-up (median follow-up was 10 years). Patients who developed type 1 diabetes at 0-10 years of age had hazard ratios of 4·11 (95% CI 3·24-5·22) for all-cause mortality, 7·38 (3·65-14·94) for cardiovascular mortality, 3·96 (3·06-5·11) for non-cardiovascular mortality, 11·44 (7·95-16·44) for cardiovascular disease, 30·50 (19·98-46·57) for coronary heart disease, 30·95 (17·59-54·45) for acute myocardial infarction, 6·45 (4·04-10·31) for stroke, 12·90 (7·39-22·51) for heart failure, and 1·17 (0·62-2·20) for atrial fibrillation. Corresponding hazard ratios for individuals who developed type 1 diabetes aged 26-30 years were 2·83 (95% CI 2·38-3·37) for all-cause mortality, 3·64 (2·34-5·66) for cardiovascular mortality, 2·78 (2·29-3·38) for non-cardiovascular mortality, 3·85 (3·05-4·87) for cardiovascular disease, 6·08 (4·71-7·84) for coronary heart disease, 5·77 (4·08-8·16) for acute myocardial infarction, 3·22 (2·35-4·42) for stroke, 5·07 (3·55-7·22) for heart failure, and 1·18 (0·79-1·77) for atrial fibrillation; hence the excess risk differed by up to five times across the diagnosis age groups. The highest overall incidence rate, noted for all-cause mortality, was 1·9 (95% CI 1·71-2·11) per 100 000 person-…","author":[{"dropping-particle":"","family":"Rawshani","given":"Araz","non-dropping-particle":"","parse-names":false,"suffix":""},{"dropping-particle":"","family":"Sattar","given":"Naveed","non-dropping-particle":"","parse-names":false,"suffix":""},{"dropping-particle":"","family":"Franzén","given":"Stefan","non-dropping-particle":"","parse-names":false,"suffix":""},{"dropping-particle":"","family":"Rawshani","given":"Aidin","non-dropping-particle":"","parse-names":false,"suffix":""},{"dropping-particle":"","family":"Hattersley","given":"Andrew T","non-dropping-particle":"","parse-names":false,"suffix":""},{"dropping-particle":"","family":"Svensson","given":"Ann-Marie","non-dropping-particle":"","parse-names":false,"suffix":""},{"dropping-particle":"","family":"Eliasson","given":"Björn","non-dropping-particle":"","parse-names":false,"suffix":""},{"dropping-particle":"","family":"Gudbjörnsdottir","given":"Soffia","non-dropping-particle":"","parse-names":false,"suffix":""}],"container-title":"The Lancet","id":"ITEM-1","issue":"10146","issued":{"date-parts":[["2018","8"]]},"page":"477-486","title":"Excess mortality and cardiovascular disease in young adults with type 1 diabetes in relation to age at onset: a nationwide, register-based cohort study","type":"article-journal","volume":"392"},"uris":["http://www.mendeley.com/documents/?uuid=acbc2edf-c418-41ef-b7ec-a883d651156e","http://www.mendeley.com/documents/?uuid=feb9b3e7-e28b-3af0-97f4-73c639750969"]}],"mendeley":{"formattedCitation":"&lt;sup&gt;12&lt;/sup&gt;","plainTextFormattedCitation":"12","previouslyFormattedCitation":"&lt;sup&gt;12&lt;/sup&gt;"},"properties":{"noteIndex":0},"schema":"https://github.com/citation-style-language/schema/raw/master/csl-citation.json"}</w:instrText>
      </w:r>
      <w:r w:rsidR="00443B07" w:rsidRPr="00135762">
        <w:rPr>
          <w:sz w:val="24"/>
          <w:szCs w:val="24"/>
        </w:rPr>
        <w:fldChar w:fldCharType="separate"/>
      </w:r>
      <w:r w:rsidR="00705406" w:rsidRPr="00705406">
        <w:rPr>
          <w:noProof/>
          <w:sz w:val="24"/>
          <w:szCs w:val="24"/>
          <w:vertAlign w:val="superscript"/>
        </w:rPr>
        <w:t>12</w:t>
      </w:r>
      <w:r w:rsidR="00443B07" w:rsidRPr="00135762">
        <w:rPr>
          <w:sz w:val="24"/>
          <w:szCs w:val="24"/>
        </w:rPr>
        <w:fldChar w:fldCharType="end"/>
      </w:r>
      <w:r w:rsidR="00946444" w:rsidRPr="00135762">
        <w:rPr>
          <w:sz w:val="24"/>
          <w:szCs w:val="24"/>
        </w:rPr>
        <w:t>.</w:t>
      </w:r>
      <w:r w:rsidR="00F96BE4" w:rsidRPr="00135762">
        <w:rPr>
          <w:sz w:val="24"/>
          <w:szCs w:val="24"/>
        </w:rPr>
        <w:t xml:space="preserve"> </w:t>
      </w:r>
    </w:p>
    <w:p w14:paraId="42C0760E" w14:textId="77777777" w:rsidR="00E805C6" w:rsidRPr="00135762" w:rsidRDefault="00E805C6" w:rsidP="00AA7F02">
      <w:pPr>
        <w:spacing w:after="0" w:line="360" w:lineRule="auto"/>
        <w:rPr>
          <w:sz w:val="24"/>
          <w:szCs w:val="24"/>
        </w:rPr>
      </w:pPr>
    </w:p>
    <w:p w14:paraId="2121D9A5" w14:textId="4D064DB5" w:rsidR="00AA7F02" w:rsidRPr="00135762" w:rsidRDefault="005707E6" w:rsidP="00AA7F02">
      <w:pPr>
        <w:spacing w:after="0" w:line="360" w:lineRule="auto"/>
        <w:rPr>
          <w:sz w:val="24"/>
          <w:szCs w:val="24"/>
        </w:rPr>
      </w:pPr>
      <w:r w:rsidRPr="00135762">
        <w:rPr>
          <w:sz w:val="24"/>
          <w:szCs w:val="24"/>
        </w:rPr>
        <w:t xml:space="preserve">The </w:t>
      </w:r>
      <w:r w:rsidR="00C377ED" w:rsidRPr="00135762">
        <w:rPr>
          <w:sz w:val="24"/>
          <w:szCs w:val="24"/>
        </w:rPr>
        <w:t>Swedish study also show</w:t>
      </w:r>
      <w:r w:rsidR="00C613F4" w:rsidRPr="00135762">
        <w:rPr>
          <w:sz w:val="24"/>
          <w:szCs w:val="24"/>
        </w:rPr>
        <w:t>ed</w:t>
      </w:r>
      <w:r w:rsidRPr="00135762">
        <w:rPr>
          <w:sz w:val="24"/>
          <w:szCs w:val="24"/>
        </w:rPr>
        <w:t xml:space="preserve"> that</w:t>
      </w:r>
      <w:r w:rsidR="00610D92">
        <w:rPr>
          <w:sz w:val="24"/>
          <w:szCs w:val="24"/>
        </w:rPr>
        <w:t xml:space="preserve"> </w:t>
      </w:r>
      <w:r w:rsidRPr="00135762">
        <w:rPr>
          <w:sz w:val="24"/>
          <w:szCs w:val="24"/>
          <w:shd w:val="clear" w:color="auto" w:fill="FFFFFF" w:themeFill="background1"/>
        </w:rPr>
        <w:t>a</w:t>
      </w:r>
      <w:r w:rsidR="00946444" w:rsidRPr="00135762">
        <w:rPr>
          <w:sz w:val="24"/>
          <w:szCs w:val="24"/>
          <w:shd w:val="clear" w:color="auto" w:fill="FFFFFF" w:themeFill="background1"/>
        </w:rPr>
        <w:t xml:space="preserve">ge at diagnosis </w:t>
      </w:r>
      <w:r w:rsidR="00BE181B" w:rsidRPr="00135762">
        <w:rPr>
          <w:sz w:val="24"/>
          <w:szCs w:val="24"/>
          <w:shd w:val="clear" w:color="auto" w:fill="FFFFFF" w:themeFill="background1"/>
        </w:rPr>
        <w:t>ha</w:t>
      </w:r>
      <w:r w:rsidR="00C377ED" w:rsidRPr="00135762">
        <w:rPr>
          <w:sz w:val="24"/>
          <w:szCs w:val="24"/>
          <w:shd w:val="clear" w:color="auto" w:fill="FFFFFF" w:themeFill="background1"/>
        </w:rPr>
        <w:t>s</w:t>
      </w:r>
      <w:r w:rsidR="00BE181B" w:rsidRPr="00135762">
        <w:rPr>
          <w:sz w:val="24"/>
          <w:szCs w:val="24"/>
          <w:shd w:val="clear" w:color="auto" w:fill="FFFFFF" w:themeFill="background1"/>
        </w:rPr>
        <w:t xml:space="preserve"> a </w:t>
      </w:r>
      <w:r w:rsidRPr="00135762">
        <w:rPr>
          <w:sz w:val="24"/>
          <w:szCs w:val="24"/>
          <w:shd w:val="clear" w:color="auto" w:fill="FFFFFF" w:themeFill="background1"/>
        </w:rPr>
        <w:t>striking</w:t>
      </w:r>
      <w:r w:rsidR="00BE181B" w:rsidRPr="00135762">
        <w:rPr>
          <w:sz w:val="24"/>
          <w:szCs w:val="24"/>
          <w:shd w:val="clear" w:color="auto" w:fill="FFFFFF" w:themeFill="background1"/>
        </w:rPr>
        <w:t xml:space="preserve"> effect on </w:t>
      </w:r>
      <w:r w:rsidR="00946444" w:rsidRPr="00135762">
        <w:rPr>
          <w:sz w:val="24"/>
          <w:szCs w:val="24"/>
          <w:shd w:val="clear" w:color="auto" w:fill="FFFFFF" w:themeFill="background1"/>
        </w:rPr>
        <w:t>cardiovascular outcomes</w:t>
      </w:r>
      <w:r w:rsidR="00C613F4" w:rsidRPr="00135762">
        <w:rPr>
          <w:sz w:val="24"/>
          <w:szCs w:val="24"/>
          <w:shd w:val="clear" w:color="auto" w:fill="FFFFFF" w:themeFill="background1"/>
        </w:rPr>
        <w:t>.</w:t>
      </w:r>
      <w:r w:rsidR="00946444" w:rsidRPr="00135762">
        <w:rPr>
          <w:sz w:val="24"/>
          <w:szCs w:val="24"/>
          <w:shd w:val="clear" w:color="auto" w:fill="FFFFFF" w:themeFill="background1"/>
        </w:rPr>
        <w:t xml:space="preserve"> </w:t>
      </w:r>
      <w:r w:rsidR="00C613F4" w:rsidRPr="00135762">
        <w:rPr>
          <w:sz w:val="24"/>
          <w:szCs w:val="24"/>
          <w:shd w:val="clear" w:color="auto" w:fill="FFFFFF" w:themeFill="background1"/>
        </w:rPr>
        <w:t>Individuals</w:t>
      </w:r>
      <w:r w:rsidR="00BE181B" w:rsidRPr="00135762">
        <w:rPr>
          <w:sz w:val="24"/>
          <w:szCs w:val="24"/>
          <w:shd w:val="clear" w:color="auto" w:fill="FFFFFF" w:themeFill="background1"/>
        </w:rPr>
        <w:t xml:space="preserve"> diagnosed</w:t>
      </w:r>
      <w:r w:rsidR="00C377ED" w:rsidRPr="00135762">
        <w:rPr>
          <w:sz w:val="24"/>
          <w:szCs w:val="24"/>
          <w:shd w:val="clear" w:color="auto" w:fill="FFFFFF" w:themeFill="background1"/>
        </w:rPr>
        <w:t xml:space="preserve"> with T1DM</w:t>
      </w:r>
      <w:r w:rsidR="00946444" w:rsidRPr="00135762">
        <w:rPr>
          <w:sz w:val="24"/>
          <w:szCs w:val="24"/>
          <w:shd w:val="clear" w:color="auto" w:fill="FFFFFF" w:themeFill="background1"/>
        </w:rPr>
        <w:t xml:space="preserve"> before the age of 10 years hav</w:t>
      </w:r>
      <w:r w:rsidR="00C613F4" w:rsidRPr="00135762">
        <w:rPr>
          <w:sz w:val="24"/>
          <w:szCs w:val="24"/>
          <w:shd w:val="clear" w:color="auto" w:fill="FFFFFF" w:themeFill="background1"/>
        </w:rPr>
        <w:t>e</w:t>
      </w:r>
      <w:r w:rsidR="00946444" w:rsidRPr="00135762">
        <w:rPr>
          <w:sz w:val="24"/>
          <w:szCs w:val="24"/>
          <w:shd w:val="clear" w:color="auto" w:fill="FFFFFF" w:themeFill="background1"/>
        </w:rPr>
        <w:t xml:space="preserve"> a 30-fold </w:t>
      </w:r>
      <w:r w:rsidR="00BE181B" w:rsidRPr="00135762">
        <w:rPr>
          <w:sz w:val="24"/>
          <w:szCs w:val="24"/>
          <w:shd w:val="clear" w:color="auto" w:fill="FFFFFF" w:themeFill="background1"/>
        </w:rPr>
        <w:t xml:space="preserve">increased </w:t>
      </w:r>
      <w:r w:rsidR="00946444" w:rsidRPr="00135762">
        <w:rPr>
          <w:sz w:val="24"/>
          <w:szCs w:val="24"/>
          <w:shd w:val="clear" w:color="auto" w:fill="FFFFFF" w:themeFill="background1"/>
        </w:rPr>
        <w:t>risk of coronary heart disease</w:t>
      </w:r>
      <w:r w:rsidR="00946444" w:rsidRPr="00135762">
        <w:rPr>
          <w:sz w:val="24"/>
          <w:szCs w:val="24"/>
        </w:rPr>
        <w:t xml:space="preserve"> and acute myocardial infarction in early adulthood (mean age at follow up 29 years)</w:t>
      </w:r>
      <w:r w:rsidR="00131C0E" w:rsidRPr="00135762">
        <w:rPr>
          <w:sz w:val="24"/>
          <w:szCs w:val="24"/>
        </w:rPr>
        <w:t xml:space="preserve"> compared to peers without diabetes</w:t>
      </w:r>
      <w:r w:rsidR="00946444" w:rsidRPr="00135762">
        <w:rPr>
          <w:sz w:val="24"/>
          <w:szCs w:val="24"/>
        </w:rPr>
        <w:fldChar w:fldCharType="begin" w:fldLock="1"/>
      </w:r>
      <w:r w:rsidR="008736A2">
        <w:rPr>
          <w:sz w:val="24"/>
          <w:szCs w:val="24"/>
        </w:rPr>
        <w:instrText>ADDIN CSL_CITATION {"citationItems":[{"id":"ITEM-1","itemData":{"DOI":"10.1016/S0140-6736(18)31506-X","ISSN":"01406736","PMID":"30129464","abstract":"BACKGROUND People with type 1 diabetes are at elevated risk of mortality and cardiovascular disease, yet current guidelines do not consider age of onset as an important risk stratifier. We aimed to examine how age at diagnosis of type 1 diabetes relates to excess mortality and cardiovascular risk. METHODS We did a nationwide, register-based cohort study of individuals with type 1 diabetes in the Swedish National Diabetes Register and matched controls from the general population. We included patients with at least one registration between Jan 1, 1998, and Dec 31, 2012. Using Cox regression, and with adjustment for diabetes duration, we estimated the excess risk of all-cause mortality, cardiovascular mortality, non-cardiovascular mortality, acute myocardial infarction, stroke, cardiovascular disease (a composite of acute myocardial infarction and stroke), coronary heart disease, heart failure, and atrial fibrillation. Individuals with type 1 diabetes were categorised into five groups, according to age at diagnosis: 0-10 years, 11-15 years, 16-20 years, 21-25 years, and 26-30 years. FINDINGS 27 195 individuals with type 1 diabetes and 135 178 matched controls were selected for this study. 959 individuals with type 1 diabetes and 1501 controls died during follow-up (median follow-up was 10 years). Patients who developed type 1 diabetes at 0-10 years of age had hazard ratios of 4·11 (95% CI 3·24-5·22) for all-cause mortality, 7·38 (3·65-14·94) for cardiovascular mortality, 3·96 (3·06-5·11) for non-cardiovascular mortality, 11·44 (7·95-16·44) for cardiovascular disease, 30·50 (19·98-46·57) for coronary heart disease, 30·95 (17·59-54·45) for acute myocardial infarction, 6·45 (4·04-10·31) for stroke, 12·90 (7·39-22·51) for heart failure, and 1·17 (0·62-2·20) for atrial fibrillation. Corresponding hazard ratios for individuals who developed type 1 diabetes aged 26-30 years were 2·83 (95% CI 2·38-3·37) for all-cause mortality, 3·64 (2·34-5·66) for cardiovascular mortality, 2·78 (2·29-3·38) for non-cardiovascular mortality, 3·85 (3·05-4·87) for cardiovascular disease, 6·08 (4·71-7·84) for coronary heart disease, 5·77 (4·08-8·16) for acute myocardial infarction, 3·22 (2·35-4·42) for stroke, 5·07 (3·55-7·22) for heart failure, and 1·18 (0·79-1·77) for atrial fibrillation; hence the excess risk differed by up to five times across the diagnosis age groups. The highest overall incidence rate, noted for all-cause mortality, was 1·9 (95% CI 1·71-2·11) per 100 000 person-…","author":[{"dropping-particle":"","family":"Rawshani","given":"Araz","non-dropping-particle":"","parse-names":false,"suffix":""},{"dropping-particle":"","family":"Sattar","given":"Naveed","non-dropping-particle":"","parse-names":false,"suffix":""},{"dropping-particle":"","family":"Franzén","given":"Stefan","non-dropping-particle":"","parse-names":false,"suffix":""},{"dropping-particle":"","family":"Rawshani","given":"Aidin","non-dropping-particle":"","parse-names":false,"suffix":""},{"dropping-particle":"","family":"Hattersley","given":"Andrew T","non-dropping-particle":"","parse-names":false,"suffix":""},{"dropping-particle":"","family":"Svensson","given":"Ann-Marie","non-dropping-particle":"","parse-names":false,"suffix":""},{"dropping-particle":"","family":"Eliasson","given":"Björn","non-dropping-particle":"","parse-names":false,"suffix":""},{"dropping-particle":"","family":"Gudbjörnsdottir","given":"Soffia","non-dropping-particle":"","parse-names":false,"suffix":""}],"container-title":"The Lancet","id":"ITEM-1","issue":"10146","issued":{"date-parts":[["2018","8"]]},"page":"477-486","title":"Excess mortality and cardiovascular disease in young adults with type 1 diabetes in relation to age at onset: a nationwide, register-based cohort study","type":"article-journal","volume":"392"},"uris":["http://www.mendeley.com/documents/?uuid=acbc2edf-c418-41ef-b7ec-a883d651156e","http://www.mendeley.com/documents/?uuid=feb9b3e7-e28b-3af0-97f4-73c639750969"]}],"mendeley":{"formattedCitation":"&lt;sup&gt;12&lt;/sup&gt;","plainTextFormattedCitation":"12","previouslyFormattedCitation":"&lt;sup&gt;12&lt;/sup&gt;"},"properties":{"noteIndex":0},"schema":"https://github.com/citation-style-language/schema/raw/master/csl-citation.json"}</w:instrText>
      </w:r>
      <w:r w:rsidR="00946444" w:rsidRPr="00135762">
        <w:rPr>
          <w:sz w:val="24"/>
          <w:szCs w:val="24"/>
          <w:vertAlign w:val="superscript"/>
        </w:rPr>
        <w:fldChar w:fldCharType="separate"/>
      </w:r>
      <w:r w:rsidR="00705406" w:rsidRPr="00705406">
        <w:rPr>
          <w:noProof/>
          <w:sz w:val="24"/>
          <w:szCs w:val="24"/>
          <w:vertAlign w:val="superscript"/>
        </w:rPr>
        <w:t>12</w:t>
      </w:r>
      <w:r w:rsidR="00946444" w:rsidRPr="00135762">
        <w:rPr>
          <w:sz w:val="24"/>
          <w:szCs w:val="24"/>
        </w:rPr>
        <w:fldChar w:fldCharType="end"/>
      </w:r>
      <w:r w:rsidR="00946444" w:rsidRPr="00135762">
        <w:rPr>
          <w:sz w:val="24"/>
          <w:szCs w:val="24"/>
        </w:rPr>
        <w:t>. These findings have generated considerable concerns for parents and those caring for yo</w:t>
      </w:r>
      <w:r w:rsidR="00AA7F02" w:rsidRPr="00135762">
        <w:rPr>
          <w:sz w:val="24"/>
          <w:szCs w:val="24"/>
        </w:rPr>
        <w:t xml:space="preserve">ung people with </w:t>
      </w:r>
      <w:r w:rsidR="0077694C" w:rsidRPr="00135762">
        <w:rPr>
          <w:sz w:val="24"/>
          <w:szCs w:val="24"/>
        </w:rPr>
        <w:t>T1DM</w:t>
      </w:r>
      <w:r w:rsidR="005D188B" w:rsidRPr="00135762">
        <w:rPr>
          <w:sz w:val="24"/>
          <w:szCs w:val="24"/>
        </w:rPr>
        <w:t xml:space="preserve">. Overall, </w:t>
      </w:r>
      <w:r w:rsidR="00AA7F02" w:rsidRPr="00135762">
        <w:rPr>
          <w:sz w:val="24"/>
          <w:szCs w:val="24"/>
        </w:rPr>
        <w:t>the</w:t>
      </w:r>
      <w:r w:rsidR="0077694C" w:rsidRPr="00135762">
        <w:rPr>
          <w:sz w:val="24"/>
          <w:szCs w:val="24"/>
        </w:rPr>
        <w:t xml:space="preserve"> findings</w:t>
      </w:r>
      <w:r w:rsidR="00AA7F02" w:rsidRPr="00135762">
        <w:rPr>
          <w:sz w:val="24"/>
          <w:szCs w:val="24"/>
        </w:rPr>
        <w:t xml:space="preserve"> reiterate the need for improved methods to identify </w:t>
      </w:r>
      <w:r w:rsidR="0077694C" w:rsidRPr="00135762">
        <w:rPr>
          <w:sz w:val="24"/>
          <w:szCs w:val="24"/>
        </w:rPr>
        <w:t>patients</w:t>
      </w:r>
      <w:r w:rsidR="00AA7F02" w:rsidRPr="00135762">
        <w:rPr>
          <w:sz w:val="24"/>
          <w:szCs w:val="24"/>
        </w:rPr>
        <w:t xml:space="preserve"> at risk of complications as well as for better screening</w:t>
      </w:r>
      <w:r w:rsidR="005A3093" w:rsidRPr="00135762">
        <w:rPr>
          <w:sz w:val="24"/>
          <w:szCs w:val="24"/>
        </w:rPr>
        <w:t xml:space="preserve"> for complications </w:t>
      </w:r>
      <w:r w:rsidR="00AA7F02" w:rsidRPr="00135762">
        <w:rPr>
          <w:sz w:val="24"/>
          <w:szCs w:val="24"/>
        </w:rPr>
        <w:t>and treatment strategies.</w:t>
      </w:r>
      <w:r w:rsidR="00AA7F02" w:rsidRPr="00135762">
        <w:t xml:space="preserve"> </w:t>
      </w:r>
    </w:p>
    <w:p w14:paraId="5174907E" w14:textId="77777777" w:rsidR="007951D3" w:rsidRPr="00135762" w:rsidRDefault="007951D3" w:rsidP="0096161A">
      <w:pPr>
        <w:spacing w:after="0" w:line="360" w:lineRule="auto"/>
        <w:ind w:firstLine="720"/>
        <w:rPr>
          <w:sz w:val="24"/>
          <w:szCs w:val="24"/>
        </w:rPr>
      </w:pPr>
    </w:p>
    <w:p w14:paraId="16A6DFDF" w14:textId="14A93B9A" w:rsidR="0096161A" w:rsidRPr="00135762" w:rsidRDefault="00B5452B" w:rsidP="00706022">
      <w:pPr>
        <w:spacing w:after="0" w:line="360" w:lineRule="auto"/>
        <w:rPr>
          <w:sz w:val="24"/>
          <w:szCs w:val="24"/>
        </w:rPr>
      </w:pPr>
      <w:r w:rsidRPr="00135762">
        <w:rPr>
          <w:sz w:val="24"/>
          <w:szCs w:val="24"/>
        </w:rPr>
        <w:lastRenderedPageBreak/>
        <w:t>In this</w:t>
      </w:r>
      <w:r w:rsidR="00734705" w:rsidRPr="00135762">
        <w:rPr>
          <w:sz w:val="24"/>
          <w:szCs w:val="24"/>
        </w:rPr>
        <w:t xml:space="preserve"> </w:t>
      </w:r>
      <w:r w:rsidR="00E769F5" w:rsidRPr="00135762">
        <w:rPr>
          <w:sz w:val="24"/>
          <w:szCs w:val="24"/>
        </w:rPr>
        <w:t>Perspectives</w:t>
      </w:r>
      <w:r w:rsidRPr="00135762">
        <w:rPr>
          <w:sz w:val="24"/>
          <w:szCs w:val="24"/>
        </w:rPr>
        <w:t>, we</w:t>
      </w:r>
      <w:r w:rsidR="00AA7F02" w:rsidRPr="00135762">
        <w:rPr>
          <w:sz w:val="24"/>
          <w:szCs w:val="24"/>
        </w:rPr>
        <w:t xml:space="preserve"> </w:t>
      </w:r>
      <w:r w:rsidR="00E769F5" w:rsidRPr="00135762">
        <w:rPr>
          <w:sz w:val="24"/>
          <w:szCs w:val="24"/>
        </w:rPr>
        <w:t>discuss</w:t>
      </w:r>
      <w:r w:rsidR="00AA7F02" w:rsidRPr="00135762">
        <w:rPr>
          <w:sz w:val="24"/>
          <w:szCs w:val="24"/>
        </w:rPr>
        <w:t xml:space="preserve"> the </w:t>
      </w:r>
      <w:r w:rsidR="00DE61A6" w:rsidRPr="00135762">
        <w:rPr>
          <w:rFonts w:cs="Arial"/>
          <w:sz w:val="24"/>
          <w:szCs w:val="24"/>
          <w:shd w:val="clear" w:color="auto" w:fill="FFFFFF"/>
        </w:rPr>
        <w:t xml:space="preserve">potential </w:t>
      </w:r>
      <w:r w:rsidR="00E769F5" w:rsidRPr="00135762">
        <w:rPr>
          <w:rFonts w:cs="Arial"/>
          <w:sz w:val="24"/>
          <w:szCs w:val="24"/>
          <w:shd w:val="clear" w:color="auto" w:fill="FFFFFF"/>
        </w:rPr>
        <w:t>effect</w:t>
      </w:r>
      <w:r w:rsidR="00DE61A6" w:rsidRPr="00135762">
        <w:rPr>
          <w:rFonts w:cs="Arial"/>
          <w:sz w:val="24"/>
          <w:szCs w:val="24"/>
          <w:shd w:val="clear" w:color="auto" w:fill="FFFFFF"/>
        </w:rPr>
        <w:t xml:space="preserve"> of </w:t>
      </w:r>
      <w:r w:rsidR="00734705" w:rsidRPr="00135762">
        <w:rPr>
          <w:rFonts w:cs="Arial"/>
          <w:sz w:val="24"/>
          <w:szCs w:val="24"/>
          <w:shd w:val="clear" w:color="auto" w:fill="FFFFFF"/>
        </w:rPr>
        <w:t>recent</w:t>
      </w:r>
      <w:r w:rsidR="00F96BE4" w:rsidRPr="00135762">
        <w:rPr>
          <w:rFonts w:cs="Arial"/>
          <w:sz w:val="24"/>
          <w:szCs w:val="24"/>
          <w:shd w:val="clear" w:color="auto" w:fill="FFFFFF"/>
        </w:rPr>
        <w:t xml:space="preserve"> </w:t>
      </w:r>
      <w:r w:rsidR="00734705" w:rsidRPr="00135762">
        <w:rPr>
          <w:rFonts w:cs="Arial"/>
          <w:sz w:val="24"/>
          <w:szCs w:val="24"/>
          <w:shd w:val="clear" w:color="auto" w:fill="FFFFFF"/>
        </w:rPr>
        <w:t xml:space="preserve">findings </w:t>
      </w:r>
      <w:r w:rsidR="00291A57" w:rsidRPr="00135762">
        <w:rPr>
          <w:rFonts w:cs="Arial"/>
          <w:sz w:val="24"/>
          <w:szCs w:val="24"/>
          <w:shd w:val="clear" w:color="auto" w:fill="FFFFFF"/>
        </w:rPr>
        <w:t>(between 200</w:t>
      </w:r>
      <w:r w:rsidR="00572DE2">
        <w:rPr>
          <w:rFonts w:cs="Arial"/>
          <w:sz w:val="24"/>
          <w:szCs w:val="24"/>
          <w:shd w:val="clear" w:color="auto" w:fill="FFFFFF"/>
        </w:rPr>
        <w:t>9</w:t>
      </w:r>
      <w:r w:rsidR="00291A57" w:rsidRPr="00135762">
        <w:rPr>
          <w:rFonts w:cs="Arial"/>
          <w:sz w:val="24"/>
          <w:szCs w:val="24"/>
          <w:shd w:val="clear" w:color="auto" w:fill="FFFFFF"/>
        </w:rPr>
        <w:t xml:space="preserve"> and 2018) </w:t>
      </w:r>
      <w:r w:rsidR="002A2DB7" w:rsidRPr="00135762">
        <w:rPr>
          <w:rFonts w:cs="Arial"/>
          <w:sz w:val="24"/>
          <w:szCs w:val="24"/>
          <w:shd w:val="clear" w:color="auto" w:fill="FFFFFF"/>
        </w:rPr>
        <w:t xml:space="preserve">from cohorts of adolescents with </w:t>
      </w:r>
      <w:r w:rsidR="00E409E1" w:rsidRPr="00135762">
        <w:rPr>
          <w:rFonts w:cs="Arial"/>
          <w:sz w:val="24"/>
          <w:szCs w:val="24"/>
          <w:shd w:val="clear" w:color="auto" w:fill="FFFFFF"/>
        </w:rPr>
        <w:t>T1DM</w:t>
      </w:r>
      <w:r w:rsidR="00DE61A6" w:rsidRPr="00135762">
        <w:rPr>
          <w:rFonts w:cs="Arial"/>
          <w:sz w:val="24"/>
          <w:szCs w:val="24"/>
          <w:shd w:val="clear" w:color="auto" w:fill="FFFFFF"/>
        </w:rPr>
        <w:t>,</w:t>
      </w:r>
      <w:r w:rsidR="002A2DB7" w:rsidRPr="00135762">
        <w:rPr>
          <w:rFonts w:cs="Arial"/>
          <w:sz w:val="24"/>
          <w:szCs w:val="24"/>
          <w:shd w:val="clear" w:color="auto" w:fill="FFFFFF"/>
        </w:rPr>
        <w:t xml:space="preserve"> on the role of urinary albumin excretion as a predictor of vascular complications</w:t>
      </w:r>
      <w:r w:rsidR="00611D33" w:rsidRPr="00135762">
        <w:rPr>
          <w:rFonts w:cs="Arial"/>
          <w:sz w:val="24"/>
          <w:szCs w:val="24"/>
          <w:shd w:val="clear" w:color="auto" w:fill="FFFFFF"/>
        </w:rPr>
        <w:t>. We then propose a new framework for patient risk stratification that is based on monitoring ACR, HbA</w:t>
      </w:r>
      <w:r w:rsidR="00611D33" w:rsidRPr="00135762">
        <w:rPr>
          <w:rFonts w:cs="Arial"/>
          <w:sz w:val="24"/>
          <w:szCs w:val="24"/>
          <w:shd w:val="clear" w:color="auto" w:fill="FFFFFF"/>
          <w:vertAlign w:val="subscript"/>
        </w:rPr>
        <w:t>1c</w:t>
      </w:r>
      <w:r w:rsidR="00611D33" w:rsidRPr="00135762">
        <w:rPr>
          <w:rFonts w:cs="Arial"/>
          <w:sz w:val="24"/>
          <w:szCs w:val="24"/>
          <w:shd w:val="clear" w:color="auto" w:fill="FFFFFF"/>
        </w:rPr>
        <w:t xml:space="preserve"> levels and other risk factors</w:t>
      </w:r>
      <w:r w:rsidR="00DE61A6" w:rsidRPr="00135762">
        <w:rPr>
          <w:rFonts w:cs="Arial"/>
          <w:sz w:val="24"/>
          <w:szCs w:val="24"/>
          <w:shd w:val="clear" w:color="auto" w:fill="FFFFFF"/>
        </w:rPr>
        <w:t>,</w:t>
      </w:r>
      <w:r w:rsidR="002A2DB7" w:rsidRPr="00135762">
        <w:rPr>
          <w:rFonts w:cs="Arial"/>
          <w:sz w:val="24"/>
          <w:szCs w:val="24"/>
          <w:shd w:val="clear" w:color="auto" w:fill="FFFFFF"/>
        </w:rPr>
        <w:t xml:space="preserve"> </w:t>
      </w:r>
      <w:r w:rsidR="00AA7F02" w:rsidRPr="00135762">
        <w:rPr>
          <w:rFonts w:cs="Arial"/>
          <w:sz w:val="24"/>
          <w:szCs w:val="24"/>
          <w:shd w:val="clear" w:color="auto" w:fill="FFFFFF"/>
        </w:rPr>
        <w:t xml:space="preserve">to guide </w:t>
      </w:r>
      <w:r w:rsidR="00734705" w:rsidRPr="00135762">
        <w:rPr>
          <w:rFonts w:cs="Arial"/>
          <w:sz w:val="24"/>
          <w:szCs w:val="24"/>
          <w:shd w:val="clear" w:color="auto" w:fill="FFFFFF"/>
        </w:rPr>
        <w:t>future recommendations for screening and interventions.</w:t>
      </w:r>
    </w:p>
    <w:p w14:paraId="208E5FC9" w14:textId="77777777" w:rsidR="0096161A" w:rsidRPr="00135762" w:rsidRDefault="0096161A" w:rsidP="0096161A">
      <w:pPr>
        <w:spacing w:after="0" w:line="360" w:lineRule="auto"/>
        <w:rPr>
          <w:sz w:val="24"/>
          <w:szCs w:val="24"/>
        </w:rPr>
      </w:pPr>
    </w:p>
    <w:p w14:paraId="1A2A8E52" w14:textId="6F2AB4F5" w:rsidR="00693189" w:rsidRPr="00135762" w:rsidRDefault="002C4EED" w:rsidP="0096161A">
      <w:pPr>
        <w:spacing w:after="0" w:line="360" w:lineRule="auto"/>
        <w:rPr>
          <w:rFonts w:cstheme="minorHAnsi"/>
          <w:b/>
        </w:rPr>
      </w:pPr>
      <w:r w:rsidRPr="00135762">
        <w:rPr>
          <w:rFonts w:cstheme="minorHAnsi"/>
          <w:b/>
          <w:sz w:val="24"/>
        </w:rPr>
        <w:t>G</w:t>
      </w:r>
      <w:r w:rsidR="00DB0D97" w:rsidRPr="00135762">
        <w:rPr>
          <w:rFonts w:cstheme="minorHAnsi"/>
          <w:b/>
          <w:sz w:val="24"/>
        </w:rPr>
        <w:t>lycaemic</w:t>
      </w:r>
      <w:r w:rsidR="00992CDB" w:rsidRPr="00135762">
        <w:rPr>
          <w:rFonts w:cstheme="minorHAnsi"/>
          <w:b/>
          <w:sz w:val="24"/>
        </w:rPr>
        <w:t xml:space="preserve"> control</w:t>
      </w:r>
      <w:r w:rsidR="007B5715">
        <w:rPr>
          <w:rFonts w:cstheme="minorHAnsi"/>
          <w:b/>
          <w:sz w:val="24"/>
        </w:rPr>
        <w:t xml:space="preserve"> </w:t>
      </w:r>
    </w:p>
    <w:p w14:paraId="0F69DA0C" w14:textId="6D615A6E" w:rsidR="003827EB" w:rsidRPr="00135762" w:rsidRDefault="003827EB" w:rsidP="00C26D22">
      <w:pPr>
        <w:spacing w:after="0" w:line="360" w:lineRule="auto"/>
        <w:rPr>
          <w:rFonts w:cs="BbxkgkAdvTT3713a231"/>
          <w:color w:val="131413"/>
          <w:sz w:val="24"/>
          <w:szCs w:val="24"/>
        </w:rPr>
      </w:pPr>
      <w:r w:rsidRPr="00135762">
        <w:rPr>
          <w:rFonts w:cs="BbxkgkAdvTT3713a231"/>
          <w:i/>
          <w:color w:val="131413"/>
          <w:sz w:val="24"/>
          <w:szCs w:val="24"/>
        </w:rPr>
        <w:t>The risk of vascular complications.</w:t>
      </w:r>
      <w:r w:rsidRPr="00135762">
        <w:rPr>
          <w:rFonts w:cs="BbxkgkAdvTT3713a231"/>
          <w:color w:val="131413"/>
          <w:sz w:val="24"/>
          <w:szCs w:val="24"/>
        </w:rPr>
        <w:t xml:space="preserve"> </w:t>
      </w:r>
    </w:p>
    <w:p w14:paraId="5FBF01C6" w14:textId="43C50661" w:rsidR="00891C82" w:rsidRPr="00135762" w:rsidRDefault="00610D92" w:rsidP="00C26D22">
      <w:pPr>
        <w:spacing w:after="0" w:line="360" w:lineRule="auto"/>
        <w:rPr>
          <w:rFonts w:cs="Arial"/>
          <w:sz w:val="24"/>
          <w:szCs w:val="24"/>
        </w:rPr>
      </w:pPr>
      <w:r>
        <w:rPr>
          <w:rFonts w:cs="BbxkgkAdvTT3713a231"/>
          <w:color w:val="131413"/>
          <w:sz w:val="24"/>
          <w:szCs w:val="24"/>
        </w:rPr>
        <w:t>A</w:t>
      </w:r>
      <w:r w:rsidR="00C26D22" w:rsidRPr="00135762">
        <w:rPr>
          <w:rFonts w:eastAsia="Times New Roman" w:cs="Arial"/>
          <w:color w:val="000000"/>
          <w:sz w:val="24"/>
          <w:szCs w:val="24"/>
          <w:lang w:eastAsia="en-GB"/>
        </w:rPr>
        <w:t>dolescence</w:t>
      </w:r>
      <w:r w:rsidR="00F96BE4" w:rsidRPr="00135762">
        <w:rPr>
          <w:rFonts w:eastAsia="Times New Roman" w:cs="Arial"/>
          <w:color w:val="000000"/>
          <w:sz w:val="24"/>
          <w:szCs w:val="24"/>
          <w:lang w:eastAsia="en-GB"/>
        </w:rPr>
        <w:t xml:space="preserve"> </w:t>
      </w:r>
      <w:r w:rsidR="00C26D22" w:rsidRPr="00135762">
        <w:rPr>
          <w:rFonts w:eastAsia="Times New Roman" w:cs="Arial"/>
          <w:color w:val="000000"/>
          <w:sz w:val="24"/>
          <w:szCs w:val="24"/>
          <w:lang w:eastAsia="en-GB"/>
        </w:rPr>
        <w:t xml:space="preserve">is a </w:t>
      </w:r>
      <w:r w:rsidR="002879A5" w:rsidRPr="00135762">
        <w:rPr>
          <w:rFonts w:eastAsia="Times New Roman" w:cs="Arial"/>
          <w:color w:val="000000"/>
          <w:sz w:val="24"/>
          <w:szCs w:val="24"/>
          <w:lang w:eastAsia="en-GB"/>
        </w:rPr>
        <w:t xml:space="preserve">high risk </w:t>
      </w:r>
      <w:r w:rsidR="00C26D22" w:rsidRPr="00135762">
        <w:rPr>
          <w:rFonts w:eastAsia="Times New Roman" w:cs="Arial"/>
          <w:color w:val="000000"/>
          <w:sz w:val="24"/>
          <w:szCs w:val="24"/>
          <w:lang w:eastAsia="en-GB"/>
        </w:rPr>
        <w:t>period</w:t>
      </w:r>
      <w:r w:rsidR="00F96BE4" w:rsidRPr="00135762">
        <w:rPr>
          <w:rFonts w:eastAsia="Times New Roman" w:cs="Arial"/>
          <w:color w:val="000000"/>
          <w:sz w:val="24"/>
          <w:szCs w:val="24"/>
          <w:lang w:eastAsia="en-GB"/>
        </w:rPr>
        <w:t xml:space="preserve"> </w:t>
      </w:r>
      <w:r w:rsidR="00C26D22" w:rsidRPr="00135762">
        <w:rPr>
          <w:rFonts w:eastAsia="Times New Roman" w:cs="Arial"/>
          <w:color w:val="000000"/>
          <w:sz w:val="24"/>
          <w:szCs w:val="24"/>
          <w:lang w:eastAsia="en-GB"/>
        </w:rPr>
        <w:t>for</w:t>
      </w:r>
      <w:r w:rsidR="006D4E71" w:rsidRPr="00135762">
        <w:rPr>
          <w:rFonts w:eastAsia="Times New Roman" w:cs="Arial"/>
          <w:color w:val="000000"/>
          <w:sz w:val="24"/>
          <w:szCs w:val="24"/>
          <w:lang w:eastAsia="en-GB"/>
        </w:rPr>
        <w:t xml:space="preserve"> the</w:t>
      </w:r>
      <w:r w:rsidR="00C26D22" w:rsidRPr="00135762">
        <w:rPr>
          <w:rFonts w:eastAsia="Times New Roman" w:cs="Arial"/>
          <w:color w:val="000000"/>
          <w:sz w:val="24"/>
          <w:szCs w:val="24"/>
          <w:lang w:eastAsia="en-GB"/>
        </w:rPr>
        <w:t xml:space="preserve"> development of complications</w:t>
      </w:r>
      <w:r w:rsidR="002879A5" w:rsidRPr="00135762">
        <w:rPr>
          <w:rFonts w:eastAsia="Times New Roman" w:cs="Arial"/>
          <w:color w:val="000000"/>
          <w:sz w:val="24"/>
          <w:szCs w:val="24"/>
          <w:lang w:eastAsia="en-GB"/>
        </w:rPr>
        <w:t xml:space="preserve"> of T1DM</w:t>
      </w:r>
      <w:r w:rsidR="00C26D22" w:rsidRPr="00135762">
        <w:rPr>
          <w:rFonts w:eastAsia="Times New Roman" w:cs="Arial"/>
          <w:color w:val="000000"/>
          <w:sz w:val="24"/>
          <w:szCs w:val="24"/>
          <w:lang w:eastAsia="en-GB"/>
        </w:rPr>
        <w:t xml:space="preserve">, as optimal </w:t>
      </w:r>
      <w:r w:rsidR="002B103B" w:rsidRPr="00135762">
        <w:rPr>
          <w:rFonts w:eastAsia="Times New Roman" w:cs="Arial"/>
          <w:color w:val="000000"/>
          <w:sz w:val="24"/>
          <w:szCs w:val="24"/>
          <w:lang w:eastAsia="en-GB"/>
        </w:rPr>
        <w:t>glycaemic</w:t>
      </w:r>
      <w:r w:rsidR="00C26D22" w:rsidRPr="00135762">
        <w:rPr>
          <w:rFonts w:eastAsia="Times New Roman" w:cs="Arial"/>
          <w:color w:val="000000"/>
          <w:sz w:val="24"/>
          <w:szCs w:val="24"/>
          <w:lang w:eastAsia="en-GB"/>
        </w:rPr>
        <w:t xml:space="preserve"> control is difficult to achieve</w:t>
      </w:r>
      <w:r w:rsidR="005C634B" w:rsidRPr="00135762">
        <w:rPr>
          <w:rFonts w:eastAsia="Times New Roman" w:cs="Arial"/>
          <w:color w:val="000000"/>
          <w:sz w:val="24"/>
          <w:szCs w:val="24"/>
          <w:lang w:eastAsia="en-GB"/>
        </w:rPr>
        <w:t>, due to the effect of hormonal changes and psycho</w:t>
      </w:r>
      <w:r w:rsidR="005A000B" w:rsidRPr="00135762">
        <w:rPr>
          <w:rFonts w:eastAsia="Times New Roman" w:cs="Arial"/>
          <w:color w:val="000000"/>
          <w:sz w:val="24"/>
          <w:szCs w:val="24"/>
          <w:lang w:eastAsia="en-GB"/>
        </w:rPr>
        <w:t>-</w:t>
      </w:r>
      <w:r w:rsidR="005C634B" w:rsidRPr="00135762">
        <w:rPr>
          <w:rFonts w:eastAsia="Times New Roman" w:cs="Arial"/>
          <w:color w:val="000000"/>
          <w:sz w:val="24"/>
          <w:szCs w:val="24"/>
          <w:lang w:eastAsia="en-GB"/>
        </w:rPr>
        <w:t>social factors</w:t>
      </w:r>
      <w:r w:rsidR="00443B07" w:rsidRPr="00135762">
        <w:rPr>
          <w:bCs/>
          <w:sz w:val="24"/>
          <w:szCs w:val="24"/>
        </w:rPr>
        <w:fldChar w:fldCharType="begin" w:fldLock="1"/>
      </w:r>
      <w:r w:rsidR="008736A2">
        <w:rPr>
          <w:bCs/>
          <w:sz w:val="24"/>
          <w:szCs w:val="24"/>
        </w:rPr>
        <w:instrText>ADDIN CSL_CITATION {"citationItems":[{"id":"ITEM-1","itemData":{"DOI":"10.1016/S0140-6736(15)60971-0","ISSN":"01406736","PMID":"26009230","abstract":"Diabetes is one of the most common chronic medical disorders in children. The management of diabetes remains a substantial burden on children with diabetes and their families, despite improvements in treatment and rates of morbidity and mortality. Although most children with diabetes have type 1 diabetes, the increasing recognition of type 2 diabetes and genetic forms of diabetes in the paediatric population has important treatment implications. Diabetes therapy focuses strongly on targets for good metabolic control to reduce the risk of long-term complications. A parallel goal is to minimise short-term complications of hypoglycaemia and diabetic ketoacidosis. Technology offers opportunity for improvement in care, but has not yet fully lived up to its potential. New insights into the pathogenesis of diabetes and the development of new therapies have led to clinical trials aimed at the prevention of diabetes.","author":[{"dropping-particle":"","family":"Cameron","given":"Fergus J","non-dropping-particle":"","parse-names":false,"suffix":""},{"dropping-particle":"","family":"Wherrett","given":"Diane K","non-dropping-particle":"","parse-names":false,"suffix":""}],"container-title":"The Lancet","id":"ITEM-1","issue":"9982","issued":{"date-parts":[["2015","5","23"]]},"page":"2096-2106","title":"Care of diabetes in children and adolescents: controversies, changes, and consensus","type":"article-journal","volume":"385"},"uris":["http://www.mendeley.com/documents/?uuid=8d89504f-abe2-3df2-bb04-333235a64bc2"]},{"id":"ITEM-2","itemData":{"DOI":"10.1111/pedi.12702","ISSN":"1399543X","PMID":"29900653","author":[{"dropping-particle":"","family":"Cameron","given":"Fergus J.","non-dropping-particle":"","parse-names":false,"suffix":""},{"dropping-particle":"","family":"Garvey","given":"Katharine","non-dropping-particle":"","parse-names":false,"suffix":""},{"dropping-particle":"","family":"Hood","given":"Korey K.","non-dropping-particle":"","parse-names":false,"suffix":""},{"dropping-particle":"","family":"Acerini","given":"Carlo L.","non-dropping-particle":"","parse-names":false,"suffix":""},{"dropping-particle":"","family":"Codner","given":"Ethel","non-dropping-particle":"","parse-names":false,"suffix":""}],"container-title":"Pediatric Diabetes","id":"ITEM-2","issued":{"date-parts":[["2018","10"]]},"page":"250-261","title":"ISPAD Clinical Practice Consensus Guidelines 2018: Diabetes in adolescence","type":"article-journal","volume":"19"},"uris":["http://www.mendeley.com/documents/?uuid=87753b91-744f-3fb0-8fe8-9551d3618fd7"]}],"mendeley":{"formattedCitation":"&lt;sup&gt;13,14&lt;/sup&gt;","plainTextFormattedCitation":"13,14","previouslyFormattedCitation":"&lt;sup&gt;13,14&lt;/sup&gt;"},"properties":{"noteIndex":0},"schema":"https://github.com/citation-style-language/schema/raw/master/csl-citation.json"}</w:instrText>
      </w:r>
      <w:r w:rsidR="00443B07" w:rsidRPr="00135762">
        <w:rPr>
          <w:bCs/>
          <w:sz w:val="24"/>
          <w:szCs w:val="24"/>
          <w:vertAlign w:val="superscript"/>
        </w:rPr>
        <w:fldChar w:fldCharType="separate"/>
      </w:r>
      <w:r w:rsidR="00705406" w:rsidRPr="00705406">
        <w:rPr>
          <w:bCs/>
          <w:noProof/>
          <w:sz w:val="24"/>
          <w:szCs w:val="24"/>
          <w:vertAlign w:val="superscript"/>
        </w:rPr>
        <w:t>13,14</w:t>
      </w:r>
      <w:r w:rsidR="00443B07" w:rsidRPr="00135762">
        <w:rPr>
          <w:bCs/>
          <w:sz w:val="24"/>
          <w:szCs w:val="24"/>
        </w:rPr>
        <w:fldChar w:fldCharType="end"/>
      </w:r>
      <w:r w:rsidR="00C26D22" w:rsidRPr="00135762">
        <w:rPr>
          <w:rFonts w:eastAsia="Times New Roman" w:cs="Arial"/>
          <w:color w:val="000000"/>
          <w:sz w:val="24"/>
          <w:szCs w:val="24"/>
          <w:lang w:eastAsia="en-GB"/>
        </w:rPr>
        <w:t xml:space="preserve">. </w:t>
      </w:r>
      <w:r w:rsidR="000F030A" w:rsidRPr="00135762">
        <w:rPr>
          <w:bCs/>
          <w:sz w:val="24"/>
          <w:szCs w:val="24"/>
        </w:rPr>
        <w:t>T</w:t>
      </w:r>
      <w:r w:rsidR="00C26D22" w:rsidRPr="00135762">
        <w:rPr>
          <w:bCs/>
          <w:sz w:val="24"/>
          <w:szCs w:val="24"/>
        </w:rPr>
        <w:t>he first signs of vascular complications appear</w:t>
      </w:r>
      <w:r w:rsidR="008F2C5F" w:rsidRPr="00135762">
        <w:rPr>
          <w:bCs/>
          <w:sz w:val="24"/>
          <w:szCs w:val="24"/>
        </w:rPr>
        <w:t xml:space="preserve"> during adolescence</w:t>
      </w:r>
      <w:r w:rsidR="00C26D22" w:rsidRPr="00135762">
        <w:rPr>
          <w:rFonts w:cs="Arial"/>
          <w:sz w:val="24"/>
          <w:szCs w:val="24"/>
        </w:rPr>
        <w:t xml:space="preserve"> </w:t>
      </w:r>
      <w:r w:rsidR="00531BD3" w:rsidRPr="00135762">
        <w:rPr>
          <w:rFonts w:cs="Arial"/>
          <w:sz w:val="24"/>
          <w:szCs w:val="24"/>
        </w:rPr>
        <w:t>and subclinical manifestations are common,</w:t>
      </w:r>
      <w:r w:rsidR="00C26D22" w:rsidRPr="00135762">
        <w:rPr>
          <w:rFonts w:cs="Arial"/>
          <w:sz w:val="24"/>
          <w:szCs w:val="24"/>
        </w:rPr>
        <w:t xml:space="preserve"> </w:t>
      </w:r>
      <w:r w:rsidR="00531BD3" w:rsidRPr="00135762">
        <w:rPr>
          <w:rFonts w:cs="Arial"/>
          <w:sz w:val="24"/>
          <w:szCs w:val="24"/>
        </w:rPr>
        <w:t>however,</w:t>
      </w:r>
      <w:r w:rsidR="00C26D22" w:rsidRPr="00135762">
        <w:rPr>
          <w:rFonts w:cs="Arial"/>
          <w:sz w:val="24"/>
          <w:szCs w:val="24"/>
        </w:rPr>
        <w:t xml:space="preserve"> hard endpoints, such as overt proteinuria, proliferative retinopathy or cardiovascular events are rare</w:t>
      </w:r>
      <w:r w:rsidR="009C06A3" w:rsidRPr="00135762">
        <w:rPr>
          <w:bCs/>
          <w:sz w:val="24"/>
          <w:szCs w:val="24"/>
        </w:rPr>
        <w:fldChar w:fldCharType="begin" w:fldLock="1"/>
      </w:r>
      <w:r w:rsidR="008736A2">
        <w:rPr>
          <w:bCs/>
          <w:sz w:val="24"/>
          <w:szCs w:val="24"/>
        </w:rPr>
        <w:instrText>ADDIN CSL_CITATION {"citationItems":[{"id":"ITEM-1","itemData":{"DOI":"10.1111/j.1399-5448.2009.00510.x","ISSN":"1399543X 13995448","author":[{"dropping-particle":"","family":"Marcovecchio","given":"M.L.","non-dropping-particle":"","parse-names":false,"suffix":""},{"dropping-particle":"","family":"Tossavainen","given":"P.H.","non-dropping-particle":"","parse-names":false,"suffix":""},{"dropping-particle":"","family":"Dunger","given":"D.B.","non-dropping-particle":"","parse-names":false,"suffix":""}],"container-title":"Pediatric Diabetes","id":"ITEM-1","issue":"5","issued":{"date-parts":[["2009"]]},"page":"347-355","title":"Status and rationale of renoprotection studies in adolescents with type 1 diabetes","type":"article-journal","volume":"10"},"uris":["http://www.mendeley.com/documents/?uuid=ca77f546-585e-3069-acc9-8f406235bdc7"]},{"id":"ITEM-2","itemData":{"DOI":"10.1016/S2352-4642(18)30309-2","ISSN":"23524642","PMID":"30409691","abstract":"BACKGROUND One in three adolescents and young adults with type 1 diabetes have at least one early diabetes-related complication or comorbidity. We aimed to examine the prevalence and pattern of co-occurring complications in this population, as well as the related risk factors. METHODS This observational cohort study includes data from individuals diagnosed with type 1 diabetes before age 20 years who participated in the SEARCH for Diabetes in Youth Study across five sites in the USA. We assessed sociodemographic and metabolic risk factors at baseline and at follow-up, and diabetes complications at follow-up. A frequency analysis was done to examine the difference in observed versus expected prevalence (calculated using a contingency table assuming independence across cells) of co-occurring complications or comorbidities. A cluster analysis was done to identify unique clusters of participants based on demographic characteristics and metabolic risk factors. FINDINGS 1327 participants who completed the follow-up visit were included in the frequency analysis. The mean age was 10·1 (SD 3·9) years at the time of type 1 diabetes diagnosis and 18·0 (4·1) years at follow-up. At a mean diabetes duration of 7·8 [SD 1·9] years, co-occurrence of any two or more complications was observed in 78 (5·9%) participants, more frequently than expected by chance alone (58 [4·4%], p=0·015). Specifically, the complications that co-occurred more frequently than expected were retinopathy and diabetic kidney disease (11 [0·8%] vs three [0·2%]; p=0·0007), retinopathy and arterial stiffness (13 [1·0%] vs four [0·3%]; p=0·0016), and arterial stiffness and cardiovascular autonomic neuropathy (24 [1·8%] vs 13 [1·0%]; p=0·015). We identified four unique clusters characterised by progressively worsening metabolic risk factor profiles (longer duration of diabetes and higher glycated haemoglobin, non-HDL cholesterol, and waist-to-height ratio). The prevalence of at least two complications increased across the clusters (six [2·3%] of 261 in the low-risk cluster, 32 [6·3%] of 509 in the moderate-risk cluster, 28 [8%] of 348 in the high-risk cluster, and five [20·8%] of 24 in the highest-risk cluster). Compared with the low-risk and moderate-risk clusters, the high-risk and highest-risk clusters were characterised by a lower proportion of participants who were non-Hispanic white, and a higher proportion of participants who had a household income below US$50 000 and did not have private healt…","author":[{"dropping-particle":"","family":"Sauder","given":"Katherine A","non-dropping-particle":"","parse-names":false,"suffix":""},{"dropping-particle":"","family":"Stafford","given":"Jeanette M","non-dropping-particle":"","parse-names":false,"suffix":""},{"dropping-particle":"","family":"Mayer-Davis","given":"Elizabeth J","non-dropping-particle":"","parse-names":false,"suffix":""},{"dropping-particle":"","family":"Jensen","given":"Elizabeth T","non-dropping-particle":"","parse-names":false,"suffix":""},{"dropping-particle":"","family":"Saydah","given":"Sharon","non-dropping-particle":"","parse-names":false,"suffix":""},{"dropping-particle":"","family":"Mottl","given":"Amy","non-dropping-particle":"","parse-names":false,"suffix":""},{"dropping-particle":"","family":"Dolan","given":"Lawrence M","non-dropping-particle":"","parse-names":false,"suffix":""},{"dropping-particle":"","family":"Hamman","given":"Richard F","non-dropping-particle":"","parse-names":false,"suffix":""},{"dropping-particle":"","family":"Lawrence","given":"Jean M","non-dropping-particle":"","parse-names":false,"suffix":""},{"dropping-particle":"","family":"Pihoker","given":"Catherine","non-dropping-particle":"","parse-names":false,"suffix":""},{"dropping-particle":"","family":"Marcovina","given":"Santica","non-dropping-particle":"","parse-names":false,"suffix":""},{"dropping-particle":"","family":"D'Agostino","given":"Ralph B","non-dropping-particle":"","parse-names":false,"suffix":""},{"dropping-particle":"","family":"Dabelea","given":"Dana","non-dropping-particle":"","parse-names":false,"suffix":""},{"dropping-particle":"","family":"Afkarian","given":"Maryam","non-dropping-particle":"","parse-names":false,"suffix":""},{"dropping-particle":"","family":"Amrhein","given":"James","non-dropping-particle":"","parse-names":false,"suffix":""},{"dropping-particle":"","family":"Beauregard","given":"Natalie","non-dropping-particle":"","parse-names":false,"suffix":""},{"dropping-particle":"","family":"Bell","given":"Ronny","non-dropping-particle":"","parse-names":false,"suffix":""},{"dropping-particle":"","family":"Bellatorre","given":"Anna","non-dropping-particle":"","parse-names":false,"suffix":""},{"dropping-particle":"","family":"Bloch","given":"Clifford A.","non-dropping-particle":"","parse-names":false,"suffix":""},{"dropping-particle":"","family":"Bowlby","given":"Deborah","non-dropping-particle":"","parse-names":false,"suffix":""},{"dropping-particle":"","family":"D'Agostino","given":"Ralph","non-dropping-particle":"","parse-names":false,"suffix":""},{"dropping-particle":"","family":"Dabelea","given":"Dana","non-dropping-particle":"","parse-names":false,"suffix":""},{"dropping-particle":"","family":"Daniels","given":"Stephen","non-dropping-particle":"","parse-names":false,"suffix":""},{"dropping-particle":"","family":"Divers","given":"Jasmin","non-dropping-particle":"","parse-names":false,"suffix":""},{"dropping-particle":"","family":"Dolan","given":"Lawrence M.","non-dropping-particle":"","parse-names":false,"suffix":""},{"dropping-particle":"","family":"Gaur","given":"Vinod P.","non-dropping-particle":"","parse-names":false,"suffix":""},{"dropping-particle":"","family":"Goldstein","given":"Maureen T.","non-dropping-particle":"","parse-names":false,"suffix":""},{"dropping-particle":"","family":"Greenbaum","given":"Carla","non-dropping-particle":"","parse-names":false,"suffix":""},{"dropping-particle":"","family":"Hamman","given":"Richard F.","non-dropping-particle":"","parse-names":false,"suffix":""},{"dropping-particle":"","family":"Harting","given":"Jessica","non-dropping-particle":"","parse-names":false,"suffix":""},{"dropping-particle":"","family":"Henkin","given":"Leora","non-dropping-particle":"","parse-names":false,"suffix":""},{"dropping-particle":"","family":"Hirsch","given":"Irl","non-dropping-particle":"","parse-names":false,"suffix":""},{"dropping-particle":"","family":"Holmquist","given":"Kim","non-dropping-particle":"","parse-names":false,"suffix":""},{"dropping-particle":"","family":"Imperatore","given":"Giuseppina","non-dropping-particle":"","parse-names":false,"suffix":""},{"dropping-particle":"","family":"Isom","given":"Scott","non-dropping-particle":"","parse-names":false,"suffix":""},{"dropping-particle":"","family":"Jackson","given":"Malaka","non-dropping-particle":"","parse-names":false,"suffix":""},{"dropping-particle":"","family":"Kahn","given":"Michael G.","non-dropping-particle":"","parse-names":false,"suffix":""},{"dropping-particle":"","family":"Kearns","given":"Sue","non-dropping-particle":"","parse-names":false,"suffix":""},{"dropping-particle":"","family":"Kim","given":"Grace","non-dropping-particle":"","parse-names":false,"suffix":""},{"dropping-particle":"","family":"Klingensmith","given":"Georgeanna J.","non-dropping-particle":"","parse-names":false,"suffix":""},{"dropping-particle":"","family":"Klingsheim","given":"Mary","non-dropping-particle":"","parse-names":false,"suffix":""},{"dropping-particle":"","family":"Knight","given":"Lisa","non-dropping-particle":"","parse-names":false,"suffix":""},{"dropping-particle":"","family":"Koebnick","given":"Corinna","non-dropping-particle":"","parse-names":false,"suffix":""},{"dropping-particle":"","family":"Lawrence","given":"Jean M.","non-dropping-particle":"","parse-names":false,"suffix":""},{"dropping-particle":"","family":"Li","given":"Xia","non-dropping-particle":"","parse-names":false,"suffix":""},{"dropping-particle":"","family":"Liese","given":"Angela D.","non-dropping-particle":"","parse-names":false,"suffix":""},{"dropping-particle":"","family":"Linder","given":"Barbara","non-dropping-particle":"","parse-names":false,"suffix":""},{"dropping-particle":"","family":"Liu","given":"Lenna L.","non-dropping-particle":"","parse-names":false,"suffix":""},{"dropping-particle":"","family":"Loots","given":"Beth","non-dropping-particle":"","parse-names":false,"suffix":""},{"dropping-particle":"","family":"Love-Osborne","given":"Kathy","non-dropping-particle":"","parse-names":false,"suffix":""},{"dropping-particle":"","family":"Maahs","given":"David","non-dropping-particle":"","parse-names":false,"suffix":""},{"dropping-particle":"","family":"Marcovina","given":"Santica M.","non-dropping-particle":"","parse-names":false,"suffix":""},{"dropping-particle":"","family":"Mayer-Davis","given":"Elizabeth J.","non-dropping-particle":"","parse-names":false,"suffix":""},{"dropping-particle":"","family":"Merchant","given":"Anwar","non-dropping-particle":"","parse-names":false,"suffix":""},{"dropping-particle":"","family":"Merjaneh","given":"Lina","non-dropping-particle":"","parse-names":false,"suffix":""},{"dropping-particle":"","family":"Morgan","given":"Timothy","non-dropping-particle":"","parse-names":false,"suffix":""},{"dropping-particle":"","family":"Mottl","given":"Amy","non-dropping-particle":"","parse-names":false,"suffix":""},{"dropping-particle":"","family":"Nandi-Munshi","given":"Debika","non-dropping-particle":"","parse-names":false,"suffix":""},{"dropping-particle":"","family":"Neff","given":"John","non-dropping-particle":"","parse-names":false,"suffix":""},{"dropping-particle":"","family":"Nelson","given":"Bryce","non-dropping-particle":"","parse-names":false,"suffix":""},{"dropping-particle":"","family":"Pascual","given":"Michael","non-dropping-particle":"","parse-names":false,"suffix":""},{"dropping-particle":"","family":"Pettitt","given":"David J.","non-dropping-particle":"","parse-names":false,"suffix":""},{"dropping-particle":"","family":"Pierce","given":"June","non-dropping-particle":"","parse-names":false,"suffix":""},{"dropping-particle":"","family":"Pihoker","given":"Catherine","non-dropping-particle":"","parse-names":false,"suffix":""},{"dropping-particle":"","family":"Powell","given":"Jeffrey","non-dropping-particle":"","parse-names":false,"suffix":""},{"dropping-particle":"","family":"Reboussin","given":"Beth","non-dropping-particle":"","parse-names":false,"suffix":""},{"dropping-particle":"","family":"Rewers","given":"Marian J.","non-dropping-particle":"","parse-names":false,"suffix":""},{"dropping-particle":"","family":"Reynolds","given":"Kristi","non-dropping-particle":"","parse-names":false,"suffix":""},{"dropping-particle":"","family":"Sauder","given":"Katherine A","non-dropping-particle":"","parse-names":false,"suffix":""},{"dropping-particle":"","family":"Saydah","given":"Sharon H.","non-dropping-particle":"","parse-names":false,"suffix":""},{"dropping-particle":"","family":"Stafford","given":"Jeanette","non-dropping-particle":"","parse-names":false,"suffix":""},{"dropping-particle":"","family":"Standiford","given":"Debra A.","non-dropping-particle":"","parse-names":false,"suffix":""},{"dropping-particle":"","family":"Strylewicz","given":"Greg","non-dropping-particle":"","parse-names":false,"suffix":""},{"dropping-particle":"","family":"Taplin","given":"Craig","non-dropping-particle":"","parse-names":false,"suffix":""},{"dropping-particle":"","family":"Testaverde","given":"Lisa","non-dropping-particle":"","parse-names":false,"suffix":""},{"dropping-particle":"","family":"Thomas","given":"Joan","non-dropping-particle":"","parse-names":false,"suffix":""},{"dropping-particle":"","family":"Wadwa","given":"Paul","non-dropping-particle":"","parse-names":false,"suffix":""},{"dropping-particle":"","family":"Wagenknecht","given":"Lynne E.","non-dropping-particle":"","parse-names":false,"suffix":""},{"dropping-particle":"","family":"Wilkening","given":"Greta","non-dropping-particle":"","parse-names":false,"suffix":""},{"dropping-particle":"","family":"Williams","given":"Carrie","non-dropping-particle":"","parse-names":false,"suffix":""},{"dropping-particle":"","family":"Wright","given":"Davene","non-dropping-particle":"","parse-names":false,"suffix":""},{"dropping-particle":"","family":"Yi-Frazier","given":"Joyce","non-dropping-particle":"","parse-names":false,"suffix":""}],"container-title":"The Lancet Child &amp; Adolescent Health","id":"ITEM-2","issue":"1","issued":{"date-parts":[["2019","1"]]},"page":"35-43","title":"Co-occurrence of early diabetes-related complications in adolescents and young adults with type 1 diabetes: an observational cohort study","type":"article-journal","volume":"3"},"uris":["http://www.mendeley.com/documents/?uuid=0cb07b10-9483-3bb6-8e9f-6a5c714a288a"]}],"mendeley":{"formattedCitation":"&lt;sup&gt;15,16&lt;/sup&gt;","plainTextFormattedCitation":"15,16","previouslyFormattedCitation":"&lt;sup&gt;15,16&lt;/sup&gt;"},"properties":{"noteIndex":0},"schema":"https://github.com/citation-style-language/schema/raw/master/csl-citation.json"}</w:instrText>
      </w:r>
      <w:r w:rsidR="009C06A3" w:rsidRPr="00135762">
        <w:rPr>
          <w:bCs/>
          <w:sz w:val="24"/>
          <w:szCs w:val="24"/>
        </w:rPr>
        <w:fldChar w:fldCharType="separate"/>
      </w:r>
      <w:r w:rsidR="00705406" w:rsidRPr="00705406">
        <w:rPr>
          <w:bCs/>
          <w:noProof/>
          <w:sz w:val="24"/>
          <w:szCs w:val="24"/>
          <w:vertAlign w:val="superscript"/>
        </w:rPr>
        <w:t>15,16</w:t>
      </w:r>
      <w:r w:rsidR="009C06A3" w:rsidRPr="00135762">
        <w:rPr>
          <w:bCs/>
          <w:sz w:val="24"/>
          <w:szCs w:val="24"/>
        </w:rPr>
        <w:fldChar w:fldCharType="end"/>
      </w:r>
      <w:r w:rsidR="00C26D22" w:rsidRPr="00135762">
        <w:rPr>
          <w:rFonts w:cs="Arial"/>
          <w:sz w:val="24"/>
          <w:szCs w:val="24"/>
        </w:rPr>
        <w:t xml:space="preserve">. </w:t>
      </w:r>
      <w:r w:rsidR="00531BD3" w:rsidRPr="00135762">
        <w:rPr>
          <w:rFonts w:cs="Arial"/>
          <w:sz w:val="24"/>
          <w:szCs w:val="24"/>
        </w:rPr>
        <w:t>Subclinical manifestations</w:t>
      </w:r>
      <w:r>
        <w:rPr>
          <w:rFonts w:cs="Arial"/>
          <w:sz w:val="24"/>
          <w:szCs w:val="24"/>
        </w:rPr>
        <w:t xml:space="preserve"> </w:t>
      </w:r>
      <w:r w:rsidR="00C26D22" w:rsidRPr="00135762">
        <w:rPr>
          <w:rFonts w:cs="Arial"/>
          <w:sz w:val="24"/>
          <w:szCs w:val="24"/>
        </w:rPr>
        <w:t>include early increases in</w:t>
      </w:r>
      <w:r w:rsidR="005D188B" w:rsidRPr="00135762">
        <w:rPr>
          <w:rFonts w:cs="Arial"/>
          <w:sz w:val="24"/>
          <w:szCs w:val="24"/>
        </w:rPr>
        <w:t xml:space="preserve"> urinary</w:t>
      </w:r>
      <w:r w:rsidR="00C26D22" w:rsidRPr="00135762">
        <w:rPr>
          <w:rFonts w:cs="Arial"/>
          <w:sz w:val="24"/>
          <w:szCs w:val="24"/>
        </w:rPr>
        <w:t xml:space="preserve"> albumin excretion, changes in the retinal microvasculature </w:t>
      </w:r>
      <w:r w:rsidR="00531BD3" w:rsidRPr="00135762">
        <w:rPr>
          <w:rFonts w:cs="Arial"/>
          <w:sz w:val="24"/>
          <w:szCs w:val="24"/>
        </w:rPr>
        <w:t>and</w:t>
      </w:r>
      <w:r w:rsidR="00C26D22" w:rsidRPr="00135762">
        <w:rPr>
          <w:rFonts w:cs="Arial"/>
          <w:sz w:val="24"/>
          <w:szCs w:val="24"/>
        </w:rPr>
        <w:t xml:space="preserve"> subclinical changes in </w:t>
      </w:r>
      <w:r w:rsidR="00531BD3" w:rsidRPr="00135762">
        <w:rPr>
          <w:rFonts w:cs="Arial"/>
          <w:sz w:val="24"/>
          <w:szCs w:val="24"/>
        </w:rPr>
        <w:t>large</w:t>
      </w:r>
      <w:r w:rsidR="00C26D22" w:rsidRPr="00135762">
        <w:rPr>
          <w:rFonts w:cs="Arial"/>
          <w:sz w:val="24"/>
          <w:szCs w:val="24"/>
        </w:rPr>
        <w:t xml:space="preserve"> </w:t>
      </w:r>
      <w:r w:rsidR="00531BD3" w:rsidRPr="00135762">
        <w:rPr>
          <w:rFonts w:cs="Arial"/>
          <w:sz w:val="24"/>
          <w:szCs w:val="24"/>
        </w:rPr>
        <w:t xml:space="preserve">blood </w:t>
      </w:r>
      <w:r w:rsidR="00C26D22" w:rsidRPr="00135762">
        <w:rPr>
          <w:rFonts w:cs="Arial"/>
          <w:sz w:val="24"/>
          <w:szCs w:val="24"/>
        </w:rPr>
        <w:t>vessels, including</w:t>
      </w:r>
      <w:r>
        <w:rPr>
          <w:rFonts w:cs="Arial"/>
          <w:sz w:val="24"/>
          <w:szCs w:val="24"/>
        </w:rPr>
        <w:t xml:space="preserve"> </w:t>
      </w:r>
      <w:r w:rsidR="00643736" w:rsidRPr="00135762">
        <w:rPr>
          <w:rFonts w:cs="Arial"/>
          <w:sz w:val="24"/>
          <w:szCs w:val="24"/>
        </w:rPr>
        <w:t xml:space="preserve">increased </w:t>
      </w:r>
      <w:r w:rsidR="00C26D22" w:rsidRPr="00135762">
        <w:rPr>
          <w:rFonts w:cs="Arial"/>
          <w:sz w:val="24"/>
          <w:szCs w:val="24"/>
        </w:rPr>
        <w:t>arterial stiffness</w:t>
      </w:r>
      <w:r w:rsidR="00643736" w:rsidRPr="00135762">
        <w:rPr>
          <w:rFonts w:cs="Arial"/>
          <w:sz w:val="24"/>
          <w:szCs w:val="24"/>
        </w:rPr>
        <w:t>,</w:t>
      </w:r>
      <w:r w:rsidR="00C26D22" w:rsidRPr="00135762">
        <w:rPr>
          <w:rFonts w:cs="Arial"/>
          <w:sz w:val="24"/>
          <w:szCs w:val="24"/>
        </w:rPr>
        <w:t xml:space="preserve"> aortic</w:t>
      </w:r>
      <w:r w:rsidR="00531BD3" w:rsidRPr="00135762">
        <w:rPr>
          <w:rFonts w:cs="Arial"/>
          <w:sz w:val="24"/>
          <w:szCs w:val="24"/>
        </w:rPr>
        <w:t xml:space="preserve"> intima-media thickness</w:t>
      </w:r>
      <w:r w:rsidR="00C26D22" w:rsidRPr="00135762">
        <w:rPr>
          <w:rFonts w:cs="Arial"/>
          <w:sz w:val="24"/>
          <w:szCs w:val="24"/>
        </w:rPr>
        <w:t xml:space="preserve"> (aIMT) and carotid intima-media thickness (cIMT)</w:t>
      </w:r>
      <w:r w:rsidR="00C26D22" w:rsidRPr="00135762">
        <w:rPr>
          <w:bCs/>
          <w:sz w:val="24"/>
          <w:szCs w:val="24"/>
        </w:rPr>
        <w:fldChar w:fldCharType="begin" w:fldLock="1"/>
      </w:r>
      <w:r w:rsidR="008736A2">
        <w:rPr>
          <w:bCs/>
          <w:sz w:val="24"/>
          <w:szCs w:val="24"/>
        </w:rPr>
        <w:instrText>ADDIN CSL_CITATION {"citationItems":[{"id":"ITEM-1","itemData":{"DOI":"10.1111/j.1399-5448.2009.00510.x","ISSN":"1399543X 13995448","author":[{"dropping-particle":"","family":"Marcovecchio","given":"M.L.","non-dropping-particle":"","parse-names":false,"suffix":""},{"dropping-particle":"","family":"Tossavainen","given":"P.H.","non-dropping-particle":"","parse-names":false,"suffix":""},{"dropping-particle":"","family":"Dunger","given":"D.B.","non-dropping-particle":"","parse-names":false,"suffix":""}],"container-title":"Pediatric Diabetes","id":"ITEM-1","issue":"5","issued":{"date-parts":[["2009"]]},"page":"347-355","title":"Status and rationale of renoprotection studies in adolescents with type 1 diabetes","type":"article-journal","volume":"10"},"uris":["http://www.mendeley.com/documents/?uuid=ca77f546-585e-3069-acc9-8f406235bdc7"]}],"mendeley":{"formattedCitation":"&lt;sup&gt;15&lt;/sup&gt;","plainTextFormattedCitation":"15","previouslyFormattedCitation":"&lt;sup&gt;15&lt;/sup&gt;"},"properties":{"noteIndex":0},"schema":"https://github.com/citation-style-language/schema/raw/master/csl-citation.json"}</w:instrText>
      </w:r>
      <w:r w:rsidR="00C26D22" w:rsidRPr="00135762">
        <w:rPr>
          <w:bCs/>
          <w:sz w:val="24"/>
          <w:szCs w:val="24"/>
        </w:rPr>
        <w:fldChar w:fldCharType="separate"/>
      </w:r>
      <w:r w:rsidR="00705406" w:rsidRPr="00705406">
        <w:rPr>
          <w:bCs/>
          <w:noProof/>
          <w:sz w:val="24"/>
          <w:szCs w:val="24"/>
          <w:vertAlign w:val="superscript"/>
        </w:rPr>
        <w:t>15</w:t>
      </w:r>
      <w:r w:rsidR="00C26D22" w:rsidRPr="00135762">
        <w:rPr>
          <w:bCs/>
          <w:sz w:val="24"/>
          <w:szCs w:val="24"/>
        </w:rPr>
        <w:fldChar w:fldCharType="end"/>
      </w:r>
      <w:r w:rsidR="00625086" w:rsidRPr="00135762">
        <w:rPr>
          <w:bCs/>
          <w:sz w:val="24"/>
          <w:szCs w:val="24"/>
        </w:rPr>
        <w:t xml:space="preserve"> (Figure 1)</w:t>
      </w:r>
      <w:r w:rsidR="00891C82" w:rsidRPr="00135762">
        <w:rPr>
          <w:rFonts w:cs="Arial"/>
          <w:sz w:val="24"/>
          <w:szCs w:val="24"/>
        </w:rPr>
        <w:t>.</w:t>
      </w:r>
    </w:p>
    <w:p w14:paraId="6C0FED98" w14:textId="77777777" w:rsidR="003E4568" w:rsidRPr="00135762" w:rsidRDefault="003E4568" w:rsidP="00C26D22">
      <w:pPr>
        <w:spacing w:after="0" w:line="360" w:lineRule="auto"/>
        <w:rPr>
          <w:rFonts w:cs="Arial"/>
          <w:sz w:val="24"/>
          <w:szCs w:val="24"/>
        </w:rPr>
      </w:pPr>
    </w:p>
    <w:p w14:paraId="0A278BB4" w14:textId="0C82976A" w:rsidR="00693189" w:rsidRPr="00135762" w:rsidRDefault="00044A60" w:rsidP="00C26D22">
      <w:pPr>
        <w:spacing w:after="0" w:line="360" w:lineRule="auto"/>
        <w:rPr>
          <w:sz w:val="24"/>
          <w:szCs w:val="24"/>
        </w:rPr>
      </w:pPr>
      <w:r w:rsidRPr="00135762">
        <w:rPr>
          <w:sz w:val="24"/>
          <w:szCs w:val="24"/>
        </w:rPr>
        <w:t>Glyc</w:t>
      </w:r>
      <w:r w:rsidR="00143E4D" w:rsidRPr="00135762">
        <w:rPr>
          <w:sz w:val="24"/>
          <w:szCs w:val="24"/>
        </w:rPr>
        <w:t>a</w:t>
      </w:r>
      <w:r w:rsidRPr="00135762">
        <w:rPr>
          <w:sz w:val="24"/>
          <w:szCs w:val="24"/>
        </w:rPr>
        <w:t>emic control is the main modifiable risk factor for vascular co</w:t>
      </w:r>
      <w:r w:rsidR="006B3F70" w:rsidRPr="00135762">
        <w:rPr>
          <w:sz w:val="24"/>
          <w:szCs w:val="24"/>
        </w:rPr>
        <w:t>mplications,</w:t>
      </w:r>
      <w:r w:rsidRPr="00135762">
        <w:rPr>
          <w:sz w:val="24"/>
          <w:szCs w:val="24"/>
        </w:rPr>
        <w:t xml:space="preserve"> </w:t>
      </w:r>
      <w:r w:rsidR="00143E4D" w:rsidRPr="00135762">
        <w:rPr>
          <w:sz w:val="24"/>
          <w:szCs w:val="24"/>
        </w:rPr>
        <w:t xml:space="preserve">which is </w:t>
      </w:r>
      <w:r w:rsidRPr="00135762">
        <w:rPr>
          <w:sz w:val="24"/>
          <w:szCs w:val="24"/>
        </w:rPr>
        <w:t xml:space="preserve">clearly </w:t>
      </w:r>
      <w:r w:rsidR="00693189" w:rsidRPr="00135762">
        <w:rPr>
          <w:sz w:val="24"/>
          <w:szCs w:val="24"/>
        </w:rPr>
        <w:t>defined by the Diabetes Control and Complication Trial (DCCT) and</w:t>
      </w:r>
      <w:r w:rsidR="00E845A9" w:rsidRPr="00135762">
        <w:rPr>
          <w:sz w:val="24"/>
          <w:szCs w:val="24"/>
        </w:rPr>
        <w:t xml:space="preserve"> </w:t>
      </w:r>
      <w:r w:rsidR="00143E4D" w:rsidRPr="00135762">
        <w:rPr>
          <w:sz w:val="24"/>
          <w:szCs w:val="24"/>
        </w:rPr>
        <w:t>the</w:t>
      </w:r>
      <w:r w:rsidR="00E845A9" w:rsidRPr="00135762">
        <w:rPr>
          <w:sz w:val="24"/>
          <w:szCs w:val="24"/>
        </w:rPr>
        <w:t xml:space="preserve"> follow up study,</w:t>
      </w:r>
      <w:r w:rsidR="00693189" w:rsidRPr="00135762">
        <w:rPr>
          <w:sz w:val="24"/>
          <w:szCs w:val="24"/>
        </w:rPr>
        <w:t xml:space="preserve"> the Epidemiology of Diabetes </w:t>
      </w:r>
      <w:r w:rsidR="00DF3CB6" w:rsidRPr="00135762">
        <w:rPr>
          <w:sz w:val="24"/>
          <w:szCs w:val="24"/>
        </w:rPr>
        <w:t>Interventions and Complications</w:t>
      </w:r>
      <w:r w:rsidR="000F030A" w:rsidRPr="00135762">
        <w:rPr>
          <w:sz w:val="24"/>
          <w:szCs w:val="24"/>
        </w:rPr>
        <w:t xml:space="preserve"> </w:t>
      </w:r>
      <w:r w:rsidR="008F2C5F" w:rsidRPr="00135762">
        <w:rPr>
          <w:sz w:val="24"/>
          <w:szCs w:val="24"/>
        </w:rPr>
        <w:t>(EDIC)</w:t>
      </w:r>
      <w:r w:rsidR="00693189" w:rsidRPr="00135762">
        <w:rPr>
          <w:sz w:val="24"/>
          <w:szCs w:val="24"/>
        </w:rPr>
        <w:fldChar w:fldCharType="begin" w:fldLock="1"/>
      </w:r>
      <w:r w:rsidR="008736A2">
        <w:rPr>
          <w:sz w:val="24"/>
          <w:szCs w:val="24"/>
        </w:rPr>
        <w:instrText>ADDIN CSL_CITATION {"citationItems":[{"id":"ITEM-1","itemData":{"DOI":"10.1056/NEJM199309303291401","ISSN":"0028-4793","abstract":"Background Long-term microvascular and neurologic complications cause major morbidity and mortality in patients with insulin-dependent diabetes mellitus (IDDM). We examined whether intensive treatment with the goal of maintaining blood glucose concentrations close to the normal range could decrease the frequency and severity of these complications. Methods A total of 1441 patients with IDDM -- 726 with no retinopathy at base line (the primary-prevention cohort) and 715 with mild retinopathy (the secondary-intervention cohort) were randomly assigned to intensive therapy administered either with an external insulin pump or by three or more daily insulin injections and guided by frequent blood glucose monitoring or to conventional therapy with one or two daily insulin injections. The patients were followed for a mean of 6.5 years, and the appearance and progression of retinopathy and other complications were assessed regularly. Results In the primary-prevention cohort, intensive therapy reduced the adjusted ...","author":[{"dropping-particle":"","family":"Group","given":"The Diabetes Control and Complications Trial Research","non-dropping-particle":"","parse-names":false,"suffix":""}],"container-title":"New England Journal of Medicine","id":"ITEM-1","issue":"14","issued":{"date-parts":[["1993","9","30"]]},"page":"977-986","publisher":" Massachusetts Medical Society ","title":"The Effect of Intensive Treatment of Diabetes on the Development and Progression of Long-Term Complications in Insulin-Dependent Diabetes Mellitus","type":"article-journal","volume":"329"},"uris":["http://www.mendeley.com/documents/?uuid=d75c061f-db01-31d4-9edc-32fd2bb78ba4"]},{"id":"ITEM-2","itemData":{"DOI":"10.1016/j.ecl.2017.10.012","ISSN":"08898529","PMID":"29407057","abstract":"Type 1 diabetes mellitus, an autoimmune disorder characterized by beta-cell destruction and absolute insulin deficiency, is associated with significantly increased cardiovascular disease risk but the mechanisms underlying this enhanced risk are unclear. Results of the pivotal Diabetes Control and Complications Trial/Epidemiology of Diabetes Interventions and Complications study have shown that compared to conventional therapy, intensive glycemic control results in decreased cardiovascular morbidity and mortality. Evidence from this study also revealed contributions of blood pressure, renal disease, body weight, and lipids to cardiovascular disease in type 1 diabetes mellitus. Extrapolating from existing evidence, this article addresses clinical strategies to mitigate cardiovascular risks.","author":[{"dropping-particle":"","family":"Subramanian","given":"Savitha","non-dropping-particle":"","parse-names":false,"suffix":""},{"dropping-particle":"","family":"Hirsch","given":"Irl B.","non-dropping-particle":"","parse-names":false,"suffix":""}],"container-title":"Endocrinology and Metabolism Clinics of North America","id":"ITEM-2","issue":"1","issued":{"date-parts":[["2018","3"]]},"page":"65-79","title":"Intensive Diabetes Treatment and Cardiovascular Outcomes in Type 1 Diabetes Mellitus","type":"article-journal","volume":"47"},"uris":["http://www.mendeley.com/documents/?uuid=b1f5c0c6-976f-3445-8e1b-cb6fabe707dd"]}],"mendeley":{"formattedCitation":"&lt;sup&gt;17,18&lt;/sup&gt;","plainTextFormattedCitation":"17,18","previouslyFormattedCitation":"&lt;sup&gt;17,18&lt;/sup&gt;"},"properties":{"noteIndex":0},"schema":"https://github.com/citation-style-language/schema/raw/master/csl-citation.json"}</w:instrText>
      </w:r>
      <w:r w:rsidR="00693189" w:rsidRPr="00135762">
        <w:rPr>
          <w:sz w:val="24"/>
          <w:szCs w:val="24"/>
          <w:vertAlign w:val="superscript"/>
        </w:rPr>
        <w:fldChar w:fldCharType="separate"/>
      </w:r>
      <w:r w:rsidR="00705406" w:rsidRPr="00705406">
        <w:rPr>
          <w:noProof/>
          <w:sz w:val="24"/>
          <w:szCs w:val="24"/>
          <w:vertAlign w:val="superscript"/>
        </w:rPr>
        <w:t>17,18</w:t>
      </w:r>
      <w:r w:rsidR="00693189" w:rsidRPr="00135762">
        <w:rPr>
          <w:sz w:val="24"/>
          <w:szCs w:val="24"/>
        </w:rPr>
        <w:fldChar w:fldCharType="end"/>
      </w:r>
      <w:r w:rsidR="00693189" w:rsidRPr="00135762">
        <w:rPr>
          <w:sz w:val="24"/>
          <w:szCs w:val="24"/>
        </w:rPr>
        <w:t>.</w:t>
      </w:r>
      <w:r w:rsidR="00F96BE4" w:rsidRPr="00135762">
        <w:rPr>
          <w:sz w:val="24"/>
          <w:szCs w:val="24"/>
        </w:rPr>
        <w:t xml:space="preserve"> </w:t>
      </w:r>
      <w:r w:rsidR="00B24B38" w:rsidRPr="00135762">
        <w:rPr>
          <w:sz w:val="24"/>
          <w:szCs w:val="24"/>
        </w:rPr>
        <w:t>O</w:t>
      </w:r>
      <w:r w:rsidR="00625086" w:rsidRPr="00135762">
        <w:rPr>
          <w:sz w:val="24"/>
          <w:szCs w:val="24"/>
        </w:rPr>
        <w:t>nly a small number</w:t>
      </w:r>
      <w:r w:rsidR="007806BE" w:rsidRPr="00135762">
        <w:rPr>
          <w:sz w:val="24"/>
          <w:szCs w:val="24"/>
        </w:rPr>
        <w:t xml:space="preserve"> (195 out of 1441) </w:t>
      </w:r>
      <w:r w:rsidR="00625086" w:rsidRPr="00135762">
        <w:rPr>
          <w:sz w:val="24"/>
          <w:szCs w:val="24"/>
        </w:rPr>
        <w:t xml:space="preserve">of adolescents </w:t>
      </w:r>
      <w:r w:rsidR="007806BE" w:rsidRPr="00135762">
        <w:rPr>
          <w:sz w:val="24"/>
          <w:szCs w:val="24"/>
        </w:rPr>
        <w:t xml:space="preserve">(age 13-17 years) </w:t>
      </w:r>
      <w:r w:rsidR="00625086" w:rsidRPr="00135762">
        <w:rPr>
          <w:sz w:val="24"/>
          <w:szCs w:val="24"/>
        </w:rPr>
        <w:t>were included in the DCCT</w:t>
      </w:r>
      <w:r w:rsidR="00B24B38" w:rsidRPr="00135762">
        <w:rPr>
          <w:sz w:val="24"/>
          <w:szCs w:val="24"/>
        </w:rPr>
        <w:t>.</w:t>
      </w:r>
      <w:r w:rsidR="00625086" w:rsidRPr="00135762">
        <w:rPr>
          <w:sz w:val="24"/>
          <w:szCs w:val="24"/>
        </w:rPr>
        <w:t xml:space="preserve">  </w:t>
      </w:r>
      <w:r w:rsidR="00B24B38" w:rsidRPr="00135762">
        <w:rPr>
          <w:sz w:val="24"/>
          <w:szCs w:val="24"/>
        </w:rPr>
        <w:t xml:space="preserve">In adolescents with T1DM, </w:t>
      </w:r>
      <w:r w:rsidR="00625086" w:rsidRPr="00135762">
        <w:rPr>
          <w:sz w:val="24"/>
          <w:szCs w:val="24"/>
        </w:rPr>
        <w:t xml:space="preserve">the </w:t>
      </w:r>
      <w:r w:rsidR="00D45FED" w:rsidRPr="00135762">
        <w:rPr>
          <w:sz w:val="24"/>
          <w:szCs w:val="24"/>
        </w:rPr>
        <w:t xml:space="preserve">beneficial </w:t>
      </w:r>
      <w:r w:rsidR="00B24B38" w:rsidRPr="00135762">
        <w:rPr>
          <w:sz w:val="24"/>
          <w:szCs w:val="24"/>
        </w:rPr>
        <w:t xml:space="preserve">effect of intensive therapy </w:t>
      </w:r>
      <w:r w:rsidR="00D45FED" w:rsidRPr="00135762">
        <w:rPr>
          <w:sz w:val="24"/>
          <w:szCs w:val="24"/>
        </w:rPr>
        <w:t>in reducing HbA1c levels</w:t>
      </w:r>
      <w:r w:rsidR="00625086" w:rsidRPr="00135762">
        <w:rPr>
          <w:sz w:val="24"/>
          <w:szCs w:val="24"/>
        </w:rPr>
        <w:t xml:space="preserve"> was similar </w:t>
      </w:r>
      <w:r w:rsidR="00B24B38" w:rsidRPr="00135762">
        <w:rPr>
          <w:sz w:val="24"/>
          <w:szCs w:val="24"/>
        </w:rPr>
        <w:t>to the adult cohort.</w:t>
      </w:r>
      <w:r w:rsidR="00625086" w:rsidRPr="00135762">
        <w:rPr>
          <w:sz w:val="24"/>
          <w:szCs w:val="24"/>
        </w:rPr>
        <w:t xml:space="preserve"> </w:t>
      </w:r>
      <w:r w:rsidR="00B24B38" w:rsidRPr="00135762">
        <w:rPr>
          <w:sz w:val="24"/>
          <w:szCs w:val="24"/>
        </w:rPr>
        <w:t xml:space="preserve">However, the </w:t>
      </w:r>
      <w:r w:rsidR="00625086" w:rsidRPr="00135762">
        <w:rPr>
          <w:sz w:val="24"/>
          <w:szCs w:val="24"/>
        </w:rPr>
        <w:t>overall</w:t>
      </w:r>
      <w:r w:rsidR="00B24B38" w:rsidRPr="00135762">
        <w:rPr>
          <w:sz w:val="24"/>
          <w:szCs w:val="24"/>
        </w:rPr>
        <w:t xml:space="preserve"> levels of</w:t>
      </w:r>
      <w:r w:rsidR="00625086" w:rsidRPr="00135762">
        <w:rPr>
          <w:sz w:val="24"/>
          <w:szCs w:val="24"/>
        </w:rPr>
        <w:t xml:space="preserve"> HbA</w:t>
      </w:r>
      <w:r w:rsidR="00625086" w:rsidRPr="00135762">
        <w:rPr>
          <w:sz w:val="24"/>
          <w:szCs w:val="24"/>
          <w:vertAlign w:val="subscript"/>
        </w:rPr>
        <w:t>1c</w:t>
      </w:r>
      <w:r w:rsidR="00625086" w:rsidRPr="00135762">
        <w:rPr>
          <w:sz w:val="24"/>
          <w:szCs w:val="24"/>
        </w:rPr>
        <w:t xml:space="preserve"> were around 1% higher</w:t>
      </w:r>
      <w:r w:rsidR="00B24B38" w:rsidRPr="00135762">
        <w:rPr>
          <w:sz w:val="24"/>
          <w:szCs w:val="24"/>
        </w:rPr>
        <w:t xml:space="preserve"> in adolescents</w:t>
      </w:r>
      <w:r w:rsidR="00625086" w:rsidRPr="00135762">
        <w:rPr>
          <w:sz w:val="24"/>
          <w:szCs w:val="24"/>
        </w:rPr>
        <w:t xml:space="preserve"> than those observed in adult</w:t>
      </w:r>
      <w:r w:rsidR="00B24B38" w:rsidRPr="00135762">
        <w:rPr>
          <w:sz w:val="24"/>
          <w:szCs w:val="24"/>
        </w:rPr>
        <w:t>s</w:t>
      </w:r>
      <w:r w:rsidR="00610D92">
        <w:rPr>
          <w:sz w:val="24"/>
          <w:szCs w:val="24"/>
        </w:rPr>
        <w:t xml:space="preserve"> </w:t>
      </w:r>
      <w:r w:rsidR="00443B07" w:rsidRPr="00135762">
        <w:rPr>
          <w:sz w:val="24"/>
          <w:szCs w:val="24"/>
        </w:rPr>
        <w:fldChar w:fldCharType="begin" w:fldLock="1"/>
      </w:r>
      <w:r w:rsidR="008736A2">
        <w:rPr>
          <w:sz w:val="24"/>
          <w:szCs w:val="24"/>
        </w:rPr>
        <w:instrText>ADDIN CSL_CITATION {"citationItems":[{"id":"ITEM-1","itemData":{"DOI":"10.1056/NEJM199309303291401","ISSN":"0028-4793","abstract":"Background Long-term microvascular and neurologic complications cause major morbidity and mortality in patients with insulin-dependent diabetes mellitus (IDDM). We examined whether intensive treatment with the goal of maintaining blood glucose concentrations close to the normal range could decrease the frequency and severity of these complications. Methods A total of 1441 patients with IDDM -- 726 with no retinopathy at base line (the primary-prevention cohort) and 715 with mild retinopathy (the secondary-intervention cohort) were randomly assigned to intensive therapy administered either with an external insulin pump or by three or more daily insulin injections and guided by frequent blood glucose monitoring or to conventional therapy with one or two daily insulin injections. The patients were followed for a mean of 6.5 years, and the appearance and progression of retinopathy and other complications were assessed regularly. Results In the primary-prevention cohort, intensive therapy reduced the adjusted ...","author":[{"dropping-particle":"","family":"Group","given":"The Diabetes Control and Complications Trial Research","non-dropping-particle":"","parse-names":false,"suffix":""}],"container-title":"New England Journal of Medicine","id":"ITEM-1","issue":"14","issued":{"date-parts":[["1993","9","30"]]},"page":"977-986","publisher":" Massachusetts Medical Society ","title":"The Effect of Intensive Treatment of Diabetes on the Development and Progression of Long-Term Complications in Insulin-Dependent Diabetes Mellitus","type":"article-journal","volume":"329"},"uris":["http://www.mendeley.com/documents/?uuid=d75c061f-db01-31d4-9edc-32fd2bb78ba4"]},{"id":"ITEM-2","itemData":{"DOI":"10.1016/S0022-3476(94)70190-3","ISSN":"00223476","author":[{"dropping-particle":"","family":"Group","given":"DCCT Research","non-dropping-particle":"","parse-names":false,"suffix":""},{"dropping-particle":"","family":"Group","given":"DCCT Research","non-dropping-particle":"","parse-names":false,"suffix":""},{"dropping-particle":"","family":"Bloch","given":"C","non-dropping-particle":"","parse-names":false,"suffix":""},{"dropping-particle":"","family":"Clemons","given":"P","non-dropping-particle":"","parse-names":false,"suffix":""},{"dropping-particle":"","family":"Sperling","given":"MA","non-dropping-particle":"","parse-names":false,"suffix":""},{"dropping-particle":"","family":"Amiel","given":"S","non-dropping-particle":"","parse-names":false,"suffix":""},{"dropping-particle":"","family":"Sherwin","given":"R","non-dropping-particle":"","parse-names":false,"suffix":""},{"dropping-particle":"","family":"Simonson","given":"D","non-dropping-particle":"","parse-names":false,"suffix":""},{"dropping-particle":"","family":"al.","given":"et","non-dropping-particle":"","parse-names":false,"suffix":""},{"dropping-particle":"","family":"Schafer","given":"LC","non-dropping-particle":"","parse-names":false,"suffix":""},{"dropping-particle":"","family":"Glasgow","given":"RE","non-dropping-particle":"","parse-names":false,"suffix":""},{"dropping-particle":"","family":"McCaul","given":"KD","non-dropping-particle":"","parse-names":false,"suffix":""},{"dropping-particle":"","family":"Kurtz","given":"SM","non-dropping-particle":"","parse-names":false,"suffix":""},{"dropping-particle":"","family":"Johnson","given":"SB","non-dropping-particle":"","parse-names":false,"suffix":""},{"dropping-particle":"","family":"Silverstein","given":"J","non-dropping-particle":"","parse-names":false,"suffix":""},{"dropping-particle":"","family":"Rosenbloom","given":"A","non-dropping-particle":"","parse-names":false,"suffix":""},{"dropping-particle":"","family":"Carter","given":"R","non-dropping-particle":"","parse-names":false,"suffix":""},{"dropping-particle":"","family":"Cunningham","given":"W","non-dropping-particle":"","parse-names":false,"suffix":""},{"dropping-particle":"","family":"Group","given":"Kroc Collaborative Study","non-dropping-particle":"","parse-names":false,"suffix":""},{"dropping-particle":"","family":"Lauritzen","given":"T","non-dropping-particle":"","parse-names":false,"suffix":""},{"dropping-particle":"","family":"Frost-Larsen","given":"K","non-dropping-particle":"","parse-names":false,"suffix":""},{"dropping-particle":"","family":"Larsen","given":"HW","non-dropping-particle":"","parse-names":false,"suffix":""},{"dropping-particle":"","family":"Deckert","given":"T","non-dropping-particle":"","parse-names":false,"suffix":""},{"dropping-particle":"","family":"Brinchmann-Hanson","given":"O","non-dropping-particle":"","parse-names":false,"suffix":""},{"dropping-particle":"","family":"Dahl-Jorganson","given":"K","non-dropping-particle":"","parse-names":false,"suffix":""},{"dropping-particle":"","family":"Hanssen","given":"KF","non-dropping-particle":"","parse-names":false,"suffix":""},{"dropping-particle":"","family":"Sandvik","given":"L","non-dropping-particle":"","parse-names":false,"suffix":""},{"dropping-particle":"","family":"Reichard","given":"P","non-dropping-particle":"","parse-names":false,"suffix":""},{"dropping-particle":"","family":"Nilsson","given":"BY","non-dropping-particle":"","parse-names":false,"suffix":""},{"dropping-particle":"","family":"Rosenqvist","given":"U","non-dropping-particle":"","parse-names":false,"suffix":""},{"dropping-particle":"","family":"Group","given":"DCCT Research","non-dropping-particle":"","parse-names":false,"suffix":""},{"dropping-particle":"","family":"Siebert","given":"C","non-dropping-particle":"","parse-names":false,"suffix":""},{"dropping-particle":"","family":"Clark","given":"CM","non-dropping-particle":"","parse-names":false,"suffix":""},{"dropping-particle":"","family":"Group","given":"DCCT Research","non-dropping-particle":"","parse-names":false,"suffix":""},{"dropping-particle":"","family":"Group","given":"DCCT Research","non-dropping-particle":"","parse-names":false,"suffix":""},{"dropping-particle":"","family":"Group","given":"DCCT Research","non-dropping-particle":"","parse-names":false,"suffix":""},{"dropping-particle":"","family":"Group","given":"Early Treatment Diabetic Retinopathy Study Research","non-dropping-particle":"","parse-names":false,"suffix":""},{"dropping-particle":"","family":"Group","given":"DCCT Research","non-dropping-particle":"","parse-names":false,"suffix":""},{"dropping-particle":"","family":"Group","given":"DCCT Research","non-dropping-particle":"","parse-names":false,"suffix":""},{"dropping-particle":"","family":"Group","given":"Early Treatment Diabetic Retinopathy Study Research","non-dropping-particle":"","parse-names":false,"suffix":""},{"dropping-particle":"","family":"Group","given":"Early Treatment Diabetic Retinopathy Study Research","non-dropping-particle":"","parse-names":false,"suffix":""},{"dropping-particle":"","family":"Group","given":"Early treatment Diabetic Retinopathy Study Research","non-dropping-particle":"","parse-names":false,"suffix":""},{"dropping-particle":"","family":"Group","given":"DCCT Research","non-dropping-particle":"","parse-names":false,"suffix":""},{"dropping-particle":"","family":"Group","given":"DCCT Research","non-dropping-particle":"","parse-names":false,"suffix":""},{"dropping-particle":"","family":"Schumer","given":"M","non-dropping-particle":"","parse-names":false,"suffix":""},{"dropping-particle":"","family":"Burton","given":"G","non-dropping-particle":"","parse-names":false,"suffix":""},{"dropping-particle":"","family":"Burton","given":"C","non-dropping-particle":"","parse-names":false,"suffix":""},{"dropping-particle":"","family":"Crum","given":"D","non-dropping-particle":"","parse-names":false,"suffix":""},{"dropping-particle":"","family":"Pfeifer","given":"MA","non-dropping-particle":"","parse-names":false,"suffix":""},{"dropping-particle":"","family":"Group","given":"DCCT Research","non-dropping-particle":"","parse-names":false,"suffix":""},{"dropping-particle":"","family":"Group","given":"DCCT Research","non-dropping-particle":"","parse-names":false,"suffix":""},{"dropping-particle":"","family":"Group","given":"DCCT Research","non-dropping-particle":"","parse-names":false,"suffix":""},{"dropping-particle":"","family":"Group","given":"DCCT Research","non-dropping-particle":"","parse-names":false,"suffix":""},{"dropping-particle":"","family":"Snedecor","given":"GW","non-dropping-particle":"","parse-names":false,"suffix":""},{"dropping-particle":"","family":"Cochran","given":"WG","non-dropping-particle":"","parse-names":false,"suffix":""},{"dropping-particle":"","family":"Lee","given":"ET","non-dropping-particle":"","parse-names":false,"suffix":""},{"dropping-particle":"","family":"McCullagh","given":"P","non-dropping-particle":"","parse-names":false,"suffix":""},{"dropping-particle":"","family":"Nelder","given":"JA","non-dropping-particle":"","parse-names":false,"suffix":""},{"dropping-particle":"","family":"Wei","given":"LJ","non-dropping-particle":"","parse-names":false,"suffix":""},{"dropping-particle":"","family":"Lachin","given":"JM","non-dropping-particle":"","parse-names":false,"suffix":""},{"dropping-particle":"","family":"Group","given":"DCCT Research","non-dropping-particle":"","parse-names":false,"suffix":""},{"dropping-particle":"","family":"Williamson","given":"DF","non-dropping-particle":"","parse-names":false,"suffix":""},{"dropping-particle":"","family":"Kahn","given":"HS","non-dropping-particle":"","parse-names":false,"suffix":""},{"dropping-particle":"","family":"Remington","given":"PL","non-dropping-particle":"","parse-names":false,"suffix":""},{"dropping-particle":"","family":"Anda","given":"RF","non-dropping-particle":"","parse-names":false,"suffix":""},{"dropping-particle":"","family":"Mogensen","given":"CE","non-dropping-particle":"","parse-names":false,"suffix":""},{"dropping-particle":"","family":"Christensen","given":"CK","non-dropping-particle":"","parse-names":false,"suffix":""},{"dropping-particle":"","family":"Anderson","given":"BJ","non-dropping-particle":"","parse-names":false,"suffix":""},{"dropping-particle":"","family":"Miller","given":"JP","non-dropping-particle":"","parse-names":false,"suffix":""},{"dropping-particle":"","family":"Auslander","given":"WF","non-dropping-particle":"","parse-names":false,"suffix":""},{"dropping-particle":"","family":"Santiago","given":"JV","non-dropping-particle":"","parse-names":false,"suffix":""},{"dropping-particle":"","family":"Group","given":"DCCT Research","non-dropping-particle":"","parse-names":false,"suffix":""},{"dropping-particle":"","family":"Jones","given":"TW","non-dropping-particle":"","parse-names":false,"suffix":""},{"dropping-particle":"","family":"Boulware","given":"SD","non-dropping-particle":"","parse-names":false,"suffix":""},{"dropping-particle":"","family":"Kraemer","given":"DT","non-dropping-particle":"","parse-names":false,"suffix":""},{"dropping-particle":"","family":"Caprio","given":"S","non-dropping-particle":"","parse-names":false,"suffix":""},{"dropping-particle":"","family":"Sherwin","given":"RS","non-dropping-particle":"","parse-names":false,"suffix":""},{"dropping-particle":"","family":"Tamborlane","given":"WV","non-dropping-particle":"","parse-names":false,"suffix":""},{"dropping-particle":"","family":"Kostraba","given":"JN","non-dropping-particle":"","parse-names":false,"suffix":""},{"dropping-particle":"","family":"Dorman","given":"JS","non-dropping-particle":"","parse-names":false,"suffix":""},{"dropping-particle":"","family":"Orchard","given":"TJ","non-dropping-particle":"","parse-names":false,"suffix":""},{"dropping-particle":"","family":"al.","given":"et","non-dropping-particle":"","parse-names":false,"suffix":""},{"dropping-particle":"","family":"Frank","given":"RN","non-dropping-particle":"","parse-names":false,"suffix":""},{"dropping-particle":"","family":"Hoffman","given":"WH","non-dropping-particle":"","parse-names":false,"suffix":""},{"dropping-particle":"","family":"Podgor","given":"MJ","non-dropping-particle":"","parse-names":false,"suffix":""},{"dropping-particle":"","family":"al.","given":"et","non-dropping-particle":"","parse-names":false,"suffix":""},{"dropping-particle":"","family":"Rogers","given":"DG","non-dropping-particle":"","parse-names":false,"suffix":""},{"dropping-particle":"","family":"White","given":"NH","non-dropping-particle":"","parse-names":false,"suffix":""},{"dropping-particle":"","family":"Shalwitz","given":"RA","non-dropping-particle":"","parse-names":false,"suffix":""},{"dropping-particle":"","family":"Palmberg","given":"P","non-dropping-particle":"","parse-names":false,"suffix":""},{"dropping-particle":"","family":"Smith","given":"ME","non-dropping-particle":"","parse-names":false,"suffix":""},{"dropping-particle":"","family":"Santiago","given":"JV","non-dropping-particle":"","parse-names":false,"suffix":""},{"dropping-particle":"","family":"Dahlquist","given":"G","non-dropping-particle":"","parse-names":false,"suffix":""},{"dropping-particle":"","family":"Rudberg","given":"S","non-dropping-particle":"","parse-names":false,"suffix":""},{"dropping-particle":"","family":"Rovet","given":"JF","non-dropping-particle":"","parse-names":false,"suffix":""},{"dropping-particle":"","family":"Ehrlich","given":"RM","non-dropping-particle":"","parse-names":false,"suffix":""},{"dropping-particle":"","family":"Hoppe","given":"M","non-dropping-particle":"","parse-names":false,"suffix":""},{"dropping-particle":"","family":"Ryan","given":"C","non-dropping-particle":"","parse-names":false,"suffix":""},{"dropping-particle":"","family":"Vega","given":"A","non-dropping-particle":"","parse-names":false,"suffix":""},{"dropping-particle":"","family":"Drash","given":"A","non-dropping-particle":"","parse-names":false,"suffix":""},{"dropping-particle":"","family":"Soltesz","given":"G","non-dropping-particle":"","parse-names":false,"suffix":""},{"dropping-particle":"","family":"Acsadi","given":"G","non-dropping-particle":"","parse-names":false,"suffix":""}],"container-title":"The Journal of Pediatrics","id":"ITEM-2","issue":"2","issued":{"date-parts":[["1994","8"]]},"page":"177-188","publisher":"Elsevier","title":"Effect of intensive diabetes treatment on the development and progression of long-term complications in adolescents with insulin-dependent diabetes mellitus: Diabetes Control and Complications Trial","type":"article-journal","volume":"125"},"uris":["http://www.mendeley.com/documents/?uuid=f82ebd83-8993-3edb-9a9d-65a8d4579651"]}],"mendeley":{"formattedCitation":"&lt;sup&gt;17,19&lt;/sup&gt;","plainTextFormattedCitation":"17,19","previouslyFormattedCitation":"&lt;sup&gt;17,19&lt;/sup&gt;"},"properties":{"noteIndex":0},"schema":"https://github.com/citation-style-language/schema/raw/master/csl-citation.json"}</w:instrText>
      </w:r>
      <w:r w:rsidR="00443B07" w:rsidRPr="00135762">
        <w:rPr>
          <w:sz w:val="24"/>
          <w:szCs w:val="24"/>
        </w:rPr>
        <w:fldChar w:fldCharType="separate"/>
      </w:r>
      <w:r w:rsidR="00705406" w:rsidRPr="00705406">
        <w:rPr>
          <w:noProof/>
          <w:sz w:val="24"/>
          <w:szCs w:val="24"/>
          <w:vertAlign w:val="superscript"/>
        </w:rPr>
        <w:t>17,19</w:t>
      </w:r>
      <w:r w:rsidR="00443B07" w:rsidRPr="00135762">
        <w:rPr>
          <w:sz w:val="24"/>
          <w:szCs w:val="24"/>
        </w:rPr>
        <w:fldChar w:fldCharType="end"/>
      </w:r>
      <w:r w:rsidR="00625086" w:rsidRPr="00135762">
        <w:rPr>
          <w:sz w:val="24"/>
          <w:szCs w:val="24"/>
        </w:rPr>
        <w:t xml:space="preserve">. </w:t>
      </w:r>
      <w:r w:rsidR="00693189" w:rsidRPr="00135762">
        <w:rPr>
          <w:sz w:val="24"/>
          <w:szCs w:val="24"/>
        </w:rPr>
        <w:t xml:space="preserve">The results of </w:t>
      </w:r>
      <w:r w:rsidR="005D188B" w:rsidRPr="00135762">
        <w:rPr>
          <w:sz w:val="24"/>
          <w:szCs w:val="24"/>
        </w:rPr>
        <w:t xml:space="preserve">the </w:t>
      </w:r>
      <w:r w:rsidR="00625086" w:rsidRPr="00135762">
        <w:rPr>
          <w:sz w:val="24"/>
          <w:szCs w:val="24"/>
        </w:rPr>
        <w:t>DCCT</w:t>
      </w:r>
      <w:r w:rsidR="00B24B38" w:rsidRPr="00135762">
        <w:rPr>
          <w:sz w:val="24"/>
          <w:szCs w:val="24"/>
        </w:rPr>
        <w:t xml:space="preserve"> and</w:t>
      </w:r>
      <w:r w:rsidR="00610D92">
        <w:rPr>
          <w:sz w:val="24"/>
          <w:szCs w:val="24"/>
        </w:rPr>
        <w:t xml:space="preserve"> </w:t>
      </w:r>
      <w:r w:rsidR="00625086" w:rsidRPr="00135762">
        <w:rPr>
          <w:sz w:val="24"/>
          <w:szCs w:val="24"/>
        </w:rPr>
        <w:t>EDIC</w:t>
      </w:r>
      <w:r w:rsidR="00693189" w:rsidRPr="00135762">
        <w:rPr>
          <w:sz w:val="24"/>
          <w:szCs w:val="24"/>
        </w:rPr>
        <w:t xml:space="preserve"> studies have continued to inform</w:t>
      </w:r>
      <w:r w:rsidR="00AA7F02" w:rsidRPr="00135762">
        <w:rPr>
          <w:sz w:val="24"/>
          <w:szCs w:val="24"/>
        </w:rPr>
        <w:t xml:space="preserve"> HbA</w:t>
      </w:r>
      <w:r w:rsidR="00AA7F02" w:rsidRPr="00135762">
        <w:rPr>
          <w:sz w:val="24"/>
          <w:szCs w:val="24"/>
          <w:vertAlign w:val="subscript"/>
        </w:rPr>
        <w:t>1c</w:t>
      </w:r>
      <w:r w:rsidR="00693189" w:rsidRPr="00135762">
        <w:rPr>
          <w:sz w:val="24"/>
          <w:szCs w:val="24"/>
        </w:rPr>
        <w:t xml:space="preserve"> target</w:t>
      </w:r>
      <w:r w:rsidR="00F965CE" w:rsidRPr="00135762">
        <w:rPr>
          <w:sz w:val="24"/>
          <w:szCs w:val="24"/>
        </w:rPr>
        <w:t xml:space="preserve"> </w:t>
      </w:r>
      <w:r w:rsidR="00283B7A" w:rsidRPr="00135762">
        <w:rPr>
          <w:sz w:val="24"/>
          <w:szCs w:val="24"/>
        </w:rPr>
        <w:t>levels</w:t>
      </w:r>
      <w:r w:rsidR="00693189" w:rsidRPr="00135762">
        <w:rPr>
          <w:sz w:val="24"/>
          <w:szCs w:val="24"/>
        </w:rPr>
        <w:t xml:space="preserve"> proposed by the American Diabetes Association</w:t>
      </w:r>
      <w:r w:rsidR="00610D92">
        <w:rPr>
          <w:sz w:val="24"/>
          <w:szCs w:val="24"/>
        </w:rPr>
        <w:t xml:space="preserve"> </w:t>
      </w:r>
      <w:r w:rsidR="006D4E71" w:rsidRPr="00135762">
        <w:rPr>
          <w:sz w:val="24"/>
          <w:szCs w:val="24"/>
        </w:rPr>
        <w:t>(&lt;7.5%</w:t>
      </w:r>
      <w:r w:rsidR="00F965CE" w:rsidRPr="00135762">
        <w:rPr>
          <w:sz w:val="24"/>
          <w:szCs w:val="24"/>
        </w:rPr>
        <w:t xml:space="preserve"> or</w:t>
      </w:r>
      <w:r w:rsidR="006D4E71" w:rsidRPr="00135762">
        <w:rPr>
          <w:sz w:val="24"/>
          <w:szCs w:val="24"/>
        </w:rPr>
        <w:t xml:space="preserve"> 58</w:t>
      </w:r>
      <w:r w:rsidR="000F030A" w:rsidRPr="00135762">
        <w:rPr>
          <w:sz w:val="24"/>
          <w:szCs w:val="24"/>
        </w:rPr>
        <w:t xml:space="preserve"> </w:t>
      </w:r>
      <w:r w:rsidR="006D4E71" w:rsidRPr="00135762">
        <w:rPr>
          <w:sz w:val="24"/>
          <w:szCs w:val="24"/>
        </w:rPr>
        <w:t>mmol</w:t>
      </w:r>
      <w:r w:rsidR="00F965CE" w:rsidRPr="00135762">
        <w:rPr>
          <w:sz w:val="24"/>
          <w:szCs w:val="24"/>
        </w:rPr>
        <w:t xml:space="preserve"> per </w:t>
      </w:r>
      <w:r w:rsidR="006D4E71" w:rsidRPr="00135762">
        <w:rPr>
          <w:sz w:val="24"/>
          <w:szCs w:val="24"/>
        </w:rPr>
        <w:t>mol)</w:t>
      </w:r>
      <w:r w:rsidR="006D4E71" w:rsidRPr="00135762">
        <w:rPr>
          <w:sz w:val="24"/>
          <w:szCs w:val="24"/>
        </w:rPr>
        <w:fldChar w:fldCharType="begin" w:fldLock="1"/>
      </w:r>
      <w:r w:rsidR="008736A2">
        <w:rPr>
          <w:sz w:val="24"/>
          <w:szCs w:val="24"/>
        </w:rPr>
        <w:instrText>ADDIN CSL_CITATION {"citationItems":[{"id":"ITEM-1","itemData":{"DOI":"10.2337/dc19-S013","ISSN":"1935-5548","PMID":"30559239","abstract":"The American Diabetes Association (ADA) \"Standards of Medical Care in Diabetes\" includes ADA's current clinical practice recommendations and is intended to provide the components of diabetes care, general treatment goals and guidelines, and tools to evaluate quality of care. Members of the ADA Professional Practice Committee, a multidisciplinary expert committee, are responsible for updating the Standards of Care annually, or more frequently as warranted. For a detailed description of ADA standards, statements, and reports, as well as the evidence-grading system for ADA's clinical practice recommendations, please refer to the Standards of Care Introduction Readers who wish to comment on the Standards of Care are invited to do so at professional.diabetes.org/SOC.","author":[{"dropping-particle":"","family":"American Diabetes Association","given":"","non-dropping-particle":"","parse-names":false,"suffix":""}],"container-title":"Diabetes care","id":"ITEM-1","issue":"Suppl 1","issued":{"date-parts":[["2019","1","17"]]},"page":"S148-S164","title":"13. Children and Adolescents: Standards of Medical Care in Diabetes-2019.","type":"article-journal","volume":"42"},"uris":["http://www.mendeley.com/documents/?uuid=ee90e916-22f8-37b1-8729-377cb889055b","http://www.mendeley.com/documents/?uuid=9038dc93-d4d3-4cb1-9e11-aeabdb5ada1e"]}],"mendeley":{"formattedCitation":"&lt;sup&gt;20&lt;/sup&gt;","plainTextFormattedCitation":"20","previouslyFormattedCitation":"&lt;sup&gt;20&lt;/sup&gt;"},"properties":{"noteIndex":0},"schema":"https://github.com/citation-style-language/schema/raw/master/csl-citation.json"}</w:instrText>
      </w:r>
      <w:r w:rsidR="006D4E71" w:rsidRPr="00135762">
        <w:rPr>
          <w:sz w:val="24"/>
          <w:szCs w:val="24"/>
          <w:vertAlign w:val="superscript"/>
        </w:rPr>
        <w:fldChar w:fldCharType="separate"/>
      </w:r>
      <w:r w:rsidR="00705406" w:rsidRPr="00705406">
        <w:rPr>
          <w:noProof/>
          <w:sz w:val="24"/>
          <w:szCs w:val="24"/>
          <w:vertAlign w:val="superscript"/>
        </w:rPr>
        <w:t>20</w:t>
      </w:r>
      <w:r w:rsidR="006D4E71" w:rsidRPr="00135762">
        <w:rPr>
          <w:sz w:val="24"/>
          <w:szCs w:val="24"/>
        </w:rPr>
        <w:fldChar w:fldCharType="end"/>
      </w:r>
      <w:r w:rsidR="00693189" w:rsidRPr="00135762">
        <w:rPr>
          <w:sz w:val="24"/>
          <w:szCs w:val="24"/>
        </w:rPr>
        <w:t xml:space="preserve">, </w:t>
      </w:r>
      <w:r w:rsidR="00F965CE" w:rsidRPr="00135762">
        <w:rPr>
          <w:sz w:val="24"/>
          <w:szCs w:val="24"/>
        </w:rPr>
        <w:t xml:space="preserve">the </w:t>
      </w:r>
      <w:r w:rsidR="00693189" w:rsidRPr="00135762">
        <w:rPr>
          <w:sz w:val="24"/>
          <w:szCs w:val="24"/>
        </w:rPr>
        <w:t>International Society for Pediatric and Adolescent Diabetes</w:t>
      </w:r>
      <w:r w:rsidR="006D4E71" w:rsidRPr="00135762">
        <w:rPr>
          <w:sz w:val="24"/>
          <w:szCs w:val="24"/>
        </w:rPr>
        <w:t xml:space="preserve"> (&lt;7.0% </w:t>
      </w:r>
      <w:r w:rsidR="00F965CE" w:rsidRPr="00135762">
        <w:rPr>
          <w:sz w:val="24"/>
          <w:szCs w:val="24"/>
        </w:rPr>
        <w:t xml:space="preserve">or </w:t>
      </w:r>
      <w:r w:rsidR="006D4E71" w:rsidRPr="00135762">
        <w:rPr>
          <w:sz w:val="24"/>
          <w:szCs w:val="24"/>
        </w:rPr>
        <w:t>53 mmol</w:t>
      </w:r>
      <w:r w:rsidR="00F965CE" w:rsidRPr="00135762">
        <w:rPr>
          <w:sz w:val="24"/>
          <w:szCs w:val="24"/>
        </w:rPr>
        <w:t xml:space="preserve"> per </w:t>
      </w:r>
      <w:r w:rsidR="006D4E71" w:rsidRPr="00135762">
        <w:rPr>
          <w:sz w:val="24"/>
          <w:szCs w:val="24"/>
        </w:rPr>
        <w:t>mol)</w:t>
      </w:r>
      <w:r w:rsidR="006D4E71" w:rsidRPr="00135762">
        <w:rPr>
          <w:sz w:val="24"/>
          <w:szCs w:val="24"/>
        </w:rPr>
        <w:fldChar w:fldCharType="begin" w:fldLock="1"/>
      </w:r>
      <w:r w:rsidR="008736A2">
        <w:rPr>
          <w:sz w:val="24"/>
          <w:szCs w:val="24"/>
        </w:rPr>
        <w:instrText>ADDIN CSL_CITATION {"citationItems":[{"id":"ITEM-1","itemData":{"DOI":"10.1111/pedi.12742","ISSN":"1399543X","PMID":"30079595","author":[{"dropping-particle":"","family":"Donaghue","given":"Kim C.","non-dropping-particle":"","parse-names":false,"suffix":""},{"dropping-particle":"","family":"Marcovecchio","given":"M. Loredana","non-dropping-particle":"","parse-names":false,"suffix":""},{"dropping-particle":"","family":"Wadwa","given":"R. P.","non-dropping-particle":"","parse-names":false,"suffix":""},{"dropping-particle":"","family":"Chew","given":"Emily Y.","non-dropping-particle":"","parse-names":false,"suffix":""},{"dropping-particle":"","family":"Wong","given":"Tien Y.","non-dropping-particle":"","parse-names":false,"suffix":""},{"dropping-particle":"","family":"Calliari","given":"Luis Eduardo","non-dropping-particle":"","parse-names":false,"suffix":""},{"dropping-particle":"","family":"Zabeen","given":"Bedowra","non-dropping-particle":"","parse-names":false,"suffix":""},{"dropping-particle":"","family":"Salem","given":"Mona A.","non-dropping-particle":"","parse-names":false,"suffix":""},{"dropping-particle":"","family":"Craig","given":"Maria E.","non-dropping-particle":"","parse-names":false,"suffix":""}],"container-title":"Pediatric Diabetes","id":"ITEM-1","issued":{"date-parts":[["2018","10"]]},"page":"262-274","title":"ISPAD Clinical Practice Consensus Guidelines 2018: Microvascular and macrovascular complications in children and adolescents","type":"article-journal","volume":"19"},"uris":["http://www.mendeley.com/documents/?uuid=79342330-c4b0-317d-b20b-3395ee92f358"]}],"mendeley":{"formattedCitation":"&lt;sup&gt;21&lt;/sup&gt;","plainTextFormattedCitation":"21","previouslyFormattedCitation":"&lt;sup&gt;21&lt;/sup&gt;"},"properties":{"noteIndex":0},"schema":"https://github.com/citation-style-language/schema/raw/master/csl-citation.json"}</w:instrText>
      </w:r>
      <w:r w:rsidR="006D4E71" w:rsidRPr="00135762">
        <w:rPr>
          <w:sz w:val="24"/>
          <w:szCs w:val="24"/>
          <w:vertAlign w:val="superscript"/>
        </w:rPr>
        <w:fldChar w:fldCharType="separate"/>
      </w:r>
      <w:r w:rsidR="00705406" w:rsidRPr="00705406">
        <w:rPr>
          <w:noProof/>
          <w:sz w:val="24"/>
          <w:szCs w:val="24"/>
          <w:vertAlign w:val="superscript"/>
        </w:rPr>
        <w:t>21</w:t>
      </w:r>
      <w:r w:rsidR="006D4E71" w:rsidRPr="00135762">
        <w:rPr>
          <w:sz w:val="24"/>
          <w:szCs w:val="24"/>
        </w:rPr>
        <w:fldChar w:fldCharType="end"/>
      </w:r>
      <w:r w:rsidR="00693189" w:rsidRPr="00135762">
        <w:rPr>
          <w:sz w:val="24"/>
          <w:szCs w:val="24"/>
        </w:rPr>
        <w:t xml:space="preserve">, </w:t>
      </w:r>
      <w:r w:rsidR="00F965CE" w:rsidRPr="00135762">
        <w:rPr>
          <w:sz w:val="24"/>
          <w:szCs w:val="24"/>
        </w:rPr>
        <w:t xml:space="preserve">the </w:t>
      </w:r>
      <w:r w:rsidR="00693189" w:rsidRPr="00135762">
        <w:rPr>
          <w:sz w:val="24"/>
          <w:szCs w:val="24"/>
        </w:rPr>
        <w:t xml:space="preserve">National Institute of Clinical Excellence </w:t>
      </w:r>
      <w:r w:rsidR="00DB706B" w:rsidRPr="00135762">
        <w:rPr>
          <w:sz w:val="24"/>
          <w:szCs w:val="24"/>
        </w:rPr>
        <w:t>(</w:t>
      </w:r>
      <w:r w:rsidR="006D4E71" w:rsidRPr="00135762">
        <w:rPr>
          <w:sz w:val="24"/>
          <w:szCs w:val="24"/>
        </w:rPr>
        <w:t xml:space="preserve">&lt;6.5% </w:t>
      </w:r>
      <w:r w:rsidR="005C7AB7" w:rsidRPr="00135762">
        <w:rPr>
          <w:sz w:val="24"/>
          <w:szCs w:val="24"/>
        </w:rPr>
        <w:t xml:space="preserve">or </w:t>
      </w:r>
      <w:r w:rsidR="006D4E71" w:rsidRPr="00135762">
        <w:rPr>
          <w:sz w:val="24"/>
          <w:szCs w:val="24"/>
        </w:rPr>
        <w:t>48mmol</w:t>
      </w:r>
      <w:r w:rsidR="00F965CE" w:rsidRPr="00135762">
        <w:rPr>
          <w:sz w:val="24"/>
          <w:szCs w:val="24"/>
        </w:rPr>
        <w:t xml:space="preserve"> per </w:t>
      </w:r>
      <w:r w:rsidR="006D4E71" w:rsidRPr="00135762">
        <w:rPr>
          <w:sz w:val="24"/>
          <w:szCs w:val="24"/>
        </w:rPr>
        <w:t>mol)</w:t>
      </w:r>
      <w:r w:rsidR="00E36E86" w:rsidRPr="00135762">
        <w:rPr>
          <w:sz w:val="24"/>
          <w:szCs w:val="24"/>
        </w:rPr>
        <w:fldChar w:fldCharType="begin" w:fldLock="1"/>
      </w:r>
      <w:r w:rsidR="008736A2">
        <w:rPr>
          <w:sz w:val="24"/>
          <w:szCs w:val="24"/>
        </w:rPr>
        <w:instrText>ADDIN CSL_CITATION {"citationItems":[{"id":"ITEM-1","itemData":{"abstract":"The recommendations in this guideline represent the view of NICE, arrived at after careful consideration of the evidence available. When exercising their judgement, professionals are expected to take this guideline fully into account, alongside the individual needs, preferences and values of their patients or service users. The application of the recommendations in this guideline are not mandatory and the guideline does not override the responsibility of healthcare professionals to make decisions appropriate to the circumstances of the individual patient, in consultation with the patient and/or their carer or guardian. Local commissioners and/or providers have a responsibility to enable the guideline to be applied when individual health professionals and their patients or service users wish to use it. They should do so in the context of local and national priorities for funding and developing services, and in light of their duties to have due regard to the need to eliminate unlawful discrimination, to advance equality of opportunity and to reduce health inequalities. Nothing in this guideline should be interpreted in a way that would be inconsistent with compliance with those duties. Diabetes (type 1 and type 2) in children and young people: diagnosis and management (NG18)","id":"ITEM-1","issued":{"date-parts":[["2015"]]},"title":"Diabetes (type 1 and type 2) in children Diabetes (type 1 and type 2) in children and y and young people: diagnosis and oung people: diagnosis and management management NICE guideline","type":"article-journal"},"uris":["http://www.mendeley.com/documents/?uuid=43a94272-c0e9-39af-aab0-5544013f0163"]}],"mendeley":{"formattedCitation":"&lt;sup&gt;22&lt;/sup&gt;","plainTextFormattedCitation":"22","previouslyFormattedCitation":"&lt;sup&gt;22&lt;/sup&gt;"},"properties":{"noteIndex":0},"schema":"https://github.com/citation-style-language/schema/raw/master/csl-citation.json"}</w:instrText>
      </w:r>
      <w:r w:rsidR="00E36E86" w:rsidRPr="00135762">
        <w:rPr>
          <w:sz w:val="24"/>
          <w:szCs w:val="24"/>
        </w:rPr>
        <w:fldChar w:fldCharType="separate"/>
      </w:r>
      <w:r w:rsidR="00705406" w:rsidRPr="00705406">
        <w:rPr>
          <w:noProof/>
          <w:sz w:val="24"/>
          <w:szCs w:val="24"/>
          <w:vertAlign w:val="superscript"/>
        </w:rPr>
        <w:t>22</w:t>
      </w:r>
      <w:r w:rsidR="00E36E86" w:rsidRPr="00135762">
        <w:rPr>
          <w:sz w:val="24"/>
          <w:szCs w:val="24"/>
        </w:rPr>
        <w:fldChar w:fldCharType="end"/>
      </w:r>
      <w:r w:rsidR="006D4E71" w:rsidRPr="00135762">
        <w:rPr>
          <w:sz w:val="24"/>
          <w:szCs w:val="24"/>
        </w:rPr>
        <w:t xml:space="preserve"> </w:t>
      </w:r>
      <w:r w:rsidR="00693189" w:rsidRPr="00135762">
        <w:rPr>
          <w:sz w:val="24"/>
          <w:szCs w:val="24"/>
        </w:rPr>
        <w:t>and other organisations</w:t>
      </w:r>
      <w:r w:rsidR="00D57BA1" w:rsidRPr="00135762">
        <w:rPr>
          <w:sz w:val="24"/>
          <w:szCs w:val="24"/>
        </w:rPr>
        <w:fldChar w:fldCharType="begin" w:fldLock="1"/>
      </w:r>
      <w:r w:rsidR="008736A2">
        <w:rPr>
          <w:sz w:val="24"/>
          <w:szCs w:val="24"/>
        </w:rPr>
        <w:instrText>ADDIN CSL_CITATION {"citationItems":[{"id":"ITEM-1","itemData":{"DOI":"10.1016/j.jcjd.2017.10.036","ISSN":"14992671","PMID":"29650103","author":[{"dropping-particle":"","family":"Wherrett","given":"Diane K.","non-dropping-particle":"","parse-names":false,"suffix":""},{"dropping-particle":"","family":"Ho","given":"Josephine","non-dropping-particle":"","parse-names":false,"suffix":""},{"dropping-particle":"","family":"Huot","given":"Céline","non-dropping-particle":"","parse-names":false,"suffix":""},{"dropping-particle":"","family":"Legault","given":"Laurent","non-dropping-particle":"","parse-names":false,"suffix":""},{"dropping-particle":"","family":"Nakhla","given":"Meranda","non-dropping-particle":"","parse-names":false,"suffix":""},{"dropping-particle":"","family":"Rosolowsky","given":"Elizabeth","non-dropping-particle":"","parse-names":false,"suffix":""},{"dropping-particle":"","family":"Rosolowsky","given":"Elizabeth","non-dropping-particle":"","parse-names":false,"suffix":""}],"container-title":"Canadian Journal of Diabetes","id":"ITEM-1","issued":{"date-parts":[["2018","4"]]},"page":"S234-S246","title":"Type 1 Diabetes in Children and Adolescents","type":"article-journal","volume":"42"},"uris":["http://www.mendeley.com/documents/?uuid=25884803-d17b-335f-a785-3e6386aeff6b"]}],"mendeley":{"formattedCitation":"&lt;sup&gt;23&lt;/sup&gt;","plainTextFormattedCitation":"23","previouslyFormattedCitation":"&lt;sup&gt;23&lt;/sup&gt;"},"properties":{"noteIndex":0},"schema":"https://github.com/citation-style-language/schema/raw/master/csl-citation.json"}</w:instrText>
      </w:r>
      <w:r w:rsidR="00D57BA1" w:rsidRPr="00135762">
        <w:rPr>
          <w:sz w:val="24"/>
          <w:szCs w:val="24"/>
        </w:rPr>
        <w:fldChar w:fldCharType="separate"/>
      </w:r>
      <w:r w:rsidR="00705406" w:rsidRPr="00705406">
        <w:rPr>
          <w:noProof/>
          <w:sz w:val="24"/>
          <w:szCs w:val="24"/>
          <w:vertAlign w:val="superscript"/>
        </w:rPr>
        <w:t>23</w:t>
      </w:r>
      <w:r w:rsidR="00D57BA1" w:rsidRPr="00135762">
        <w:rPr>
          <w:sz w:val="24"/>
          <w:szCs w:val="24"/>
        </w:rPr>
        <w:fldChar w:fldCharType="end"/>
      </w:r>
      <w:r w:rsidR="00693189" w:rsidRPr="00135762">
        <w:rPr>
          <w:sz w:val="24"/>
          <w:szCs w:val="24"/>
        </w:rPr>
        <w:t>.</w:t>
      </w:r>
      <w:r w:rsidR="00F96BE4" w:rsidRPr="00135762">
        <w:rPr>
          <w:sz w:val="24"/>
          <w:szCs w:val="24"/>
        </w:rPr>
        <w:t xml:space="preserve"> </w:t>
      </w:r>
    </w:p>
    <w:p w14:paraId="381569BD" w14:textId="77777777" w:rsidR="00B24B38" w:rsidRPr="00135762" w:rsidRDefault="00B24B38" w:rsidP="00625086">
      <w:pPr>
        <w:spacing w:after="0" w:line="360" w:lineRule="auto"/>
        <w:rPr>
          <w:sz w:val="24"/>
          <w:szCs w:val="24"/>
        </w:rPr>
      </w:pPr>
    </w:p>
    <w:p w14:paraId="5312D178" w14:textId="6A72DB8A" w:rsidR="003827EB" w:rsidRPr="00135762" w:rsidRDefault="003827EB" w:rsidP="00625086">
      <w:pPr>
        <w:spacing w:after="0" w:line="360" w:lineRule="auto"/>
        <w:rPr>
          <w:sz w:val="24"/>
          <w:szCs w:val="24"/>
        </w:rPr>
      </w:pPr>
      <w:r w:rsidRPr="00135762">
        <w:rPr>
          <w:i/>
          <w:sz w:val="24"/>
          <w:szCs w:val="24"/>
        </w:rPr>
        <w:t>Improvements in management.</w:t>
      </w:r>
      <w:r w:rsidRPr="00135762">
        <w:rPr>
          <w:sz w:val="24"/>
          <w:szCs w:val="24"/>
        </w:rPr>
        <w:t xml:space="preserve"> </w:t>
      </w:r>
    </w:p>
    <w:p w14:paraId="2BEB1924" w14:textId="7AB36D33" w:rsidR="006D4E71" w:rsidRPr="00135762" w:rsidRDefault="003859FD" w:rsidP="00625086">
      <w:pPr>
        <w:spacing w:after="0" w:line="360" w:lineRule="auto"/>
        <w:rPr>
          <w:sz w:val="24"/>
          <w:szCs w:val="24"/>
        </w:rPr>
      </w:pPr>
      <w:r w:rsidRPr="00135762">
        <w:rPr>
          <w:sz w:val="24"/>
          <w:szCs w:val="24"/>
        </w:rPr>
        <w:t>A</w:t>
      </w:r>
      <w:r w:rsidR="00625086" w:rsidRPr="00135762">
        <w:rPr>
          <w:sz w:val="24"/>
          <w:szCs w:val="24"/>
        </w:rPr>
        <w:t>mbitious targets</w:t>
      </w:r>
      <w:r w:rsidR="003827EB" w:rsidRPr="00135762">
        <w:rPr>
          <w:sz w:val="24"/>
          <w:szCs w:val="24"/>
        </w:rPr>
        <w:t xml:space="preserve"> for glycaemic </w:t>
      </w:r>
      <w:r w:rsidR="003827EB" w:rsidRPr="00610D92">
        <w:rPr>
          <w:sz w:val="24"/>
          <w:szCs w:val="24"/>
        </w:rPr>
        <w:t>control</w:t>
      </w:r>
      <w:r w:rsidR="00610D92" w:rsidRPr="00610D92">
        <w:rPr>
          <w:sz w:val="24"/>
          <w:szCs w:val="24"/>
        </w:rPr>
        <w:t xml:space="preserve"> </w:t>
      </w:r>
      <w:r w:rsidR="00625086" w:rsidRPr="00610D92">
        <w:rPr>
          <w:sz w:val="24"/>
          <w:szCs w:val="24"/>
        </w:rPr>
        <w:t>h</w:t>
      </w:r>
      <w:r w:rsidR="00625086" w:rsidRPr="00135762">
        <w:rPr>
          <w:sz w:val="24"/>
          <w:szCs w:val="24"/>
        </w:rPr>
        <w:t xml:space="preserve">ave </w:t>
      </w:r>
      <w:r w:rsidR="003827EB" w:rsidRPr="00135762">
        <w:rPr>
          <w:sz w:val="24"/>
          <w:szCs w:val="24"/>
        </w:rPr>
        <w:t>been partly</w:t>
      </w:r>
      <w:r w:rsidR="00625086" w:rsidRPr="00135762">
        <w:rPr>
          <w:sz w:val="24"/>
          <w:szCs w:val="24"/>
        </w:rPr>
        <w:t xml:space="preserve"> driven </w:t>
      </w:r>
      <w:r w:rsidR="003827EB" w:rsidRPr="00135762">
        <w:rPr>
          <w:sz w:val="24"/>
          <w:szCs w:val="24"/>
        </w:rPr>
        <w:t>by considerable</w:t>
      </w:r>
      <w:r w:rsidR="00625086" w:rsidRPr="00135762">
        <w:rPr>
          <w:sz w:val="24"/>
          <w:szCs w:val="24"/>
        </w:rPr>
        <w:t xml:space="preserve"> developments in the care and management of young people with </w:t>
      </w:r>
      <w:r w:rsidR="003827EB" w:rsidRPr="00135762">
        <w:rPr>
          <w:sz w:val="24"/>
          <w:szCs w:val="24"/>
        </w:rPr>
        <w:t>T1DM</w:t>
      </w:r>
      <w:r w:rsidR="00625086" w:rsidRPr="00135762">
        <w:rPr>
          <w:sz w:val="24"/>
          <w:szCs w:val="24"/>
        </w:rPr>
        <w:fldChar w:fldCharType="begin" w:fldLock="1"/>
      </w:r>
      <w:r w:rsidR="008736A2">
        <w:rPr>
          <w:sz w:val="24"/>
          <w:szCs w:val="24"/>
        </w:rPr>
        <w:instrText>ADDIN CSL_CITATION {"citationItems":[{"id":"ITEM-1","itemData":{"DOI":"10.1038/s41574-018-0044-y","ISSN":"1759-5029","PMID":"29946127","abstract":"Type 1 diabetes mellitus (T1DM) represents 5-10% of diabetes cases worldwide. The incidence of T1DM is increasing, and there is no immediate prospect of a cure. As such, lifelong management is required, the burden of which is being eased by novel treatment modalities, particularly from the field of diabetes technologies. Continuous glucose monitoring has become the standard of care and includes factory-calibrated subcutaneous glucose monitoring and long-term implantable glucose sensing. In addition, considerable progress has been made in technology-enabled glucose-responsive insulin delivery. The first hybrid insulin-only closed-loop system has been commercialized, and other closed-loop systems are under development, including dual-hormone glucose control systems. This Review focuses on well-established diabetes technologies, including glucose sensing, pen-based insulin delivery, data management and data analytics. We also cover insulin pump therapy, threshold-based suspend, predictive low-glucose suspend and single-hormone and dual-hormone closed-loop systems. Clinical practice recommendations for insulin pump therapy and continuous glucose monitoring are presented, and ongoing research and future prospects are highlighted. We conclude that the management of T1DM is improved by diabetes technology for the benefit of the majority of people with T1DM, their caregivers and guardians and health-care professionals treating patients with T1DM.","author":[{"dropping-particle":"","family":"Tauschmann","given":"Martin","non-dropping-particle":"","parse-names":false,"suffix":""},{"dropping-particle":"","family":"Hovorka","given":"Roman","non-dropping-particle":"","parse-names":false,"suffix":""}],"container-title":"Nature Reviews Endocrinology","id":"ITEM-1","issue":"8","issued":{"date-parts":[["2018","8","26"]]},"page":"464-475","title":"Technology in the management of type 1 diabetes mellitus — current status and future prospects","type":"article-journal","volume":"14"},"uris":["http://www.mendeley.com/documents/?uuid=6e143ab6-4c43-309e-9fe7-59302fabef87"]},{"id":"ITEM-2","itemData":{"DOI":"10.1111/dme.13588","ISSN":"07423071","PMID":"29356074","abstract":"With the evolution of diabetes technology, those living with Type 1 diabetes are given a wider arsenal of tools with which to achieve glycaemic control and improve patient-reported outcomes. Furthermore, the use of these technologies may help reduce the risk of acute complications, such as severe hypoglycaemia and diabetic ketoacidosis, as well as long-term macro- and microvascular complications. In addition, diabetes technology can have a beneficial impact on psychosocial health by reducing the burden of diabetes. Unfortunately, diabetes goals are often unmet and people with Type 1 diabetes too frequently experience acute and long-term complications of this condition, in addition to often having less than ideal psychosocial outcomes. Increasing realization of the importance of patient-reported outcomes is leading to diabetes care delivery becoming more patient-centred. Diabetes technology in the form of medical devices, digital health and big data analytics have the potential to improve clinical care and psychosocial support, resulting in lower rates of acute and chronic complications, decreased burden of diabetes care, and improved quality of life.","author":[{"dropping-particle":"","family":"Prahalad","given":"P.","non-dropping-particle":"","parse-names":false,"suffix":""},{"dropping-particle":"","family":"Tanenbaum","given":"M.","non-dropping-particle":"","parse-names":false,"suffix":""},{"dropping-particle":"","family":"Hood","given":"K.","non-dropping-particle":"","parse-names":false,"suffix":""},{"dropping-particle":"","family":"Maahs","given":"D. M.","non-dropping-particle":"","parse-names":false,"suffix":""}],"container-title":"Diabetic Medicine","id":"ITEM-2","issue":"4","issued":{"date-parts":[["2018","4"]]},"page":"419-429","title":"Diabetes technology: improving care, improving patient-reported outcomes and preventing complications in young people with Type 1 diabetes","type":"article-journal","volume":"35"},"uris":["http://www.mendeley.com/documents/?uuid=03b830a5-e0f3-31e4-81e0-3c9e80cbb105"]}],"mendeley":{"formattedCitation":"&lt;sup&gt;24,25&lt;/sup&gt;","plainTextFormattedCitation":"24,25","previouslyFormattedCitation":"&lt;sup&gt;24,25&lt;/sup&gt;"},"properties":{"noteIndex":0},"schema":"https://github.com/citation-style-language/schema/raw/master/csl-citation.json"}</w:instrText>
      </w:r>
      <w:r w:rsidR="00625086" w:rsidRPr="00135762">
        <w:rPr>
          <w:sz w:val="24"/>
          <w:szCs w:val="24"/>
          <w:vertAlign w:val="superscript"/>
        </w:rPr>
        <w:fldChar w:fldCharType="separate"/>
      </w:r>
      <w:r w:rsidR="00705406" w:rsidRPr="00705406">
        <w:rPr>
          <w:noProof/>
          <w:sz w:val="24"/>
          <w:szCs w:val="24"/>
          <w:vertAlign w:val="superscript"/>
        </w:rPr>
        <w:t>24,25</w:t>
      </w:r>
      <w:r w:rsidR="00625086" w:rsidRPr="00135762">
        <w:rPr>
          <w:sz w:val="24"/>
          <w:szCs w:val="24"/>
        </w:rPr>
        <w:fldChar w:fldCharType="end"/>
      </w:r>
      <w:r w:rsidR="00625086" w:rsidRPr="00135762">
        <w:rPr>
          <w:sz w:val="24"/>
          <w:szCs w:val="24"/>
        </w:rPr>
        <w:t>.</w:t>
      </w:r>
      <w:r w:rsidR="00F96BE4" w:rsidRPr="00135762">
        <w:rPr>
          <w:sz w:val="24"/>
          <w:szCs w:val="24"/>
        </w:rPr>
        <w:t xml:space="preserve"> </w:t>
      </w:r>
      <w:r w:rsidR="00625086" w:rsidRPr="00135762">
        <w:rPr>
          <w:sz w:val="24"/>
          <w:szCs w:val="24"/>
        </w:rPr>
        <w:t xml:space="preserve">The most </w:t>
      </w:r>
      <w:r w:rsidR="00965B40" w:rsidRPr="00135762">
        <w:rPr>
          <w:sz w:val="24"/>
          <w:szCs w:val="24"/>
        </w:rPr>
        <w:lastRenderedPageBreak/>
        <w:t>important</w:t>
      </w:r>
      <w:r w:rsidR="00610D92">
        <w:rPr>
          <w:sz w:val="24"/>
          <w:szCs w:val="24"/>
        </w:rPr>
        <w:t xml:space="preserve"> </w:t>
      </w:r>
      <w:r w:rsidR="00625086" w:rsidRPr="00135762">
        <w:rPr>
          <w:sz w:val="24"/>
          <w:szCs w:val="24"/>
        </w:rPr>
        <w:t>developments have been in the monitoring of day to day changes in glucose levels using continuous glucose monitoring systems, refinements in insulin delivery with new insulin analogues and the increasing use of insulin pump therapy to improve insulin delivery</w:t>
      </w:r>
      <w:r w:rsidR="00625086" w:rsidRPr="00135762">
        <w:rPr>
          <w:sz w:val="24"/>
          <w:szCs w:val="24"/>
        </w:rPr>
        <w:fldChar w:fldCharType="begin" w:fldLock="1"/>
      </w:r>
      <w:r w:rsidR="008736A2">
        <w:rPr>
          <w:sz w:val="24"/>
          <w:szCs w:val="24"/>
        </w:rPr>
        <w:instrText>ADDIN CSL_CITATION {"citationItems":[{"id":"ITEM-1","itemData":{"DOI":"10.1038/s41574-018-0044-y","ISSN":"1759-5029","PMID":"29946127","abstract":"Type 1 diabetes mellitus (T1DM) represents 5-10% of diabetes cases worldwide. The incidence of T1DM is increasing, and there is no immediate prospect of a cure. As such, lifelong management is required, the burden of which is being eased by novel treatment modalities, particularly from the field of diabetes technologies. Continuous glucose monitoring has become the standard of care and includes factory-calibrated subcutaneous glucose monitoring and long-term implantable glucose sensing. In addition, considerable progress has been made in technology-enabled glucose-responsive insulin delivery. The first hybrid insulin-only closed-loop system has been commercialized, and other closed-loop systems are under development, including dual-hormone glucose control systems. This Review focuses on well-established diabetes technologies, including glucose sensing, pen-based insulin delivery, data management and data analytics. We also cover insulin pump therapy, threshold-based suspend, predictive low-glucose suspend and single-hormone and dual-hormone closed-loop systems. Clinical practice recommendations for insulin pump therapy and continuous glucose monitoring are presented, and ongoing research and future prospects are highlighted. We conclude that the management of T1DM is improved by diabetes technology for the benefit of the majority of people with T1DM, their caregivers and guardians and health-care professionals treating patients with T1DM.","author":[{"dropping-particle":"","family":"Tauschmann","given":"Martin","non-dropping-particle":"","parse-names":false,"suffix":""},{"dropping-particle":"","family":"Hovorka","given":"Roman","non-dropping-particle":"","parse-names":false,"suffix":""}],"container-title":"Nature Reviews Endocrinology","id":"ITEM-1","issue":"8","issued":{"date-parts":[["2018","8","26"]]},"page":"464-475","title":"Technology in the management of type 1 diabetes mellitus — current status and future prospects","type":"article-journal","volume":"14"},"uris":["http://www.mendeley.com/documents/?uuid=6e143ab6-4c43-309e-9fe7-59302fabef87"]}],"mendeley":{"formattedCitation":"&lt;sup&gt;24&lt;/sup&gt;","plainTextFormattedCitation":"24","previouslyFormattedCitation":"&lt;sup&gt;24&lt;/sup&gt;"},"properties":{"noteIndex":0},"schema":"https://github.com/citation-style-language/schema/raw/master/csl-citation.json"}</w:instrText>
      </w:r>
      <w:r w:rsidR="00625086" w:rsidRPr="00135762">
        <w:rPr>
          <w:sz w:val="24"/>
          <w:szCs w:val="24"/>
        </w:rPr>
        <w:fldChar w:fldCharType="separate"/>
      </w:r>
      <w:r w:rsidR="00705406" w:rsidRPr="00705406">
        <w:rPr>
          <w:noProof/>
          <w:sz w:val="24"/>
          <w:szCs w:val="24"/>
          <w:vertAlign w:val="superscript"/>
        </w:rPr>
        <w:t>24</w:t>
      </w:r>
      <w:r w:rsidR="00625086" w:rsidRPr="00135762">
        <w:rPr>
          <w:sz w:val="24"/>
          <w:szCs w:val="24"/>
        </w:rPr>
        <w:fldChar w:fldCharType="end"/>
      </w:r>
      <w:r w:rsidR="00625086" w:rsidRPr="00135762">
        <w:rPr>
          <w:sz w:val="24"/>
          <w:szCs w:val="24"/>
        </w:rPr>
        <w:t>.</w:t>
      </w:r>
      <w:r w:rsidR="00F96BE4" w:rsidRPr="00135762">
        <w:rPr>
          <w:sz w:val="24"/>
          <w:szCs w:val="24"/>
        </w:rPr>
        <w:t xml:space="preserve"> </w:t>
      </w:r>
      <w:r w:rsidR="00965B40" w:rsidRPr="00135762">
        <w:rPr>
          <w:sz w:val="24"/>
          <w:szCs w:val="24"/>
        </w:rPr>
        <w:t>Since 201</w:t>
      </w:r>
      <w:r w:rsidR="00610D92">
        <w:rPr>
          <w:sz w:val="24"/>
          <w:szCs w:val="24"/>
        </w:rPr>
        <w:t>0</w:t>
      </w:r>
      <w:r w:rsidR="00625086" w:rsidRPr="00135762">
        <w:rPr>
          <w:sz w:val="24"/>
          <w:szCs w:val="24"/>
        </w:rPr>
        <w:t>, further progress</w:t>
      </w:r>
      <w:r w:rsidR="00965B40" w:rsidRPr="00135762">
        <w:rPr>
          <w:sz w:val="24"/>
          <w:szCs w:val="24"/>
        </w:rPr>
        <w:t xml:space="preserve"> has been made</w:t>
      </w:r>
      <w:r w:rsidR="00625086" w:rsidRPr="00135762">
        <w:rPr>
          <w:sz w:val="24"/>
          <w:szCs w:val="24"/>
        </w:rPr>
        <w:t xml:space="preserve"> with the introduction of closed loop insulin delivery (</w:t>
      </w:r>
      <w:r w:rsidR="00965B40" w:rsidRPr="00135762">
        <w:rPr>
          <w:sz w:val="24"/>
          <w:szCs w:val="24"/>
        </w:rPr>
        <w:t xml:space="preserve">also known as </w:t>
      </w:r>
      <w:r w:rsidR="00625086" w:rsidRPr="00135762">
        <w:rPr>
          <w:sz w:val="24"/>
          <w:szCs w:val="24"/>
        </w:rPr>
        <w:t xml:space="preserve">artificial pancreas) </w:t>
      </w:r>
      <w:r w:rsidR="00965B40" w:rsidRPr="00135762">
        <w:rPr>
          <w:sz w:val="24"/>
          <w:szCs w:val="24"/>
        </w:rPr>
        <w:t xml:space="preserve">that </w:t>
      </w:r>
      <w:r w:rsidR="00625086" w:rsidRPr="00135762">
        <w:rPr>
          <w:sz w:val="24"/>
          <w:szCs w:val="24"/>
        </w:rPr>
        <w:t>link</w:t>
      </w:r>
      <w:r w:rsidR="00965B40" w:rsidRPr="00135762">
        <w:rPr>
          <w:sz w:val="24"/>
          <w:szCs w:val="24"/>
        </w:rPr>
        <w:t>s</w:t>
      </w:r>
      <w:r w:rsidR="00625086" w:rsidRPr="00135762">
        <w:rPr>
          <w:sz w:val="24"/>
          <w:szCs w:val="24"/>
        </w:rPr>
        <w:t xml:space="preserve"> glucose sensor data </w:t>
      </w:r>
      <w:r w:rsidR="00965B40" w:rsidRPr="00135762">
        <w:rPr>
          <w:sz w:val="24"/>
          <w:szCs w:val="24"/>
        </w:rPr>
        <w:t>to</w:t>
      </w:r>
      <w:r w:rsidR="00625086" w:rsidRPr="00135762">
        <w:rPr>
          <w:sz w:val="24"/>
          <w:szCs w:val="24"/>
        </w:rPr>
        <w:t xml:space="preserve"> a central algorithm</w:t>
      </w:r>
      <w:r w:rsidR="00965B40" w:rsidRPr="00135762">
        <w:rPr>
          <w:sz w:val="24"/>
          <w:szCs w:val="24"/>
        </w:rPr>
        <w:t xml:space="preserve">, </w:t>
      </w:r>
      <w:r w:rsidR="006924E3" w:rsidRPr="00135762">
        <w:rPr>
          <w:sz w:val="24"/>
          <w:szCs w:val="24"/>
        </w:rPr>
        <w:t>which</w:t>
      </w:r>
      <w:r w:rsidR="00625086" w:rsidRPr="00135762">
        <w:rPr>
          <w:sz w:val="24"/>
          <w:szCs w:val="24"/>
        </w:rPr>
        <w:t xml:space="preserve"> improv</w:t>
      </w:r>
      <w:r w:rsidR="006924E3" w:rsidRPr="00135762">
        <w:rPr>
          <w:sz w:val="24"/>
          <w:szCs w:val="24"/>
        </w:rPr>
        <w:t>es</w:t>
      </w:r>
      <w:r w:rsidR="00625086" w:rsidRPr="00135762">
        <w:rPr>
          <w:sz w:val="24"/>
          <w:szCs w:val="24"/>
        </w:rPr>
        <w:t xml:space="preserve"> the accuracy of insulin delivery</w:t>
      </w:r>
      <w:r w:rsidR="00934E0F" w:rsidRPr="00135762">
        <w:rPr>
          <w:sz w:val="24"/>
          <w:szCs w:val="24"/>
        </w:rPr>
        <w:fldChar w:fldCharType="begin" w:fldLock="1"/>
      </w:r>
      <w:r w:rsidR="008736A2">
        <w:rPr>
          <w:sz w:val="24"/>
          <w:szCs w:val="24"/>
        </w:rPr>
        <w:instrText>ADDIN CSL_CITATION {"citationItems":[{"id":"ITEM-1","itemData":{"DOI":"10.1016/S0140-6736(09)61998-X","ISSN":"1474-547X","PMID":"20138357","abstract":"BACKGROUND Closed-loop systems link continuous glucose measurements to insulin delivery. We aimed to establish whether closed-loop insulin delivery could control overnight blood glucose in young people. METHODS We undertook three randomised crossover studies in 19 patients aged 5-18 years with type 1 diabetes of duration 6.4 years (SD 4.0). We compared standard continuous subcutaneous insulin infusion and closed-loop delivery (n=13; APCam01); closed-loop delivery after rapidly and slowly absorbed meals (n=7; APCam02); and closed-loop delivery and standard treatment after exercise (n=10; APCam03). Allocation was by computer-generated random code. Participants were masked to plasma and sensor glucose. In APCam01, investigators were masked to plasma glucose. During closed-loop nights, glucose measurements were fed every 15 min into a control algorithm calculating rate of insulin infusion, and a nurse adjusted the insulin pump. During control nights, patients' standard pump settings were applied. Primary outcomes were time for which plasma glucose concentration was 3.91-8.00 mmol/L or 3.90 mmol/L or lower. Analysis was per protocol. This trial is registered, number ISRCTN18155883. FINDINGS 17 patients were studied for 33 closed-loop and 21 continuous infusion nights. Primary outcomes did not differ significantly between treatment groups in APCam01 (12 analysed; target range, median 52% [IQR 43-83] closed loop vs 39% [15-51] standard treatment, p=0.06; &lt;or=3.90 mmol/L, 1% [0-7] vs 2% [0-41], p=0.13), APCam02 (six analysed; target range, rapidly 53% [48-57] vs slowly absorbed meal 55% [37-64], p=0.97; &lt;or=3.90 mmol/L, 0% [0-4] vs 0% [0-0], p=0.16]), and APCam03 (nine analysed; target range 78% [60-92] closed loop vs 43% [25-65] control, p=0.0245, not significant at corrected level; &lt;or=3.90 mmol/L, 10% [2-15] vs 6% [0-44], p=0.27). A secondary analysis of pooled data documented increased time in the target range (60% [51-88] vs 40% [18-61]; p=0.0022) and reduced time for which glucose concentrations were 3.90 mmol/L or lower (2.1% (0.0-10.0) vs 4.1% (0.0-42.0); p=0.0304). No events with plasma glucose concentration lower than 3.0 mmol/L were recorded during closed-loop delivery, compared with nine events during standard treatment. INTERPRETATION Closed-loop systems could reduce risk of nocturnal hypoglycaemia in children and adolescents with type 1 diabetes. FUNDING Juvenile Diabetes Research Foundation; European Foundation for Study of Diabetes; Medical Rese…","author":[{"dropping-particle":"","family":"Hovorka","given":"Roman","non-dropping-particle":"","parse-names":false,"suffix":""},{"dropping-particle":"","family":"Allen","given":"Janet M","non-dropping-particle":"","parse-names":false,"suffix":""},{"dropping-particle":"","family":"Elleri","given":"Daniela","non-dropping-particle":"","parse-names":false,"suffix":""},{"dropping-particle":"","family":"Chassin","given":"Ludovic J","non-dropping-particle":"","parse-names":false,"suffix":""},{"dropping-particle":"","family":"Harris","given":"Julie","non-dropping-particle":"","parse-names":false,"suffix":""},{"dropping-particle":"","family":"Xing","given":"Dongyuan","non-dropping-particle":"","parse-names":false,"suffix":""},{"dropping-particle":"","family":"Kollman","given":"Craig","non-dropping-particle":"","parse-names":false,"suffix":""},{"dropping-particle":"","family":"Hovorka","given":"Tomas","non-dropping-particle":"","parse-names":false,"suffix":""},{"dropping-particle":"","family":"Larsen","given":"Anne Mette F","non-dropping-particle":"","parse-names":false,"suffix":""},{"dropping-particle":"","family":"Nodale","given":"Marianna","non-dropping-particle":"","parse-names":false,"suffix":""},{"dropping-particle":"","family":"Palma","given":"Alessandra","non-dropping-particle":"De","parse-names":false,"suffix":""},{"dropping-particle":"","family":"Wilinska","given":"Malgorzata E","non-dropping-particle":"","parse-names":false,"suffix":""},{"dropping-particle":"","family":"Acerini","given":"Carlo L","non-dropping-particle":"","parse-names":false,"suffix":""},{"dropping-particle":"","family":"Dunger","given":"David B","non-dropping-particle":"","parse-names":false,"suffix":""}],"container-title":"Lancet (London, England)","id":"ITEM-1","issue":"9716","issued":{"date-parts":[["2010","2","27"]]},"page":"743-51","title":"Manual closed-loop insulin delivery in children and adolescents with type 1 diabetes: a phase 2 randomised crossover trial.","type":"article-journal","volume":"375"},"uris":["http://www.mendeley.com/documents/?uuid=e075e250-12fa-3810-b44b-a98ff39a2bc2","http://www.mendeley.com/documents/?uuid=b5cb3806-1e0c-40b5-a7bf-9fbc43689184"]}],"mendeley":{"formattedCitation":"&lt;sup&gt;26&lt;/sup&gt;","plainTextFormattedCitation":"26","previouslyFormattedCitation":"&lt;sup&gt;26&lt;/sup&gt;"},"properties":{"noteIndex":0},"schema":"https://github.com/citation-style-language/schema/raw/master/csl-citation.json"}</w:instrText>
      </w:r>
      <w:r w:rsidR="00934E0F" w:rsidRPr="00135762">
        <w:rPr>
          <w:sz w:val="24"/>
          <w:szCs w:val="24"/>
        </w:rPr>
        <w:fldChar w:fldCharType="separate"/>
      </w:r>
      <w:r w:rsidR="00705406" w:rsidRPr="00705406">
        <w:rPr>
          <w:noProof/>
          <w:sz w:val="24"/>
          <w:szCs w:val="24"/>
          <w:vertAlign w:val="superscript"/>
        </w:rPr>
        <w:t>26</w:t>
      </w:r>
      <w:r w:rsidR="00934E0F" w:rsidRPr="00135762">
        <w:rPr>
          <w:sz w:val="24"/>
          <w:szCs w:val="24"/>
        </w:rPr>
        <w:fldChar w:fldCharType="end"/>
      </w:r>
      <w:r w:rsidR="0046150A" w:rsidRPr="00135762">
        <w:rPr>
          <w:sz w:val="24"/>
          <w:szCs w:val="24"/>
        </w:rPr>
        <w:t>.</w:t>
      </w:r>
      <w:r w:rsidR="00F96BE4" w:rsidRPr="00135762">
        <w:rPr>
          <w:sz w:val="24"/>
          <w:szCs w:val="24"/>
        </w:rPr>
        <w:t xml:space="preserve"> </w:t>
      </w:r>
      <w:r w:rsidR="006924E3" w:rsidRPr="00135762">
        <w:rPr>
          <w:sz w:val="24"/>
          <w:szCs w:val="24"/>
        </w:rPr>
        <w:t>Closed loop insulin delivery</w:t>
      </w:r>
      <w:r w:rsidR="00625086" w:rsidRPr="00135762">
        <w:rPr>
          <w:sz w:val="24"/>
          <w:szCs w:val="24"/>
        </w:rPr>
        <w:t xml:space="preserve"> </w:t>
      </w:r>
      <w:r w:rsidR="00307D49" w:rsidRPr="00135762">
        <w:rPr>
          <w:sz w:val="24"/>
          <w:szCs w:val="24"/>
        </w:rPr>
        <w:t xml:space="preserve">may </w:t>
      </w:r>
      <w:r w:rsidR="00625086" w:rsidRPr="00135762">
        <w:rPr>
          <w:sz w:val="24"/>
          <w:szCs w:val="24"/>
        </w:rPr>
        <w:t xml:space="preserve">increase time in </w:t>
      </w:r>
      <w:r w:rsidR="006924E3" w:rsidRPr="00135762">
        <w:rPr>
          <w:sz w:val="24"/>
          <w:szCs w:val="24"/>
        </w:rPr>
        <w:t xml:space="preserve">the </w:t>
      </w:r>
      <w:r w:rsidR="00625086" w:rsidRPr="00135762">
        <w:rPr>
          <w:sz w:val="24"/>
          <w:szCs w:val="24"/>
        </w:rPr>
        <w:t>target range</w:t>
      </w:r>
      <w:r w:rsidR="006924E3" w:rsidRPr="00135762">
        <w:rPr>
          <w:sz w:val="24"/>
          <w:szCs w:val="24"/>
        </w:rPr>
        <w:t xml:space="preserve"> for glucose levels</w:t>
      </w:r>
      <w:r w:rsidR="00625086" w:rsidRPr="00135762">
        <w:rPr>
          <w:sz w:val="24"/>
          <w:szCs w:val="24"/>
        </w:rPr>
        <w:t xml:space="preserve">, </w:t>
      </w:r>
      <w:r w:rsidR="006924E3" w:rsidRPr="00135762">
        <w:rPr>
          <w:sz w:val="24"/>
          <w:szCs w:val="24"/>
        </w:rPr>
        <w:t xml:space="preserve">thereby </w:t>
      </w:r>
      <w:r w:rsidR="00625086" w:rsidRPr="00135762">
        <w:rPr>
          <w:sz w:val="24"/>
          <w:szCs w:val="24"/>
        </w:rPr>
        <w:t>prevent</w:t>
      </w:r>
      <w:r w:rsidR="00307D49" w:rsidRPr="00135762">
        <w:rPr>
          <w:sz w:val="24"/>
          <w:szCs w:val="24"/>
        </w:rPr>
        <w:t>ing</w:t>
      </w:r>
      <w:r w:rsidR="00625086" w:rsidRPr="00135762">
        <w:rPr>
          <w:sz w:val="24"/>
          <w:szCs w:val="24"/>
        </w:rPr>
        <w:t xml:space="preserve"> hyperglyc</w:t>
      </w:r>
      <w:r w:rsidR="006924E3" w:rsidRPr="00135762">
        <w:rPr>
          <w:sz w:val="24"/>
          <w:szCs w:val="24"/>
        </w:rPr>
        <w:t>a</w:t>
      </w:r>
      <w:r w:rsidR="00625086" w:rsidRPr="00135762">
        <w:rPr>
          <w:sz w:val="24"/>
          <w:szCs w:val="24"/>
        </w:rPr>
        <w:t>emia and avoid</w:t>
      </w:r>
      <w:r w:rsidR="00307D49" w:rsidRPr="00135762">
        <w:rPr>
          <w:sz w:val="24"/>
          <w:szCs w:val="24"/>
        </w:rPr>
        <w:t>ing</w:t>
      </w:r>
      <w:r w:rsidR="00625086" w:rsidRPr="00135762">
        <w:rPr>
          <w:sz w:val="24"/>
          <w:szCs w:val="24"/>
        </w:rPr>
        <w:t xml:space="preserve"> hypoglyc</w:t>
      </w:r>
      <w:r w:rsidR="006924E3" w:rsidRPr="00135762">
        <w:rPr>
          <w:sz w:val="24"/>
          <w:szCs w:val="24"/>
        </w:rPr>
        <w:t>a</w:t>
      </w:r>
      <w:r w:rsidR="00625086" w:rsidRPr="00135762">
        <w:rPr>
          <w:sz w:val="24"/>
          <w:szCs w:val="24"/>
        </w:rPr>
        <w:t>emia</w:t>
      </w:r>
      <w:r w:rsidR="00625086" w:rsidRPr="00135762">
        <w:rPr>
          <w:sz w:val="24"/>
          <w:szCs w:val="24"/>
        </w:rPr>
        <w:fldChar w:fldCharType="begin" w:fldLock="1"/>
      </w:r>
      <w:r w:rsidR="008736A2">
        <w:rPr>
          <w:sz w:val="24"/>
          <w:szCs w:val="24"/>
        </w:rPr>
        <w:instrText>ADDIN CSL_CITATION {"citationItems":[{"id":"ITEM-1","itemData":{"ISSN":"1756-1833","PMID":"29669716","abstract":"OBJECTIVE To evaluate the efficacy and safety of artificial pancreas treatment in non-pregnant outpatients with type 1 diabetes. DESIGN Systematic review and meta-analysis of randomised controlled trials. DATA SOURCES Medline, Embase, Cochrane Library, and grey literature up to 2 February 2018. ELIGIBILITY CRITERIA FOR SELECTING STUDIES Randomised controlled trials in non-pregnant outpatients with type 1 diabetes that compared the use of any artificial pancreas system with any type of insulin based treatment. Primary outcome was proportion (%) of time that sensor glucose level was within the near normoglycaemic range (3.9-10 mmol/L). Secondary outcomes included proportion (%) of time that sensor glucose level was above 10 mmol/L or below 3.9 mmol/L, low blood glucose index overnight, mean sensor glucose level, total daily insulin needs, and glycated haemoglobin. The Cochrane Collaboration risk of bias tool was used to assess study quality. RESULTS 40 studies (1027 participants with data for 44 comparisons) were included in the meta-analysis. 35 comparisons assessed a single hormone artificial pancreas system, whereas nine comparisons assessed a dual hormone system. Only nine studies were at low risk of bias. Proportion of time in the near normoglycaemic range (3.9-10.0 mmol/L) was significantly higher with artificial pancreas use, both overnight (weighted mean difference 15.15%, 95% confidence interval 12.21% to 18.09%) and over a 24 hour period (9.62%, 7.54% to 11.7%). Artificial pancreas systems had a favourable effect on the proportion of time with sensor glucose level above 10 mmol/L (-8.52%, -11.14% to -5.9%) or below 3.9 mmol/L (-1.49%, -1.86% to -1.11%) over 24 hours, compared with control treatment. Robustness of findings for the primary outcome was verified in sensitivity analyses, by including only trials at low risk of bias (11.64%, 9.1% to 14.18%) or trials under unsupervised, normal living conditions (10.42%, 8.63% to 12.2%). Results were consistent in a subgroup analysis both for single hormone and dual hormone artificial pancreas systems. CONCLUSIONS Artificial pancreas systems are an efficacious and safe approach for treating outpatients with type 1 diabetes. The main limitations of current research evidence on artificial pancreas systems are related to inconsistency in outcome reporting, small sample size, and short follow-up duration of individual trials.","author":[{"dropping-particle":"","family":"Bekiari","given":"Eleni","non-dropping-particle":"","parse-names":false,"suffix":""},{"dropping-particle":"","family":"Kitsios","given":"Konstantinos","non-dropping-particle":"","parse-names":false,"suffix":""},{"dropping-particle":"","family":"Thabit","given":"Hood","non-dropping-particle":"","parse-names":false,"suffix":""},{"dropping-particle":"","family":"Tauschmann","given":"Martin","non-dropping-particle":"","parse-names":false,"suffix":""},{"dropping-particle":"","family":"Athanasiadou","given":"Eleni","non-dropping-particle":"","parse-names":false,"suffix":""},{"dropping-particle":"","family":"Karagiannis","given":"Thomas","non-dropping-particle":"","parse-names":false,"suffix":""},{"dropping-particle":"","family":"Haidich","given":"Anna-Bettina","non-dropping-particle":"","parse-names":false,"suffix":""},{"dropping-particle":"","family":"Hovorka","given":"Roman","non-dropping-particle":"","parse-names":false,"suffix":""},{"dropping-particle":"","family":"Tsapas","given":"Apostolos","non-dropping-particle":"","parse-names":false,"suffix":""}],"container-title":"BMJ (Clinical research ed.)","id":"ITEM-1","issued":{"date-parts":[["2018","4","18"]]},"page":"k1310","title":"Artificial pancreas treatment for outpatients with type 1 diabetes: systematic review and meta-analysis.","type":"article-journal","volume":"361"},"uris":["http://www.mendeley.com/documents/?uuid=f02e9c57-41c0-3a72-aa8b-9ab71dfb11a3"]}],"mendeley":{"formattedCitation":"&lt;sup&gt;27&lt;/sup&gt;","plainTextFormattedCitation":"27","previouslyFormattedCitation":"&lt;sup&gt;27&lt;/sup&gt;"},"properties":{"noteIndex":0},"schema":"https://github.com/citation-style-language/schema/raw/master/csl-citation.json"}</w:instrText>
      </w:r>
      <w:r w:rsidR="00625086" w:rsidRPr="00135762">
        <w:rPr>
          <w:sz w:val="24"/>
          <w:szCs w:val="24"/>
        </w:rPr>
        <w:fldChar w:fldCharType="separate"/>
      </w:r>
      <w:r w:rsidR="00705406" w:rsidRPr="00705406">
        <w:rPr>
          <w:noProof/>
          <w:sz w:val="24"/>
          <w:szCs w:val="24"/>
          <w:vertAlign w:val="superscript"/>
        </w:rPr>
        <w:t>27</w:t>
      </w:r>
      <w:r w:rsidR="00625086" w:rsidRPr="00135762">
        <w:rPr>
          <w:sz w:val="24"/>
          <w:szCs w:val="24"/>
        </w:rPr>
        <w:fldChar w:fldCharType="end"/>
      </w:r>
      <w:r w:rsidR="00625086" w:rsidRPr="00135762">
        <w:rPr>
          <w:sz w:val="24"/>
          <w:szCs w:val="24"/>
        </w:rPr>
        <w:t xml:space="preserve">. </w:t>
      </w:r>
    </w:p>
    <w:p w14:paraId="3A1AC06D" w14:textId="77777777" w:rsidR="003E4568" w:rsidRPr="00135762" w:rsidRDefault="003E4568" w:rsidP="002F5161">
      <w:pPr>
        <w:pStyle w:val="BodyA"/>
        <w:spacing w:line="360" w:lineRule="auto"/>
        <w:jc w:val="both"/>
        <w:rPr>
          <w:sz w:val="24"/>
          <w:szCs w:val="24"/>
        </w:rPr>
      </w:pPr>
    </w:p>
    <w:p w14:paraId="4F298D46" w14:textId="50CF5CCC" w:rsidR="000F030A" w:rsidRPr="00135762" w:rsidRDefault="00283B7A" w:rsidP="002F5161">
      <w:pPr>
        <w:pStyle w:val="BodyA"/>
        <w:spacing w:line="360" w:lineRule="auto"/>
        <w:jc w:val="both"/>
        <w:rPr>
          <w:rFonts w:asciiTheme="minorHAnsi" w:hAnsiTheme="minorHAnsi" w:cstheme="minorHAnsi"/>
          <w:sz w:val="24"/>
          <w:szCs w:val="24"/>
          <w:lang w:val="en-GB"/>
        </w:rPr>
      </w:pPr>
      <w:r w:rsidRPr="00135762">
        <w:rPr>
          <w:sz w:val="24"/>
          <w:szCs w:val="24"/>
        </w:rPr>
        <w:t>A</w:t>
      </w:r>
      <w:r w:rsidR="00625086" w:rsidRPr="00135762">
        <w:rPr>
          <w:sz w:val="24"/>
          <w:szCs w:val="24"/>
        </w:rPr>
        <w:t>chiev</w:t>
      </w:r>
      <w:r w:rsidR="002F5161" w:rsidRPr="00135762">
        <w:rPr>
          <w:sz w:val="24"/>
          <w:szCs w:val="24"/>
        </w:rPr>
        <w:t>ing</w:t>
      </w:r>
      <w:r w:rsidR="00625086" w:rsidRPr="00135762">
        <w:rPr>
          <w:sz w:val="24"/>
          <w:szCs w:val="24"/>
        </w:rPr>
        <w:t xml:space="preserve"> </w:t>
      </w:r>
      <w:r w:rsidR="00DB706B" w:rsidRPr="00135762">
        <w:rPr>
          <w:sz w:val="24"/>
          <w:szCs w:val="24"/>
        </w:rPr>
        <w:t xml:space="preserve">the </w:t>
      </w:r>
      <w:r w:rsidR="00625086" w:rsidRPr="00135762">
        <w:rPr>
          <w:sz w:val="24"/>
          <w:szCs w:val="24"/>
        </w:rPr>
        <w:t xml:space="preserve">recommended </w:t>
      </w:r>
      <w:r w:rsidR="00DB706B" w:rsidRPr="00135762">
        <w:rPr>
          <w:sz w:val="24"/>
          <w:szCs w:val="24"/>
        </w:rPr>
        <w:t>glyc</w:t>
      </w:r>
      <w:r w:rsidRPr="00135762">
        <w:rPr>
          <w:sz w:val="24"/>
          <w:szCs w:val="24"/>
        </w:rPr>
        <w:t>a</w:t>
      </w:r>
      <w:r w:rsidR="00625086" w:rsidRPr="00135762">
        <w:rPr>
          <w:sz w:val="24"/>
          <w:szCs w:val="24"/>
        </w:rPr>
        <w:t xml:space="preserve">emic targets to reduce </w:t>
      </w:r>
      <w:r w:rsidRPr="00135762">
        <w:rPr>
          <w:sz w:val="24"/>
          <w:szCs w:val="24"/>
        </w:rPr>
        <w:t xml:space="preserve">the </w:t>
      </w:r>
      <w:r w:rsidR="00625086" w:rsidRPr="00135762">
        <w:rPr>
          <w:sz w:val="24"/>
          <w:szCs w:val="24"/>
        </w:rPr>
        <w:t>risk of long-term complications remains a major challenge in adolescent population</w:t>
      </w:r>
      <w:r w:rsidR="00DB706B" w:rsidRPr="00135762">
        <w:rPr>
          <w:sz w:val="24"/>
          <w:szCs w:val="24"/>
        </w:rPr>
        <w:t xml:space="preserve">s with </w:t>
      </w:r>
      <w:r w:rsidR="00643736" w:rsidRPr="00135762">
        <w:rPr>
          <w:sz w:val="24"/>
          <w:szCs w:val="24"/>
        </w:rPr>
        <w:t>T1DM</w:t>
      </w:r>
      <w:r w:rsidR="00625086" w:rsidRPr="00135762">
        <w:rPr>
          <w:sz w:val="24"/>
          <w:szCs w:val="24"/>
        </w:rPr>
        <w:t xml:space="preserve">, as </w:t>
      </w:r>
      <w:r w:rsidR="00DD56A3" w:rsidRPr="00135762">
        <w:rPr>
          <w:sz w:val="24"/>
          <w:szCs w:val="24"/>
        </w:rPr>
        <w:t>evidenced</w:t>
      </w:r>
      <w:r w:rsidR="006D4E71" w:rsidRPr="00135762">
        <w:rPr>
          <w:sz w:val="24"/>
          <w:szCs w:val="24"/>
        </w:rPr>
        <w:t xml:space="preserve"> by </w:t>
      </w:r>
      <w:r w:rsidR="002F5161" w:rsidRPr="00135762">
        <w:rPr>
          <w:sz w:val="24"/>
          <w:szCs w:val="24"/>
        </w:rPr>
        <w:t>data from the National Pediatric Diabetes A</w:t>
      </w:r>
      <w:r w:rsidR="006D4E71" w:rsidRPr="00135762">
        <w:rPr>
          <w:sz w:val="24"/>
          <w:szCs w:val="24"/>
        </w:rPr>
        <w:t>udit</w:t>
      </w:r>
      <w:r w:rsidR="002F5161" w:rsidRPr="00135762">
        <w:rPr>
          <w:sz w:val="24"/>
          <w:szCs w:val="24"/>
        </w:rPr>
        <w:t xml:space="preserve"> in the UK</w:t>
      </w:r>
      <w:r w:rsidR="006D4E71" w:rsidRPr="00135762">
        <w:rPr>
          <w:sz w:val="24"/>
          <w:szCs w:val="24"/>
        </w:rPr>
        <w:t xml:space="preserve"> (28.9% </w:t>
      </w:r>
      <w:r w:rsidRPr="00135762">
        <w:rPr>
          <w:sz w:val="24"/>
          <w:szCs w:val="24"/>
        </w:rPr>
        <w:t xml:space="preserve">of adolescents </w:t>
      </w:r>
      <w:r w:rsidR="006D4E71" w:rsidRPr="00135762">
        <w:rPr>
          <w:sz w:val="24"/>
          <w:szCs w:val="24"/>
        </w:rPr>
        <w:t>achiev</w:t>
      </w:r>
      <w:r w:rsidRPr="00135762">
        <w:rPr>
          <w:sz w:val="24"/>
          <w:szCs w:val="24"/>
        </w:rPr>
        <w:t>e</w:t>
      </w:r>
      <w:r w:rsidR="006D4E71" w:rsidRPr="00135762">
        <w:rPr>
          <w:sz w:val="24"/>
          <w:szCs w:val="24"/>
        </w:rPr>
        <w:t xml:space="preserve"> </w:t>
      </w:r>
      <w:r w:rsidRPr="00135762">
        <w:rPr>
          <w:sz w:val="24"/>
          <w:szCs w:val="24"/>
        </w:rPr>
        <w:t>HbA</w:t>
      </w:r>
      <w:r w:rsidRPr="00135762">
        <w:rPr>
          <w:sz w:val="24"/>
          <w:szCs w:val="24"/>
          <w:vertAlign w:val="subscript"/>
        </w:rPr>
        <w:t>1c</w:t>
      </w:r>
      <w:r w:rsidRPr="00135762">
        <w:rPr>
          <w:sz w:val="24"/>
          <w:szCs w:val="24"/>
        </w:rPr>
        <w:t xml:space="preserve"> </w:t>
      </w:r>
      <w:r w:rsidR="006D4E71" w:rsidRPr="00135762">
        <w:rPr>
          <w:sz w:val="24"/>
          <w:szCs w:val="24"/>
        </w:rPr>
        <w:t>target</w:t>
      </w:r>
      <w:r w:rsidR="00DD56A3" w:rsidRPr="00135762">
        <w:rPr>
          <w:sz w:val="24"/>
          <w:szCs w:val="24"/>
        </w:rPr>
        <w:t xml:space="preserve"> levels of</w:t>
      </w:r>
      <w:r w:rsidR="006D4E71" w:rsidRPr="00135762">
        <w:rPr>
          <w:sz w:val="24"/>
          <w:szCs w:val="24"/>
        </w:rPr>
        <w:t xml:space="preserve"> &lt;7.5%)</w:t>
      </w:r>
      <w:r w:rsidR="006D4E71" w:rsidRPr="00135762">
        <w:rPr>
          <w:sz w:val="24"/>
          <w:szCs w:val="24"/>
        </w:rPr>
        <w:fldChar w:fldCharType="begin" w:fldLock="1"/>
      </w:r>
      <w:r w:rsidR="008736A2">
        <w:rPr>
          <w:sz w:val="24"/>
          <w:szCs w:val="24"/>
        </w:rPr>
        <w:instrText>ADDIN CSL_CITATION {"citationItems":[{"id":"ITEM-1","itemData":{"URL":"https://www.rcpch.ac.uk/sites/default/files/2018-07/npda_annual_report_2016_-_2017_april_2018_final_updated_2.pdf","author":[{"dropping-particle":"","family":"2016-2017","given":"NPDA National Paediatric Diabetes Audit","non-dropping-particle":"","parse-names":false,"suffix":""}],"id":"ITEM-1","issued":{"date-parts":[["0"]]},"title":"No Title","type":"webpage"},"uris":["http://www.mendeley.com/documents/?uuid=af583d4b-2a92-4aca-a747-0c6e58613be4"]}],"mendeley":{"formattedCitation":"&lt;sup&gt;28&lt;/sup&gt;","plainTextFormattedCitation":"28","previouslyFormattedCitation":"&lt;sup&gt;28&lt;/sup&gt;"},"properties":{"noteIndex":0},"schema":"https://github.com/citation-style-language/schema/raw/master/csl-citation.json"}</w:instrText>
      </w:r>
      <w:r w:rsidR="006D4E71" w:rsidRPr="00135762">
        <w:rPr>
          <w:sz w:val="24"/>
          <w:szCs w:val="24"/>
          <w:vertAlign w:val="superscript"/>
        </w:rPr>
        <w:fldChar w:fldCharType="separate"/>
      </w:r>
      <w:r w:rsidR="00705406" w:rsidRPr="00705406">
        <w:rPr>
          <w:noProof/>
          <w:sz w:val="24"/>
          <w:szCs w:val="24"/>
          <w:vertAlign w:val="superscript"/>
        </w:rPr>
        <w:t>28</w:t>
      </w:r>
      <w:r w:rsidR="006D4E71" w:rsidRPr="00135762">
        <w:rPr>
          <w:sz w:val="24"/>
          <w:szCs w:val="24"/>
        </w:rPr>
        <w:fldChar w:fldCharType="end"/>
      </w:r>
      <w:r w:rsidR="006D4E71" w:rsidRPr="00135762">
        <w:rPr>
          <w:sz w:val="24"/>
          <w:szCs w:val="24"/>
        </w:rPr>
        <w:t>, the Australia</w:t>
      </w:r>
      <w:r w:rsidR="00610D92">
        <w:rPr>
          <w:sz w:val="24"/>
          <w:szCs w:val="24"/>
        </w:rPr>
        <w:t>sian D</w:t>
      </w:r>
      <w:r w:rsidR="006D4E71" w:rsidRPr="00135762">
        <w:rPr>
          <w:sz w:val="24"/>
          <w:szCs w:val="24"/>
        </w:rPr>
        <w:t xml:space="preserve">iabetes </w:t>
      </w:r>
      <w:r w:rsidR="00610D92">
        <w:rPr>
          <w:sz w:val="24"/>
          <w:szCs w:val="24"/>
        </w:rPr>
        <w:t>Data N</w:t>
      </w:r>
      <w:r w:rsidR="006D4E71" w:rsidRPr="00135762">
        <w:rPr>
          <w:sz w:val="24"/>
          <w:szCs w:val="24"/>
        </w:rPr>
        <w:t>etwork (27%</w:t>
      </w:r>
      <w:r w:rsidR="00DD56A3" w:rsidRPr="00135762">
        <w:rPr>
          <w:sz w:val="24"/>
          <w:szCs w:val="24"/>
        </w:rPr>
        <w:t xml:space="preserve"> of adolescents achieve HbA</w:t>
      </w:r>
      <w:r w:rsidR="00DD56A3" w:rsidRPr="00135762">
        <w:rPr>
          <w:sz w:val="24"/>
          <w:szCs w:val="24"/>
          <w:vertAlign w:val="subscript"/>
        </w:rPr>
        <w:t>1c</w:t>
      </w:r>
      <w:r w:rsidR="00DD56A3" w:rsidRPr="00135762">
        <w:rPr>
          <w:sz w:val="24"/>
          <w:szCs w:val="24"/>
        </w:rPr>
        <w:t xml:space="preserve"> target levels</w:t>
      </w:r>
      <w:r w:rsidR="006D4E71" w:rsidRPr="00135762">
        <w:rPr>
          <w:sz w:val="24"/>
          <w:szCs w:val="24"/>
        </w:rPr>
        <w:t>)</w:t>
      </w:r>
      <w:r w:rsidR="006D4E71" w:rsidRPr="00135762">
        <w:rPr>
          <w:sz w:val="24"/>
          <w:szCs w:val="24"/>
        </w:rPr>
        <w:fldChar w:fldCharType="begin" w:fldLock="1"/>
      </w:r>
      <w:r w:rsidR="008736A2">
        <w:rPr>
          <w:sz w:val="24"/>
          <w:szCs w:val="24"/>
        </w:rPr>
        <w:instrText>ADDIN CSL_CITATION {"citationItems":[{"id":"ITEM-1","itemData":{"ISSN":"1326-5377","PMID":"28208043","abstract":"OBJECTIVES To assess glycaemic control, anthropometry and insulin regimens in a national sample of Australian children and adolescents with type 1 diabetes. DESIGN Cross-sectional analysis of de-identified, prospectively collected data from the Australasian Diabetes Data Network (ADDN) registry. SETTING Five paediatric diabetes centres in New South Wales, Queensland, South Australia, Victoria and Western Australia. PARTICIPANTS Children and adolescents (aged 18 years or under) with type 1 diabetes of at least 12 months' duration for whom data were added to the ADDN registry during 2015. MAIN OUTCOME MEASURES Glycaemic control was assessed by measuring haemoglobin A1c (HbA1c) levels. Body mass index standard deviation scores (BMI-SDS) were calculated according to the CDC-2000 reference; overweight and obesity were defined by International Obesity Task Force guidelines. Insulin regimens were classified as twice-daily injections (BD), multiple daily injections (MDI; at least three injection times per day), or continuous subcutaneous insulin infusion (CSII). RESULTS The mean age of the 3279 participants was 12.8 years (SD, 3.7), mean diabetes duration was 5.7 years (SD, 3.7), and mean HbA1c level 67 mmol/mol (SD, 15); only 27% achieved the national HbA1c target of less than 58 mmol/mol. The mean HbA1c level was lower in children under 6 (63 mmol/mol) than in adolescents (14-18 years; 69 mmol/mol). Mean BMI-SDS for all participants was 0.6 (SD, 0.9); 33% of the participants were overweight or obese. 44% were treated with CSII, 38% with MDI, 18% with BD. CONCLUSIONS Most Australian children and adolescents with type 1 diabetes are not meeting the recognised HbA1c target. The prevalence of overweight and obesity is high. There is an urgent need to identify barriers to achieving optimal glycaemic control in this population.","author":[{"dropping-particle":"","family":"Phelan","given":"Helen","non-dropping-particle":"","parse-names":false,"suffix":""},{"dropping-particle":"","family":"Clapin","given":"Helen","non-dropping-particle":"","parse-names":false,"suffix":""},{"dropping-particle":"","family":"Bruns","given":"Loren","non-dropping-particle":"","parse-names":false,"suffix":""},{"dropping-particle":"","family":"Cameron","given":"Fergus J","non-dropping-particle":"","parse-names":false,"suffix":""},{"dropping-particle":"","family":"Cotterill","given":"Andrew M","non-dropping-particle":"","parse-names":false,"suffix":""},{"dropping-particle":"","family":"Couper","given":"Jennifer J","non-dropping-particle":"","parse-names":false,"suffix":""},{"dropping-particle":"","family":"Davis","given":"Elizabeth A","non-dropping-particle":"","parse-names":false,"suffix":""},{"dropping-particle":"","family":"Donaghue","given":"Kim C","non-dropping-particle":"","parse-names":false,"suffix":""},{"dropping-particle":"","family":"Jefferies","given":"Craig A","non-dropping-particle":"","parse-names":false,"suffix":""},{"dropping-particle":"","family":"King","given":"Bruce R","non-dropping-particle":"","parse-names":false,"suffix":""},{"dropping-particle":"","family":"Sinnott","given":"Richard O","non-dropping-particle":"","parse-names":false,"suffix":""},{"dropping-particle":"","family":"Tham","given":"Elaine B","non-dropping-particle":"","parse-names":false,"suffix":""},{"dropping-particle":"","family":"Wales","given":"Jerry K","non-dropping-particle":"","parse-names":false,"suffix":""},{"dropping-particle":"","family":"Jones","given":"Timothy W","non-dropping-particle":"","parse-names":false,"suffix":""},{"dropping-particle":"","family":"Craig","given":"Maria E","non-dropping-particle":"","parse-names":false,"suffix":""}],"container-title":"The Medical journal of Australia","id":"ITEM-1","issue":"3","issued":{"date-parts":[["2017","2","20"]]},"page":"121-125","title":"The Australasian Diabetes Data Network: first national audit of children and adolescents with type 1 diabetes.","type":"article-journal","volume":"206"},"uris":["http://www.mendeley.com/documents/?uuid=d550c3a3-4445-3fc2-9fa3-6d6b931d5cf9"]}],"mendeley":{"formattedCitation":"&lt;sup&gt;29&lt;/sup&gt;","plainTextFormattedCitation":"29","previouslyFormattedCitation":"&lt;sup&gt;29&lt;/sup&gt;"},"properties":{"noteIndex":0},"schema":"https://github.com/citation-style-language/schema/raw/master/csl-citation.json"}</w:instrText>
      </w:r>
      <w:r w:rsidR="006D4E71" w:rsidRPr="00135762">
        <w:rPr>
          <w:sz w:val="24"/>
          <w:szCs w:val="24"/>
        </w:rPr>
        <w:fldChar w:fldCharType="separate"/>
      </w:r>
      <w:r w:rsidR="00705406" w:rsidRPr="00705406">
        <w:rPr>
          <w:noProof/>
          <w:sz w:val="24"/>
          <w:szCs w:val="24"/>
          <w:vertAlign w:val="superscript"/>
        </w:rPr>
        <w:t>29</w:t>
      </w:r>
      <w:r w:rsidR="006D4E71" w:rsidRPr="00135762">
        <w:rPr>
          <w:sz w:val="24"/>
          <w:szCs w:val="24"/>
        </w:rPr>
        <w:fldChar w:fldCharType="end"/>
      </w:r>
      <w:r w:rsidR="006D4E71" w:rsidRPr="00135762">
        <w:rPr>
          <w:sz w:val="24"/>
          <w:szCs w:val="24"/>
        </w:rPr>
        <w:t xml:space="preserve">, and </w:t>
      </w:r>
      <w:r w:rsidR="002F5161" w:rsidRPr="00135762">
        <w:rPr>
          <w:sz w:val="24"/>
          <w:szCs w:val="24"/>
        </w:rPr>
        <w:t>the</w:t>
      </w:r>
      <w:r w:rsidR="006D4E71" w:rsidRPr="00135762">
        <w:rPr>
          <w:sz w:val="24"/>
          <w:szCs w:val="24"/>
        </w:rPr>
        <w:t xml:space="preserve"> T1D Exchange Clinical Registry in the USA (17</w:t>
      </w:r>
      <w:r w:rsidR="00DD56A3" w:rsidRPr="00135762">
        <w:rPr>
          <w:sz w:val="24"/>
          <w:szCs w:val="24"/>
        </w:rPr>
        <w:t>–</w:t>
      </w:r>
      <w:r w:rsidR="006D4E71" w:rsidRPr="00135762">
        <w:rPr>
          <w:sz w:val="24"/>
          <w:szCs w:val="24"/>
        </w:rPr>
        <w:t>23%</w:t>
      </w:r>
      <w:r w:rsidR="00DD56A3" w:rsidRPr="00135762">
        <w:rPr>
          <w:sz w:val="24"/>
          <w:szCs w:val="24"/>
        </w:rPr>
        <w:t xml:space="preserve"> of adolescents achieve HbA</w:t>
      </w:r>
      <w:r w:rsidR="00DD56A3" w:rsidRPr="00135762">
        <w:rPr>
          <w:sz w:val="24"/>
          <w:szCs w:val="24"/>
          <w:vertAlign w:val="subscript"/>
        </w:rPr>
        <w:t>1c</w:t>
      </w:r>
      <w:r w:rsidR="00DD56A3" w:rsidRPr="00135762">
        <w:rPr>
          <w:sz w:val="24"/>
          <w:szCs w:val="24"/>
        </w:rPr>
        <w:t xml:space="preserve"> target levels</w:t>
      </w:r>
      <w:r w:rsidR="006D4E71" w:rsidRPr="00135762">
        <w:rPr>
          <w:sz w:val="24"/>
          <w:szCs w:val="24"/>
        </w:rPr>
        <w:t>)</w:t>
      </w:r>
      <w:r w:rsidR="006D4E71" w:rsidRPr="00135762">
        <w:rPr>
          <w:sz w:val="24"/>
          <w:szCs w:val="24"/>
        </w:rPr>
        <w:fldChar w:fldCharType="begin" w:fldLock="1"/>
      </w:r>
      <w:r w:rsidR="008736A2">
        <w:rPr>
          <w:sz w:val="24"/>
          <w:szCs w:val="24"/>
        </w:rPr>
        <w:instrText>ADDIN CSL_CITATION {"citationItems":[{"id":"ITEM-1","itemData":{"DOI":"10.2337/dc15-0078","ISSN":"1935-5548","PMID":"25998289","abstract":"To examine the overall state of metabolic control and current use of advanced diabetes technologies in the U.S., we report recent data collected on individuals with type 1 diabetes participating in the T1D Exchange clinic registry. Data from 16,061 participants updated between 1 September 2013 and 1 December 2014 were compared with registry enrollment data collected from 1 September 2010 to 1 August 2012. Mean hemoglobin A1c (HbA1c) was assessed by year of age from &lt;4 to &gt;75 years. The overall average HbA1c was 8.2% (66 mmol/mol) at enrollment and 8.4% (68 mmol/mol) at the most recent update. During childhood, mean HbA</w:instrText>
      </w:r>
      <w:r w:rsidR="008736A2">
        <w:rPr>
          <w:rFonts w:hint="eastAsia"/>
          <w:sz w:val="24"/>
          <w:szCs w:val="24"/>
        </w:rPr>
        <w:instrText xml:space="preserve">1c decreased from 8.3% (67 mmol/mol) in 2-4-year-olds to 8.1% (65 mmol/mol) at 7 years of age, followed by an increase to 9.2% (77 mmol/mol) in 19-year-olds. Subsequently, mean HbA1c values decline gradually until </w:instrText>
      </w:r>
      <w:r w:rsidR="008736A2">
        <w:rPr>
          <w:rFonts w:ascii="Cambria Math" w:hAnsi="Cambria Math" w:cs="Cambria Math"/>
          <w:sz w:val="24"/>
          <w:szCs w:val="24"/>
        </w:rPr>
        <w:instrText>∼</w:instrText>
      </w:r>
      <w:r w:rsidR="008736A2">
        <w:rPr>
          <w:rFonts w:hint="eastAsia"/>
          <w:sz w:val="24"/>
          <w:szCs w:val="24"/>
        </w:rPr>
        <w:instrText xml:space="preserve">30 years of age, plateauing at 7.5-7.8% </w:instrText>
      </w:r>
      <w:r w:rsidR="008736A2">
        <w:rPr>
          <w:sz w:val="24"/>
          <w:szCs w:val="24"/>
        </w:rPr>
        <w:instrText>(58-62 mmol/mol) beyond age 30 until a modest drop in HbA1c below 7.5% (58 mmol/mol) in those 65 years of age. Severe hypoglycemia (SH) and diabetic ketoacidosis (DKA) remain all too common complications of treatment, especially in older (SH) and younger patients (DKA). Insulin pump use increased slightly from enrollment (58-62%), and use of continuous glucose monitoring (CGM) did not change (7%). Although the T1D Exchange registry findings are not population based and could be biased, it is clear that there remains considerable room for improving outcomes of treatment of type 1 diabetes across all age-groups. Barriers to more effective use of current treatments need to be addressed and new therapies are needed to achieve optimal metabolic control in people with type 1 diabetes.","author":[{"dropping-particle":"","family":"Miller","given":"Kellee M","non-dropping-particle":"","parse-names":false,"suffix":""},{"dropping-particle":"","family":"Foster","given":"Nicole C","non-dropping-particle":"","parse-names":false,"suffix":""},{"dropping-particle":"","family":"Beck","given":"Roy W","non-dropping-particle":"","parse-names":false,"suffix":""},{"dropping-particle":"","family":"Bergenstal","given":"Richard M","non-dropping-particle":"","parse-names":false,"suffix":""},{"dropping-particle":"","family":"DuBose","given":"Stephanie N","non-dropping-particle":"","parse-names":false,"suffix":""},{"dropping-particle":"","family":"DiMeglio","given":"Linda A","non-dropping-particle":"","parse-names":false,"suffix":""},{"dropping-particle":"","family":"Maahs","given":"David M","non-dropping-particle":"","parse-names":false,"suffix":""},{"dropping-particle":"V","family":"Tamborlane","given":"William","non-dropping-particle":"","parse-names":false,"suffix":""},{"dropping-particle":"","family":"T1D Exchange Clinic Network","given":"","non-dropping-particle":"","parse-names":false,"suffix":""}],"container-title":"Diabetes care","id":"ITEM-1","issue":"6","issued":{"date-parts":[["2015","6"]]},"page":"971-8","title":"Current state of type 1 diabetes treatment in the U.S.: updated data from the T1D Exchange clinic registry.","type":"article-journal","volume":"38"},"uris":["http://www.mendeley.com/documents/?uuid=94f1c7aa-5510-3f40-9cc4-116e236ff644"]}],"mendeley":{"formattedCitation":"&lt;sup&gt;30&lt;/sup&gt;","plainTextFormattedCitation":"30","previouslyFormattedCitation":"&lt;sup&gt;30&lt;/sup&gt;"},"properties":{"noteIndex":0},"schema":"https://github.com/citation-style-language/schema/raw/master/csl-citation.json"}</w:instrText>
      </w:r>
      <w:r w:rsidR="006D4E71" w:rsidRPr="00135762">
        <w:rPr>
          <w:sz w:val="24"/>
          <w:szCs w:val="24"/>
        </w:rPr>
        <w:fldChar w:fldCharType="separate"/>
      </w:r>
      <w:r w:rsidR="00705406" w:rsidRPr="00705406">
        <w:rPr>
          <w:noProof/>
          <w:sz w:val="24"/>
          <w:szCs w:val="24"/>
          <w:vertAlign w:val="superscript"/>
        </w:rPr>
        <w:t>30</w:t>
      </w:r>
      <w:r w:rsidR="006D4E71" w:rsidRPr="00135762">
        <w:rPr>
          <w:sz w:val="24"/>
          <w:szCs w:val="24"/>
        </w:rPr>
        <w:fldChar w:fldCharType="end"/>
      </w:r>
      <w:r w:rsidR="006D4E71" w:rsidRPr="00135762">
        <w:rPr>
          <w:sz w:val="24"/>
          <w:szCs w:val="24"/>
        </w:rPr>
        <w:t xml:space="preserve">. </w:t>
      </w:r>
      <w:r w:rsidR="006D4E71" w:rsidRPr="00135762">
        <w:rPr>
          <w:rFonts w:asciiTheme="minorHAnsi" w:hAnsiTheme="minorHAnsi" w:cstheme="minorHAnsi"/>
          <w:sz w:val="24"/>
          <w:szCs w:val="24"/>
          <w:lang w:val="en-GB"/>
        </w:rPr>
        <w:t xml:space="preserve">These </w:t>
      </w:r>
      <w:r w:rsidR="00DD56A3" w:rsidRPr="00135762">
        <w:rPr>
          <w:rFonts w:asciiTheme="minorHAnsi" w:hAnsiTheme="minorHAnsi" w:cstheme="minorHAnsi"/>
          <w:sz w:val="24"/>
          <w:szCs w:val="24"/>
          <w:lang w:val="en-GB"/>
        </w:rPr>
        <w:t>data</w:t>
      </w:r>
      <w:r w:rsidR="006D4E71" w:rsidRPr="00135762">
        <w:rPr>
          <w:rFonts w:asciiTheme="minorHAnsi" w:hAnsiTheme="minorHAnsi" w:cstheme="minorHAnsi"/>
          <w:sz w:val="24"/>
          <w:szCs w:val="24"/>
          <w:lang w:val="en-GB"/>
        </w:rPr>
        <w:t xml:space="preserve"> raise the question as to whether, in addition to striving for improve</w:t>
      </w:r>
      <w:r w:rsidR="00DD56A3" w:rsidRPr="00135762">
        <w:rPr>
          <w:rFonts w:asciiTheme="minorHAnsi" w:hAnsiTheme="minorHAnsi" w:cstheme="minorHAnsi"/>
          <w:sz w:val="24"/>
          <w:szCs w:val="24"/>
          <w:lang w:val="en-GB"/>
        </w:rPr>
        <w:t>ments</w:t>
      </w:r>
      <w:r w:rsidR="006D4E71" w:rsidRPr="00135762">
        <w:rPr>
          <w:rFonts w:asciiTheme="minorHAnsi" w:hAnsiTheme="minorHAnsi" w:cstheme="minorHAnsi"/>
          <w:sz w:val="24"/>
          <w:szCs w:val="24"/>
          <w:lang w:val="en-GB"/>
        </w:rPr>
        <w:t xml:space="preserve"> </w:t>
      </w:r>
      <w:r w:rsidR="00DD56A3" w:rsidRPr="00135762">
        <w:rPr>
          <w:rFonts w:asciiTheme="minorHAnsi" w:hAnsiTheme="minorHAnsi" w:cstheme="minorHAnsi"/>
          <w:sz w:val="24"/>
          <w:szCs w:val="24"/>
          <w:lang w:val="en-GB"/>
        </w:rPr>
        <w:t xml:space="preserve">in </w:t>
      </w:r>
      <w:r w:rsidR="006D4E71" w:rsidRPr="00135762">
        <w:rPr>
          <w:rFonts w:asciiTheme="minorHAnsi" w:hAnsiTheme="minorHAnsi" w:cstheme="minorHAnsi"/>
          <w:sz w:val="24"/>
          <w:szCs w:val="24"/>
          <w:lang w:val="en-GB"/>
        </w:rPr>
        <w:t>HbA</w:t>
      </w:r>
      <w:r w:rsidR="006D4E71" w:rsidRPr="00135762">
        <w:rPr>
          <w:rFonts w:asciiTheme="minorHAnsi" w:hAnsiTheme="minorHAnsi" w:cstheme="minorHAnsi"/>
          <w:sz w:val="24"/>
          <w:szCs w:val="24"/>
          <w:vertAlign w:val="subscript"/>
          <w:lang w:val="en-GB"/>
        </w:rPr>
        <w:t>1c</w:t>
      </w:r>
      <w:r w:rsidR="006D4E71" w:rsidRPr="00135762">
        <w:rPr>
          <w:rFonts w:asciiTheme="minorHAnsi" w:hAnsiTheme="minorHAnsi" w:cstheme="minorHAnsi"/>
          <w:sz w:val="24"/>
          <w:szCs w:val="24"/>
          <w:lang w:val="en-GB"/>
        </w:rPr>
        <w:t xml:space="preserve"> levels, we should do more to prevent complications in children and adolescents with </w:t>
      </w:r>
      <w:r w:rsidR="00DD56A3" w:rsidRPr="00135762">
        <w:rPr>
          <w:rFonts w:asciiTheme="minorHAnsi" w:hAnsiTheme="minorHAnsi" w:cstheme="minorHAnsi"/>
          <w:sz w:val="24"/>
          <w:szCs w:val="24"/>
          <w:lang w:val="en-GB"/>
        </w:rPr>
        <w:t>T1DM</w:t>
      </w:r>
      <w:r w:rsidR="006D4E71" w:rsidRPr="00135762">
        <w:rPr>
          <w:rFonts w:asciiTheme="minorHAnsi" w:hAnsiTheme="minorHAnsi" w:cstheme="minorHAnsi"/>
          <w:sz w:val="24"/>
          <w:szCs w:val="24"/>
          <w:lang w:val="en-GB"/>
        </w:rPr>
        <w:t xml:space="preserve">. </w:t>
      </w:r>
    </w:p>
    <w:p w14:paraId="6A2FD89E" w14:textId="77777777" w:rsidR="00E50F82" w:rsidRPr="00135762" w:rsidRDefault="00E50F82" w:rsidP="002F5161">
      <w:pPr>
        <w:pStyle w:val="BodyA"/>
        <w:spacing w:line="360" w:lineRule="auto"/>
        <w:jc w:val="both"/>
        <w:rPr>
          <w:rFonts w:asciiTheme="minorHAnsi" w:hAnsiTheme="minorHAnsi" w:cstheme="minorHAnsi"/>
          <w:sz w:val="24"/>
          <w:szCs w:val="24"/>
          <w:lang w:val="en-GB"/>
        </w:rPr>
      </w:pPr>
    </w:p>
    <w:p w14:paraId="3574433F" w14:textId="698BC92E" w:rsidR="006D4E71" w:rsidRPr="00135762" w:rsidRDefault="00A056EE" w:rsidP="00705114">
      <w:pPr>
        <w:spacing w:line="360" w:lineRule="auto"/>
        <w:rPr>
          <w:b/>
          <w:sz w:val="24"/>
        </w:rPr>
      </w:pPr>
      <w:r w:rsidRPr="00135762">
        <w:rPr>
          <w:b/>
          <w:sz w:val="24"/>
        </w:rPr>
        <w:t>A</w:t>
      </w:r>
      <w:r w:rsidR="006D4E71" w:rsidRPr="00135762">
        <w:rPr>
          <w:b/>
          <w:sz w:val="24"/>
        </w:rPr>
        <w:t>ge at diagnosis</w:t>
      </w:r>
      <w:r w:rsidRPr="00135762">
        <w:rPr>
          <w:b/>
          <w:sz w:val="24"/>
        </w:rPr>
        <w:t xml:space="preserve"> and duration </w:t>
      </w:r>
    </w:p>
    <w:p w14:paraId="5BAE0760" w14:textId="00A88409" w:rsidR="00DF020D" w:rsidRPr="00135762" w:rsidRDefault="00C4729A" w:rsidP="00E2090D">
      <w:pPr>
        <w:spacing w:after="0" w:line="360" w:lineRule="auto"/>
        <w:rPr>
          <w:sz w:val="24"/>
          <w:szCs w:val="24"/>
          <w:lang w:val="en-US"/>
        </w:rPr>
      </w:pPr>
      <w:r w:rsidRPr="00135762">
        <w:rPr>
          <w:sz w:val="24"/>
          <w:szCs w:val="24"/>
        </w:rPr>
        <w:t>The duration of diabetes is closely linked to risk of complications, however, s</w:t>
      </w:r>
      <w:r w:rsidR="00E845A9" w:rsidRPr="00135762">
        <w:rPr>
          <w:sz w:val="24"/>
          <w:szCs w:val="24"/>
        </w:rPr>
        <w:t xml:space="preserve">everal threads of evidence suggest that </w:t>
      </w:r>
      <w:r w:rsidRPr="00135762">
        <w:rPr>
          <w:sz w:val="24"/>
          <w:szCs w:val="24"/>
        </w:rPr>
        <w:t xml:space="preserve">the </w:t>
      </w:r>
      <w:r w:rsidR="00E845A9" w:rsidRPr="00135762">
        <w:rPr>
          <w:sz w:val="24"/>
          <w:szCs w:val="24"/>
        </w:rPr>
        <w:t>age at diagnosis</w:t>
      </w:r>
      <w:r w:rsidR="00610D92">
        <w:rPr>
          <w:sz w:val="24"/>
          <w:szCs w:val="24"/>
        </w:rPr>
        <w:t xml:space="preserve"> </w:t>
      </w:r>
      <w:r w:rsidR="00E845A9" w:rsidRPr="00135762">
        <w:rPr>
          <w:sz w:val="24"/>
          <w:szCs w:val="24"/>
        </w:rPr>
        <w:t>m</w:t>
      </w:r>
      <w:r w:rsidR="00882CBF" w:rsidRPr="00135762">
        <w:rPr>
          <w:sz w:val="24"/>
          <w:szCs w:val="24"/>
        </w:rPr>
        <w:t>ight</w:t>
      </w:r>
      <w:r w:rsidR="00E845A9" w:rsidRPr="00135762">
        <w:rPr>
          <w:sz w:val="24"/>
          <w:szCs w:val="24"/>
        </w:rPr>
        <w:t xml:space="preserve"> also be an important non-modifiable risk factor</w:t>
      </w:r>
      <w:r w:rsidR="00E845A9" w:rsidRPr="00135762">
        <w:rPr>
          <w:sz w:val="24"/>
          <w:szCs w:val="24"/>
        </w:rPr>
        <w:fldChar w:fldCharType="begin" w:fldLock="1"/>
      </w:r>
      <w:r w:rsidR="008736A2">
        <w:rPr>
          <w:sz w:val="24"/>
          <w:szCs w:val="24"/>
        </w:rPr>
        <w:instrText>ADDIN CSL_CITATION {"citationItems":[{"id":"ITEM-1","itemData":{"DOI":"10.1136/bmj.39478.378241.BE","ISBN":"1756-1833 (Electronic)\\r0959-535X (Linking)","ISSN":"0959-8138","PMID":"18349042","abstract":"OBJECTIVES: To describe independent predictors for the development of microalbuminuria and progression to macroalbuminuria in those with childhood onset type 1 diabetes. DESIGN: Prospective observational study with follow-up for 9.8 (SD 3.8) years. SETTING: Oxford regional prospective study. PARTICIPANTS: 527 participants with a diagnosis of type 1 diabetes at mean age 8.8 (SD 4.0) years. MAIN OUTCOME MEASURES: Annual measurement of glycated haemoglobin (HbA1c) and assessment of urinary albumin:creatinine ratio. RESULTS: Cumulative prevalence of microalbuminuria was 25.7% (95% confidence interval 21.3% to 30.1%) after 10 years of diabetes and 50.7% (40.5% to 60.9%) after 19 years of diabetes and 5182 patient years of follow-up. The only modifiable adjusted predictor for microalbuminuria was high HbA1c concentrations (hazard ratio per 1% rise in HbA1c 1.39, 1.27 to 1.52). Blood pressure and history of smoking were not predictors. Microalbuminuria was persistent in 48% of patients. Cumulative prevalence of progression from microalbuminuria to macroalbuminuria was 13.9% (12.9% to 14.9%); progression occurred at a mean age of 18.5 (5.8) years. Although the sample size was small, modifiable predictors of macroalbuminuria were higher HbA(1c) levels and both persistent and intermittent microalbuminuria (hazard ratios 1.42 (1.22 to 1.78), 27.72 (7.99 to 96.12), and 8.76 (2.44 to 31.44), respectively). CONCLUSION: In childhood onset type 1 diabetes, the only modifiable predictors were poor glycaemic control for the development of microalbuminuria and poor control and microalbuminuria (both persistent and intermittent) for progression to macroalbuminuria. Risk for macroalbuminuria is similar to that observed in cohorts with adult onset disease but as it occurs in young adult life early intervention in normotensive adolescents might be needed to improve prognosis.","author":[{"dropping-particle":"","family":"Amin","given":"Rakesh","non-dropping-particle":"","parse-names":false,"suffix":""},{"dropping-particle":"","family":"Widmer","given":"Barry","non-dropping-particle":"","parse-names":false,"suffix":""},{"dropping-particle":"","family":"Prevost","given":"a Toby","non-dropping-particle":"","parse-names":false,"suffix":""},{"dropping-particle":"","family":"Schwarze","given":"Phillip","non-dropping-particle":"","parse-names":false,"suffix":""},{"dropping-particle":"","family":"Cooper","given":"Jason","non-dropping-particle":"","parse-names":false,"suffix":""},{"dropping-particle":"","family":"Edge","given":"Julie","non-dropping-particle":"","parse-names":false,"suffix":""},{"dropping-particle":"","family":"Marcovecchio","given":"Loredana","non-dropping-particle":"","parse-names":false,"suffix":""},{"dropping-particle":"","family":"Neil","given":"Andrew","non-dropping-particle":"","parse-names":false,"suffix":""},{"dropping-particle":"","family":"Dalton","given":"R Neil","non-dropping-particle":"","parse-names":false,"suffix":""},{"dropping-particle":"","family":"Dunger","given":"David B","non-dropping-particle":"","parse-names":false,"suffix":""}],"container-title":"BMJ (Clinical research ed.)","id":"ITEM-1","issue":"7646","issued":{"date-parts":[["2008"]]},"page":"697-701","title":"Risk of microalbuminuria and progression to macroalbuminuria in a cohort with childhood onset type 1 diabetes: prospective observational study.","type":"article-journal","volume":"336"},"uris":["http://www.mendeley.com/documents/?uuid=84c653de-6d89-4031-864e-2055d827e8e7"]},{"id":"ITEM-2","itemData":{"DOI":"10.1111/j.1399-5448.2011.00762.x","ISSN":"1399543X","PMID":"21435138","abstract":"OBJECTIVE Microvascular complications occur in adolescents with type 1 diabetes, although guidelines vary as to when screening should commence and prevalence data for those with ≤5-yr duration are limited. We therefore investigated trends in prevalence of early microvascular complications over 17 yr. RESEARCH DESIGN AND METHODS 819 adolescents (54% female) aged 11-17 yr with 2- to 5-yr diabetes duration were assessed for complications at a tertiary pediatric diabetes clinic between 1990 and 2006. Early retinopathy was detected using seven-field fundal photography, albumin excretion rate (AER) by timed overnight urine collections and peripheral nerve function by thermal/vibration threshold at the foot. Results were analyzed by age, time period of assessment, and duration. RESULTS Early retinopathy declined from 1990 to 2002 (16-7%, p &lt; 0.01), then remained unchanged until 2006. Early elevation of AER (≥7.5 µg/min) and microalbuminuria (≥20 µg/min) did not change over time, whereas peripheral nerve abnormalities increased (14-28%, p &lt; 0.01). Median hemoglobin A1c improved (8.7-8.2%, p &lt; 0.01), in parallel with increased total daily insulin dose and injections per day (p &lt; 0.01). Body mass index standard deviation score increased over time (0.55-0.79, p &lt; 0.01). In multivariate logistic regression, early retinopathy was associated with earlier time period [odds ratio (OR) 0.68, confidence interval (CI) 0.55-0.85, p &lt; 0.01] and older age (OR 1.19, CI 1.02-1.39, p = 0.03). AER ≥ 7.5 µg/min was associated with older age (1.19, 1.06-1.34, p &lt; 0.01) and longer diabetes duration (OR 1.28, CI 1.02-1.62, p = 0.04) and height-adjusted peripheral nerve abnormalities with later time period (OR 1.26, CI 1.05-1.50, p = 0.01). CONCLUSIONS Early complications are not uncommon in adolescents with 2- to 5-yr diabetes duration, despite more intensive management in recent years.","author":[{"dropping-particle":"","family":"Cho","given":"Yoon Hi","non-dropping-particle":"","parse-names":false,"suffix":""},{"dropping-particle":"","family":"Craig","given":"Maria E","non-dropping-particle":"","parse-names":false,"suffix":""},{"dropping-particle":"","family":"Hing","given":"Stephen","non-dropping-particle":"","parse-names":false,"suffix":""},{"dropping-particle":"","family":"Gallego","given":"Patricia H","non-dropping-particle":"","parse-names":false,"suffix":""},{"dropping-particle":"","family":"Poon","given":"Myra","non-dropping-particle":"","parse-names":false,"suffix":""},{"dropping-particle":"","family":"Chan","given":"Albert","non-dropping-particle":"","parse-names":false,"suffix":""},{"dropping-particle":"","family":"Donaghue","given":"Kim C","non-dropping-particle":"","parse-names":false,"suffix":""}],"container-title":"Pediatric Diabetes","id":"ITEM-2","issue":"8","issued":{"date-parts":[["2011","12"]]},"page":"682-689","title":"Microvascular complications assessment in adolescents with 2- to 5-yr duration of type 1 diabetes from 1990 to 2006","type":"article-journal","volume":"12"},"uris":["http://www.mendeley.com/documents/?uuid=6385e585-3a57-366e-853f-e1e506c52ce4"]},{"id":"ITEM-3","itemData":{"DOI":"10.1111/dme.13299","ISSN":"1464-5491 (Electronic)","PMID":"27973749","abstract":"Adolescence is a challenging period of life for any young person, and for those with Type 1 diabetes, physiological and psychological factors can result in a deterioration in glycaemic control. In young people with Type 1 diabetes, puberty may be an additional risk factor impacting on the lifetime risk for renal and cardiovascular complications. Our longitudinal studies have identified that increases in urinary albumin excretion through childhood are associated with the development of microalbuminuria and a generalized endotheliopathy linked to cardiovascular risk. Screening of participants recruited to the Adolescent type 1 Diabetes cardio-renal Intervention Trial (AdDIT) confirms that these early changes in albumin excretion are related to both diabetic nephropathy and cardiovascular risk; in part, independent of glycaemic control. Thus, as well as current attempts to improve glycaemic control through enhanced targeted insulin delivery, pumps, sensors and closed loop, we have explored the role of angiotensin-converting enzyme inhibitors and statins in providing cardio-renal protection during adolescence.","author":[{"dropping-particle":"","family":"Dunger","given":"D B","non-dropping-particle":"","parse-names":false,"suffix":""}],"container-title":"Diabetic medicine : a journal of the British Diabetic Association","id":"ITEM-3","issue":"4","issued":{"date-parts":[["2017","4"]]},"language":"eng","page":"460-466","publisher-place":"England","title":"Banting Memorial Lecture 2016 Reducing lifetime risk of complications in adolescents with Type 1 diabetes.","type":"article-journal","volume":"34"},"uris":["http://www.mendeley.com/documents/?uuid=3115ca5c-d8c0-4ae5-bad6-4cb61093703e"]}],"mendeley":{"formattedCitation":"&lt;sup&gt;31–33&lt;/sup&gt;","plainTextFormattedCitation":"31–33","previouslyFormattedCitation":"&lt;sup&gt;31–33&lt;/sup&gt;"},"properties":{"noteIndex":0},"schema":"https://github.com/citation-style-language/schema/raw/master/csl-citation.json"}</w:instrText>
      </w:r>
      <w:r w:rsidR="00E845A9" w:rsidRPr="00135762">
        <w:rPr>
          <w:sz w:val="24"/>
          <w:szCs w:val="24"/>
          <w:vertAlign w:val="superscript"/>
        </w:rPr>
        <w:fldChar w:fldCharType="separate"/>
      </w:r>
      <w:r w:rsidR="00705406" w:rsidRPr="00705406">
        <w:rPr>
          <w:noProof/>
          <w:sz w:val="24"/>
          <w:szCs w:val="24"/>
          <w:vertAlign w:val="superscript"/>
        </w:rPr>
        <w:t>31–33</w:t>
      </w:r>
      <w:r w:rsidR="00E845A9" w:rsidRPr="00135762">
        <w:rPr>
          <w:sz w:val="24"/>
          <w:szCs w:val="24"/>
        </w:rPr>
        <w:fldChar w:fldCharType="end"/>
      </w:r>
      <w:r w:rsidR="00E845A9" w:rsidRPr="00135762">
        <w:rPr>
          <w:sz w:val="24"/>
          <w:szCs w:val="24"/>
        </w:rPr>
        <w:t>.</w:t>
      </w:r>
      <w:r w:rsidR="00F96BE4" w:rsidRPr="00135762">
        <w:rPr>
          <w:sz w:val="24"/>
          <w:szCs w:val="24"/>
        </w:rPr>
        <w:t xml:space="preserve"> </w:t>
      </w:r>
      <w:r w:rsidR="00E845A9" w:rsidRPr="00135762">
        <w:rPr>
          <w:sz w:val="24"/>
          <w:szCs w:val="24"/>
        </w:rPr>
        <w:t xml:space="preserve">Cohort studies have highlighted a higher risk </w:t>
      </w:r>
      <w:r w:rsidR="002F5161" w:rsidRPr="00135762">
        <w:rPr>
          <w:sz w:val="24"/>
          <w:szCs w:val="24"/>
        </w:rPr>
        <w:t xml:space="preserve">for early signs of vascular complications </w:t>
      </w:r>
      <w:r w:rsidR="00A056EE" w:rsidRPr="00135762">
        <w:rPr>
          <w:sz w:val="24"/>
          <w:szCs w:val="24"/>
        </w:rPr>
        <w:t>(for example,</w:t>
      </w:r>
      <w:r w:rsidR="002F5161" w:rsidRPr="00135762">
        <w:rPr>
          <w:sz w:val="24"/>
          <w:szCs w:val="24"/>
        </w:rPr>
        <w:t xml:space="preserve"> microalbuminuria and retinopathy</w:t>
      </w:r>
      <w:r w:rsidR="00A056EE" w:rsidRPr="00135762">
        <w:rPr>
          <w:sz w:val="24"/>
          <w:szCs w:val="24"/>
        </w:rPr>
        <w:t>)</w:t>
      </w:r>
      <w:r w:rsidR="002F5161" w:rsidRPr="00135762">
        <w:rPr>
          <w:sz w:val="24"/>
          <w:szCs w:val="24"/>
        </w:rPr>
        <w:t xml:space="preserve"> </w:t>
      </w:r>
      <w:r w:rsidR="00A056EE" w:rsidRPr="00135762">
        <w:rPr>
          <w:sz w:val="24"/>
          <w:szCs w:val="24"/>
        </w:rPr>
        <w:t xml:space="preserve">that are </w:t>
      </w:r>
      <w:r w:rsidR="00E845A9" w:rsidRPr="00135762">
        <w:rPr>
          <w:sz w:val="24"/>
          <w:szCs w:val="24"/>
        </w:rPr>
        <w:t>associated with an early age at diagnosis</w:t>
      </w:r>
      <w:r w:rsidR="00A056EE" w:rsidRPr="00135762">
        <w:t xml:space="preserve"> </w:t>
      </w:r>
      <w:r w:rsidR="00A056EE" w:rsidRPr="00135762">
        <w:rPr>
          <w:sz w:val="24"/>
          <w:szCs w:val="24"/>
        </w:rPr>
        <w:t>(that is, during childhood or adolescence)</w:t>
      </w:r>
      <w:r w:rsidR="002F5161" w:rsidRPr="00135762">
        <w:rPr>
          <w:sz w:val="24"/>
          <w:szCs w:val="24"/>
        </w:rPr>
        <w:t>,</w:t>
      </w:r>
      <w:r w:rsidR="00E845A9" w:rsidRPr="00135762">
        <w:rPr>
          <w:sz w:val="24"/>
          <w:szCs w:val="24"/>
        </w:rPr>
        <w:t xml:space="preserve"> compared t</w:t>
      </w:r>
      <w:r w:rsidR="002F5161" w:rsidRPr="00135762">
        <w:rPr>
          <w:sz w:val="24"/>
          <w:szCs w:val="24"/>
        </w:rPr>
        <w:t>o a diagnosis during adulthood</w:t>
      </w:r>
      <w:r w:rsidR="00E845A9" w:rsidRPr="00135762">
        <w:rPr>
          <w:sz w:val="24"/>
          <w:szCs w:val="24"/>
        </w:rPr>
        <w:fldChar w:fldCharType="begin" w:fldLock="1"/>
      </w:r>
      <w:r w:rsidR="008736A2">
        <w:rPr>
          <w:sz w:val="24"/>
          <w:szCs w:val="24"/>
        </w:rPr>
        <w:instrText>ADDIN CSL_CITATION {"citationItems":[{"id":"ITEM-1","itemData":{"DOI":"10.1136/bmj.39478.378241.BE","ISBN":"1756-1833 (Electronic)\\r0959-535X (Linking)","ISSN":"0959-8138","PMID":"18349042","abstract":"OBJECTIVES: To describe independent predictors for the development of microalbuminuria and progression to macroalbuminuria in those with childhood onset type 1 diabetes. DESIGN: Prospective observational study with follow-up for 9.8 (SD 3.8) years. SETTING: Oxford regional prospective study. PARTICIPANTS: 527 participants with a diagnosis of type 1 diabetes at mean age 8.8 (SD 4.0) years. MAIN OUTCOME MEASURES: Annual measurement of glycated haemoglobin (HbA1c) and assessment of urinary albumin:creatinine ratio. RESULTS: Cumulative prevalence of microalbuminuria was 25.7% (95% confidence interval 21.3% to 30.1%) after 10 years of diabetes and 50.7% (40.5% to 60.9%) after 19 years of diabetes and 5182 patient years of follow-up. The only modifiable adjusted predictor for microalbuminuria was high HbA1c concentrations (hazard ratio per 1% rise in HbA1c 1.39, 1.27 to 1.52). Blood pressure and history of smoking were not predictors. Microalbuminuria was persistent in 48% of patients. Cumulative prevalence of progression from microalbuminuria to macroalbuminuria was 13.9% (12.9% to 14.9%); progression occurred at a mean age of 18.5 (5.8) years. Although the sample size was small, modifiable predictors of macroalbuminuria were higher HbA(1c) levels and both persistent and intermittent microalbuminuria (hazard ratios 1.42 (1.22 to 1.78), 27.72 (7.99 to 96.12), and 8.76 (2.44 to 31.44), respectively). CONCLUSION: In childhood onset type 1 diabetes, the only modifiable predictors were poor glycaemic control for the development of microalbuminuria and poor control and microalbuminuria (both persistent and intermittent) for progression to macroalbuminuria. Risk for macroalbuminuria is similar to that observed in cohorts with adult onset disease but as it occurs in young adult life early intervention in normotensive adolescents might be needed to improve prognosis.","author":[{"dropping-particle":"","family":"Amin","given":"Rakesh","non-dropping-particle":"","parse-names":false,"suffix":""},{"dropping-particle":"","family":"Widmer","given":"Barry","non-dropping-particle":"","parse-names":false,"suffix":""},{"dropping-particle":"","family":"Prevost","given":"a Toby","non-dropping-particle":"","parse-names":false,"suffix":""},{"dropping-particle":"","family":"Schwarze","given":"Phillip","non-dropping-particle":"","parse-names":false,"suffix":""},{"dropping-particle":"","family":"Cooper","given":"Jason","non-dropping-particle":"","parse-names":false,"suffix":""},{"dropping-particle":"","family":"Edge","given":"Julie","non-dropping-particle":"","parse-names":false,"suffix":""},{"dropping-particle":"","family":"Marcovecchio","given":"Loredana","non-dropping-particle":"","parse-names":false,"suffix":""},{"dropping-particle":"","family":"Neil","given":"Andrew","non-dropping-particle":"","parse-names":false,"suffix":""},{"dropping-particle":"","family":"Dalton","given":"R Neil","non-dropping-particle":"","parse-names":false,"suffix":""},{"dropping-particle":"","family":"Dunger","given":"David B","non-dropping-particle":"","parse-names":false,"suffix":""}],"container-title":"BMJ (Clinical research ed.)","id":"ITEM-1","issue":"7646","issued":{"date-parts":[["2008"]]},"page":"697-701","title":"Risk of microalbuminuria and progression to macroalbuminuria in a cohort with childhood onset type 1 diabetes: prospective observational study.","type":"article-journal","volume":"336"},"uris":["http://www.mendeley.com/documents/?uuid=84c653de-6d89-4031-864e-2055d827e8e7"]},{"id":"ITEM-2","itemData":{"DOI":"10.2337/dc09-2278","ISSN":"1935-5548","PMID":"20185730","abstract":"OBJECTIVE Age at onset of type 1 diabetes influences the risk of microvascular complications. However, the long-term risk of proliferative retinopathy within the wide spectrum of age at onset of type 1 diabetes is less well known. RESEARCH DESIGN AND METHODS A sample of 1,117 consecutively recruited patients was drawn from the FinnDiane Study population (4,800 patients). Type 1 diabetes was defined as age at onset &lt;or=40 years, insulin treatment initiated within 1 year, and C-peptide &lt;or=0.3 nmol/l. Retinopathy status was graded based on ophthalmic records and/or fundus photographs. The risk of proliferative retinopathy was studied in age-at-onset groups 0-4, 5-14, and 15-40 years. RESULTS The mean durations to proliferative retinopathy were 24.3 (22.7-25.9) years in the 0-4 years group, 20.1 (19.2-21.1) years in the 5-14 years group, and 21.6 (19.8-23.3) years in the 15-40 years group (P &lt; 0.001). In a Cox regression model, with A1C, blood pressure, sex, and BMI as covariates, the highest risk of proliferative retinopathy was observed in the 5-14 years group (hazard ratio 1.90 [95% CI 1.45-2.48], P &lt; 0.001). Diabetes onset 0-4 vs. 5-14 years made no difference in the long-term risk of proliferative retinopathy (P = 0.2). When split into two groups, age at onset &lt;15 years was associated with a higher long-term risk than age at onset &gt;or=15 years (1.82 [1.40-2.36], P &lt; 0.001). CONCLUSIONS Age at onset significantly modifies the long-term risk of proliferative retinopathy. The highest risk is in age-at-onset group 5-14 years, whereas the lowest risk is in age-at-onset group 15-40 years.","author":[{"dropping-particle":"","family":"Hietala","given":"Kustaa","non-dropping-particle":"","parse-names":false,"suffix":""},{"dropping-particle":"","family":"Harjutsalo","given":"Valma","non-dropping-particle":"","parse-names":false,"suffix":""},{"dropping-particle":"","family":"Forsblom","given":"Carol","non-dropping-particle":"","parse-names":false,"suffix":""},{"dropping-particle":"","family":"Summanen","given":"Paula","non-dropping-particle":"","parse-names":false,"suffix":""},{"dropping-particle":"","family":"Groop","given":"Per-Henrik","non-dropping-particle":"","parse-names":false,"suffix":""},{"dropping-particle":"","family":"FinnDiane Study Group","given":"","non-dropping-particle":"","parse-names":false,"suffix":""}],"container-title":"Diabetes care","id":"ITEM-2","issue":"6","issued":{"date-parts":[["2010","6"]]},"page":"1315-9","title":"Age at onset and the risk of proliferative retinopathy in type 1 diabetes.","type":"article-journal","volume":"33"},"uris":["http://www.mendeley.com/documents/?uuid=cb93cdcb-8c8e-34ca-a32b-b619dc86ee8e"]}],"mendeley":{"formattedCitation":"&lt;sup&gt;31,34&lt;/sup&gt;","plainTextFormattedCitation":"31,34","previouslyFormattedCitation":"&lt;sup&gt;31,34&lt;/sup&gt;"},"properties":{"noteIndex":0},"schema":"https://github.com/citation-style-language/schema/raw/master/csl-citation.json"}</w:instrText>
      </w:r>
      <w:r w:rsidR="00E845A9" w:rsidRPr="00135762">
        <w:rPr>
          <w:sz w:val="24"/>
          <w:szCs w:val="24"/>
        </w:rPr>
        <w:fldChar w:fldCharType="separate"/>
      </w:r>
      <w:r w:rsidR="00705406" w:rsidRPr="00705406">
        <w:rPr>
          <w:noProof/>
          <w:sz w:val="24"/>
          <w:szCs w:val="24"/>
          <w:vertAlign w:val="superscript"/>
        </w:rPr>
        <w:t>31,34</w:t>
      </w:r>
      <w:r w:rsidR="00E845A9" w:rsidRPr="00135762">
        <w:rPr>
          <w:sz w:val="24"/>
          <w:szCs w:val="24"/>
        </w:rPr>
        <w:fldChar w:fldCharType="end"/>
      </w:r>
      <w:r w:rsidR="00E845A9" w:rsidRPr="00135762">
        <w:rPr>
          <w:sz w:val="24"/>
          <w:szCs w:val="24"/>
        </w:rPr>
        <w:t>.</w:t>
      </w:r>
      <w:r w:rsidR="00F96BE4" w:rsidRPr="00135762">
        <w:rPr>
          <w:sz w:val="24"/>
          <w:szCs w:val="24"/>
        </w:rPr>
        <w:t xml:space="preserve"> </w:t>
      </w:r>
      <w:r w:rsidR="00E845A9" w:rsidRPr="00135762">
        <w:rPr>
          <w:sz w:val="24"/>
          <w:szCs w:val="24"/>
        </w:rPr>
        <w:t xml:space="preserve">In the Oxford Regional Prospective Study (ORPS) cohort of children and adolescents with </w:t>
      </w:r>
      <w:r w:rsidR="00A056EE" w:rsidRPr="00135762">
        <w:rPr>
          <w:sz w:val="24"/>
          <w:szCs w:val="24"/>
        </w:rPr>
        <w:t>T1DM</w:t>
      </w:r>
      <w:r w:rsidR="00E845A9" w:rsidRPr="00135762">
        <w:rPr>
          <w:sz w:val="24"/>
          <w:szCs w:val="24"/>
        </w:rPr>
        <w:t>, the</w:t>
      </w:r>
      <w:r w:rsidR="00E845A9" w:rsidRPr="00135762">
        <w:rPr>
          <w:sz w:val="24"/>
          <w:szCs w:val="24"/>
          <w:lang w:val="en-US"/>
        </w:rPr>
        <w:t xml:space="preserve"> c</w:t>
      </w:r>
      <w:r w:rsidR="00E845A9" w:rsidRPr="00135762">
        <w:rPr>
          <w:sz w:val="24"/>
          <w:szCs w:val="24"/>
        </w:rPr>
        <w:t>umulative prevalence of microalbuminuria was 26</w:t>
      </w:r>
      <w:r w:rsidR="00307D49" w:rsidRPr="00135762">
        <w:rPr>
          <w:sz w:val="24"/>
          <w:szCs w:val="24"/>
        </w:rPr>
        <w:t>%</w:t>
      </w:r>
      <w:r w:rsidR="00E845A9" w:rsidRPr="00135762">
        <w:rPr>
          <w:sz w:val="24"/>
          <w:szCs w:val="24"/>
        </w:rPr>
        <w:t xml:space="preserve"> after 10 years</w:t>
      </w:r>
      <w:r w:rsidR="00A056EE" w:rsidRPr="00135762">
        <w:rPr>
          <w:sz w:val="24"/>
          <w:szCs w:val="24"/>
        </w:rPr>
        <w:t xml:space="preserve"> duration</w:t>
      </w:r>
      <w:r w:rsidR="00E845A9" w:rsidRPr="00135762">
        <w:rPr>
          <w:sz w:val="24"/>
          <w:szCs w:val="24"/>
        </w:rPr>
        <w:t xml:space="preserve"> and 51% after 19 years duration of diabetes</w:t>
      </w:r>
      <w:r w:rsidR="00E845A9" w:rsidRPr="00135762">
        <w:rPr>
          <w:sz w:val="24"/>
          <w:szCs w:val="24"/>
        </w:rPr>
        <w:fldChar w:fldCharType="begin" w:fldLock="1"/>
      </w:r>
      <w:r w:rsidR="008736A2">
        <w:rPr>
          <w:sz w:val="24"/>
          <w:szCs w:val="24"/>
        </w:rPr>
        <w:instrText>ADDIN CSL_CITATION {"citationItems":[{"id":"ITEM-1","itemData":{"DOI":"10.1136/bmj.39478.378241.BE","ISBN":"1756-1833 (Electronic)\\r0959-535X (Linking)","ISSN":"0959-8138","PMID":"18349042","abstract":"OBJECTIVES: To describe independent predictors for the development of microalbuminuria and progression to macroalbuminuria in those with childhood onset type 1 diabetes. DESIGN: Prospective observational study with follow-up for 9.8 (SD 3.8) years. SETTING: Oxford regional prospective study. PARTICIPANTS: 527 participants with a diagnosis of type 1 diabetes at mean age 8.8 (SD 4.0) years. MAIN OUTCOME MEASURES: Annual measurement of glycated haemoglobin (HbA1c) and assessment of urinary albumin:creatinine ratio. RESULTS: Cumulative prevalence of microalbuminuria was 25.7% (95% confidence interval 21.3% to 30.1%) after 10 years of diabetes and 50.7% (40.5% to 60.9%) after 19 years of diabetes and 5182 patient years of follow-up. The only modifiable adjusted predictor for microalbuminuria was high HbA1c concentrations (hazard ratio per 1% rise in HbA1c 1.39, 1.27 to 1.52). Blood pressure and history of smoking were not predictors. Microalbuminuria was persistent in 48% of patients. Cumulative prevalence of progression from microalbuminuria to macroalbuminuria was 13.9% (12.9% to 14.9%); progression occurred at a mean age of 18.5 (5.8) years. Although the sample size was small, modifiable predictors of macroalbuminuria were higher HbA(1c) levels and both persistent and intermittent microalbuminuria (hazard ratios 1.42 (1.22 to 1.78), 27.72 (7.99 to 96.12), and 8.76 (2.44 to 31.44), respectively). CONCLUSION: In childhood onset type 1 diabetes, the only modifiable predictors were poor glycaemic control for the development of microalbuminuria and poor control and microalbuminuria (both persistent and intermittent) for progression to macroalbuminuria. Risk for macroalbuminuria is similar to that observed in cohorts with adult onset disease but as it occurs in young adult life early intervention in normotensive adolescents might be needed to improve prognosis.","author":[{"dropping-particle":"","family":"Amin","given":"Rakesh","non-dropping-particle":"","parse-names":false,"suffix":""},{"dropping-particle":"","family":"Widmer","given":"Barry","non-dropping-particle":"","parse-names":false,"suffix":""},{"dropping-particle":"","family":"Prevost","given":"a Toby","non-dropping-particle":"","parse-names":false,"suffix":""},{"dropping-particle":"","family":"Schwarze","given":"Phillip","non-dropping-particle":"","parse-names":false,"suffix":""},{"dropping-particle":"","family":"Cooper","given":"Jason","non-dropping-particle":"","parse-names":false,"suffix":""},{"dropping-particle":"","family":"Edge","given":"Julie","non-dropping-particle":"","parse-names":false,"suffix":""},{"dropping-particle":"","family":"Marcovecchio","given":"Loredana","non-dropping-particle":"","parse-names":false,"suffix":""},{"dropping-particle":"","family":"Neil","given":"Andrew","non-dropping-particle":"","parse-names":false,"suffix":""},{"dropping-particle":"","family":"Dalton","given":"R Neil","non-dropping-particle":"","parse-names":false,"suffix":""},{"dropping-particle":"","family":"Dunger","given":"David B","non-dropping-particle":"","parse-names":false,"suffix":""}],"container-title":"BMJ (Clinical research ed.)","id":"ITEM-1","issue":"7646","issued":{"date-parts":[["2008"]]},"page":"697-701","title":"Risk of microalbuminuria and progression to macroalbuminuria in a cohort with childhood onset type 1 diabetes: prospective observational study.","type":"article-journal","volume":"336"},"uris":["http://www.mendeley.com/documents/?uuid=84c653de-6d89-4031-864e-2055d827e8e7"]}],"mendeley":{"formattedCitation":"&lt;sup&gt;31&lt;/sup&gt;","plainTextFormattedCitation":"31","previouslyFormattedCitation":"&lt;sup&gt;31&lt;/sup&gt;"},"properties":{"noteIndex":0},"schema":"https://github.com/citation-style-language/schema/raw/master/csl-citation.json"}</w:instrText>
      </w:r>
      <w:r w:rsidR="00E845A9" w:rsidRPr="00135762">
        <w:rPr>
          <w:sz w:val="24"/>
          <w:szCs w:val="24"/>
          <w:vertAlign w:val="superscript"/>
        </w:rPr>
        <w:fldChar w:fldCharType="separate"/>
      </w:r>
      <w:r w:rsidR="00705406" w:rsidRPr="00705406">
        <w:rPr>
          <w:noProof/>
          <w:sz w:val="24"/>
          <w:szCs w:val="24"/>
          <w:vertAlign w:val="superscript"/>
        </w:rPr>
        <w:t>31</w:t>
      </w:r>
      <w:r w:rsidR="00E845A9" w:rsidRPr="00135762">
        <w:rPr>
          <w:sz w:val="24"/>
          <w:szCs w:val="24"/>
        </w:rPr>
        <w:fldChar w:fldCharType="end"/>
      </w:r>
      <w:r w:rsidR="00A056EE" w:rsidRPr="00135762">
        <w:rPr>
          <w:sz w:val="24"/>
          <w:szCs w:val="24"/>
        </w:rPr>
        <w:t>.</w:t>
      </w:r>
      <w:r w:rsidR="00E845A9" w:rsidRPr="00135762">
        <w:rPr>
          <w:sz w:val="24"/>
          <w:szCs w:val="24"/>
        </w:rPr>
        <w:t xml:space="preserve"> </w:t>
      </w:r>
      <w:r w:rsidR="00A056EE" w:rsidRPr="00135762">
        <w:rPr>
          <w:sz w:val="24"/>
          <w:szCs w:val="24"/>
        </w:rPr>
        <w:t>By contrast,</w:t>
      </w:r>
      <w:r w:rsidR="00E845A9" w:rsidRPr="00135762">
        <w:rPr>
          <w:sz w:val="24"/>
          <w:szCs w:val="24"/>
          <w:lang w:val="en-US"/>
        </w:rPr>
        <w:t xml:space="preserve"> in </w:t>
      </w:r>
      <w:r w:rsidR="00572DE2">
        <w:rPr>
          <w:sz w:val="24"/>
          <w:szCs w:val="24"/>
          <w:lang w:val="en-US"/>
        </w:rPr>
        <w:t xml:space="preserve">a </w:t>
      </w:r>
      <w:r w:rsidR="00307D49" w:rsidRPr="00135762">
        <w:rPr>
          <w:sz w:val="24"/>
          <w:szCs w:val="24"/>
          <w:lang w:val="en-US"/>
        </w:rPr>
        <w:t xml:space="preserve">comparable </w:t>
      </w:r>
      <w:r w:rsidR="00E845A9" w:rsidRPr="00135762">
        <w:rPr>
          <w:sz w:val="24"/>
          <w:szCs w:val="24"/>
          <w:lang w:val="en-US"/>
        </w:rPr>
        <w:t xml:space="preserve">adult cohort </w:t>
      </w:r>
      <w:r w:rsidR="00A056EE" w:rsidRPr="00135762">
        <w:rPr>
          <w:sz w:val="24"/>
          <w:szCs w:val="24"/>
          <w:lang w:val="en-US"/>
        </w:rPr>
        <w:t>prevalence of microalbuminuria</w:t>
      </w:r>
      <w:r w:rsidR="00307D49" w:rsidRPr="00135762">
        <w:rPr>
          <w:sz w:val="24"/>
          <w:szCs w:val="24"/>
          <w:lang w:val="en-US"/>
        </w:rPr>
        <w:t xml:space="preserve"> </w:t>
      </w:r>
      <w:r w:rsidR="00E845A9" w:rsidRPr="00135762">
        <w:rPr>
          <w:sz w:val="24"/>
          <w:szCs w:val="24"/>
          <w:lang w:val="en-US"/>
        </w:rPr>
        <w:t xml:space="preserve">was 34% after </w:t>
      </w:r>
      <w:r w:rsidR="00D31363" w:rsidRPr="00135762">
        <w:rPr>
          <w:sz w:val="24"/>
          <w:szCs w:val="24"/>
          <w:lang w:val="en-US"/>
        </w:rPr>
        <w:t>18 year</w:t>
      </w:r>
      <w:r w:rsidR="00DA75D0" w:rsidRPr="00135762">
        <w:rPr>
          <w:sz w:val="24"/>
          <w:szCs w:val="24"/>
          <w:lang w:val="en-US"/>
        </w:rPr>
        <w:t>s</w:t>
      </w:r>
      <w:r w:rsidR="002F5161" w:rsidRPr="00135762">
        <w:rPr>
          <w:sz w:val="24"/>
          <w:szCs w:val="24"/>
          <w:lang w:val="en-US"/>
        </w:rPr>
        <w:t xml:space="preserve"> </w:t>
      </w:r>
      <w:r w:rsidR="004542EA" w:rsidRPr="00135762">
        <w:rPr>
          <w:sz w:val="24"/>
          <w:szCs w:val="24"/>
          <w:lang w:val="en-US"/>
        </w:rPr>
        <w:t xml:space="preserve">duration of </w:t>
      </w:r>
      <w:r w:rsidR="002F5161" w:rsidRPr="00135762">
        <w:rPr>
          <w:sz w:val="24"/>
          <w:szCs w:val="24"/>
          <w:lang w:val="en-US"/>
        </w:rPr>
        <w:t>diabetes</w:t>
      </w:r>
      <w:r w:rsidR="00E845A9" w:rsidRPr="00135762">
        <w:rPr>
          <w:sz w:val="24"/>
          <w:szCs w:val="24"/>
          <w:lang w:val="en-US"/>
        </w:rPr>
        <w:t xml:space="preserve"> </w:t>
      </w:r>
      <w:r w:rsidR="00F96BE4" w:rsidRPr="00135762">
        <w:rPr>
          <w:sz w:val="24"/>
          <w:szCs w:val="24"/>
          <w:lang w:val="en-US"/>
        </w:rPr>
        <w:t xml:space="preserve"> </w:t>
      </w:r>
      <w:r w:rsidR="00E845A9" w:rsidRPr="00135762">
        <w:rPr>
          <w:sz w:val="24"/>
          <w:szCs w:val="24"/>
          <w:lang w:val="en-US"/>
        </w:rPr>
        <w:t xml:space="preserve">and exposure to similar </w:t>
      </w:r>
      <w:r w:rsidR="00307D49" w:rsidRPr="00135762">
        <w:rPr>
          <w:sz w:val="24"/>
          <w:szCs w:val="24"/>
          <w:lang w:val="en-US"/>
        </w:rPr>
        <w:t xml:space="preserve">levels of </w:t>
      </w:r>
      <w:r w:rsidR="00E845A9" w:rsidRPr="00135762">
        <w:rPr>
          <w:sz w:val="24"/>
          <w:szCs w:val="24"/>
          <w:lang w:val="en-US"/>
        </w:rPr>
        <w:t>glyc</w:t>
      </w:r>
      <w:r w:rsidR="00882CBF" w:rsidRPr="00135762">
        <w:rPr>
          <w:sz w:val="24"/>
          <w:szCs w:val="24"/>
          <w:lang w:val="en-US"/>
        </w:rPr>
        <w:t>a</w:t>
      </w:r>
      <w:r w:rsidR="00E845A9" w:rsidRPr="00135762">
        <w:rPr>
          <w:sz w:val="24"/>
          <w:szCs w:val="24"/>
          <w:lang w:val="en-US"/>
        </w:rPr>
        <w:t>emic control</w:t>
      </w:r>
      <w:r w:rsidR="00A056EE" w:rsidRPr="00135762">
        <w:rPr>
          <w:sz w:val="24"/>
          <w:szCs w:val="24"/>
          <w:lang w:val="en-US"/>
        </w:rPr>
        <w:t xml:space="preserve"> as in the ORPS cohort</w:t>
      </w:r>
      <w:r w:rsidR="00E845A9" w:rsidRPr="00135762">
        <w:rPr>
          <w:sz w:val="24"/>
          <w:szCs w:val="24"/>
          <w:lang w:val="en-US"/>
        </w:rPr>
        <w:fldChar w:fldCharType="begin" w:fldLock="1"/>
      </w:r>
      <w:r w:rsidR="008736A2">
        <w:rPr>
          <w:sz w:val="24"/>
          <w:szCs w:val="24"/>
          <w:lang w:val="en-US"/>
        </w:rPr>
        <w:instrText>ADDIN CSL_CITATION {"citationItems":[{"id":"ITEM-1","itemData":{"DOI":"10.1136/bmj.38070.450891.FE","ISSN":"1756-1833","PMID":"15096438","abstract":"OBJECTIVE To evaluate baseline predictors for the development of persistent microalbuminuria and macroalbuminuria prospectively in patients with type 1 diabetes. DESIGN Prospective observational study of an inception cohort. SETTING Outpatient diabetic clinic in a tertiary referral centre, Gentofte, Denmark. PARTICIPANTS 286 patients (216 adults) newly diagnosed with type 1 diabetes consecutively admitted to the clinic between 1 September 1979 and 31 August 1984. MAIN OUTCOME MEASURES Persistent microalbuminuria and persistent macroalbuminuria. RESULTS During the median follow up of 18.0 years (range 1.0-21.5 years), total of 4706 patient years of follow up, 79 of 277 (29%) patients developed persistent microalbuminuria. 27 of 79 progressed further to persistent macroalbuminuria. The cumulative incidence of persistent microalbuminuria and persistent macroalbuminuria was 33.6% (95% confidence interval 27.2% to 40.0%) and 14.6% (8.9% to 20.3%), respectively. Significant predictors for the development of persistent microalbuminuria were a 10-fold increase in urinary albumin excretion rate (relative risk 3.78, 1.57 to 9.13), being male (2.41, 1.43 to 4.06), a 10 mm Hg increase in mean arterial blood pressure (1.38, 1.20 to 1.57), a 1% increase in haemoglobin A1c (1.18, 1.04 to 1.32), and a 1 cm increase in height (0.96, 0.95 to 0.98). 28 patients with microalbuminuria (35%) regressed to normoalbuminuria either transiently (n = 15) or permanently (n = 13). CONCLUSIONS Around one third of patients newly diagnosed with type 1 diabetes develop persistent microalbuminuria within the first 20 years of diabetes. Several potentially modifiable risk factors predict the development of persistent microalbuminaria and persistent macroalbuminuria.","author":[{"dropping-particle":"","family":"Hovind","given":"Peter","non-dropping-particle":"","parse-names":false,"suffix":""},{"dropping-particle":"","family":"Tarnow","given":"Lise","non-dropping-particle":"","parse-names":false,"suffix":""},{"dropping-particle":"","family":"Rossing","given":"Peter","non-dropping-particle":"","parse-names":false,"suffix":""},{"dropping-particle":"","family":"Jensen","given":"Berit Ruud","non-dropping-particle":"","parse-names":false,"suffix":""},{"dropping-particle":"","family":"Graae","given":"Malene","non-dropping-particle":"","parse-names":false,"suffix":""},{"dropping-particle":"","family":"Torp","given":"Inge","non-dropping-particle":"","parse-names":false,"suffix":""},{"dropping-particle":"","family":"Binder","given":"Christian","non-dropping-particle":"","parse-names":false,"suffix":""},{"dropping-particle":"","family":"Parving","given":"Hans-Henrik","non-dropping-particle":"","parse-names":false,"suffix":""}],"container-title":"BMJ (Clinical research ed.)","id":"ITEM-1","issue":"7448","issued":{"date-parts":[["2004","5","8"]]},"page":"1105","title":"Predictors for the development of microalbuminuria and macroalbuminuria in patients with type 1 diabetes: inception cohort study.","type":"article-journal","volume":"328"},"uris":["http://www.mendeley.com/documents/?uuid=90f6c986-10fd-3e53-b92e-1014c008063d"]}],"mendeley":{"formattedCitation":"&lt;sup&gt;35&lt;/sup&gt;","plainTextFormattedCitation":"35","previouslyFormattedCitation":"&lt;sup&gt;35&lt;/sup&gt;"},"properties":{"noteIndex":0},"schema":"https://github.com/citation-style-language/schema/raw/master/csl-citation.json"}</w:instrText>
      </w:r>
      <w:r w:rsidR="00E845A9" w:rsidRPr="00135762">
        <w:rPr>
          <w:sz w:val="24"/>
          <w:szCs w:val="24"/>
          <w:lang w:val="en-US"/>
        </w:rPr>
        <w:fldChar w:fldCharType="separate"/>
      </w:r>
      <w:r w:rsidR="00705406" w:rsidRPr="00705406">
        <w:rPr>
          <w:noProof/>
          <w:sz w:val="24"/>
          <w:szCs w:val="24"/>
          <w:vertAlign w:val="superscript"/>
          <w:lang w:val="en-US"/>
        </w:rPr>
        <w:t>35</w:t>
      </w:r>
      <w:r w:rsidR="00E845A9" w:rsidRPr="00135762">
        <w:rPr>
          <w:sz w:val="24"/>
          <w:szCs w:val="24"/>
          <w:lang w:val="en-US"/>
        </w:rPr>
        <w:fldChar w:fldCharType="end"/>
      </w:r>
      <w:r w:rsidR="00E845A9" w:rsidRPr="00135762">
        <w:rPr>
          <w:sz w:val="24"/>
          <w:szCs w:val="24"/>
          <w:lang w:val="en-US"/>
        </w:rPr>
        <w:t>.</w:t>
      </w:r>
      <w:r w:rsidR="00F96BE4" w:rsidRPr="00135762">
        <w:rPr>
          <w:sz w:val="24"/>
          <w:szCs w:val="24"/>
          <w:lang w:val="en-US"/>
        </w:rPr>
        <w:t xml:space="preserve"> </w:t>
      </w:r>
    </w:p>
    <w:p w14:paraId="3269BF1F" w14:textId="77777777" w:rsidR="00DF020D" w:rsidRPr="00135762" w:rsidRDefault="00DF020D" w:rsidP="00E2090D">
      <w:pPr>
        <w:spacing w:after="0" w:line="360" w:lineRule="auto"/>
        <w:rPr>
          <w:sz w:val="24"/>
          <w:szCs w:val="24"/>
          <w:lang w:val="en-US"/>
        </w:rPr>
      </w:pPr>
    </w:p>
    <w:p w14:paraId="59F3576B" w14:textId="7B2A50EA" w:rsidR="00E845A9" w:rsidRPr="00135762" w:rsidRDefault="00E00661" w:rsidP="00E2090D">
      <w:pPr>
        <w:spacing w:after="0" w:line="360" w:lineRule="auto"/>
        <w:rPr>
          <w:sz w:val="24"/>
          <w:szCs w:val="24"/>
        </w:rPr>
      </w:pPr>
      <w:r w:rsidRPr="00135762">
        <w:rPr>
          <w:sz w:val="24"/>
          <w:szCs w:val="24"/>
          <w:lang w:val="en-US"/>
        </w:rPr>
        <w:lastRenderedPageBreak/>
        <w:t>Interestingly</w:t>
      </w:r>
      <w:r w:rsidR="00E845A9" w:rsidRPr="00135762">
        <w:rPr>
          <w:sz w:val="24"/>
          <w:szCs w:val="24"/>
        </w:rPr>
        <w:t>, young people</w:t>
      </w:r>
      <w:r w:rsidRPr="00135762">
        <w:rPr>
          <w:sz w:val="24"/>
          <w:szCs w:val="24"/>
        </w:rPr>
        <w:t xml:space="preserve"> from the ORPS cohort who were</w:t>
      </w:r>
      <w:r w:rsidR="00E845A9" w:rsidRPr="00135762">
        <w:rPr>
          <w:sz w:val="24"/>
          <w:szCs w:val="24"/>
        </w:rPr>
        <w:t xml:space="preserve"> diagnosed prior to puberty, between the ages of </w:t>
      </w:r>
      <w:r w:rsidRPr="00135762">
        <w:rPr>
          <w:sz w:val="24"/>
          <w:szCs w:val="24"/>
        </w:rPr>
        <w:t>0</w:t>
      </w:r>
      <w:r w:rsidR="00E845A9" w:rsidRPr="00135762">
        <w:rPr>
          <w:sz w:val="24"/>
          <w:szCs w:val="24"/>
        </w:rPr>
        <w:t xml:space="preserve"> to 1</w:t>
      </w:r>
      <w:r w:rsidR="00572DE2">
        <w:rPr>
          <w:sz w:val="24"/>
          <w:szCs w:val="24"/>
        </w:rPr>
        <w:t>0</w:t>
      </w:r>
      <w:r w:rsidR="00E845A9" w:rsidRPr="00135762">
        <w:rPr>
          <w:sz w:val="24"/>
          <w:szCs w:val="24"/>
        </w:rPr>
        <w:t xml:space="preserve"> years</w:t>
      </w:r>
      <w:r w:rsidR="00610D92">
        <w:rPr>
          <w:sz w:val="24"/>
          <w:szCs w:val="24"/>
        </w:rPr>
        <w:t xml:space="preserve">, </w:t>
      </w:r>
      <w:r w:rsidR="00E845A9" w:rsidRPr="00135762">
        <w:rPr>
          <w:sz w:val="24"/>
          <w:szCs w:val="24"/>
        </w:rPr>
        <w:t xml:space="preserve">showed a low prevalence of microalbuminuria until </w:t>
      </w:r>
      <w:r w:rsidR="00307D49" w:rsidRPr="00135762">
        <w:rPr>
          <w:sz w:val="24"/>
          <w:szCs w:val="24"/>
        </w:rPr>
        <w:t xml:space="preserve">they </w:t>
      </w:r>
      <w:r w:rsidR="00E845A9" w:rsidRPr="00135762">
        <w:rPr>
          <w:sz w:val="24"/>
          <w:szCs w:val="24"/>
        </w:rPr>
        <w:t xml:space="preserve">reached puberty, </w:t>
      </w:r>
      <w:r w:rsidRPr="00135762">
        <w:rPr>
          <w:sz w:val="24"/>
          <w:szCs w:val="24"/>
        </w:rPr>
        <w:t>thereafter microalbuminuria prevalence increased</w:t>
      </w:r>
      <w:r w:rsidR="00E845A9" w:rsidRPr="00135762">
        <w:rPr>
          <w:sz w:val="24"/>
          <w:szCs w:val="24"/>
        </w:rPr>
        <w:fldChar w:fldCharType="begin" w:fldLock="1"/>
      </w:r>
      <w:r w:rsidR="008736A2">
        <w:rPr>
          <w:sz w:val="24"/>
          <w:szCs w:val="24"/>
        </w:rPr>
        <w:instrText>ADDIN CSL_CITATION {"citationItems":[{"id":"ITEM-1","itemData":{"DOI":"10.1136/bmj.39478.378241.BE","ISBN":"1756-1833 (Electronic)\\r0959-535X (Linking)","ISSN":"0959-8138","PMID":"18349042","abstract":"OBJECTIVES: To describe independent predictors for the development of microalbuminuria and progression to macroalbuminuria in those with childhood onset type 1 diabetes. DESIGN: Prospective observational study with follow-up for 9.8 (SD 3.8) years. SETTING: Oxford regional prospective study. PARTICIPANTS: 527 participants with a diagnosis of type 1 diabetes at mean age 8.8 (SD 4.0) years. MAIN OUTCOME MEASURES: Annual measurement of glycated haemoglobin (HbA1c) and assessment of urinary albumin:creatinine ratio. RESULTS: Cumulative prevalence of microalbuminuria was 25.7% (95% confidence interval 21.3% to 30.1%) after 10 years of diabetes and 50.7% (40.5% to 60.9%) after 19 years of diabetes and 5182 patient years of follow-up. The only modifiable adjusted predictor for microalbuminuria was high HbA1c concentrations (hazard ratio per 1% rise in HbA1c 1.39, 1.27 to 1.52). Blood pressure and history of smoking were not predictors. Microalbuminuria was persistent in 48% of patients. Cumulative prevalence of progression from microalbuminuria to macroalbuminuria was 13.9% (12.9% to 14.9%); progression occurred at a mean age of 18.5 (5.8) years. Although the sample size was small, modifiable predictors of macroalbuminuria were higher HbA(1c) levels and both persistent and intermittent microalbuminuria (hazard ratios 1.42 (1.22 to 1.78), 27.72 (7.99 to 96.12), and 8.76 (2.44 to 31.44), respectively). CONCLUSION: In childhood onset type 1 diabetes, the only modifiable predictors were poor glycaemic control for the development of microalbuminuria and poor control and microalbuminuria (both persistent and intermittent) for progression to macroalbuminuria. Risk for macroalbuminuria is similar to that observed in cohorts with adult onset disease but as it occurs in young adult life early intervention in normotensive adolescents might be needed to improve prognosis.","author":[{"dropping-particle":"","family":"Amin","given":"Rakesh","non-dropping-particle":"","parse-names":false,"suffix":""},{"dropping-particle":"","family":"Widmer","given":"Barry","non-dropping-particle":"","parse-names":false,"suffix":""},{"dropping-particle":"","family":"Prevost","given":"a Toby","non-dropping-particle":"","parse-names":false,"suffix":""},{"dropping-particle":"","family":"Schwarze","given":"Phillip","non-dropping-particle":"","parse-names":false,"suffix":""},{"dropping-particle":"","family":"Cooper","given":"Jason","non-dropping-particle":"","parse-names":false,"suffix":""},{"dropping-particle":"","family":"Edge","given":"Julie","non-dropping-particle":"","parse-names":false,"suffix":""},{"dropping-particle":"","family":"Marcovecchio","given":"Loredana","non-dropping-particle":"","parse-names":false,"suffix":""},{"dropping-particle":"","family":"Neil","given":"Andrew","non-dropping-particle":"","parse-names":false,"suffix":""},{"dropping-particle":"","family":"Dalton","given":"R Neil","non-dropping-particle":"","parse-names":false,"suffix":""},{"dropping-particle":"","family":"Dunger","given":"David B","non-dropping-particle":"","parse-names":false,"suffix":""}],"container-title":"BMJ (Clinical research ed.)","id":"ITEM-1","issue":"7646","issued":{"date-parts":[["2008"]]},"page":"697-701","title":"Risk of microalbuminuria and progression to macroalbuminuria in a cohort with childhood onset type 1 diabetes: prospective observational study.","type":"article-journal","volume":"336"},"uris":["http://www.mendeley.com/documents/?uuid=84c653de-6d89-4031-864e-2055d827e8e7"]}],"mendeley":{"formattedCitation":"&lt;sup&gt;31&lt;/sup&gt;","plainTextFormattedCitation":"31","previouslyFormattedCitation":"&lt;sup&gt;31&lt;/sup&gt;"},"properties":{"noteIndex":0},"schema":"https://github.com/citation-style-language/schema/raw/master/csl-citation.json"}</w:instrText>
      </w:r>
      <w:r w:rsidR="00E845A9" w:rsidRPr="00135762">
        <w:rPr>
          <w:sz w:val="24"/>
          <w:szCs w:val="24"/>
          <w:vertAlign w:val="superscript"/>
        </w:rPr>
        <w:fldChar w:fldCharType="separate"/>
      </w:r>
      <w:r w:rsidR="00705406" w:rsidRPr="00705406">
        <w:rPr>
          <w:noProof/>
          <w:sz w:val="24"/>
          <w:szCs w:val="24"/>
          <w:vertAlign w:val="superscript"/>
        </w:rPr>
        <w:t>31</w:t>
      </w:r>
      <w:r w:rsidR="00E845A9" w:rsidRPr="00135762">
        <w:rPr>
          <w:sz w:val="24"/>
          <w:szCs w:val="24"/>
        </w:rPr>
        <w:fldChar w:fldCharType="end"/>
      </w:r>
      <w:r w:rsidR="00E845A9" w:rsidRPr="00135762">
        <w:rPr>
          <w:sz w:val="24"/>
          <w:szCs w:val="24"/>
        </w:rPr>
        <w:t>.</w:t>
      </w:r>
      <w:r w:rsidR="00F96BE4" w:rsidRPr="00135762">
        <w:rPr>
          <w:sz w:val="24"/>
          <w:szCs w:val="24"/>
        </w:rPr>
        <w:t xml:space="preserve"> </w:t>
      </w:r>
      <w:r w:rsidR="005B31D8" w:rsidRPr="00135762">
        <w:rPr>
          <w:sz w:val="24"/>
          <w:szCs w:val="24"/>
        </w:rPr>
        <w:t>By</w:t>
      </w:r>
      <w:r w:rsidR="00E845A9" w:rsidRPr="00135762">
        <w:rPr>
          <w:sz w:val="24"/>
          <w:szCs w:val="24"/>
        </w:rPr>
        <w:t xml:space="preserve"> contrast, </w:t>
      </w:r>
      <w:r w:rsidR="005B31D8" w:rsidRPr="00135762">
        <w:rPr>
          <w:sz w:val="24"/>
          <w:szCs w:val="24"/>
        </w:rPr>
        <w:t>individuals</w:t>
      </w:r>
      <w:r w:rsidR="00E845A9" w:rsidRPr="00135762">
        <w:rPr>
          <w:sz w:val="24"/>
          <w:szCs w:val="24"/>
        </w:rPr>
        <w:t xml:space="preserve"> diagnosed during puberty</w:t>
      </w:r>
      <w:r w:rsidR="005B31D8" w:rsidRPr="00135762">
        <w:rPr>
          <w:sz w:val="24"/>
          <w:szCs w:val="24"/>
        </w:rPr>
        <w:t xml:space="preserve"> showed</w:t>
      </w:r>
      <w:r w:rsidR="00E845A9" w:rsidRPr="00135762">
        <w:rPr>
          <w:sz w:val="24"/>
          <w:szCs w:val="24"/>
        </w:rPr>
        <w:t xml:space="preserve"> a consistent increa</w:t>
      </w:r>
      <w:r w:rsidR="00443B07" w:rsidRPr="00135762">
        <w:rPr>
          <w:sz w:val="24"/>
          <w:szCs w:val="24"/>
        </w:rPr>
        <w:t xml:space="preserve">sed cumulative prevalence of </w:t>
      </w:r>
      <w:r w:rsidR="00E845A9" w:rsidRPr="00135762">
        <w:rPr>
          <w:sz w:val="24"/>
          <w:szCs w:val="24"/>
        </w:rPr>
        <w:t>microalbuminuria</w:t>
      </w:r>
      <w:r w:rsidR="00E845A9" w:rsidRPr="00135762">
        <w:rPr>
          <w:sz w:val="24"/>
          <w:szCs w:val="24"/>
        </w:rPr>
        <w:fldChar w:fldCharType="begin" w:fldLock="1"/>
      </w:r>
      <w:r w:rsidR="008736A2">
        <w:rPr>
          <w:sz w:val="24"/>
          <w:szCs w:val="24"/>
        </w:rPr>
        <w:instrText>ADDIN CSL_CITATION {"citationItems":[{"id":"ITEM-1","itemData":{"DOI":"10.1136/bmj.39478.378241.BE","ISBN":"1756-1833 (Electronic)\\r0959-535X (Linking)","ISSN":"0959-8138","PMID":"18349042","abstract":"OBJECTIVES: To describe independent predictors for the development of microalbuminuria and progression to macroalbuminuria in those with childhood onset type 1 diabetes. DESIGN: Prospective observational study with follow-up for 9.8 (SD 3.8) years. SETTING: Oxford regional prospective study. PARTICIPANTS: 527 participants with a diagnosis of type 1 diabetes at mean age 8.8 (SD 4.0) years. MAIN OUTCOME MEASURES: Annual measurement of glycated haemoglobin (HbA1c) and assessment of urinary albumin:creatinine ratio. RESULTS: Cumulative prevalence of microalbuminuria was 25.7% (95% confidence interval 21.3% to 30.1%) after 10 years of diabetes and 50.7% (40.5% to 60.9%) after 19 years of diabetes and 5182 patient years of follow-up. The only modifiable adjusted predictor for microalbuminuria was high HbA1c concentrations (hazard ratio per 1% rise in HbA1c 1.39, 1.27 to 1.52). Blood pressure and history of smoking were not predictors. Microalbuminuria was persistent in 48% of patients. Cumulative prevalence of progression from microalbuminuria to macroalbuminuria was 13.9% (12.9% to 14.9%); progression occurred at a mean age of 18.5 (5.8) years. Although the sample size was small, modifiable predictors of macroalbuminuria were higher HbA(1c) levels and both persistent and intermittent microalbuminuria (hazard ratios 1.42 (1.22 to 1.78), 27.72 (7.99 to 96.12), and 8.76 (2.44 to 31.44), respectively). CONCLUSION: In childhood onset type 1 diabetes, the only modifiable predictors were poor glycaemic control for the development of microalbuminuria and poor control and microalbuminuria (both persistent and intermittent) for progression to macroalbuminuria. Risk for macroalbuminuria is similar to that observed in cohorts with adult onset disease but as it occurs in young adult life early intervention in normotensive adolescents might be needed to improve prognosis.","author":[{"dropping-particle":"","family":"Amin","given":"Rakesh","non-dropping-particle":"","parse-names":false,"suffix":""},{"dropping-particle":"","family":"Widmer","given":"Barry","non-dropping-particle":"","parse-names":false,"suffix":""},{"dropping-particle":"","family":"Prevost","given":"a Toby","non-dropping-particle":"","parse-names":false,"suffix":""},{"dropping-particle":"","family":"Schwarze","given":"Phillip","non-dropping-particle":"","parse-names":false,"suffix":""},{"dropping-particle":"","family":"Cooper","given":"Jason","non-dropping-particle":"","parse-names":false,"suffix":""},{"dropping-particle":"","family":"Edge","given":"Julie","non-dropping-particle":"","parse-names":false,"suffix":""},{"dropping-particle":"","family":"Marcovecchio","given":"Loredana","non-dropping-particle":"","parse-names":false,"suffix":""},{"dropping-particle":"","family":"Neil","given":"Andrew","non-dropping-particle":"","parse-names":false,"suffix":""},{"dropping-particle":"","family":"Dalton","given":"R Neil","non-dropping-particle":"","parse-names":false,"suffix":""},{"dropping-particle":"","family":"Dunger","given":"David B","non-dropping-particle":"","parse-names":false,"suffix":""}],"container-title":"BMJ (Clinical research ed.)","id":"ITEM-1","issue":"7646","issued":{"date-parts":[["2008"]]},"page":"697-701","title":"Risk of microalbuminuria and progression to macroalbuminuria in a cohort with childhood onset type 1 diabetes: prospective observational study.","type":"article-journal","volume":"336"},"uris":["http://www.mendeley.com/documents/?uuid=84c653de-6d89-4031-864e-2055d827e8e7"]}],"mendeley":{"formattedCitation":"&lt;sup&gt;31&lt;/sup&gt;","plainTextFormattedCitation":"31","previouslyFormattedCitation":"&lt;sup&gt;31&lt;/sup&gt;"},"properties":{"noteIndex":0},"schema":"https://github.com/citation-style-language/schema/raw/master/csl-citation.json"}</w:instrText>
      </w:r>
      <w:r w:rsidR="00E845A9" w:rsidRPr="00135762">
        <w:rPr>
          <w:sz w:val="24"/>
          <w:szCs w:val="24"/>
          <w:vertAlign w:val="superscript"/>
        </w:rPr>
        <w:fldChar w:fldCharType="separate"/>
      </w:r>
      <w:r w:rsidR="00705406" w:rsidRPr="00705406">
        <w:rPr>
          <w:noProof/>
          <w:sz w:val="24"/>
          <w:szCs w:val="24"/>
          <w:vertAlign w:val="superscript"/>
        </w:rPr>
        <w:t>31</w:t>
      </w:r>
      <w:r w:rsidR="00E845A9" w:rsidRPr="00135762">
        <w:rPr>
          <w:sz w:val="24"/>
          <w:szCs w:val="24"/>
        </w:rPr>
        <w:fldChar w:fldCharType="end"/>
      </w:r>
      <w:r w:rsidR="001A6AA6" w:rsidRPr="00135762">
        <w:rPr>
          <w:sz w:val="24"/>
          <w:szCs w:val="24"/>
        </w:rPr>
        <w:t>.</w:t>
      </w:r>
      <w:r w:rsidR="00F96BE4" w:rsidRPr="00135762">
        <w:rPr>
          <w:sz w:val="24"/>
          <w:szCs w:val="24"/>
        </w:rPr>
        <w:t xml:space="preserve"> </w:t>
      </w:r>
      <w:r w:rsidR="005B31D8" w:rsidRPr="00135762">
        <w:rPr>
          <w:sz w:val="24"/>
          <w:szCs w:val="24"/>
        </w:rPr>
        <w:t xml:space="preserve">Notably, the </w:t>
      </w:r>
      <w:r w:rsidR="005B31D8" w:rsidRPr="00135762">
        <w:rPr>
          <w:sz w:val="24"/>
          <w:szCs w:val="24"/>
          <w:lang w:val="en-US"/>
        </w:rPr>
        <w:t>r</w:t>
      </w:r>
      <w:r w:rsidR="00E845A9" w:rsidRPr="00135762">
        <w:rPr>
          <w:sz w:val="24"/>
          <w:szCs w:val="24"/>
          <w:lang w:val="en-US"/>
        </w:rPr>
        <w:t xml:space="preserve">isk of developing retinopathy </w:t>
      </w:r>
      <w:r w:rsidR="005B31D8" w:rsidRPr="00135762">
        <w:rPr>
          <w:sz w:val="24"/>
          <w:szCs w:val="24"/>
          <w:lang w:val="en-US"/>
        </w:rPr>
        <w:t>is</w:t>
      </w:r>
      <w:r w:rsidR="00E845A9" w:rsidRPr="00135762">
        <w:rPr>
          <w:sz w:val="24"/>
          <w:szCs w:val="24"/>
          <w:lang w:val="en-US"/>
        </w:rPr>
        <w:t xml:space="preserve"> reported</w:t>
      </w:r>
      <w:r w:rsidR="005B31D8" w:rsidRPr="00135762">
        <w:rPr>
          <w:sz w:val="24"/>
          <w:szCs w:val="24"/>
          <w:lang w:val="en-US"/>
        </w:rPr>
        <w:t>ly</w:t>
      </w:r>
      <w:r w:rsidR="00E845A9" w:rsidRPr="00135762">
        <w:rPr>
          <w:sz w:val="24"/>
          <w:szCs w:val="24"/>
          <w:lang w:val="en-US"/>
        </w:rPr>
        <w:t xml:space="preserve"> higher in people diagnosed before the age of 14 years than in those diagnosed during adulthood</w:t>
      </w:r>
      <w:r w:rsidR="00E845A9" w:rsidRPr="00135762">
        <w:rPr>
          <w:sz w:val="24"/>
          <w:szCs w:val="24"/>
        </w:rPr>
        <w:fldChar w:fldCharType="begin" w:fldLock="1"/>
      </w:r>
      <w:r w:rsidR="008736A2">
        <w:rPr>
          <w:sz w:val="24"/>
          <w:szCs w:val="24"/>
        </w:rPr>
        <w:instrText>ADDIN CSL_CITATION {"citationItems":[{"id":"ITEM-1","itemData":{"DOI":"10.2337/dc09-2278","ISSN":"1935-5548","PMID":"20185730","abstract":"OBJECTIVE Age at onset of type 1 diabetes influences the risk of microvascular complications. However, the long-term risk of proliferative retinopathy within the wide spectrum of age at onset of type 1 diabetes is less well known. RESEARCH DESIGN AND METHODS A sample of 1,117 consecutively recruited patients was drawn from the FinnDiane Study population (4,800 patients). Type 1 diabetes was defined as age at onset &lt;or=40 years, insulin treatment initiated within 1 year, and C-peptide &lt;or=0.3 nmol/l. Retinopathy status was graded based on ophthalmic records and/or fundus photographs. The risk of proliferative retinopathy was studied in age-at-onset groups 0-4, 5-14, and 15-40 years. RESULTS The mean durations to proliferative retinopathy were 24.3 (22.7-25.9) years in the 0-4 years group, 20.1 (19.2-21.1) years in the 5-14 years group, and 21.6 (19.8-23.3) years in the 15-40 years group (P &lt; 0.001). In a Cox regression model, with A1C, blood pressure, sex, and BMI as covariates, the highest risk of proliferative retinopathy was observed in the 5-14 years group (hazard ratio 1.90 [95% CI 1.45-2.48], P &lt; 0.001). Diabetes onset 0-4 vs. 5-14 years made no difference in the long-term risk of proliferative retinopathy (P = 0.2). When split into two groups, age at onset &lt;15 years was associated with a higher long-term risk than age at onset &gt;or=15 years (1.82 [1.40-2.36], P &lt; 0.001). CONCLUSIONS Age at onset significantly modifies the long-term risk of proliferative retinopathy. The highest risk is in age-at-onset group 5-14 years, whereas the lowest risk is in age-at-onset group 15-40 years.","author":[{"dropping-particle":"","family":"Hietala","given":"Kustaa","non-dropping-particle":"","parse-names":false,"suffix":""},{"dropping-particle":"","family":"Harjutsalo","given":"Valma","non-dropping-particle":"","parse-names":false,"suffix":""},{"dropping-particle":"","family":"Forsblom","given":"Carol","non-dropping-particle":"","parse-names":false,"suffix":""},{"dropping-particle":"","family":"Summanen","given":"Paula","non-dropping-particle":"","parse-names":false,"suffix":""},{"dropping-particle":"","family":"Groop","given":"Per-Henrik","non-dropping-particle":"","parse-names":false,"suffix":""},{"dropping-particle":"","family":"FinnDiane Study Group","given":"","non-dropping-particle":"","parse-names":false,"suffix":""}],"container-title":"Diabetes care","id":"ITEM-1","issue":"6","issued":{"date-parts":[["2010","6"]]},"page":"1315-9","title":"Age at onset and the risk of proliferative retinopathy in type 1 diabetes.","type":"article-journal","volume":"33"},"uris":["http://www.mendeley.com/documents/?uuid=cb93cdcb-8c8e-34ca-a32b-b619dc86ee8e"]}],"mendeley":{"formattedCitation":"&lt;sup&gt;34&lt;/sup&gt;","plainTextFormattedCitation":"34","previouslyFormattedCitation":"&lt;sup&gt;34&lt;/sup&gt;"},"properties":{"noteIndex":0},"schema":"https://github.com/citation-style-language/schema/raw/master/csl-citation.json"}</w:instrText>
      </w:r>
      <w:r w:rsidR="00E845A9" w:rsidRPr="00135762">
        <w:rPr>
          <w:sz w:val="24"/>
          <w:szCs w:val="24"/>
        </w:rPr>
        <w:fldChar w:fldCharType="separate"/>
      </w:r>
      <w:r w:rsidR="00705406" w:rsidRPr="00705406">
        <w:rPr>
          <w:noProof/>
          <w:sz w:val="24"/>
          <w:szCs w:val="24"/>
          <w:vertAlign w:val="superscript"/>
        </w:rPr>
        <w:t>34</w:t>
      </w:r>
      <w:r w:rsidR="00E845A9" w:rsidRPr="00135762">
        <w:rPr>
          <w:sz w:val="24"/>
          <w:szCs w:val="24"/>
        </w:rPr>
        <w:fldChar w:fldCharType="end"/>
      </w:r>
      <w:r w:rsidR="00E845A9" w:rsidRPr="00135762">
        <w:rPr>
          <w:sz w:val="24"/>
          <w:szCs w:val="24"/>
        </w:rPr>
        <w:t>.</w:t>
      </w:r>
      <w:r w:rsidR="00F96BE4" w:rsidRPr="00135762">
        <w:rPr>
          <w:sz w:val="24"/>
          <w:szCs w:val="24"/>
        </w:rPr>
        <w:t xml:space="preserve"> </w:t>
      </w:r>
      <w:r w:rsidR="00E2090D" w:rsidRPr="00135762">
        <w:rPr>
          <w:sz w:val="24"/>
          <w:szCs w:val="24"/>
          <w:lang w:val="en-US"/>
        </w:rPr>
        <w:t>These data suggest</w:t>
      </w:r>
      <w:r w:rsidR="00E2090D" w:rsidRPr="00135762">
        <w:rPr>
          <w:rFonts w:ascii="Calibri" w:hAnsi="Calibri"/>
          <w:sz w:val="24"/>
          <w:szCs w:val="24"/>
          <w:lang w:val="en-US"/>
        </w:rPr>
        <w:t xml:space="preserve"> that a diagnosis</w:t>
      </w:r>
      <w:r w:rsidR="005B31D8" w:rsidRPr="00135762">
        <w:rPr>
          <w:rFonts w:ascii="Calibri" w:hAnsi="Calibri"/>
          <w:sz w:val="24"/>
          <w:szCs w:val="24"/>
          <w:lang w:val="en-US"/>
        </w:rPr>
        <w:t xml:space="preserve"> of T1DM</w:t>
      </w:r>
      <w:r w:rsidR="00E2090D" w:rsidRPr="00135762">
        <w:rPr>
          <w:rFonts w:ascii="Calibri" w:hAnsi="Calibri"/>
          <w:sz w:val="24"/>
          <w:szCs w:val="24"/>
          <w:lang w:val="en-US"/>
        </w:rPr>
        <w:t xml:space="preserve"> </w:t>
      </w:r>
      <w:r w:rsidR="005B31D8" w:rsidRPr="00135762">
        <w:rPr>
          <w:rFonts w:ascii="Calibri" w:hAnsi="Calibri"/>
          <w:sz w:val="24"/>
          <w:szCs w:val="24"/>
          <w:lang w:val="en-US"/>
        </w:rPr>
        <w:t xml:space="preserve">made </w:t>
      </w:r>
      <w:r w:rsidR="00E2090D" w:rsidRPr="00135762">
        <w:rPr>
          <w:rFonts w:ascii="Calibri" w:hAnsi="Calibri"/>
          <w:sz w:val="24"/>
          <w:szCs w:val="24"/>
          <w:lang w:val="en-US"/>
        </w:rPr>
        <w:t xml:space="preserve">during childhood </w:t>
      </w:r>
      <w:r w:rsidR="00D47662" w:rsidRPr="00135762">
        <w:rPr>
          <w:rFonts w:ascii="Calibri" w:hAnsi="Calibri"/>
          <w:sz w:val="24"/>
          <w:szCs w:val="24"/>
          <w:lang w:val="en-US"/>
        </w:rPr>
        <w:t xml:space="preserve">and adolescence </w:t>
      </w:r>
      <w:r w:rsidR="00E2090D" w:rsidRPr="00135762">
        <w:rPr>
          <w:rFonts w:ascii="Calibri" w:hAnsi="Calibri"/>
          <w:sz w:val="24"/>
          <w:szCs w:val="24"/>
          <w:lang w:val="en-US"/>
        </w:rPr>
        <w:t xml:space="preserve">might be associated with different risk factors for the development of </w:t>
      </w:r>
      <w:r w:rsidR="00D47662" w:rsidRPr="00135762">
        <w:rPr>
          <w:rFonts w:ascii="Calibri" w:hAnsi="Calibri"/>
          <w:sz w:val="24"/>
          <w:szCs w:val="24"/>
          <w:lang w:val="en-US"/>
        </w:rPr>
        <w:t>complications</w:t>
      </w:r>
      <w:r w:rsidR="00E2090D" w:rsidRPr="00135762">
        <w:rPr>
          <w:rFonts w:ascii="Calibri" w:hAnsi="Calibri"/>
          <w:sz w:val="24"/>
          <w:szCs w:val="24"/>
          <w:lang w:val="en-US"/>
        </w:rPr>
        <w:t xml:space="preserve"> when compared to a later diagnosis</w:t>
      </w:r>
      <w:r w:rsidR="005B31D8" w:rsidRPr="00135762">
        <w:rPr>
          <w:rFonts w:ascii="Calibri" w:hAnsi="Calibri"/>
          <w:sz w:val="24"/>
          <w:szCs w:val="24"/>
          <w:lang w:val="en-US"/>
        </w:rPr>
        <w:t xml:space="preserve"> made</w:t>
      </w:r>
      <w:r w:rsidR="00E2090D" w:rsidRPr="00135762">
        <w:rPr>
          <w:rFonts w:ascii="Calibri" w:hAnsi="Calibri"/>
          <w:sz w:val="24"/>
          <w:szCs w:val="24"/>
          <w:lang w:val="en-US"/>
        </w:rPr>
        <w:t xml:space="preserve"> during adult life</w:t>
      </w:r>
      <w:r w:rsidR="00E2090D" w:rsidRPr="00135762">
        <w:rPr>
          <w:rFonts w:ascii="Calibri" w:hAnsi="Calibri"/>
          <w:sz w:val="24"/>
          <w:szCs w:val="24"/>
          <w:lang w:val="en-US"/>
        </w:rPr>
        <w:fldChar w:fldCharType="begin">
          <w:fldData xml:space="preserve">PEVuZE5vdGU+PENpdGU+PEF1dGhvcj5Ib3ZpbmQ8L0F1dGhvcj48WWVhcj4yMDA0PC9ZZWFyPjxS
ZWNOdW0+MTg4PC9SZWNOdW0+PERpc3BsYXlUZXh0PlsxNSwgNDVdPC9EaXNwbGF5VGV4dD48cmVj
b3JkPjxyZWMtbnVtYmVyPjE4ODwvcmVjLW51bWJlcj48Zm9yZWlnbi1rZXlzPjxrZXkgYXBwPSJF
TiIgZGItaWQ9InN2OWU5ZmZ6anJkdnZmZXpzcjZ2djJ2YmFkdnJwcnp3NWZkNSI+MTg4PC9rZXk+
PC9mb3JlaWduLWtleXM+PHJlZi10eXBlIG5hbWU9IkpvdXJuYWwgQXJ0aWNsZSI+MTc8L3JlZi10
eXBlPjxjb250cmlidXRvcnM+PGF1dGhvcnM+PGF1dGhvcj5Ib3ZpbmQsIFAuPC9hdXRob3I+PGF1
dGhvcj5UYXJub3csIEwuPC9hdXRob3I+PGF1dGhvcj5Sb3NzaW5nLCBQLjwvYXV0aG9yPjxhdXRo
b3I+SmVuc2VuLCBCLiBSLjwvYXV0aG9yPjxhdXRob3I+R3JhYWUsIE0uPC9hdXRob3I+PGF1dGhv
cj5Ub3JwLCBJLjwvYXV0aG9yPjxhdXRob3I+QmluZGVyLCBDLjwvYXV0aG9yPjxhdXRob3I+UGFy
dmluZywgSC4gSC48L2F1dGhvcj48L2F1dGhvcnM+PC9jb250cmlidXRvcnM+PGF1dGgtYWRkcmVz
cz5TdGVubyBEaWFiZXRlcyBDZW50ZXIsIE5pZWxzIFN0ZWVuc2VucyBWZWogMiwgREstMjgyMCBH
ZW50b2Z0ZSwgRGVubWFyay4gcGhvdmluZEBkYWRsbmV0LmRrPC9hdXRoLWFkZHJlc3M+PHRpdGxl
cz48dGl0bGU+UHJlZGljdG9ycyBmb3IgdGhlIGRldmVsb3BtZW50IG9mIG1pY3JvYWxidW1pbnVy
aWEgYW5kIG1hY3JvYWxidW1pbnVyaWEgaW4gcGF0aWVudHMgd2l0aCB0eXBlIDEgZGlhYmV0ZXM6
IGluY2VwdGlvbiBjb2hvcnQgc3R1ZHk8L3RpdGxlPjxzZWNvbmRhcnktdGl0bGU+Qm1qPC9zZWNv
bmRhcnktdGl0bGU+PC90aXRsZXM+PHBhZ2VzPjExMDU8L3BhZ2VzPjx2b2x1bWU+MzI4PC92b2x1
bWU+PG51bWJlcj43NDQ4PC9udW1iZXI+PGtleXdvcmRzPjxrZXl3b3JkPkFkdWx0PC9rZXl3b3Jk
PjxrZXl3b3JkPkFsYnVtaW51cmlhLypldGlvbG9neTwva2V5d29yZD48a2V5d29yZD5Db2hvcnQg
U3R1ZGllczwva2V5d29yZD48a2V5d29yZD5EaWFiZXRlcyBNZWxsaXR1cywgVHlwZSAxLypjb21w
bGljYXRpb25zPC9rZXl3b3JkPjxrZXl3b3JkPkRpYWJldGljIEFuZ2lvcGF0aGllcy9ldGlvbG9n
eTwva2V5d29yZD48a2V5d29yZD5GZW1hbGU8L2tleXdvcmQ+PGtleXdvcmQ+Rm9sbG93LVVwIFN0
dWRpZXM8L2tleXdvcmQ+PGtleXdvcmQ+SHVtYW5zPC9rZXl3b3JkPjxrZXl3b3JkPk1hbGU8L2tl
eXdvcmQ+PGtleXdvcmQ+UHJvc3BlY3RpdmUgU3R1ZGllczwva2V5d29yZD48a2V5d29yZD5SZXNl
YXJjaCBTdXBwb3J0LCBOb24tVS5TLiBHb3YmYXBvczt0PC9rZXl3b3JkPjxrZXl3b3JkPlJpc2sg
RmFjdG9yczwva2V5d29yZD48L2tleXdvcmRzPjxkYXRlcz48eWVhcj4yMDA0PC95ZWFyPjxwdWIt
ZGF0ZXM+PGRhdGU+TWF5IDg8L2RhdGU+PC9wdWItZGF0ZXM+PC9kYXRlcz48YWNjZXNzaW9uLW51
bT4xNTA5NjQzODwvYWNjZXNzaW9uLW51bT48dXJscz48cmVsYXRlZC11cmxzPjx1cmw+aHR0cDov
L3d3dy5uY2JpLm5sbS5uaWguZ292L2VudHJlei9xdWVyeS5mY2dpP2NtZD1SZXRyaWV2ZSZhbXA7
ZGI9UHViTWVkJmFtcDtkb3B0PUNpdGF0aW9uJmFtcDtsaXN0X3VpZHM9MTUwOTY0Mzg8L3VybD48
L3JlbGF0ZWQtdXJscz48L3VybHM+PC9yZWNvcmQ+PC9DaXRlPjxDaXRlPjxBdXRob3I+QW1pbjwv
QXV0aG9yPjxZZWFyPjIwMDg8L1llYXI+PFJlY051bT4zODwvUmVjTnVtPjxyZWNvcmQ+PHJlYy1u
dW1iZXI+Mzg8L3JlYy1udW1iZXI+PGZvcmVpZ24ta2V5cz48a2V5IGFwcD0iRU4iIGRiLWlkPSJz
djllOWZmempyZHZ2ZmV6c3I2dnYydmJhZHZycHJ6dzVmZDUiPjM4PC9rZXk+PC9mb3JlaWduLWtl
eXM+PHJlZi10eXBlIG5hbWU9IkpvdXJuYWwgQXJ0aWNsZSI+MTc8L3JlZi10eXBlPjxjb250cmli
dXRvcnM+PGF1dGhvcnM+PGF1dGhvcj5BbWluLCBSLjwvYXV0aG9yPjxhdXRob3I+V2lkbWVyLCBC
LjwvYXV0aG9yPjxhdXRob3I+UHJldm9zdCwgQS4gVC48L2F1dGhvcj48YXV0aG9yPlNjaHdhcnpl
LCBQLjwvYXV0aG9yPjxhdXRob3I+Q29vcGVyLCBKLjwvYXV0aG9yPjxhdXRob3I+RWRnZSwgSi48
L2F1dGhvcj48YXV0aG9yPk1hcmNvdmVjY2hpbywgTC48L2F1dGhvcj48YXV0aG9yPk5laWwsIEEu
PC9hdXRob3I+PGF1dGhvcj5EYWx0b24sIFIuIE4uPC9hdXRob3I+PGF1dGhvcj5EdW5nZXIsIEQu
IEIuPC9hdXRob3I+PC9hdXRob3JzPjwvY29udHJpYnV0b3JzPjxhdXRoLWFkZHJlc3M+VW5pdmVy
c2l0eSBEZXBhcnRtZW50IG9mIFBhZWRpYXRyaWNzLCBBZGRlbmJyb29rZSZhcG9zO3MgSG9zcGl0
YWwsIENhbWJyaWRnZSBDQjIgMFFRLjwvYXV0aC1hZGRyZXNzPjx0aXRsZXM+PHRpdGxlPlJpc2sg
b2YgbWljcm9hbGJ1bWludXJpYSBhbmQgcHJvZ3Jlc3Npb24gdG8gbWFjcm9hbGJ1bWludXJpYSBp
biBhIGNvaG9ydCB3aXRoIGNoaWxkaG9vZCBvbnNldCB0eXBlIDEgZGlhYmV0ZXM6IHByb3NwZWN0
aXZlIG9ic2VydmF0aW9uYWwgc3R1ZHk8L3RpdGxlPjxzZWNvbmRhcnktdGl0bGU+Qm1qPC9zZWNv
bmRhcnktdGl0bGU+PGFsdC10aXRsZT5CTUogKENsaW5pY2FsIHJlc2VhcmNoIGVkPC9hbHQtdGl0
bGU+PC90aXRsZXM+PHBhZ2VzPjY5Ny03MDE8L3BhZ2VzPjx2b2x1bWU+MzM2PC92b2x1bWU+PG51
bWJlcj43NjQ2PC9udW1iZXI+PGRhdGVzPjx5ZWFyPjIwMDg8L3llYXI+PHB1Yi1kYXRlcz48ZGF0
ZT5NYXIgMjk8L2RhdGU+PC9wdWItZGF0ZXM+PC9kYXRlcz48aXNibj4xNDY4LTU4MzMgKEVsZWN0
cm9uaWMpPC9pc2JuPjxhY2Nlc3Npb24tbnVtPjE4MzQ5MDQyPC9hY2Nlc3Npb24tbnVtPjx1cmxz
PjxyZWxhdGVkLXVybHM+PHVybD5odHRwOi8vd3d3Lm5jYmkubmxtLm5paC5nb3YvZW50cmV6L3F1
ZXJ5LmZjZ2k/Y21kPVJldHJpZXZlJmFtcDtkYj1QdWJNZWQmYW1wO2RvcHQ9Q2l0YXRpb24mYW1w
O2xpc3RfdWlkcz0xODM0OTA0MiA8L3VybD48L3JlbGF0ZWQtdXJscz48L3VybHM+PGxhbmd1YWdl
PmVuZzwvbGFuZ3VhZ2U+PC9yZWNvcmQ+PC9DaXRlPjwvRW5kTm90ZT5=
</w:fldData>
        </w:fldChar>
      </w:r>
      <w:r w:rsidR="00E2090D" w:rsidRPr="00135762">
        <w:rPr>
          <w:rFonts w:ascii="Calibri" w:hAnsi="Calibri"/>
          <w:sz w:val="24"/>
          <w:szCs w:val="24"/>
          <w:lang w:val="en-US"/>
        </w:rPr>
        <w:instrText xml:space="preserve"> ADDIN EN.CITE </w:instrText>
      </w:r>
      <w:r w:rsidR="00E2090D" w:rsidRPr="00135762">
        <w:rPr>
          <w:rFonts w:ascii="Calibri" w:hAnsi="Calibri"/>
          <w:sz w:val="24"/>
          <w:szCs w:val="24"/>
          <w:lang w:val="en-US"/>
        </w:rPr>
        <w:fldChar w:fldCharType="begin">
          <w:fldData xml:space="preserve">PEVuZE5vdGU+PENpdGU+PEF1dGhvcj5Ib3ZpbmQ8L0F1dGhvcj48WWVhcj4yMDA0PC9ZZWFyPjxS
ZWNOdW0+MTg4PC9SZWNOdW0+PERpc3BsYXlUZXh0PlsxNSwgNDVdPC9EaXNwbGF5VGV4dD48cmVj
b3JkPjxyZWMtbnVtYmVyPjE4ODwvcmVjLW51bWJlcj48Zm9yZWlnbi1rZXlzPjxrZXkgYXBwPSJF
TiIgZGItaWQ9InN2OWU5ZmZ6anJkdnZmZXpzcjZ2djJ2YmFkdnJwcnp3NWZkNSI+MTg4PC9rZXk+
PC9mb3JlaWduLWtleXM+PHJlZi10eXBlIG5hbWU9IkpvdXJuYWwgQXJ0aWNsZSI+MTc8L3JlZi10
eXBlPjxjb250cmlidXRvcnM+PGF1dGhvcnM+PGF1dGhvcj5Ib3ZpbmQsIFAuPC9hdXRob3I+PGF1
dGhvcj5UYXJub3csIEwuPC9hdXRob3I+PGF1dGhvcj5Sb3NzaW5nLCBQLjwvYXV0aG9yPjxhdXRo
b3I+SmVuc2VuLCBCLiBSLjwvYXV0aG9yPjxhdXRob3I+R3JhYWUsIE0uPC9hdXRob3I+PGF1dGhv
cj5Ub3JwLCBJLjwvYXV0aG9yPjxhdXRob3I+QmluZGVyLCBDLjwvYXV0aG9yPjxhdXRob3I+UGFy
dmluZywgSC4gSC48L2F1dGhvcj48L2F1dGhvcnM+PC9jb250cmlidXRvcnM+PGF1dGgtYWRkcmVz
cz5TdGVubyBEaWFiZXRlcyBDZW50ZXIsIE5pZWxzIFN0ZWVuc2VucyBWZWogMiwgREstMjgyMCBH
ZW50b2Z0ZSwgRGVubWFyay4gcGhvdmluZEBkYWRsbmV0LmRrPC9hdXRoLWFkZHJlc3M+PHRpdGxl
cz48dGl0bGU+UHJlZGljdG9ycyBmb3IgdGhlIGRldmVsb3BtZW50IG9mIG1pY3JvYWxidW1pbnVy
aWEgYW5kIG1hY3JvYWxidW1pbnVyaWEgaW4gcGF0aWVudHMgd2l0aCB0eXBlIDEgZGlhYmV0ZXM6
IGluY2VwdGlvbiBjb2hvcnQgc3R1ZHk8L3RpdGxlPjxzZWNvbmRhcnktdGl0bGU+Qm1qPC9zZWNv
bmRhcnktdGl0bGU+PC90aXRsZXM+PHBhZ2VzPjExMDU8L3BhZ2VzPjx2b2x1bWU+MzI4PC92b2x1
bWU+PG51bWJlcj43NDQ4PC9udW1iZXI+PGtleXdvcmRzPjxrZXl3b3JkPkFkdWx0PC9rZXl3b3Jk
PjxrZXl3b3JkPkFsYnVtaW51cmlhLypldGlvbG9neTwva2V5d29yZD48a2V5d29yZD5Db2hvcnQg
U3R1ZGllczwva2V5d29yZD48a2V5d29yZD5EaWFiZXRlcyBNZWxsaXR1cywgVHlwZSAxLypjb21w
bGljYXRpb25zPC9rZXl3b3JkPjxrZXl3b3JkPkRpYWJldGljIEFuZ2lvcGF0aGllcy9ldGlvbG9n
eTwva2V5d29yZD48a2V5d29yZD5GZW1hbGU8L2tleXdvcmQ+PGtleXdvcmQ+Rm9sbG93LVVwIFN0
dWRpZXM8L2tleXdvcmQ+PGtleXdvcmQ+SHVtYW5zPC9rZXl3b3JkPjxrZXl3b3JkPk1hbGU8L2tl
eXdvcmQ+PGtleXdvcmQ+UHJvc3BlY3RpdmUgU3R1ZGllczwva2V5d29yZD48a2V5d29yZD5SZXNl
YXJjaCBTdXBwb3J0LCBOb24tVS5TLiBHb3YmYXBvczt0PC9rZXl3b3JkPjxrZXl3b3JkPlJpc2sg
RmFjdG9yczwva2V5d29yZD48L2tleXdvcmRzPjxkYXRlcz48eWVhcj4yMDA0PC95ZWFyPjxwdWIt
ZGF0ZXM+PGRhdGU+TWF5IDg8L2RhdGU+PC9wdWItZGF0ZXM+PC9kYXRlcz48YWNjZXNzaW9uLW51
bT4xNTA5NjQzODwvYWNjZXNzaW9uLW51bT48dXJscz48cmVsYXRlZC11cmxzPjx1cmw+aHR0cDov
L3d3dy5uY2JpLm5sbS5uaWguZ292L2VudHJlei9xdWVyeS5mY2dpP2NtZD1SZXRyaWV2ZSZhbXA7
ZGI9UHViTWVkJmFtcDtkb3B0PUNpdGF0aW9uJmFtcDtsaXN0X3VpZHM9MTUwOTY0Mzg8L3VybD48
L3JlbGF0ZWQtdXJscz48L3VybHM+PC9yZWNvcmQ+PC9DaXRlPjxDaXRlPjxBdXRob3I+QW1pbjwv
QXV0aG9yPjxZZWFyPjIwMDg8L1llYXI+PFJlY051bT4zODwvUmVjTnVtPjxyZWNvcmQ+PHJlYy1u
dW1iZXI+Mzg8L3JlYy1udW1iZXI+PGZvcmVpZ24ta2V5cz48a2V5IGFwcD0iRU4iIGRiLWlkPSJz
djllOWZmempyZHZ2ZmV6c3I2dnYydmJhZHZycHJ6dzVmZDUiPjM4PC9rZXk+PC9mb3JlaWduLWtl
eXM+PHJlZi10eXBlIG5hbWU9IkpvdXJuYWwgQXJ0aWNsZSI+MTc8L3JlZi10eXBlPjxjb250cmli
dXRvcnM+PGF1dGhvcnM+PGF1dGhvcj5BbWluLCBSLjwvYXV0aG9yPjxhdXRob3I+V2lkbWVyLCBC
LjwvYXV0aG9yPjxhdXRob3I+UHJldm9zdCwgQS4gVC48L2F1dGhvcj48YXV0aG9yPlNjaHdhcnpl
LCBQLjwvYXV0aG9yPjxhdXRob3I+Q29vcGVyLCBKLjwvYXV0aG9yPjxhdXRob3I+RWRnZSwgSi48
L2F1dGhvcj48YXV0aG9yPk1hcmNvdmVjY2hpbywgTC48L2F1dGhvcj48YXV0aG9yPk5laWwsIEEu
PC9hdXRob3I+PGF1dGhvcj5EYWx0b24sIFIuIE4uPC9hdXRob3I+PGF1dGhvcj5EdW5nZXIsIEQu
IEIuPC9hdXRob3I+PC9hdXRob3JzPjwvY29udHJpYnV0b3JzPjxhdXRoLWFkZHJlc3M+VW5pdmVy
c2l0eSBEZXBhcnRtZW50IG9mIFBhZWRpYXRyaWNzLCBBZGRlbmJyb29rZSZhcG9zO3MgSG9zcGl0
YWwsIENhbWJyaWRnZSBDQjIgMFFRLjwvYXV0aC1hZGRyZXNzPjx0aXRsZXM+PHRpdGxlPlJpc2sg
b2YgbWljcm9hbGJ1bWludXJpYSBhbmQgcHJvZ3Jlc3Npb24gdG8gbWFjcm9hbGJ1bWludXJpYSBp
biBhIGNvaG9ydCB3aXRoIGNoaWxkaG9vZCBvbnNldCB0eXBlIDEgZGlhYmV0ZXM6IHByb3NwZWN0
aXZlIG9ic2VydmF0aW9uYWwgc3R1ZHk8L3RpdGxlPjxzZWNvbmRhcnktdGl0bGU+Qm1qPC9zZWNv
bmRhcnktdGl0bGU+PGFsdC10aXRsZT5CTUogKENsaW5pY2FsIHJlc2VhcmNoIGVkPC9hbHQtdGl0
bGU+PC90aXRsZXM+PHBhZ2VzPjY5Ny03MDE8L3BhZ2VzPjx2b2x1bWU+MzM2PC92b2x1bWU+PG51
bWJlcj43NjQ2PC9udW1iZXI+PGRhdGVzPjx5ZWFyPjIwMDg8L3llYXI+PHB1Yi1kYXRlcz48ZGF0
ZT5NYXIgMjk8L2RhdGU+PC9wdWItZGF0ZXM+PC9kYXRlcz48aXNibj4xNDY4LTU4MzMgKEVsZWN0
cm9uaWMpPC9pc2JuPjxhY2Nlc3Npb24tbnVtPjE4MzQ5MDQyPC9hY2Nlc3Npb24tbnVtPjx1cmxz
PjxyZWxhdGVkLXVybHM+PHVybD5odHRwOi8vd3d3Lm5jYmkubmxtLm5paC5nb3YvZW50cmV6L3F1
ZXJ5LmZjZ2k/Y21kPVJldHJpZXZlJmFtcDtkYj1QdWJNZWQmYW1wO2RvcHQ9Q2l0YXRpb24mYW1w
O2xpc3RfdWlkcz0xODM0OTA0MiA8L3VybD48L3JlbGF0ZWQtdXJscz48L3VybHM+PGxhbmd1YWdl
PmVuZzwvbGFuZ3VhZ2U+PC9yZWNvcmQ+PC9DaXRlPjwvRW5kTm90ZT5=
</w:fldData>
        </w:fldChar>
      </w:r>
      <w:r w:rsidR="00E2090D" w:rsidRPr="00135762">
        <w:rPr>
          <w:rFonts w:ascii="Calibri" w:hAnsi="Calibri"/>
          <w:sz w:val="24"/>
          <w:szCs w:val="24"/>
          <w:lang w:val="en-US"/>
        </w:rPr>
        <w:instrText xml:space="preserve"> ADDIN EN.CITE.DATA </w:instrText>
      </w:r>
      <w:r w:rsidR="00E2090D" w:rsidRPr="00135762">
        <w:rPr>
          <w:rFonts w:ascii="Calibri" w:hAnsi="Calibri"/>
          <w:sz w:val="24"/>
          <w:szCs w:val="24"/>
          <w:lang w:val="en-US"/>
        </w:rPr>
      </w:r>
      <w:r w:rsidR="00E2090D" w:rsidRPr="00135762">
        <w:rPr>
          <w:rFonts w:ascii="Calibri" w:hAnsi="Calibri"/>
          <w:sz w:val="24"/>
          <w:szCs w:val="24"/>
          <w:lang w:val="en-US"/>
        </w:rPr>
        <w:fldChar w:fldCharType="end"/>
      </w:r>
      <w:r w:rsidR="00E2090D" w:rsidRPr="00135762">
        <w:rPr>
          <w:rFonts w:ascii="Calibri" w:hAnsi="Calibri"/>
          <w:sz w:val="24"/>
          <w:szCs w:val="24"/>
          <w:lang w:val="en-US"/>
        </w:rPr>
      </w:r>
      <w:r w:rsidR="00E2090D" w:rsidRPr="00135762">
        <w:rPr>
          <w:rFonts w:ascii="Calibri" w:hAnsi="Calibri"/>
          <w:sz w:val="24"/>
          <w:szCs w:val="24"/>
          <w:lang w:val="en-US"/>
        </w:rPr>
        <w:fldChar w:fldCharType="end"/>
      </w:r>
      <w:r w:rsidR="00E2090D" w:rsidRPr="00135762">
        <w:rPr>
          <w:rFonts w:ascii="Calibri" w:hAnsi="Calibri"/>
          <w:sz w:val="24"/>
          <w:szCs w:val="24"/>
          <w:lang w:val="en-US"/>
        </w:rPr>
        <w:t xml:space="preserve">. </w:t>
      </w:r>
      <w:r w:rsidR="00E2090D" w:rsidRPr="00135762">
        <w:rPr>
          <w:sz w:val="24"/>
          <w:szCs w:val="24"/>
          <w:lang w:val="en-US"/>
        </w:rPr>
        <w:fldChar w:fldCharType="begin"/>
      </w:r>
      <w:r w:rsidR="00E2090D" w:rsidRPr="00135762">
        <w:rPr>
          <w:sz w:val="24"/>
          <w:szCs w:val="24"/>
          <w:lang w:val="en-US"/>
        </w:rPr>
        <w:instrText xml:space="preserve"> ADDIN EN.CITE &lt;EndNote&gt;&lt;Cite&gt;&lt;Author&gt;Hovind&lt;/Author&gt;&lt;Year&gt;2004&lt;/Year&gt;&lt;RecNum&gt;188&lt;/RecNum&gt;&lt;DisplayText&gt;[45]&lt;/DisplayText&gt;&lt;record&gt;&lt;rec-number&gt;188&lt;/rec-number&gt;&lt;foreign-keys&gt;&lt;key app="EN" db-id="sv9e9ffzjrdvvfezsr6vv2vbadvrprzw5fd5"&gt;188&lt;/key&gt;&lt;/foreign-keys&gt;&lt;ref-type name="Journal Article"&gt;17&lt;/ref-type&gt;&lt;contributors&gt;&lt;authors&gt;&lt;author&gt;Hovind, P.&lt;/author&gt;&lt;author&gt;Tarnow, L.&lt;/author&gt;&lt;author&gt;Rossing, P.&lt;/author&gt;&lt;author&gt;Jensen, B. R.&lt;/author&gt;&lt;author&gt;Graae, M.&lt;/author&gt;&lt;author&gt;Torp, I.&lt;/author&gt;&lt;author&gt;Binder, C.&lt;/author&gt;&lt;author&gt;Parving, H. H.&lt;/author&gt;&lt;/authors&gt;&lt;/contributors&gt;&lt;auth-address&gt;Steno Diabetes Center, Niels Steensens Vej 2, DK-2820 Gentofte, Denmark. phovind@dadlnet.dk&lt;/auth-address&gt;&lt;titles&gt;&lt;title&gt;Predictors for the development of microalbuminuria and macroalbuminuria in patients with type 1 diabetes: inception cohort study&lt;/title&gt;&lt;secondary-title&gt;Bmj&lt;/secondary-title&gt;&lt;/titles&gt;&lt;pages&gt;1105&lt;/pages&gt;&lt;volume&gt;328&lt;/volume&gt;&lt;number&gt;7448&lt;/number&gt;&lt;keywords&gt;&lt;keyword&gt;Adult&lt;/keyword&gt;&lt;keyword&gt;Albuminuria/*etiology&lt;/keyword&gt;&lt;keyword&gt;Cohort Studies&lt;/keyword&gt;&lt;keyword&gt;Diabetes Mellitus, Type 1/*complications&lt;/keyword&gt;&lt;keyword&gt;Diabetic Angiopathies/etiology&lt;/keyword&gt;&lt;keyword&gt;Female&lt;/keyword&gt;&lt;keyword&gt;Follow-Up Studies&lt;/keyword&gt;&lt;keyword&gt;Humans&lt;/keyword&gt;&lt;keyword&gt;Male&lt;/keyword&gt;&lt;keyword&gt;Prospective Studies&lt;/keyword&gt;&lt;keyword&gt;Research Support, Non-U.S. Gov&amp;apos;t&lt;/keyword&gt;&lt;keyword&gt;Risk Factors&lt;/keyword&gt;&lt;/keywords&gt;&lt;dates&gt;&lt;year&gt;2004&lt;/year&gt;&lt;pub-dates&gt;&lt;date&gt;May 8&lt;/date&gt;&lt;/pub-dates&gt;&lt;/dates&gt;&lt;accession-num&gt;15096438&lt;/accession-num&gt;&lt;urls&gt;&lt;related-urls&gt;&lt;url&gt;http://www.ncbi.nlm.nih.gov/entrez/query.fcgi?cmd=Retrieve&amp;amp;db=PubMed&amp;amp;dopt=Citation&amp;amp;list_uids=15096438&lt;/url&gt;&lt;/related-urls&gt;&lt;/urls&gt;&lt;/record&gt;&lt;/Cite&gt;&lt;/EndNote&gt;</w:instrText>
      </w:r>
      <w:r w:rsidR="00E2090D" w:rsidRPr="00135762">
        <w:rPr>
          <w:sz w:val="24"/>
          <w:szCs w:val="24"/>
          <w:lang w:val="en-US"/>
        </w:rPr>
        <w:fldChar w:fldCharType="end"/>
      </w:r>
    </w:p>
    <w:p w14:paraId="4F22D88E" w14:textId="11EFC38C" w:rsidR="002D20FC" w:rsidRPr="00135762" w:rsidRDefault="002D20FC" w:rsidP="00A45244">
      <w:pPr>
        <w:pStyle w:val="BodyA"/>
        <w:spacing w:line="360" w:lineRule="auto"/>
        <w:jc w:val="both"/>
        <w:rPr>
          <w:rFonts w:asciiTheme="minorHAnsi" w:hAnsiTheme="minorHAnsi" w:cstheme="minorHAnsi"/>
          <w:sz w:val="24"/>
          <w:szCs w:val="24"/>
        </w:rPr>
      </w:pPr>
    </w:p>
    <w:p w14:paraId="22BA528F" w14:textId="7CC9DEDD" w:rsidR="00C26D22" w:rsidRPr="00135762" w:rsidRDefault="00FD3189" w:rsidP="00705114">
      <w:pPr>
        <w:spacing w:line="360" w:lineRule="auto"/>
        <w:jc w:val="both"/>
        <w:rPr>
          <w:rFonts w:cs="Tahoma"/>
          <w:b/>
          <w:sz w:val="24"/>
        </w:rPr>
      </w:pPr>
      <w:r w:rsidRPr="00135762">
        <w:rPr>
          <w:rFonts w:cs="Tahoma"/>
          <w:b/>
          <w:sz w:val="24"/>
        </w:rPr>
        <w:t>Pubertal</w:t>
      </w:r>
      <w:r w:rsidR="004856D6" w:rsidRPr="00135762">
        <w:rPr>
          <w:rFonts w:cs="Tahoma"/>
          <w:b/>
          <w:sz w:val="24"/>
        </w:rPr>
        <w:t xml:space="preserve"> </w:t>
      </w:r>
      <w:r w:rsidRPr="00135762">
        <w:rPr>
          <w:rFonts w:cs="Tahoma"/>
          <w:b/>
          <w:sz w:val="24"/>
        </w:rPr>
        <w:t>risk factors</w:t>
      </w:r>
    </w:p>
    <w:p w14:paraId="27A4E5CE" w14:textId="113FD95A" w:rsidR="00DF020D" w:rsidRPr="00135762" w:rsidRDefault="00E52A9A" w:rsidP="00443094">
      <w:pPr>
        <w:autoSpaceDE w:val="0"/>
        <w:autoSpaceDN w:val="0"/>
        <w:adjustRightInd w:val="0"/>
        <w:spacing w:after="0" w:line="360" w:lineRule="auto"/>
        <w:ind w:right="-46"/>
        <w:rPr>
          <w:rFonts w:ascii="Calibri" w:hAnsi="Calibri" w:cs="Arial"/>
          <w:color w:val="000000"/>
          <w:sz w:val="24"/>
          <w:szCs w:val="24"/>
        </w:rPr>
      </w:pPr>
      <w:r w:rsidRPr="00135762">
        <w:rPr>
          <w:sz w:val="24"/>
          <w:szCs w:val="24"/>
        </w:rPr>
        <w:t xml:space="preserve">During </w:t>
      </w:r>
      <w:r w:rsidR="00AD2CB2" w:rsidRPr="00135762">
        <w:rPr>
          <w:sz w:val="24"/>
          <w:szCs w:val="24"/>
        </w:rPr>
        <w:t xml:space="preserve">the </w:t>
      </w:r>
      <w:r w:rsidRPr="00135762">
        <w:rPr>
          <w:sz w:val="24"/>
          <w:szCs w:val="24"/>
        </w:rPr>
        <w:t>pubertal years</w:t>
      </w:r>
      <w:r w:rsidR="00AD2CB2" w:rsidRPr="00135762">
        <w:rPr>
          <w:sz w:val="24"/>
          <w:szCs w:val="24"/>
        </w:rPr>
        <w:t xml:space="preserve"> (~10–</w:t>
      </w:r>
      <w:r w:rsidR="00AE1072" w:rsidRPr="00135762">
        <w:rPr>
          <w:sz w:val="24"/>
          <w:szCs w:val="24"/>
        </w:rPr>
        <w:t>16</w:t>
      </w:r>
      <w:r w:rsidR="00AD2CB2" w:rsidRPr="00135762">
        <w:rPr>
          <w:sz w:val="24"/>
          <w:szCs w:val="24"/>
        </w:rPr>
        <w:t>years of age)</w:t>
      </w:r>
      <w:r w:rsidR="00610D92">
        <w:rPr>
          <w:sz w:val="24"/>
          <w:szCs w:val="24"/>
        </w:rPr>
        <w:t xml:space="preserve"> </w:t>
      </w:r>
      <w:r w:rsidRPr="00135762">
        <w:rPr>
          <w:sz w:val="24"/>
          <w:szCs w:val="24"/>
        </w:rPr>
        <w:t>several factors other than glyc</w:t>
      </w:r>
      <w:r w:rsidR="00AD2CB2" w:rsidRPr="00135762">
        <w:rPr>
          <w:sz w:val="24"/>
          <w:szCs w:val="24"/>
        </w:rPr>
        <w:t>a</w:t>
      </w:r>
      <w:r w:rsidRPr="00135762">
        <w:rPr>
          <w:sz w:val="24"/>
          <w:szCs w:val="24"/>
        </w:rPr>
        <w:t>emic control</w:t>
      </w:r>
      <w:r w:rsidR="00610D92">
        <w:rPr>
          <w:sz w:val="24"/>
          <w:szCs w:val="24"/>
        </w:rPr>
        <w:t>,</w:t>
      </w:r>
      <w:r w:rsidR="00992BD9" w:rsidRPr="00135762">
        <w:rPr>
          <w:sz w:val="24"/>
          <w:szCs w:val="24"/>
        </w:rPr>
        <w:t xml:space="preserve"> related to</w:t>
      </w:r>
      <w:r w:rsidR="00AD2CB2" w:rsidRPr="00135762">
        <w:rPr>
          <w:sz w:val="24"/>
          <w:szCs w:val="24"/>
        </w:rPr>
        <w:t xml:space="preserve"> growth and </w:t>
      </w:r>
      <w:r w:rsidR="00610D92">
        <w:rPr>
          <w:sz w:val="24"/>
          <w:szCs w:val="24"/>
        </w:rPr>
        <w:t>associated</w:t>
      </w:r>
      <w:r w:rsidR="00AD2CB2" w:rsidRPr="00135762">
        <w:rPr>
          <w:sz w:val="24"/>
          <w:szCs w:val="24"/>
        </w:rPr>
        <w:t xml:space="preserve"> hormonal changes,</w:t>
      </w:r>
      <w:r w:rsidRPr="00135762">
        <w:rPr>
          <w:sz w:val="24"/>
          <w:szCs w:val="24"/>
        </w:rPr>
        <w:t xml:space="preserve"> can </w:t>
      </w:r>
      <w:r w:rsidR="00AE1072" w:rsidRPr="00135762">
        <w:rPr>
          <w:sz w:val="24"/>
          <w:szCs w:val="24"/>
        </w:rPr>
        <w:t xml:space="preserve">contribute to </w:t>
      </w:r>
      <w:r w:rsidRPr="00135762">
        <w:rPr>
          <w:sz w:val="24"/>
          <w:szCs w:val="24"/>
        </w:rPr>
        <w:t xml:space="preserve">the development of </w:t>
      </w:r>
      <w:r w:rsidR="00AD2CB2" w:rsidRPr="00135762">
        <w:rPr>
          <w:sz w:val="24"/>
          <w:szCs w:val="24"/>
        </w:rPr>
        <w:t xml:space="preserve">the </w:t>
      </w:r>
      <w:r w:rsidR="00130D7E" w:rsidRPr="00135762">
        <w:rPr>
          <w:sz w:val="24"/>
          <w:szCs w:val="24"/>
        </w:rPr>
        <w:t xml:space="preserve">early signs of </w:t>
      </w:r>
      <w:r w:rsidR="00AF789F" w:rsidRPr="00135762">
        <w:rPr>
          <w:sz w:val="24"/>
          <w:szCs w:val="24"/>
        </w:rPr>
        <w:t>vascular complications</w:t>
      </w:r>
      <w:r w:rsidR="004F5673">
        <w:rPr>
          <w:sz w:val="24"/>
          <w:szCs w:val="24"/>
        </w:rPr>
        <w:fldChar w:fldCharType="begin" w:fldLock="1"/>
      </w:r>
      <w:r w:rsidR="008736A2">
        <w:rPr>
          <w:sz w:val="24"/>
          <w:szCs w:val="24"/>
        </w:rPr>
        <w:instrText>ADDIN CSL_CITATION {"citationItems":[{"id":"ITEM-1","itemData":{"DOI":"10.1111/pedi.12112","ISSN":"1399-5448","PMID":"24443957","abstract":"Much is written about how difficult it is to deal with diabetes during adolescence, and rightly so. Less is understood as to how puberty may be an accelerator of vascular complications. With the increase in childhood diabetes, complication risks need to be revisited in relation to puberty and the secular increase in adiposity. Recent data suggest greater risk for severe vascular complications in those with diabetes during puberty, compared with young people who develop diabetes after puberty. It is also widely recognized that higher hemoglobin A1c (HbA1c) results are often seen during the pubertal period. This article will review complication outcomes in relation to puberty and examine mechanisms by which puberty may modify risk above glycemic exposure, and possible gender disparities in the risk of complications in the adolescent period.","author":[{"dropping-particle":"","family":"Cho","given":"Yoon Hi","non-dropping-particle":"","parse-names":false,"suffix":""},{"dropping-particle":"","family":"Craig","given":"Maria E","non-dropping-particle":"","parse-names":false,"suffix":""},{"dropping-particle":"","family":"Donaghue","given":"Kim C","non-dropping-particle":"","parse-names":false,"suffix":""}],"container-title":"Pediatric diabetes","id":"ITEM-1","issue":"1","issued":{"date-parts":[["2014","2"]]},"page":"18-26","title":"Puberty as an accelerator for diabetes complications.","type":"article-journal","volume":"15"},"uris":["http://www.mendeley.com/documents/?uuid=dd8000b9-f2b7-390f-9721-a68a972c872e"]},{"id":"ITEM-2","itemData":{"DOI":"10.1152/ajprenal.00368.2001","ISSN":"1931-857X","PMID":"12217849","abstract":"Puberty accelerates microvascular complications of diabetes mellitus, including nephropathy. Animal studies confirm a different renal hypertrophic response to diabetes before and after puberty, probably due to differences in the production of transforming growth factor-beta (TGF-beta). Many of the complex physiological changes during puberty could affect potentially pathogenic mechanisms of diabetic kidney disease. Increased blood pressure, activation of the growth hormone-insulin-like growth factor I axis, and production of sex steroids could all play a role in pubertal susceptibility to diabetic renal hypertrophy and nephropathy. These factors may influence the effects of hyperglycemia and several systems that ultimately control TGF-beta production, including the renin-angiotensin system, cellular redox systems, the polyol pathway, and protein kinase C. These phenomena may also explain gender differences in kidney function and incidence of end-stage renal disease. Normal changes during puberty, when coupled with diabetes and superimposed on a genetically susceptible milieu, are capable of accelerating diabetic hypertrophy and microvascular lesions. A better understanding of these processes may lead to new treatments to prevent renal failure in diabetes mellitus.","author":[{"dropping-particle":"","family":"Lane","given":"Pascale H.","non-dropping-particle":"","parse-names":false,"suffix":""}],"container-title":"American Journal of Physiology-Renal Physiology","id":"ITEM-2","issue":"4","issued":{"date-parts":[["2002","10"]]},"page":"F589-F600","title":"Diabetic kidney disease: impact of puberty","type":"article-journal","volume":"283"},"uris":["http://www.mendeley.com/documents/?uuid=545af978-be3c-377a-9591-3762e8c7e58a"]},{"id":"ITEM-3","itemData":{"DOI":"10.1111/dme.13299","ISSN":"1464-5491 (Electronic)","PMID":"27973749","abstract":"Adolescence is a challenging period of life for any young person, and for those with Type 1 diabetes, physiological and psychological factors can result in a deterioration in glycaemic control. In young people with Type 1 diabetes, puberty may be an additional risk factor impacting on the lifetime risk for renal and cardiovascular complications. Our longitudinal studies have identified that increases in urinary albumin excretion through childhood are associated with the development of microalbuminuria and a generalized endotheliopathy linked to cardiovascular risk. Screening of participants recruited to the Adolescent type 1 Diabetes cardio-renal Intervention Trial (AdDIT) confirms that these early changes in albumin excretion are related to both diabetic nephropathy and cardiovascular risk; in part, independent of glycaemic control. Thus, as well as current attempts to improve glycaemic control through enhanced targeted insulin delivery, pumps, sensors and closed loop, we have explored the role of angiotensin-converting enzyme inhibitors and statins in providing cardio-renal protection during adolescence.","author":[{"dropping-particle":"","family":"Dunger","given":"D B","non-dropping-particle":"","parse-names":false,"suffix":""}],"container-title":"Diabetic medicine : a journal of the British Diabetic Association","id":"ITEM-3","issue":"4","issued":{"date-parts":[["2017","4"]]},"language":"eng","page":"460-466","publisher-place":"England","title":"Banting Memorial Lecture 2016 Reducing lifetime risk of complications in adolescents with Type 1 diabetes.","type":"article-journal","volume":"34"},"uris":["http://www.mendeley.com/documents/?uuid=3115ca5c-d8c0-4ae5-bad6-4cb61093703e"]},{"id":"ITEM-4","itemData":{"DOI":"10.1111/j.1365-2265.2005.02185.x","ISSN":"0300-0664","PMID":"15670188","abstract":"HYPOTHESIS We previously described lower insulin-like growth factor I (IGF-I) levels in association with increased microalbuminuria (MA) risk in type 1 diabetic subjects followed from diabetes diagnosis through puberty into adulthood. By inference lower IGF-I levels may be associated with higher GH levels and changes in insulin sensitivity. METHODS To test this hypothesis, microalbuminuric subjects (MA+, n = 14) from the same cohort had overnight GH levels measured during euglycaemia (5 mmol/l, 01:00-07:30 h) maintained by a variable rate insulin infusion followed by a 2-step hyperinsulinaemic, euglycaemic clamp study using [6.6 2H2] glucose, and were compared to MA- controls (MA-, n = 14), matched for age (median 19.3 years, range 15.8-30.5), sex, duration of diabetes (11.1 years, range 5.1-16.4). RESULTS In MA+ cases GH levels, measured by the Pulsar programme, were higher (baseline; 1.8 +/- 1.4 vs. 0.7 +/- 0.5 ng/ml, P = 0.02, mean; 3.8 +/- 1.3 vs. 2.6 +/- 1.6 ng/ml, P = 0.03, maximum; 16.7 +/- 7.0 vs. 12.3 +/- 5.4, P = 0.02), despite similar HbA1(c) levels (9.8%vs. 9.6%, P = 0.6) and body or truncal fat mass. Fourier transform revealed increased GH pulse amplitude at all periodicities and overnight insulin clearance was reduced (11.7 +/- 6.9 vs. 20.1 +/- 6.5 ml/kg/min, P &lt; 0.02). In multiple regression analysis, urine albumin excretion was associated with higher GH levels and reduced insulin clearance, independent of HbA1(c) and body composition. In female cases (n = 9), dextrose requirements were reduced during the first step of the euglycaemic clamp (1.7 +/- 0.8 vs. 2.7 +/- 1.4, P &lt; 0.05) but no such differences existed in males or in the rate of glucose production or disposal. CONCLUSION The development of MA during puberty and young adulthood is associated with higher GH levels and abnormalities in insulin metabolism, particularly in females. These data extend support for our previous findings indicating a role for the GH/IGF-I axis in the pathogenesis of MA.","author":[{"dropping-particle":"","family":"Amin","given":"Rakesh","non-dropping-particle":"","parse-names":false,"suffix":""},{"dropping-particle":"","family":"Williams","given":"Rachel M","non-dropping-particle":"","parse-names":false,"suffix":""},{"dropping-particle":"","family":"Frystyk","given":"January","non-dropping-particle":"","parse-names":false,"suffix":""},{"dropping-particle":"","family":"Umpleby","given":"Margot","non-dropping-particle":"","parse-names":false,"suffix":""},{"dropping-particle":"","family":"Matthews","given":"David","non-dropping-particle":"","parse-names":false,"suffix":""},{"dropping-particle":"","family":"Orskov","given":"Hans","non-dropping-particle":"","parse-names":false,"suffix":""},{"dropping-particle":"","family":"Dalton","given":"R Neil","non-dropping-particle":"","parse-names":false,"suffix":""},{"dropping-particle":"","family":"Dunger","given":"David B","non-dropping-particle":"","parse-names":false,"suffix":""}],"container-title":"Clinical endocrinology","id":"ITEM-4","issue":"2","issued":{"date-parts":[["2005","2"]]},"page":"137-44","title":"Increasing urine albumin excretion is associated with growth hormone hypersecretion and reduced clearance of insulin in adolescents and young adults with type 1 diabetes: the Oxford Regional Prospective Study.","type":"article-journal","volume":"62"},"uris":["http://www.mendeley.com/documents/?uuid=d4c77ab8-2fee-3885-8bcf-f23f70d94192"]}],"mendeley":{"formattedCitation":"&lt;sup&gt;33,36–38&lt;/sup&gt;","plainTextFormattedCitation":"33,36–38","previouslyFormattedCitation":"&lt;sup&gt;33,36–38&lt;/sup&gt;"},"properties":{"noteIndex":0},"schema":"https://github.com/citation-style-language/schema/raw/master/csl-citation.json"}</w:instrText>
      </w:r>
      <w:r w:rsidR="004F5673">
        <w:rPr>
          <w:sz w:val="24"/>
          <w:szCs w:val="24"/>
        </w:rPr>
        <w:fldChar w:fldCharType="separate"/>
      </w:r>
      <w:r w:rsidR="004F5673" w:rsidRPr="004F5673">
        <w:rPr>
          <w:noProof/>
          <w:sz w:val="24"/>
          <w:szCs w:val="24"/>
          <w:vertAlign w:val="superscript"/>
        </w:rPr>
        <w:t>33,36–38</w:t>
      </w:r>
      <w:r w:rsidR="004F5673">
        <w:rPr>
          <w:sz w:val="24"/>
          <w:szCs w:val="24"/>
        </w:rPr>
        <w:fldChar w:fldCharType="end"/>
      </w:r>
      <w:r w:rsidR="00374B97">
        <w:rPr>
          <w:sz w:val="24"/>
          <w:szCs w:val="24"/>
        </w:rPr>
        <w:t xml:space="preserve">. </w:t>
      </w:r>
      <w:r w:rsidR="00130D7E" w:rsidRPr="00135762">
        <w:rPr>
          <w:rFonts w:ascii="Calibri" w:hAnsi="Calibri" w:cs="Arial"/>
          <w:color w:val="000000"/>
          <w:sz w:val="24"/>
          <w:szCs w:val="24"/>
        </w:rPr>
        <w:t>These</w:t>
      </w:r>
      <w:r w:rsidR="00DF020D" w:rsidRPr="00135762">
        <w:rPr>
          <w:rFonts w:ascii="Calibri" w:hAnsi="Calibri" w:cs="Arial"/>
          <w:color w:val="000000"/>
          <w:sz w:val="24"/>
          <w:szCs w:val="24"/>
        </w:rPr>
        <w:t xml:space="preserve"> factors</w:t>
      </w:r>
      <w:r w:rsidR="00130D7E" w:rsidRPr="00135762">
        <w:rPr>
          <w:rFonts w:ascii="Calibri" w:hAnsi="Calibri" w:cs="Arial"/>
          <w:color w:val="000000"/>
          <w:sz w:val="24"/>
          <w:szCs w:val="24"/>
        </w:rPr>
        <w:t xml:space="preserve"> include</w:t>
      </w:r>
      <w:r w:rsidR="00AF789F" w:rsidRPr="00135762">
        <w:rPr>
          <w:rFonts w:ascii="Calibri" w:hAnsi="Calibri" w:cs="Arial"/>
          <w:color w:val="000000"/>
          <w:sz w:val="24"/>
          <w:szCs w:val="24"/>
        </w:rPr>
        <w:t xml:space="preserve"> </w:t>
      </w:r>
      <w:r w:rsidR="00992BD9" w:rsidRPr="00135762">
        <w:rPr>
          <w:rFonts w:ascii="Calibri" w:hAnsi="Calibri" w:cs="Arial"/>
          <w:color w:val="000000"/>
          <w:sz w:val="24"/>
          <w:szCs w:val="24"/>
        </w:rPr>
        <w:t>abnormalities in the GH–insulin-like growth factors 1 axis, androgens levels in girls</w:t>
      </w:r>
      <w:r w:rsidR="00221F08" w:rsidRPr="00135762">
        <w:rPr>
          <w:rFonts w:ascii="Calibri" w:hAnsi="Calibri" w:cs="Arial"/>
          <w:color w:val="000000"/>
          <w:sz w:val="24"/>
          <w:szCs w:val="24"/>
        </w:rPr>
        <w:t xml:space="preserve"> and other </w:t>
      </w:r>
      <w:r w:rsidR="00BB53BB" w:rsidRPr="00135762">
        <w:rPr>
          <w:rFonts w:ascii="Calibri" w:hAnsi="Calibri" w:cs="Arial"/>
          <w:color w:val="000000"/>
          <w:sz w:val="24"/>
          <w:szCs w:val="24"/>
        </w:rPr>
        <w:t>risk factors, such as</w:t>
      </w:r>
      <w:r w:rsidR="00992BD9" w:rsidRPr="00135762">
        <w:rPr>
          <w:rFonts w:ascii="Calibri" w:hAnsi="Calibri" w:cs="Arial"/>
          <w:color w:val="000000"/>
          <w:sz w:val="24"/>
          <w:szCs w:val="24"/>
        </w:rPr>
        <w:t xml:space="preserve"> </w:t>
      </w:r>
      <w:r w:rsidR="00AF789F" w:rsidRPr="00135762">
        <w:rPr>
          <w:rFonts w:ascii="Calibri" w:hAnsi="Calibri" w:cs="Arial"/>
          <w:color w:val="000000"/>
          <w:sz w:val="24"/>
          <w:szCs w:val="24"/>
        </w:rPr>
        <w:t>high b</w:t>
      </w:r>
      <w:r w:rsidR="009C7E7E" w:rsidRPr="00135762">
        <w:rPr>
          <w:rFonts w:ascii="Calibri" w:hAnsi="Calibri" w:cs="Arial"/>
          <w:color w:val="000000"/>
          <w:sz w:val="24"/>
          <w:szCs w:val="24"/>
        </w:rPr>
        <w:t>lood pressure, dyslipid</w:t>
      </w:r>
      <w:r w:rsidR="00DF020D" w:rsidRPr="00135762">
        <w:rPr>
          <w:rFonts w:ascii="Calibri" w:hAnsi="Calibri" w:cs="Arial"/>
          <w:color w:val="000000"/>
          <w:sz w:val="24"/>
          <w:szCs w:val="24"/>
        </w:rPr>
        <w:t>a</w:t>
      </w:r>
      <w:r w:rsidR="00AF789F" w:rsidRPr="00135762">
        <w:rPr>
          <w:rFonts w:ascii="Calibri" w:hAnsi="Calibri" w:cs="Arial"/>
          <w:color w:val="000000"/>
          <w:sz w:val="24"/>
          <w:szCs w:val="24"/>
        </w:rPr>
        <w:t>emia,</w:t>
      </w:r>
      <w:r w:rsidR="009C7E7E" w:rsidRPr="00135762">
        <w:rPr>
          <w:rFonts w:ascii="Calibri" w:hAnsi="Calibri" w:cs="Arial"/>
          <w:color w:val="000000"/>
          <w:sz w:val="24"/>
          <w:szCs w:val="24"/>
        </w:rPr>
        <w:t xml:space="preserve"> obesity,</w:t>
      </w:r>
      <w:r w:rsidR="00374B97">
        <w:rPr>
          <w:rFonts w:ascii="Calibri" w:hAnsi="Calibri" w:cs="Arial"/>
          <w:color w:val="000000"/>
          <w:sz w:val="24"/>
          <w:szCs w:val="24"/>
        </w:rPr>
        <w:t xml:space="preserve"> insulin resistance,</w:t>
      </w:r>
      <w:r w:rsidR="00AF789F" w:rsidRPr="00135762">
        <w:rPr>
          <w:rFonts w:ascii="Calibri" w:hAnsi="Calibri" w:cs="Arial"/>
          <w:color w:val="000000"/>
          <w:sz w:val="24"/>
          <w:szCs w:val="24"/>
        </w:rPr>
        <w:t xml:space="preserve"> inflammatory markers, </w:t>
      </w:r>
      <w:r w:rsidR="00DF020D" w:rsidRPr="00135762">
        <w:rPr>
          <w:rFonts w:ascii="Calibri" w:hAnsi="Calibri" w:cs="Arial"/>
          <w:color w:val="000000"/>
          <w:sz w:val="24"/>
          <w:szCs w:val="24"/>
        </w:rPr>
        <w:t xml:space="preserve">renal </w:t>
      </w:r>
      <w:r w:rsidR="00AF789F" w:rsidRPr="00135762">
        <w:rPr>
          <w:rFonts w:ascii="Calibri" w:hAnsi="Calibri" w:cs="Arial"/>
          <w:color w:val="000000"/>
          <w:sz w:val="24"/>
          <w:szCs w:val="24"/>
        </w:rPr>
        <w:t xml:space="preserve">hyperfiltration, </w:t>
      </w:r>
      <w:r w:rsidR="00133E10" w:rsidRPr="00135762">
        <w:rPr>
          <w:rFonts w:ascii="Calibri" w:hAnsi="Calibri" w:cs="Arial"/>
          <w:color w:val="000000"/>
          <w:sz w:val="24"/>
          <w:szCs w:val="24"/>
        </w:rPr>
        <w:t>and a familial or genetic predisposition</w:t>
      </w:r>
      <w:r w:rsidR="009730FD">
        <w:rPr>
          <w:sz w:val="24"/>
          <w:szCs w:val="24"/>
        </w:rPr>
        <w:fldChar w:fldCharType="begin" w:fldLock="1"/>
      </w:r>
      <w:r w:rsidR="008736A2">
        <w:rPr>
          <w:sz w:val="24"/>
          <w:szCs w:val="24"/>
        </w:rPr>
        <w:instrText>ADDIN CSL_CITATION {"citationItems":[{"id":"ITEM-1","itemData":{"DOI":"10.1111/pedi.12112","ISSN":"1399-5448","PMID":"24443957","abstract":"Much is written about how difficult it is to deal with diabetes during adolescence, and rightly so. Less is understood as to how puberty may be an accelerator of vascular complications. With the increase in childhood diabetes, complication risks need to be revisited in relation to puberty and the secular increase in adiposity. Recent data suggest greater risk for severe vascular complications in those with diabetes during puberty, compared with young people who develop diabetes after puberty. It is also widely recognized that higher hemoglobin A1c (HbA1c) results are often seen during the pubertal period. This article will review complication outcomes in relation to puberty and examine mechanisms by which puberty may modify risk above glycemic exposure, and possible gender disparities in the risk of complications in the adolescent period.","author":[{"dropping-particle":"","family":"Cho","given":"Yoon Hi","non-dropping-particle":"","parse-names":false,"suffix":""},{"dropping-particle":"","family":"Craig","given":"Maria E","non-dropping-particle":"","parse-names":false,"suffix":""},{"dropping-particle":"","family":"Donaghue","given":"Kim C","non-dropping-particle":"","parse-names":false,"suffix":""}],"container-title":"Pediatric diabetes","id":"ITEM-1","issue":"1","issued":{"date-parts":[["2014","2"]]},"page":"18-26","title":"Puberty as an accelerator for diabetes complications.","type":"article-journal","volume":"15"},"uris":["http://www.mendeley.com/documents/?uuid=dd8000b9-f2b7-390f-9721-a68a972c872e"]},{"id":"ITEM-2","itemData":{"DOI":"10.1111/dme.13299","ISSN":"1464-5491 (Electronic)","PMID":"27973749","abstract":"Adolescence is a challenging period of life for any young person, and for those with Type 1 diabetes, physiological and psychological factors can result in a deterioration in glycaemic control. In young people with Type 1 diabetes, puberty may be an additional risk factor impacting on the lifetime risk for renal and cardiovascular complications. Our longitudinal studies have identified that increases in urinary albumin excretion through childhood are associated with the development of microalbuminuria and a generalized endotheliopathy linked to cardiovascular risk. Screening of participants recruited to the Adolescent type 1 Diabetes cardio-renal Intervention Trial (AdDIT) confirms that these early changes in albumin excretion are related to both diabetic nephropathy and cardiovascular risk; in part, independent of glycaemic control. Thus, as well as current attempts to improve glycaemic control through enhanced targeted insulin delivery, pumps, sensors and closed loop, we have explored the role of angiotensin-converting enzyme inhibitors and statins in providing cardio-renal protection during adolescence.","author":[{"dropping-particle":"","family":"Dunger","given":"D B","non-dropping-particle":"","parse-names":false,"suffix":""}],"container-title":"Diabetic medicine : a journal of the British Diabetic Association","id":"ITEM-2","issue":"4","issued":{"date-parts":[["2017","4"]]},"language":"eng","page":"460-466","publisher-place":"England","title":"Banting Memorial Lecture 2016 Reducing lifetime risk of complications in adolescents with Type 1 diabetes.","type":"article-journal","volume":"34"},"uris":["http://www.mendeley.com/documents/?uuid=3115ca5c-d8c0-4ae5-bad6-4cb61093703e"]}],"mendeley":{"formattedCitation":"&lt;sup&gt;33,36&lt;/sup&gt;","plainTextFormattedCitation":"33,36","previouslyFormattedCitation":"&lt;sup&gt;33,36&lt;/sup&gt;"},"properties":{"noteIndex":0},"schema":"https://github.com/citation-style-language/schema/raw/master/csl-citation.json"}</w:instrText>
      </w:r>
      <w:r w:rsidR="009730FD">
        <w:rPr>
          <w:sz w:val="24"/>
          <w:szCs w:val="24"/>
        </w:rPr>
        <w:fldChar w:fldCharType="separate"/>
      </w:r>
      <w:r w:rsidR="004F5673" w:rsidRPr="004F5673">
        <w:rPr>
          <w:noProof/>
          <w:sz w:val="24"/>
          <w:szCs w:val="24"/>
          <w:vertAlign w:val="superscript"/>
        </w:rPr>
        <w:t>33,36</w:t>
      </w:r>
      <w:r w:rsidR="009730FD">
        <w:rPr>
          <w:sz w:val="24"/>
          <w:szCs w:val="24"/>
        </w:rPr>
        <w:fldChar w:fldCharType="end"/>
      </w:r>
      <w:r w:rsidR="00374B97">
        <w:rPr>
          <w:rFonts w:ascii="Calibri" w:hAnsi="Calibri" w:cs="Arial"/>
          <w:color w:val="000000"/>
          <w:sz w:val="24"/>
          <w:szCs w:val="24"/>
        </w:rPr>
        <w:t>.</w:t>
      </w:r>
    </w:p>
    <w:p w14:paraId="2B2CF9B5" w14:textId="77777777" w:rsidR="00DF020D" w:rsidRPr="00135762" w:rsidRDefault="00DF020D" w:rsidP="00443094">
      <w:pPr>
        <w:autoSpaceDE w:val="0"/>
        <w:autoSpaceDN w:val="0"/>
        <w:adjustRightInd w:val="0"/>
        <w:spacing w:after="0" w:line="360" w:lineRule="auto"/>
        <w:ind w:right="-46"/>
        <w:rPr>
          <w:rFonts w:ascii="Calibri" w:hAnsi="Calibri" w:cs="Arial"/>
          <w:color w:val="000000"/>
          <w:sz w:val="24"/>
          <w:szCs w:val="24"/>
        </w:rPr>
      </w:pPr>
    </w:p>
    <w:p w14:paraId="374EEC1D" w14:textId="1BA02CA9" w:rsidR="00E52A9A" w:rsidRPr="00135762" w:rsidRDefault="00AF789F" w:rsidP="00443094">
      <w:pPr>
        <w:autoSpaceDE w:val="0"/>
        <w:autoSpaceDN w:val="0"/>
        <w:adjustRightInd w:val="0"/>
        <w:spacing w:after="0" w:line="360" w:lineRule="auto"/>
        <w:ind w:right="-46"/>
        <w:rPr>
          <w:sz w:val="24"/>
          <w:szCs w:val="24"/>
          <w:lang w:val="en-US"/>
        </w:rPr>
      </w:pPr>
      <w:r w:rsidRPr="00135762">
        <w:rPr>
          <w:rFonts w:ascii="Calibri" w:hAnsi="Calibri" w:cs="Arial"/>
          <w:color w:val="000000"/>
          <w:sz w:val="24"/>
          <w:szCs w:val="24"/>
        </w:rPr>
        <w:t xml:space="preserve">In adolescents with </w:t>
      </w:r>
      <w:r w:rsidR="00DF020D" w:rsidRPr="00135762">
        <w:rPr>
          <w:rFonts w:ascii="Calibri" w:hAnsi="Calibri" w:cs="Arial"/>
          <w:color w:val="000000"/>
          <w:sz w:val="24"/>
          <w:szCs w:val="24"/>
        </w:rPr>
        <w:t>T1DM</w:t>
      </w:r>
      <w:r w:rsidR="00CB3DB5" w:rsidRPr="00135762">
        <w:rPr>
          <w:rFonts w:ascii="Calibri" w:hAnsi="Calibri" w:cs="Arial"/>
          <w:color w:val="000000"/>
          <w:sz w:val="24"/>
          <w:szCs w:val="24"/>
        </w:rPr>
        <w:t>,</w:t>
      </w:r>
      <w:r w:rsidRPr="00135762">
        <w:rPr>
          <w:rFonts w:ascii="Calibri" w:hAnsi="Calibri" w:cs="Arial"/>
          <w:color w:val="000000"/>
          <w:sz w:val="24"/>
          <w:szCs w:val="24"/>
        </w:rPr>
        <w:t xml:space="preserve"> insulin resistance </w:t>
      </w:r>
      <w:r w:rsidR="009C7E7E" w:rsidRPr="00135762">
        <w:rPr>
          <w:rFonts w:ascii="Calibri" w:hAnsi="Calibri" w:cs="Arial"/>
          <w:color w:val="000000"/>
          <w:sz w:val="24"/>
          <w:szCs w:val="24"/>
        </w:rPr>
        <w:t>is a</w:t>
      </w:r>
      <w:r w:rsidRPr="00135762">
        <w:rPr>
          <w:rFonts w:ascii="Calibri" w:hAnsi="Calibri" w:cs="Arial"/>
          <w:color w:val="000000"/>
          <w:sz w:val="24"/>
          <w:szCs w:val="24"/>
        </w:rPr>
        <w:t xml:space="preserve"> prominent feature</w:t>
      </w:r>
      <w:r w:rsidR="00133E10" w:rsidRPr="00135762">
        <w:rPr>
          <w:rFonts w:ascii="Calibri" w:hAnsi="Calibri" w:cs="Arial"/>
          <w:color w:val="000000"/>
          <w:sz w:val="24"/>
          <w:szCs w:val="24"/>
        </w:rPr>
        <w:t>, even in the absence of excess weight gain</w:t>
      </w:r>
      <w:r w:rsidR="004F5673">
        <w:rPr>
          <w:rFonts w:ascii="Calibri" w:hAnsi="Calibri" w:cs="Arial"/>
          <w:color w:val="000000"/>
          <w:sz w:val="24"/>
          <w:szCs w:val="24"/>
        </w:rPr>
        <w:fldChar w:fldCharType="begin" w:fldLock="1"/>
      </w:r>
      <w:r w:rsidR="008736A2">
        <w:rPr>
          <w:rFonts w:ascii="Calibri" w:hAnsi="Calibri" w:cs="Arial"/>
          <w:color w:val="000000"/>
          <w:sz w:val="24"/>
          <w:szCs w:val="24"/>
        </w:rPr>
        <w:instrText>ADDIN CSL_CITATION {"citationItems":[{"id":"ITEM-1","itemData":{"DOI":"10.1210/jc.2009-1756","ISSN":"0021-972X","PMID":"19915016","abstract":"CONTEXT Cardiovascular disease is the major cause of death in adults with diabetes, yet little is specifically known about the effects of type 1 diabetes (T1D) on cardiovascular outcomes in youth. Although insulin resistance (IR) likely contributes to exercise and cardiovascular dysfunction in T2D, IR is not typically considered a contributor in T1D. OBJECTIVE We hypothesized that cardiopulmonary fitness would be reduced in T1D youth in association with IR and cardiovascular dysfunction. DESIGN AND PARTICIPANTS This cross-sectional study at an academic hospital included 12 T1D adolescents compared with 12 nondiabetic controls, similar in age, pubertal stage, activity level, and body mass index. OUTCOME MEASURES Cardiopulmonary fitness was measured by peak oxygen consumption (VO(2)peak) and oxygen uptake kinetics (VO(2)kinetics), IR by hyperinsulinemic clamp, cardiac function by echocardiography, vascular function by venous occlusion plethysmography, intramyocellular lipid by magnetic resonance spectroscopy, and body composition by dual-energy x-ray absorptiometry. RESULTS T1D adolescents had significantly decreased VO(2)peak, peak work rate, and insulin sensitivity compared with nondiabetic adolescents. T1D youth also had reduced vascular reactivity and evidence of diastolic dysfunction and left ventricular hypertrophy. Despite their IR and reduced cardiovascular fitness, T1D youth had paradoxically normal intramyocellular lipid, waist to hip ratio, and serum lipids and high adiponectin levels. In multivariate analysis, IR primarily, and forearm blood flow secondarily, independently predicted VO(2)peak. CONCLUSIONS T1D youth demonstrated IR, impaired functional exercise capacity and cardiovascular dysfunction. The phenotype of IR in T1D youth was unique, suggesting a pathophysiology that is different from T2D, yet may adversely affect long-term cardiovascular outcomes.","author":[{"dropping-particle":"","family":"Nadeau","given":"Kristen J.","non-dropping-particle":"","parse-names":false,"suffix":""},{"dropping-particle":"","family":"Regensteiner","given":"Judith G.","non-dropping-particle":"","parse-names":false,"suffix":""},{"dropping-particle":"","family":"Bauer","given":"Timothy A.","non-dropping-particle":"","parse-names":false,"suffix":""},{"dropping-particle":"","family":"Brown","given":"Mark S.","non-dropping-particle":"","parse-names":false,"suffix":""},{"dropping-particle":"","family":"Dorosz","given":"Jennifer L.","non-dropping-particle":"","parse-names":false,"suffix":""},{"dropping-particle":"","family":"Hull","given":"Amber","non-dropping-particle":"","parse-names":false,"suffix":""},{"dropping-particle":"","family":"Zeitler","given":"Phil","non-dropping-particle":"","parse-names":false,"suffix":""},{"dropping-particle":"","family":"Draznin","given":"Boris","non-dropping-particle":"","parse-names":false,"suffix":""},{"dropping-particle":"","family":"Reusch","given":"Jane E. B.","non-dropping-particle":"","parse-names":false,"suffix":""}],"container-title":"The Journal of Clinical Endocrinology &amp; Metabolism","id":"ITEM-1","issue":"2","issued":{"date-parts":[["2010","2"]]},"page":"513-521","title":"Insulin Resistance in Adolescents with Type 1 Diabetes and Its Relationship to Cardiovascular Function","type":"article-journal","volume":"95"},"uris":["http://www.mendeley.com/documents/?uuid=8a0583d5-3026-36d1-ae0f-0191607cabfb"]}],"mendeley":{"formattedCitation":"&lt;sup&gt;39&lt;/sup&gt;","plainTextFormattedCitation":"39","previouslyFormattedCitation":"&lt;sup&gt;39&lt;/sup&gt;"},"properties":{"noteIndex":0},"schema":"https://github.com/citation-style-language/schema/raw/master/csl-citation.json"}</w:instrText>
      </w:r>
      <w:r w:rsidR="004F5673">
        <w:rPr>
          <w:rFonts w:ascii="Calibri" w:hAnsi="Calibri" w:cs="Arial"/>
          <w:color w:val="000000"/>
          <w:sz w:val="24"/>
          <w:szCs w:val="24"/>
        </w:rPr>
        <w:fldChar w:fldCharType="separate"/>
      </w:r>
      <w:r w:rsidR="004F5673" w:rsidRPr="004F5673">
        <w:rPr>
          <w:rFonts w:ascii="Calibri" w:hAnsi="Calibri" w:cs="Arial"/>
          <w:noProof/>
          <w:color w:val="000000"/>
          <w:sz w:val="24"/>
          <w:szCs w:val="24"/>
          <w:vertAlign w:val="superscript"/>
        </w:rPr>
        <w:t>39</w:t>
      </w:r>
      <w:r w:rsidR="004F5673">
        <w:rPr>
          <w:rFonts w:ascii="Calibri" w:hAnsi="Calibri" w:cs="Arial"/>
          <w:color w:val="000000"/>
          <w:sz w:val="24"/>
          <w:szCs w:val="24"/>
        </w:rPr>
        <w:fldChar w:fldCharType="end"/>
      </w:r>
      <w:r w:rsidR="005659A0" w:rsidRPr="00135762">
        <w:rPr>
          <w:rFonts w:ascii="Calibri" w:hAnsi="Calibri" w:cs="Arial"/>
          <w:color w:val="000000"/>
          <w:sz w:val="24"/>
          <w:szCs w:val="24"/>
        </w:rPr>
        <w:t>.</w:t>
      </w:r>
      <w:r w:rsidRPr="00135762">
        <w:rPr>
          <w:rFonts w:ascii="Calibri" w:hAnsi="Calibri" w:cs="Arial"/>
          <w:color w:val="000000"/>
          <w:sz w:val="24"/>
          <w:szCs w:val="24"/>
        </w:rPr>
        <w:t xml:space="preserve"> </w:t>
      </w:r>
      <w:r w:rsidR="005659A0" w:rsidRPr="00135762">
        <w:rPr>
          <w:rFonts w:ascii="Calibri" w:hAnsi="Calibri" w:cs="Arial"/>
          <w:color w:val="000000"/>
          <w:sz w:val="24"/>
          <w:szCs w:val="24"/>
        </w:rPr>
        <w:t>Moreover, insulin resistance</w:t>
      </w:r>
      <w:r w:rsidRPr="00135762">
        <w:rPr>
          <w:rFonts w:ascii="Calibri" w:hAnsi="Calibri" w:cs="Arial"/>
          <w:color w:val="000000"/>
          <w:sz w:val="24"/>
          <w:szCs w:val="24"/>
        </w:rPr>
        <w:t xml:space="preserve"> can contribute to </w:t>
      </w:r>
      <w:r w:rsidR="005659A0" w:rsidRPr="00135762">
        <w:rPr>
          <w:rFonts w:ascii="Calibri" w:hAnsi="Calibri" w:cs="Arial"/>
          <w:color w:val="000000"/>
          <w:sz w:val="24"/>
          <w:szCs w:val="24"/>
        </w:rPr>
        <w:t xml:space="preserve">the increased risk of </w:t>
      </w:r>
      <w:r w:rsidRPr="00135762">
        <w:rPr>
          <w:rFonts w:ascii="Calibri" w:hAnsi="Calibri" w:cs="Arial"/>
          <w:color w:val="000000"/>
          <w:sz w:val="24"/>
          <w:szCs w:val="24"/>
        </w:rPr>
        <w:t>complication</w:t>
      </w:r>
      <w:r w:rsidR="005659A0" w:rsidRPr="00135762">
        <w:rPr>
          <w:rFonts w:ascii="Calibri" w:hAnsi="Calibri" w:cs="Arial"/>
          <w:color w:val="000000"/>
          <w:sz w:val="24"/>
          <w:szCs w:val="24"/>
        </w:rPr>
        <w:t>s</w:t>
      </w:r>
      <w:r w:rsidRPr="00135762">
        <w:rPr>
          <w:rFonts w:ascii="Calibri" w:hAnsi="Calibri" w:cs="Arial"/>
          <w:color w:val="000000"/>
          <w:sz w:val="24"/>
          <w:szCs w:val="24"/>
        </w:rPr>
        <w:t xml:space="preserve">, </w:t>
      </w:r>
      <w:r w:rsidR="004856D6" w:rsidRPr="00135762">
        <w:rPr>
          <w:rFonts w:ascii="Calibri" w:hAnsi="Calibri" w:cs="Arial"/>
          <w:color w:val="000000"/>
          <w:sz w:val="24"/>
          <w:szCs w:val="24"/>
        </w:rPr>
        <w:t>such as</w:t>
      </w:r>
      <w:r w:rsidRPr="00135762">
        <w:rPr>
          <w:rFonts w:ascii="Calibri" w:hAnsi="Calibri" w:cs="Arial"/>
          <w:color w:val="000000"/>
          <w:sz w:val="24"/>
          <w:szCs w:val="24"/>
        </w:rPr>
        <w:t xml:space="preserve"> microalbuminuria and </w:t>
      </w:r>
      <w:r w:rsidR="004856D6" w:rsidRPr="00135762">
        <w:rPr>
          <w:rFonts w:ascii="Calibri" w:hAnsi="Calibri" w:cs="Arial"/>
          <w:color w:val="000000"/>
          <w:sz w:val="24"/>
          <w:szCs w:val="24"/>
        </w:rPr>
        <w:t xml:space="preserve">abnormal </w:t>
      </w:r>
      <w:r w:rsidRPr="00135762">
        <w:rPr>
          <w:rFonts w:ascii="Calibri" w:hAnsi="Calibri" w:cs="Arial"/>
          <w:color w:val="000000"/>
          <w:sz w:val="24"/>
          <w:szCs w:val="24"/>
        </w:rPr>
        <w:t xml:space="preserve">cardiovascular </w:t>
      </w:r>
      <w:r w:rsidR="00443094" w:rsidRPr="00752474">
        <w:rPr>
          <w:rFonts w:ascii="Calibri" w:hAnsi="Calibri" w:cs="Arial"/>
          <w:color w:val="000000"/>
          <w:sz w:val="24"/>
          <w:szCs w:val="24"/>
        </w:rPr>
        <w:t>markers</w:t>
      </w:r>
      <w:r w:rsidR="009A3E82" w:rsidRPr="00752474">
        <w:rPr>
          <w:rFonts w:ascii="Calibri" w:hAnsi="Calibri" w:cs="Arial"/>
          <w:color w:val="000000"/>
          <w:sz w:val="24"/>
          <w:szCs w:val="24"/>
        </w:rPr>
        <w:fldChar w:fldCharType="begin" w:fldLock="1"/>
      </w:r>
      <w:r w:rsidR="00752474" w:rsidRPr="007B5715">
        <w:rPr>
          <w:rFonts w:ascii="Calibri" w:hAnsi="Calibri" w:cs="Arial"/>
          <w:color w:val="000000"/>
          <w:sz w:val="24"/>
          <w:szCs w:val="24"/>
        </w:rPr>
        <w:instrText>ADDIN CSL_CITATION {"citationItems":[{"id":"ITEM-1","itemData":{"DOI":"10.1210/jc.2009-1756","ISSN":"0021-972X","PMID":"19915016","abstract":"CONTEXT Cardiovascular disease is the major cause of death in adults with diabetes, yet little is specifically known about the effects of type 1 diabetes (T1D) on cardiovascular outcomes in youth. Although insulin resistance (IR) likely contributes to exercise and cardiovascular dysfunction in T2D, IR is not typically considered a contributor in T1D. OBJECTIVE We hypothesized that cardiopulmonary fitness would be reduced in T1D youth in association with IR and cardiovascular dysfunction. DESIGN AND PARTICIPANTS This cross-sectional study at an academic hospital included 12 T1D adolescents compared with 12 nondiabetic controls, similar in age, pubertal stage, activity level, and body mass index. OUTCOME MEASURES Cardiopulmonary fitness was measured by peak oxygen consumption (VO(2)peak) and oxygen uptake kinetics (VO(2)kinetics), IR by hyperinsulinemic clamp, cardiac function by echocardiography, vascular function by venous occlusion plethysmography, intramyocellular lipid by magnetic resonance spectroscopy, and body composition by dual-energy x-ray absorptiometry. RESULTS T1D adolescents had significantly decreased VO(2)peak, peak work rate, and insulin sensitivity compared with nondiabetic adolescents. T1D youth also had reduced vascular reactivity and evidence of diastolic dysfunction and left ventricular hypertrophy. Despite their IR and reduced cardiovascular fitness, T1D youth had paradoxically normal intramyocellular lipid, waist to hip ratio, and serum lipids and high adiponectin levels. In multivariate analysis, IR primarily, and forearm blood flow secondarily, independently predicted VO(2)peak. CONCLUSIONS T1D youth demonstrated IR, impaired functional exercise capacity and cardiovascular dysfunction. The phenotype of IR in T1D youth was unique, suggesting a pathophysiology that is different from T2D, yet may adversely affect long-term cardiovascular outcomes.","author":[{"dropping-particle":"","family":"Nadeau","given":"Kristen J.","non-dropping-particle":"","parse-names":false,"suffix":""},{"dropping-particle":"","family":"Regensteiner","given":"Judith G.","non-dropping-particle":"","parse-names":false,"suffix":""},{"dropping-particle":"","family":"Bauer","given":"Timothy A.","non-dropping-particle":"","parse-names":false,"suffix":""},{"dropping-particle":"","family":"Brown","given":"Mark S.","non-dropping-particle":"","parse-names":false,"suffix":""},{"dropping-particle":"","family":"Dorosz","given":"Jennifer L.","non-dropping-particle":"","parse-names":false,"suffix":""},{"dropping-particle":"","family":"Hull","given":"Amber","non-dropping-particle":"","parse-names":false,"suffix":""},{"dropping-particle":"","family":"Zeitler","given":"Phil","non-dropping-particle":"","parse-names":false,"suffix":""},{"dropping-particle":"","family":"Draznin","given":"Boris","non-dropping-particle":"","parse-names":false,"suffix":""},{"dropping-particle":"","family":"Reusch","given":"Jane E. B.","non-dropping-particle":"","parse-names":false,"suffix":""}],"container-title":"The Journal of Clinical Endocrinology &amp; Metabolism","id":"ITEM-1","issue":"2","issued":{"date-parts":[["2010","2"]]},"page":"513-521","title":"Insulin Resistance in Adolescents with Type 1 Diabetes and Its Relationship to Cardiovascular Function","type":"article-journal","volume":"95"},"uris":["http://www.mendeley.com/documents/?uuid=8a0583d5-3026-36d1-ae0f-0191607cabfb"]},{"id":"ITEM-2","itemData":{"DOI":"10.2337/db14-0765","ISSN":"0012-1797","PMID":"25157095","abstract":"Insulin resistance (IR) increases cardiovascular morbidity and is associated with mitochondrial dysfunction. IR is now recognized to be present in type 1 diabetes; however, its relationship with mitochondrial function is unknown. We determined the relationship between IR and muscle mitochondrial function in type 1 diabetes using the hyperinsulinemic-euglycemic clamp and (31)P-MRS before, during, and after near-maximal isometric calf exercise. Volunteers included 21 nonobese adolescents with type 1 diabetes and 17 nondiabetic control subjects with similar age, sex, BMI, Tanner stage, and activity levels. We found that youths with type 1 diabetes were more insulin resistant (median glucose infusion rate 10.1 vs. 18.9 mg/kglean/min; P &lt; 0.0001) and had a longer time constant of the curve of ADP conversion to ATP (23.4 ± 5.3 vs. 18.8 ± 3.9 s, P &lt; 0.001) and a lower rate of oxidative phosphorylation (median 0.09 vs. 0.21 mmol/L/s, P &lt; 0.001). The ADP time constant (β = -0.36, P = 0.026) and oxidative phosphorylation (β = 0.02, P &lt; 0.038) were related to IR but not HbA1c. Normal-weight youths with type 1 diabetes demonstrated slowed postexercise ATP resynthesis and were more insulin resistant than control subjects. The correlation between skeletal muscle mitochondrial dysfunction in type 1 diabetes and IR suggests a relationship between mitochondrial dysfunction and IR in type 1 diabetes.","author":[{"dropping-particle":"","family":"Cree-Green","given":"Melanie","non-dropping-particle":"","parse-names":false,"suffix":""},{"dropping-particle":"","family":"Newcomer","given":"Bradley R.","non-dropping-particle":"","parse-names":false,"suffix":""},{"dropping-particle":"","family":"Brown","given":"Mark S.","non-dropping-particle":"","parse-names":false,"suffix":""},{"dropping-particle":"","family":"Baumgartner","given":"Amy D.","non-dropping-particle":"","parse-names":false,"suffix":""},{"dropping-particle":"","family":"Bergman","given":"Bryan","non-dropping-particle":"","parse-names":false,"suffix":""},{"dropping-particle":"","family":"Drew","given":"Brendan","non-dropping-particle":"","parse-names":false,"suffix":""},{"dropping-particle":"","family":"Regensteiner","given":"Judith G.","non-dropping-particle":"","parse-names":false,"suffix":""},{"dropping-particle":"","family":"Pyle","given":"Laura","non-dropping-particle":"","parse-names":false,"suffix":""},{"dropping-particle":"","family":"Reusch","given":"Jane E.B.","non-dropping-particle":"","parse-names":false,"suffix":""},{"dropping-particle":"","family":"Nadeau","given":"Kristen J.","non-dropping-particle":"","parse-names":false,"suffix":""}],"container-title":"Diabetes","id":"ITEM-2","issue":"2","issued":{"date-parts":[["2015","2"]]},"page":"383-392","title":"Delayed Skeletal Muscle Mitochondrial ADP Recovery in Youth With Type 1 Diabetes Relates to Muscle Insulin Resistance","type":"article-journal","volume":"64"},"uris":["http://www.mendeley.com/documents/?uuid=e52238e0-b4f1-3b89-bacf-df00714e505e"]},{"id":"ITEM-3","itemData":{"DOI":"10.2337/dc14-1331","ISSN":"1935-5548","PMID":"25071077","abstract":"OBJECTIVE Diabetic nephropathy (DN) remains the most common cause of end-stage renal disease and is a major cause of mortality in type 2 diabetes. Insulin sensitivity is an important determinant of renal health in adults with type 2 diabetes, but limited data exist in adolescents. We hypothesized that measured insulin sensitivity (glucose infusion rate [GIR]) would be associated with early markers of DN reflected by estimated glomerular filtration rate (eGFR) and albumin-creatinine ratio (ACR) in adolescents with type 2 diabetes. RESEARCH DESIGN AND METHODS Type 2 diabetic (n = 46), obese (n = 29), and lean (n = 19) adolescents (15.1 ± 2.2 years) had GIR measured by hyperinsulinemic-euglycemic clamps. ACR was measured and GFR was estimated by the Bouvet equation (combined creatinine and cystatin C). RESULTS Adolescents with type 2 diabetes had significantly lower GIR, and higher eGFR and ACR than obese or lean adolescents. Moreover, 34% of type 2 diabetic adolescents had albuminuria (ACR ≥30 mg/g), and 24% had hyperfiltration (≥135 mL/min/1.73 m2). Stratifying ACR and eGFR into tertiles, adolescents with type 2 diabetes in the highest tertiles of ACR and eGFR had respectively lower GIR than those in the mid and low tertiles, after adjusting for age, sex, Tanner stage, BMI, and HbA1c (P = 0.02 and P = 0.04). GIR, but not HbA1c, LDL, or systolic blood pressure, was also associated with eGFR after adjusting for sex and Tanner stage (β ± SE: -2.23 ± 0.87; P = 0.02). CONCLUSIONS A significant proportion of adolescents with type 2 diabetes showed evidence of early DN, and insulin sensitivity, rather than HbA1c, blood pressure, or lipid control, was the strongest determinant of renal health.","author":[{"dropping-particle":"","family":"Bjornstad","given":"Petter","non-dropping-particle":"","parse-names":false,"suffix":""},{"dropping-particle":"","family":"Maahs","given":"David M","non-dropping-particle":"","parse-names":false,"suffix":""},{"dropping-particle":"","family":"Cherney","given":"David Z","non-dropping-particle":"","parse-names":false,"suffix":""},{"dropping-particle":"","family":"Cree-Green","given":"Melanie","non-dropping-particle":"","parse-names":false,"suffix":""},{"dropping-particle":"","family":"West","given":"Amy","non-dropping-particle":"","parse-names":false,"suffix":""},{"dropping-particle":"","family":"Pyle","given":"Laura","non-dropping-particle":"","parse-names":false,"suffix":""},{"dropping-particle":"","family":"Nadeau","given":"Kristen J","non-dropping-particle":"","parse-names":false,"suffix":""}],"container-title":"Diabetes care","id":"ITEM-3","issue":"11","issued":{"date-parts":[["2014","11"]]},"page":"3033-9","title":"Insulin sensitivity is an important determinant of renal health in adolescents with type 2 diabetes.","type":"article-journal","volume":"37"},"uris":["http://www.mendeley.com/documents/?uuid=2c22b9ba-23dc-3a4c-9065-14d3a891a678"]},{"id":"ITEM-4","itemData":{"DOI":"10.1161/CIRCULATIONAHA.118.035525","ISSN":"0009-7322","PMID":"30566007","abstract":"BACKGROUND Cardiovascular disease is the leading cause of mortality in type 1 diabetes mellitus (T1DM) and relates strongly to insulin resistance (IR). Lean and obese adolescents with T1DM have marked IR. Metformin improves surrogate markers of IR in T1DM, but its effect on directly measured IR and vascular health in youth with T1DM is unclear. We hypothesized that adolescents with T1DM have impaired vascular function and that metformin improves this IR and vascular dysfunction. METHODS Adolescents with T1DM and control participants underwent magnetic resonance imaging of the ascending (AA) and descending aorta to assess pulse wave velocity, relative area change, and maximal (WSSMAX) and time-averaged (WSSTA) wall shear stress. Participants with T1DM also underwent assessment of carotid intima-media thickness by ultrasound, brachial distensibility by DynaPulse, fat and lean mass by dual-energy x-ray absorptiometry, fasting laboratories after overnight glycemic control, and insulin sensitivity by hyperinsulinemic-euglycemic clamp (glucose infusion rate/insulin). Adolescents with T1DM were randomized 1:1 to 3 months of 2000 mg metformin or placebo daily, after which baseline measures were repeated. RESULTS Forty-eight adolescents with T1DM who were 12 to 21 years of age (40% body mass index [BMI] ≥90th percentile; 56% female) and 24 nondiabetic control participants of similar age, BMI, and sex distribution were enrolled. Adolescents with T1DM demonstrated impaired aortic health compared with control participants, including elevated AA and descending aorta pulse wave velocity, reduced AA and descending aorta relative area change, and elevated AA and descending aorta WSSMAX and WSSTA. Adolescents with T1DM in the metformin versus placebo group had improved glucose infusion rate/insulin (12.2±3.2 [mg·kg-1·min-1]/μIU/μL versus -2.4±3.6 [mg·kg-1·min-1]/μIU/μL, P=0.005; 18.6±4.8 [mg·lean kg-1·min-1]/μIU/μL versus -3.4±5.6 [mg·lean kg-1·min-1]/μIU/μL, P=0.005) and reduced weight (-0.5±0.5 kg versus 1.6±0.5 kg; P=0.004), BMI (-0.2±0.15 kg/m2 versus 0.4±0.15 kg/m2; P=0.005), and fat mass (-0.7±0.3 kg versus 0.6±0.4 kg; P=0.01). Glucose infusion rate/insulin also improved in normal-weight participants (11.8±4.4 [mg·kg-1·min-1]/μIU/μL versus -4.5±4.4 [mg·kg-1·min-1]/μIU/μL, P=0.02; 17.6±6.7 [mg·lean kg-1·min-1]/μIU/μL versus -7.0±6.7 [mg·lean kg-1·min-1]/μIU/μL, P=0.02). The metformin group had reduced AA WSSMAX (-0.3±0.4 dyne/cm2 versus 1.5±0.5 dyne/cm2; P=0.03), A…","author":[{"dropping-particle":"","family":"Bjornstad","given":"Petter","non-dropping-particle":"","parse-names":false,"suffix":""},{"dropping-particle":"","family":"Schäfer","given":"Michal","non-dropping-particle":"","parse-names":false,"suffix":""},{"dropping-particle":"","family":"Truong","given":"Uyen","non-dropping-particle":"","parse-names":false,"suffix":""},{"dropping-particle":"","family":"Cree-Green","given":"Melanie","non-dropping-particle":"","parse-names":false,"suffix":""},{"dropping-particle":"","family":"Pyle","given":"Laura","non-dropping-particle":"","parse-names":false,"suffix":""},{"dropping-particle":"","family":"Baumgartner","given":"Amy","non-dropping-particle":"","parse-names":false,"suffix":""},{"dropping-particle":"","family":"Garcia Reyes","given":"Yesenia","non-dropping-particle":"","parse-names":false,"suffix":""},{"dropping-particle":"","family":"Maniatis","given":"Aristides","non-dropping-particle":"","parse-names":false,"suffix":""},{"dropping-particle":"","family":"Nayak","given":"Sunil","non-dropping-particle":"","parse-names":false,"suffix":""},{"dropping-particle":"","family":"Wadwa","given":"R. Paul","non-dropping-particle":"","parse-names":false,"suffix":""},{"dropping-particle":"","family":"Browne","given":"Lorna P.","non-dropping-particle":"","parse-names":false,"suffix":""},{"dropping-particle":"","family":"Reusch","given":"Jane E.B.","non-dropping-particle":"","parse-names":false,"suffix":""},{"dropping-particle":"","family":"Nadeau","given":"Kristen J.","non-dropping-particle":"","parse-names":false,"suffix":""}],"container-title":"Circulation","id":"ITEM-4","issue":"25","issued":{"date-parts":[["2018","12","18"]]},"page":"2895-2907","title":"Metformin Improves Insulin Sensitivity and Vascular Health in Youth With Type 1 Diabetes Mellitus","type":"article-journal","volume":"138"},"uris":["http://www.mendeley.com/documents/?uuid=9f583294-846c-39a5-9d42-954d56dd2eb2"]},{"id":"ITEM-5","itemData":{"DOI":"10.1111/j.1365-2265.2005.02185.x","ISSN":"0300-0664","PMID":"15670188","abstract":"HYPOTHESIS We previously described lower insulin-like growth factor I (IGF-I) levels in association with increased microalbuminuria (MA) risk in type 1 diabetic subjects followed from diabetes diagnosis through puberty into adulthood. By inference lower IGF-I levels may be associated with higher GH levels and changes in insulin sensitivity. METHODS To test this hypothesis, microalbuminuric subjects (MA+, n = 14) from the same cohort had overnight GH levels measured during euglycaemia (5 mmol/l, 01:00-07:30 h) maintained by a variable rate insulin infusion followed by a 2-step hyperinsulinaemic, euglycaemic clamp study using [6.6 2H2] glucose, and were compared to MA- controls (MA-, n = 14), matched for age (median 19.3 years, range 15.8-30.5), sex, duration of diabetes (11.1 years, range 5.1-16.4). RESULTS In MA+ cases GH levels, measured by the Pulsar programme, were higher (baseline; 1.8 +/- 1.4 vs. 0.7 +/- 0.5 ng/ml, P = 0.02, mean; 3.8 +/- 1.3 vs. 2.6 +/- 1.6 ng/ml, P = 0.03, maximum; 16.7 +/- 7.0 vs. 12.3 +/- 5.4, P = 0.02), despite similar HbA1(c) levels (9.8%vs. 9.6%, P = 0.6) and body or truncal fat mass. Fourier transform revealed increased GH pulse amplitude at all periodicities and overnight insulin clearance was reduced (11.7 +/- 6.9 vs. 20.1 +/- 6.5 ml/kg/min, P &lt; 0.02). In multiple regression analysis, urine albumin excretion was associated with higher GH levels and reduced insulin clearance, independent of HbA1(c) and body composition. In female cases (n = 9), dextrose requirements were reduced during the first step of the euglycaemic clamp (1.7 +/- 0.8 vs. 2.7 +/- 1.4, P &lt; 0.05) but no such differences existed in males or in the rate of glucose production or disposal. CONCLUSION The development of MA during puberty and young adulthood is associated with higher GH levels and abnormalities in insulin metabolism, particularly in females. These data extend support for our previous findings indicating a role for the GH/IGF-I axis in the pathogenesis of MA.","author":[{"dropping-particle":"","family":"Amin","given":"Rakesh","non-dropping-particle":"","parse-names":false,"suffix":""},{"dropping-particle":"","family":"Williams","given":"Rachel M","non-dropping-particle":"","parse-names":false,"suffix":""},{"dropping-particle":"","family":"Frystyk","given":"January","non-dropping-particle":"","parse-names":false,"suffix":""},{"dropping-particle":"","family":"Umpleby","given":"Margot","non-dropping-particle":"","parse-names":false,"suffix":""},{"dropping-particle":"","family":"Matthews","given":"David","non-dropping-particle":"","parse-names":false,"suffix":""},{"dropping-particle":"","family":"Orskov","given":"Hans","non-dropping-particle":"","parse-names":false,"suffix":""},{"dropping-particle":"","family":"Dalton","given":"R Neil","non-dropping-particle":"","parse-names":false,"suffix":""},{"dropping-particle":"","family":"Dunger","given":"David B","non-dropping-particle":"","parse-names":false,"suffix":""}],"container-title":"Clinical endocrinology","id":"ITEM-5","issue":"2","issued":{"date-parts":[["2005","2"]]},"page":"137-44","title":"Increasing urine albumin excretion is associated with growth hormone hypersecretion and reduced clearance of insulin in adolescents and young adults with type 1 diabetes: the Oxford Regional Prospective Study.","type":"article-journal","volume":"62"},"uris":["http://www.mendeley.com/documents/?uuid=d4c77ab8-2fee-3885-8bcf-f23f70d94192"]}],"mendeley":{"formattedCitation":"&lt;sup&gt;38–42&lt;/sup&gt;","plainTextFormattedCitation":"38–42","previouslyFormattedCitation":"&lt;sup&gt;39–43&lt;/sup&gt;"},"properties":{"noteIndex":0},"schema":"https://github.com/citation-style-language/schema/raw/master/csl-citation.json"}</w:instrText>
      </w:r>
      <w:r w:rsidR="009A3E82" w:rsidRPr="007B5715">
        <w:rPr>
          <w:rFonts w:ascii="Calibri" w:hAnsi="Calibri" w:cs="Arial"/>
          <w:color w:val="000000"/>
          <w:sz w:val="24"/>
          <w:szCs w:val="24"/>
          <w:vertAlign w:val="superscript"/>
        </w:rPr>
        <w:fldChar w:fldCharType="separate"/>
      </w:r>
      <w:r w:rsidR="00752474" w:rsidRPr="007B5715">
        <w:rPr>
          <w:rFonts w:ascii="Calibri" w:hAnsi="Calibri" w:cs="Arial"/>
          <w:noProof/>
          <w:color w:val="000000"/>
          <w:sz w:val="24"/>
          <w:szCs w:val="24"/>
          <w:vertAlign w:val="superscript"/>
        </w:rPr>
        <w:t>38–42</w:t>
      </w:r>
      <w:r w:rsidR="009A3E82" w:rsidRPr="00752474">
        <w:rPr>
          <w:rFonts w:ascii="Calibri" w:hAnsi="Calibri" w:cs="Arial"/>
          <w:color w:val="000000"/>
          <w:sz w:val="24"/>
          <w:szCs w:val="24"/>
        </w:rPr>
        <w:fldChar w:fldCharType="end"/>
      </w:r>
      <w:r w:rsidRPr="00752474">
        <w:rPr>
          <w:rFonts w:ascii="Calibri" w:hAnsi="Calibri" w:cs="Arial"/>
          <w:color w:val="000000"/>
          <w:sz w:val="24"/>
          <w:szCs w:val="24"/>
        </w:rPr>
        <w:t>.</w:t>
      </w:r>
      <w:r w:rsidR="00F96BE4" w:rsidRPr="00135762">
        <w:rPr>
          <w:rFonts w:ascii="Calibri" w:hAnsi="Calibri" w:cs="Arial"/>
          <w:color w:val="000000"/>
          <w:sz w:val="24"/>
          <w:szCs w:val="24"/>
        </w:rPr>
        <w:t xml:space="preserve"> </w:t>
      </w:r>
      <w:r w:rsidR="005659A0" w:rsidRPr="00135762">
        <w:rPr>
          <w:rFonts w:ascii="Calibri" w:hAnsi="Calibri" w:cs="Arial"/>
          <w:color w:val="000000"/>
          <w:sz w:val="24"/>
          <w:szCs w:val="24"/>
        </w:rPr>
        <w:t>Notably,</w:t>
      </w:r>
      <w:r w:rsidR="00E52A9A" w:rsidRPr="00135762">
        <w:rPr>
          <w:sz w:val="24"/>
          <w:szCs w:val="24"/>
        </w:rPr>
        <w:t xml:space="preserve"> </w:t>
      </w:r>
      <w:r w:rsidR="005659A0" w:rsidRPr="00135762">
        <w:rPr>
          <w:sz w:val="24"/>
          <w:szCs w:val="24"/>
        </w:rPr>
        <w:t>a</w:t>
      </w:r>
      <w:r w:rsidR="00E52A9A" w:rsidRPr="00135762">
        <w:rPr>
          <w:sz w:val="24"/>
          <w:szCs w:val="24"/>
        </w:rPr>
        <w:t xml:space="preserve"> sexual dimorphism </w:t>
      </w:r>
      <w:r w:rsidR="005659A0" w:rsidRPr="00135762">
        <w:rPr>
          <w:sz w:val="24"/>
          <w:szCs w:val="24"/>
        </w:rPr>
        <w:t xml:space="preserve">exists </w:t>
      </w:r>
      <w:r w:rsidR="00E52A9A" w:rsidRPr="00135762">
        <w:rPr>
          <w:sz w:val="24"/>
          <w:szCs w:val="24"/>
        </w:rPr>
        <w:t xml:space="preserve">for </w:t>
      </w:r>
      <w:r w:rsidR="005659A0" w:rsidRPr="00135762">
        <w:rPr>
          <w:sz w:val="24"/>
          <w:szCs w:val="24"/>
        </w:rPr>
        <w:t xml:space="preserve">the risk of </w:t>
      </w:r>
      <w:r w:rsidR="00E52A9A" w:rsidRPr="00135762">
        <w:rPr>
          <w:sz w:val="24"/>
          <w:szCs w:val="24"/>
        </w:rPr>
        <w:t>complications</w:t>
      </w:r>
      <w:r w:rsidR="009C7E7E" w:rsidRPr="00135762">
        <w:rPr>
          <w:sz w:val="24"/>
          <w:szCs w:val="24"/>
        </w:rPr>
        <w:t xml:space="preserve"> during adolescence</w:t>
      </w:r>
      <w:r w:rsidR="00E52A9A" w:rsidRPr="00135762">
        <w:rPr>
          <w:sz w:val="24"/>
          <w:szCs w:val="24"/>
        </w:rPr>
        <w:t xml:space="preserve">, with a higher percentage of girls developing </w:t>
      </w:r>
      <w:r w:rsidR="009C7E7E" w:rsidRPr="00135762">
        <w:rPr>
          <w:sz w:val="24"/>
          <w:szCs w:val="24"/>
        </w:rPr>
        <w:t>microalbuminuria or retinopathy</w:t>
      </w:r>
      <w:r w:rsidR="004856D6" w:rsidRPr="00135762">
        <w:rPr>
          <w:sz w:val="24"/>
          <w:szCs w:val="24"/>
        </w:rPr>
        <w:fldChar w:fldCharType="begin" w:fldLock="1"/>
      </w:r>
      <w:r w:rsidR="00752474">
        <w:rPr>
          <w:sz w:val="24"/>
          <w:szCs w:val="24"/>
        </w:rPr>
        <w:instrText>ADDIN CSL_CITATION {"citationItems":[{"id":"ITEM-1","itemData":{"DOI":"10.1136/bmj.39478.378241.BE","ISBN":"1756-1833 (Electronic)\\r0959-535X (Linking)","ISSN":"0959-8138","PMID":"18349042","abstract":"OBJECTIVES: To describe independent predictors for the development of microalbuminuria and progression to macroalbuminuria in those with childhood onset type 1 diabetes. DESIGN: Prospective observational study with follow-up for 9.8 (SD 3.8) years. SETTING: Oxford regional prospective study. PARTICIPANTS: 527 participants with a diagnosis of type 1 diabetes at mean age 8.8 (SD 4.0) years. MAIN OUTCOME MEASURES: Annual measurement of glycated haemoglobin (HbA1c) and assessment of urinary albumin:creatinine ratio. RESULTS: Cumulative prevalence of microalbuminuria was 25.7% (95% confidence interval 21.3% to 30.1%) after 10 years of diabetes and 50.7% (40.5% to 60.9%) after 19 years of diabetes and 5182 patient years of follow-up. The only modifiable adjusted predictor for microalbuminuria was high HbA1c concentrations (hazard ratio per 1% rise in HbA1c 1.39, 1.27 to 1.52). Blood pressure and history of smoking were not predictors. Microalbuminuria was persistent in 48% of patients. Cumulative prevalence of progression from microalbuminuria to macroalbuminuria was 13.9% (12.9% to 14.9%); progression occurred at a mean age of 18.5 (5.8) years. Although the sample size was small, modifiable predictors of macroalbuminuria were higher HbA(1c) levels and both persistent and intermittent microalbuminuria (hazard ratios 1.42 (1.22 to 1.78), 27.72 (7.99 to 96.12), and 8.76 (2.44 to 31.44), respectively). CONCLUSION: In childhood onset type 1 diabetes, the only modifiable predictors were poor glycaemic control for the development of microalbuminuria and poor control and microalbuminuria (both persistent and intermittent) for progression to macroalbuminuria. Risk for macroalbuminuria is similar to that observed in cohorts with adult onset disease but as it occurs in young adult life early intervention in normotensive adolescents might be needed to improve prognosis.","author":[{"dropping-particle":"","family":"Amin","given":"Rakesh","non-dropping-particle":"","parse-names":false,"suffix":""},{"dropping-particle":"","family":"Widmer","given":"Barry","non-dropping-particle":"","parse-names":false,"suffix":""},{"dropping-particle":"","family":"Prevost","given":"a Toby","non-dropping-particle":"","parse-names":false,"suffix":""},{"dropping-particle":"","family":"Schwarze","given":"Phillip","non-dropping-particle":"","parse-names":false,"suffix":""},{"dropping-particle":"","family":"Cooper","given":"Jason","non-dropping-particle":"","parse-names":false,"suffix":""},{"dropping-particle":"","family":"Edge","given":"Julie","non-dropping-particle":"","parse-names":false,"suffix":""},{"dropping-particle":"","family":"Marcovecchio","given":"Loredana","non-dropping-particle":"","parse-names":false,"suffix":""},{"dropping-particle":"","family":"Neil","given":"Andrew","non-dropping-particle":"","parse-names":false,"suffix":""},{"dropping-particle":"","family":"Dalton","given":"R Neil","non-dropping-particle":"","parse-names":false,"suffix":""},{"dropping-particle":"","family":"Dunger","given":"David B","non-dropping-particle":"","parse-names":false,"suffix":""}],"container-title":"BMJ (Clinical research ed.)","id":"ITEM-1","issue":"7646","issued":{"date-parts":[["2008"]]},"page":"697-701","title":"Risk of microalbuminuria and progression to macroalbuminuria in a cohort with childhood onset type 1 diabetes: prospective observational study.","type":"article-journal","volume":"336"},"uris":["http://www.mendeley.com/documents/?uuid=84c653de-6d89-4031-864e-2055d827e8e7"]},{"id":"ITEM-2","itemData":{"DOI":"10.1167/iovs.14-15147","ISSN":"1552-5783","PMID":"25477322","abstract":"PURPOSE Adolescent females with type 1 diabetes (T1D) are reported to have greater risk of early microvascular complications than males. We hypothesize sex differences in retinal vascular geometry (RVG) through puberty are associated with earlier-onset microvascular complications. METHODS Prepubertal patients (n = 64, 35 male) with T1D, complication-free at baseline, were followed through to sexual maturity with detailed Tanner-staging and repeated diabetes complications assessments. Retinal vascular geometry from digitized retinal photographs at each visit was assessed using a semiautomated computer program. Determinants of RVG measurements (pre-, during, and post puberty) were explored using generalized estimating equations (GEE). Factors associated with time to onset of retinopathy and albumin excretion rate (AER) were examined using multivariable Cox regression. RESULTS Median follow-up was 7.2 years. Retinopathy developed in 69% and elevated albumin excretion in 56%. In multivariable GEE, female sex was associated with wider venular caliber (prepuberty: lowest-quartile, odds ratio 0.40 [95% confidence interval: 0.17, 0.96]); P = 0.04) and lower arteriolar length-to-diameter-ratio (LDRa) (during puberty: lowest-quartile 2.87 [1.01, 8.13]; P = 0.047 and post puberty: 2.93 [0.96, 8.64]; P = 0.06). In Cox-regression, females developed retinopathy earlier than males (8.1 vs. 9.6 years; P = 0.002). Female sex (hazard ratio [HR] 3.8 [1.6-8.6]; P = 0.002) and growth velocity (1.3 [1.1-1.5]; P = 0.001) were associated with earlier retinopathy. CONCLUSIONS This is the first longitudinal study to repeatedly examine RVG through puberty in youth with T1D. Sex dimorphism was observed. Female sex was associated with lower LDRa, wider venules, and earlier onset of retinopathy. These RVG patterns have been associated with incident microvascular complications but did not reach statistical significance in this study. Larger studies are needed to investigate the RVG, microvascular complications, and sex associations early in the course of T1D.","author":[{"dropping-particle":"","family":"Benitez-Aguirre","given":"Paul","non-dropping-particle":"","parse-names":false,"suffix":""},{"dropping-particle":"","family":"Craig","given":"Maria E","non-dropping-particle":"","parse-names":false,"suffix":""},{"dropping-particle":"","family":"Cass","given":"Helene G","non-dropping-particle":"","parse-names":false,"suffix":""},{"dropping-particle":"","family":"Sugden","given":"Clare J","non-dropping-particle":"","parse-names":false,"suffix":""},{"dropping-particle":"","family":"Jenkins","given":"Alicia J","non-dropping-particle":"","parse-names":false,"suffix":""},{"dropping-particle":"","family":"Wang","given":"Jie Jin","non-dropping-particle":"","parse-names":false,"suffix":""},{"dropping-particle":"","family":"Cusumano","given":"Janine","non-dropping-particle":"","parse-names":false,"suffix":""},{"dropping-particle":"","family":"Hodgson","given":"Lauren A B","non-dropping-particle":"","parse-names":false,"suffix":""},{"dropping-particle":"","family":"Lee","given":"Kim","non-dropping-particle":"","parse-names":false,"suffix":""},{"dropping-particle":"","family":"Wong","given":"Tien Yin","non-dropping-particle":"","parse-names":false,"suffix":""},{"dropping-particle":"","family":"Donaghue","given":"Kim C","non-dropping-particle":"","parse-names":false,"suffix":""}],"container-title":"Investigative ophthalmology &amp; visual science","id":"ITEM-2","issue":"1","issued":{"date-parts":[["2015","1"]]},"page":"571-7","title":"Sex differences in retinal microvasculature through puberty in type 1 diabetes: are girls at greater risk of diabetic microvascular complications?","type":"article-journal","volume":"56"},"uris":["http://www.mendeley.com/documents/?uuid=d6804788-a141-3637-8fbf-eca069e55ba9"]}],"mendeley":{"formattedCitation":"&lt;sup&gt;31,43&lt;/sup&gt;","plainTextFormattedCitation":"31,43","previouslyFormattedCitation":"&lt;sup&gt;31,44&lt;/sup&gt;"},"properties":{"noteIndex":0},"schema":"https://github.com/citation-style-language/schema/raw/master/csl-citation.json"}</w:instrText>
      </w:r>
      <w:r w:rsidR="004856D6" w:rsidRPr="00135762">
        <w:rPr>
          <w:sz w:val="24"/>
          <w:szCs w:val="24"/>
        </w:rPr>
        <w:fldChar w:fldCharType="separate"/>
      </w:r>
      <w:r w:rsidR="00752474" w:rsidRPr="00752474">
        <w:rPr>
          <w:noProof/>
          <w:sz w:val="24"/>
          <w:szCs w:val="24"/>
          <w:vertAlign w:val="superscript"/>
        </w:rPr>
        <w:t>31,43</w:t>
      </w:r>
      <w:r w:rsidR="004856D6" w:rsidRPr="00135762">
        <w:rPr>
          <w:sz w:val="24"/>
          <w:szCs w:val="24"/>
        </w:rPr>
        <w:fldChar w:fldCharType="end"/>
      </w:r>
      <w:r w:rsidR="005659A0" w:rsidRPr="00135762">
        <w:rPr>
          <w:sz w:val="24"/>
          <w:szCs w:val="24"/>
        </w:rPr>
        <w:t>.</w:t>
      </w:r>
      <w:r w:rsidR="00E52A9A" w:rsidRPr="00135762">
        <w:rPr>
          <w:sz w:val="24"/>
          <w:szCs w:val="24"/>
        </w:rPr>
        <w:t xml:space="preserve"> </w:t>
      </w:r>
      <w:r w:rsidR="005659A0" w:rsidRPr="00135762">
        <w:rPr>
          <w:sz w:val="24"/>
          <w:szCs w:val="24"/>
        </w:rPr>
        <w:t>By</w:t>
      </w:r>
      <w:r w:rsidR="00E52A9A" w:rsidRPr="00135762">
        <w:rPr>
          <w:sz w:val="24"/>
          <w:szCs w:val="24"/>
        </w:rPr>
        <w:t xml:space="preserve"> contrast </w:t>
      </w:r>
      <w:r w:rsidR="005659A0" w:rsidRPr="00135762">
        <w:rPr>
          <w:sz w:val="24"/>
          <w:szCs w:val="24"/>
        </w:rPr>
        <w:t>men have a</w:t>
      </w:r>
      <w:r w:rsidR="00E52A9A" w:rsidRPr="00135762">
        <w:rPr>
          <w:sz w:val="24"/>
          <w:szCs w:val="24"/>
        </w:rPr>
        <w:t xml:space="preserve"> higher risk </w:t>
      </w:r>
      <w:r w:rsidR="005659A0" w:rsidRPr="00135762">
        <w:rPr>
          <w:sz w:val="24"/>
          <w:szCs w:val="24"/>
        </w:rPr>
        <w:t xml:space="preserve">of complications </w:t>
      </w:r>
      <w:r w:rsidR="00E52A9A" w:rsidRPr="00135762">
        <w:rPr>
          <w:sz w:val="24"/>
          <w:szCs w:val="24"/>
        </w:rPr>
        <w:t>during adulthood</w:t>
      </w:r>
      <w:r w:rsidR="00443094" w:rsidRPr="00135762">
        <w:rPr>
          <w:sz w:val="24"/>
          <w:szCs w:val="24"/>
        </w:rPr>
        <w:fldChar w:fldCharType="begin" w:fldLock="1"/>
      </w:r>
      <w:r w:rsidR="008736A2">
        <w:rPr>
          <w:sz w:val="24"/>
          <w:szCs w:val="24"/>
        </w:rPr>
        <w:instrText>ADDIN CSL_CITATION {"citationItems":[{"id":"ITEM-1","itemData":{"DOI":"10.1136/bmj.38070.450891.FE","ISSN":"1756-1833","PMID":"15096438","abstract":"OBJECTIVE To evaluate baseline predictors for the development of persistent microalbuminuria and macroalbuminuria prospectively in patients with type 1 diabetes. DESIGN Prospective observational study of an inception cohort. SETTING Outpatient diabetic clinic in a tertiary referral centre, Gentofte, Denmark. PARTICIPANTS 286 patients (216 adults) newly diagnosed with type 1 diabetes consecutively admitted to the clinic between 1 September 1979 and 31 August 1984. MAIN OUTCOME MEASURES Persistent microalbuminuria and persistent macroalbuminuria. RESULTS During the median follow up of 18.0 years (range 1.0-21.5 years), total of 4706 patient years of follow up, 79 of 277 (29%) patients developed persistent microalbuminuria. 27 of 79 progressed further to persistent macroalbuminuria. The cumulative incidence of persistent microalbuminuria and persistent macroalbuminuria was 33.6% (95% confidence interval 27.2% to 40.0%) and 14.6% (8.9% to 20.3%), respectively. Significant predictors for the development of persistent microalbuminuria were a 10-fold increase in urinary albumin excretion rate (relative risk 3.78, 1.57 to 9.13), being male (2.41, 1.43 to 4.06), a 10 mm Hg increase in mean arterial blood pressure (1.38, 1.20 to 1.57), a 1% increase in haemoglobin A1c (1.18, 1.04 to 1.32), and a 1 cm increase in height (0.96, 0.95 to 0.98). 28 patients with microalbuminuria (35%) regressed to normoalbuminuria either transiently (n = 15) or permanently (n = 13). CONCLUSIONS Around one third of patients newly diagnosed with type 1 diabetes develop persistent microalbuminuria within the first 20 years of diabetes. Several potentially modifiable risk factors predict the development of persistent microalbuminaria and persistent macroalbuminuria.","author":[{"dropping-particle":"","family":"Hovind","given":"Peter","non-dropping-particle":"","parse-names":false,"suffix":""},{"dropping-particle":"","family":"Tarnow","given":"Lise","non-dropping-particle":"","parse-names":false,"suffix":""},{"dropping-particle":"","family":"Rossing","given":"Peter","non-dropping-particle":"","parse-names":false,"suffix":""},{"dropping-particle":"","family":"Jensen","given":"Berit Ruud","non-dropping-particle":"","parse-names":false,"suffix":""},{"dropping-particle":"","family":"Graae","given":"Malene","non-dropping-particle":"","parse-names":false,"suffix":""},{"dropping-particle":"","family":"Torp","given":"Inge","non-dropping-particle":"","parse-names":false,"suffix":""},{"dropping-particle":"","family":"Binder","given":"Christian","non-dropping-particle":"","parse-names":false,"suffix":""},{"dropping-particle":"","family":"Parving","given":"Hans-Henrik","non-dropping-particle":"","parse-names":false,"suffix":""}],"container-title":"BMJ (Clinical research ed.)","id":"ITEM-1","issue":"7448","issued":{"date-parts":[["2004","5","8"]]},"page":"1105","title":"Predictors for the development of microalbuminuria and macroalbuminuria in patients with type 1 diabetes: inception cohort study.","type":"article-journal","volume":"328"},"uris":["http://www.mendeley.com/documents/?uuid=90f6c986-10fd-3e53-b92e-1014c008063d"]}],"mendeley":{"formattedCitation":"&lt;sup&gt;35&lt;/sup&gt;","plainTextFormattedCitation":"35","previouslyFormattedCitation":"&lt;sup&gt;35&lt;/sup&gt;"},"properties":{"noteIndex":0},"schema":"https://github.com/citation-style-language/schema/raw/master/csl-citation.json"}</w:instrText>
      </w:r>
      <w:r w:rsidR="00443094" w:rsidRPr="00135762">
        <w:rPr>
          <w:sz w:val="24"/>
          <w:szCs w:val="24"/>
        </w:rPr>
        <w:fldChar w:fldCharType="separate"/>
      </w:r>
      <w:r w:rsidR="00705406" w:rsidRPr="00705406">
        <w:rPr>
          <w:noProof/>
          <w:sz w:val="24"/>
          <w:szCs w:val="24"/>
          <w:vertAlign w:val="superscript"/>
        </w:rPr>
        <w:t>35</w:t>
      </w:r>
      <w:r w:rsidR="00443094" w:rsidRPr="00135762">
        <w:rPr>
          <w:sz w:val="24"/>
          <w:szCs w:val="24"/>
        </w:rPr>
        <w:fldChar w:fldCharType="end"/>
      </w:r>
      <w:r w:rsidR="00E52A9A" w:rsidRPr="00135762">
        <w:rPr>
          <w:sz w:val="24"/>
          <w:szCs w:val="24"/>
        </w:rPr>
        <w:t xml:space="preserve">. </w:t>
      </w:r>
      <w:r w:rsidR="005659A0" w:rsidRPr="00135762">
        <w:rPr>
          <w:sz w:val="24"/>
          <w:szCs w:val="24"/>
          <w:lang w:val="en-US"/>
        </w:rPr>
        <w:t>A</w:t>
      </w:r>
      <w:r w:rsidR="00E52A9A" w:rsidRPr="00135762">
        <w:rPr>
          <w:sz w:val="24"/>
          <w:szCs w:val="24"/>
          <w:lang w:val="en-US"/>
        </w:rPr>
        <w:t xml:space="preserve">dolescent girls with </w:t>
      </w:r>
      <w:r w:rsidR="009C7E7E" w:rsidRPr="00135762">
        <w:rPr>
          <w:sz w:val="24"/>
          <w:szCs w:val="24"/>
          <w:lang w:val="en-US"/>
        </w:rPr>
        <w:t>microalbuminuria</w:t>
      </w:r>
      <w:r w:rsidR="00E52A9A" w:rsidRPr="00135762">
        <w:rPr>
          <w:sz w:val="24"/>
          <w:szCs w:val="24"/>
          <w:lang w:val="en-US"/>
        </w:rPr>
        <w:t xml:space="preserve"> </w:t>
      </w:r>
      <w:r w:rsidR="005659A0" w:rsidRPr="00135762">
        <w:rPr>
          <w:sz w:val="24"/>
          <w:szCs w:val="24"/>
          <w:lang w:val="en-US"/>
        </w:rPr>
        <w:t xml:space="preserve">had higher testosterone levels </w:t>
      </w:r>
      <w:r w:rsidR="00E52A9A" w:rsidRPr="00135762">
        <w:rPr>
          <w:sz w:val="24"/>
          <w:szCs w:val="24"/>
          <w:lang w:val="en-US"/>
        </w:rPr>
        <w:t xml:space="preserve">when compared </w:t>
      </w:r>
      <w:r w:rsidR="00443094" w:rsidRPr="006C59DB">
        <w:rPr>
          <w:sz w:val="24"/>
          <w:szCs w:val="24"/>
          <w:lang w:val="en-US"/>
        </w:rPr>
        <w:t>to</w:t>
      </w:r>
      <w:r w:rsidR="00E52A9A" w:rsidRPr="006C59DB">
        <w:rPr>
          <w:sz w:val="24"/>
          <w:szCs w:val="24"/>
          <w:lang w:val="en-US"/>
        </w:rPr>
        <w:t xml:space="preserve"> matched</w:t>
      </w:r>
      <w:r w:rsidR="00F96BE4" w:rsidRPr="006C59DB">
        <w:rPr>
          <w:sz w:val="24"/>
          <w:szCs w:val="24"/>
          <w:lang w:val="en-US"/>
        </w:rPr>
        <w:t xml:space="preserve"> </w:t>
      </w:r>
      <w:r w:rsidR="00E52A9A" w:rsidRPr="00135762">
        <w:rPr>
          <w:sz w:val="24"/>
          <w:szCs w:val="24"/>
          <w:lang w:val="en-US"/>
        </w:rPr>
        <w:t>control</w:t>
      </w:r>
      <w:r w:rsidR="005659A0" w:rsidRPr="00135762">
        <w:rPr>
          <w:sz w:val="24"/>
          <w:szCs w:val="24"/>
          <w:lang w:val="en-US"/>
        </w:rPr>
        <w:t xml:space="preserve"> individuals</w:t>
      </w:r>
      <w:r w:rsidR="00E52A9A" w:rsidRPr="00135762">
        <w:rPr>
          <w:sz w:val="24"/>
          <w:szCs w:val="24"/>
          <w:lang w:val="en-US"/>
        </w:rPr>
        <w:t xml:space="preserve"> without </w:t>
      </w:r>
      <w:r w:rsidR="009C7E7E" w:rsidRPr="00135762">
        <w:rPr>
          <w:sz w:val="24"/>
          <w:szCs w:val="24"/>
          <w:lang w:val="en-US"/>
        </w:rPr>
        <w:t>this complication</w:t>
      </w:r>
      <w:r w:rsidR="009730FD" w:rsidRPr="00135762">
        <w:rPr>
          <w:sz w:val="24"/>
          <w:szCs w:val="24"/>
          <w:lang w:val="en-US"/>
        </w:rPr>
        <w:fldChar w:fldCharType="begin" w:fldLock="1"/>
      </w:r>
      <w:r w:rsidR="00752474">
        <w:rPr>
          <w:sz w:val="24"/>
          <w:szCs w:val="24"/>
          <w:lang w:val="en-US"/>
        </w:rPr>
        <w:instrText>ADDIN CSL_CITATION {"citationItems":[{"id":"ITEM-1","itemData":{"ISSN":"0149-5992","PMID":"12716804","abstract":"OBJECTIVE To describe longitudinal variations in pubertal hormonal variables in subjects with and without microalbuminuria (MA). RESEARCH DESIGN AND METHODS Blood samples collected annually from subjects recruited at diagnosis of type 1 diabetes and followed prospectively through puberty (median follow-up 9.3 years, range 4.7-12.8) were analyzed for total and free IGF-I, IGF binding protein-1, testosterone, sex hormone-binding globulin, and HbA(1c). A total of 55 subjects who developed MA (MA(+) group) were compared with 55 age-, sex-, and duration-matched control subjects who did not develop MA (MA(-) group). RESULTS For female subjects, total IGF-I (MA(+) 1.2 mU/l vs. MA(-) 1.4 mU/l, P = 0.03) and free IGF-I levels (MA(+) 1,767 ng/l vs. MA(-) 2010 ng/l, P = 0.002) were lower, whereas the free androgen index (MA(+) 2.4 vs. MA(-) 2.0, P = 0.03) was higher in those with MA. These changes were less pronounced in male subjects. For both sexes, in a Cox model after adjusting for puberty, the presence of MA was associated with lower free IGF-I levels, higher testosterone standard deviation score (SDS), and poor glycemic control. We found that 22 of 55 case subjects (40%) developed persistent MA, whereas 33 (60%) had transient MA. In the persistent MA group compared with the transient and control groups, total IGF-I levels were lower (1.1 vs. 1.3 vs. 1.4 mU/l, P = 0.002) as were free IGF-I levels (1,370.9 vs. 1,907.3 vs. 1,886.7 ng/l, P &lt; 0.001), whereas HbA(1c) levels were higher (11.8 vs. 10.3 vs. 9.9%, P &lt; 0.001). CONCLUSIONS Poor glycemic control and differences in IGF-I levels and androgens, particularly in female subjects, accompany development of MA at puberty. These differences may in part account for the sexual dimorphism in MA risk during puberty and could relate to disease progression.","author":[{"dropping-particle":"","family":"Amin","given":"Rakesh","non-dropping-particle":"","parse-names":false,"suffix":""},{"dropping-particle":"","family":"Schultz","given":"Carl","non-dropping-particle":"","parse-names":false,"suffix":""},{"dropping-particle":"","family":"Ong","given":"Ken","non-dropping-particle":"","parse-names":false,"suffix":""},{"dropping-particle":"","family":"Frystyk","given":"Jan","non-dropping-particle":"","parse-names":false,"suffix":""},{"dropping-particle":"","family":"Dalton","given":"R Neil","non-dropping-particle":"","parse-names":false,"suffix":""},{"dropping-particle":"","family":"Perry","given":"Les","non-dropping-particle":"","parse-names":false,"suffix":""},{"dropping-particle":"","family":"Ørskov","given":"Hans","non-dropping-particle":"","parse-names":false,"suffix":""},{"dropping-particle":"","family":"Dunger","given":"David B","non-dropping-particle":"","parse-names":false,"suffix":""},{"dropping-particle":"","family":"Oxford Regional Prospective Study","given":"","non-dropping-particle":"","parse-names":false,"suffix":""}],"container-title":"Diabetes care","id":"ITEM-1","issue":"5","issued":{"date-parts":[["2003","5"]]},"page":"1456-61","title":"Low IGF-I and elevated testosterone during puberty in subjects with type 1 diabetes developing microalbuminuria in comparison to normoalbuminuric control subjects: the Oxford Regional Prospective Study.","type":"article-journal","volume":"26"},"uris":["http://www.mendeley.com/documents/?uuid=6523c163-a017-37cb-a840-63b546d8d2f0"]}],"mendeley":{"formattedCitation":"&lt;sup&gt;44&lt;/sup&gt;","plainTextFormattedCitation":"44","previouslyFormattedCitation":"&lt;sup&gt;45&lt;/sup&gt;"},"properties":{"noteIndex":0},"schema":"https://github.com/citation-style-language/schema/raw/master/csl-citation.json"}</w:instrText>
      </w:r>
      <w:r w:rsidR="009730FD" w:rsidRPr="00135762">
        <w:rPr>
          <w:sz w:val="24"/>
          <w:szCs w:val="24"/>
          <w:lang w:val="en-US"/>
        </w:rPr>
        <w:fldChar w:fldCharType="separate"/>
      </w:r>
      <w:r w:rsidR="00752474" w:rsidRPr="00752474">
        <w:rPr>
          <w:noProof/>
          <w:sz w:val="24"/>
          <w:szCs w:val="24"/>
          <w:vertAlign w:val="superscript"/>
          <w:lang w:val="en-US"/>
        </w:rPr>
        <w:t>44</w:t>
      </w:r>
      <w:r w:rsidR="009730FD" w:rsidRPr="00135762">
        <w:rPr>
          <w:sz w:val="24"/>
          <w:szCs w:val="24"/>
          <w:lang w:val="en-US"/>
        </w:rPr>
        <w:fldChar w:fldCharType="end"/>
      </w:r>
      <w:r w:rsidR="005659A0" w:rsidRPr="00135762">
        <w:rPr>
          <w:sz w:val="24"/>
          <w:szCs w:val="24"/>
          <w:lang w:val="en-US"/>
        </w:rPr>
        <w:t xml:space="preserve">, suggesting that </w:t>
      </w:r>
      <w:r w:rsidR="00AC0F40" w:rsidRPr="00135762">
        <w:rPr>
          <w:sz w:val="24"/>
          <w:szCs w:val="24"/>
          <w:lang w:val="en-US"/>
        </w:rPr>
        <w:t>an increased</w:t>
      </w:r>
      <w:r w:rsidR="000A0FC6" w:rsidRPr="00135762">
        <w:rPr>
          <w:sz w:val="24"/>
          <w:szCs w:val="24"/>
          <w:lang w:val="en-US"/>
        </w:rPr>
        <w:t xml:space="preserve"> </w:t>
      </w:r>
      <w:r w:rsidR="005659A0" w:rsidRPr="00135762">
        <w:rPr>
          <w:sz w:val="24"/>
          <w:szCs w:val="24"/>
          <w:lang w:val="en-US"/>
        </w:rPr>
        <w:t xml:space="preserve">androgen </w:t>
      </w:r>
      <w:r w:rsidR="000A0FC6" w:rsidRPr="00135762">
        <w:rPr>
          <w:sz w:val="24"/>
          <w:szCs w:val="24"/>
          <w:lang w:val="en-US"/>
        </w:rPr>
        <w:t xml:space="preserve">production by the ovary </w:t>
      </w:r>
      <w:r w:rsidR="00E52A9A" w:rsidRPr="00135762">
        <w:rPr>
          <w:sz w:val="24"/>
          <w:szCs w:val="24"/>
          <w:lang w:val="en-US"/>
        </w:rPr>
        <w:t xml:space="preserve">could contribute </w:t>
      </w:r>
      <w:r w:rsidR="00E02B8D" w:rsidRPr="00135762">
        <w:rPr>
          <w:sz w:val="24"/>
          <w:szCs w:val="24"/>
          <w:lang w:val="en-US"/>
        </w:rPr>
        <w:t>not only to the risk of polycystic ovary syndrome in girls with T1DM</w:t>
      </w:r>
      <w:r w:rsidR="00AC0F40" w:rsidRPr="00135762">
        <w:rPr>
          <w:sz w:val="24"/>
          <w:szCs w:val="24"/>
          <w:lang w:val="en-US"/>
        </w:rPr>
        <w:fldChar w:fldCharType="begin" w:fldLock="1"/>
      </w:r>
      <w:r w:rsidR="00752474">
        <w:rPr>
          <w:sz w:val="24"/>
          <w:szCs w:val="24"/>
          <w:lang w:val="en-US"/>
        </w:rPr>
        <w:instrText>ADDIN CSL_CITATION {"citationItems":[{"id":"ITEM-1","itemData":{"DOI":"10.1159/000173737","ISSN":"1663-2818","PMID":"19039232","abstract":"Insulin is well known for its effects on carbohydrate metabolism, but this hormone also plays an important role in regulating ovarian function. Granulosa, theca and stromal ovarian cells may be affected by insulin deficiency or excess, which may be present in women with type 1 diabetes mellitus (T1D). Recent publications have shown that in spite of intensive insulin therapy, some delay in the age of thelarche, pubarche and menarche is still observed in girls with T1D. In addition, ovarian hyperandrogenism may be observed during late adolescence and an increased prevalence of hirsutism and polycystic ovarian syndrome (PCOS) has been described in adult women with T1D. These endocrine abnormalities may be related to nonphysiologic insulin replacement therapy and to hyperglycemia. This paper reviews the pubertal development and the clinical reproductive abnormalities observed in girls with type 1 diabetes mellitus, and shows that several significant clinical problems, such as pubertal delay, menstrual disturbances and hyperandrogenism which may ultimately lead to the development of PCOS in adulthood, may be observed in some of these patients.","author":[{"dropping-particle":"","family":"Codner","given":"Ethel","non-dropping-particle":"","parse-names":false,"suffix":""},{"dropping-particle":"","family":"Cassorla","given":"Fernando","non-dropping-particle":"","parse-names":false,"suffix":""}],"container-title":"Hormone Research in Paediatrics","id":"ITEM-1","issue":"1","issued":{"date-parts":[["2009","1"]]},"page":"12-21","title":"Puberty and Ovarian Function in Girls with Type 1 Diabetes Mellitus","type":"article-journal","volume":"71"},"uris":["http://www.mendeley.com/documents/?uuid=f8e9bb5b-19b7-3968-8129-5c7bcd205449","http://www.mendeley.com/documents/?uuid=2dbba310-38ff-4bcc-ac08-ea4119733b9c"]}],"mendeley":{"formattedCitation":"&lt;sup&gt;45&lt;/sup&gt;","plainTextFormattedCitation":"45","previouslyFormattedCitation":"&lt;sup&gt;46&lt;/sup&gt;"},"properties":{"noteIndex":0},"schema":"https://github.com/citation-style-language/schema/raw/master/csl-citation.json"}</w:instrText>
      </w:r>
      <w:r w:rsidR="00AC0F40" w:rsidRPr="007B5715">
        <w:rPr>
          <w:sz w:val="24"/>
          <w:szCs w:val="24"/>
          <w:lang w:val="en-US"/>
        </w:rPr>
        <w:fldChar w:fldCharType="separate"/>
      </w:r>
      <w:r w:rsidR="00752474" w:rsidRPr="00752474">
        <w:rPr>
          <w:noProof/>
          <w:sz w:val="24"/>
          <w:szCs w:val="24"/>
          <w:vertAlign w:val="superscript"/>
          <w:lang w:val="en-US"/>
        </w:rPr>
        <w:t>45</w:t>
      </w:r>
      <w:r w:rsidR="00AC0F40" w:rsidRPr="00135762">
        <w:rPr>
          <w:sz w:val="24"/>
          <w:szCs w:val="24"/>
          <w:lang w:val="en-US"/>
        </w:rPr>
        <w:fldChar w:fldCharType="end"/>
      </w:r>
      <w:r w:rsidR="00E02B8D" w:rsidRPr="00135762">
        <w:rPr>
          <w:sz w:val="24"/>
          <w:szCs w:val="24"/>
          <w:lang w:val="en-US"/>
        </w:rPr>
        <w:t>, but also</w:t>
      </w:r>
      <w:r w:rsidR="00334F87" w:rsidRPr="00135762">
        <w:rPr>
          <w:sz w:val="24"/>
          <w:szCs w:val="24"/>
          <w:lang w:val="en-US"/>
        </w:rPr>
        <w:t xml:space="preserve"> </w:t>
      </w:r>
      <w:r w:rsidR="00A123F6">
        <w:rPr>
          <w:sz w:val="24"/>
          <w:szCs w:val="24"/>
          <w:lang w:val="en-US"/>
        </w:rPr>
        <w:t xml:space="preserve">to </w:t>
      </w:r>
      <w:r w:rsidR="00E52A9A" w:rsidRPr="00135762">
        <w:rPr>
          <w:sz w:val="24"/>
          <w:szCs w:val="24"/>
          <w:lang w:val="en-US"/>
        </w:rPr>
        <w:t xml:space="preserve">the female predominance of </w:t>
      </w:r>
      <w:r w:rsidR="005659A0" w:rsidRPr="00135762">
        <w:rPr>
          <w:sz w:val="24"/>
          <w:szCs w:val="24"/>
          <w:lang w:val="en-US"/>
        </w:rPr>
        <w:t xml:space="preserve">the </w:t>
      </w:r>
      <w:r w:rsidR="00443094" w:rsidRPr="00135762">
        <w:rPr>
          <w:sz w:val="24"/>
          <w:szCs w:val="24"/>
          <w:lang w:val="en-US"/>
        </w:rPr>
        <w:t>early signs of vascular</w:t>
      </w:r>
      <w:r w:rsidR="004856D6" w:rsidRPr="00135762">
        <w:rPr>
          <w:sz w:val="24"/>
          <w:szCs w:val="24"/>
          <w:lang w:val="en-US"/>
        </w:rPr>
        <w:t xml:space="preserve"> complication</w:t>
      </w:r>
      <w:r w:rsidR="00443094" w:rsidRPr="006C59DB">
        <w:rPr>
          <w:sz w:val="24"/>
          <w:szCs w:val="24"/>
          <w:lang w:val="en-US"/>
        </w:rPr>
        <w:t>s</w:t>
      </w:r>
      <w:r w:rsidR="00130D7E" w:rsidRPr="00893F90">
        <w:rPr>
          <w:sz w:val="24"/>
          <w:szCs w:val="24"/>
          <w:lang w:val="en-US"/>
        </w:rPr>
        <w:t>.</w:t>
      </w:r>
      <w:r w:rsidR="00F96BE4" w:rsidRPr="00893F90">
        <w:rPr>
          <w:sz w:val="24"/>
          <w:szCs w:val="24"/>
          <w:lang w:val="en-US"/>
        </w:rPr>
        <w:t xml:space="preserve"> </w:t>
      </w:r>
      <w:r w:rsidR="00E52A9A" w:rsidRPr="00893F90">
        <w:rPr>
          <w:sz w:val="24"/>
          <w:szCs w:val="24"/>
          <w:lang w:val="en-US"/>
        </w:rPr>
        <w:t xml:space="preserve">Environmental </w:t>
      </w:r>
      <w:r w:rsidR="00374B97">
        <w:rPr>
          <w:sz w:val="24"/>
          <w:szCs w:val="24"/>
          <w:lang w:val="en-US"/>
        </w:rPr>
        <w:t>influences</w:t>
      </w:r>
      <w:r w:rsidR="004F7DD0" w:rsidRPr="00893F90">
        <w:rPr>
          <w:sz w:val="24"/>
          <w:szCs w:val="24"/>
          <w:lang w:val="en-US"/>
        </w:rPr>
        <w:t xml:space="preserve"> </w:t>
      </w:r>
      <w:r w:rsidR="00E52A9A" w:rsidRPr="00893F90">
        <w:rPr>
          <w:sz w:val="24"/>
          <w:szCs w:val="24"/>
          <w:lang w:val="en-US"/>
        </w:rPr>
        <w:t>and dietary factors</w:t>
      </w:r>
      <w:r w:rsidR="00383960" w:rsidRPr="00893F90">
        <w:rPr>
          <w:sz w:val="24"/>
          <w:szCs w:val="24"/>
          <w:lang w:val="en-US"/>
        </w:rPr>
        <w:t xml:space="preserve">, </w:t>
      </w:r>
      <w:r w:rsidR="00AF082E" w:rsidRPr="00893F90">
        <w:rPr>
          <w:sz w:val="24"/>
          <w:szCs w:val="24"/>
          <w:lang w:val="en-US"/>
        </w:rPr>
        <w:t xml:space="preserve">such as low adherence </w:t>
      </w:r>
      <w:r w:rsidR="003F6EBF" w:rsidRPr="00893F90">
        <w:rPr>
          <w:sz w:val="24"/>
          <w:szCs w:val="24"/>
          <w:lang w:val="en-US"/>
        </w:rPr>
        <w:t>to healthy diets</w:t>
      </w:r>
      <w:r w:rsidR="00383960" w:rsidRPr="00893F90">
        <w:rPr>
          <w:sz w:val="24"/>
          <w:szCs w:val="24"/>
          <w:lang w:val="en-US"/>
        </w:rPr>
        <w:t>,</w:t>
      </w:r>
      <w:r w:rsidR="00374B97">
        <w:rPr>
          <w:sz w:val="24"/>
          <w:szCs w:val="24"/>
          <w:lang w:val="en-US"/>
        </w:rPr>
        <w:t xml:space="preserve"> </w:t>
      </w:r>
      <w:r w:rsidR="00E52A9A" w:rsidRPr="00893F90">
        <w:rPr>
          <w:sz w:val="24"/>
          <w:szCs w:val="24"/>
          <w:lang w:val="en-US"/>
        </w:rPr>
        <w:t>m</w:t>
      </w:r>
      <w:r w:rsidR="004F7DD0" w:rsidRPr="00893F90">
        <w:rPr>
          <w:sz w:val="24"/>
          <w:szCs w:val="24"/>
          <w:lang w:val="en-US"/>
        </w:rPr>
        <w:t>ight</w:t>
      </w:r>
      <w:r w:rsidR="00E52A9A" w:rsidRPr="00893F90">
        <w:rPr>
          <w:sz w:val="24"/>
          <w:szCs w:val="24"/>
          <w:lang w:val="en-US"/>
        </w:rPr>
        <w:t xml:space="preserve"> also contribute to the risk of developing </w:t>
      </w:r>
      <w:r w:rsidR="00130D7E" w:rsidRPr="00893F90">
        <w:rPr>
          <w:sz w:val="24"/>
          <w:szCs w:val="24"/>
          <w:lang w:val="en-US"/>
        </w:rPr>
        <w:t>complications</w:t>
      </w:r>
      <w:r w:rsidR="00E52A9A" w:rsidRPr="00893F90">
        <w:rPr>
          <w:sz w:val="24"/>
          <w:szCs w:val="24"/>
          <w:lang w:val="en-US"/>
        </w:rPr>
        <w:t xml:space="preserve"> during puberty</w:t>
      </w:r>
      <w:r w:rsidR="004856D6" w:rsidRPr="00893F90">
        <w:rPr>
          <w:sz w:val="24"/>
          <w:szCs w:val="24"/>
          <w:lang w:val="en-US"/>
        </w:rPr>
        <w:t xml:space="preserve"> and represent potential targets for interventions</w:t>
      </w:r>
      <w:r w:rsidR="00FA7B5C" w:rsidRPr="00893F90">
        <w:rPr>
          <w:sz w:val="24"/>
          <w:szCs w:val="24"/>
          <w:lang w:val="en-US"/>
        </w:rPr>
        <w:fldChar w:fldCharType="begin" w:fldLock="1"/>
      </w:r>
      <w:r w:rsidR="00752474">
        <w:rPr>
          <w:sz w:val="24"/>
          <w:szCs w:val="24"/>
          <w:highlight w:val="yellow"/>
          <w:lang w:val="en-US"/>
        </w:rPr>
        <w:instrText>ADDIN CSL_CITATION {"citationItems":[{"id":"ITEM-1","itemData":{"DOI":"10.1111/pedi.12112","ISSN":"1399-5448","PMID":"24443957","abstract":"Much is written about how difficult it is to deal with diabetes during adolescence, and rightly so. Less is understood as to how puberty may be an accelerator of vascular complications. With the increase in childhood diabetes, complication risks need to be revisited in relation to puberty and the secular increase in adiposity. Recent data suggest greater risk for severe vascular complications in those with diabetes during puberty, compared with young people who develop diabetes after puberty. It is also widely recognized that higher hemoglobin A1c (HbA1c) results are often seen during the pubertal period. This article will review complication outcomes in relation to puberty and examine mechanisms by which puberty may modify risk above glycemic exposure, and possible gender disparities in the risk of complications in the adolescent period.","author":[{"dropping-particle":"","family":"Cho","given":"Yoon Hi","non-dropping-particle":"","parse-names":false,"suffix":""},{"dropping-particle":"","family":"Craig","given":"Maria E","non-dropping-particle":"","parse-names":false,"suffix":""},{"dropping-particle":"","family":"Donaghue","given":"Kim C","non-dropping-particle":"","parse-names":false,"suffix":""}],"container-title":"Pediatric diabetes","id":"ITEM-1","issue":"1","issued":{"date-parts":[["2014","2"]]},"page":"18-26","title":"Puberty as an accelerator for diabetes complications.","type":"article-journal","volume":"15"},"uris":["http://www.mendeley.com/documents/?uuid=dd8000b9-f2b7-390f-9721-a68a972c872e"]},{"id":"ITEM-2","itemData":{"DOI":"10.2337/dc18-0319","ISSN":"0149-5992","PMID":"29903846","abstract":"OBJECTIVE We assessed the association between diet quality and microalbuminuria in youth-onset type 1 diabetes using three indices: a modified Mediterranean diet score for children and adolescents (mKIDMED), the Dietary Approaches to Stop Hypertension (DASH), and the Healthy Eating Index-2010 (HEI). RESEARCH DESIGN AND METHODS Youth and young adults from the SEARCH (SEARCH for Diabetes in Youth) Nutrition Ancillary Study (SNAS) diagnosed with type 1 diabetes in 2002-2008, who had repeated dietary assessments at baseline and follow-up visits and urine albumin-to-creatinine ratio (UACR) measured at the outcome visit (2012-2015) (n = 461), were selected for study. Regression models estimated the association between each longitudinally assessed diet score and UACR and microalbuminuria (UACR ≥30 μg/mg). RESULTS The cohort was 43% female, and at follow-up, mean age was 20 years, disease duration was 108 months, and 7% had microalbuminuria. Adherence to a higher-quality diet was low for the mKIDMED (mean 3.7 of a possible range of -3 to 12) and the DASH (mean 42 of 80) and better, for the HEI (mean 56.3 of 100). A borderline inverse association was observed between the HEI score and microalbuminuria after adjustment for caloric and protein intake and demographic and disease factors (odds ratio [OR]HEI 0.83, P = 0.07), which lost significance with further adjustment for HbA1c and systolic blood pressure (ORHEI 0.86, P = 0.19). Results were similar for continuous UACR. No significant associations were observed for diet quality characterized by the mKIDMED or DASH indices. CONCLUSIONS Greater adherence to the HEI may be beneficial for kidney health in youth and young adults with type 1 diabetes. Low adherence to the mKIDMED and DASH diets may explain the lack of association with microalbuminuria.","author":[{"dropping-particle":"","family":"Costacou","given":"Tina","non-dropping-particle":"","parse-names":false,"suffix":""},{"dropping-particle":"","family":"Crandell","given":"Jamie","non-dropping-particle":"","parse-names":false,"suffix":""},{"dropping-particle":"","family":"Kahkoska","given":"Anna R.","non-dropping-particle":"","parse-names":false,"suffix":""},{"dropping-particle":"","family":"Liese","given":"Angela D.","non-dropping-particle":"","parse-names":false,"suffix":""},{"dropping-particle":"","family":"Dabelea","given":"Dana","non-dropping-particle":"","parse-names":false,"suffix":""},{"dropping-particle":"","family":"Lawrence","given":"Jean M.","non-dropping-particle":"","parse-names":false,"suffix":""},{"dropping-particle":"","family":"Pettitt","given":"David J.","non-dropping-particle":"","parse-names":false,"suffix":""},{"dropping-particle":"","family":"Reynolds","given":"Kristi","non-dropping-particle":"","parse-names":false,"suffix":""},{"dropping-particle":"","family":"Mayer-Davis","given":"Elizabeth J.","non-dropping-particle":"","parse-names":false,"suffix":""},{"dropping-particle":"","family":"Mottl","given":"Amy K.","non-dropping-particle":"","parse-names":false,"suffix":""}],"container-title":"Diabetes Care","id":"ITEM-2","issue":"8","issued":{"date-parts":[["2018","8"]]},"page":"1615-1622","title":"Dietary Patterns Over Time and Microalbuminuria in Youth and Young Adults With Type 1 Diabetes: The SEARCH Nutrition Ancillary Study","type":"article-journal","volume":"41"},"uris":["http://www.mendeley.com/documents/?uuid=d8de1996-0ace-3b75-900d-4371fde9b1fd"]}],"mendeley":{"formattedCitation":"&lt;sup&gt;36,46&lt;/sup&gt;","plainTextFormattedCitation":"36,46","previouslyFormattedCitation":"&lt;sup&gt;36,47&lt;/sup&gt;"},"properties":{"noteIndex":0},"schema":"https://github.com/citation-style-language/schema/raw/master/csl-citation.json"}</w:instrText>
      </w:r>
      <w:r w:rsidR="00FA7B5C" w:rsidRPr="00893F90">
        <w:rPr>
          <w:sz w:val="24"/>
          <w:szCs w:val="24"/>
          <w:lang w:val="en-US"/>
        </w:rPr>
        <w:fldChar w:fldCharType="separate"/>
      </w:r>
      <w:r w:rsidR="00752474" w:rsidRPr="00752474">
        <w:rPr>
          <w:noProof/>
          <w:sz w:val="24"/>
          <w:szCs w:val="24"/>
          <w:vertAlign w:val="superscript"/>
          <w:lang w:val="en-US"/>
        </w:rPr>
        <w:t>36,46</w:t>
      </w:r>
      <w:r w:rsidR="00FA7B5C" w:rsidRPr="00893F90">
        <w:rPr>
          <w:sz w:val="24"/>
          <w:szCs w:val="24"/>
          <w:lang w:val="en-US"/>
        </w:rPr>
        <w:fldChar w:fldCharType="end"/>
      </w:r>
      <w:r w:rsidR="00E52A9A" w:rsidRPr="00893F90">
        <w:rPr>
          <w:sz w:val="24"/>
          <w:szCs w:val="24"/>
          <w:lang w:val="en-US"/>
        </w:rPr>
        <w:t>.</w:t>
      </w:r>
      <w:r w:rsidR="00E52A9A" w:rsidRPr="00135762">
        <w:rPr>
          <w:sz w:val="24"/>
          <w:szCs w:val="24"/>
          <w:lang w:val="en-US"/>
        </w:rPr>
        <w:t xml:space="preserve"> </w:t>
      </w:r>
    </w:p>
    <w:p w14:paraId="70940FBA" w14:textId="5E9A2E4A" w:rsidR="00BC13E4" w:rsidRPr="00135762" w:rsidRDefault="00BC13E4" w:rsidP="00FB1493">
      <w:pPr>
        <w:spacing w:line="360" w:lineRule="auto"/>
        <w:rPr>
          <w:sz w:val="24"/>
          <w:szCs w:val="24"/>
          <w:lang w:val="en-US"/>
        </w:rPr>
      </w:pPr>
    </w:p>
    <w:p w14:paraId="24E2738A" w14:textId="1F3D47FA" w:rsidR="00D42700" w:rsidRPr="00135762" w:rsidRDefault="00D42700" w:rsidP="00705114">
      <w:pPr>
        <w:spacing w:line="360" w:lineRule="auto"/>
        <w:rPr>
          <w:rFonts w:cs="Tahoma"/>
          <w:b/>
          <w:sz w:val="24"/>
        </w:rPr>
      </w:pPr>
      <w:r w:rsidRPr="00135762">
        <w:rPr>
          <w:rFonts w:cs="Tahoma"/>
          <w:b/>
          <w:sz w:val="24"/>
        </w:rPr>
        <w:t xml:space="preserve">Albumin excretion as a </w:t>
      </w:r>
      <w:r w:rsidR="004F7DD0" w:rsidRPr="00135762">
        <w:rPr>
          <w:rFonts w:cs="Tahoma"/>
          <w:b/>
          <w:sz w:val="24"/>
        </w:rPr>
        <w:t>bio</w:t>
      </w:r>
      <w:r w:rsidRPr="00135762">
        <w:rPr>
          <w:rFonts w:cs="Tahoma"/>
          <w:b/>
          <w:sz w:val="24"/>
        </w:rPr>
        <w:t>marker</w:t>
      </w:r>
    </w:p>
    <w:p w14:paraId="71FCEA9E" w14:textId="535B1856" w:rsidR="000B1527" w:rsidRPr="00135762" w:rsidRDefault="000B1527" w:rsidP="00FD3189">
      <w:pPr>
        <w:spacing w:after="0" w:line="360" w:lineRule="auto"/>
        <w:rPr>
          <w:rFonts w:cstheme="minorHAnsi"/>
          <w:sz w:val="24"/>
          <w:szCs w:val="24"/>
        </w:rPr>
      </w:pPr>
      <w:r w:rsidRPr="00135762">
        <w:rPr>
          <w:rFonts w:cstheme="minorHAnsi"/>
          <w:sz w:val="24"/>
          <w:szCs w:val="24"/>
        </w:rPr>
        <w:t>Microalbuminuria is the most fre</w:t>
      </w:r>
      <w:r w:rsidR="00FA7B5C" w:rsidRPr="00135762">
        <w:rPr>
          <w:rFonts w:cstheme="minorHAnsi"/>
          <w:sz w:val="24"/>
          <w:szCs w:val="24"/>
        </w:rPr>
        <w:t>quently studied marker of</w:t>
      </w:r>
      <w:r w:rsidR="00B409E0" w:rsidRPr="00135762">
        <w:rPr>
          <w:rFonts w:cstheme="minorHAnsi"/>
          <w:sz w:val="24"/>
          <w:szCs w:val="24"/>
        </w:rPr>
        <w:t xml:space="preserve"> the</w:t>
      </w:r>
      <w:r w:rsidRPr="00135762">
        <w:rPr>
          <w:rFonts w:cstheme="minorHAnsi"/>
          <w:sz w:val="24"/>
          <w:szCs w:val="24"/>
        </w:rPr>
        <w:t xml:space="preserve"> vascular complications of </w:t>
      </w:r>
      <w:r w:rsidR="00B409E0" w:rsidRPr="00135762">
        <w:rPr>
          <w:rFonts w:cstheme="minorHAnsi"/>
          <w:sz w:val="24"/>
          <w:szCs w:val="24"/>
        </w:rPr>
        <w:t>T1DM</w:t>
      </w:r>
      <w:r w:rsidRPr="00A123F6">
        <w:rPr>
          <w:rFonts w:cstheme="minorHAnsi"/>
          <w:sz w:val="24"/>
          <w:szCs w:val="24"/>
        </w:rPr>
        <w:fldChar w:fldCharType="begin" w:fldLock="1"/>
      </w:r>
      <w:r w:rsidR="00752474">
        <w:rPr>
          <w:rFonts w:cstheme="minorHAnsi"/>
          <w:sz w:val="24"/>
          <w:szCs w:val="24"/>
        </w:rPr>
        <w:instrText>ADDIN CSL_CITATION {"citationItems":[{"id":"ITEM-1","itemData":{"DOI":"10.1016/j.diabres.2014.10.014","ISSN":"01688227","PMID":"25467616","abstract":"Diabetic nephropathy is characterised by persistent albuminuria, elevated blood pressure, relentless decline in GFR and enhanced fatal and nonfatal cardiovascular diseases. Microalbuminuria has been central to the development of clinical practise in prevention and treatment of diabetic nephropathy and cardiovascular disease. Treatment-induced and spontaneous remission of microalbuminuria has been reported both in type 1 and type 2 diabetic patients, underlining the importance of sustained elevation of urinary albumin excretion. Recently many new biomarkers have been evaluated in diabetic patients, and apart from urinary proteomics, none has yet outperformed Harry Keen's discovery of microalbuminuria as the best screening tool for diabetic nephropathy. Remission of microalbuminuria preserves renal function. Microalbuminuria has also stood the test of time as a valid powerful independent predictor for fatal and nonfatal cardiovascular outcome in diabetes. Improved glycaemic control, blood pressure reduction, RAS blockade and multifactorial treatment of cardiovascular risk factors reduce the risk of development of micro-and macroalbuminuria, declining renal function and cardiovascular events.","author":[{"dropping-particle":"","family":"Parving","given":"Hans-Henrik","non-dropping-particle":"","parse-names":false,"suffix":""},{"dropping-particle":"","family":"Persson","given":"Frederik","non-dropping-particle":"","parse-names":false,"suffix":""},{"dropping-particle":"","family":"Rossing","given":"Peter","non-dropping-particle":"","parse-names":false,"suffix":""}],"container-title":"Diabetes Research and Clinical Practice","id":"ITEM-1","issue":"1","issued":{"date-parts":[["2015","1"]]},"page":"1-8","title":"Microalbuminuria: A parameter that has changed diabetes care","type":"article-journal","volume":"107"},"uris":["http://www.mendeley.com/documents/?uuid=2cc773d3-302b-3e48-b9a8-207e70e3e688"]},{"id":"ITEM-2","itemData":{"ISSN":"0140-6736","PMID":"6123720","abstract":"The overnight urinary albumin excretion rate (AER) of 87 patients with insulin-dependent diabetes mellitus was measured in 1966-67, 14 years later information was obtained on 63 of the original cohort; those alive were restudied, and for those who had died relevant clinical information and case of death were recorded. The development of clinical diabetic nephropathy ('Albustix'positive proteinuria) was related to the 1966-67 AER values. Clinical proteinuria developed in only 2 of 55 patients with AER below 30 microgram/min but in 7 of 8 with AER between 30 and 140 microgram/min. The risk of clinical diabetic nephropathy in the latter group was twenty-four time higher than inthe former. 9.1% of patients with AER below 30 microgram/min had died, compared with 37.5% with higher AER. The two groups did not differ significantly in age, sex composition, and initial blood pressure. Mean duration of diabetes was longer, but not significantly so, in those with AER above 30 microgram/min. Thus, elevated levels of microalbuminuria strongly predict the development of clinical diabetic nephropathy. These levels of AER are potentially reversible, and their detection and treatment may prevent diabetic renal disease.","author":[{"dropping-particle":"","family":"Viberti","given":"G C","non-dropping-particle":"","parse-names":false,"suffix":""},{"dropping-particle":"","family":"Hill","given":"R D","non-dropping-particle":"","parse-names":false,"suffix":""},{"dropping-particle":"","family":"Jarrett","given":"R J","non-dropping-particle":"","parse-names":false,"suffix":""},{"dropping-particle":"","family":"Argyropoulos","given":"A","non-dropping-particle":"","parse-names":false,"suffix":""},{"dropping-particle":"","family":"Mahmud","given":"U","non-dropping-particle":"","parse-names":false,"suffix":""},{"dropping-particle":"","family":"Keen","given":"H","non-dropping-particle":"","parse-names":false,"suffix":""}],"container-title":"Lancet (London, England)","id":"ITEM-2","issue":"8287","issued":{"date-parts":[["1982","6","26"]]},"page":"1430-2","title":"Microalbuminuria as a predictor of clinical nephropathy in insulin-dependent diabetes mellitus.","type":"article-journal","volume":"1"},"uris":["http://www.mendeley.com/documents/?uuid=2e4514d3-1e97-324e-abfb-bb31a3952e3b"]},{"id":"ITEM-3","itemData":{"ISSN":"0012-186X","PMID":"2668076","abstract":"Albuminuria in Type 1 (insulin-dependent) diabetes is not only an indication of renal disease, but a new, independent risk-marker of proliferative retinopathy and macroangiopathy. The coincidence of generalised vascular dysfunction and albuminuria, advanced mesangial expansion, proliferative retinopathy, and severe macroangiopathy suggests a common cause of albuminuria and the severe renal and extrarenal complications associated with it. Enzymes involved in the metabolism of anionic components of the extracellular matrix (e.g. heparan sulphate proteoglycan) vulnerable to hyperglycaemia, seem to constitute the primary cause of albuminuria and the associated complications. Genetic polymorphism of such enzymes is possibly the main reason for variation in susceptibility.","author":[{"dropping-particle":"","family":"Deckert","given":"T","non-dropping-particle":"","parse-names":false,"suffix":""},{"dropping-particle":"","family":"Feldt-Rasmussen","given":"B","non-dropping-particle":"","parse-names":false,"suffix":""},{"dropping-particle":"","family":"Borch-Johnsen","given":"K","non-dropping-particle":"","parse-names":false,"suffix":""},{"dropping-particle":"","family":"Jensen","given":"T","non-dropping-particle":"","parse-names":false,"suffix":""},{"dropping-particle":"","family":"Kofoed-Enevoldsen","given":"A","non-dropping-particle":"","parse-names":false,"suffix":""}],"container-title":"Diabetologia","id":"ITEM-3","issue":"4","issued":{"date-parts":[["1989","4"]]},"page":"219-26","title":"Albuminuria reflects widespread vascular damage. The Steno hypothesis.","type":"article-journal","volume":"32"},"uris":["http://www.mendeley.com/documents/?uuid=f93b3894-057a-3f0b-b0e7-892e40c6e291"]}],"mendeley":{"formattedCitation":"&lt;sup&gt;47–49&lt;/sup&gt;","plainTextFormattedCitation":"47–49","previouslyFormattedCitation":"&lt;sup&gt;48–50&lt;/sup&gt;"},"properties":{"noteIndex":0},"schema":"https://github.com/citation-style-language/schema/raw/master/csl-citation.json"}</w:instrText>
      </w:r>
      <w:r w:rsidRPr="00A123F6">
        <w:rPr>
          <w:rFonts w:cstheme="minorHAnsi"/>
          <w:sz w:val="24"/>
          <w:szCs w:val="24"/>
          <w:vertAlign w:val="superscript"/>
        </w:rPr>
        <w:fldChar w:fldCharType="separate"/>
      </w:r>
      <w:r w:rsidR="00752474" w:rsidRPr="00752474">
        <w:rPr>
          <w:rFonts w:cstheme="minorHAnsi"/>
          <w:noProof/>
          <w:sz w:val="24"/>
          <w:szCs w:val="24"/>
          <w:vertAlign w:val="superscript"/>
        </w:rPr>
        <w:t>47–49</w:t>
      </w:r>
      <w:r w:rsidRPr="00A123F6">
        <w:rPr>
          <w:rFonts w:cstheme="minorHAnsi"/>
          <w:sz w:val="24"/>
          <w:szCs w:val="24"/>
        </w:rPr>
        <w:fldChar w:fldCharType="end"/>
      </w:r>
      <w:r w:rsidRPr="00135762">
        <w:rPr>
          <w:rFonts w:cstheme="minorHAnsi"/>
          <w:sz w:val="24"/>
          <w:szCs w:val="24"/>
        </w:rPr>
        <w:t>.</w:t>
      </w:r>
      <w:r w:rsidR="00F96BE4" w:rsidRPr="00135762">
        <w:rPr>
          <w:rFonts w:cstheme="minorHAnsi"/>
          <w:sz w:val="24"/>
          <w:szCs w:val="24"/>
        </w:rPr>
        <w:t xml:space="preserve"> </w:t>
      </w:r>
      <w:r w:rsidRPr="00135762">
        <w:rPr>
          <w:rFonts w:cstheme="minorHAnsi"/>
          <w:sz w:val="24"/>
          <w:szCs w:val="24"/>
        </w:rPr>
        <w:t xml:space="preserve">Although originally described as an early marker of incident diabetic nephropathy, </w:t>
      </w:r>
      <w:r w:rsidR="00B409E0" w:rsidRPr="00135762">
        <w:rPr>
          <w:rFonts w:cstheme="minorHAnsi"/>
          <w:sz w:val="24"/>
          <w:szCs w:val="24"/>
        </w:rPr>
        <w:t xml:space="preserve">the presence of </w:t>
      </w:r>
      <w:r w:rsidRPr="00135762">
        <w:rPr>
          <w:rFonts w:cstheme="minorHAnsi"/>
          <w:sz w:val="24"/>
          <w:szCs w:val="24"/>
        </w:rPr>
        <w:t>microalbuminuria</w:t>
      </w:r>
      <w:r w:rsidR="00374B97">
        <w:rPr>
          <w:rFonts w:cstheme="minorHAnsi"/>
          <w:b/>
          <w:color w:val="0000FF"/>
          <w:sz w:val="24"/>
          <w:szCs w:val="24"/>
        </w:rPr>
        <w:t xml:space="preserve"> </w:t>
      </w:r>
      <w:r w:rsidRPr="00135762">
        <w:rPr>
          <w:rFonts w:cstheme="minorHAnsi"/>
          <w:sz w:val="24"/>
          <w:szCs w:val="24"/>
        </w:rPr>
        <w:t xml:space="preserve">has also been associated with </w:t>
      </w:r>
      <w:r w:rsidR="00B409E0" w:rsidRPr="00135762">
        <w:rPr>
          <w:rFonts w:cstheme="minorHAnsi"/>
          <w:sz w:val="24"/>
          <w:szCs w:val="24"/>
        </w:rPr>
        <w:t xml:space="preserve">an increased </w:t>
      </w:r>
      <w:r w:rsidRPr="00135762">
        <w:rPr>
          <w:rFonts w:cstheme="minorHAnsi"/>
          <w:sz w:val="24"/>
          <w:szCs w:val="24"/>
        </w:rPr>
        <w:t>risk</w:t>
      </w:r>
      <w:r w:rsidR="00F96BE4" w:rsidRPr="00135762">
        <w:rPr>
          <w:rFonts w:cstheme="minorHAnsi"/>
          <w:sz w:val="24"/>
          <w:szCs w:val="24"/>
        </w:rPr>
        <w:t xml:space="preserve"> </w:t>
      </w:r>
      <w:r w:rsidRPr="00135762">
        <w:rPr>
          <w:rFonts w:cstheme="minorHAnsi"/>
          <w:sz w:val="24"/>
          <w:szCs w:val="24"/>
        </w:rPr>
        <w:t xml:space="preserve">of cardiovascular disease and </w:t>
      </w:r>
      <w:r w:rsidR="00B409E0" w:rsidRPr="00135762">
        <w:rPr>
          <w:rFonts w:cstheme="minorHAnsi"/>
          <w:sz w:val="24"/>
          <w:szCs w:val="24"/>
        </w:rPr>
        <w:t xml:space="preserve">is </w:t>
      </w:r>
      <w:r w:rsidR="00443094" w:rsidRPr="00135762">
        <w:rPr>
          <w:rFonts w:cstheme="minorHAnsi"/>
          <w:sz w:val="24"/>
          <w:szCs w:val="24"/>
        </w:rPr>
        <w:t>identified as</w:t>
      </w:r>
      <w:r w:rsidRPr="00135762">
        <w:rPr>
          <w:rFonts w:cstheme="minorHAnsi"/>
          <w:sz w:val="24"/>
          <w:szCs w:val="24"/>
        </w:rPr>
        <w:t xml:space="preserve"> a significant determinant of mortality in adults with </w:t>
      </w:r>
      <w:r w:rsidR="00B409E0" w:rsidRPr="00135762">
        <w:rPr>
          <w:rFonts w:cstheme="minorHAnsi"/>
          <w:sz w:val="24"/>
          <w:szCs w:val="24"/>
        </w:rPr>
        <w:t>T1DM</w:t>
      </w:r>
      <w:r w:rsidR="00FA7B5C" w:rsidRPr="00D35F6E">
        <w:rPr>
          <w:rFonts w:cstheme="minorHAnsi"/>
          <w:sz w:val="24"/>
          <w:szCs w:val="24"/>
        </w:rPr>
        <w:fldChar w:fldCharType="begin" w:fldLock="1"/>
      </w:r>
      <w:r w:rsidR="00752474">
        <w:rPr>
          <w:rFonts w:cstheme="minorHAnsi"/>
          <w:sz w:val="24"/>
          <w:szCs w:val="24"/>
        </w:rPr>
        <w:instrText>ADDIN CSL_CITATION {"citationItems":[{"id":"ITEM-1","itemData":{"ISSN":"0959-8138","PMID":"8842069","abstract":"OBJECTIVE To evaluate the prognostic significance of microalbuminuria and overt diabetic nephropathy and other putative risk factors for cardiovascular and all cause mortality in insulin dependent diabetes. DESIGN Ten year observational follow up study. SETTING Outpatient diabetic clinic in a tertiary referral centre. SUBJECTS All 939 adults with insulin dependent diabetes (duration of diabetes five years or more) attending the clinic in 1984; 593 had normal urinary albumin excretion (&lt; or = 30 mg/24 h), 181 persistent microalbuminuria (31-299 mg/24 h), and 165 overt nephropathy (&gt; or = 300 mg/24 h). MAIN OUTCOME MEASURE All cause and cardiovascular mortality. RESULTS Fifteen per cent of patients (90/593) with normoalbuminuria, 25% (45/181) with microalbuminuria, and 44% (72/165) with overt nephropathy at baseline died during follow up. Cox multiple regression analysis identified the following significant predictors of all cause mortality: male sex (relative risk 2.03; 95% confidence interval 1.37 to 3.02), age (1.07; 1.06 to 1.08), height (0.96; 0.94 to 0.98), smoking (1.51; 1.09 to 2.08), social class V versus social class IV (1.70; 1.25 to 2.31), log10 urinary albumin excretion (1.45; 1.18 to 1.77), hypertension (1.63; 1.18 to 2.25), log10 serum creatinine concentration (8.96; 3.34 to 24.08), and haemoglobin A1c concentration (1.11; 1.03 to 1.20). Age, smoking, microalbuminuria, overt nephropathy, and hypertension were significant predictors of cardiovascular mortality. Mortality in patients with microalbuminuria was only slightly increased compared with that in patients with normoalbuminuria. Median survival time after the onset of overt diabetic nephropathy was 13.9 years (95% confidence interval 11.8 to 17.2 years). CONCLUSIONS Abnormally increased urinary albumin excretion and other potentially modifiable risk factors such as hypertension, smoking, poor glycaemic control, and social class predict increased mortality in insulin dependent diabetes. Microalbuminuria by itself confers only a small increase in mortality. The prognosis of patients with overt diabetic nephropathy has improved, probably owing to effective antihypertensive treatment.","author":[{"dropping-particle":"","family":"Rossing","given":"P","non-dropping-particle":"","parse-names":false,"suffix":""},{"dropping-particle":"","family":"Hougaard","given":"P","non-dropping-particle":"","parse-names":false,"suffix":""},{"dropping-particle":"","family":"Borch-Johnsen","given":"K","non-dropping-particle":"","parse-names":false,"suffix":""},{"dropping-particle":"","family":"Parving","given":"H H","non-dropping-particle":"","parse-names":false,"suffix":""}],"container-title":"BMJ (Clinical research ed.)","id":"ITEM-1","issue":"7060","issued":{"date-parts":[["1996","9","28"]]},"page":"779-84","title":"Predictors of mortality in insulin dependent diabetes: 10 year observational follow up study.","type":"article-journal","volume":"313"},"uris":["http://www.mendeley.com/documents/?uuid=4b4b08b9-06e0-3764-8d4c-a12d0cfb0f45"]}],"mendeley":{"formattedCitation":"&lt;sup&gt;50&lt;/sup&gt;","plainTextFormattedCitation":"50","previouslyFormattedCitation":"&lt;sup&gt;51&lt;/sup&gt;"},"properties":{"noteIndex":0},"schema":"https://github.com/citation-style-language/schema/raw/master/csl-citation.json"}</w:instrText>
      </w:r>
      <w:r w:rsidR="00FA7B5C" w:rsidRPr="007B5715">
        <w:rPr>
          <w:rFonts w:cstheme="minorHAnsi"/>
          <w:sz w:val="24"/>
          <w:szCs w:val="24"/>
        </w:rPr>
        <w:fldChar w:fldCharType="separate"/>
      </w:r>
      <w:r w:rsidR="00752474" w:rsidRPr="00752474">
        <w:rPr>
          <w:rFonts w:cstheme="minorHAnsi"/>
          <w:noProof/>
          <w:sz w:val="24"/>
          <w:szCs w:val="24"/>
          <w:vertAlign w:val="superscript"/>
        </w:rPr>
        <w:t>50</w:t>
      </w:r>
      <w:r w:rsidR="00FA7B5C" w:rsidRPr="00D35F6E">
        <w:rPr>
          <w:rFonts w:cstheme="minorHAnsi"/>
          <w:sz w:val="24"/>
          <w:szCs w:val="24"/>
        </w:rPr>
        <w:fldChar w:fldCharType="end"/>
      </w:r>
      <w:r w:rsidRPr="00135762">
        <w:rPr>
          <w:rFonts w:cstheme="minorHAnsi"/>
          <w:sz w:val="24"/>
          <w:szCs w:val="24"/>
        </w:rPr>
        <w:t>.</w:t>
      </w:r>
    </w:p>
    <w:p w14:paraId="60642885" w14:textId="77777777" w:rsidR="00706022" w:rsidRDefault="00706022" w:rsidP="00FD3189">
      <w:pPr>
        <w:spacing w:after="0" w:line="360" w:lineRule="auto"/>
        <w:ind w:right="6"/>
        <w:rPr>
          <w:rFonts w:cstheme="minorHAnsi"/>
          <w:i/>
          <w:color w:val="000000"/>
          <w:sz w:val="24"/>
          <w:szCs w:val="24"/>
        </w:rPr>
      </w:pPr>
      <w:r>
        <w:rPr>
          <w:rFonts w:cstheme="minorHAnsi"/>
          <w:i/>
          <w:color w:val="000000"/>
          <w:sz w:val="24"/>
          <w:szCs w:val="24"/>
        </w:rPr>
        <w:t xml:space="preserve"> </w:t>
      </w:r>
    </w:p>
    <w:p w14:paraId="25095FEC" w14:textId="1C3961A8" w:rsidR="00B409E0" w:rsidRPr="00135762" w:rsidRDefault="00B409E0" w:rsidP="00FD3189">
      <w:pPr>
        <w:spacing w:after="0" w:line="360" w:lineRule="auto"/>
        <w:ind w:right="6"/>
        <w:rPr>
          <w:rFonts w:cstheme="minorHAnsi"/>
          <w:color w:val="000000"/>
          <w:sz w:val="24"/>
          <w:szCs w:val="24"/>
        </w:rPr>
      </w:pPr>
      <w:r w:rsidRPr="00135762">
        <w:rPr>
          <w:rFonts w:cstheme="minorHAnsi"/>
          <w:i/>
          <w:color w:val="000000"/>
          <w:sz w:val="24"/>
          <w:szCs w:val="24"/>
        </w:rPr>
        <w:t>Adults with T1DM.</w:t>
      </w:r>
      <w:r w:rsidRPr="00135762">
        <w:rPr>
          <w:rFonts w:cstheme="minorHAnsi"/>
          <w:color w:val="000000"/>
          <w:sz w:val="24"/>
          <w:szCs w:val="24"/>
        </w:rPr>
        <w:t xml:space="preserve"> </w:t>
      </w:r>
    </w:p>
    <w:p w14:paraId="310547D1" w14:textId="6A2B5728" w:rsidR="00D42700" w:rsidRPr="00135762" w:rsidRDefault="000B1527" w:rsidP="00FD3189">
      <w:pPr>
        <w:spacing w:after="0" w:line="360" w:lineRule="auto"/>
        <w:ind w:right="6"/>
        <w:rPr>
          <w:rFonts w:cstheme="minorHAnsi"/>
          <w:sz w:val="24"/>
          <w:szCs w:val="24"/>
        </w:rPr>
      </w:pPr>
      <w:r w:rsidRPr="00135762">
        <w:rPr>
          <w:rFonts w:cstheme="minorHAnsi"/>
          <w:color w:val="000000"/>
          <w:sz w:val="24"/>
          <w:szCs w:val="24"/>
        </w:rPr>
        <w:t xml:space="preserve">Longitudinal studies have shown that, in the absence of microalbuminuria, mortality in </w:t>
      </w:r>
      <w:r w:rsidR="00FA7B5C" w:rsidRPr="00135762">
        <w:rPr>
          <w:rFonts w:cstheme="minorHAnsi"/>
          <w:color w:val="000000"/>
          <w:sz w:val="24"/>
          <w:szCs w:val="24"/>
        </w:rPr>
        <w:t xml:space="preserve">adults with </w:t>
      </w:r>
      <w:r w:rsidR="00B409E0" w:rsidRPr="00135762">
        <w:rPr>
          <w:rFonts w:cstheme="minorHAnsi"/>
          <w:color w:val="000000"/>
          <w:sz w:val="24"/>
          <w:szCs w:val="24"/>
        </w:rPr>
        <w:t>T1DM</w:t>
      </w:r>
      <w:r w:rsidRPr="00135762">
        <w:rPr>
          <w:rFonts w:cstheme="minorHAnsi"/>
          <w:color w:val="000000"/>
          <w:sz w:val="24"/>
          <w:szCs w:val="24"/>
        </w:rPr>
        <w:t xml:space="preserve"> is similar to that in the general population, whereas it </w:t>
      </w:r>
      <w:r w:rsidR="00B57F31" w:rsidRPr="00135762">
        <w:rPr>
          <w:rFonts w:cstheme="minorHAnsi"/>
          <w:color w:val="000000"/>
          <w:sz w:val="24"/>
          <w:szCs w:val="24"/>
        </w:rPr>
        <w:t>substantially</w:t>
      </w:r>
      <w:r w:rsidR="00374B97">
        <w:rPr>
          <w:rFonts w:cstheme="minorHAnsi"/>
          <w:color w:val="000000"/>
          <w:sz w:val="24"/>
          <w:szCs w:val="24"/>
        </w:rPr>
        <w:t xml:space="preserve"> </w:t>
      </w:r>
      <w:r w:rsidRPr="00135762">
        <w:rPr>
          <w:rFonts w:cstheme="minorHAnsi"/>
          <w:color w:val="000000"/>
          <w:sz w:val="24"/>
          <w:szCs w:val="24"/>
        </w:rPr>
        <w:t xml:space="preserve">increases in </w:t>
      </w:r>
      <w:r w:rsidR="00B409E0" w:rsidRPr="00135762">
        <w:rPr>
          <w:rFonts w:cstheme="minorHAnsi"/>
          <w:color w:val="000000"/>
          <w:sz w:val="24"/>
          <w:szCs w:val="24"/>
        </w:rPr>
        <w:t>individuals</w:t>
      </w:r>
      <w:r w:rsidRPr="00135762">
        <w:rPr>
          <w:rFonts w:cstheme="minorHAnsi"/>
          <w:color w:val="000000"/>
          <w:sz w:val="24"/>
          <w:szCs w:val="24"/>
        </w:rPr>
        <w:t xml:space="preserve"> with </w:t>
      </w:r>
      <w:r w:rsidR="00FA7B5C" w:rsidRPr="00135762">
        <w:rPr>
          <w:rFonts w:cstheme="minorHAnsi"/>
          <w:color w:val="000000"/>
          <w:sz w:val="24"/>
          <w:szCs w:val="24"/>
        </w:rPr>
        <w:t xml:space="preserve">increased </w:t>
      </w:r>
      <w:r w:rsidRPr="00135762">
        <w:rPr>
          <w:rFonts w:cstheme="minorHAnsi"/>
          <w:color w:val="000000"/>
          <w:sz w:val="24"/>
          <w:szCs w:val="24"/>
        </w:rPr>
        <w:t>urinary albumin excretion</w:t>
      </w:r>
      <w:r w:rsidR="00B409E0" w:rsidRPr="00135762">
        <w:rPr>
          <w:rFonts w:cstheme="minorHAnsi"/>
          <w:color w:val="000000"/>
          <w:sz w:val="24"/>
          <w:szCs w:val="24"/>
        </w:rPr>
        <w:t xml:space="preserve"> that falls</w:t>
      </w:r>
      <w:r w:rsidR="00FA7B5C" w:rsidRPr="00135762">
        <w:rPr>
          <w:rFonts w:cstheme="minorHAnsi"/>
          <w:color w:val="000000"/>
          <w:sz w:val="24"/>
          <w:szCs w:val="24"/>
        </w:rPr>
        <w:t xml:space="preserve"> above the cutoff for microalbuminuria</w:t>
      </w:r>
      <w:r w:rsidR="004A1353" w:rsidRPr="00135762">
        <w:rPr>
          <w:rFonts w:cstheme="minorHAnsi"/>
          <w:color w:val="000000"/>
          <w:sz w:val="24"/>
          <w:szCs w:val="24"/>
        </w:rPr>
        <w:fldChar w:fldCharType="begin" w:fldLock="1"/>
      </w:r>
      <w:r w:rsidR="00752474">
        <w:rPr>
          <w:rFonts w:cstheme="minorHAnsi"/>
          <w:color w:val="000000"/>
          <w:sz w:val="24"/>
          <w:szCs w:val="24"/>
        </w:rPr>
        <w:instrText>ADDIN CSL_CITATION {"citationItems":[{"id":"ITEM-1","itemData":{"DOI":"10.1007/s00125-010-1860-3","ISSN":"0012-186X","PMID":"20665208","abstract":"AIMS/HYPOTHESIS The FinnDiane Study has reported that mortality in type 1 diabetes is not increased over a 7 year follow-up in the absence of renal disease (RD). Using the Pittsburgh Epidemiology of Diabetes Complications (EDC) Study population (n = 658) of childhood-onset type 1 diabetes (age &lt;17 years), the present study sought to replicate and expand these findings to a 20 year follow-up (as of 1 January 2008) and examine cause of death by renal status. METHODS At baseline (1986-1988), mean age and duration of diabetes were 28 and 19 years, respectively. RD was defined as an albumin excretion rate ≥20 μg/min from multiple samples and grouped as microalbuminuria (MA; 20-200 μg/min), overt nephropathy (ON; &gt;200 μg/min), or end stage renal disease (ESRD; dialysis or renal transplantation). RESULTS At baseline, 311 (47.3%) individuals had RD (MA 21.3%, ON 22.2% and ESRD 3.8%). During a median 20 year follow-up, there were 152 deaths (23.1%). Mortality was 6.2 (95% CI 5.2-7.2) times higher than expected, with standardised mortality ratios of 2.0 (1.2-2.8) for normoalbuminuria (NA); 6.4 (4.4-8.4) for MA; 12.5 (9.5-15.4) for ON; and 29.8 (16.8-42.9) for ESRD. Excluding those (n = 64) with NA who later progressed to RD, no significant excess mortality was observed in the remaining NA group (1.2, 0.5-1.9), whose deaths were largely unrelated to diabetes. CONCLUSIONS/INTERPRETATION These data confirm the importance of RD, including persistent microalbuminuria, as a marker of mortality risk and suggest that type 1 diabetes patients without renal disease achieve long-term survival comparable to the general population.","author":[{"dropping-particle":"","family":"Orchard","given":"T. J.","non-dropping-particle":"","parse-names":false,"suffix":""},{"dropping-particle":"","family":"Secrest","given":"A. M.","non-dropping-particle":"","parse-names":false,"suffix":""},{"dropping-particle":"","family":"Miller","given":"R. G.","non-dropping-particle":"","parse-names":false,"suffix":""},{"dropping-particle":"","family":"Costacou","given":"T.","non-dropping-particle":"","parse-names":false,"suffix":""}],"container-title":"Diabetologia","id":"ITEM-1","issue":"11","issued":{"date-parts":[["2010","11","28"]]},"page":"2312-2319","title":"In the absence of renal disease, 20 year mortality risk in type 1 diabetes is comparable to that of the general population: a report from the Pittsburgh Epidemiology of Diabetes Complications Study","type":"article-journal","volume":"53"},"uris":["http://www.mendeley.com/documents/?uuid=639753e1-a931-377e-abcf-ffa22f71c3e9"]},{"id":"ITEM-2","itemData":{"DOI":"10.2337/db08-1543","ISSN":"1939-327X","PMID":"19401416","abstract":"OBJECTIVES This study aimed to identify clinical features associated with premature mortality in a large contemporary cohort of adults with type 1 diabetes. RESEARCH DESIGN AND METHODS The Finnish Diabetic Nephropathy (FinnDiane) study is a national multicenter prospective follow-up study of 4,201 adults with type 1 diabetes from 21 university and central hospitals, 33 district hospitals, and 26 primary health care centers across Finland. RESULTS During a median 7 years of follow-up, there were 291 deaths (7%), 3.6-fold (95% CI 3.2-4.0) more than that observed in the age- and sex-matched general population. Excess mortality was only observed in individuals with chronic kidney disease. Individuals with normoalbuminuria showed no excess mortality beyond the general population (standardized mortality ratio [SMR] 0.8, 95% CI 0.5-1.1), independent of the duration of diabetes. The presence of microalbuminuria, macroalbuminuria, and end-stage kidney disease was associated with 2.8, 9.2, and 18.3 times higher SMR, respectively. The increase in mortality across each stage of albuminuria was equivalent to the risk conferred by preexisting macrovascular disease. In addition, the glomerular filtration rate was independently associated with mortality, such that individuals with impaired kidney function, as well as those demonstrating hyperfiltration, had an increased risk of death. CONCLUSIONS An independent graded association was observed between the presence and severity of kidney disease and mortality in a large contemporary cohort of individuals with type 1 diabetes. These findings highlight the clinical and public health importance of chronic kidney disease and its prevention in the management of type 1 diabetes.","author":[{"dropping-particle":"","family":"Groop","given":"Per-Henrik","non-dropping-particle":"","parse-names":false,"suffix":""},{"dropping-particle":"","family":"Thomas","given":"Merlin C","non-dropping-particle":"","parse-names":false,"suffix":""},{"dropping-particle":"","family":"Moran","given":"John L","non-dropping-particle":"","parse-names":false,"suffix":""},{"dropping-particle":"","family":"Wadèn","given":"Johan","non-dropping-particle":"","parse-names":false,"suffix":""},{"dropping-particle":"","family":"Thorn","given":"Lena M","non-dropping-particle":"","parse-names":false,"suffix":""},{"dropping-particle":"","family":"Mäkinen","given":"Ville-Petteri","non-dropping-particle":"","parse-names":false,"suffix":""},{"dropping-particle":"","family":"Rosengård-Bärlund","given":"Milla","non-dropping-particle":"","parse-names":false,"suffix":""},{"dropping-particle":"","family":"Saraheimo","given":"Markku","non-dropping-particle":"","parse-names":false,"suffix":""},{"dropping-particle":"","family":"Hietala","given":"Kustaa","non-dropping-particle":"","parse-names":false,"suffix":""},{"dropping-particle":"","family":"Heikkilä","given":"Outi","non-dropping-particle":"","parse-names":false,"suffix":""},{"dropping-particle":"","family":"Forsblom","given":"Carol","non-dropping-particle":"","parse-names":false,"suffix":""},{"dropping-particle":"","family":"FinnDiane Study Group","given":"","non-dropping-particle":"","parse-names":false,"suffix":""}],"container-title":"Diabetes","id":"ITEM-2","issue":"7","issued":{"date-parts":[["2009","7"]]},"page":"1651-8","title":"The presence and severity of chronic kidney disease predicts all-cause mortality in type 1 diabetes.","type":"article-journal","volume":"58"},"uris":["http://www.mendeley.com/documents/?uuid=e2ead10a-1fa2-3b73-8018-89cd09e0db92"]}],"mendeley":{"formattedCitation":"&lt;sup&gt;51,52&lt;/sup&gt;","plainTextFormattedCitation":"51,52","previouslyFormattedCitation":"&lt;sup&gt;52,53&lt;/sup&gt;"},"properties":{"noteIndex":0},"schema":"https://github.com/citation-style-language/schema/raw/master/csl-citation.json"}</w:instrText>
      </w:r>
      <w:r w:rsidR="004A1353" w:rsidRPr="00135762">
        <w:rPr>
          <w:rFonts w:cstheme="minorHAnsi"/>
          <w:color w:val="000000"/>
          <w:sz w:val="24"/>
          <w:szCs w:val="24"/>
          <w:vertAlign w:val="superscript"/>
        </w:rPr>
        <w:fldChar w:fldCharType="separate"/>
      </w:r>
      <w:r w:rsidR="00752474" w:rsidRPr="00752474">
        <w:rPr>
          <w:rFonts w:cstheme="minorHAnsi"/>
          <w:noProof/>
          <w:color w:val="000000"/>
          <w:sz w:val="24"/>
          <w:szCs w:val="24"/>
          <w:vertAlign w:val="superscript"/>
        </w:rPr>
        <w:t>51,52</w:t>
      </w:r>
      <w:r w:rsidR="004A1353" w:rsidRPr="00135762">
        <w:rPr>
          <w:rFonts w:cstheme="minorHAnsi"/>
          <w:color w:val="000000"/>
          <w:sz w:val="24"/>
          <w:szCs w:val="24"/>
        </w:rPr>
        <w:fldChar w:fldCharType="end"/>
      </w:r>
      <w:r w:rsidR="00FA7B5C" w:rsidRPr="00135762">
        <w:rPr>
          <w:rStyle w:val="A5"/>
          <w:rFonts w:asciiTheme="minorHAnsi" w:hAnsiTheme="minorHAnsi" w:cstheme="minorHAnsi"/>
          <w:sz w:val="24"/>
          <w:szCs w:val="24"/>
        </w:rPr>
        <w:t>.</w:t>
      </w:r>
      <w:r w:rsidR="00F96BE4" w:rsidRPr="00135762">
        <w:rPr>
          <w:rFonts w:cstheme="minorHAnsi"/>
          <w:sz w:val="24"/>
          <w:szCs w:val="24"/>
        </w:rPr>
        <w:t xml:space="preserve"> </w:t>
      </w:r>
      <w:r w:rsidR="008A5C8C" w:rsidRPr="00135762">
        <w:rPr>
          <w:rFonts w:cstheme="minorHAnsi"/>
          <w:sz w:val="24"/>
          <w:szCs w:val="24"/>
        </w:rPr>
        <w:t xml:space="preserve">Meta-analyses </w:t>
      </w:r>
      <w:r w:rsidR="001E748D" w:rsidRPr="00135762">
        <w:rPr>
          <w:rFonts w:cstheme="minorHAnsi"/>
          <w:sz w:val="24"/>
          <w:szCs w:val="24"/>
        </w:rPr>
        <w:t xml:space="preserve">from </w:t>
      </w:r>
      <w:r w:rsidR="008A5C8C" w:rsidRPr="00135762">
        <w:rPr>
          <w:rFonts w:cstheme="minorHAnsi"/>
          <w:sz w:val="24"/>
          <w:szCs w:val="24"/>
        </w:rPr>
        <w:t>2012 and 2015</w:t>
      </w:r>
      <w:r w:rsidR="00F96BE4" w:rsidRPr="00135762">
        <w:rPr>
          <w:rFonts w:cstheme="minorHAnsi"/>
          <w:sz w:val="24"/>
          <w:szCs w:val="24"/>
        </w:rPr>
        <w:t xml:space="preserve"> </w:t>
      </w:r>
      <w:r w:rsidR="00D42700" w:rsidRPr="00135762">
        <w:rPr>
          <w:rFonts w:cstheme="minorHAnsi"/>
          <w:sz w:val="24"/>
          <w:szCs w:val="24"/>
        </w:rPr>
        <w:t xml:space="preserve">indicate that </w:t>
      </w:r>
      <w:r w:rsidRPr="00135762">
        <w:rPr>
          <w:rFonts w:cstheme="minorHAnsi"/>
          <w:sz w:val="24"/>
          <w:szCs w:val="24"/>
        </w:rPr>
        <w:t>even</w:t>
      </w:r>
      <w:r w:rsidR="00F96BE4" w:rsidRPr="00135762">
        <w:rPr>
          <w:rFonts w:cstheme="minorHAnsi"/>
          <w:sz w:val="24"/>
          <w:szCs w:val="24"/>
        </w:rPr>
        <w:t xml:space="preserve"> </w:t>
      </w:r>
      <w:r w:rsidR="00DA0E39" w:rsidRPr="00135762">
        <w:rPr>
          <w:rFonts w:cstheme="minorHAnsi"/>
          <w:sz w:val="24"/>
          <w:szCs w:val="24"/>
        </w:rPr>
        <w:t xml:space="preserve">early </w:t>
      </w:r>
      <w:r w:rsidR="00D42700" w:rsidRPr="00135762">
        <w:rPr>
          <w:rFonts w:cstheme="minorHAnsi"/>
          <w:sz w:val="24"/>
          <w:szCs w:val="24"/>
        </w:rPr>
        <w:t>increases in albumin excretion</w:t>
      </w:r>
      <w:r w:rsidR="00DA0E39" w:rsidRPr="00135762">
        <w:rPr>
          <w:rFonts w:cstheme="minorHAnsi"/>
          <w:sz w:val="24"/>
          <w:szCs w:val="24"/>
        </w:rPr>
        <w:t xml:space="preserve"> that fall</w:t>
      </w:r>
      <w:r w:rsidR="00D42700" w:rsidRPr="00135762">
        <w:rPr>
          <w:rFonts w:cstheme="minorHAnsi"/>
          <w:sz w:val="24"/>
          <w:szCs w:val="24"/>
        </w:rPr>
        <w:t xml:space="preserve"> within the normal range </w:t>
      </w:r>
      <w:r w:rsidR="00DA0E39" w:rsidRPr="00135762">
        <w:rPr>
          <w:rFonts w:cstheme="minorHAnsi"/>
          <w:sz w:val="24"/>
          <w:szCs w:val="24"/>
        </w:rPr>
        <w:t xml:space="preserve">might </w:t>
      </w:r>
      <w:r w:rsidR="00D42700" w:rsidRPr="00135762">
        <w:rPr>
          <w:rFonts w:cstheme="minorHAnsi"/>
          <w:sz w:val="24"/>
          <w:szCs w:val="24"/>
        </w:rPr>
        <w:t>predict renal</w:t>
      </w:r>
      <w:r w:rsidR="00443094" w:rsidRPr="00135762">
        <w:rPr>
          <w:rFonts w:cstheme="minorHAnsi"/>
          <w:sz w:val="24"/>
          <w:szCs w:val="24"/>
        </w:rPr>
        <w:t xml:space="preserve"> and cardiovascular</w:t>
      </w:r>
      <w:r w:rsidR="00FA7B5C" w:rsidRPr="00135762">
        <w:rPr>
          <w:rFonts w:cstheme="minorHAnsi"/>
          <w:sz w:val="24"/>
          <w:szCs w:val="24"/>
        </w:rPr>
        <w:t xml:space="preserve"> risk in adults with </w:t>
      </w:r>
      <w:r w:rsidR="00DA0E39" w:rsidRPr="00135762">
        <w:rPr>
          <w:rFonts w:cstheme="minorHAnsi"/>
          <w:sz w:val="24"/>
          <w:szCs w:val="24"/>
        </w:rPr>
        <w:t>T1DM</w:t>
      </w:r>
      <w:r w:rsidR="00D42700" w:rsidRPr="00135762">
        <w:rPr>
          <w:rFonts w:cstheme="minorHAnsi"/>
          <w:sz w:val="24"/>
          <w:szCs w:val="24"/>
        </w:rPr>
        <w:t xml:space="preserve"> and </w:t>
      </w:r>
      <w:r w:rsidR="00DA0E39" w:rsidRPr="00135762">
        <w:rPr>
          <w:rFonts w:cstheme="minorHAnsi"/>
          <w:sz w:val="24"/>
          <w:szCs w:val="24"/>
        </w:rPr>
        <w:t>also in adults</w:t>
      </w:r>
      <w:r w:rsidR="00B82F6F" w:rsidRPr="00135762">
        <w:rPr>
          <w:rFonts w:cstheme="minorHAnsi"/>
          <w:sz w:val="24"/>
          <w:szCs w:val="24"/>
        </w:rPr>
        <w:t xml:space="preserve"> </w:t>
      </w:r>
      <w:r w:rsidR="00BC13E4" w:rsidRPr="00135762">
        <w:rPr>
          <w:rFonts w:cstheme="minorHAnsi"/>
          <w:sz w:val="24"/>
          <w:szCs w:val="24"/>
        </w:rPr>
        <w:t>from</w:t>
      </w:r>
      <w:r w:rsidR="00D42700" w:rsidRPr="00135762">
        <w:rPr>
          <w:rFonts w:cstheme="minorHAnsi"/>
          <w:sz w:val="24"/>
          <w:szCs w:val="24"/>
        </w:rPr>
        <w:t xml:space="preserve"> the general population</w:t>
      </w:r>
      <w:r w:rsidR="00D42700" w:rsidRPr="00135762">
        <w:rPr>
          <w:rFonts w:cstheme="minorHAnsi"/>
          <w:sz w:val="24"/>
          <w:szCs w:val="24"/>
        </w:rPr>
        <w:fldChar w:fldCharType="begin" w:fldLock="1"/>
      </w:r>
      <w:r w:rsidR="00752474">
        <w:rPr>
          <w:rFonts w:cstheme="minorHAnsi"/>
          <w:sz w:val="24"/>
          <w:szCs w:val="24"/>
        </w:rPr>
        <w:instrText>ADDIN CSL_CITATION {"citationItems":[{"id":"ITEM-1","itemData":{"DOI":"10.1016/S0140-6736(12)61350-6","ISSN":"01406736","PMID":"23013602","abstract":"BACKGROUND Chronic kidney disease is characterised by low estimated glomerular filtration rate (eGFR) and high albuminuria, and is associated with adverse outcomes. Whether these risks are modified by diabetes is unknown. METHODS We did a meta-analysis of studies selected according to Chronic Kidney Disease Prognosis Consortium criteria. Data transfer and analyses were done between March, 2011, and June, 2012. We used Cox proportional hazards models to estimate the hazard ratios (HR) of mortality and end-stage renal disease (ESRD) associated with eGFR and albuminuria in individuals with and without diabetes. FINDINGS We analysed data for 1,024,977 participants (128,505 with diabetes) from 30 general population and high-risk cardiovascular cohorts and 13 chronic kidney disease cohorts. In the combined general population and high-risk cohorts with data for all-cause mortality, 75,306 deaths occurred during a mean follow-up of 8·5 years (SD 5·0). In the 23 studies with data for cardiovascular mortality, 21,237 deaths occurred from cardiovascular disease during a mean follow-up of 9·2 years (SD 4·9). In the general and high-risk cohorts, mortality risks were 1·2-1·9 times higher for participants with diabetes than for those without diabetes across the ranges of eGFR and albumin-to-creatinine ratio (ACR). With fixed eGFR and ACR reference points in the diabetes and no diabetes groups, HR of mortality outcomes according to lower eGFR and higher ACR were much the same in participants with and without diabetes (eg, for all-cause mortality at eGFR 45 mL/min per 1·73 m(2) [vs 95 mL/min per 1·73 m(2)], HR 1·35; 95% CI 1·18-1·55; vs 1·33; 1·19-1·48 and at ACR 30 mg/g [vs 5 mg/g], 1·50; 1·35-1·65 vs 1·52; 1·38-1·67). The overall interactions were not significant. We identified much the same findings for ESRD in the chronic kidney disease cohorts. INTERPRETATION Despite higher risks for mortality and ESRD in diabetes, the relative risks of these outcomes by eGFR and ACR are much the same irrespective of the presence or absence of diabetes, emphasising the importance of kidney disease as a predictor of clinical outcomes. FUNDING US National Kidney Foundation.","author":[{"dropping-particle":"","family":"Fox","given":"Caroline S","non-dropping-particle":"","parse-names":false,"suffix":""},{"dropping-particle":"","family":"Matsushita","given":"Kunihiro","non-dropping-particle":"","parse-names":false,"suffix":""},{"dropping-particle":"","family":"Woodward","given":"Mark","non-dropping-particle":"","parse-names":false,"suffix":""},{"dropping-particle":"","family":"Bilo","given":"Henk JG","non-dropping-particle":"","parse-names":false,"suffix":""},{"dropping-particle":"","family":"Chalmers","given":"John","non-dropping-particle":"","parse-names":false,"suffix":""},{"dropping-particle":"","family":"Heerspink","given":"Hiddo J Lambers","non-dropping-particle":"","parse-names":false,"suffix":""},{"dropping-particle":"","family":"Lee","given":"Brian J","non-dropping-particle":"","parse-names":false,"suffix":""},{"dropping-particle":"","family":"Perkins","given":"Robert M","non-dropping-particle":"","parse-names":false,"suffix":""},{"dropping-particle":"","family":"Rossing","given":"Peter","non-dropping-particle":"","parse-names":false,"suffix":""},{"dropping-particle":"","family":"Sairenchi","given":"Toshimi","non-dropping-particle":"","parse-names":false,"suffix":""},{"dropping-particle":"","family":"Tonelli","given":"Marcello","non-dropping-particle":"","parse-names":false,"suffix":""},{"dropping-particle":"","family":"Vassalotti","given":"Joseph A","non-dropping-particle":"","parse-names":false,"suffix":""},{"dropping-particle":"","family":"Yamagishi","given":"Kazumasa","non-dropping-particle":"","parse-names":false,"suffix":""},{"dropping-particle":"","family":"Coresh","given":"Josef","non-dropping-particle":"","parse-names":false,"suffix":""},{"dropping-particle":"","family":"Jong","given":"Paul E","non-dropping-particle":"de","parse-names":false,"suffix":""},{"dropping-particle":"","family":"Wen","given":"Chi-Pang","non-dropping-particle":"","parse-names":false,"suffix":""},{"dropping-particle":"","family":"Nelson","given":"Robert G","non-dropping-particle":"","parse-names":false,"suffix":""},{"dropping-particle":"","family":"Chronic Kidney Disease Prognosis Consortium","given":"","non-dropping-particle":"","parse-names":false,"suffix":""}],"container-title":"The Lancet","id":"ITEM-1","issue":"9854","issued":{"date-parts":[["2012","11","10"]]},"page":"1662-1673","title":"Associations of kidney disease measures with mortality and end-stage renal disease in individuals with and without diabetes: a meta-analysis","type":"article-journal","volume":"380"},"uris":["http://www.mendeley.com/documents/?uuid=cb37c007-9ec0-390f-baea-f506a95c8bf0"]},{"id":"ITEM-2","itemData":{"DOI":"10.1016/S2213-8587(15)00040-6","ISSN":"2213-8595","PMID":"26028594","abstract":"BACKGROUND The usefulness of estimated glomerular filtration rate (eGFR) and albuminuria for prediction of cardiovascular outcomes is controversial. We aimed to assess the addition of creatinine-based eGFR and albuminuria to traditional risk factors for prediction of cardiovascular risk with a meta-analytic approach. METHODS We meta-analysed individual-level data for 637 315 individuals without a history of cardiovascular disease from 24 cohorts (median follow-up 4·2-19·0 years) included in the Chronic Kidney Disease Prognosis Consortium. We assessed C statistic difference and reclassification improvement for cardiovascular mortality and fatal and non-fatal cases of coronary heart disease, stroke, and heart failure in a 5 year timeframe, contrasting prediction models for traditional risk factors with and without creatinine-based eGFR, albuminuria (either albumin-to-creatinine ratio [ACR] or semi-quantitative dipstick proteinuria), or both. FINDINGS The addition of eGFR and ACR significantly improved the discrimination of cardiovascular outcomes beyond traditional risk factors in general populations, but the improvement was greater with ACR than with eGFR, and more evident for cardiovascular mortality (C statistic difference 0·0139 [95% CI 0·0105-0·0174] for ACR and 0·0065 [0·0042-0·0088] for eGFR) and heart failure (0·0196 [0·0108-0·0284] and 0·0109 [0·0059-0·0159]) than for coronary disease (0·0048 [0·0029-0·0067] and 0·0036 [0·0019-0·0054]) and stroke (0·0105 [0·0058-0·0151] and 0·0036 [0·0004-0·0069]). Dipstick proteinuria showed smaller improvement than ACR. The discrimination improvement with eGFR or ACR was especially evident in individuals with diabetes or hypertension, but remained significant with ACR for cardiovascular mortality and heart failure in those without either of these disorders. In individuals with chronic kidney disease, the combination of eGFR and ACR for risk discrimination outperformed most single traditional predictors; the C statistic for cardiovascular mortality fell by 0·0227 (0·0158-0·0296) after omission of eGFR and ACR compared with less than 0·007 for any single modifiable traditional predictor. INTERPRETATION Creatinine-based eGFR and albuminuria should be taken into account for cardiovascular prediction, especially when these measures are already assessed for clinical purpose or if cardiovascular mortality and heart failure are outcomes of interest. ACR could have particularly broad implications for cardiovascular pred…","author":[{"dropping-particle":"","family":"Matsushita","given":"Kunihiro","non-dropping-particle":"","parse-names":false,"suffix":""},{"dropping-particle":"","family":"Coresh","given":"Josef","non-dropping-particle":"","parse-names":false,"suffix":""},{"dropping-particle":"","family":"Sang","given":"Yingying","non-dropping-particle":"","parse-names":false,"suffix":""},{"dropping-particle":"","family":"Chalmers","given":"John","non-dropping-particle":"","parse-names":false,"suffix":""},{"dropping-particle":"","family":"Fox","given":"Caroline","non-dropping-particle":"","parse-names":false,"suffix":""},{"dropping-particle":"","family":"Guallar","given":"Eliseo","non-dropping-particle":"","parse-names":false,"suffix":""},{"dropping-particle":"","family":"Jafar","given":"Tazeen","non-dropping-particle":"","parse-names":false,"suffix":""},{"dropping-particle":"","family":"Jassal","given":"Simerjot K","non-dropping-particle":"","parse-names":false,"suffix":""},{"dropping-particle":"","family":"Landman","given":"Gijs W D","non-dropping-particle":"","parse-names":false,"suffix":""},{"dropping-particle":"","family":"Muntner","given":"Paul","non-dropping-particle":"","parse-names":false,"suffix":""},{"dropping-particle":"","family":"Roderick","given":"Paul","non-dropping-particle":"","parse-names":false,"suffix":""},{"dropping-particle":"","family":"Sairenchi","given":"Toshimi","non-dropping-particle":"","parse-names":false,"suffix":""},{"dropping-particle":"","family":"Schöttker","given":"Ben","non-dropping-particle":"","parse-names":false,"suffix":""},{"dropping-particle":"","family":"Shankar","given":"Anoop","non-dropping-particle":"","parse-names":false,"suffix":""},{"dropping-particle":"","family":"Shlipak","given":"Michael","non-dropping-particle":"","parse-names":false,"suffix":""},{"dropping-particle":"","family":"Tonelli","given":"Marcello","non-dropping-particle":"","parse-names":false,"suffix":""},{"dropping-particle":"","family":"Townend","given":"Jonathan","non-dropping-particle":"","parse-names":false,"suffix":""},{"dropping-particle":"","family":"Zuilen","given":"Arjan","non-dropping-particle":"van","parse-names":false,"suffix":""},{"dropping-particle":"","family":"Yamagishi","given":"Kazumasa","non-dropping-particle":"","parse-names":false,"suffix":""},{"dropping-particle":"","family":"Yamashita","given":"Kentaro","non-dropping-particle":"","parse-names":false,"suffix":""},{"dropping-particle":"","family":"Gansevoort","given":"Ron","non-dropping-particle":"","parse-names":false,"suffix":""},{"dropping-particle":"","family":"Sarnak","given":"Mark","non-dropping-particle":"","parse-names":false,"suffix":""},{"dropping-particle":"","family":"Warnock","given":"David G","non-dropping-particle":"","parse-names":false,"suffix":""},{"dropping-particle":"","family":"Woodward","given":"Mark","non-dropping-particle":"","parse-names":false,"suffix":""},{"dropping-particle":"","family":"Ärnlöv","given":"Johan","non-dropping-particle":"","parse-names":false,"suffix":""},{"dropping-particle":"","family":"CKD Prognosis Consortium","given":"","non-dropping-particle":"","parse-names":false,"suffix":""}],"container-title":"The lancet. Diabetes &amp; endocrinology","id":"ITEM-2","issue":"7","issued":{"date-parts":[["2015","7"]]},"page":"514-25","title":"Estimated glomerular filtration rate and albuminuria for prediction of cardiovascular outcomes: a collaborative meta-analysis of individual participant data.","type":"article-journal","volume":"3"},"uris":["http://www.mendeley.com/documents/?uuid=4b723a6a-89d3-3a0a-bd80-8b2b6f1fd017"]}],"mendeley":{"formattedCitation":"&lt;sup&gt;53,54&lt;/sup&gt;","plainTextFormattedCitation":"53,54","previouslyFormattedCitation":"&lt;sup&gt;54,55&lt;/sup&gt;"},"properties":{"noteIndex":0},"schema":"https://github.com/citation-style-language/schema/raw/master/csl-citation.json"}</w:instrText>
      </w:r>
      <w:r w:rsidR="00D42700" w:rsidRPr="00135762">
        <w:rPr>
          <w:rFonts w:cstheme="minorHAnsi"/>
          <w:sz w:val="24"/>
          <w:szCs w:val="24"/>
          <w:vertAlign w:val="superscript"/>
        </w:rPr>
        <w:fldChar w:fldCharType="separate"/>
      </w:r>
      <w:r w:rsidR="00752474" w:rsidRPr="00752474">
        <w:rPr>
          <w:rFonts w:cstheme="minorHAnsi"/>
          <w:noProof/>
          <w:sz w:val="24"/>
          <w:szCs w:val="24"/>
          <w:vertAlign w:val="superscript"/>
        </w:rPr>
        <w:t>53,54</w:t>
      </w:r>
      <w:r w:rsidR="00D42700" w:rsidRPr="00135762">
        <w:rPr>
          <w:rFonts w:cstheme="minorHAnsi"/>
          <w:sz w:val="24"/>
          <w:szCs w:val="24"/>
        </w:rPr>
        <w:fldChar w:fldCharType="end"/>
      </w:r>
      <w:r w:rsidR="00FA7B5C" w:rsidRPr="00135762">
        <w:rPr>
          <w:rFonts w:cstheme="minorHAnsi"/>
          <w:sz w:val="24"/>
          <w:szCs w:val="24"/>
        </w:rPr>
        <w:t>.</w:t>
      </w:r>
      <w:r w:rsidR="00F96BE4" w:rsidRPr="00135762">
        <w:rPr>
          <w:rFonts w:cstheme="minorHAnsi"/>
          <w:sz w:val="24"/>
          <w:szCs w:val="24"/>
        </w:rPr>
        <w:t xml:space="preserve"> </w:t>
      </w:r>
      <w:r w:rsidR="009B51AC">
        <w:rPr>
          <w:rFonts w:cstheme="minorHAnsi"/>
          <w:sz w:val="24"/>
          <w:szCs w:val="24"/>
        </w:rPr>
        <w:t>H</w:t>
      </w:r>
      <w:r w:rsidR="007B3548" w:rsidRPr="00135762">
        <w:rPr>
          <w:rFonts w:cstheme="minorHAnsi"/>
          <w:sz w:val="24"/>
          <w:szCs w:val="24"/>
        </w:rPr>
        <w:t>igh</w:t>
      </w:r>
      <w:r w:rsidR="00476674">
        <w:rPr>
          <w:rFonts w:cstheme="minorHAnsi"/>
          <w:sz w:val="24"/>
          <w:szCs w:val="24"/>
        </w:rPr>
        <w:t>er</w:t>
      </w:r>
      <w:r w:rsidR="00374B97">
        <w:rPr>
          <w:rFonts w:cstheme="minorHAnsi"/>
          <w:sz w:val="24"/>
          <w:szCs w:val="24"/>
        </w:rPr>
        <w:t xml:space="preserve"> </w:t>
      </w:r>
      <w:r w:rsidR="00D42700" w:rsidRPr="00135762">
        <w:rPr>
          <w:rFonts w:cstheme="minorHAnsi"/>
          <w:sz w:val="24"/>
          <w:szCs w:val="24"/>
        </w:rPr>
        <w:t>values of urinary albumin excretion</w:t>
      </w:r>
      <w:r w:rsidR="00DA0E39" w:rsidRPr="00135762">
        <w:rPr>
          <w:rFonts w:cstheme="minorHAnsi"/>
          <w:sz w:val="24"/>
          <w:szCs w:val="24"/>
        </w:rPr>
        <w:t xml:space="preserve"> within the normal </w:t>
      </w:r>
      <w:r w:rsidR="00D42700" w:rsidRPr="00135762">
        <w:rPr>
          <w:rFonts w:cstheme="minorHAnsi"/>
          <w:sz w:val="24"/>
          <w:szCs w:val="24"/>
        </w:rPr>
        <w:t>have been directly associated with increased risk of stroke, hypertension, and early development of atherosclerosis</w:t>
      </w:r>
      <w:r w:rsidR="00DA0E39" w:rsidRPr="00135762">
        <w:rPr>
          <w:rFonts w:cstheme="minorHAnsi"/>
          <w:sz w:val="24"/>
          <w:szCs w:val="24"/>
        </w:rPr>
        <w:t>, as compared to lower values within the normal range</w:t>
      </w:r>
      <w:r w:rsidR="00D42700" w:rsidRPr="00135762">
        <w:rPr>
          <w:rFonts w:cstheme="minorHAnsi"/>
          <w:sz w:val="24"/>
          <w:szCs w:val="24"/>
        </w:rPr>
        <w:fldChar w:fldCharType="begin" w:fldLock="1"/>
      </w:r>
      <w:r w:rsidR="00752474">
        <w:rPr>
          <w:rFonts w:cstheme="minorHAnsi"/>
          <w:sz w:val="24"/>
          <w:szCs w:val="24"/>
        </w:rPr>
        <w:instrText>ADDIN CSL_CITATION {"citationItems":[{"id":"ITEM-1","itemData":{"DOI":"10.1159/000328015","ISSN":"1660-2129","author":[{"dropping-particle":"","family":"Abdelhafiz","given":"Ahmed H.","non-dropping-particle":"","parse-names":false,"suffix":""},{"dropping-particle":"","family":"Ahmed","given":"Shameela","non-dropping-particle":"","parse-names":false,"suffix":""},{"dropping-particle":"","family":"Nahas","given":"Meguid","non-dropping-particle":"El","parse-names":false,"suffix":""}],"container-title":"Nephron Experimental Nephrology","id":"ITEM-1","issue":"s1","issued":{"date-parts":[["2011"]]},"page":"e6-e10","publisher":"Karger Publishers","title":"Microalbuminuria: Marker or Maker of Cardiovascular Disease","type":"article-journal","volume":"119"},"uris":["http://www.mendeley.com/documents/?uuid=bc753293-1b9f-34eb-afbd-99fec7b3d486"]}],"mendeley":{"formattedCitation":"&lt;sup&gt;55&lt;/sup&gt;","plainTextFormattedCitation":"55","previouslyFormattedCitation":"&lt;sup&gt;56&lt;/sup&gt;"},"properties":{"noteIndex":0},"schema":"https://github.com/citation-style-language/schema/raw/master/csl-citation.json"}</w:instrText>
      </w:r>
      <w:r w:rsidR="00D42700" w:rsidRPr="00135762">
        <w:rPr>
          <w:rFonts w:cstheme="minorHAnsi"/>
          <w:sz w:val="24"/>
          <w:szCs w:val="24"/>
        </w:rPr>
        <w:fldChar w:fldCharType="separate"/>
      </w:r>
      <w:r w:rsidR="00752474" w:rsidRPr="00752474">
        <w:rPr>
          <w:rFonts w:cstheme="minorHAnsi"/>
          <w:noProof/>
          <w:sz w:val="24"/>
          <w:szCs w:val="24"/>
          <w:vertAlign w:val="superscript"/>
        </w:rPr>
        <w:t>55</w:t>
      </w:r>
      <w:r w:rsidR="00D42700" w:rsidRPr="00135762">
        <w:rPr>
          <w:rFonts w:cstheme="minorHAnsi"/>
          <w:sz w:val="24"/>
          <w:szCs w:val="24"/>
        </w:rPr>
        <w:fldChar w:fldCharType="end"/>
      </w:r>
      <w:r w:rsidR="00D42700" w:rsidRPr="00135762">
        <w:rPr>
          <w:rFonts w:cstheme="minorHAnsi"/>
          <w:sz w:val="24"/>
          <w:szCs w:val="24"/>
        </w:rPr>
        <w:t>.</w:t>
      </w:r>
      <w:r w:rsidR="00F96BE4" w:rsidRPr="00135762">
        <w:rPr>
          <w:rFonts w:cstheme="minorHAnsi"/>
          <w:sz w:val="24"/>
          <w:szCs w:val="24"/>
        </w:rPr>
        <w:t xml:space="preserve"> </w:t>
      </w:r>
      <w:r w:rsidR="00D42700" w:rsidRPr="00135762">
        <w:rPr>
          <w:rFonts w:cstheme="minorHAnsi"/>
          <w:sz w:val="24"/>
          <w:szCs w:val="24"/>
        </w:rPr>
        <w:t xml:space="preserve">A potential factor linking increased albumin excretion </w:t>
      </w:r>
      <w:r w:rsidR="00FA7B5C" w:rsidRPr="00135762">
        <w:rPr>
          <w:rFonts w:cstheme="minorHAnsi"/>
          <w:sz w:val="24"/>
          <w:szCs w:val="24"/>
        </w:rPr>
        <w:t>with</w:t>
      </w:r>
      <w:r w:rsidR="00D42700" w:rsidRPr="00135762">
        <w:rPr>
          <w:rFonts w:cstheme="minorHAnsi"/>
          <w:sz w:val="24"/>
          <w:szCs w:val="24"/>
        </w:rPr>
        <w:t xml:space="preserve"> </w:t>
      </w:r>
      <w:r w:rsidR="00FA7B5C" w:rsidRPr="00135762">
        <w:rPr>
          <w:rFonts w:cstheme="minorHAnsi"/>
          <w:sz w:val="24"/>
          <w:szCs w:val="24"/>
        </w:rPr>
        <w:t xml:space="preserve">renal and cardiovascular disease </w:t>
      </w:r>
      <w:r w:rsidR="00D42700" w:rsidRPr="00135762">
        <w:rPr>
          <w:rFonts w:cstheme="minorHAnsi"/>
          <w:sz w:val="24"/>
          <w:szCs w:val="24"/>
        </w:rPr>
        <w:t xml:space="preserve">is endothelial dysfunction, which </w:t>
      </w:r>
      <w:r w:rsidR="00DA0E39" w:rsidRPr="00135762">
        <w:rPr>
          <w:rFonts w:cstheme="minorHAnsi"/>
          <w:sz w:val="24"/>
          <w:szCs w:val="24"/>
        </w:rPr>
        <w:t xml:space="preserve">in the context of diabetes </w:t>
      </w:r>
      <w:r w:rsidR="00AD5D97" w:rsidRPr="00135762">
        <w:rPr>
          <w:rFonts w:cstheme="minorHAnsi"/>
          <w:sz w:val="24"/>
          <w:szCs w:val="24"/>
        </w:rPr>
        <w:t>might</w:t>
      </w:r>
      <w:r w:rsidR="00B57F31" w:rsidRPr="00135762">
        <w:rPr>
          <w:rFonts w:cstheme="minorHAnsi"/>
          <w:sz w:val="24"/>
          <w:szCs w:val="24"/>
        </w:rPr>
        <w:t xml:space="preserve"> be </w:t>
      </w:r>
      <w:r w:rsidR="00D42700" w:rsidRPr="00135762">
        <w:rPr>
          <w:rFonts w:cstheme="minorHAnsi"/>
          <w:sz w:val="24"/>
          <w:szCs w:val="24"/>
        </w:rPr>
        <w:t xml:space="preserve">the initiating </w:t>
      </w:r>
      <w:r w:rsidR="00DA0E39" w:rsidRPr="00135762">
        <w:rPr>
          <w:rFonts w:cstheme="minorHAnsi"/>
          <w:sz w:val="24"/>
          <w:szCs w:val="24"/>
        </w:rPr>
        <w:t>pathology</w:t>
      </w:r>
      <w:r w:rsidR="00D42700" w:rsidRPr="00135762">
        <w:rPr>
          <w:rFonts w:cstheme="minorHAnsi"/>
          <w:sz w:val="24"/>
          <w:szCs w:val="24"/>
        </w:rPr>
        <w:t xml:space="preserve"> leading to </w:t>
      </w:r>
      <w:r w:rsidR="00DA0E39" w:rsidRPr="00135762">
        <w:rPr>
          <w:rFonts w:cstheme="minorHAnsi"/>
          <w:sz w:val="24"/>
          <w:szCs w:val="24"/>
        </w:rPr>
        <w:t xml:space="preserve">tissue and </w:t>
      </w:r>
      <w:r w:rsidR="00D42700" w:rsidRPr="00135762">
        <w:rPr>
          <w:rFonts w:cstheme="minorHAnsi"/>
          <w:sz w:val="24"/>
          <w:szCs w:val="24"/>
        </w:rPr>
        <w:t>organ damage</w:t>
      </w:r>
      <w:r w:rsidR="00D42700" w:rsidRPr="00135762">
        <w:rPr>
          <w:rFonts w:cstheme="minorHAnsi"/>
          <w:sz w:val="24"/>
          <w:szCs w:val="24"/>
        </w:rPr>
        <w:fldChar w:fldCharType="begin" w:fldLock="1"/>
      </w:r>
      <w:r w:rsidR="00752474">
        <w:rPr>
          <w:rFonts w:cstheme="minorHAnsi"/>
          <w:sz w:val="24"/>
          <w:szCs w:val="24"/>
        </w:rPr>
        <w:instrText>ADDIN CSL_CITATION {"citationItems":[{"id":"ITEM-1","itemData":{"DOI":"10.1042/CS20050025","ISSN":"0143-5221","PMID":"16033329","abstract":"The endothelium is a complex organ with a multitude of properties essential for control of vascular functions. Dysfunction of the vascular endothelium is regarded as an important factor in the pathogenesis of diabetic micro- and macro-angiopathy. Endothelial dysfunction in Type I and II diabetes complicated by micro- or macro-albuminuria is generalized in that it affects many aspects of endothelial function and occurs not only in the kidney. The close linkage between microalbuminuria and endothelial dysfunction in diabetes is an attractive explanation for the fact that microalbuminuria is a risk marker for atherothrombosis. In Type I diabetes, endothelial dysfunction precedes and may cause diabetic microangiopathy, but it is not clear whether endothelial dysfunction is a feature of the diabetic state itself. In Type II diabetes, endothelial function is impaired from the onset of the disease and is strongly related to adverse outcomes. It is not clear whether impaired endothelial function is caused by hyperglycaemia or by other factors. Impaired endothelial function is closely associated with and may contribute to insulin resistance regardless of the presence of diabetes. Endothelial dysfunction in diabetes originates from three main sources. Hyperglycaemia and its immediate biochemical sequelae directly alter endothelial function or influence endothelial cell functioning indirectly by the synthesis of growth factors, cytokines and vasoactive agents in other cells. Finally, the components of the metabolic syndrome can impair endothelial function.","author":[{"dropping-particle":"","family":"Schalkwijk","given":"Casper G","non-dropping-particle":"","parse-names":false,"suffix":""},{"dropping-particle":"","family":"Stehouwer","given":"Coen D A","non-dropping-particle":"","parse-names":false,"suffix":""}],"container-title":"Clinical science (London, England : 1979)","id":"ITEM-1","issue":"2","issued":{"date-parts":[["2005","8"]]},"page":"143-59","title":"Vascular complications in diabetes mellitus: the role of endothelial dysfunction.","type":"article-journal","volume":"109"},"uris":["http://www.mendeley.com/documents/?uuid=d029a565-eb76-3a8e-b0b6-2d0a0e955539"]}],"mendeley":{"formattedCitation":"&lt;sup&gt;56&lt;/sup&gt;","plainTextFormattedCitation":"56","previouslyFormattedCitation":"&lt;sup&gt;57&lt;/sup&gt;"},"properties":{"noteIndex":0},"schema":"https://github.com/citation-style-language/schema/raw/master/csl-citation.json"}</w:instrText>
      </w:r>
      <w:r w:rsidR="00D42700" w:rsidRPr="00135762">
        <w:rPr>
          <w:rFonts w:cstheme="minorHAnsi"/>
          <w:sz w:val="24"/>
          <w:szCs w:val="24"/>
        </w:rPr>
        <w:fldChar w:fldCharType="separate"/>
      </w:r>
      <w:r w:rsidR="00752474" w:rsidRPr="00752474">
        <w:rPr>
          <w:rFonts w:cstheme="minorHAnsi"/>
          <w:noProof/>
          <w:sz w:val="24"/>
          <w:szCs w:val="24"/>
          <w:vertAlign w:val="superscript"/>
        </w:rPr>
        <w:t>56</w:t>
      </w:r>
      <w:r w:rsidR="00D42700" w:rsidRPr="00135762">
        <w:rPr>
          <w:rFonts w:cstheme="minorHAnsi"/>
          <w:sz w:val="24"/>
          <w:szCs w:val="24"/>
        </w:rPr>
        <w:fldChar w:fldCharType="end"/>
      </w:r>
      <w:r w:rsidR="00D42700" w:rsidRPr="00135762">
        <w:rPr>
          <w:rFonts w:cstheme="minorHAnsi"/>
          <w:sz w:val="24"/>
          <w:szCs w:val="24"/>
        </w:rPr>
        <w:t>.</w:t>
      </w:r>
      <w:r w:rsidR="00F96BE4" w:rsidRPr="00135762">
        <w:rPr>
          <w:rFonts w:cstheme="minorHAnsi"/>
          <w:sz w:val="24"/>
          <w:szCs w:val="24"/>
        </w:rPr>
        <w:t xml:space="preserve"> </w:t>
      </w:r>
      <w:r w:rsidR="00FF7780" w:rsidRPr="00135762">
        <w:rPr>
          <w:rFonts w:cstheme="minorHAnsi"/>
          <w:sz w:val="24"/>
          <w:szCs w:val="24"/>
        </w:rPr>
        <w:t>Taken together these</w:t>
      </w:r>
      <w:r w:rsidR="00FF7780" w:rsidRPr="00135762">
        <w:rPr>
          <w:rFonts w:cstheme="minorHAnsi"/>
          <w:b/>
          <w:sz w:val="24"/>
          <w:szCs w:val="24"/>
        </w:rPr>
        <w:t xml:space="preserve"> </w:t>
      </w:r>
      <w:r w:rsidR="00FF7780" w:rsidRPr="00135762">
        <w:rPr>
          <w:rFonts w:cstheme="minorHAnsi"/>
          <w:sz w:val="24"/>
          <w:szCs w:val="24"/>
        </w:rPr>
        <w:t xml:space="preserve">data suggest that in adults with </w:t>
      </w:r>
      <w:r w:rsidR="00DA0E39" w:rsidRPr="00135762">
        <w:rPr>
          <w:rFonts w:cstheme="minorHAnsi"/>
          <w:sz w:val="24"/>
          <w:szCs w:val="24"/>
        </w:rPr>
        <w:t>T1DM</w:t>
      </w:r>
      <w:r w:rsidR="00FF7780" w:rsidRPr="00135762">
        <w:rPr>
          <w:rFonts w:cstheme="minorHAnsi"/>
          <w:sz w:val="24"/>
          <w:szCs w:val="24"/>
        </w:rPr>
        <w:t xml:space="preserve"> </w:t>
      </w:r>
      <w:r w:rsidR="00B57F31" w:rsidRPr="00135762">
        <w:rPr>
          <w:rFonts w:cstheme="minorHAnsi"/>
          <w:sz w:val="24"/>
          <w:szCs w:val="24"/>
        </w:rPr>
        <w:t xml:space="preserve">urinary </w:t>
      </w:r>
      <w:r w:rsidR="00FF7780" w:rsidRPr="00135762">
        <w:rPr>
          <w:rFonts w:cstheme="minorHAnsi"/>
          <w:sz w:val="24"/>
          <w:szCs w:val="24"/>
        </w:rPr>
        <w:t xml:space="preserve">albumin excretion should be considered a continuous risk factor for both renal and cardiovascular complications. </w:t>
      </w:r>
    </w:p>
    <w:p w14:paraId="3D05DD58" w14:textId="77777777" w:rsidR="00B409E0" w:rsidRPr="00135762" w:rsidRDefault="00B409E0" w:rsidP="006211EF">
      <w:pPr>
        <w:spacing w:after="0" w:line="360" w:lineRule="auto"/>
        <w:rPr>
          <w:sz w:val="24"/>
          <w:szCs w:val="24"/>
        </w:rPr>
      </w:pPr>
    </w:p>
    <w:p w14:paraId="1AD1CBC2" w14:textId="11518537" w:rsidR="00B409E0" w:rsidRPr="00135762" w:rsidRDefault="00B409E0" w:rsidP="006211EF">
      <w:pPr>
        <w:spacing w:after="0" w:line="360" w:lineRule="auto"/>
        <w:rPr>
          <w:sz w:val="24"/>
          <w:szCs w:val="24"/>
        </w:rPr>
      </w:pPr>
      <w:r w:rsidRPr="00135762">
        <w:rPr>
          <w:i/>
          <w:sz w:val="24"/>
          <w:szCs w:val="24"/>
        </w:rPr>
        <w:t>Young people with T1DM.</w:t>
      </w:r>
      <w:r w:rsidRPr="00135762">
        <w:rPr>
          <w:sz w:val="24"/>
          <w:szCs w:val="24"/>
        </w:rPr>
        <w:t xml:space="preserve"> </w:t>
      </w:r>
    </w:p>
    <w:p w14:paraId="6E78FE9A" w14:textId="2E2AB43F" w:rsidR="004856D6" w:rsidRDefault="00B82F6F" w:rsidP="006211EF">
      <w:pPr>
        <w:spacing w:after="0" w:line="360" w:lineRule="auto"/>
        <w:rPr>
          <w:sz w:val="24"/>
          <w:szCs w:val="24"/>
        </w:rPr>
      </w:pPr>
      <w:r w:rsidRPr="00135762">
        <w:rPr>
          <w:sz w:val="24"/>
          <w:szCs w:val="24"/>
        </w:rPr>
        <w:t xml:space="preserve">Studies of </w:t>
      </w:r>
      <w:r w:rsidR="00F95424" w:rsidRPr="00135762">
        <w:rPr>
          <w:sz w:val="24"/>
          <w:szCs w:val="24"/>
        </w:rPr>
        <w:t>a</w:t>
      </w:r>
      <w:r w:rsidR="005F5D96" w:rsidRPr="00135762">
        <w:rPr>
          <w:sz w:val="24"/>
          <w:szCs w:val="24"/>
        </w:rPr>
        <w:t xml:space="preserve">dolescents with </w:t>
      </w:r>
      <w:r w:rsidR="00F63B73" w:rsidRPr="00135762">
        <w:rPr>
          <w:sz w:val="24"/>
          <w:szCs w:val="24"/>
        </w:rPr>
        <w:t>T1DM</w:t>
      </w:r>
      <w:r w:rsidR="005F5D96" w:rsidRPr="00135762">
        <w:rPr>
          <w:sz w:val="24"/>
          <w:szCs w:val="24"/>
        </w:rPr>
        <w:t xml:space="preserve"> from longitudinal cohorts, such as the ORPS and Nephropathy Family Study (NFS), </w:t>
      </w:r>
      <w:r w:rsidR="00F95424" w:rsidRPr="00135762">
        <w:rPr>
          <w:sz w:val="24"/>
          <w:szCs w:val="24"/>
        </w:rPr>
        <w:t>extend</w:t>
      </w:r>
      <w:r w:rsidR="009D2295" w:rsidRPr="00135762">
        <w:rPr>
          <w:sz w:val="24"/>
          <w:szCs w:val="24"/>
        </w:rPr>
        <w:t>ed</w:t>
      </w:r>
      <w:r w:rsidR="00F95424" w:rsidRPr="00135762">
        <w:rPr>
          <w:sz w:val="24"/>
          <w:szCs w:val="24"/>
        </w:rPr>
        <w:t xml:space="preserve"> the findings</w:t>
      </w:r>
      <w:r w:rsidR="009D2295" w:rsidRPr="00135762">
        <w:rPr>
          <w:sz w:val="24"/>
          <w:szCs w:val="24"/>
        </w:rPr>
        <w:t xml:space="preserve"> from adult cohorts</w:t>
      </w:r>
      <w:r w:rsidR="00F95424" w:rsidRPr="00135762">
        <w:rPr>
          <w:sz w:val="24"/>
          <w:szCs w:val="24"/>
        </w:rPr>
        <w:t xml:space="preserve"> by </w:t>
      </w:r>
      <w:r w:rsidR="005F5D96" w:rsidRPr="00135762">
        <w:rPr>
          <w:sz w:val="24"/>
          <w:szCs w:val="24"/>
        </w:rPr>
        <w:t>provid</w:t>
      </w:r>
      <w:r w:rsidR="00F95424" w:rsidRPr="00135762">
        <w:rPr>
          <w:sz w:val="24"/>
          <w:szCs w:val="24"/>
        </w:rPr>
        <w:t>ing</w:t>
      </w:r>
      <w:r w:rsidR="005F5D96" w:rsidRPr="00135762">
        <w:rPr>
          <w:sz w:val="24"/>
          <w:szCs w:val="24"/>
        </w:rPr>
        <w:t xml:space="preserve"> longitudinal data</w:t>
      </w:r>
      <w:r w:rsidR="009D2295" w:rsidRPr="00135762">
        <w:rPr>
          <w:sz w:val="24"/>
          <w:szCs w:val="24"/>
        </w:rPr>
        <w:t xml:space="preserve"> from diagnosis that</w:t>
      </w:r>
      <w:r w:rsidR="005F5D96" w:rsidRPr="00135762">
        <w:rPr>
          <w:sz w:val="24"/>
          <w:szCs w:val="24"/>
        </w:rPr>
        <w:t xml:space="preserve"> associat</w:t>
      </w:r>
      <w:r w:rsidR="009D2295" w:rsidRPr="00135762">
        <w:rPr>
          <w:sz w:val="24"/>
          <w:szCs w:val="24"/>
        </w:rPr>
        <w:t>e</w:t>
      </w:r>
      <w:r w:rsidR="005F5D96" w:rsidRPr="00135762">
        <w:rPr>
          <w:sz w:val="24"/>
          <w:szCs w:val="24"/>
        </w:rPr>
        <w:t xml:space="preserve"> </w:t>
      </w:r>
      <w:r w:rsidR="00307D49" w:rsidRPr="00135762">
        <w:rPr>
          <w:sz w:val="24"/>
          <w:szCs w:val="24"/>
        </w:rPr>
        <w:t xml:space="preserve">early increases in </w:t>
      </w:r>
      <w:r w:rsidR="005F5D96" w:rsidRPr="00135762">
        <w:rPr>
          <w:sz w:val="24"/>
          <w:szCs w:val="24"/>
        </w:rPr>
        <w:t>urinary albumin</w:t>
      </w:r>
      <w:r w:rsidR="009D2295" w:rsidRPr="00135762">
        <w:rPr>
          <w:sz w:val="24"/>
          <w:szCs w:val="24"/>
        </w:rPr>
        <w:t>–</w:t>
      </w:r>
      <w:r w:rsidR="005F5D96" w:rsidRPr="00135762">
        <w:rPr>
          <w:sz w:val="24"/>
          <w:szCs w:val="24"/>
        </w:rPr>
        <w:t xml:space="preserve">creatinine ratios (ACR) with </w:t>
      </w:r>
      <w:r w:rsidR="009D2295" w:rsidRPr="00135762">
        <w:rPr>
          <w:sz w:val="24"/>
          <w:szCs w:val="24"/>
        </w:rPr>
        <w:t xml:space="preserve">a </w:t>
      </w:r>
      <w:r w:rsidR="005F5D96" w:rsidRPr="00135762">
        <w:rPr>
          <w:sz w:val="24"/>
          <w:szCs w:val="24"/>
        </w:rPr>
        <w:t xml:space="preserve">subsequent </w:t>
      </w:r>
      <w:r w:rsidR="009D2295" w:rsidRPr="00135762">
        <w:rPr>
          <w:sz w:val="24"/>
          <w:szCs w:val="24"/>
        </w:rPr>
        <w:t xml:space="preserve">increased </w:t>
      </w:r>
      <w:r w:rsidR="005F5D96" w:rsidRPr="00135762">
        <w:rPr>
          <w:sz w:val="24"/>
          <w:szCs w:val="24"/>
        </w:rPr>
        <w:t>risk for the development of microalbuminuria</w:t>
      </w:r>
      <w:r w:rsidR="005F5D96" w:rsidRPr="00135762">
        <w:rPr>
          <w:sz w:val="24"/>
          <w:szCs w:val="24"/>
        </w:rPr>
        <w:fldChar w:fldCharType="begin" w:fldLock="1"/>
      </w:r>
      <w:r w:rsidR="00752474">
        <w:rPr>
          <w:sz w:val="24"/>
          <w:szCs w:val="24"/>
        </w:rPr>
        <w:instrText>ADDIN CSL_CITATION {"citationItems":[{"id":"ITEM-1","itemData":{"ISSN":"0149-5992","PMID":"11128358","abstract":"OBJECTIVE The early detection of a rise in albumin excretion within the normal range could permit early intervention to prevent the development of microalbuminuria (MA) in genetically susceptible subjects with type 1 diabetes. In the Oxford Regional Prospective Study we prospectively examined urine albumin excretion during the first years after diagnosis of childhood type 1 diabetes. RESEARCH DESIGN AND METHODS Between 1986 and 1995, 511 subjects aged &lt; 16 years were recruited at diagnosis and followed for a median of 6 years (range 1-14). In 78 subjects (designated cases), an annual assessment of the albumin-to-creatinine ratio (ACR) in three morning first-void urine samples detected MA (males: ACR &gt; or =3.5 mg/mmol, females: ACR &gt; or =4.0 mg/mmol in two of three urine samples). In 63 of these subjects and 396 normoalbuminuric diabetic control subjects, rates of change of the ACR were calculated as the slope of the ACR over diabetes duration. RESULTS The baseline ACR (median [interquartile (IQ) range]), as measured at 1-2.5 years' duration of diabetes, was higher in microalbuminuric subjects than in the normoalbuminuric subjects (1.0 mg/mmol [0.6-2.1], n = 52, vs. 0.8 mg/mmol [0.6-1.2], n = 303; P = 0.02). The rate of increase of the ACR in the years before the onset of MA was higher in the microalbuminuric subjects than in the normoalbuminuric subjects (70% per year [37-149], n = 63, vs. 1% per year [-9 to 13], n = 396; P &lt; 0.001). The mean HbA1c level after the onset of puberty was weakly correlated with the rate of change of the ACR (r = 0.11, P = 0.024, n = 418). CONCLUSIONS Higher levels of ACR within the first 2 years after diagnosis and a significantly higher rate of increase of the ACR within the first 5 years from diagnosis can be detected in subjects who subsequently develop MA. HbA1c is a determinant of risk for MA, but pubertal factors have a greater effect on rates of progression of urine albumin excretion during adolescence in this cohort.","author":[{"dropping-particle":"","family":"Schultz","given":"C J","non-dropping-particle":"","parse-names":false,"suffix":""},{"dropping-particle":"","family":"Neil","given":"H A","non-dropping-particle":"","parse-names":false,"suffix":""},{"dropping-particle":"","family":"Dalton","given":"R N","non-dropping-particle":"","parse-names":false,"suffix":""},{"dropping-particle":"","family":"Dunger","given":"D B","non-dropping-particle":"","parse-names":false,"suffix":""},{"dropping-particle":"","family":"Oxforn Regional Prospective Study Group","given":"","non-dropping-particle":"","parse-names":false,"suffix":""}],"container-title":"Diabetes care","id":"ITEM-1","issue":"12","issued":{"date-parts":[["2000","12"]]},"page":"1811-5","title":"Risk of nephropathy can be detected before the onset of microalbuminuria during the early years after diagnosis of type 1 diabetes.","type":"article-journal","volume":"23"},"uris":["http://www.mendeley.com/documents/?uuid=d606d874-0931-3bb4-a851-b73d04ddfbb0"]},{"id":"ITEM-2","itemData":{"DOI":"10.1111/j.1464-5491.2006.02047.x","ISSN":"0742-3071","PMID":"17257274","abstract":"AIMS: To determine whether higher than average albumin excretion during early puberty identifies subjects who will subsequently develop microalbuminuria (MA) and clinical proteinuria.\n\nMETHODS: Longitudinal data from the Oxford Regional Prospective Study of Childhood Diabetes (ORPS; n = 554, median duration of follow-up 10 years; range 3.0-16.7) with assessment of albumin/creatinine ratios in three early morning urine samples collected annually. An albumin excretion phenotype was derived from longitudinal data, for each individual, defining deviation from the mean of regression models, including covariates gender, age, duration of diabetes and age at assessment. Tracking of the phenotypes was confirmed in a second independent cohort from Perth, Australia.\n\nRESULTS: The albumin excretion phenotype showed reasonable correlation between age 11-15 years and age 16-18 years in both cohorts, indicative of good 'tracking'. In the ORPS cohort, tertiles of the albumin excretion phenotype at aged 11-15 years were predictive of subsequent risk for the development of MA. All of the subjects developing clinical proteinuria had an albumin excretion phenotype in the upper tertile or an HbA(1c) &gt; 9% at aged 11-15 years.\n\nCONCLUSIONS: Identification of adolescents at risk of diabetic nephropathy using an albumin excretion phenotype is feasible. When combined with elevated HbA(1c), it may identify subjects for trial of early intervention with angiotensin-converting enzyme inhibitors/angiotensin-II receptor antagonists and statins to improve long-term prognosis in these subjects where sustained improvement in glycaemic control may be difficult to achieve.","author":[{"dropping-particle":"","family":"Dunger","given":"D B","non-dropping-particle":"","parse-names":false,"suffix":""},{"dropping-particle":"","family":"Schwarze","given":"C P","non-dropping-particle":"","parse-names":false,"suffix":""},{"dropping-particle":"","family":"Cooper","given":"J D","non-dropping-particle":"","parse-names":false,"suffix":""},{"dropping-particle":"","family":"Widmer","given":"B","non-dropping-particle":"","parse-names":false,"suffix":""},{"dropping-particle":"","family":"Neil","given":"H a W","non-dropping-particle":"","parse-names":false,"suffix":""},{"dropping-particle":"","family":"Shield","given":"J","non-dropping-particle":"","parse-names":false,"suffix":""},{"dropping-particle":"","family":"Edge","given":"J a","non-dropping-particle":"","parse-names":false,"suffix":""},{"dropping-particle":"","family":"Jones","given":"T W","non-dropping-particle":"","parse-names":false,"suffix":""},{"dropping-particle":"","family":"Daneman","given":"D","non-dropping-particle":"","parse-names":false,"suffix":""},{"dropping-particle":"","family":"Dalton","given":"R N","non-dropping-particle":"","parse-names":false,"suffix":""}],"container-title":"Diabetic medicine : a journal of the British Diabetic Association","id":"ITEM-2","issue":"2","issued":{"date-parts":[["2007","2"]]},"page":"131-6","title":"Can we identify adolescents at high risk for nephropathy before the development of microalbuminuria?","type":"article-journal","volume":"24"},"uris":["http://www.mendeley.com/documents/?uuid=ce531fb7-b206-4979-80a9-640ca7585c5e"]}],"mendeley":{"formattedCitation":"&lt;sup&gt;57,58&lt;/sup&gt;","plainTextFormattedCitation":"57,58","previouslyFormattedCitation":"&lt;sup&gt;58,59&lt;/sup&gt;"},"properties":{"noteIndex":0},"schema":"https://github.com/citation-style-language/schema/raw/master/csl-citation.json"}</w:instrText>
      </w:r>
      <w:r w:rsidR="005F5D96" w:rsidRPr="00135762">
        <w:rPr>
          <w:sz w:val="24"/>
          <w:szCs w:val="24"/>
          <w:vertAlign w:val="superscript"/>
        </w:rPr>
        <w:fldChar w:fldCharType="separate"/>
      </w:r>
      <w:r w:rsidR="00752474" w:rsidRPr="00752474">
        <w:rPr>
          <w:noProof/>
          <w:sz w:val="24"/>
          <w:szCs w:val="24"/>
          <w:vertAlign w:val="superscript"/>
        </w:rPr>
        <w:t>57,58</w:t>
      </w:r>
      <w:r w:rsidR="005F5D96" w:rsidRPr="00135762">
        <w:rPr>
          <w:sz w:val="24"/>
          <w:szCs w:val="24"/>
        </w:rPr>
        <w:fldChar w:fldCharType="end"/>
      </w:r>
      <w:r w:rsidR="00AC4649" w:rsidRPr="00135762">
        <w:rPr>
          <w:sz w:val="24"/>
          <w:szCs w:val="24"/>
        </w:rPr>
        <w:t xml:space="preserve"> (Figure </w:t>
      </w:r>
      <w:r w:rsidR="0024119A" w:rsidRPr="00135762">
        <w:rPr>
          <w:sz w:val="24"/>
          <w:szCs w:val="24"/>
        </w:rPr>
        <w:t>2</w:t>
      </w:r>
      <w:r w:rsidR="00AC4649" w:rsidRPr="00135762">
        <w:rPr>
          <w:sz w:val="24"/>
          <w:szCs w:val="24"/>
        </w:rPr>
        <w:t>)</w:t>
      </w:r>
      <w:r w:rsidR="005F5D96" w:rsidRPr="00135762">
        <w:rPr>
          <w:sz w:val="24"/>
          <w:szCs w:val="24"/>
        </w:rPr>
        <w:t>.</w:t>
      </w:r>
      <w:r w:rsidR="00F96BE4" w:rsidRPr="00135762">
        <w:rPr>
          <w:sz w:val="24"/>
          <w:szCs w:val="24"/>
        </w:rPr>
        <w:t xml:space="preserve"> </w:t>
      </w:r>
      <w:r w:rsidR="005F5D96" w:rsidRPr="00135762">
        <w:rPr>
          <w:sz w:val="24"/>
          <w:szCs w:val="24"/>
        </w:rPr>
        <w:t xml:space="preserve">In </w:t>
      </w:r>
      <w:r w:rsidR="009A4F42" w:rsidRPr="00135762">
        <w:rPr>
          <w:sz w:val="24"/>
          <w:szCs w:val="24"/>
        </w:rPr>
        <w:t>young people</w:t>
      </w:r>
      <w:r w:rsidR="00374B97">
        <w:rPr>
          <w:sz w:val="24"/>
          <w:szCs w:val="24"/>
        </w:rPr>
        <w:t xml:space="preserve"> </w:t>
      </w:r>
      <w:r w:rsidR="009A4F42" w:rsidRPr="00135762">
        <w:rPr>
          <w:sz w:val="24"/>
          <w:szCs w:val="24"/>
        </w:rPr>
        <w:t>who</w:t>
      </w:r>
      <w:r w:rsidR="005F5D96" w:rsidRPr="00135762">
        <w:rPr>
          <w:sz w:val="24"/>
          <w:szCs w:val="24"/>
        </w:rPr>
        <w:t xml:space="preserve"> develop</w:t>
      </w:r>
      <w:r w:rsidR="009A4F42" w:rsidRPr="00135762">
        <w:rPr>
          <w:sz w:val="24"/>
          <w:szCs w:val="24"/>
        </w:rPr>
        <w:t>ed</w:t>
      </w:r>
      <w:r w:rsidR="005F5D96" w:rsidRPr="00135762">
        <w:rPr>
          <w:sz w:val="24"/>
          <w:szCs w:val="24"/>
        </w:rPr>
        <w:t xml:space="preserve"> microalbuminuria and subsequently progress</w:t>
      </w:r>
      <w:r w:rsidR="004821A8" w:rsidRPr="00135762">
        <w:rPr>
          <w:sz w:val="24"/>
          <w:szCs w:val="24"/>
        </w:rPr>
        <w:t>ed</w:t>
      </w:r>
      <w:r w:rsidR="005F5D96" w:rsidRPr="00135762">
        <w:rPr>
          <w:sz w:val="24"/>
          <w:szCs w:val="24"/>
        </w:rPr>
        <w:t xml:space="preserve"> to diabetic nephropathy, gradual increase</w:t>
      </w:r>
      <w:r w:rsidR="00BE3B0E" w:rsidRPr="00135762">
        <w:rPr>
          <w:sz w:val="24"/>
          <w:szCs w:val="24"/>
        </w:rPr>
        <w:t>s</w:t>
      </w:r>
      <w:r w:rsidR="005F5D96" w:rsidRPr="00135762">
        <w:rPr>
          <w:sz w:val="24"/>
          <w:szCs w:val="24"/>
        </w:rPr>
        <w:t xml:space="preserve"> in ACR </w:t>
      </w:r>
      <w:r w:rsidR="004821A8" w:rsidRPr="00135762">
        <w:rPr>
          <w:sz w:val="24"/>
          <w:szCs w:val="24"/>
        </w:rPr>
        <w:t xml:space="preserve">occurred </w:t>
      </w:r>
      <w:r w:rsidR="005F5D96" w:rsidRPr="00135762">
        <w:rPr>
          <w:sz w:val="24"/>
          <w:szCs w:val="24"/>
        </w:rPr>
        <w:t xml:space="preserve">from diagnosis, </w:t>
      </w:r>
      <w:r w:rsidR="004821A8" w:rsidRPr="00135762">
        <w:rPr>
          <w:sz w:val="24"/>
          <w:szCs w:val="24"/>
        </w:rPr>
        <w:t xml:space="preserve">which </w:t>
      </w:r>
      <w:r w:rsidR="005F5D96" w:rsidRPr="00135762">
        <w:rPr>
          <w:sz w:val="24"/>
          <w:szCs w:val="24"/>
        </w:rPr>
        <w:lastRenderedPageBreak/>
        <w:t>accelerated during puberty</w:t>
      </w:r>
      <w:r w:rsidR="005F5D96" w:rsidRPr="00135762">
        <w:rPr>
          <w:sz w:val="24"/>
          <w:szCs w:val="24"/>
        </w:rPr>
        <w:fldChar w:fldCharType="begin" w:fldLock="1"/>
      </w:r>
      <w:r w:rsidR="00752474">
        <w:rPr>
          <w:sz w:val="24"/>
          <w:szCs w:val="24"/>
        </w:rPr>
        <w:instrText>ADDIN CSL_CITATION {"citationItems":[{"id":"ITEM-1","itemData":{"ISSN":"0149-5992","PMID":"11128358","abstract":"OBJECTIVE The early detection of a rise in albumin excretion within the normal range could permit early intervention to prevent the development of microalbuminuria (MA) in genetically susceptible subjects with type 1 diabetes. In the Oxford Regional Prospective Study we prospectively examined urine albumin excretion during the first years after diagnosis of childhood type 1 diabetes. RESEARCH DESIGN AND METHODS Between 1986 and 1995, 511 subjects aged &lt; 16 years were recruited at diagnosis and followed for a median of 6 years (range 1-14). In 78 subjects (designated cases), an annual assessment of the albumin-to-creatinine ratio (ACR) in three morning first-void urine samples detected MA (males: ACR &gt; or =3.5 mg/mmol, females: ACR &gt; or =4.0 mg/mmol in two of three urine samples). In 63 of these subjects and 396 normoalbuminuric diabetic control subjects, rates of change of the ACR were calculated as the slope of the ACR over diabetes duration. RESULTS The baseline ACR (median [interquartile (IQ) range]), as measured at 1-2.5 years' duration of diabetes, was higher in microalbuminuric subjects than in the normoalbuminuric subjects (1.0 mg/mmol [0.6-2.1], n = 52, vs. 0.8 mg/mmol [0.6-1.2], n = 303; P = 0.02). The rate of increase of the ACR in the years before the onset of MA was higher in the microalbuminuric subjects than in the normoalbuminuric subjects (70% per year [37-149], n = 63, vs. 1% per year [-9 to 13], n = 396; P &lt; 0.001). The mean HbA1c level after the onset of puberty was weakly correlated with the rate of change of the ACR (r = 0.11, P = 0.024, n = 418). CONCLUSIONS Higher levels of ACR within the first 2 years after diagnosis and a significantly higher rate of increase of the ACR within the first 5 years from diagnosis can be detected in subjects who subsequently develop MA. HbA1c is a determinant of risk for MA, but pubertal factors have a greater effect on rates of progression of urine albumin excretion during adolescence in this cohort.","author":[{"dropping-particle":"","family":"Schultz","given":"C J","non-dropping-particle":"","parse-names":false,"suffix":""},{"dropping-particle":"","family":"Neil","given":"H A","non-dropping-particle":"","parse-names":false,"suffix":""},{"dropping-particle":"","family":"Dalton","given":"R N","non-dropping-particle":"","parse-names":false,"suffix":""},{"dropping-particle":"","family":"Dunger","given":"D B","non-dropping-particle":"","parse-names":false,"suffix":""},{"dropping-particle":"","family":"Oxforn Regional Prospective Study Group","given":"","non-dropping-particle":"","parse-names":false,"suffix":""}],"container-title":"Diabetes care","id":"ITEM-1","issue":"12","issued":{"date-parts":[["2000","12"]]},"page":"1811-5","title":"Risk of nephropathy can be detected before the onset of microalbuminuria during the early years after diagnosis of type 1 diabetes.","type":"article-journal","volume":"23"},"uris":["http://www.mendeley.com/documents/?uuid=d606d874-0931-3bb4-a851-b73d04ddfbb0"]}],"mendeley":{"formattedCitation":"&lt;sup&gt;57&lt;/sup&gt;","plainTextFormattedCitation":"57","previouslyFormattedCitation":"&lt;sup&gt;58&lt;/sup&gt;"},"properties":{"noteIndex":0},"schema":"https://github.com/citation-style-language/schema/raw/master/csl-citation.json"}</w:instrText>
      </w:r>
      <w:r w:rsidR="005F5D96" w:rsidRPr="00135762">
        <w:rPr>
          <w:sz w:val="24"/>
          <w:szCs w:val="24"/>
        </w:rPr>
        <w:fldChar w:fldCharType="separate"/>
      </w:r>
      <w:r w:rsidR="00752474" w:rsidRPr="00752474">
        <w:rPr>
          <w:noProof/>
          <w:sz w:val="24"/>
          <w:szCs w:val="24"/>
          <w:vertAlign w:val="superscript"/>
        </w:rPr>
        <w:t>57</w:t>
      </w:r>
      <w:r w:rsidR="005F5D96" w:rsidRPr="00135762">
        <w:rPr>
          <w:sz w:val="24"/>
          <w:szCs w:val="24"/>
        </w:rPr>
        <w:fldChar w:fldCharType="end"/>
      </w:r>
      <w:r w:rsidR="00BE3B0E" w:rsidRPr="00135762">
        <w:rPr>
          <w:sz w:val="24"/>
          <w:szCs w:val="24"/>
        </w:rPr>
        <w:t xml:space="preserve">, and </w:t>
      </w:r>
      <w:r w:rsidR="005F5D96" w:rsidRPr="00135762">
        <w:rPr>
          <w:sz w:val="24"/>
          <w:szCs w:val="24"/>
        </w:rPr>
        <w:t>were associated with changes in b</w:t>
      </w:r>
      <w:r w:rsidR="009D311B" w:rsidRPr="00135762">
        <w:rPr>
          <w:sz w:val="24"/>
          <w:szCs w:val="24"/>
        </w:rPr>
        <w:t xml:space="preserve">lood pressure, </w:t>
      </w:r>
      <w:r w:rsidR="00443094" w:rsidRPr="00135762">
        <w:rPr>
          <w:sz w:val="24"/>
          <w:szCs w:val="24"/>
        </w:rPr>
        <w:t>lipid levels</w:t>
      </w:r>
      <w:r w:rsidR="005F5D96" w:rsidRPr="00135762">
        <w:rPr>
          <w:sz w:val="24"/>
          <w:szCs w:val="24"/>
        </w:rPr>
        <w:t>,</w:t>
      </w:r>
      <w:r w:rsidR="00307D49" w:rsidRPr="00135762">
        <w:rPr>
          <w:sz w:val="24"/>
          <w:szCs w:val="24"/>
        </w:rPr>
        <w:t xml:space="preserve"> and </w:t>
      </w:r>
      <w:r w:rsidR="005F5D96" w:rsidRPr="00135762">
        <w:rPr>
          <w:sz w:val="24"/>
          <w:szCs w:val="24"/>
        </w:rPr>
        <w:t>inflammatory markers</w:t>
      </w:r>
      <w:r w:rsidR="005F5D96" w:rsidRPr="00135762">
        <w:rPr>
          <w:sz w:val="24"/>
          <w:szCs w:val="24"/>
        </w:rPr>
        <w:fldChar w:fldCharType="begin" w:fldLock="1"/>
      </w:r>
      <w:r w:rsidR="00752474">
        <w:rPr>
          <w:sz w:val="24"/>
          <w:szCs w:val="24"/>
        </w:rPr>
        <w:instrText>ADDIN CSL_CITATION {"citationItems":[{"id":"ITEM-1","itemData":{"DOI":"10.1111/j.1464-5491.2009.02761.x","ISSN":"07423071 14645491","abstract":"Aims The endogenous secretory receptor for advanced glycation end products (esRAGE) appears to work as a scavenger for AGEs and it has been implicated in the pathogenesis of diabetic complications. The aim of the present study was to perform a longitudinal evaluation of esRAGE in young people with Type 1 diabetes (T1D) in relation to the development of microalbuminuria (MA). Methods Serum esRAGE levels were measured in longitudinally collected blood samples from 49 T1D patients with MA (MA+) and 49 matched normoalbuminuric patients (MA-), followed in the Oxford Regional Prospective Study. esRAGE levels were compared between MA+ and MA- subjects in relation to the time of MA onset. Results Overall, esRAGE levels were significantly lower in MA+ than in MA- subjects (0.727 ± 0.396 vs. 0.936 ± 0.433 ng/ml; P = 0.015). These differences between the two groups were present both before (0.725 ± 0.410 vs. 0.956 ± 0.505 ng/ml, P = 0.038) and after the onset of MA (0.750 ± 0.433 vs. 0.948 ± 0.418 ng/ml, P = 0.04). In a longitudinal analysis there was no effect of age, duration, glycated haemoglobin (HbA1c) or body mass index standard deviation scores on esRAGE levels (all P &gt; 0.05). In a Cox model, esRAGE levels significantly contributed to the probability of developing MA [Exp(B)(95% confidence interval): 0.34(0.12-0.98); P = 0.04), independently of HbA1c. Conclusions In this longitudinal study of young people with T1D, esRAGE levels were reduced in MA+ subjects, even before the onset of MA, and appeared to be related to its development, thus suggesting a potential role of esRAGE in the pathogenesis of this complication. © 2009 Diabetes UK.","author":[{"dropping-particle":"","family":"Marcovecchio","given":"M.L.","non-dropping-particle":"","parse-names":false,"suffix":""},{"dropping-particle":"","family":"Giannini","given":"C.","non-dropping-particle":"","parse-names":false,"suffix":""},{"dropping-particle":"","family":"Dalton","given":"R.N.","non-dropping-particle":"","parse-names":false,"suffix":""},{"dropping-particle":"","family":"Widmer","given":"B.","non-dropping-particle":"","parse-names":false,"suffix":""},{"dropping-particle":"","family":"Chiarelli","given":"F.","non-dropping-particle":"","parse-names":false,"suffix":""},{"dropping-particle":"","family":"Dunger","given":"D.B.","non-dropping-particle":"","parse-names":false,"suffix":""}],"container-title":"Diabetic Medicine","id":"ITEM-1","issue":"8","issued":{"date-parts":[["2009"]]},"page":"815-819","title":"Reduced endogenous secretory receptor for advanced glycation end products (esRAGE) in young people with Type 1 diabetes developing microalbuminuria","type":"article-journal","volume":"26"},"uris":["http://www.mendeley.com/documents/?uuid=b92ab936-f1c9-31e9-8894-e433a0739adf"]},{"id":"ITEM-2","itemData":{"DOI":"10.2337/dc08-1641","ISSN":"01495992 19355548","abstract":"OBJECTIVE- To explore the prevalence of lipid abnormalities and their relationship with albumin excretion and microalbuminuria in adolescents with type 1 diabetes. RESEARCH DESIGN AND METHODS- The study population comprised 895 young subjects with type 1 diabetes (490 males); median age at the baseline assessment was 14.5 years(range 10-21.1), and median diabetes duration was 4.8 years (0.2-17). A total of 2, 194 non-fasting blood samples were collected longitudinally for determination of total cholesterol, LDL cholesterol, HDL cholesterol, TG, and non-HDL cholesterol. Additional annually collected data on anthropometric parameters, A1C, and albumin-to-creatinine ratio (ACR) were available. RESULTS - Total cholesterol, LDL cholesterol, HDL cholesterol, and non-HDL cholesterol were higher in females than in males (all P &lt; 0.001). A significant proportion of subjects presented sustained lipid abnormalities during follow-up: total cholesterol &gt;5.2 mmol/l (18.6%), non-HDL cholesterol &gt;3.4 mmol/l (25.9%), TG &gt;1.7 mmol/l (20.1%), and LDL cholesterol &gt;3.4 mmol/l (9.6%). Age and duration were significantly related to all lipid parameters (P &lt; 0.001); A1C was independently related to all parameters (P &lt; 0.001) except HDL cholesterol, whereas BMI SD scores were related to all parameters (P &lt; 0.05) except total cholesterol. Total cholesterol and non-HDL cholesterol were independently related to longitudinal changes in ACR (B coefficient ± SE): 0.03 ± 0.01/1 mmol/l, P = 0.009, and 0.32 ± 0.014/1 mmol/l, P = 0.02, respectively. Overall mean total cholesterol and non-HDL cholesterol were higher in microalbuminuria positive (n = 115) than in normoalbuminuric subjects (n = 780): total cholesterol 4.7 ± 1.2 vs. 4.5 ± 0.8 mmol/l (P = 0.04) and non-HDLcholesterol3.2 ± 1.2 vs. 2.9 ± 0.8 mmol/l (P = 0.03). CONCLUSIONS- In this longitudinal study of adolescents with type 1 diabetes, sustained lipid abnormalities were related to age, duration, BMI, and A1C. Furthermore, ACR was related to both total cholesterol and non-HDL cholesterol, indicating a potential role in the pathogenesis of diabetic nephropathy. © 2009 by the American Diabetes Association.","author":[{"dropping-particle":"","family":"Marcovecchio","given":"M.L.","non-dropping-particle":"","parse-names":false,"suffix":""},{"dropping-particle":"","family":"Dalton","given":"R.N.","non-dropping-particle":"","parse-names":false,"suffix":""},{"dropping-particle":"","family":"Prevost","given":"A.T.","non-dropping-particle":"","parse-names":false,"suffix":""},{"dropping-particle":"","family":"Acerini","given":"C.L.","non-dropping-particle":"","parse-names":false,"suffix":""},{"dropping-particle":"","family":"Barrett","given":"T.G.","non-dropping-particle":"","parse-names":false,"suffix":""},{"dropping-particle":"","family":"Cooper","given":"J.D.","non-dropping-particle":"","parse-names":false,"suffix":""},{"dropping-particle":"","family":"Edge","given":"J.","non-dropping-particle":"","parse-names":false,"suffix":""},{"dropping-particle":"","family":"Neil","given":"A.","non-dropping-particle":"","parse-names":false,"suffix":""},{"dropping-particle":"","family":"Shield","given":"J.","non-dropping-particle":"","parse-names":false,"suffix":""},{"dropping-particle":"","family":"Widmer","given":"B.","non-dropping-particle":"","parse-names":false,"suffix":""},{"dropping-particle":"","family":"Todd","given":"J.A.","non-dropping-particle":"","parse-names":false,"suffix":""},{"dropping-particle":"","family":"Dunger","given":"D.B.","non-dropping-particle":"","parse-names":false,"suffix":""}],"container-title":"Diabetes Care","id":"ITEM-2","issue":"4","issued":{"date-parts":[["2009"]]},"page":"658-663","title":"Prevalence of abnormal lipid profiles and the relationship with the development of microalbuminuria in adolescents with type 1 diabetes","type":"article-journal","volume":"32"},"uris":["http://www.mendeley.com/documents/?uuid=2a871bd4-dca3-3b45-9b71-9cdb2e2225cf"]},{"id":"ITEM-3","itemData":{"DOI":"10.1007/s00125-009-1327-6","ISSN":"0012186X","abstract":"Aims/hypothesis: The relationship between BP and microalbuminuria in young people with type 1 diabetes is not completely clear. As microalbuminuria is preceded by a gradual rise in albumin excretion within the normal range, we hypothesised that ambulatory BP (ABP) may be closely related to albumin excret ion and progression to microalbuminuria. Methods: ABP monitoring (ABPM) was performed in 509 young people with type 1 diabetes (age median [range]: 15.7 [10.7-22.6]  years) followed with annual assessments of three early morning urinary albumin:creatinine ratios (ACRs) and HbA 1c . Systolic BP (SBP) and diastolic BP (DBP) and the nocturnal fall in BP were analysed in relation to ACR. Results: All ABPM variables were significantly related to baseline log 10 ACR (p</w:instrText>
      </w:r>
      <w:r w:rsidR="00752474">
        <w:rPr>
          <w:rFonts w:ascii="Cambria Math" w:hAnsi="Cambria Math" w:cs="Cambria Math"/>
          <w:sz w:val="24"/>
          <w:szCs w:val="24"/>
        </w:rPr>
        <w:instrText>∈</w:instrText>
      </w:r>
      <w:r w:rsidR="00752474">
        <w:rPr>
          <w:sz w:val="24"/>
          <w:szCs w:val="24"/>
        </w:rPr>
        <w:instrText xml:space="preserve"> &lt; </w:instrText>
      </w:r>
      <w:r w:rsidR="00752474">
        <w:rPr>
          <w:rFonts w:ascii="Cambria Math" w:hAnsi="Cambria Math" w:cs="Cambria Math"/>
          <w:sz w:val="24"/>
          <w:szCs w:val="24"/>
        </w:rPr>
        <w:instrText>∈</w:instrText>
      </w:r>
      <w:r w:rsidR="00752474">
        <w:rPr>
          <w:sz w:val="24"/>
          <w:szCs w:val="24"/>
        </w:rPr>
        <w:instrText>0.001). After the ABPM evaluation, 287 patients were followed for a median of 2.2 (1.0-5.5) years. ABP at baseline was independently related to mean ACR during follow-up. Nineteen initially normoalbuminuric patients developed microalbuminuria after 2.0 (0.2-4.0) years and their baseline daytime DBP was higher than in normoalbuminuric patients (p</w:instrText>
      </w:r>
      <w:r w:rsidR="00752474">
        <w:rPr>
          <w:rFonts w:ascii="Cambria Math" w:hAnsi="Cambria Math" w:cs="Cambria Math"/>
          <w:sz w:val="24"/>
          <w:szCs w:val="24"/>
        </w:rPr>
        <w:instrText>∈</w:instrText>
      </w:r>
      <w:r w:rsidR="00752474">
        <w:rPr>
          <w:sz w:val="24"/>
          <w:szCs w:val="24"/>
        </w:rPr>
        <w:instrText xml:space="preserve"> &lt; </w:instrText>
      </w:r>
      <w:r w:rsidR="00752474">
        <w:rPr>
          <w:rFonts w:ascii="Cambria Math" w:hAnsi="Cambria Math" w:cs="Cambria Math"/>
          <w:sz w:val="24"/>
          <w:szCs w:val="24"/>
        </w:rPr>
        <w:instrText>∈</w:instrText>
      </w:r>
      <w:r w:rsidR="00752474">
        <w:rPr>
          <w:sz w:val="24"/>
          <w:szCs w:val="24"/>
        </w:rPr>
        <w:instrText>0.001). After adjusting for baseline ACR and HbA 1c , there was an 11% increased risk of microalbuminuria for each 1 mmHg increase in daytime DBP. Forty-eight per cent of patients were non-dippers for SBP and 60% for DBP; however, ACR was not different between dippers and non-dippers and there were no differences in the nocturnal fall in BP between normoalbuminuric and future microalbuminuric patients. Conclusions/interpretation: In this cohort of young people with type 1 diabetes, ABP was significantly related to ACR, and daytime DBP was independently associated with progression to microalbuminuria. Increasing albumin excretion, even in the normal range, may be associated with parallel rises in BP. © 2009 Springer-Verlag.","author":[{"dropping-particle":"","family":"Marcovecchio","given":"M.L.","non-dropping-particle":"","parse-names":false,"suffix":""},{"dropping-particle":"","family":"Dalton","given":"R.N.","non-dropping-particle":"","parse-names":false,"suffix":""},{"dropping-particle":"","family":"Schwarze","given":"C.P.","non-dropping-particle":"","parse-names":false,"suffix":""},{"dropping-particle":"","family":"Prevost","given":"A.T.","non-dropping-particle":"","parse-names":false,"suffix":""},{"dropping-particle":"","family":"Neil","given":"H.A.W.","non-dropping-particle":"","parse-names":false,"suffix":""},{"dropping-particle":"","family":"Acerini","given":"C.L.","non-dropping-particle":"","parse-names":false,"suffix":""},{"dropping-particle":"","family":"Barrett","given":"T.","non-dropping-particle":"","parse-names":false,"suffix":""},{"dropping-particle":"","family":"Cooper","given":"J.D.","non-dropping-particle":"","parse-names":false,"suffix":""},{"dropping-particle":"","family":"Edge","given":"J.","non-dropping-particle":"","parse-names":false,"suffix":""},{"dropping-particle":"","family":"Shield","given":"J.","non-dropping-particle":"","parse-names":false,"suffix":""},{"dropping-particle":"","family":"Widmer","given":"B.","non-dropping-particle":"","parse-names":false,"suffix":""},{"dropping-particle":"","family":"Todd","given":"J.A.","non-dropping-particle":"","parse-names":false,"suffix":""},{"dropping-particle":"","family":"Dunger","given":"D.B.","non-dropping-particle":"","parse-names":false,"suffix":""}],"container-title":"Diabetologia","id":"ITEM-3","issue":"6","issued":{"date-parts":[["2009"]]},"title":"Ambulatory blood pressure measurements are related to albumin excretion and are predictive for risk of microalbuminuria in young people with type 1 diabetes","type":"article-journal","volume":"52"},"uris":["http://www.mendeley.com/documents/?uuid=427dd731-001d-3371-a0f9-9b7f83b8b5ab"]}],"mendeley":{"formattedCitation":"&lt;sup&gt;59–61&lt;/sup&gt;","plainTextFormattedCitation":"59–61","previouslyFormattedCitation":"&lt;sup&gt;60–62&lt;/sup&gt;"},"properties":{"noteIndex":0},"schema":"https://github.com/citation-style-language/schema/raw/master/csl-citation.json"}</w:instrText>
      </w:r>
      <w:r w:rsidR="005F5D96" w:rsidRPr="00135762">
        <w:rPr>
          <w:sz w:val="24"/>
          <w:szCs w:val="24"/>
        </w:rPr>
        <w:fldChar w:fldCharType="separate"/>
      </w:r>
      <w:r w:rsidR="00752474" w:rsidRPr="00752474">
        <w:rPr>
          <w:noProof/>
          <w:sz w:val="24"/>
          <w:szCs w:val="24"/>
          <w:vertAlign w:val="superscript"/>
        </w:rPr>
        <w:t>59–61</w:t>
      </w:r>
      <w:r w:rsidR="005F5D96" w:rsidRPr="00135762">
        <w:rPr>
          <w:sz w:val="24"/>
          <w:szCs w:val="24"/>
        </w:rPr>
        <w:fldChar w:fldCharType="end"/>
      </w:r>
      <w:r w:rsidR="005F5D96" w:rsidRPr="00135762">
        <w:rPr>
          <w:sz w:val="24"/>
          <w:szCs w:val="24"/>
        </w:rPr>
        <w:t>.</w:t>
      </w:r>
      <w:r w:rsidR="00F96BE4" w:rsidRPr="00135762">
        <w:rPr>
          <w:sz w:val="24"/>
          <w:szCs w:val="24"/>
        </w:rPr>
        <w:t xml:space="preserve"> </w:t>
      </w:r>
      <w:r w:rsidR="005F5D96" w:rsidRPr="00135762">
        <w:rPr>
          <w:sz w:val="24"/>
          <w:szCs w:val="24"/>
        </w:rPr>
        <w:t xml:space="preserve">In </w:t>
      </w:r>
      <w:r w:rsidR="004821A8" w:rsidRPr="00135762">
        <w:rPr>
          <w:sz w:val="24"/>
          <w:szCs w:val="24"/>
        </w:rPr>
        <w:t>individuals</w:t>
      </w:r>
      <w:r w:rsidR="005F5D96" w:rsidRPr="00135762">
        <w:rPr>
          <w:sz w:val="24"/>
          <w:szCs w:val="24"/>
        </w:rPr>
        <w:t xml:space="preserve"> with high HbA</w:t>
      </w:r>
      <w:r w:rsidR="005F5D96" w:rsidRPr="00135762">
        <w:rPr>
          <w:sz w:val="24"/>
          <w:szCs w:val="24"/>
          <w:vertAlign w:val="subscript"/>
        </w:rPr>
        <w:t>1c</w:t>
      </w:r>
      <w:r w:rsidR="005F5D96" w:rsidRPr="00135762">
        <w:rPr>
          <w:sz w:val="24"/>
          <w:szCs w:val="24"/>
        </w:rPr>
        <w:t xml:space="preserve"> levels</w:t>
      </w:r>
      <w:r w:rsidR="004821A8" w:rsidRPr="00135762">
        <w:rPr>
          <w:sz w:val="24"/>
          <w:szCs w:val="24"/>
        </w:rPr>
        <w:t xml:space="preserve"> and therefore poor glycaemic control</w:t>
      </w:r>
      <w:r w:rsidR="005F5D96" w:rsidRPr="00135762">
        <w:rPr>
          <w:sz w:val="24"/>
          <w:szCs w:val="24"/>
        </w:rPr>
        <w:t>, ACR subsequently progressed after puberty, wh</w:t>
      </w:r>
      <w:r w:rsidR="004821A8" w:rsidRPr="00135762">
        <w:rPr>
          <w:sz w:val="24"/>
          <w:szCs w:val="24"/>
        </w:rPr>
        <w:t>ereas</w:t>
      </w:r>
      <w:r w:rsidR="00D47662" w:rsidRPr="00135762">
        <w:rPr>
          <w:sz w:val="24"/>
          <w:szCs w:val="24"/>
        </w:rPr>
        <w:t xml:space="preserve"> those with good glyc</w:t>
      </w:r>
      <w:r w:rsidR="004821A8" w:rsidRPr="00135762">
        <w:rPr>
          <w:sz w:val="24"/>
          <w:szCs w:val="24"/>
        </w:rPr>
        <w:t>a</w:t>
      </w:r>
      <w:r w:rsidR="005F5D96" w:rsidRPr="00135762">
        <w:rPr>
          <w:sz w:val="24"/>
          <w:szCs w:val="24"/>
        </w:rPr>
        <w:t xml:space="preserve">emic control </w:t>
      </w:r>
      <w:r w:rsidR="004821A8" w:rsidRPr="00135762">
        <w:rPr>
          <w:sz w:val="24"/>
          <w:szCs w:val="24"/>
        </w:rPr>
        <w:t>showed</w:t>
      </w:r>
      <w:r w:rsidR="005F5D96" w:rsidRPr="00135762">
        <w:rPr>
          <w:sz w:val="24"/>
          <w:szCs w:val="24"/>
        </w:rPr>
        <w:t xml:space="preserve"> relative reductions in ACR</w:t>
      </w:r>
      <w:r w:rsidR="005F5D96" w:rsidRPr="00135762">
        <w:rPr>
          <w:sz w:val="24"/>
          <w:szCs w:val="24"/>
        </w:rPr>
        <w:fldChar w:fldCharType="begin" w:fldLock="1"/>
      </w:r>
      <w:r w:rsidR="008736A2">
        <w:rPr>
          <w:sz w:val="24"/>
          <w:szCs w:val="24"/>
        </w:rPr>
        <w:instrText>ADDIN CSL_CITATION {"citationItems":[{"id":"ITEM-1","itemData":{"DOI":"10.1136/bmj.39478.378241.BE","ISBN":"1756-1833 (Electronic)\\r0959-535X (Linking)","ISSN":"0959-8138","PMID":"18349042","abstract":"OBJECTIVES: To describe independent predictors for the development of microalbuminuria and progression to macroalbuminuria in those with childhood onset type 1 diabetes. DESIGN: Prospective observational study with follow-up for 9.8 (SD 3.8) years. SETTING: Oxford regional prospective study. PARTICIPANTS: 527 participants with a diagnosis of type 1 diabetes at mean age 8.8 (SD 4.0) years. MAIN OUTCOME MEASURES: Annual measurement of glycated haemoglobin (HbA1c) and assessment of urinary albumin:creatinine ratio. RESULTS: Cumulative prevalence of microalbuminuria was 25.7% (95% confidence interval 21.3% to 30.1%) after 10 years of diabetes and 50.7% (40.5% to 60.9%) after 19 years of diabetes and 5182 patient years of follow-up. The only modifiable adjusted predictor for microalbuminuria was high HbA1c concentrations (hazard ratio per 1% rise in HbA1c 1.39, 1.27 to 1.52). Blood pressure and history of smoking were not predictors. Microalbuminuria was persistent in 48% of patients. Cumulative prevalence of progression from microalbuminuria to macroalbuminuria was 13.9% (12.9% to 14.9%); progression occurred at a mean age of 18.5 (5.8) years. Although the sample size was small, modifiable predictors of macroalbuminuria were higher HbA(1c) levels and both persistent and intermittent microalbuminuria (hazard ratios 1.42 (1.22 to 1.78), 27.72 (7.99 to 96.12), and 8.76 (2.44 to 31.44), respectively). CONCLUSION: In childhood onset type 1 diabetes, the only modifiable predictors were poor glycaemic control for the development of microalbuminuria and poor control and microalbuminuria (both persistent and intermittent) for progression to macroalbuminuria. Risk for macroalbuminuria is similar to that observed in cohorts with adult onset disease but as it occurs in young adult life early intervention in normotensive adolescents might be needed to improve prognosis.","author":[{"dropping-particle":"","family":"Amin","given":"Rakesh","non-dropping-particle":"","parse-names":false,"suffix":""},{"dropping-particle":"","family":"Widmer","given":"Barry","non-dropping-particle":"","parse-names":false,"suffix":""},{"dropping-particle":"","family":"Prevost","given":"a Toby","non-dropping-particle":"","parse-names":false,"suffix":""},{"dropping-particle":"","family":"Schwarze","given":"Phillip","non-dropping-particle":"","parse-names":false,"suffix":""},{"dropping-particle":"","family":"Cooper","given":"Jason","non-dropping-particle":"","parse-names":false,"suffix":""},{"dropping-particle":"","family":"Edge","given":"Julie","non-dropping-particle":"","parse-names":false,"suffix":""},{"dropping-particle":"","family":"Marcovecchio","given":"Loredana","non-dropping-particle":"","parse-names":false,"suffix":""},{"dropping-particle":"","family":"Neil","given":"Andrew","non-dropping-particle":"","parse-names":false,"suffix":""},{"dropping-particle":"","family":"Dalton","given":"R Neil","non-dropping-particle":"","parse-names":false,"suffix":""},{"dropping-particle":"","family":"Dunger","given":"David B","non-dropping-particle":"","parse-names":false,"suffix":""}],"container-title":"BMJ (Clinical research ed.)","id":"ITEM-1","issue":"7646","issued":{"date-parts":[["2008"]]},"page":"697-701","title":"Risk of microalbuminuria and progression to macroalbuminuria in a cohort with childhood onset type 1 diabetes: prospective observational study.","type":"article-journal","volume":"336"},"uris":["http://www.mendeley.com/documents/?uuid=84c653de-6d89-4031-864e-2055d827e8e7"]}],"mendeley":{"formattedCitation":"&lt;sup&gt;31&lt;/sup&gt;","plainTextFormattedCitation":"31","previouslyFormattedCitation":"&lt;sup&gt;31&lt;/sup&gt;"},"properties":{"noteIndex":0},"schema":"https://github.com/citation-style-language/schema/raw/master/csl-citation.json"}</w:instrText>
      </w:r>
      <w:r w:rsidR="005F5D96" w:rsidRPr="00135762">
        <w:rPr>
          <w:sz w:val="24"/>
          <w:szCs w:val="24"/>
        </w:rPr>
        <w:fldChar w:fldCharType="separate"/>
      </w:r>
      <w:r w:rsidR="00705406" w:rsidRPr="00705406">
        <w:rPr>
          <w:noProof/>
          <w:sz w:val="24"/>
          <w:szCs w:val="24"/>
          <w:vertAlign w:val="superscript"/>
        </w:rPr>
        <w:t>31</w:t>
      </w:r>
      <w:r w:rsidR="005F5D96" w:rsidRPr="00135762">
        <w:rPr>
          <w:sz w:val="24"/>
          <w:szCs w:val="24"/>
        </w:rPr>
        <w:fldChar w:fldCharType="end"/>
      </w:r>
      <w:r w:rsidR="005F5D96" w:rsidRPr="00135762">
        <w:rPr>
          <w:sz w:val="24"/>
          <w:szCs w:val="24"/>
        </w:rPr>
        <w:t>.</w:t>
      </w:r>
      <w:r w:rsidR="00F96BE4" w:rsidRPr="00135762">
        <w:rPr>
          <w:sz w:val="24"/>
          <w:szCs w:val="24"/>
        </w:rPr>
        <w:t xml:space="preserve"> </w:t>
      </w:r>
      <w:r w:rsidR="004821A8" w:rsidRPr="00135762">
        <w:rPr>
          <w:sz w:val="24"/>
          <w:szCs w:val="24"/>
        </w:rPr>
        <w:t>Importantly, i</w:t>
      </w:r>
      <w:r w:rsidR="00D47662" w:rsidRPr="00135762">
        <w:rPr>
          <w:sz w:val="24"/>
          <w:szCs w:val="24"/>
        </w:rPr>
        <w:t>n the ORPS</w:t>
      </w:r>
      <w:r w:rsidR="004821A8" w:rsidRPr="00135762">
        <w:rPr>
          <w:sz w:val="24"/>
          <w:szCs w:val="24"/>
        </w:rPr>
        <w:t xml:space="preserve"> and </w:t>
      </w:r>
      <w:r w:rsidR="00D47662" w:rsidRPr="00135762">
        <w:rPr>
          <w:sz w:val="24"/>
          <w:szCs w:val="24"/>
        </w:rPr>
        <w:t xml:space="preserve">NFS cohorts, using </w:t>
      </w:r>
      <w:r w:rsidR="005F5D96" w:rsidRPr="00135762">
        <w:rPr>
          <w:sz w:val="24"/>
          <w:szCs w:val="24"/>
        </w:rPr>
        <w:t xml:space="preserve">an algorithm </w:t>
      </w:r>
      <w:r w:rsidR="004821A8" w:rsidRPr="00135762">
        <w:rPr>
          <w:sz w:val="24"/>
          <w:szCs w:val="24"/>
        </w:rPr>
        <w:t xml:space="preserve">that </w:t>
      </w:r>
      <w:r w:rsidR="005F5D96" w:rsidRPr="00135762">
        <w:rPr>
          <w:sz w:val="24"/>
          <w:szCs w:val="24"/>
        </w:rPr>
        <w:t>allow</w:t>
      </w:r>
      <w:r w:rsidR="004821A8" w:rsidRPr="00135762">
        <w:rPr>
          <w:sz w:val="24"/>
          <w:szCs w:val="24"/>
        </w:rPr>
        <w:t>ed</w:t>
      </w:r>
      <w:r w:rsidR="005F5D96" w:rsidRPr="00135762">
        <w:rPr>
          <w:sz w:val="24"/>
          <w:szCs w:val="24"/>
        </w:rPr>
        <w:t xml:space="preserve"> adjustments of ACR for age, sex and duration of diabetes</w:t>
      </w:r>
      <w:r w:rsidR="00D47662" w:rsidRPr="00135762">
        <w:rPr>
          <w:sz w:val="24"/>
          <w:szCs w:val="24"/>
        </w:rPr>
        <w:t>,</w:t>
      </w:r>
      <w:r w:rsidR="005F5D96" w:rsidRPr="00135762">
        <w:rPr>
          <w:sz w:val="24"/>
          <w:szCs w:val="24"/>
        </w:rPr>
        <w:t xml:space="preserve"> </w:t>
      </w:r>
      <w:r w:rsidR="00A93F93" w:rsidRPr="00135762">
        <w:rPr>
          <w:sz w:val="24"/>
          <w:szCs w:val="24"/>
        </w:rPr>
        <w:t xml:space="preserve">an </w:t>
      </w:r>
      <w:r w:rsidR="009140AD" w:rsidRPr="00135762">
        <w:rPr>
          <w:sz w:val="24"/>
          <w:szCs w:val="24"/>
        </w:rPr>
        <w:t xml:space="preserve">ACR in the </w:t>
      </w:r>
      <w:r w:rsidR="00AE1072" w:rsidRPr="00135762">
        <w:rPr>
          <w:sz w:val="24"/>
          <w:szCs w:val="24"/>
        </w:rPr>
        <w:t>upper tertile of the normal range</w:t>
      </w:r>
      <w:r w:rsidR="00374B97">
        <w:rPr>
          <w:sz w:val="24"/>
          <w:szCs w:val="24"/>
        </w:rPr>
        <w:t xml:space="preserve"> </w:t>
      </w:r>
      <w:r w:rsidR="005F5D96" w:rsidRPr="00135762">
        <w:rPr>
          <w:sz w:val="24"/>
          <w:szCs w:val="24"/>
        </w:rPr>
        <w:t>at the age of 10 to</w:t>
      </w:r>
      <w:r w:rsidR="002F376D" w:rsidRPr="00135762">
        <w:rPr>
          <w:sz w:val="24"/>
          <w:szCs w:val="24"/>
        </w:rPr>
        <w:t xml:space="preserve"> </w:t>
      </w:r>
      <w:r w:rsidR="005F5D96" w:rsidRPr="00135762">
        <w:rPr>
          <w:sz w:val="24"/>
          <w:szCs w:val="24"/>
        </w:rPr>
        <w:t xml:space="preserve">16 years </w:t>
      </w:r>
      <w:r w:rsidR="00AE1072" w:rsidRPr="00135762">
        <w:rPr>
          <w:sz w:val="24"/>
          <w:szCs w:val="24"/>
        </w:rPr>
        <w:t xml:space="preserve">was </w:t>
      </w:r>
      <w:r w:rsidR="005F5D96" w:rsidRPr="00135762">
        <w:rPr>
          <w:sz w:val="24"/>
          <w:szCs w:val="24"/>
        </w:rPr>
        <w:t xml:space="preserve">highly predictive of </w:t>
      </w:r>
      <w:r w:rsidR="004821A8" w:rsidRPr="00135762">
        <w:rPr>
          <w:sz w:val="24"/>
          <w:szCs w:val="24"/>
        </w:rPr>
        <w:t>patients</w:t>
      </w:r>
      <w:r w:rsidR="005F5D96" w:rsidRPr="00135762">
        <w:rPr>
          <w:sz w:val="24"/>
          <w:szCs w:val="24"/>
        </w:rPr>
        <w:t xml:space="preserve"> who </w:t>
      </w:r>
      <w:r w:rsidR="00D47662" w:rsidRPr="00135762">
        <w:rPr>
          <w:sz w:val="24"/>
          <w:szCs w:val="24"/>
        </w:rPr>
        <w:t>later</w:t>
      </w:r>
      <w:r w:rsidR="005F5D96" w:rsidRPr="00135762">
        <w:rPr>
          <w:sz w:val="24"/>
          <w:szCs w:val="24"/>
        </w:rPr>
        <w:t xml:space="preserve"> develop</w:t>
      </w:r>
      <w:r w:rsidR="00D47662" w:rsidRPr="00135762">
        <w:rPr>
          <w:sz w:val="24"/>
          <w:szCs w:val="24"/>
        </w:rPr>
        <w:t>ed</w:t>
      </w:r>
      <w:r w:rsidR="005F5D96" w:rsidRPr="00135762">
        <w:rPr>
          <w:sz w:val="24"/>
          <w:szCs w:val="24"/>
        </w:rPr>
        <w:t xml:space="preserve"> nephropathy.</w:t>
      </w:r>
      <w:r w:rsidR="00F96BE4" w:rsidRPr="00135762">
        <w:rPr>
          <w:sz w:val="24"/>
          <w:szCs w:val="24"/>
        </w:rPr>
        <w:t xml:space="preserve"> </w:t>
      </w:r>
      <w:r w:rsidR="005F5D96" w:rsidRPr="00135762">
        <w:rPr>
          <w:sz w:val="24"/>
          <w:szCs w:val="24"/>
        </w:rPr>
        <w:t>This</w:t>
      </w:r>
      <w:r w:rsidR="00BB14E7" w:rsidRPr="00135762">
        <w:rPr>
          <w:sz w:val="24"/>
          <w:szCs w:val="24"/>
        </w:rPr>
        <w:t xml:space="preserve"> predictive ability</w:t>
      </w:r>
      <w:r w:rsidR="00374B97">
        <w:rPr>
          <w:sz w:val="24"/>
          <w:szCs w:val="24"/>
        </w:rPr>
        <w:t xml:space="preserve"> </w:t>
      </w:r>
      <w:r w:rsidR="005F5D96" w:rsidRPr="00135762">
        <w:rPr>
          <w:sz w:val="24"/>
          <w:szCs w:val="24"/>
        </w:rPr>
        <w:t>held true in young people with both persistent and intermittent changes in ACR</w:t>
      </w:r>
      <w:r w:rsidR="005F5D96" w:rsidRPr="00135762">
        <w:rPr>
          <w:sz w:val="24"/>
          <w:szCs w:val="24"/>
        </w:rPr>
        <w:fldChar w:fldCharType="begin" w:fldLock="1"/>
      </w:r>
      <w:r w:rsidR="00752474">
        <w:rPr>
          <w:sz w:val="24"/>
          <w:szCs w:val="24"/>
        </w:rPr>
        <w:instrText>ADDIN CSL_CITATION {"citationItems":[{"id":"ITEM-1","itemData":{"DOI":"10.1111/j.1464-5491.2006.02047.x","ISSN":"0742-3071","PMID":"17257274","abstract":"AIMS: To determine whether higher than average albumin excretion during early puberty identifies subjects who will subsequently develop microalbuminuria (MA) and clinical proteinuria.\n\nMETHODS: Longitudinal data from the Oxford Regional Prospective Study of Childhood Diabetes (ORPS; n = 554, median duration of follow-up 10 years; range 3.0-16.7) with assessment of albumin/creatinine ratios in three early morning urine samples collected annually. An albumin excretion phenotype was derived from longitudinal data, for each individual, defining deviation from the mean of regression models, including covariates gender, age, duration of diabetes and age at assessment. Tracking of the phenotypes was confirmed in a second independent cohort from Perth, Australia.\n\nRESULTS: The albumin excretion phenotype showed reasonable correlation between age 11-15 years and age 16-18 years in both cohorts, indicative of good 'tracking'. In the ORPS cohort, tertiles of the albumin excretion phenotype at aged 11-15 years were predictive of subsequent risk for the development of MA. All of the subjects developing clinical proteinuria had an albumin excretion phenotype in the upper tertile or an HbA(1c) &gt; 9% at aged 11-15 years.\n\nCONCLUSIONS: Identification of adolescents at risk of diabetic nephropathy using an albumin excretion phenotype is feasible. When combined with elevated HbA(1c), it may identify subjects for trial of early intervention with angiotensin-converting enzyme inhibitors/angiotensin-II receptor antagonists and statins to improve long-term prognosis in these subjects where sustained improvement in glycaemic control may be difficult to achieve.","author":[{"dropping-particle":"","family":"Dunger","given":"D B","non-dropping-particle":"","parse-names":false,"suffix":""},{"dropping-particle":"","family":"Schwarze","given":"C P","non-dropping-particle":"","parse-names":false,"suffix":""},{"dropping-particle":"","family":"Cooper","given":"J D","non-dropping-particle":"","parse-names":false,"suffix":""},{"dropping-particle":"","family":"Widmer","given":"B","non-dropping-particle":"","parse-names":false,"suffix":""},{"dropping-particle":"","family":"Neil","given":"H a W","non-dropping-particle":"","parse-names":false,"suffix":""},{"dropping-particle":"","family":"Shield","given":"J","non-dropping-particle":"","parse-names":false,"suffix":""},{"dropping-particle":"","family":"Edge","given":"J a","non-dropping-particle":"","parse-names":false,"suffix":""},{"dropping-particle":"","family":"Jones","given":"T W","non-dropping-particle":"","parse-names":false,"suffix":""},{"dropping-particle":"","family":"Daneman","given":"D","non-dropping-particle":"","parse-names":false,"suffix":""},{"dropping-particle":"","family":"Dalton","given":"R N","non-dropping-particle":"","parse-names":false,"suffix":""}],"container-title":"Diabetic medicine : a journal of the British Diabetic Association","id":"ITEM-1","issue":"2","issued":{"date-parts":[["2007","2"]]},"page":"131-6","title":"Can we identify adolescents at high risk for nephropathy before the development of microalbuminuria?","type":"article-journal","volume":"24"},"uris":["http://www.mendeley.com/documents/?uuid=ce531fb7-b206-4979-80a9-640ca7585c5e"]}],"mendeley":{"formattedCitation":"&lt;sup&gt;58&lt;/sup&gt;","plainTextFormattedCitation":"58","previouslyFormattedCitation":"&lt;sup&gt;59&lt;/sup&gt;"},"properties":{"noteIndex":0},"schema":"https://github.com/citation-style-language/schema/raw/master/csl-citation.json"}</w:instrText>
      </w:r>
      <w:r w:rsidR="005F5D96" w:rsidRPr="00135762">
        <w:rPr>
          <w:sz w:val="24"/>
          <w:szCs w:val="24"/>
        </w:rPr>
        <w:fldChar w:fldCharType="separate"/>
      </w:r>
      <w:r w:rsidR="00752474" w:rsidRPr="00752474">
        <w:rPr>
          <w:noProof/>
          <w:sz w:val="24"/>
          <w:szCs w:val="24"/>
          <w:vertAlign w:val="superscript"/>
        </w:rPr>
        <w:t>58</w:t>
      </w:r>
      <w:r w:rsidR="005F5D96" w:rsidRPr="00135762">
        <w:rPr>
          <w:sz w:val="24"/>
          <w:szCs w:val="24"/>
        </w:rPr>
        <w:fldChar w:fldCharType="end"/>
      </w:r>
      <w:r w:rsidR="005F5D96" w:rsidRPr="00135762">
        <w:rPr>
          <w:sz w:val="24"/>
          <w:szCs w:val="24"/>
        </w:rPr>
        <w:t>.</w:t>
      </w:r>
    </w:p>
    <w:p w14:paraId="73F50D1C" w14:textId="77777777" w:rsidR="00374B97" w:rsidRPr="00135762" w:rsidRDefault="00374B97" w:rsidP="006211EF">
      <w:pPr>
        <w:spacing w:after="0" w:line="360" w:lineRule="auto"/>
        <w:rPr>
          <w:sz w:val="24"/>
          <w:szCs w:val="24"/>
        </w:rPr>
      </w:pPr>
    </w:p>
    <w:p w14:paraId="23D056EB" w14:textId="0B5A1016" w:rsidR="000C02A0" w:rsidRPr="00135762" w:rsidRDefault="00CA6BCC" w:rsidP="00705114">
      <w:pPr>
        <w:spacing w:line="360" w:lineRule="auto"/>
        <w:rPr>
          <w:b/>
        </w:rPr>
      </w:pPr>
      <w:r w:rsidRPr="00135762">
        <w:rPr>
          <w:b/>
          <w:sz w:val="24"/>
        </w:rPr>
        <w:t>T</w:t>
      </w:r>
      <w:r w:rsidR="00882CBF" w:rsidRPr="00135762">
        <w:rPr>
          <w:b/>
          <w:sz w:val="24"/>
        </w:rPr>
        <w:t>he AdDIT</w:t>
      </w:r>
      <w:r w:rsidRPr="00135762">
        <w:rPr>
          <w:b/>
          <w:sz w:val="24"/>
        </w:rPr>
        <w:t xml:space="preserve"> studies</w:t>
      </w:r>
      <w:r w:rsidR="004821A8" w:rsidRPr="00135762">
        <w:rPr>
          <w:b/>
          <w:sz w:val="24"/>
        </w:rPr>
        <w:t xml:space="preserve"> </w:t>
      </w:r>
    </w:p>
    <w:p w14:paraId="5ACF1AC4" w14:textId="0A2FCD7E" w:rsidR="00C26D22" w:rsidRPr="00135762" w:rsidRDefault="00F21EB4" w:rsidP="0020209C">
      <w:pPr>
        <w:spacing w:line="360" w:lineRule="auto"/>
        <w:rPr>
          <w:sz w:val="24"/>
          <w:szCs w:val="24"/>
        </w:rPr>
      </w:pPr>
      <w:r w:rsidRPr="00135762">
        <w:rPr>
          <w:sz w:val="24"/>
          <w:szCs w:val="24"/>
        </w:rPr>
        <w:t>O</w:t>
      </w:r>
      <w:r w:rsidR="00E6486A" w:rsidRPr="00135762">
        <w:rPr>
          <w:sz w:val="24"/>
          <w:szCs w:val="24"/>
        </w:rPr>
        <w:t xml:space="preserve">bservations </w:t>
      </w:r>
      <w:r w:rsidRPr="00135762">
        <w:rPr>
          <w:sz w:val="24"/>
          <w:szCs w:val="24"/>
        </w:rPr>
        <w:t xml:space="preserve">from early cohort studies </w:t>
      </w:r>
      <w:r w:rsidR="00BE3B0E" w:rsidRPr="00135762">
        <w:rPr>
          <w:sz w:val="24"/>
          <w:szCs w:val="24"/>
        </w:rPr>
        <w:t xml:space="preserve">on the relationship between adolescent urinary ACR and </w:t>
      </w:r>
      <w:r w:rsidRPr="00135762">
        <w:rPr>
          <w:sz w:val="24"/>
          <w:szCs w:val="24"/>
        </w:rPr>
        <w:t xml:space="preserve">the </w:t>
      </w:r>
      <w:r w:rsidR="00BE3B0E" w:rsidRPr="00135762">
        <w:rPr>
          <w:sz w:val="24"/>
          <w:szCs w:val="24"/>
        </w:rPr>
        <w:t>risk of progression to diabetic nephropathy</w:t>
      </w:r>
      <w:r w:rsidR="00E6486A" w:rsidRPr="00135762">
        <w:rPr>
          <w:sz w:val="24"/>
          <w:szCs w:val="24"/>
        </w:rPr>
        <w:t xml:space="preserve"> led to the design of the </w:t>
      </w:r>
      <w:r w:rsidR="009D311B" w:rsidRPr="00135762">
        <w:rPr>
          <w:sz w:val="24"/>
          <w:szCs w:val="24"/>
        </w:rPr>
        <w:t>Adolescent Type 1 Diabetes cardio-renal Intervention Trial (</w:t>
      </w:r>
      <w:r w:rsidR="00E6486A" w:rsidRPr="00135762">
        <w:rPr>
          <w:sz w:val="24"/>
          <w:szCs w:val="24"/>
        </w:rPr>
        <w:t>AdDIT</w:t>
      </w:r>
      <w:r w:rsidR="009D311B" w:rsidRPr="00135762">
        <w:rPr>
          <w:sz w:val="24"/>
          <w:szCs w:val="24"/>
        </w:rPr>
        <w:t>)</w:t>
      </w:r>
      <w:r w:rsidR="00C419A1" w:rsidRPr="00135762">
        <w:rPr>
          <w:sz w:val="24"/>
          <w:szCs w:val="24"/>
        </w:rPr>
        <w:t xml:space="preserve"> studies</w:t>
      </w:r>
      <w:r w:rsidR="00E6486A" w:rsidRPr="00135762">
        <w:rPr>
          <w:sz w:val="24"/>
          <w:szCs w:val="24"/>
        </w:rPr>
        <w:fldChar w:fldCharType="begin" w:fldLock="1"/>
      </w:r>
      <w:r w:rsidR="00752474">
        <w:rPr>
          <w:sz w:val="24"/>
          <w:szCs w:val="24"/>
        </w:rPr>
        <w:instrText>ADDIN CSL_CITATION {"citationItems":[{"id":"ITEM-1","itemData":{"DOI":"10.1186/1471-2431-9-79","ISSN":"1471-2431","PMID":"20017932","abstract":"BACKGROUND: The prognosis for young people diagnosed with diabetes during childhood remains poor and this is mainly related to the long-term risk of developing vascular complications.Microalbuminuria identifies subjects at risk for diabetic nephropathy (DN) and cardiovascular disease (CVD). It is often detected in adolescence but is rarely treated before the age of 18 years, as at the end of puberty albumin excretion may decline and in some subjects will return into the normal range. However, evidence indicates that subjects with both transient and persistent microalbuminuria have experienced renal damage during puberty and thus reno-protection to prevent long-term complications is warranted. In adults with diabetes and microalbuminuria, the use of angiotensin converting enzyme inhibitors (ACEI) and Statins is increasing, and in order to determine whether these agents are of value in the adolescent population a large randomized controlled clinical trial is needed.\n\nMETHODS/DESIGN: The Adolescent type 1 Diabetes cardio-renal Intervention Trial (AdDIT) is a multi-center, randomized, double-blind, placebo-controlled trial of ACEI and Statin therapy in adolescents with type 1 diabetes. 500 high-risk adolescents, defined on the basis of their albumin excretion, are randomized to receive either ACEI (Quinapril) or Statins (Atorvastatin) or combination therapy or placebo for 3-4 years. There will also be a parallel open observational study, based on the follow-up of 400 low-risk non-randomized adolescents. The major endpoint of the study is the change in albumin excretion; secondary endpoints include markers of CVD, renal function, retinopathy, quality of life combined with assessment of compliance and potential health economic benefits.\n\nDISCUSSION: AdDIT will provide important data on the potential renal and cardiovascular protective effects of ACEI and Statins in high-risk adolescents. Long-term follow-up of the randomized subjects will provide direct evidence of disease outcomes, in addition to the data on early surrogate measures of DN and CVD. Follow-up of non-randomized low-risk subjects will determine the potential impact of intervention on DN and CVD. AdDIT will help to determine whether, in addition to encouraging young people to achieve good glycaemic control, pharmacological cardio-renal protection should also be implemented. EUDRACT NUMBER: 2007-001039-72\n\nTRIAL REGISTRATION NUMBER: ISRCTN91419926.","container-title":"BMC pediatrics","id":"ITEM-1","issued":{"date-parts":[["2009","1"]]},"page":"79","title":"Adolescent type 1 Diabetes Cardio-renal Intervention Trial (AdDIT).","type":"article-journal","volume":"9"},"uris":["http://www.mendeley.com/documents/?uuid=9dc25f6f-0309-4a6f-be25-a579354d9bd5"]}],"mendeley":{"formattedCitation":"&lt;sup&gt;62&lt;/sup&gt;","plainTextFormattedCitation":"62","previouslyFormattedCitation":"&lt;sup&gt;63&lt;/sup&gt;"},"properties":{"noteIndex":0},"schema":"https://github.com/citation-style-language/schema/raw/master/csl-citation.json"}</w:instrText>
      </w:r>
      <w:r w:rsidR="00E6486A" w:rsidRPr="00135762">
        <w:rPr>
          <w:sz w:val="24"/>
          <w:szCs w:val="24"/>
          <w:vertAlign w:val="superscript"/>
        </w:rPr>
        <w:fldChar w:fldCharType="separate"/>
      </w:r>
      <w:r w:rsidR="00752474" w:rsidRPr="00752474">
        <w:rPr>
          <w:noProof/>
          <w:sz w:val="24"/>
          <w:szCs w:val="24"/>
          <w:vertAlign w:val="superscript"/>
        </w:rPr>
        <w:t>62</w:t>
      </w:r>
      <w:r w:rsidR="00E6486A" w:rsidRPr="00135762">
        <w:rPr>
          <w:sz w:val="24"/>
          <w:szCs w:val="24"/>
        </w:rPr>
        <w:fldChar w:fldCharType="end"/>
      </w:r>
      <w:r w:rsidR="00E6486A" w:rsidRPr="00135762">
        <w:rPr>
          <w:sz w:val="24"/>
          <w:szCs w:val="24"/>
        </w:rPr>
        <w:t>.</w:t>
      </w:r>
      <w:r w:rsidR="00F96BE4" w:rsidRPr="00135762">
        <w:rPr>
          <w:sz w:val="24"/>
          <w:szCs w:val="24"/>
        </w:rPr>
        <w:t xml:space="preserve"> </w:t>
      </w:r>
      <w:r w:rsidRPr="00135762">
        <w:rPr>
          <w:sz w:val="24"/>
          <w:szCs w:val="24"/>
        </w:rPr>
        <w:t xml:space="preserve">The </w:t>
      </w:r>
      <w:r w:rsidR="0090422F" w:rsidRPr="00135762">
        <w:rPr>
          <w:sz w:val="24"/>
          <w:szCs w:val="24"/>
        </w:rPr>
        <w:t xml:space="preserve">rationale for the </w:t>
      </w:r>
      <w:r w:rsidRPr="00135762">
        <w:rPr>
          <w:sz w:val="24"/>
          <w:szCs w:val="24"/>
        </w:rPr>
        <w:t>trial</w:t>
      </w:r>
      <w:r w:rsidR="00F96BE4" w:rsidRPr="00135762">
        <w:rPr>
          <w:sz w:val="24"/>
          <w:szCs w:val="24"/>
        </w:rPr>
        <w:t xml:space="preserve"> </w:t>
      </w:r>
      <w:r w:rsidR="0090422F" w:rsidRPr="00135762">
        <w:rPr>
          <w:sz w:val="24"/>
          <w:szCs w:val="24"/>
        </w:rPr>
        <w:t xml:space="preserve">was </w:t>
      </w:r>
      <w:r w:rsidR="00E6486A" w:rsidRPr="00135762">
        <w:rPr>
          <w:sz w:val="24"/>
          <w:szCs w:val="24"/>
        </w:rPr>
        <w:t>that adolescents (</w:t>
      </w:r>
      <w:r w:rsidRPr="00135762">
        <w:rPr>
          <w:sz w:val="24"/>
          <w:szCs w:val="24"/>
        </w:rPr>
        <w:t xml:space="preserve">aged </w:t>
      </w:r>
      <w:r w:rsidR="00E6486A" w:rsidRPr="00135762">
        <w:rPr>
          <w:sz w:val="24"/>
          <w:szCs w:val="24"/>
        </w:rPr>
        <w:t>10</w:t>
      </w:r>
      <w:r w:rsidRPr="00135762">
        <w:rPr>
          <w:sz w:val="24"/>
          <w:szCs w:val="24"/>
        </w:rPr>
        <w:t>–</w:t>
      </w:r>
      <w:r w:rsidR="00E6486A" w:rsidRPr="00135762">
        <w:rPr>
          <w:sz w:val="24"/>
          <w:szCs w:val="24"/>
        </w:rPr>
        <w:t xml:space="preserve">16 years-old) </w:t>
      </w:r>
      <w:r w:rsidRPr="00135762">
        <w:rPr>
          <w:sz w:val="24"/>
          <w:szCs w:val="24"/>
        </w:rPr>
        <w:t xml:space="preserve">who were </w:t>
      </w:r>
      <w:r w:rsidR="00E6486A" w:rsidRPr="00135762">
        <w:rPr>
          <w:sz w:val="24"/>
          <w:szCs w:val="24"/>
        </w:rPr>
        <w:t>in the highest tertile of ACR</w:t>
      </w:r>
      <w:r w:rsidR="00D47662" w:rsidRPr="00135762">
        <w:rPr>
          <w:sz w:val="24"/>
          <w:szCs w:val="24"/>
        </w:rPr>
        <w:t xml:space="preserve">, but still </w:t>
      </w:r>
      <w:r w:rsidRPr="00135762">
        <w:rPr>
          <w:sz w:val="24"/>
          <w:szCs w:val="24"/>
        </w:rPr>
        <w:t xml:space="preserve">fell </w:t>
      </w:r>
      <w:r w:rsidR="00D47662" w:rsidRPr="00135762">
        <w:rPr>
          <w:sz w:val="24"/>
          <w:szCs w:val="24"/>
        </w:rPr>
        <w:t>below the cut</w:t>
      </w:r>
      <w:r w:rsidR="000F030A" w:rsidRPr="00135762">
        <w:rPr>
          <w:sz w:val="24"/>
          <w:szCs w:val="24"/>
        </w:rPr>
        <w:t>-</w:t>
      </w:r>
      <w:r w:rsidR="00D47662" w:rsidRPr="00135762">
        <w:rPr>
          <w:sz w:val="24"/>
          <w:szCs w:val="24"/>
        </w:rPr>
        <w:t xml:space="preserve">off </w:t>
      </w:r>
      <w:r w:rsidRPr="00135762">
        <w:rPr>
          <w:sz w:val="24"/>
          <w:szCs w:val="24"/>
        </w:rPr>
        <w:t>for</w:t>
      </w:r>
      <w:r w:rsidR="00D47662" w:rsidRPr="00135762">
        <w:rPr>
          <w:sz w:val="24"/>
          <w:szCs w:val="24"/>
        </w:rPr>
        <w:t xml:space="preserve"> microalbuminuria,</w:t>
      </w:r>
      <w:r w:rsidR="00E6486A" w:rsidRPr="00135762">
        <w:rPr>
          <w:sz w:val="24"/>
          <w:szCs w:val="24"/>
        </w:rPr>
        <w:t xml:space="preserve"> would </w:t>
      </w:r>
      <w:r w:rsidRPr="00135762">
        <w:rPr>
          <w:sz w:val="24"/>
          <w:szCs w:val="24"/>
        </w:rPr>
        <w:t>probably</w:t>
      </w:r>
      <w:r w:rsidR="00E6486A" w:rsidRPr="00135762">
        <w:rPr>
          <w:sz w:val="24"/>
          <w:szCs w:val="24"/>
        </w:rPr>
        <w:t xml:space="preserve"> be at greatest risk of complications and </w:t>
      </w:r>
      <w:r w:rsidRPr="00135762">
        <w:rPr>
          <w:sz w:val="24"/>
          <w:szCs w:val="24"/>
        </w:rPr>
        <w:t xml:space="preserve">might </w:t>
      </w:r>
      <w:r w:rsidR="00E6486A" w:rsidRPr="00135762">
        <w:rPr>
          <w:sz w:val="24"/>
          <w:szCs w:val="24"/>
        </w:rPr>
        <w:t xml:space="preserve">benefit from </w:t>
      </w:r>
      <w:r w:rsidR="00C419A1" w:rsidRPr="00135762">
        <w:rPr>
          <w:sz w:val="24"/>
          <w:szCs w:val="24"/>
        </w:rPr>
        <w:t>2</w:t>
      </w:r>
      <w:r w:rsidRPr="00135762">
        <w:rPr>
          <w:sz w:val="24"/>
          <w:szCs w:val="24"/>
        </w:rPr>
        <w:t>–</w:t>
      </w:r>
      <w:r w:rsidR="00C419A1" w:rsidRPr="00135762">
        <w:rPr>
          <w:sz w:val="24"/>
          <w:szCs w:val="24"/>
        </w:rPr>
        <w:t xml:space="preserve">4 years </w:t>
      </w:r>
      <w:r w:rsidR="00E6486A" w:rsidRPr="00135762">
        <w:rPr>
          <w:sz w:val="24"/>
          <w:szCs w:val="24"/>
        </w:rPr>
        <w:t>treatment with angiotensin-converting enzyme (ACE) inhibitors and</w:t>
      </w:r>
      <w:r w:rsidR="00C419A1" w:rsidRPr="00135762">
        <w:rPr>
          <w:sz w:val="24"/>
          <w:szCs w:val="24"/>
        </w:rPr>
        <w:t>/or</w:t>
      </w:r>
      <w:r w:rsidR="00E6486A" w:rsidRPr="00135762">
        <w:rPr>
          <w:sz w:val="24"/>
          <w:szCs w:val="24"/>
        </w:rPr>
        <w:t xml:space="preserve"> statins</w:t>
      </w:r>
      <w:r w:rsidRPr="00135762">
        <w:rPr>
          <w:sz w:val="24"/>
          <w:szCs w:val="24"/>
        </w:rPr>
        <w:t xml:space="preserve"> to protect against </w:t>
      </w:r>
      <w:r w:rsidR="001468A9" w:rsidRPr="00135762">
        <w:rPr>
          <w:sz w:val="24"/>
          <w:szCs w:val="24"/>
        </w:rPr>
        <w:t>renal</w:t>
      </w:r>
      <w:r w:rsidR="002E1F3E" w:rsidRPr="00135762">
        <w:rPr>
          <w:sz w:val="24"/>
          <w:szCs w:val="24"/>
        </w:rPr>
        <w:t>, retinal</w:t>
      </w:r>
      <w:r w:rsidR="001468A9" w:rsidRPr="00135762">
        <w:rPr>
          <w:sz w:val="24"/>
          <w:szCs w:val="24"/>
        </w:rPr>
        <w:t xml:space="preserve"> and </w:t>
      </w:r>
      <w:r w:rsidRPr="00135762">
        <w:rPr>
          <w:sz w:val="24"/>
          <w:szCs w:val="24"/>
        </w:rPr>
        <w:t>cardiovascular complications</w:t>
      </w:r>
      <w:r w:rsidR="00E6486A" w:rsidRPr="00135762">
        <w:rPr>
          <w:sz w:val="24"/>
          <w:szCs w:val="24"/>
        </w:rPr>
        <w:fldChar w:fldCharType="begin" w:fldLock="1"/>
      </w:r>
      <w:r w:rsidR="00752474">
        <w:rPr>
          <w:sz w:val="24"/>
          <w:szCs w:val="24"/>
        </w:rPr>
        <w:instrText>ADDIN CSL_CITATION {"citationItems":[{"id":"ITEM-1","itemData":{"DOI":"10.1056/NEJMoa1703518","ISSN":"0028-4793","PMID":"29091568","abstract":"BACKGROUND Among adolescents with type 1 diabetes, rapid increases in albumin excretion during puberty precede the development of microalbuminuria and macroalbuminuria, long-term risk factors for renal and cardiovascular disease. We hypothesized that adolescents with high levels of albumin excretion might benefit from angiotensin-converting-enzyme (ACE) inhibitors and statins, drugs that have not been fully evaluated in adolescents. METHODS We screened 4407 adolescents with type 1 diabetes between the ages of 10 and 16 years of age and identified 1287 with values in the upper third of the albumin-to-creatinine ratios; 443 were randomly assigned in a placebo-controlled trial of an ACE inhibitor and a statin with the use of a 2-by-2 factorial design minimizing differences in baseline characteristics such as age, sex, and duration of diabetes. The primary outcome for both interventions was the change in albumin excretion, assessed according to the albumin-to-creatinine ratio calculated from three early-morning urine samples obtained every 6 months over 2 to 4 years, and expressed as the area under the curve. Key secondary outcomes included the development of microalbuminuria, progression of retinopathy, changes in the glomerular filtration rate, lipid levels, and measures of cardiovascular risk (carotid intima-media thickness and levels of high-sensitivity C-reactive protein and asymmetric dimethylarginine). RESULTS The primary outcome was not affected by ACE inhibitor therapy, statin therapy, or the combination of the two. The use of an ACE inhibitor was associated with a lower incidence of microalbuminuria than the use of placebo; in the context of negative findings for the primary outcome and statistical analysis plan, this lower incidence was not considered significant (hazard ratio, 0.57; 95% confidence interval, 0.35 to 0.94). Statin use resulted in significant reductions in total, low-density lipoprotein, and non-high-density lipoprotein cholesterol levels, in triglyceride levels, and in the ratio of apolipoprotein B to apolipoprotein A1, whereas neither drug had significant effects on carotid intima-media thickness, other cardiovascular markers, the glomerular filtration rate, or progression of retinopathy. Overall adherence to the drug regimen was 75%, and serious adverse events were similar across the groups. CONCLUSIONS The use of an ACE inhibitor and a statin did not change the albumin-to-creatinine ratio over time. (Funded by the Juvenile Diab…","author":[{"dropping-particle":"","family":"Marcovecchio","given":"M. Loredana","non-dropping-particle":"","parse-names":false,"suffix":""},{"dropping-particle":"","family":"Chiesa","given":"Scott T.","non-dropping-particle":"","parse-names":false,"suffix":""},{"dropping-particle":"","family":"Bond","given":"Simon","non-dropping-particle":"","parse-names":false,"suffix":""},{"dropping-particle":"","family":"Daneman","given":"Denis","non-dropping-particle":"","parse-names":false,"suffix":""},{"dropping-particle":"","family":"Dawson","given":"Sarah","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B.","non-dropping-particle":"","parse-names":false,"suffix":""},{"dropping-particle":"","family":"AdDIT Study Group","given":"","non-dropping-particle":"","parse-names":false,"suffix":""}],"container-title":"New England Journal of Medicine","id":"ITEM-1","issue":"18","issued":{"date-parts":[["2017","11","2"]]},"page":"1733-1745","title":"ACE Inhibitors and Statins in Adolescents with Type 1 Diabetes","type":"article-journal","volume":"377"},"uris":["http://www.mendeley.com/documents/?uuid=5f1f94b2-1b02-32e3-8a47-aac8b8c00527"]}],"mendeley":{"formattedCitation":"&lt;sup&gt;63&lt;/sup&gt;","plainTextFormattedCitation":"63","previouslyFormattedCitation":"&lt;sup&gt;64&lt;/sup&gt;"},"properties":{"noteIndex":0},"schema":"https://github.com/citation-style-language/schema/raw/master/csl-citation.json"}</w:instrText>
      </w:r>
      <w:r w:rsidR="00E6486A" w:rsidRPr="00135762">
        <w:rPr>
          <w:sz w:val="24"/>
          <w:szCs w:val="24"/>
        </w:rPr>
        <w:fldChar w:fldCharType="separate"/>
      </w:r>
      <w:r w:rsidR="00752474" w:rsidRPr="00752474">
        <w:rPr>
          <w:noProof/>
          <w:sz w:val="24"/>
          <w:szCs w:val="24"/>
          <w:vertAlign w:val="superscript"/>
        </w:rPr>
        <w:t>63</w:t>
      </w:r>
      <w:r w:rsidR="00E6486A" w:rsidRPr="00135762">
        <w:rPr>
          <w:sz w:val="24"/>
          <w:szCs w:val="24"/>
        </w:rPr>
        <w:fldChar w:fldCharType="end"/>
      </w:r>
      <w:r w:rsidR="00E6486A" w:rsidRPr="00135762">
        <w:rPr>
          <w:sz w:val="24"/>
          <w:szCs w:val="24"/>
        </w:rPr>
        <w:t>.</w:t>
      </w:r>
      <w:r w:rsidR="001151AA" w:rsidRPr="00135762">
        <w:rPr>
          <w:sz w:val="24"/>
          <w:szCs w:val="24"/>
        </w:rPr>
        <w:t xml:space="preserve"> These drugs are indicated for use in adults with T1DM who have microalbuminuria</w:t>
      </w:r>
      <w:r w:rsidR="001151AA" w:rsidRPr="00135762">
        <w:rPr>
          <w:rFonts w:cstheme="minorHAnsi"/>
          <w:sz w:val="24"/>
          <w:szCs w:val="24"/>
          <w:lang w:val="en-US" w:eastAsia="it-IT"/>
        </w:rPr>
        <w:fldChar w:fldCharType="begin" w:fldLock="1"/>
      </w:r>
      <w:r w:rsidR="00752474">
        <w:rPr>
          <w:rFonts w:cstheme="minorHAnsi"/>
          <w:sz w:val="24"/>
          <w:szCs w:val="24"/>
          <w:lang w:val="en-US" w:eastAsia="it-IT"/>
        </w:rPr>
        <w:instrText>ADDIN CSL_CITATION {"citationItems":[{"id":"ITEM-1","itemData":{"URL":"https://www.nice.org.uk/guidance/ng17/chapter/1-recommendations#managing-complications","author":[{"dropping-particle":"","family":"NICE","given":"","non-dropping-particle":"","parse-names":false,"suffix":""}],"container-title":"2016","id":"ITEM-1","issued":{"date-parts":[["0"]]},"title":"Type 1 diabetes in adults: diagnosis and management","type":"webpage"},"uris":["http://www.mendeley.com/documents/?uuid=2174ecc5-e299-416b-9fbf-417b70ddd180","http://www.mendeley.com/documents/?uuid=b5144b02-9e60-4cd8-a0b6-ff8f358cff2a"]}],"mendeley":{"formattedCitation":"&lt;sup&gt;64&lt;/sup&gt;","plainTextFormattedCitation":"64","previouslyFormattedCitation":"&lt;sup&gt;65&lt;/sup&gt;"},"properties":{"noteIndex":0},"schema":"https://github.com/citation-style-language/schema/raer/csl-citation.json"}</w:instrText>
      </w:r>
      <w:r w:rsidR="001151AA" w:rsidRPr="00135762">
        <w:rPr>
          <w:rFonts w:cstheme="minorHAnsi"/>
          <w:sz w:val="24"/>
          <w:szCs w:val="24"/>
          <w:lang w:val="en-US" w:eastAsia="it-IT"/>
        </w:rPr>
        <w:fldChar w:fldCharType="separate"/>
      </w:r>
      <w:r w:rsidR="00752474" w:rsidRPr="00752474">
        <w:rPr>
          <w:rFonts w:cstheme="minorHAnsi"/>
          <w:noProof/>
          <w:sz w:val="24"/>
          <w:szCs w:val="24"/>
          <w:vertAlign w:val="superscript"/>
          <w:lang w:val="en-US" w:eastAsia="it-IT"/>
        </w:rPr>
        <w:t>64</w:t>
      </w:r>
      <w:r w:rsidR="001151AA" w:rsidRPr="00135762">
        <w:rPr>
          <w:rFonts w:cstheme="minorHAnsi"/>
          <w:sz w:val="24"/>
          <w:szCs w:val="24"/>
          <w:lang w:val="en-US" w:eastAsia="it-IT"/>
        </w:rPr>
        <w:fldChar w:fldCharType="end"/>
      </w:r>
      <w:r w:rsidR="001151AA" w:rsidRPr="00135762">
        <w:rPr>
          <w:sz w:val="24"/>
          <w:szCs w:val="24"/>
        </w:rPr>
        <w:t>.</w:t>
      </w:r>
      <w:r w:rsidR="00F96BE4" w:rsidRPr="00135762">
        <w:rPr>
          <w:sz w:val="24"/>
          <w:szCs w:val="24"/>
        </w:rPr>
        <w:t xml:space="preserve"> </w:t>
      </w:r>
      <w:r w:rsidR="00E6486A" w:rsidRPr="00135762">
        <w:rPr>
          <w:sz w:val="24"/>
          <w:szCs w:val="24"/>
        </w:rPr>
        <w:t>The AdDIT protocol also included an observational untreated cohort</w:t>
      </w:r>
      <w:r w:rsidRPr="00135762">
        <w:rPr>
          <w:sz w:val="24"/>
          <w:szCs w:val="24"/>
        </w:rPr>
        <w:t>, who were</w:t>
      </w:r>
      <w:r w:rsidR="00E6486A" w:rsidRPr="00135762">
        <w:rPr>
          <w:sz w:val="24"/>
          <w:szCs w:val="24"/>
        </w:rPr>
        <w:t xml:space="preserve"> deemed to be at low risk</w:t>
      </w:r>
      <w:r w:rsidRPr="00135762">
        <w:rPr>
          <w:sz w:val="24"/>
          <w:szCs w:val="24"/>
        </w:rPr>
        <w:t xml:space="preserve"> of complications</w:t>
      </w:r>
      <w:r w:rsidR="00E6486A" w:rsidRPr="00135762">
        <w:rPr>
          <w:sz w:val="24"/>
          <w:szCs w:val="24"/>
        </w:rPr>
        <w:t xml:space="preserve"> based on an ACR </w:t>
      </w:r>
      <w:r w:rsidR="00A36639" w:rsidRPr="00135762">
        <w:rPr>
          <w:sz w:val="24"/>
          <w:szCs w:val="24"/>
        </w:rPr>
        <w:t xml:space="preserve">falling </w:t>
      </w:r>
      <w:r w:rsidR="00E6486A" w:rsidRPr="00135762">
        <w:rPr>
          <w:sz w:val="24"/>
          <w:szCs w:val="24"/>
        </w:rPr>
        <w:t>in the low and middle tertiles</w:t>
      </w:r>
      <w:r w:rsidR="00A36639" w:rsidRPr="00135762">
        <w:rPr>
          <w:sz w:val="24"/>
          <w:szCs w:val="24"/>
        </w:rPr>
        <w:t>; these</w:t>
      </w:r>
      <w:r w:rsidR="00E6486A" w:rsidRPr="00135762">
        <w:rPr>
          <w:sz w:val="24"/>
          <w:szCs w:val="24"/>
        </w:rPr>
        <w:t xml:space="preserve"> adolescents were also followed over 2</w:t>
      </w:r>
      <w:r w:rsidR="00A36639" w:rsidRPr="00135762">
        <w:rPr>
          <w:sz w:val="24"/>
          <w:szCs w:val="24"/>
        </w:rPr>
        <w:t>–</w:t>
      </w:r>
      <w:r w:rsidR="00E6486A" w:rsidRPr="00135762">
        <w:rPr>
          <w:sz w:val="24"/>
          <w:szCs w:val="24"/>
        </w:rPr>
        <w:t>4 years</w:t>
      </w:r>
      <w:r w:rsidR="00E6486A" w:rsidRPr="00135762">
        <w:rPr>
          <w:sz w:val="24"/>
          <w:szCs w:val="24"/>
        </w:rPr>
        <w:fldChar w:fldCharType="begin" w:fldLock="1"/>
      </w:r>
      <w:r w:rsidR="00752474">
        <w:rPr>
          <w:sz w:val="24"/>
          <w:szCs w:val="24"/>
        </w:rPr>
        <w:instrText>ADDIN CSL_CITATION {"citationItems":[{"id":"ITEM-1","itemData":{"DOI":"10.2337/dc13-1634","ISSN":"1935-5548","PMID":"24198300","abstract":"OBJECTIVE: We assessed the association between early increases in albumin excretion and cardiovascular (CV) and renal markers in a large cohort of young people with type 1 diabetes.\n\nRESEARCH DESIGN AND METHODS: As part of preliminary screening for a multicenter, randomized controlled trial of statins/ACE inhibitors, we measured albumin-creatinine ratio (ACR) in six early morning urine samples from 3,353 adolescents (10-16 years of age) and calculated tertiles based on an established algorithm. From those subjects deemed to be at higher risk (upper ACR tertile), we recruited 400 into the intervention study (trial cohort). From those subjects deemed to be at lower risk (middle-lower ACR tertiles), we recruited 329 to the observation cohort. At baseline, vascular measurements (carotid intima-media thickness, pulse wave velocity [PWV], flow-mediated dilatation, digital pulse amplitude tonometry), renal markers (symmetric dimethylarginine, cystatin C, creatinine), and CV disease markers (lipids and apolipoproteins [Apo] A-1 and B, C-reactive protein, asymmetric dimethylarginine) were assessed.\n\nRESULTS: Age- and sex-adjusted PWV was higher in the trial than in the observational cohort (5.00 ± 0.84 vs. 4.86 ± 0.70 m/s; P = 0.021). Similarly, non-HDL cholesterol (2.95 ± 0.83 vs. 2.81 ± 0.78 mmol/L; P = 0.02) and ApoB-ApoA-1 ratio (0.50 ± 0.14 vs. 0.47 ± 0.11; P = 0.04) were higher in the trial cohort. Cystatin C and creatinine were decreased (0.88 ± 0.13 vs. 0.90 ± 0.13 mg/L, P = 0.04; 51.81 ± 10.45 vs. 55.35 ± 11.05 μmol/L, P &lt; 0.001; respectively) and estimated glomerular filtration rate (137.05 ± 23.89 vs. 129.31 ± 22.41 mL/min/1.73 m(2); P &lt; 0.001) increased in the trial compared with the observational cohort.\n\nCONCLUSIONS: Our data demonstrate that in adolescents with type 1 diabetes, the group with the highest tertile of albumin excretion showed more evidence of early renal and CV disease than those in the lower tertiles.","author":[{"dropping-particle":"","family":"Marcovecchio","given":"M Loredana","non-dropping-particle":"","parse-names":false,"suffix":""},{"dropping-particle":"","family":"Woodside","given":"John","non-dropping-particle":"","parse-names":false,"suffix":""},{"dropping-particle":"","family":"Jones","given":"Timothy","non-dropping-particle":"","parse-names":false,"suffix":""},{"dropping-particle":"","family":"Daneman","given":"Denis","non-dropping-particle":"","parse-names":false,"suffix":""},{"dropping-particle":"","family":"Neil","given":"Andrew","non-dropping-particle":"","parse-names":false,"suffix":""},{"dropping-particle":"","family":"Prevost","given":"Toby","non-dropping-particle":"","parse-names":false,"suffix":""},{"dropping-particle":"","family":"Dalton","given":"R Neil","non-dropping-particle":"","parse-names":false,"suffix":""},{"dropping-particle":"","family":"Deanfield","given":"John","non-dropping-particle":"","parse-names":false,"suffix":""},{"dropping-particle":"","family":"Dunger","given":"David B","non-dropping-particle":"","parse-names":false,"suffix":""}],"container-title":"Diabetes care","id":"ITEM-1","issue":"3","issued":{"date-parts":[["2014","1"]]},"page":"805-13","title":"Adolescent Type 1 Diabetes Cardio-Renal Intervention Trial (AdDIT): urinary screening and baseline biochemical and cardiovascular assessments.","type":"article-journal","volume":"37"},"uris":["http://www.mendeley.com/documents/?uuid=b7f2b83c-e92f-4d55-a0a3-d16b717dcd7f"]}],"mendeley":{"formattedCitation":"&lt;sup&gt;65&lt;/sup&gt;","plainTextFormattedCitation":"65","previouslyFormattedCitation":"&lt;sup&gt;66&lt;/sup&gt;"},"properties":{"noteIndex":0},"schema":"https://github.com/citation-style-language/schema/raw/master/csl-citation.json"}</w:instrText>
      </w:r>
      <w:r w:rsidR="00E6486A" w:rsidRPr="00135762">
        <w:rPr>
          <w:sz w:val="24"/>
          <w:szCs w:val="24"/>
        </w:rPr>
        <w:fldChar w:fldCharType="separate"/>
      </w:r>
      <w:r w:rsidR="00752474" w:rsidRPr="00752474">
        <w:rPr>
          <w:noProof/>
          <w:sz w:val="24"/>
          <w:szCs w:val="24"/>
          <w:vertAlign w:val="superscript"/>
        </w:rPr>
        <w:t>65</w:t>
      </w:r>
      <w:r w:rsidR="00E6486A" w:rsidRPr="00135762">
        <w:rPr>
          <w:sz w:val="24"/>
          <w:szCs w:val="24"/>
        </w:rPr>
        <w:fldChar w:fldCharType="end"/>
      </w:r>
      <w:r w:rsidR="00C72790" w:rsidRPr="00135762">
        <w:rPr>
          <w:sz w:val="24"/>
          <w:szCs w:val="24"/>
        </w:rPr>
        <w:t xml:space="preserve"> (Figure </w:t>
      </w:r>
      <w:r w:rsidR="0024119A" w:rsidRPr="00135762">
        <w:rPr>
          <w:sz w:val="24"/>
          <w:szCs w:val="24"/>
        </w:rPr>
        <w:t>3</w:t>
      </w:r>
      <w:r w:rsidR="00C72790" w:rsidRPr="00135762">
        <w:rPr>
          <w:sz w:val="24"/>
          <w:szCs w:val="24"/>
        </w:rPr>
        <w:t>)</w:t>
      </w:r>
      <w:r w:rsidR="00E6486A" w:rsidRPr="00135762">
        <w:rPr>
          <w:sz w:val="24"/>
          <w:szCs w:val="24"/>
        </w:rPr>
        <w:t>.</w:t>
      </w:r>
      <w:r w:rsidR="00F96BE4" w:rsidRPr="00135762">
        <w:rPr>
          <w:sz w:val="24"/>
          <w:szCs w:val="24"/>
        </w:rPr>
        <w:t xml:space="preserve"> </w:t>
      </w:r>
    </w:p>
    <w:p w14:paraId="41C1B624" w14:textId="77777777" w:rsidR="00F21EB4" w:rsidRPr="00135762" w:rsidRDefault="00F21EB4" w:rsidP="00EA78DD">
      <w:pPr>
        <w:autoSpaceDE w:val="0"/>
        <w:autoSpaceDN w:val="0"/>
        <w:adjustRightInd w:val="0"/>
        <w:spacing w:after="0" w:line="360" w:lineRule="auto"/>
        <w:rPr>
          <w:rFonts w:cstheme="minorHAnsi"/>
          <w:sz w:val="24"/>
          <w:szCs w:val="24"/>
        </w:rPr>
      </w:pPr>
    </w:p>
    <w:p w14:paraId="2E869ACC" w14:textId="170CCF06" w:rsidR="00CA6BCC" w:rsidRPr="00135762" w:rsidRDefault="00706022" w:rsidP="00EA78DD">
      <w:pPr>
        <w:autoSpaceDE w:val="0"/>
        <w:autoSpaceDN w:val="0"/>
        <w:adjustRightInd w:val="0"/>
        <w:spacing w:after="0" w:line="360" w:lineRule="auto"/>
        <w:rPr>
          <w:rFonts w:cstheme="minorHAnsi"/>
          <w:sz w:val="24"/>
          <w:szCs w:val="24"/>
        </w:rPr>
      </w:pPr>
      <w:r>
        <w:rPr>
          <w:rFonts w:cstheme="minorHAnsi"/>
          <w:i/>
          <w:sz w:val="24"/>
          <w:szCs w:val="24"/>
        </w:rPr>
        <w:t>ACR tertiles</w:t>
      </w:r>
    </w:p>
    <w:p w14:paraId="587E5D7A" w14:textId="1048606B" w:rsidR="004856D6" w:rsidRPr="00135762" w:rsidRDefault="00AD13E1" w:rsidP="00EA78DD">
      <w:pPr>
        <w:autoSpaceDE w:val="0"/>
        <w:autoSpaceDN w:val="0"/>
        <w:adjustRightInd w:val="0"/>
        <w:spacing w:after="0" w:line="360" w:lineRule="auto"/>
        <w:rPr>
          <w:rFonts w:cstheme="minorHAnsi"/>
          <w:bCs/>
          <w:sz w:val="24"/>
          <w:szCs w:val="24"/>
        </w:rPr>
      </w:pPr>
      <w:r w:rsidRPr="00135762">
        <w:rPr>
          <w:rFonts w:cstheme="minorHAnsi"/>
          <w:sz w:val="24"/>
          <w:szCs w:val="24"/>
        </w:rPr>
        <w:t xml:space="preserve">Screening </w:t>
      </w:r>
      <w:r w:rsidR="00757193" w:rsidRPr="00135762">
        <w:rPr>
          <w:rFonts w:cstheme="minorHAnsi"/>
          <w:sz w:val="24"/>
          <w:szCs w:val="24"/>
        </w:rPr>
        <w:t>for</w:t>
      </w:r>
      <w:r w:rsidR="00374B97">
        <w:rPr>
          <w:rFonts w:cstheme="minorHAnsi"/>
          <w:sz w:val="24"/>
          <w:szCs w:val="24"/>
        </w:rPr>
        <w:t xml:space="preserve"> </w:t>
      </w:r>
      <w:r w:rsidR="0094598A" w:rsidRPr="00135762">
        <w:rPr>
          <w:rFonts w:cstheme="minorHAnsi"/>
          <w:sz w:val="24"/>
          <w:szCs w:val="24"/>
        </w:rPr>
        <w:t>ACR</w:t>
      </w:r>
      <w:r w:rsidR="00374B97">
        <w:rPr>
          <w:rFonts w:cstheme="minorHAnsi"/>
          <w:sz w:val="24"/>
          <w:szCs w:val="24"/>
        </w:rPr>
        <w:t xml:space="preserve"> </w:t>
      </w:r>
      <w:r w:rsidR="0094598A" w:rsidRPr="00135762">
        <w:rPr>
          <w:rFonts w:cstheme="minorHAnsi"/>
          <w:sz w:val="24"/>
          <w:szCs w:val="24"/>
        </w:rPr>
        <w:t>in</w:t>
      </w:r>
      <w:r w:rsidRPr="00135762">
        <w:rPr>
          <w:rFonts w:cstheme="minorHAnsi"/>
          <w:sz w:val="24"/>
          <w:szCs w:val="24"/>
        </w:rPr>
        <w:t xml:space="preserve"> 4</w:t>
      </w:r>
      <w:r w:rsidR="0094598A" w:rsidRPr="00135762">
        <w:rPr>
          <w:rFonts w:cstheme="minorHAnsi"/>
          <w:sz w:val="24"/>
          <w:szCs w:val="24"/>
        </w:rPr>
        <w:t>,</w:t>
      </w:r>
      <w:r w:rsidRPr="00135762">
        <w:rPr>
          <w:rFonts w:cstheme="minorHAnsi"/>
          <w:sz w:val="24"/>
          <w:szCs w:val="24"/>
        </w:rPr>
        <w:t xml:space="preserve">407 adolescents with </w:t>
      </w:r>
      <w:r w:rsidR="0094598A" w:rsidRPr="00135762">
        <w:rPr>
          <w:rFonts w:cstheme="minorHAnsi"/>
          <w:sz w:val="24"/>
          <w:szCs w:val="24"/>
        </w:rPr>
        <w:t>T1DM</w:t>
      </w:r>
      <w:r w:rsidRPr="00135762">
        <w:rPr>
          <w:rFonts w:cstheme="minorHAnsi"/>
          <w:sz w:val="24"/>
          <w:szCs w:val="24"/>
        </w:rPr>
        <w:t xml:space="preserve"> </w:t>
      </w:r>
      <w:r w:rsidR="00266699" w:rsidRPr="00135762">
        <w:rPr>
          <w:rFonts w:cstheme="minorHAnsi"/>
          <w:sz w:val="24"/>
          <w:szCs w:val="24"/>
        </w:rPr>
        <w:t>for the AdDI</w:t>
      </w:r>
      <w:r w:rsidR="0020209C" w:rsidRPr="00135762">
        <w:rPr>
          <w:rFonts w:cstheme="minorHAnsi"/>
          <w:sz w:val="24"/>
          <w:szCs w:val="24"/>
        </w:rPr>
        <w:t>T</w:t>
      </w:r>
      <w:r w:rsidR="00266699" w:rsidRPr="00135762">
        <w:rPr>
          <w:rFonts w:cstheme="minorHAnsi"/>
          <w:sz w:val="24"/>
          <w:szCs w:val="24"/>
        </w:rPr>
        <w:t xml:space="preserve"> studies </w:t>
      </w:r>
      <w:r w:rsidR="001E31C9" w:rsidRPr="00135762">
        <w:rPr>
          <w:rFonts w:cstheme="minorHAnsi"/>
          <w:sz w:val="24"/>
          <w:szCs w:val="24"/>
        </w:rPr>
        <w:t>confirmed the utility of a risk stratification</w:t>
      </w:r>
      <w:r w:rsidR="0094598A" w:rsidRPr="00135762">
        <w:rPr>
          <w:rFonts w:cstheme="minorHAnsi"/>
          <w:sz w:val="24"/>
          <w:szCs w:val="24"/>
        </w:rPr>
        <w:t xml:space="preserve"> system that is</w:t>
      </w:r>
      <w:r w:rsidR="001E31C9" w:rsidRPr="00135762">
        <w:rPr>
          <w:rFonts w:cstheme="minorHAnsi"/>
          <w:sz w:val="24"/>
          <w:szCs w:val="24"/>
        </w:rPr>
        <w:t xml:space="preserve"> based on ACR tertiles</w:t>
      </w:r>
      <w:r w:rsidR="00F95424" w:rsidRPr="00135762">
        <w:rPr>
          <w:rFonts w:cstheme="minorHAnsi"/>
          <w:sz w:val="24"/>
          <w:szCs w:val="24"/>
        </w:rPr>
        <w:t>. The tertiles</w:t>
      </w:r>
      <w:r w:rsidR="004856D6" w:rsidRPr="00135762">
        <w:rPr>
          <w:rFonts w:cstheme="minorHAnsi"/>
          <w:sz w:val="24"/>
          <w:szCs w:val="24"/>
        </w:rPr>
        <w:t xml:space="preserve"> were </w:t>
      </w:r>
      <w:r w:rsidR="004856D6" w:rsidRPr="00135762">
        <w:rPr>
          <w:rFonts w:cstheme="minorHAnsi"/>
          <w:bCs/>
          <w:sz w:val="24"/>
          <w:szCs w:val="24"/>
        </w:rPr>
        <w:t xml:space="preserve">calculated from </w:t>
      </w:r>
      <w:r w:rsidR="0094598A" w:rsidRPr="00135762">
        <w:rPr>
          <w:rFonts w:cstheme="minorHAnsi"/>
          <w:bCs/>
          <w:sz w:val="24"/>
          <w:szCs w:val="24"/>
        </w:rPr>
        <w:t>two</w:t>
      </w:r>
      <w:r w:rsidR="004856D6" w:rsidRPr="00135762">
        <w:rPr>
          <w:rFonts w:cstheme="minorHAnsi"/>
          <w:bCs/>
          <w:sz w:val="24"/>
          <w:szCs w:val="24"/>
        </w:rPr>
        <w:t xml:space="preserve"> sets of three consecutive early morning urine</w:t>
      </w:r>
      <w:r w:rsidR="00CA6BCC" w:rsidRPr="00135762">
        <w:rPr>
          <w:rFonts w:cstheme="minorHAnsi"/>
          <w:bCs/>
          <w:sz w:val="24"/>
          <w:szCs w:val="24"/>
        </w:rPr>
        <w:t xml:space="preserve"> samples</w:t>
      </w:r>
      <w:r w:rsidR="004856D6" w:rsidRPr="00135762">
        <w:rPr>
          <w:rFonts w:cstheme="minorHAnsi"/>
          <w:bCs/>
          <w:sz w:val="24"/>
          <w:szCs w:val="24"/>
        </w:rPr>
        <w:t xml:space="preserve"> collect</w:t>
      </w:r>
      <w:r w:rsidR="00BE5E4C" w:rsidRPr="00135762">
        <w:rPr>
          <w:rFonts w:cstheme="minorHAnsi"/>
          <w:bCs/>
          <w:sz w:val="24"/>
          <w:szCs w:val="24"/>
        </w:rPr>
        <w:t>ed</w:t>
      </w:r>
      <w:r w:rsidR="004856D6" w:rsidRPr="00135762">
        <w:rPr>
          <w:rFonts w:cstheme="minorHAnsi"/>
          <w:bCs/>
          <w:sz w:val="24"/>
          <w:szCs w:val="24"/>
        </w:rPr>
        <w:t xml:space="preserve"> at least 1 month apart.</w:t>
      </w:r>
      <w:r w:rsidR="00844CFE" w:rsidRPr="00135762">
        <w:rPr>
          <w:rFonts w:cstheme="minorHAnsi"/>
          <w:bCs/>
          <w:sz w:val="24"/>
          <w:szCs w:val="24"/>
        </w:rPr>
        <w:t xml:space="preserve"> The median (interquatile ranges) unadjusted ACR </w:t>
      </w:r>
      <w:r w:rsidR="00A22421">
        <w:rPr>
          <w:rFonts w:cstheme="minorHAnsi"/>
          <w:bCs/>
          <w:sz w:val="24"/>
          <w:szCs w:val="24"/>
        </w:rPr>
        <w:t xml:space="preserve">levels </w:t>
      </w:r>
      <w:r w:rsidR="00844CFE" w:rsidRPr="00135762">
        <w:rPr>
          <w:rFonts w:cstheme="minorHAnsi"/>
          <w:bCs/>
          <w:sz w:val="24"/>
          <w:szCs w:val="24"/>
        </w:rPr>
        <w:t>were</w:t>
      </w:r>
      <w:r w:rsidR="004856D6" w:rsidRPr="00135762">
        <w:rPr>
          <w:rFonts w:cstheme="minorHAnsi"/>
          <w:bCs/>
          <w:sz w:val="24"/>
          <w:szCs w:val="24"/>
        </w:rPr>
        <w:t xml:space="preserve"> </w:t>
      </w:r>
      <w:r w:rsidR="00844CFE" w:rsidRPr="00135762">
        <w:rPr>
          <w:rFonts w:cstheme="minorHAnsi"/>
          <w:sz w:val="24"/>
          <w:szCs w:val="24"/>
        </w:rPr>
        <w:t>0.52 (0.43–0.62)</w:t>
      </w:r>
      <w:r w:rsidR="00675724" w:rsidRPr="00135762">
        <w:rPr>
          <w:rFonts w:cstheme="minorHAnsi"/>
          <w:sz w:val="24"/>
          <w:szCs w:val="24"/>
        </w:rPr>
        <w:t xml:space="preserve"> mg per mmol</w:t>
      </w:r>
      <w:r w:rsidR="00844CFE" w:rsidRPr="00135762">
        <w:rPr>
          <w:rFonts w:cstheme="minorHAnsi"/>
          <w:sz w:val="24"/>
          <w:szCs w:val="24"/>
        </w:rPr>
        <w:t xml:space="preserve"> for the lower tertile, 0.71 (0.59–0.85) </w:t>
      </w:r>
      <w:r w:rsidR="00675724" w:rsidRPr="00135762">
        <w:rPr>
          <w:rFonts w:cstheme="minorHAnsi"/>
          <w:sz w:val="24"/>
          <w:szCs w:val="24"/>
        </w:rPr>
        <w:t xml:space="preserve">mg per mmol </w:t>
      </w:r>
      <w:r w:rsidR="00844CFE" w:rsidRPr="00135762">
        <w:rPr>
          <w:rFonts w:cstheme="minorHAnsi"/>
          <w:sz w:val="24"/>
          <w:szCs w:val="24"/>
        </w:rPr>
        <w:t>for the middle and 1.24 (0.91–1.82) mg</w:t>
      </w:r>
      <w:r w:rsidR="00675724" w:rsidRPr="00135762">
        <w:rPr>
          <w:rFonts w:cstheme="minorHAnsi"/>
          <w:sz w:val="24"/>
          <w:szCs w:val="24"/>
        </w:rPr>
        <w:t xml:space="preserve"> per </w:t>
      </w:r>
      <w:r w:rsidR="00844CFE" w:rsidRPr="00135762">
        <w:rPr>
          <w:rFonts w:cstheme="minorHAnsi"/>
          <w:sz w:val="24"/>
          <w:szCs w:val="24"/>
        </w:rPr>
        <w:t>mmol for the upper tertile</w:t>
      </w:r>
      <w:r w:rsidR="004A1353" w:rsidRPr="00135762">
        <w:rPr>
          <w:sz w:val="24"/>
          <w:szCs w:val="24"/>
        </w:rPr>
        <w:fldChar w:fldCharType="begin" w:fldLock="1"/>
      </w:r>
      <w:r w:rsidR="00752474">
        <w:rPr>
          <w:sz w:val="24"/>
          <w:szCs w:val="24"/>
        </w:rPr>
        <w:instrText>ADDIN CSL_CITATION {"citationItems":[{"id":"ITEM-1","itemData":{"DOI":"10.2337/dc13-1634","ISSN":"1935-5548","PMID":"24198300","abstract":"OBJECTIVE: We assessed the association between early increases in albumin excretion and cardiovascular (CV) and renal markers in a large cohort of young people with type 1 diabetes.\n\nRESEARCH DESIGN AND METHODS: As part of preliminary screening for a multicenter, randomized controlled trial of statins/ACE inhibitors, we measured albumin-creatinine ratio (ACR) in six early morning urine samples from 3,353 adolescents (10-16 years of age) and calculated tertiles based on an established algorithm. From those subjects deemed to be at higher risk (upper ACR tertile), we recruited 400 into the intervention study (trial cohort). From those subjects deemed to be at lower risk (middle-lower ACR tertiles), we recruited 329 to the observation cohort. At baseline, vascular measurements (carotid intima-media thickness, pulse wave velocity [PWV], flow-mediated dilatation, digital pulse amplitude tonometry), renal markers (symmetric dimethylarginine, cystatin C, creatinine), and CV disease markers (lipids and apolipoproteins [Apo] A-1 and B, C-reactive protein, asymmetric dimethylarginine) were assessed.\n\nRESULTS: Age- and sex-adjusted PWV was higher in the trial than in the observational cohort (5.00 ± 0.84 vs. 4.86 ± 0.70 m/s; P = 0.021). Similarly, non-HDL cholesterol (2.95 ± 0.83 vs. 2.81 ± 0.78 mmol/L; P = 0.02) and ApoB-ApoA-1 ratio (0.50 ± 0.14 vs. 0.47 ± 0.11; P = 0.04) were higher in the trial cohort. Cystatin C and creatinine were decreased (0.88 ± 0.13 vs. 0.90 ± 0.13 mg/L, P = 0.04; 51.81 ± 10.45 vs. 55.35 ± 11.05 μmol/L, P &lt; 0.001; respectively) and estimated glomerular filtration rate (137.05 ± 23.89 vs. 129.31 ± 22.41 mL/min/1.73 m(2); P &lt; 0.001) increased in the trial compared with the observational cohort.\n\nCONCLUSIONS: Our data demonstrate that in adolescents with type 1 diabetes, the group with the highest tertile of albumin excretion showed more evidence of early renal and CV disease than those in the lower tertiles.","author":[{"dropping-particle":"","family":"Marcovecchio","given":"M Loredana","non-dropping-particle":"","parse-names":false,"suffix":""},{"dropping-particle":"","family":"Woodside","given":"John","non-dropping-particle":"","parse-names":false,"suffix":""},{"dropping-particle":"","family":"Jones","given":"Timothy","non-dropping-particle":"","parse-names":false,"suffix":""},{"dropping-particle":"","family":"Daneman","given":"Denis","non-dropping-particle":"","parse-names":false,"suffix":""},{"dropping-particle":"","family":"Neil","given":"Andrew","non-dropping-particle":"","parse-names":false,"suffix":""},{"dropping-particle":"","family":"Prevost","given":"Toby","non-dropping-particle":"","parse-names":false,"suffix":""},{"dropping-particle":"","family":"Dalton","given":"R Neil","non-dropping-particle":"","parse-names":false,"suffix":""},{"dropping-particle":"","family":"Deanfield","given":"John","non-dropping-particle":"","parse-names":false,"suffix":""},{"dropping-particle":"","family":"Dunger","given":"David B","non-dropping-particle":"","parse-names":false,"suffix":""}],"container-title":"Diabetes care","id":"ITEM-1","issue":"3","issued":{"date-parts":[["2014","1"]]},"page":"805-13","title":"Adolescent Type 1 Diabetes Cardio-Renal Intervention Trial (AdDIT): urinary screening and baseline biochemical and cardiovascular assessments.","type":"article-journal","volume":"37"},"uris":["http://www.mendeley.com/documents/?uuid=b7f2b83c-e92f-4d55-a0a3-d16b717dcd7f"]}],"mendeley":{"formattedCitation":"&lt;sup&gt;65&lt;/sup&gt;","plainTextFormattedCitation":"65","previouslyFormattedCitation":"&lt;sup&gt;66&lt;/sup&gt;"},"properties":{"noteIndex":0},"schema":"https://github.com/citation-style-language/schema/raw/master/csl-citation.json"}</w:instrText>
      </w:r>
      <w:r w:rsidR="004A1353" w:rsidRPr="00135762">
        <w:rPr>
          <w:sz w:val="24"/>
          <w:szCs w:val="24"/>
          <w:vertAlign w:val="superscript"/>
        </w:rPr>
        <w:fldChar w:fldCharType="separate"/>
      </w:r>
      <w:r w:rsidR="00752474" w:rsidRPr="00752474">
        <w:rPr>
          <w:noProof/>
          <w:sz w:val="24"/>
          <w:szCs w:val="24"/>
          <w:vertAlign w:val="superscript"/>
        </w:rPr>
        <w:t>65</w:t>
      </w:r>
      <w:r w:rsidR="004A1353" w:rsidRPr="00135762">
        <w:rPr>
          <w:sz w:val="24"/>
          <w:szCs w:val="24"/>
        </w:rPr>
        <w:fldChar w:fldCharType="end"/>
      </w:r>
      <w:r w:rsidR="00844CFE" w:rsidRPr="00135762">
        <w:rPr>
          <w:rFonts w:cstheme="minorHAnsi"/>
          <w:sz w:val="24"/>
          <w:szCs w:val="24"/>
        </w:rPr>
        <w:t xml:space="preserve">. </w:t>
      </w:r>
      <w:r w:rsidR="00844CFE" w:rsidRPr="00135762">
        <w:rPr>
          <w:rFonts w:cstheme="minorHAnsi"/>
          <w:bCs/>
          <w:sz w:val="24"/>
          <w:szCs w:val="24"/>
        </w:rPr>
        <w:t>For each study participant</w:t>
      </w:r>
      <w:r w:rsidR="00675724" w:rsidRPr="00135762">
        <w:rPr>
          <w:rFonts w:cstheme="minorHAnsi"/>
          <w:bCs/>
          <w:sz w:val="24"/>
          <w:szCs w:val="24"/>
        </w:rPr>
        <w:t>,</w:t>
      </w:r>
      <w:r w:rsidR="004856D6" w:rsidRPr="00135762">
        <w:rPr>
          <w:rFonts w:cstheme="minorHAnsi"/>
          <w:bCs/>
          <w:sz w:val="24"/>
          <w:szCs w:val="24"/>
        </w:rPr>
        <w:t xml:space="preserve"> ACR results </w:t>
      </w:r>
      <w:r w:rsidR="00F95424" w:rsidRPr="00135762">
        <w:rPr>
          <w:rFonts w:cstheme="minorHAnsi"/>
          <w:bCs/>
          <w:sz w:val="24"/>
          <w:szCs w:val="24"/>
        </w:rPr>
        <w:t>were</w:t>
      </w:r>
      <w:r w:rsidR="004856D6" w:rsidRPr="00135762">
        <w:rPr>
          <w:rFonts w:cstheme="minorHAnsi"/>
          <w:bCs/>
          <w:sz w:val="24"/>
          <w:szCs w:val="24"/>
        </w:rPr>
        <w:t xml:space="preserve"> averaged on the log ACR scale and then standardised for sex, age and </w:t>
      </w:r>
      <w:r w:rsidR="00675724" w:rsidRPr="00135762">
        <w:rPr>
          <w:rFonts w:cstheme="minorHAnsi"/>
          <w:bCs/>
          <w:sz w:val="24"/>
          <w:szCs w:val="24"/>
        </w:rPr>
        <w:t xml:space="preserve">the duration of </w:t>
      </w:r>
      <w:r w:rsidR="004856D6" w:rsidRPr="00135762">
        <w:rPr>
          <w:rFonts w:cstheme="minorHAnsi"/>
          <w:bCs/>
          <w:sz w:val="24"/>
          <w:szCs w:val="24"/>
        </w:rPr>
        <w:t>diabetes</w:t>
      </w:r>
      <w:r w:rsidR="00AD452E" w:rsidRPr="00135762">
        <w:rPr>
          <w:rFonts w:cstheme="minorHAnsi"/>
          <w:bCs/>
          <w:sz w:val="24"/>
          <w:szCs w:val="24"/>
        </w:rPr>
        <w:t xml:space="preserve">, using </w:t>
      </w:r>
      <w:r w:rsidR="00DD0095" w:rsidRPr="00135762">
        <w:rPr>
          <w:rFonts w:cstheme="minorHAnsi"/>
          <w:bCs/>
          <w:sz w:val="24"/>
          <w:szCs w:val="24"/>
        </w:rPr>
        <w:t xml:space="preserve">a linear regression equation derived </w:t>
      </w:r>
      <w:r w:rsidR="004856D6" w:rsidRPr="00135762">
        <w:rPr>
          <w:rFonts w:cstheme="minorHAnsi"/>
          <w:bCs/>
          <w:sz w:val="24"/>
          <w:szCs w:val="24"/>
        </w:rPr>
        <w:t>the ORPS</w:t>
      </w:r>
      <w:r w:rsidR="00675724" w:rsidRPr="00135762">
        <w:rPr>
          <w:rFonts w:cstheme="minorHAnsi"/>
          <w:bCs/>
          <w:sz w:val="24"/>
          <w:szCs w:val="24"/>
        </w:rPr>
        <w:t>–</w:t>
      </w:r>
      <w:r w:rsidR="004856D6" w:rsidRPr="00135762">
        <w:rPr>
          <w:rFonts w:cstheme="minorHAnsi"/>
          <w:bCs/>
          <w:sz w:val="24"/>
          <w:szCs w:val="24"/>
        </w:rPr>
        <w:t>NFS</w:t>
      </w:r>
      <w:r w:rsidR="00812160" w:rsidRPr="00135762">
        <w:rPr>
          <w:rFonts w:cstheme="minorHAnsi"/>
          <w:bCs/>
          <w:sz w:val="24"/>
          <w:szCs w:val="24"/>
        </w:rPr>
        <w:t xml:space="preserve"> studies</w:t>
      </w:r>
      <w:r w:rsidR="007361A8" w:rsidRPr="00135762">
        <w:rPr>
          <w:sz w:val="24"/>
          <w:szCs w:val="24"/>
        </w:rPr>
        <w:fldChar w:fldCharType="begin" w:fldLock="1"/>
      </w:r>
      <w:r w:rsidR="00752474">
        <w:rPr>
          <w:sz w:val="24"/>
          <w:szCs w:val="24"/>
        </w:rPr>
        <w:instrText>ADDIN CSL_CITATION {"citationItems":[{"id":"ITEM-1","itemData":{"DOI":"10.1111/j.1464-5491.2006.02047.x","ISSN":"0742-3071","PMID":"17257274","abstract":"AIMS: To determine whether higher than average albumin excretion during early puberty identifies subjects who will subsequently develop microalbuminuria (MA) and clinical proteinuria.\n\nMETHODS: Longitudinal data from the Oxford Regional Prospective Study of Childhood Diabetes (ORPS; n = 554, median duration of follow-up 10 years; range 3.0-16.7) with assessment of albumin/creatinine ratios in three early morning urine samples collected annually. An albumin excretion phenotype was derived from longitudinal data, for each individual, defining deviation from the mean of regression models, including covariates gender, age, duration of diabetes and age at assessment. Tracking of the phenotypes was confirmed in a second independent cohort from Perth, Australia.\n\nRESULTS: The albumin excretion phenotype showed reasonable correlation between age 11-15 years and age 16-18 years in both cohorts, indicative of good 'tracking'. In the ORPS cohort, tertiles of the albumin excretion phenotype at aged 11-15 years were predictive of subsequent risk for the development of MA. All of the subjects developing clinical proteinuria had an albumin excretion phenotype in the upper tertile or an HbA(1c) &gt; 9% at aged 11-15 years.\n\nCONCLUSIONS: Identification of adolescents at risk of diabetic nephropathy using an albumin excretion phenotype is feasible. When combined with elevated HbA(1c), it may identify subjects for trial of early intervention with angiotensin-converting enzyme inhibitors/angiotensin-II receptor antagonists and statins to improve long-term prognosis in these subjects where sustained improvement in glycaemic control may be difficult to achieve.","author":[{"dropping-particle":"","family":"Dunger","given":"D B","non-dropping-particle":"","parse-names":false,"suffix":""},{"dropping-particle":"","family":"Schwarze","given":"C P","non-dropping-particle":"","parse-names":false,"suffix":""},{"dropping-particle":"","family":"Cooper","given":"J D","non-dropping-particle":"","parse-names":false,"suffix":""},{"dropping-particle":"","family":"Widmer","given":"B","non-dropping-particle":"","parse-names":false,"suffix":""},{"dropping-particle":"","family":"Neil","given":"H a W","non-dropping-particle":"","parse-names":false,"suffix":""},{"dropping-particle":"","family":"Shield","given":"J","non-dropping-particle":"","parse-names":false,"suffix":""},{"dropping-particle":"","family":"Edge","given":"J a","non-dropping-particle":"","parse-names":false,"suffix":""},{"dropping-particle":"","family":"Jones","given":"T W","non-dropping-particle":"","parse-names":false,"suffix":""},{"dropping-particle":"","family":"Daneman","given":"D","non-dropping-particle":"","parse-names":false,"suffix":""},{"dropping-particle":"","family":"Dalton","given":"R N","non-dropping-particle":"","parse-names":false,"suffix":""}],"container-title":"Diabetic medicine : a journal of the British Diabetic Association","id":"ITEM-1","issue":"2","issued":{"date-parts":[["2007","2"]]},"page":"131-6","title":"Can we identify adolescents at high risk for nephropathy before the development of microalbuminuria?","type":"article-journal","volume":"24"},"uris":["http://www.mendeley.com/documents/?uuid=ce531fb7-b206-4979-80a9-640ca7585c5e"]}],"mendeley":{"formattedCitation":"&lt;sup&gt;58&lt;/sup&gt;","plainTextFormattedCitation":"58","previouslyFormattedCitation":"&lt;sup&gt;59&lt;/sup&gt;"},"properties":{"noteIndex":0},"schema":"https://github.com/citation-style-language/schema/raw/master/csl-citation.json"}</w:instrText>
      </w:r>
      <w:r w:rsidR="007361A8" w:rsidRPr="00135762">
        <w:rPr>
          <w:sz w:val="24"/>
          <w:szCs w:val="24"/>
          <w:vertAlign w:val="superscript"/>
        </w:rPr>
        <w:fldChar w:fldCharType="separate"/>
      </w:r>
      <w:r w:rsidR="00752474" w:rsidRPr="00752474">
        <w:rPr>
          <w:noProof/>
          <w:sz w:val="24"/>
          <w:szCs w:val="24"/>
          <w:vertAlign w:val="superscript"/>
        </w:rPr>
        <w:t>58</w:t>
      </w:r>
      <w:r w:rsidR="007361A8" w:rsidRPr="00135762">
        <w:rPr>
          <w:sz w:val="24"/>
          <w:szCs w:val="24"/>
        </w:rPr>
        <w:fldChar w:fldCharType="end"/>
      </w:r>
      <w:r w:rsidR="00182C66">
        <w:rPr>
          <w:sz w:val="24"/>
          <w:szCs w:val="24"/>
        </w:rPr>
        <w:t xml:space="preserve">. This led </w:t>
      </w:r>
      <w:r w:rsidR="004856D6" w:rsidRPr="00135762">
        <w:rPr>
          <w:rFonts w:cstheme="minorHAnsi"/>
          <w:bCs/>
          <w:sz w:val="24"/>
          <w:szCs w:val="24"/>
        </w:rPr>
        <w:t xml:space="preserve">to a </w:t>
      </w:r>
      <w:r w:rsidR="004856D6" w:rsidRPr="00135762">
        <w:rPr>
          <w:rFonts w:cstheme="minorHAnsi"/>
          <w:bCs/>
          <w:sz w:val="24"/>
          <w:szCs w:val="24"/>
        </w:rPr>
        <w:lastRenderedPageBreak/>
        <w:t xml:space="preserve">cut-point </w:t>
      </w:r>
      <w:r w:rsidR="00675724" w:rsidRPr="00135762">
        <w:rPr>
          <w:rFonts w:cstheme="minorHAnsi"/>
          <w:bCs/>
          <w:sz w:val="24"/>
          <w:szCs w:val="24"/>
        </w:rPr>
        <w:t>&gt;</w:t>
      </w:r>
      <w:r w:rsidR="004856D6" w:rsidRPr="00135762">
        <w:rPr>
          <w:rFonts w:cstheme="minorHAnsi"/>
          <w:bCs/>
          <w:sz w:val="24"/>
          <w:szCs w:val="24"/>
        </w:rPr>
        <w:t>log 1.2 to define the upper ACR tertil</w:t>
      </w:r>
      <w:r w:rsidR="002F376D" w:rsidRPr="00135762">
        <w:rPr>
          <w:rFonts w:cstheme="minorHAnsi"/>
          <w:bCs/>
          <w:sz w:val="24"/>
          <w:szCs w:val="24"/>
        </w:rPr>
        <w:t>e</w:t>
      </w:r>
      <w:r w:rsidR="00675724" w:rsidRPr="00135762">
        <w:rPr>
          <w:rFonts w:cstheme="minorHAnsi"/>
          <w:bCs/>
          <w:sz w:val="24"/>
          <w:szCs w:val="24"/>
        </w:rPr>
        <w:t>,</w:t>
      </w:r>
      <w:r w:rsidR="004856D6" w:rsidRPr="00135762">
        <w:rPr>
          <w:rFonts w:cstheme="minorHAnsi"/>
          <w:bCs/>
          <w:sz w:val="24"/>
          <w:szCs w:val="24"/>
        </w:rPr>
        <w:t xml:space="preserve"> between 0.8</w:t>
      </w:r>
      <w:r w:rsidR="00675724" w:rsidRPr="00135762">
        <w:rPr>
          <w:rFonts w:cstheme="minorHAnsi"/>
          <w:bCs/>
          <w:sz w:val="24"/>
          <w:szCs w:val="24"/>
        </w:rPr>
        <w:t>–</w:t>
      </w:r>
      <w:r w:rsidR="004856D6" w:rsidRPr="00135762">
        <w:rPr>
          <w:rFonts w:cstheme="minorHAnsi"/>
          <w:bCs/>
          <w:sz w:val="24"/>
          <w:szCs w:val="24"/>
        </w:rPr>
        <w:t>1.2</w:t>
      </w:r>
      <w:r w:rsidR="00675724" w:rsidRPr="00135762">
        <w:rPr>
          <w:rFonts w:cstheme="minorHAnsi"/>
          <w:bCs/>
          <w:sz w:val="24"/>
          <w:szCs w:val="24"/>
        </w:rPr>
        <w:t xml:space="preserve"> to define</w:t>
      </w:r>
      <w:r w:rsidR="004856D6" w:rsidRPr="00135762">
        <w:rPr>
          <w:rFonts w:cstheme="minorHAnsi"/>
          <w:bCs/>
          <w:sz w:val="24"/>
          <w:szCs w:val="24"/>
        </w:rPr>
        <w:t xml:space="preserve"> the middle tertile and </w:t>
      </w:r>
      <w:r w:rsidR="00675724" w:rsidRPr="00135762">
        <w:rPr>
          <w:rFonts w:cstheme="minorHAnsi"/>
          <w:bCs/>
          <w:sz w:val="24"/>
          <w:szCs w:val="24"/>
        </w:rPr>
        <w:t>&lt;</w:t>
      </w:r>
      <w:r w:rsidR="004856D6" w:rsidRPr="00135762">
        <w:rPr>
          <w:rFonts w:cstheme="minorHAnsi"/>
          <w:bCs/>
          <w:sz w:val="24"/>
          <w:szCs w:val="24"/>
        </w:rPr>
        <w:t xml:space="preserve">0.8 </w:t>
      </w:r>
      <w:r w:rsidR="00675724" w:rsidRPr="00135762">
        <w:rPr>
          <w:rFonts w:cstheme="minorHAnsi"/>
          <w:bCs/>
          <w:sz w:val="24"/>
          <w:szCs w:val="24"/>
        </w:rPr>
        <w:t xml:space="preserve">to define </w:t>
      </w:r>
      <w:r w:rsidR="004856D6" w:rsidRPr="00135762">
        <w:rPr>
          <w:rFonts w:cstheme="minorHAnsi"/>
          <w:bCs/>
          <w:sz w:val="24"/>
          <w:szCs w:val="24"/>
        </w:rPr>
        <w:t>the lower tertile.</w:t>
      </w:r>
    </w:p>
    <w:p w14:paraId="39A8AFB9" w14:textId="77777777" w:rsidR="005659A0" w:rsidRPr="00135762" w:rsidRDefault="005659A0" w:rsidP="00844CFE">
      <w:pPr>
        <w:spacing w:after="0" w:line="360" w:lineRule="auto"/>
        <w:rPr>
          <w:rFonts w:cstheme="minorHAnsi"/>
          <w:sz w:val="24"/>
          <w:szCs w:val="24"/>
        </w:rPr>
      </w:pPr>
    </w:p>
    <w:p w14:paraId="19C67561" w14:textId="2E27E678" w:rsidR="00C26D22" w:rsidRPr="00135762" w:rsidRDefault="00BE5E4C" w:rsidP="00844CFE">
      <w:pPr>
        <w:spacing w:after="0" w:line="360" w:lineRule="auto"/>
        <w:rPr>
          <w:rFonts w:cs="Tahoma"/>
          <w:sz w:val="24"/>
          <w:szCs w:val="24"/>
        </w:rPr>
      </w:pPr>
      <w:r w:rsidRPr="00135762">
        <w:rPr>
          <w:rFonts w:cstheme="minorHAnsi"/>
          <w:sz w:val="24"/>
          <w:szCs w:val="24"/>
        </w:rPr>
        <w:t>In the AdDIT study, a</w:t>
      </w:r>
      <w:r w:rsidR="001E31C9" w:rsidRPr="00135762">
        <w:rPr>
          <w:rFonts w:cstheme="minorHAnsi"/>
          <w:sz w:val="24"/>
          <w:szCs w:val="24"/>
        </w:rPr>
        <w:t>t baseline</w:t>
      </w:r>
      <w:r w:rsidR="00E32A2C" w:rsidRPr="00135762">
        <w:rPr>
          <w:rFonts w:cstheme="minorHAnsi"/>
          <w:sz w:val="24"/>
          <w:szCs w:val="24"/>
        </w:rPr>
        <w:t>,</w:t>
      </w:r>
      <w:r w:rsidR="001E31C9" w:rsidRPr="00135762">
        <w:rPr>
          <w:rFonts w:cstheme="minorHAnsi"/>
          <w:sz w:val="24"/>
          <w:szCs w:val="24"/>
        </w:rPr>
        <w:t xml:space="preserve"> adolescents in the highest tertile for ACR showed renal hyperfiltration, </w:t>
      </w:r>
      <w:r w:rsidR="002F376D" w:rsidRPr="00135762">
        <w:rPr>
          <w:rFonts w:cstheme="minorHAnsi"/>
          <w:sz w:val="24"/>
          <w:szCs w:val="24"/>
        </w:rPr>
        <w:t>dyslipid</w:t>
      </w:r>
      <w:r w:rsidR="00E32A2C" w:rsidRPr="00135762">
        <w:rPr>
          <w:rFonts w:cstheme="minorHAnsi"/>
          <w:sz w:val="24"/>
          <w:szCs w:val="24"/>
        </w:rPr>
        <w:t>a</w:t>
      </w:r>
      <w:r w:rsidR="001E31C9" w:rsidRPr="00135762">
        <w:rPr>
          <w:rFonts w:cstheme="minorHAnsi"/>
          <w:sz w:val="24"/>
          <w:szCs w:val="24"/>
        </w:rPr>
        <w:t>emia, early retinal</w:t>
      </w:r>
      <w:r w:rsidR="00266699" w:rsidRPr="00135762">
        <w:rPr>
          <w:rFonts w:cstheme="minorHAnsi"/>
          <w:sz w:val="24"/>
          <w:szCs w:val="24"/>
        </w:rPr>
        <w:t xml:space="preserve"> vessel</w:t>
      </w:r>
      <w:r w:rsidR="001E31C9" w:rsidRPr="00135762">
        <w:rPr>
          <w:rFonts w:cstheme="minorHAnsi"/>
          <w:sz w:val="24"/>
          <w:szCs w:val="24"/>
        </w:rPr>
        <w:t xml:space="preserve"> abnormalities</w:t>
      </w:r>
      <w:r w:rsidR="007B69B4" w:rsidRPr="00135762">
        <w:rPr>
          <w:rFonts w:cstheme="minorHAnsi"/>
          <w:sz w:val="24"/>
          <w:szCs w:val="24"/>
        </w:rPr>
        <w:t xml:space="preserve"> and</w:t>
      </w:r>
      <w:r w:rsidR="0020209C" w:rsidRPr="00135762">
        <w:rPr>
          <w:rFonts w:cstheme="minorHAnsi"/>
          <w:sz w:val="24"/>
          <w:szCs w:val="24"/>
        </w:rPr>
        <w:t xml:space="preserve"> </w:t>
      </w:r>
      <w:r w:rsidR="001E31C9" w:rsidRPr="00135762">
        <w:rPr>
          <w:rFonts w:cstheme="minorHAnsi"/>
          <w:sz w:val="24"/>
          <w:szCs w:val="24"/>
        </w:rPr>
        <w:t>increased pulse wave</w:t>
      </w:r>
      <w:r w:rsidR="001E31C9" w:rsidRPr="00135762">
        <w:rPr>
          <w:sz w:val="24"/>
          <w:szCs w:val="24"/>
        </w:rPr>
        <w:t xml:space="preserve"> velocity</w:t>
      </w:r>
      <w:r w:rsidR="001E31C9" w:rsidRPr="00135762">
        <w:rPr>
          <w:sz w:val="24"/>
          <w:szCs w:val="24"/>
        </w:rPr>
        <w:fldChar w:fldCharType="begin" w:fldLock="1"/>
      </w:r>
      <w:r w:rsidR="00752474">
        <w:rPr>
          <w:sz w:val="24"/>
          <w:szCs w:val="24"/>
        </w:rPr>
        <w:instrText>ADDIN CSL_CITATION {"citationItems":[{"id":"ITEM-1","itemData":{"DOI":"10.2337/dc13-1634","ISSN":"1935-5548","PMID":"24198300","abstract":"OBJECTIVE: We assessed the association between early increases in albumin excretion and cardiovascular (CV) and renal markers in a large cohort of young people with type 1 diabetes.\n\nRESEARCH DESIGN AND METHODS: As part of preliminary screening for a multicenter, randomized controlled trial of statins/ACE inhibitors, we measured albumin-creatinine ratio (ACR) in six early morning urine samples from 3,353 adolescents (10-16 years of age) and calculated tertiles based on an established algorithm. From those subjects deemed to be at higher risk (upper ACR tertile), we recruited 400 into the intervention study (trial cohort). From those subjects deemed to be at lower risk (middle-lower ACR tertiles), we recruited 329 to the observation cohort. At baseline, vascular measurements (carotid intima-media thickness, pulse wave velocity [PWV], flow-mediated dilatation, digital pulse amplitude tonometry), renal markers (symmetric dimethylarginine, cystatin C, creatinine), and CV disease markers (lipids and apolipoproteins [Apo] A-1 and B, C-reactive protein, asymmetric dimethylarginine) were assessed.\n\nRESULTS: Age- and sex-adjusted PWV was higher in the trial than in the observational cohort (5.00 ± 0.84 vs. 4.86 ± 0.70 m/s; P = 0.021). Similarly, non-HDL cholesterol (2.95 ± 0.83 vs. 2.81 ± 0.78 mmol/L; P = 0.02) and ApoB-ApoA-1 ratio (0.50 ± 0.14 vs. 0.47 ± 0.11; P = 0.04) were higher in the trial cohort. Cystatin C and creatinine were decreased (0.88 ± 0.13 vs. 0.90 ± 0.13 mg/L, P = 0.04; 51.81 ± 10.45 vs. 55.35 ± 11.05 μmol/L, P &lt; 0.001; respectively) and estimated glomerular filtration rate (137.05 ± 23.89 vs. 129.31 ± 22.41 mL/min/1.73 m(2); P &lt; 0.001) increased in the trial compared with the observational cohort.\n\nCONCLUSIONS: Our data demonstrate that in adolescents with type 1 diabetes, the group with the highest tertile of albumin excretion showed more evidence of early renal and CV disease than those in the lower tertiles.","author":[{"dropping-particle":"","family":"Marcovecchio","given":"M Loredana","non-dropping-particle":"","parse-names":false,"suffix":""},{"dropping-particle":"","family":"Woodside","given":"John","non-dropping-particle":"","parse-names":false,"suffix":""},{"dropping-particle":"","family":"Jones","given":"Timothy","non-dropping-particle":"","parse-names":false,"suffix":""},{"dropping-particle":"","family":"Daneman","given":"Denis","non-dropping-particle":"","parse-names":false,"suffix":""},{"dropping-particle":"","family":"Neil","given":"Andrew","non-dropping-particle":"","parse-names":false,"suffix":""},{"dropping-particle":"","family":"Prevost","given":"Toby","non-dropping-particle":"","parse-names":false,"suffix":""},{"dropping-particle":"","family":"Dalton","given":"R Neil","non-dropping-particle":"","parse-names":false,"suffix":""},{"dropping-particle":"","family":"Deanfield","given":"John","non-dropping-particle":"","parse-names":false,"suffix":""},{"dropping-particle":"","family":"Dunger","given":"David B","non-dropping-particle":"","parse-names":false,"suffix":""}],"container-title":"Diabetes care","id":"ITEM-1","issue":"3","issued":{"date-parts":[["2014","1"]]},"page":"805-13","title":"Adolescent Type 1 Diabetes Cardio-Renal Intervention Trial (AdDIT): urinary screening and baseline biochemical and cardiovascular assessments.","type":"article-journal","volume":"37"},"uris":["http://www.mendeley.com/documents/?uuid=b7f2b83c-e92f-4d55-a0a3-d16b717dcd7f"]},{"id":"ITEM-2","itemData":{"DOI":"10.1007/s00125-017-4538-2","ISSN":"0012-186X","PMID":"29396691","abstract":"AIMS/HYPOTHESIS We examined the hypothesis that elevation in urinary albumin creatinine ratio (ACR) in adolescents with type 1 diabetes is associated with abnormal retinal vascular geometry (RVG) phenotypes. METHODS A cross-sectional study at baseline of the relationship between ACR within the normoalbuminuric range and RVG in 963 adolescents aged 14.4 ± 1.6 years with type 1 diabetes (median duration 6.5 years) screened for participation in AdDIT. A validated algorithm was used to categorise log10ACR into tertiles: upper tertile ACR was defined as 'high-risk' for future albuminuria and the lower two tertiles were deemed 'low-risk'. RVG analysis, using a semi-automated computer program, determined retinal vascular calibres (standard and extended zones) and tortuosity. RVG measures were analysed continuously and categorically (in quintiles: Q1-Q5) for associations with log10ACR and ACR risk groups. RESULTS Greater log10ACR was associated with narrower vessel calibres and greater tortuosity. The high-risk group was more likely to have extended zone vessel calibres in the lowest quintile (arteriolar Q1 vs Q2-Q5: OR 1.67 [95% CI 1.17, 2.38] and venular OR 1.39 [0.98, 1.99]) and tortuosity in the highest quintile (Q5 vs Q1-Q4: arteriolar OR 2.05 [1.44, 2.92] and venular OR 2.38 [1.67, 3.40]). The effects of retinal vascular calibres and tortuosity were additive such that the participants with the narrowest and most tortuous vessels were more likely to be in the high-risk group (OR 3.32 [1.84, 5.96]). These effects were independent of duration, blood pressure, BMI and blood glucose control. CONCLUSIONS/INTERPRETATION Higher ACR in adolescents is associated with narrower and more tortuous retinal vessels. Therefore, RVG phenotypes may serve to identify populations at high risk of diabetes complications during adolescence and well before onset of clinical diabetes complications.","author":[{"dropping-particle":"","family":"Benitez-Aguirre","given":"Paul Z.","non-dropping-particle":"","parse-names":false,"suffix":""},{"dropping-particle":"","family":"Wong","given":"Tien Y.","non-dropping-particle":"","parse-names":false,"suffix":""},{"dropping-particle":"","family":"Craig","given":"Maria E.","non-dropping-particle":"","parse-names":false,"suffix":""},{"dropping-particle":"","family":"Davis","given":"Elizabeth A.","non-dropping-particle":"","parse-names":false,"suffix":""},{"dropping-particle":"","family":"Cotterill","given":"Andrew","non-dropping-particle":"","parse-names":false,"suffix":""},{"dropping-particle":"","family":"Couper","given":"Jennifer J.","non-dropping-particle":"","parse-names":false,"suffix":""},{"dropping-particle":"","family":"Cameron","given":"Fergus J.","non-dropping-particle":"","parse-names":false,"suffix":""},{"dropping-particle":"","family":"Mahmud","given":"Farid H.","non-dropping-particle":"","parse-names":false,"suffix":""},{"dropping-particle":"","family":"Jones","given":"Tim W.","non-dropping-particle":"","parse-names":false,"suffix":""},{"dropping-particle":"","family":"Hodgson","given":"Lauren A. B.","non-dropping-particle":"","parse-names":false,"suffix":""},{"dropping-particle":"","family":"Dalton","given":"R. Neil","non-dropping-particle":"","parse-names":false,"suffix":""},{"dropping-particle":"","family":"Dunger","given":"David B.","non-dropping-particle":"","parse-names":false,"suffix":""},{"dropping-particle":"","family":"Donaghue","given":"Kim C.","non-dropping-particle":"","parse-names":false,"suffix":""},{"dropping-particle":"","family":"Adolescent Type 1 Diabetes Cardio-Renal Intervention Trial (AdDIT)","given":"","non-dropping-particle":"","parse-names":false,"suffix":""}],"container-title":"Diabetologia","id":"ITEM-2","issue":"4","issued":{"date-parts":[["2018","4","2"]]},"page":"968-976","title":"The Adolescent Cardio-Renal Intervention Trial (AdDIT): retinal vascular geometry and renal function in adolescents with type 1 diabetes","type":"article-journal","volume":"61"},"uris":["http://www.mendeley.com/documents/?uuid=cfefb645-c50c-304a-b7a9-44d5bf9d3582"]}],"mendeley":{"formattedCitation":"&lt;sup&gt;65,66&lt;/sup&gt;","plainTextFormattedCitation":"65,66","previouslyFormattedCitation":"&lt;sup&gt;66,67&lt;/sup&gt;"},"properties":{"noteIndex":0},"schema":"https://github.com/citation-style-language/schema/raw/master/csl-citation.json"}</w:instrText>
      </w:r>
      <w:r w:rsidR="001E31C9" w:rsidRPr="00135762">
        <w:rPr>
          <w:sz w:val="24"/>
          <w:szCs w:val="24"/>
          <w:vertAlign w:val="superscript"/>
        </w:rPr>
        <w:fldChar w:fldCharType="separate"/>
      </w:r>
      <w:r w:rsidR="00752474" w:rsidRPr="00752474">
        <w:rPr>
          <w:noProof/>
          <w:sz w:val="24"/>
          <w:szCs w:val="24"/>
          <w:vertAlign w:val="superscript"/>
        </w:rPr>
        <w:t>65,66</w:t>
      </w:r>
      <w:r w:rsidR="001E31C9" w:rsidRPr="00135762">
        <w:rPr>
          <w:sz w:val="24"/>
          <w:szCs w:val="24"/>
        </w:rPr>
        <w:fldChar w:fldCharType="end"/>
      </w:r>
      <w:r w:rsidR="001E31C9" w:rsidRPr="00135762">
        <w:rPr>
          <w:sz w:val="24"/>
          <w:szCs w:val="24"/>
        </w:rPr>
        <w:t>.</w:t>
      </w:r>
      <w:r w:rsidR="00F96BE4" w:rsidRPr="00135762">
        <w:rPr>
          <w:sz w:val="24"/>
          <w:szCs w:val="24"/>
        </w:rPr>
        <w:t xml:space="preserve"> </w:t>
      </w:r>
      <w:r w:rsidR="00266699" w:rsidRPr="00135762">
        <w:rPr>
          <w:sz w:val="24"/>
          <w:szCs w:val="24"/>
        </w:rPr>
        <w:t xml:space="preserve">In a subgroup of the AdDIT </w:t>
      </w:r>
      <w:r w:rsidR="00E32A2C" w:rsidRPr="00135762">
        <w:rPr>
          <w:sz w:val="24"/>
          <w:szCs w:val="24"/>
        </w:rPr>
        <w:t>cohort</w:t>
      </w:r>
      <w:r w:rsidR="00266699" w:rsidRPr="00135762">
        <w:rPr>
          <w:sz w:val="24"/>
          <w:szCs w:val="24"/>
        </w:rPr>
        <w:t xml:space="preserve">, where data on aIMT and autonomic function measures were available, a higher ACR at baseline was also associated with thicker aIMT and </w:t>
      </w:r>
      <w:r w:rsidR="00023B12" w:rsidRPr="00135762">
        <w:rPr>
          <w:sz w:val="24"/>
          <w:szCs w:val="24"/>
        </w:rPr>
        <w:t xml:space="preserve">the presence of </w:t>
      </w:r>
      <w:r w:rsidR="00266699" w:rsidRPr="00135762">
        <w:rPr>
          <w:sz w:val="24"/>
          <w:szCs w:val="24"/>
        </w:rPr>
        <w:t>markers of autonomic dysfunction</w:t>
      </w:r>
      <w:r w:rsidR="00FC14D2" w:rsidRPr="00135762">
        <w:rPr>
          <w:sz w:val="24"/>
          <w:szCs w:val="24"/>
        </w:rPr>
        <w:fldChar w:fldCharType="begin" w:fldLock="1"/>
      </w:r>
      <w:r w:rsidR="00752474">
        <w:rPr>
          <w:sz w:val="24"/>
          <w:szCs w:val="24"/>
        </w:rPr>
        <w:instrText>ADDIN CSL_CITATION {"citationItems":[{"id":"ITEM-1","itemData":{"DOI":"10.2337/dc14-1848","ISSN":"1935-5548","PMID":"25573882","abstract":"OBJECTIVE This study examined the association between cardiac autonomic dysfunction and high albumin-to-creatinine ratio (ACR) in adolescents with type 1 diabetes. RESEARCH DESIGN AND METHODS Adolescents recruited as part of a multicenter screening study (n = 445, 49% female, aged 10-17 years, mean duration 6.9 years; mean HbA1c 8.4%, 68 mmol/mol) underwent a 10-min continuous electrocardiogram recording for heart rate variability analysis. Time-domain heart rate variability measures included baseline heart rate, SD of the R-R interval (SDNN), and root mean squared difference of successive R-R intervals (RMSSD). Spectral analysis included sympathetic (low-frequency) and parasympathetic (high-frequency) components. Standardized ACR were calculated from six early morning urine collections using an established algorithm, reflecting age, sex, and duration, and stratified into ACR tertiles, where the upper tertile reflects higher nephropathy risk. RESULTS The upper-tertile ACR group had a faster heart rate (76 vs. 73 bpm; P &lt; 0.01) and less heart rate variability (SDNN 68 vs. 76 ms, P = 0.02; RMSSD 63 vs. 71 ms, P = 0.04). HbA1c was 8.5% (69 mmol/mmol) in the upper tertile vs. 8.3% (67 mmol/mol) in the lower tertiles (P = 0.07). In multivariable analysis, upper-tertile ACR was associated with faster heart rate (β = 2.5, 95% CI 0.2-4.8, P = 0.03) and lower RMSSD (β = -9.5, 95% CI -18.2 to -0.8, P = 0.03), independent of age and HbA1c. CONCLUSIONS Adolescents at potentially higher risk for nephropathy show an adverse cardiac autonomic profile, indicating sympathetic overdrive, compared with the lower-risk group. Longitudinal follow-up of this cohort will further characterize the relationship between autonomic and renal dysfunction and the effect of interventions in this population.","author":[{"dropping-particle":"","family":"Cho","given":"Yoon Hi","non-dropping-particle":"","parse-names":false,"suffix":""},{"dropping-particle":"","family":"Craig","given":"Maria E","non-dropping-particle":"","parse-names":false,"suffix":""},{"dropping-particle":"","family":"Davis","given":"Elizabeth A","non-dropping-particle":"","parse-names":false,"suffix":""},{"dropping-particle":"","family":"Cotterill","given":"Andrew M","non-dropping-particle":"","parse-names":false,"suffix":""},{"dropping-particle":"","family":"Couper","given":"Jennifer J","non-dropping-particle":"","parse-names":false,"suffix":""},{"dropping-particle":"","family":"Cameron","given":"Fergus J","non-dropping-particle":"","parse-names":false,"suffix":""},{"dropping-particle":"","family":"Benitez-Aguirre","given":"Paul Z","non-dropping-particle":"","parse-names":false,"suffix":""},{"dropping-particle":"","family":"Dalton","given":"R Neil","non-dropping-particle":"","parse-names":false,"suffix":""},{"dropping-particle":"","family":"Dunger","given":"David B","non-dropping-particle":"","parse-names":false,"suffix":""},{"dropping-particle":"","family":"Jones","given":"Timothy W","non-dropping-particle":"","parse-names":false,"suffix":""},{"dropping-particle":"","family":"Donaghue","given":"Kim C","non-dropping-particle":"","parse-names":false,"suffix":""},{"dropping-particle":"","family":"Adolescent Type 1 Diabetes Cardio-Renal Intervention Trial","given":"","non-dropping-particle":"","parse-names":false,"suffix":""}],"container-title":"Diabetes care","id":"ITEM-1","issue":"4","issued":{"date-parts":[["2015","4"]]},"page":"676-81","title":"Cardiac autonomic dysfunction is associated with high-risk albumin-to-creatinine ratio in young adolescents with type 1 diabetes in AdDIT (adolescent type 1 diabetes cardio-renal interventional trial).","type":"article-journal","volume":"38"},"uris":["http://www.mendeley.com/documents/?uuid=41875ede-7550-3e6e-be32-df445f42d9a8"]},{"id":"ITEM-2","itemData":{"DOI":"10.2337/dc14-0700","ISSN":"1935-5548","PMID":"25071076","abstract":"OBJECTIVE The origins of cardiovascular and renal disease in type 1 diabetes begin during childhood. We aimed to evaluate carotid (cIMT) and aortic intima-media thickness (aIMT) and their relationship with cardiovascular risk factors and urinary albumin excretion in adolescents with type 1 diabetes in the Adolescent Type 1 Diabetes cardio-renal Intervention Trial (AdDIT). RESEARCH DESIGN AND METHODS A total of 406 adolescents with type 1 diabetes, who were 14.1 ± 1.9 years old with type 1 diabetes duration of 6.7 ± 3.7 years, and 57 age-matched control subjects provided clinical and biochemical data and ultrasound measurements of vascular structure (cIMT and aIMT). Vascular endothelial and smooth muscle function was also measured in 123 of 406 with type 1 diabetes and all control subjects. RESULTS In type 1 diabetic subjects, mean/maximal aIMT (P &lt; 0.006; &lt;0.008), but not mean/maximal cIMT, was greater than in control subjects. Mean/maximal aIMT related to urinary albumin-to-creatinine ratio (multiple regression coefficient [SE], 0.013 [0.006], P = 0.03; 0.023 [0.007], P = 0.002), LDL cholesterol (0.019 [0.008], P = 0.02; 0.025 [0.011], P = 0.02), and age (0.010 [0.004], P = 0.004; 0.012 [0.005], P = 0.01), independent of other variables. Mean/maximal cIMT was greater in males (0.023 [0.006], P = 0.02; 0.029 [0.007], P &lt; 0.0001), and mean cIMT related independently to systolic blood pressure (0.001 [0.001], P = 0.04). Vascular smooth muscle function related to aIMT and cIMT but not to urinary albumin excretion. CONCLUSIONS aIMT may be a more sensitive marker of atherosclerosis than cIMT in type 1 diabetes during mid-adolescence. Higher urinary albumin excretion, even within the normal range, is associated with early atherosclerosis and should direct clinical attention to modifiable cardiovascular risk factors.","author":[{"dropping-particle":"","family":"Maftei","given":"Oana","non-dropping-particle":"","parse-names":false,"suffix":""},{"dropping-particle":"","family":"Pena","given":"Alexia S","non-dropping-particle":"","parse-names":false,"suffix":""},{"dropping-particle":"","family":"Sullivan","given":"Thomas","non-dropping-particle":"","parse-names":false,"suffix":""},{"dropping-particle":"","family":"Jones","given":"Timothy W","non-dropping-particle":"","parse-names":false,"suffix":""},{"dropping-particle":"","family":"Donaghue","given":"Kim C","non-dropping-particle":"","parse-names":false,"suffix":""},{"dropping-particle":"","family":"Cameron","given":"Fergus J","non-dropping-particle":"","parse-names":false,"suffix":""},{"dropping-particle":"","family":"Davis","given":"Elizabeth","non-dropping-particle":"","parse-names":false,"suffix":""},{"dropping-particle":"","family":"Cotterill","given":"Andrew","non-dropping-particle":"","parse-names":false,"suffix":""},{"dropping-particle":"","family":"Craig","given":"Maria E","non-dropping-particle":"","parse-names":false,"suffix":""},{"dropping-particle":"","family":"Gent","given":"Roger","non-dropping-particle":"","parse-names":false,"suffix":""},{"dropping-particle":"","family":"Dalton","given":"Neil","non-dropping-particle":"","parse-names":false,"suffix":""},{"dropping-particle":"","family":"Daneman","given":"Denis","non-dropping-particle":"","parse-names":false,"suffix":""},{"dropping-particle":"","family":"Dunger","given":"David","non-dropping-particle":"","parse-names":false,"suffix":""},{"dropping-particle":"","family":"Deanfield","given":"John","non-dropping-particle":"","parse-names":false,"suffix":""},{"dropping-particle":"","family":"Couper","given":"Jenny J","non-dropping-particle":"","parse-names":false,"suffix":""},{"dropping-particle":"","family":"AdDIT Study Group","given":"","non-dropping-particle":"","parse-names":false,"suffix":""}],"container-title":"Diabetes care","id":"ITEM-2","issue":"11","issued":{"date-parts":[["2014","11"]]},"page":"3069-75","title":"Early atherosclerosis relates to urinary albumin excretion and cardiovascular risk factors in adolescents with type 1 diabetes: Adolescent type 1 Diabetes cardio-renal Intervention Trial (AdDIT).","type":"article-journal","volume":"37"},"uris":["http://www.mendeley.com/documents/?uuid=fa689dee-6ec1-33d7-a9dc-0b71ecafa422"]}],"mendeley":{"formattedCitation":"&lt;sup&gt;67,68&lt;/sup&gt;","plainTextFormattedCitation":"67,68","previouslyFormattedCitation":"&lt;sup&gt;68,69&lt;/sup&gt;"},"properties":{"noteIndex":0},"schema":"https://github.com/citation-style-language/schema/raw/master/csl-citation.json"}</w:instrText>
      </w:r>
      <w:r w:rsidR="00FC14D2" w:rsidRPr="00135762">
        <w:rPr>
          <w:sz w:val="24"/>
          <w:szCs w:val="24"/>
        </w:rPr>
        <w:fldChar w:fldCharType="separate"/>
      </w:r>
      <w:r w:rsidR="00752474" w:rsidRPr="00752474">
        <w:rPr>
          <w:noProof/>
          <w:sz w:val="24"/>
          <w:szCs w:val="24"/>
          <w:vertAlign w:val="superscript"/>
        </w:rPr>
        <w:t>67,68</w:t>
      </w:r>
      <w:r w:rsidR="00FC14D2" w:rsidRPr="00135762">
        <w:rPr>
          <w:sz w:val="24"/>
          <w:szCs w:val="24"/>
        </w:rPr>
        <w:fldChar w:fldCharType="end"/>
      </w:r>
      <w:r w:rsidR="0020209C" w:rsidRPr="00135762">
        <w:rPr>
          <w:sz w:val="24"/>
          <w:szCs w:val="24"/>
        </w:rPr>
        <w:t xml:space="preserve">. </w:t>
      </w:r>
      <w:r w:rsidR="00023B12" w:rsidRPr="00135762">
        <w:rPr>
          <w:sz w:val="24"/>
          <w:szCs w:val="24"/>
        </w:rPr>
        <w:t>However, d</w:t>
      </w:r>
      <w:r w:rsidR="00C419A1" w:rsidRPr="00135762">
        <w:rPr>
          <w:sz w:val="24"/>
          <w:szCs w:val="24"/>
        </w:rPr>
        <w:t xml:space="preserve">espite these </w:t>
      </w:r>
      <w:r w:rsidR="003D0E3E" w:rsidRPr="00135762">
        <w:rPr>
          <w:sz w:val="24"/>
          <w:szCs w:val="24"/>
        </w:rPr>
        <w:t>substantial</w:t>
      </w:r>
      <w:r w:rsidR="00182C66">
        <w:rPr>
          <w:sz w:val="24"/>
          <w:szCs w:val="24"/>
        </w:rPr>
        <w:t xml:space="preserve"> </w:t>
      </w:r>
      <w:r w:rsidR="00C419A1" w:rsidRPr="00135762">
        <w:rPr>
          <w:sz w:val="24"/>
          <w:szCs w:val="24"/>
        </w:rPr>
        <w:t xml:space="preserve">differences in early </w:t>
      </w:r>
      <w:r w:rsidR="002F376D" w:rsidRPr="00135762">
        <w:rPr>
          <w:sz w:val="24"/>
          <w:szCs w:val="24"/>
        </w:rPr>
        <w:t xml:space="preserve">vascular </w:t>
      </w:r>
      <w:r w:rsidR="00C419A1" w:rsidRPr="00135762">
        <w:rPr>
          <w:sz w:val="24"/>
          <w:szCs w:val="24"/>
        </w:rPr>
        <w:t xml:space="preserve">markers </w:t>
      </w:r>
      <w:r w:rsidR="006B3F70" w:rsidRPr="00135762">
        <w:rPr>
          <w:sz w:val="24"/>
          <w:szCs w:val="24"/>
        </w:rPr>
        <w:t>t</w:t>
      </w:r>
      <w:r w:rsidR="001E31C9" w:rsidRPr="00135762">
        <w:rPr>
          <w:rFonts w:cs="Tahoma"/>
          <w:sz w:val="24"/>
          <w:szCs w:val="24"/>
        </w:rPr>
        <w:t>here were minimal differences in HbA</w:t>
      </w:r>
      <w:r w:rsidR="001E31C9" w:rsidRPr="00135762">
        <w:rPr>
          <w:rFonts w:cs="Tahoma"/>
          <w:sz w:val="24"/>
          <w:szCs w:val="24"/>
          <w:vertAlign w:val="subscript"/>
        </w:rPr>
        <w:t>1c</w:t>
      </w:r>
      <w:r w:rsidR="001E31C9" w:rsidRPr="00135762">
        <w:rPr>
          <w:rFonts w:cs="Tahoma"/>
          <w:sz w:val="24"/>
          <w:szCs w:val="24"/>
        </w:rPr>
        <w:t xml:space="preserve"> </w:t>
      </w:r>
      <w:r w:rsidR="00023B12" w:rsidRPr="00135762">
        <w:rPr>
          <w:rFonts w:cs="Tahoma"/>
          <w:sz w:val="24"/>
          <w:szCs w:val="24"/>
        </w:rPr>
        <w:t xml:space="preserve">levels </w:t>
      </w:r>
      <w:r w:rsidR="001E31C9" w:rsidRPr="00135762">
        <w:rPr>
          <w:rFonts w:cs="Tahoma"/>
          <w:sz w:val="24"/>
          <w:szCs w:val="24"/>
        </w:rPr>
        <w:t xml:space="preserve">across </w:t>
      </w:r>
      <w:r w:rsidR="00023B12" w:rsidRPr="00135762">
        <w:rPr>
          <w:rFonts w:cs="Tahoma"/>
          <w:sz w:val="24"/>
          <w:szCs w:val="24"/>
        </w:rPr>
        <w:t xml:space="preserve">the </w:t>
      </w:r>
      <w:r w:rsidR="001E31C9" w:rsidRPr="00135762">
        <w:rPr>
          <w:rFonts w:cs="Tahoma"/>
          <w:sz w:val="24"/>
          <w:szCs w:val="24"/>
        </w:rPr>
        <w:t xml:space="preserve">ACR tertiles, </w:t>
      </w:r>
      <w:r w:rsidR="00023B12" w:rsidRPr="00135762">
        <w:rPr>
          <w:rFonts w:cs="Tahoma"/>
          <w:sz w:val="24"/>
          <w:szCs w:val="24"/>
        </w:rPr>
        <w:t xml:space="preserve">which </w:t>
      </w:r>
      <w:r w:rsidR="001E31C9" w:rsidRPr="00135762">
        <w:rPr>
          <w:rFonts w:cs="Tahoma"/>
          <w:sz w:val="24"/>
          <w:szCs w:val="24"/>
        </w:rPr>
        <w:t>suggest</w:t>
      </w:r>
      <w:r w:rsidR="00023B12" w:rsidRPr="00135762">
        <w:rPr>
          <w:rFonts w:cs="Tahoma"/>
          <w:sz w:val="24"/>
          <w:szCs w:val="24"/>
        </w:rPr>
        <w:t>s</w:t>
      </w:r>
      <w:r w:rsidR="001E31C9" w:rsidRPr="00135762">
        <w:rPr>
          <w:rFonts w:cs="Tahoma"/>
          <w:sz w:val="24"/>
          <w:szCs w:val="24"/>
        </w:rPr>
        <w:t xml:space="preserve"> that renal and </w:t>
      </w:r>
      <w:r w:rsidR="002F376D" w:rsidRPr="00135762">
        <w:rPr>
          <w:rFonts w:cs="Tahoma"/>
          <w:sz w:val="24"/>
          <w:szCs w:val="24"/>
        </w:rPr>
        <w:t>cardiovascular</w:t>
      </w:r>
      <w:r w:rsidR="001E31C9" w:rsidRPr="00135762">
        <w:rPr>
          <w:rFonts w:cs="Tahoma"/>
          <w:sz w:val="24"/>
          <w:szCs w:val="24"/>
        </w:rPr>
        <w:t xml:space="preserve"> </w:t>
      </w:r>
      <w:r w:rsidR="006B3F70" w:rsidRPr="00135762">
        <w:rPr>
          <w:rFonts w:cs="Tahoma"/>
          <w:sz w:val="24"/>
          <w:szCs w:val="24"/>
        </w:rPr>
        <w:t xml:space="preserve">risk factors </w:t>
      </w:r>
      <w:r w:rsidR="001E31C9" w:rsidRPr="00135762">
        <w:rPr>
          <w:rFonts w:cs="Tahoma"/>
          <w:sz w:val="24"/>
          <w:szCs w:val="24"/>
        </w:rPr>
        <w:t>may be partly independent of glyc</w:t>
      </w:r>
      <w:r w:rsidR="00023B12" w:rsidRPr="00135762">
        <w:rPr>
          <w:rFonts w:cs="Tahoma"/>
          <w:sz w:val="24"/>
          <w:szCs w:val="24"/>
        </w:rPr>
        <w:t>a</w:t>
      </w:r>
      <w:r w:rsidR="001E31C9" w:rsidRPr="00135762">
        <w:rPr>
          <w:rFonts w:cs="Tahoma"/>
          <w:sz w:val="24"/>
          <w:szCs w:val="24"/>
        </w:rPr>
        <w:t>emic control</w:t>
      </w:r>
      <w:r w:rsidR="00FC14D2" w:rsidRPr="00135762">
        <w:rPr>
          <w:sz w:val="24"/>
          <w:szCs w:val="24"/>
        </w:rPr>
        <w:fldChar w:fldCharType="begin" w:fldLock="1"/>
      </w:r>
      <w:r w:rsidR="00752474">
        <w:rPr>
          <w:sz w:val="24"/>
          <w:szCs w:val="24"/>
        </w:rPr>
        <w:instrText>ADDIN CSL_CITATION {"citationItems":[{"id":"ITEM-1","itemData":{"DOI":"10.2337/dc13-1634","ISSN":"1935-5548","PMID":"24198300","abstract":"OBJECTIVE: We assessed the association between early increases in albumin excretion and cardiovascular (CV) and renal markers in a large cohort of young people with type 1 diabetes.\n\nRESEARCH DESIGN AND METHODS: As part of preliminary screening for a multicenter, randomized controlled trial of statins/ACE inhibitors, we measured albumin-creatinine ratio (ACR) in six early morning urine samples from 3,353 adolescents (10-16 years of age) and calculated tertiles based on an established algorithm. From those subjects deemed to be at higher risk (upper ACR tertile), we recruited 400 into the intervention study (trial cohort). From those subjects deemed to be at lower risk (middle-lower ACR tertiles), we recruited 329 to the observation cohort. At baseline, vascular measurements (carotid intima-media thickness, pulse wave velocity [PWV], flow-mediated dilatation, digital pulse amplitude tonometry), renal markers (symmetric dimethylarginine, cystatin C, creatinine), and CV disease markers (lipids and apolipoproteins [Apo] A-1 and B, C-reactive protein, asymmetric dimethylarginine) were assessed.\n\nRESULTS: Age- and sex-adjusted PWV was higher in the trial than in the observational cohort (5.00 ± 0.84 vs. 4.86 ± 0.70 m/s; P = 0.021). Similarly, non-HDL cholesterol (2.95 ± 0.83 vs. 2.81 ± 0.78 mmol/L; P = 0.02) and ApoB-ApoA-1 ratio (0.50 ± 0.14 vs. 0.47 ± 0.11; P = 0.04) were higher in the trial cohort. Cystatin C and creatinine were decreased (0.88 ± 0.13 vs. 0.90 ± 0.13 mg/L, P = 0.04; 51.81 ± 10.45 vs. 55.35 ± 11.05 μmol/L, P &lt; 0.001; respectively) and estimated glomerular filtration rate (137.05 ± 23.89 vs. 129.31 ± 22.41 mL/min/1.73 m(2); P &lt; 0.001) increased in the trial compared with the observational cohort.\n\nCONCLUSIONS: Our data demonstrate that in adolescents with type 1 diabetes, the group with the highest tertile of albumin excretion showed more evidence of early renal and CV disease than those in the lower tertiles.","author":[{"dropping-particle":"","family":"Marcovecchio","given":"M Loredana","non-dropping-particle":"","parse-names":false,"suffix":""},{"dropping-particle":"","family":"Woodside","given":"John","non-dropping-particle":"","parse-names":false,"suffix":""},{"dropping-particle":"","family":"Jones","given":"Timothy","non-dropping-particle":"","parse-names":false,"suffix":""},{"dropping-particle":"","family":"Daneman","given":"Denis","non-dropping-particle":"","parse-names":false,"suffix":""},{"dropping-particle":"","family":"Neil","given":"Andrew","non-dropping-particle":"","parse-names":false,"suffix":""},{"dropping-particle":"","family":"Prevost","given":"Toby","non-dropping-particle":"","parse-names":false,"suffix":""},{"dropping-particle":"","family":"Dalton","given":"R Neil","non-dropping-particle":"","parse-names":false,"suffix":""},{"dropping-particle":"","family":"Deanfield","given":"John","non-dropping-particle":"","parse-names":false,"suffix":""},{"dropping-particle":"","family":"Dunger","given":"David B","non-dropping-particle":"","parse-names":false,"suffix":""}],"container-title":"Diabetes care","id":"ITEM-1","issue":"3","issued":{"date-parts":[["2014","1"]]},"page":"805-13","title":"Adolescent Type 1 Diabetes Cardio-Renal Intervention Trial (AdDIT): urinary screening and baseline biochemical and cardiovascular assessments.","type":"article-journal","volume":"37"},"uris":["http://www.mendeley.com/documents/?uuid=b7f2b83c-e92f-4d55-a0a3-d16b717dcd7f"]}],"mendeley":{"formattedCitation":"&lt;sup&gt;65&lt;/sup&gt;","plainTextFormattedCitation":"65","previouslyFormattedCitation":"&lt;sup&gt;66&lt;/sup&gt;"},"properties":{"noteIndex":0},"schema":"https://github.com/citation-style-language/schema/raw/master/csl-citation.json"}</w:instrText>
      </w:r>
      <w:r w:rsidR="00FC14D2" w:rsidRPr="00135762">
        <w:rPr>
          <w:sz w:val="24"/>
          <w:szCs w:val="24"/>
          <w:vertAlign w:val="superscript"/>
        </w:rPr>
        <w:fldChar w:fldCharType="separate"/>
      </w:r>
      <w:r w:rsidR="00752474" w:rsidRPr="00752474">
        <w:rPr>
          <w:noProof/>
          <w:sz w:val="24"/>
          <w:szCs w:val="24"/>
          <w:vertAlign w:val="superscript"/>
        </w:rPr>
        <w:t>65</w:t>
      </w:r>
      <w:r w:rsidR="00FC14D2" w:rsidRPr="00135762">
        <w:rPr>
          <w:sz w:val="24"/>
          <w:szCs w:val="24"/>
        </w:rPr>
        <w:fldChar w:fldCharType="end"/>
      </w:r>
      <w:r w:rsidR="00114738" w:rsidRPr="00135762">
        <w:rPr>
          <w:rFonts w:cs="Tahoma"/>
          <w:sz w:val="24"/>
          <w:szCs w:val="24"/>
        </w:rPr>
        <w:t>.</w:t>
      </w:r>
    </w:p>
    <w:p w14:paraId="176A0C6C" w14:textId="77777777" w:rsidR="005659A0" w:rsidRPr="00135762" w:rsidRDefault="005659A0" w:rsidP="00975785">
      <w:pPr>
        <w:spacing w:after="0" w:line="360" w:lineRule="auto"/>
        <w:rPr>
          <w:sz w:val="24"/>
          <w:szCs w:val="24"/>
        </w:rPr>
      </w:pPr>
    </w:p>
    <w:p w14:paraId="6F898361" w14:textId="3F347CF6" w:rsidR="001E31C9" w:rsidRPr="00135762" w:rsidRDefault="00BE3B0E" w:rsidP="00975785">
      <w:pPr>
        <w:spacing w:after="0" w:line="360" w:lineRule="auto"/>
        <w:rPr>
          <w:sz w:val="24"/>
          <w:szCs w:val="24"/>
        </w:rPr>
      </w:pPr>
      <w:r w:rsidRPr="00135762">
        <w:rPr>
          <w:sz w:val="24"/>
          <w:szCs w:val="24"/>
        </w:rPr>
        <w:t xml:space="preserve">The results of both the AdDIT Intervention and </w:t>
      </w:r>
      <w:r w:rsidR="00023B12" w:rsidRPr="00135762">
        <w:rPr>
          <w:sz w:val="24"/>
          <w:szCs w:val="24"/>
        </w:rPr>
        <w:t>AdD</w:t>
      </w:r>
      <w:r w:rsidR="00182C66">
        <w:rPr>
          <w:sz w:val="24"/>
          <w:szCs w:val="24"/>
        </w:rPr>
        <w:t>IT</w:t>
      </w:r>
      <w:r w:rsidR="00023B12" w:rsidRPr="00135762">
        <w:rPr>
          <w:sz w:val="24"/>
          <w:szCs w:val="24"/>
        </w:rPr>
        <w:t xml:space="preserve"> </w:t>
      </w:r>
      <w:r w:rsidRPr="00135762">
        <w:rPr>
          <w:sz w:val="24"/>
          <w:szCs w:val="24"/>
        </w:rPr>
        <w:t>Observational studies have now been published</w:t>
      </w:r>
      <w:r w:rsidR="00D35F6E">
        <w:rPr>
          <w:sz w:val="24"/>
          <w:szCs w:val="24"/>
        </w:rPr>
        <w:fldChar w:fldCharType="begin" w:fldLock="1"/>
      </w:r>
      <w:r w:rsidR="00752474">
        <w:rPr>
          <w:sz w:val="24"/>
          <w:szCs w:val="24"/>
        </w:rPr>
        <w:instrText>ADDIN CSL_CITATION {"citationItems":[{"id":"ITEM-1","itemData":{"DOI":"10.2337/dc13-1634","ISSN":"1935-5548","PMID":"24198300","abstract":"OBJECTIVE: We assessed the association between early increases in albumin excretion and cardiovascular (CV) and renal markers in a large cohort of young people with type 1 diabetes.\n\nRESEARCH DESIGN AND METHODS: As part of preliminary screening for a multicenter, randomized controlled trial of statins/ACE inhibitors, we measured albumin-creatinine ratio (ACR) in six early morning urine samples from 3,353 adolescents (10-16 years of age) and calculated tertiles based on an established algorithm. From those subjects deemed to be at higher risk (upper ACR tertile), we recruited 400 into the intervention study (trial cohort). From those subjects deemed to be at lower risk (middle-lower ACR tertiles), we recruited 329 to the observation cohort. At baseline, vascular measurements (carotid intima-media thickness, pulse wave velocity [PWV], flow-mediated dilatation, digital pulse amplitude tonometry), renal markers (symmetric dimethylarginine, cystatin C, creatinine), and CV disease markers (lipids and apolipoproteins [Apo] A-1 and B, C-reactive protein, asymmetric dimethylarginine) were assessed.\n\nRESULTS: Age- and sex-adjusted PWV was higher in the trial than in the observational cohort (5.00 ± 0.84 vs. 4.86 ± 0.70 m/s; P = 0.021). Similarly, non-HDL cholesterol (2.95 ± 0.83 vs. 2.81 ± 0.78 mmol/L; P = 0.02) and ApoB-ApoA-1 ratio (0.50 ± 0.14 vs. 0.47 ± 0.11; P = 0.04) were higher in the trial cohort. Cystatin C and creatinine were decreased (0.88 ± 0.13 vs. 0.90 ± 0.13 mg/L, P = 0.04; 51.81 ± 10.45 vs. 55.35 ± 11.05 μmol/L, P &lt; 0.001; respectively) and estimated glomerular filtration rate (137.05 ± 23.89 vs. 129.31 ± 22.41 mL/min/1.73 m(2); P &lt; 0.001) increased in the trial compared with the observational cohort.\n\nCONCLUSIONS: Our data demonstrate that in adolescents with type 1 diabetes, the group with the highest tertile of albumin excretion showed more evidence of early renal and CV disease than those in the lower tertiles.","author":[{"dropping-particle":"","family":"Marcovecchio","given":"M Loredana","non-dropping-particle":"","parse-names":false,"suffix":""},{"dropping-particle":"","family":"Woodside","given":"John","non-dropping-particle":"","parse-names":false,"suffix":""},{"dropping-particle":"","family":"Jones","given":"Timothy","non-dropping-particle":"","parse-names":false,"suffix":""},{"dropping-particle":"","family":"Daneman","given":"Denis","non-dropping-particle":"","parse-names":false,"suffix":""},{"dropping-particle":"","family":"Neil","given":"Andrew","non-dropping-particle":"","parse-names":false,"suffix":""},{"dropping-particle":"","family":"Prevost","given":"Toby","non-dropping-particle":"","parse-names":false,"suffix":""},{"dropping-particle":"","family":"Dalton","given":"R Neil","non-dropping-particle":"","parse-names":false,"suffix":""},{"dropping-particle":"","family":"Deanfield","given":"John","non-dropping-particle":"","parse-names":false,"suffix":""},{"dropping-particle":"","family":"Dunger","given":"David B","non-dropping-particle":"","parse-names":false,"suffix":""}],"container-title":"Diabetes care","id":"ITEM-1","issue":"3","issued":{"date-parts":[["2014","1"]]},"page":"805-13","title":"Adolescent Type 1 Diabetes Cardio-Renal Intervention Trial (AdDIT): urinary screening and baseline biochemical and cardiovascular assessments.","type":"article-journal","volume":"37"},"uris":["http://www.mendeley.com/documents/?uuid=b7f2b83c-e92f-4d55-a0a3-d16b717dcd7f"]},{"id":"ITEM-2","itemData":{"DOI":"10.1056/NEJMoa1703518","ISSN":"0028-4793","PMID":"29091568","abstract":"BACKGROUND Among adolescents with type 1 diabetes, rapid increases in albumin excretion during puberty precede the development of microalbuminuria and macroalbuminuria, long-term risk factors for renal and cardiovascular disease. We hypothesized that adolescents with high levels of albumin excretion might benefit from angiotensin-converting-enzyme (ACE) inhibitors and statins, drugs that have not been fully evaluated in adolescents. METHODS We screened 4407 adolescents with type 1 diabetes between the ages of 10 and 16 years of age and identified 1287 with values in the upper third of the albumin-to-creatinine ratios; 443 were randomly assigned in a placebo-controlled trial of an ACE inhibitor and a statin with the use of a 2-by-2 factorial design minimizing differences in baseline characteristics such as age, sex, and duration of diabetes. The primary outcome for both interventions was the change in albumin excretion, assessed according to the albumin-to-creatinine ratio calculated from three early-morning urine samples obtained every 6 months over 2 to 4 years, and expressed as the area under the curve. Key secondary outcomes included the development of microalbuminuria, progression of retinopathy, changes in the glomerular filtration rate, lipid levels, and measures of cardiovascular risk (carotid intima-media thickness and levels of high-sensitivity C-reactive protein and asymmetric dimethylarginine). RESULTS The primary outcome was not affected by ACE inhibitor therapy, statin therapy, or the combination of the two. The use of an ACE inhibitor was associated with a lower incidence of microalbuminuria than the use of placebo; in the context of negative findings for the primary outcome and statistical analysis plan, this lower incidence was not considered significant (hazard ratio, 0.57; 95% confidence interval, 0.35 to 0.94). Statin use resulted in significant reductions in total, low-density lipoprotein, and non-high-density lipoprotein cholesterol levels, in triglyceride levels, and in the ratio of apolipoprotein B to apolipoprotein A1, whereas neither drug had significant effects on carotid intima-media thickness, other cardiovascular markers, the glomerular filtration rate, or progression of retinopathy. Overall adherence to the drug regimen was 75%, and serious adverse events were similar across the groups. CONCLUSIONS The use of an ACE inhibitor and a statin did not change the albumin-to-creatinine ratio over time. (Funded by the Juvenile Diab…","author":[{"dropping-particle":"","family":"Marcovecchio","given":"M. Loredana","non-dropping-particle":"","parse-names":false,"suffix":""},{"dropping-particle":"","family":"Chiesa","given":"Scott T.","non-dropping-particle":"","parse-names":false,"suffix":""},{"dropping-particle":"","family":"Bond","given":"Simon","non-dropping-particle":"","parse-names":false,"suffix":""},{"dropping-particle":"","family":"Daneman","given":"Denis","non-dropping-particle":"","parse-names":false,"suffix":""},{"dropping-particle":"","family":"Dawson","given":"Sarah","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B.","non-dropping-particle":"","parse-names":false,"suffix":""},{"dropping-particle":"","family":"AdDIT Study Group","given":"","non-dropping-particle":"","parse-names":false,"suffix":""}],"container-title":"New England Journal of Medicine","id":"ITEM-2","issue":"18","issued":{"date-parts":[["2017","11","2"]]},"page":"1733-1745","title":"ACE Inhibitors and Statins in Adolescents with Type 1 Diabetes","type":"article-journal","volume":"377"},"uris":["http://www.mendeley.com/documents/?uuid=5f1f94b2-1b02-32e3-8a47-aac8b8c00527"]},{"id":"ITEM-3","itemData":{"DOI":"10.2337/dc18-1125","ISSN":"0149-5992","PMID":"30026334","abstract":"OBJECTIVE Baseline data from the Adolescent Type 1 Diabetes Cardio-Renal Intervention Trial (AdDIT) indicated that tertiles of urinary albumin-to-creatinine ratios (ACRs) in the normal range at age 10-16 years are associated with risk markers for diabetic nephropathy (DN) and cardiovascular disease (CVD). We aimed to determine whether the top ACR tertile remained associated with DN and CVD risk over the 2-4-year AdDIT study. RESEARCH DESIGN AND METHODS One hundred fifty adolescents (mean age 14.1 years [SD 1.6]) with baseline ACR in the upper tertile (high-ACR group) recruited to the AdDIT trial, who remained untreated, and 396 (age 14.3 years [1.6]) with ACR in the middle and lower tertiles (low-ACR group), who completed the parallel AdDIT observational study, were evaluated prospectively with assessments of ACR and renal and CVD markers, combined with carotid intima-media thickness (cIMT) at baseline and end of study. RESULTS After a median follow-up of 3.9 years, the cumulative incidence of microalbuminuria was 16.3% in the high-ACR versus 5.5% in the low-ACR group (log-rank P &lt; 0.001). Cox models showed independent contributions of the high-ACR group (hazard ratio 4.29 [95% CI 2.08-8.85]) and HbA1c (1.37 [1.10-1.72]) to microalbuminuria risk. cIMT change from baseline was significantly greater in the high- versus low-ACR group (mean difference 0.010 mm [0.079], P = 0.006). Changes in estimated glomerular filtration rate, systolic blood pressure, and hs-CRP were also significantly greater in the high-ACR group (P &lt; 0.05). CONCLUSIONS ACR at the higher end of the normal range at the age of 10-16 years is associated with an increased risk of progression to microalbuminuria and future CVD risk, independently of HbA1c.","author":[{"dropping-particle":"","family":"Marcovecchio","given":"M. Loredana","non-dropping-particle":"","parse-names":false,"suffix":""},{"dropping-particle":"","family":"Chiesa","given":"Scott T.","non-dropping-particle":"","parse-names":false,"suffix":""},{"dropping-particle":"","family":"Armitage","given":"Jane","non-dropping-particle":"","parse-names":false,"suffix":""},{"dropping-particle":"","family":"Daneman","given":"Denis","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B.","non-dropping-particle":"","parse-names":false,"suffix":""},{"dropping-particle":"","family":"Adolescent Type 1 Diabetes Cardio-Renal Intervention Trial (AdDIT) Study Group","given":"","non-dropping-particle":"","parse-names":false,"suffix":""}],"container-title":"Diabetes Care","id":"ITEM-3","issue":"9","issued":{"date-parts":[["2018","9"]]},"page":"1963-1969","title":"Renal and Cardiovascular Risk According to Tertiles of Urinary Albumin-to-Creatinine Ratio: The Adolescent Type 1 Diabetes Cardio-Renal Intervention Trial (AdDIT)","type":"article-journal","volume":"41"},"uris":["http://www.mendeley.com/documents/?uuid=7af72299-c5cd-3a10-9d62-a860633aa94e"]},{"id":"ITEM-4","itemData":{"DOI":"10.1007/s00125-017-4538-2","ISSN":"0012-186X","PMID":"29396691","abstract":"AIMS/HYPOTHESIS We examined the hypothesis that elevation in urinary albumin creatinine ratio (ACR) in adolescents with type 1 diabetes is associated with abnormal retinal vascular geometry (RVG) phenotypes. METHODS A cross-sectional study at baseline of the relationship between ACR within the normoalbuminuric range and RVG in 963 adolescents aged 14.4 ± 1.6 years with type 1 diabetes (median duration 6.5 years) screened for participation in AdDIT. A validated algorithm was used to categorise log10ACR into tertiles: upper tertile ACR was defined as 'high-risk' for future albuminuria and the lower two tertiles were deemed 'low-risk'. RVG analysis, using a semi-automated computer program, determined retinal vascular calibres (standard and extended zones) and tortuosity. RVG measures were analysed continuously and categorically (in quintiles: Q1-Q5) for associations with log10ACR and ACR risk groups. RESULTS Greater log10ACR was associated with narrower vessel calibres and greater tortuosity. The high-risk group was more likely to have extended zone vessel calibres in the lowest quintile (arteriolar Q1 vs Q2-Q5: OR 1.67 [95% CI 1.17, 2.38] and venular OR 1.39 [0.98, 1.99]) and tortuosity in the highest quintile (Q5 vs Q1-Q4: arteriolar OR 2.05 [1.44, 2.92] and venular OR 2.38 [1.67, 3.40]). The effects of retinal vascular calibres and tortuosity were additive such that the participants with the narrowest and most tortuous vessels were more likely to be in the high-risk group (OR 3.32 [1.84, 5.96]). These effects were independent of duration, blood pressure, BMI and blood glucose control. CONCLUSIONS/INTERPRETATION Higher ACR in adolescents is associated with narrower and more tortuous retinal vessels. Therefore, RVG phenotypes may serve to identify populations at high risk of diabetes complications during adolescence and well before onset of clinical diabetes complications.","author":[{"dropping-particle":"","family":"Benitez-Aguirre","given":"Paul Z.","non-dropping-particle":"","parse-names":false,"suffix":""},{"dropping-particle":"","family":"Wong","given":"Tien Y.","non-dropping-particle":"","parse-names":false,"suffix":""},{"dropping-particle":"","family":"Craig","given":"Maria E.","non-dropping-particle":"","parse-names":false,"suffix":""},{"dropping-particle":"","family":"Davis","given":"Elizabeth A.","non-dropping-particle":"","parse-names":false,"suffix":""},{"dropping-particle":"","family":"Cotterill","given":"Andrew","non-dropping-particle":"","parse-names":false,"suffix":""},{"dropping-particle":"","family":"Couper","given":"Jennifer J.","non-dropping-particle":"","parse-names":false,"suffix":""},{"dropping-particle":"","family":"Cameron","given":"Fergus J.","non-dropping-particle":"","parse-names":false,"suffix":""},{"dropping-particle":"","family":"Mahmud","given":"Farid H.","non-dropping-particle":"","parse-names":false,"suffix":""},{"dropping-particle":"","family":"Jones","given":"Tim W.","non-dropping-particle":"","parse-names":false,"suffix":""},{"dropping-particle":"","family":"Hodgson","given":"Lauren A. B.","non-dropping-particle":"","parse-names":false,"suffix":""},{"dropping-particle":"","family":"Dalton","given":"R. Neil","non-dropping-particle":"","parse-names":false,"suffix":""},{"dropping-particle":"","family":"Dunger","given":"David B.","non-dropping-particle":"","parse-names":false,"suffix":""},{"dropping-particle":"","family":"Donaghue","given":"Kim C.","non-dropping-particle":"","parse-names":false,"suffix":""},{"dropping-particle":"","family":"Adolescent Type 1 Diabetes Cardio-Renal Intervention Trial (AdDIT)","given":"","non-dropping-particle":"","parse-names":false,"suffix":""}],"container-title":"Diabetologia","id":"ITEM-4","issue":"4","issued":{"date-parts":[["2018","4","2"]]},"page":"968-976","title":"The Adolescent Cardio-Renal Intervention Trial (AdDIT): retinal vascular geometry and renal function in adolescents with type 1 diabetes","type":"article-journal","volume":"61"},"uris":["http://www.mendeley.com/documents/?uuid=cfefb645-c50c-304a-b7a9-44d5bf9d3582"]}],"mendeley":{"formattedCitation":"&lt;sup&gt;63,65,66,69&lt;/sup&gt;","plainTextFormattedCitation":"63,65,66,69","previouslyFormattedCitation":"&lt;sup&gt;64,66,67,70&lt;/sup&gt;"},"properties":{"noteIndex":0},"schema":"https://github.com/citation-style-language/schema/raw/master/csl-citation.json"}</w:instrText>
      </w:r>
      <w:r w:rsidR="00D35F6E">
        <w:rPr>
          <w:sz w:val="24"/>
          <w:szCs w:val="24"/>
        </w:rPr>
        <w:fldChar w:fldCharType="separate"/>
      </w:r>
      <w:r w:rsidR="00752474" w:rsidRPr="00752474">
        <w:rPr>
          <w:noProof/>
          <w:sz w:val="24"/>
          <w:szCs w:val="24"/>
          <w:vertAlign w:val="superscript"/>
        </w:rPr>
        <w:t>63,65,66,69</w:t>
      </w:r>
      <w:r w:rsidR="00D35F6E">
        <w:rPr>
          <w:sz w:val="24"/>
          <w:szCs w:val="24"/>
        </w:rPr>
        <w:fldChar w:fldCharType="end"/>
      </w:r>
      <w:r w:rsidRPr="00135762">
        <w:rPr>
          <w:sz w:val="24"/>
          <w:szCs w:val="24"/>
        </w:rPr>
        <w:t xml:space="preserve"> and it is important to consider how these results could influence screening and intervention </w:t>
      </w:r>
      <w:r w:rsidR="00D47662" w:rsidRPr="00135762">
        <w:rPr>
          <w:sz w:val="24"/>
          <w:szCs w:val="24"/>
        </w:rPr>
        <w:t xml:space="preserve">strategies </w:t>
      </w:r>
      <w:r w:rsidRPr="00135762">
        <w:rPr>
          <w:sz w:val="24"/>
          <w:szCs w:val="24"/>
        </w:rPr>
        <w:t>in high-</w:t>
      </w:r>
      <w:r w:rsidR="00675724" w:rsidRPr="00135762">
        <w:rPr>
          <w:sz w:val="24"/>
          <w:szCs w:val="24"/>
        </w:rPr>
        <w:t>risk</w:t>
      </w:r>
      <w:r w:rsidRPr="00135762">
        <w:rPr>
          <w:sz w:val="24"/>
          <w:szCs w:val="24"/>
        </w:rPr>
        <w:t xml:space="preserve"> and low-risk adolescents with </w:t>
      </w:r>
      <w:r w:rsidR="00023B12" w:rsidRPr="00135762">
        <w:rPr>
          <w:sz w:val="24"/>
          <w:szCs w:val="24"/>
        </w:rPr>
        <w:t>T1DM</w:t>
      </w:r>
      <w:r w:rsidRPr="00135762">
        <w:rPr>
          <w:sz w:val="24"/>
          <w:szCs w:val="24"/>
        </w:rPr>
        <w:t>.</w:t>
      </w:r>
    </w:p>
    <w:p w14:paraId="2403C858" w14:textId="77777777" w:rsidR="00BE3B0E" w:rsidRPr="00135762" w:rsidRDefault="00BE3B0E" w:rsidP="00975785">
      <w:pPr>
        <w:spacing w:after="0" w:line="360" w:lineRule="auto"/>
        <w:rPr>
          <w:b/>
          <w:sz w:val="24"/>
          <w:szCs w:val="24"/>
        </w:rPr>
      </w:pPr>
    </w:p>
    <w:p w14:paraId="0467927B" w14:textId="20DD17D6" w:rsidR="00E6486A" w:rsidRPr="00135762" w:rsidRDefault="00CA6BCC" w:rsidP="00705114">
      <w:pPr>
        <w:spacing w:line="360" w:lineRule="auto"/>
        <w:rPr>
          <w:b/>
          <w:sz w:val="24"/>
        </w:rPr>
      </w:pPr>
      <w:r w:rsidRPr="00135762">
        <w:rPr>
          <w:i/>
          <w:sz w:val="24"/>
        </w:rPr>
        <w:t>A</w:t>
      </w:r>
      <w:r w:rsidR="00E6486A" w:rsidRPr="00135762">
        <w:rPr>
          <w:i/>
          <w:sz w:val="24"/>
        </w:rPr>
        <w:t>dDIT Intervention study</w:t>
      </w:r>
      <w:r w:rsidRPr="00135762">
        <w:rPr>
          <w:b/>
          <w:sz w:val="24"/>
        </w:rPr>
        <w:t xml:space="preserve"> </w:t>
      </w:r>
    </w:p>
    <w:p w14:paraId="146B2B90" w14:textId="49AFBFD6" w:rsidR="00E6486A" w:rsidRPr="00135762" w:rsidRDefault="008C6CE6" w:rsidP="001151AA">
      <w:pPr>
        <w:tabs>
          <w:tab w:val="left" w:pos="360"/>
        </w:tabs>
        <w:autoSpaceDE w:val="0"/>
        <w:autoSpaceDN w:val="0"/>
        <w:adjustRightInd w:val="0"/>
        <w:spacing w:after="0" w:line="360" w:lineRule="auto"/>
        <w:jc w:val="both"/>
        <w:rPr>
          <w:rFonts w:cstheme="minorHAnsi"/>
          <w:strike/>
          <w:noProof/>
          <w:color w:val="000000"/>
          <w:sz w:val="24"/>
          <w:szCs w:val="24"/>
        </w:rPr>
      </w:pPr>
      <w:r w:rsidRPr="00135762">
        <w:rPr>
          <w:rFonts w:cstheme="minorHAnsi"/>
          <w:sz w:val="24"/>
          <w:szCs w:val="24"/>
          <w:lang w:val="en-US" w:eastAsia="it-IT"/>
        </w:rPr>
        <w:t>As previously mentioned, i</w:t>
      </w:r>
      <w:r w:rsidR="00C6117D" w:rsidRPr="00135762">
        <w:rPr>
          <w:rFonts w:cstheme="minorHAnsi"/>
          <w:sz w:val="24"/>
          <w:szCs w:val="24"/>
          <w:lang w:val="en-US" w:eastAsia="it-IT"/>
        </w:rPr>
        <w:t>n adu</w:t>
      </w:r>
      <w:r w:rsidR="00BE5E4C" w:rsidRPr="00135762">
        <w:rPr>
          <w:rFonts w:cstheme="minorHAnsi"/>
          <w:sz w:val="24"/>
          <w:szCs w:val="24"/>
          <w:lang w:val="en-US" w:eastAsia="it-IT"/>
        </w:rPr>
        <w:t xml:space="preserve">lts with </w:t>
      </w:r>
      <w:r w:rsidR="001151AA" w:rsidRPr="00135762">
        <w:rPr>
          <w:rFonts w:cstheme="minorHAnsi"/>
          <w:sz w:val="24"/>
          <w:szCs w:val="24"/>
          <w:lang w:val="en-US" w:eastAsia="it-IT"/>
        </w:rPr>
        <w:t>T1DM</w:t>
      </w:r>
      <w:r w:rsidR="00E7035B" w:rsidRPr="00135762">
        <w:rPr>
          <w:rFonts w:cstheme="minorHAnsi"/>
          <w:sz w:val="24"/>
          <w:szCs w:val="24"/>
          <w:lang w:val="en-US" w:eastAsia="it-IT"/>
        </w:rPr>
        <w:t>, the presence of microalbuminuria</w:t>
      </w:r>
      <w:r w:rsidR="00C6117D" w:rsidRPr="00135762">
        <w:rPr>
          <w:rFonts w:cstheme="minorHAnsi"/>
          <w:sz w:val="24"/>
          <w:szCs w:val="24"/>
          <w:lang w:val="en-US" w:eastAsia="it-IT"/>
        </w:rPr>
        <w:t xml:space="preserve"> is a general indication for intervention with ACE inhibitors or a</w:t>
      </w:r>
      <w:r w:rsidR="00C6117D" w:rsidRPr="00135762">
        <w:rPr>
          <w:rFonts w:cstheme="minorHAnsi"/>
          <w:sz w:val="24"/>
          <w:szCs w:val="24"/>
          <w:lang w:val="en-US"/>
        </w:rPr>
        <w:t xml:space="preserve">ngiotensin receptor blockers </w:t>
      </w:r>
      <w:r w:rsidR="00C6117D" w:rsidRPr="00135762">
        <w:rPr>
          <w:rFonts w:cstheme="minorHAnsi"/>
          <w:sz w:val="24"/>
          <w:szCs w:val="24"/>
          <w:lang w:val="en-US" w:eastAsia="it-IT"/>
        </w:rPr>
        <w:t>and also for consideration of statin therapy</w:t>
      </w:r>
      <w:r w:rsidR="00C6117D" w:rsidRPr="00135762">
        <w:rPr>
          <w:rFonts w:cstheme="minorHAnsi"/>
          <w:sz w:val="24"/>
          <w:szCs w:val="24"/>
          <w:lang w:val="en-US" w:eastAsia="it-IT"/>
        </w:rPr>
        <w:fldChar w:fldCharType="begin" w:fldLock="1"/>
      </w:r>
      <w:r w:rsidR="00752474">
        <w:rPr>
          <w:rFonts w:cstheme="minorHAnsi"/>
          <w:sz w:val="24"/>
          <w:szCs w:val="24"/>
          <w:lang w:val="en-US" w:eastAsia="it-IT"/>
        </w:rPr>
        <w:instrText>ADDIN CSL_CITATION {"citationItems":[{"id":"ITEM-1","itemData":{"URL":"https://www.nice.org.uk/guidance/ng17/chapter/1-recommendations#managing-complications","author":[{"dropping-particle":"","family":"NICE","given":"","non-dropping-particle":"","parse-names":false,"suffix":""}],"container-title":"2016","id":"ITEM-1","issued":{"date-parts":[["0"]]},"title":"Type 1 diabetes in adults: diagnosis and management","type":"webpage"},"uris":["http://www.mendeley.com/documents/?uuid=2174ecc5-e299-416b-9fbf-417b70ddd180","http://www.mendeley.com/documents/?uuid=b5144b02-9e60-4cd8-a0b6-ff8f358cff2a"]}],"mendeley":{"formattedCitation":"&lt;sup&gt;64&lt;/sup&gt;","plainTextFormattedCitation":"64","previouslyFormattedCitation":"&lt;sup&gt;65&lt;/sup&gt;"},"properties":{"noteIndex":0},"schema":"https://github.com/citation-style-language/schema/raw/master/csl-citation.json"}</w:instrText>
      </w:r>
      <w:r w:rsidR="00C6117D" w:rsidRPr="00135762">
        <w:rPr>
          <w:rFonts w:cstheme="minorHAnsi"/>
          <w:sz w:val="24"/>
          <w:szCs w:val="24"/>
          <w:vertAlign w:val="superscript"/>
          <w:lang w:val="en-US" w:eastAsia="it-IT"/>
        </w:rPr>
        <w:fldChar w:fldCharType="separate"/>
      </w:r>
      <w:r w:rsidR="00752474" w:rsidRPr="00752474">
        <w:rPr>
          <w:rFonts w:cstheme="minorHAnsi"/>
          <w:noProof/>
          <w:sz w:val="24"/>
          <w:szCs w:val="24"/>
          <w:vertAlign w:val="superscript"/>
          <w:lang w:val="en-US" w:eastAsia="it-IT"/>
        </w:rPr>
        <w:t>64</w:t>
      </w:r>
      <w:r w:rsidR="00C6117D" w:rsidRPr="00135762">
        <w:rPr>
          <w:rFonts w:cstheme="minorHAnsi"/>
          <w:sz w:val="24"/>
          <w:szCs w:val="24"/>
          <w:lang w:val="en-US" w:eastAsia="it-IT"/>
        </w:rPr>
        <w:fldChar w:fldCharType="end"/>
      </w:r>
      <w:r w:rsidR="00C6117D" w:rsidRPr="00135762">
        <w:rPr>
          <w:rFonts w:cstheme="minorHAnsi"/>
          <w:sz w:val="24"/>
          <w:szCs w:val="24"/>
          <w:lang w:val="en-US" w:eastAsia="it-IT"/>
        </w:rPr>
        <w:t xml:space="preserve">. </w:t>
      </w:r>
      <w:r w:rsidR="00BB566B" w:rsidRPr="00135762">
        <w:rPr>
          <w:rFonts w:cstheme="minorHAnsi"/>
          <w:sz w:val="24"/>
          <w:szCs w:val="24"/>
          <w:lang w:val="en-US" w:eastAsia="it-IT"/>
        </w:rPr>
        <w:t>On the basis of</w:t>
      </w:r>
      <w:r w:rsidR="00BE5E4C" w:rsidRPr="00135762">
        <w:rPr>
          <w:sz w:val="24"/>
          <w:szCs w:val="24"/>
        </w:rPr>
        <w:t xml:space="preserve"> </w:t>
      </w:r>
      <w:r w:rsidR="002F376D" w:rsidRPr="00135762">
        <w:rPr>
          <w:sz w:val="24"/>
          <w:szCs w:val="24"/>
        </w:rPr>
        <w:t xml:space="preserve">the </w:t>
      </w:r>
      <w:r w:rsidR="00E6486A" w:rsidRPr="00135762">
        <w:rPr>
          <w:sz w:val="24"/>
          <w:szCs w:val="24"/>
        </w:rPr>
        <w:t>published data</w:t>
      </w:r>
      <w:r w:rsidR="00BE5E4C" w:rsidRPr="00135762">
        <w:rPr>
          <w:sz w:val="24"/>
          <w:szCs w:val="24"/>
        </w:rPr>
        <w:t xml:space="preserve"> in adults with </w:t>
      </w:r>
      <w:r w:rsidR="00BB566B" w:rsidRPr="00135762">
        <w:rPr>
          <w:sz w:val="24"/>
          <w:szCs w:val="24"/>
        </w:rPr>
        <w:t>T1DM</w:t>
      </w:r>
      <w:r w:rsidR="00E6486A" w:rsidRPr="00135762">
        <w:rPr>
          <w:sz w:val="24"/>
          <w:szCs w:val="24"/>
        </w:rPr>
        <w:fldChar w:fldCharType="begin" w:fldLock="1"/>
      </w:r>
      <w:r w:rsidR="00752474">
        <w:rPr>
          <w:sz w:val="24"/>
          <w:szCs w:val="24"/>
        </w:rPr>
        <w:instrText>ADDIN CSL_CITATION {"citationItems":[{"id":"ITEM-1","itemData":{"ISSN":"0003-4819","PMID":"11242497","abstract":"PURPOSE To determine whether response of albumin excretion rate to angiotensin-converting enzyme (ACE) inhibitors has a threshold in patients with type 1 diabetes mellitus and microalbuminuria and to examine treatment effect according to covariates. DATA SOURCES Studies were identified by searching MEDLINE and related bibliographies. STUDY SELECTION Selected studies included at least 10 normotensive patients with type 1 diabetes mellitus and microalbuminuria, had a placebo or nonintervention group, and included at least 1 year of follow-up. DATA EXTRACTION Raw data were obtained for 698 patients from the 12 identified trials. Analysis of treatment effect at 2 years was restricted to trials with at least 2 years of follow-up (646 patients from 10 trials). DATA SYNTHESIS In patients receiving ACE inhibitors, progression to macroalbuminuria was reduced (odds ratio, 0.38 [95% CI, 0.25 to 0.57]) and the odds ratio for regression to normoalbuminuria was 3.07 (CI, 2.15 to 4.44). At 2 years, albumin excretion rate was 50.5% (CI, 29.2% to 65.5%) lower in treated patients than in those receiving placebo (P &lt; 0.001). Estimated treatment effect varied by baseline albumin excretion rate (74.1% and 17.8% in patients with a rate of 200 microg/min and 20 microg/min, respectively [P = 0.04]) but not by patient subgroup. Adjustment for change in blood pressure attenuated the treatment difference in albumin excretion rate at 2 years to 45.1% (CI, 18.6% to 63.1%; P &lt; 0.001). CONCLUSIONS In normotensive patients with type 1 diabetes mellitus and microalbuminuria, ACE inhibitors significantly reduced progression to macroalbuminuria and increased chances of regression. Beneficial effects were weaker at the lowest levels of microalbuminuria but did not differ according to other baseline risk factors. Changes in blood pressure cannot entirely explain the antiproteinuric effect of ACE inhibitors.","author":[{"dropping-particle":"","family":"ACE Inhibitors in Diabetic Nephropathy Trialist Group","given":"","non-dropping-particle":"","parse-names":false,"suffix":""}],"container-title":"Annals of internal medicine","id":"ITEM-1","issue":"5","issued":{"date-parts":[["2001","3","6"]]},"page":"370-9","title":"Should all patients with type 1 diabetes mellitus and microalbuminuria receive angiotensin-converting enzyme inhibitors? A meta-analysis of individual patient data.","type":"article-journal","volume":"134"},"uris":["http://www.mendeley.com/documents/?uuid=41459cc7-0d94-383f-9b0f-0cc8c7d964dc"]}],"mendeley":{"formattedCitation":"&lt;sup&gt;70&lt;/sup&gt;","plainTextFormattedCitation":"70","previouslyFormattedCitation":"&lt;sup&gt;71&lt;/sup&gt;"},"properties":{"noteIndex":0},"schema":"https://github.com/citation-style-language/schema/raw/master/csl-citation.json"}</w:instrText>
      </w:r>
      <w:r w:rsidR="00E6486A" w:rsidRPr="00135762">
        <w:rPr>
          <w:sz w:val="24"/>
          <w:szCs w:val="24"/>
          <w:vertAlign w:val="superscript"/>
        </w:rPr>
        <w:fldChar w:fldCharType="separate"/>
      </w:r>
      <w:r w:rsidR="00752474" w:rsidRPr="00752474">
        <w:rPr>
          <w:noProof/>
          <w:sz w:val="24"/>
          <w:szCs w:val="24"/>
          <w:vertAlign w:val="superscript"/>
        </w:rPr>
        <w:t>70</w:t>
      </w:r>
      <w:r w:rsidR="00E6486A" w:rsidRPr="00135762">
        <w:rPr>
          <w:sz w:val="24"/>
          <w:szCs w:val="24"/>
        </w:rPr>
        <w:fldChar w:fldCharType="end"/>
      </w:r>
      <w:r w:rsidR="00E6486A" w:rsidRPr="00135762">
        <w:rPr>
          <w:sz w:val="24"/>
          <w:szCs w:val="24"/>
        </w:rPr>
        <w:t>, we predicted that intervention with ACE inhibitors might reduce the incidence of microalbuminuria</w:t>
      </w:r>
      <w:r w:rsidR="00BB566B" w:rsidRPr="00135762">
        <w:rPr>
          <w:sz w:val="24"/>
          <w:szCs w:val="24"/>
        </w:rPr>
        <w:t xml:space="preserve"> in adolescents with T1DM</w:t>
      </w:r>
      <w:r w:rsidR="00BE5E4C" w:rsidRPr="00135762">
        <w:rPr>
          <w:sz w:val="24"/>
          <w:szCs w:val="24"/>
        </w:rPr>
        <w:t xml:space="preserve">. In addition, </w:t>
      </w:r>
      <w:r w:rsidR="00BB566B" w:rsidRPr="00135762">
        <w:rPr>
          <w:sz w:val="24"/>
          <w:szCs w:val="24"/>
        </w:rPr>
        <w:t>on the basis of</w:t>
      </w:r>
      <w:r w:rsidR="00BE5E4C" w:rsidRPr="00135762">
        <w:rPr>
          <w:sz w:val="24"/>
          <w:szCs w:val="24"/>
        </w:rPr>
        <w:t xml:space="preserve"> positive results in young people with familial hypercholesterol</w:t>
      </w:r>
      <w:r w:rsidR="00BB566B" w:rsidRPr="00135762">
        <w:rPr>
          <w:sz w:val="24"/>
          <w:szCs w:val="24"/>
        </w:rPr>
        <w:t>a</w:t>
      </w:r>
      <w:r w:rsidR="00BE5E4C" w:rsidRPr="00135762">
        <w:rPr>
          <w:sz w:val="24"/>
          <w:szCs w:val="24"/>
        </w:rPr>
        <w:t>emia</w:t>
      </w:r>
      <w:r w:rsidR="00BE5E4C" w:rsidRPr="00A90E57">
        <w:rPr>
          <w:sz w:val="24"/>
          <w:szCs w:val="24"/>
        </w:rPr>
        <w:fldChar w:fldCharType="begin" w:fldLock="1"/>
      </w:r>
      <w:r w:rsidR="00752474">
        <w:rPr>
          <w:sz w:val="24"/>
          <w:szCs w:val="24"/>
          <w:highlight w:val="yellow"/>
        </w:rPr>
        <w:instrText>ADDIN CSL_CITATION {"citationItems":[{"id":"ITEM-1","itemData":{"DOI":"10.1001/jama.292.3.331","ISSN":"1538-3598","PMID":"15265847","abstract":"CONTEXT Children with familial hypercholesterolemia have endothelial dysfunction and increased carotid intima-media thickness (IMT), which herald the premature atherosclerotic disease they develop later in life. Although intervention therapy in the causal pathway of this disorder has been available for more than a decade, the long-term efficacy and safety of cholesterol-lowering medication have not been evaluated in children. OBJECTIVE To determine the 2-year efficacy and safety of pravastatin therapy in children with familial hypercholesterolemia. DESIGN Randomized, double-blind, placebo-controlled trial that recruited children between December 7, 1997, and October 4, 1999, and followed them up for 2 years. SETTING AND PARTICIPANTS Two hundred fourteen children with familial hypercholesterolemia, aged 8 to 18 years and recruited from an academic medical referral center in the Netherlands. INTERVENTION After initiation of a fat-restricted diet and encouragement of regular physical activity, children were randomly assigned to receive treatment with pravastatin, 20 to 40 mg/d (n = 106), or a placebo tablet (n = 108). MAIN OUTCOME MEASURES The primary efficacy outcome was the change from baseline in mean carotid IMT compared between the 2 groups over 2 years; the principal safety outcomes were growth, maturation, and hormone level measurements over 2 years as well as changes in muscle and liver enzyme levels. RESULTS Compared with baseline, carotid IMT showed a trend toward regression with pravastatin (mean [SD], -0.010 [0.048] mm; P =.049), whereas a trend toward progression was observed in the placebo group (mean [SD], +0.005 [0.044] mm; P =.28). The mean (SD) change in IMT compared between the 2 groups (0.014 [0.046] mm) was significant (P =.02). Also, pravastatin significantly reduced mean low-density lipoprotein cholesterol levels compared with placebo (-24.1% vs +0.3%, respectively; P&lt;.001). No differences were observed for growth, muscle or liver enzymes, endocrine function parameters, Tanner staging scores, onset of menses, or testicular volume between the 2 groups. CONCLUSION Two years of pravastatin therapy induced a significant regression of carotid atherosclerosis in children with familial hypercholesterolemia, with no adverse effects on growth, sexual maturation, hormone levels, or liver or muscle tissue.","author":[{"dropping-particle":"","family":"Wiegman","given":"Albert","non-dropping-particle":"","parse-names":false,"suffix":""},{"dropping-particle":"","family":"Hutten","given":"Barbara A","non-dropping-particle":"","parse-names":false,"suffix":""},{"dropping-particle":"","family":"Groot","given":"Eric","non-dropping-particle":"de","parse-names":false,"suffix":""},{"dropping-particle":"","family":"Rodenburg","given":"Jessica","non-dropping-particle":"","parse-names":false,"suffix":""},{"dropping-particle":"","family":"Bakker","given":"Henk D","non-dropping-particle":"","parse-names":false,"suffix":""},{"dropping-particle":"","family":"Büller","given":"Harry R","non-dropping-particle":"","parse-names":false,"suffix":""},{"dropping-particle":"","family":"Sijbrands","given":"Eric J G","non-dropping-particle":"","parse-names":false,"suffix":""},{"dropping-particle":"","family":"Kastelein","given":"John J P","non-dropping-particle":"","parse-names":false,"suffix":""}],"container-title":"JAMA","id":"ITEM-1","issue":"3","issued":{"date-parts":[["2004","7","21"]]},"page":"331-7","title":"Efficacy and safety of statin therapy in children with familial hypercholesterolemia: a randomized controlled trial.","type":"article-journal","volume":"292"},"uris":["http://www.mendeley.com/documents/?uuid=09a64c61-0de4-36f9-85fa-8248dd9619d6"]}],"mendeley":{"formattedCitation":"&lt;sup&gt;71&lt;/sup&gt;","plainTextFormattedCitation":"71","previouslyFormattedCitation":"&lt;sup&gt;72&lt;/sup&gt;"},"properties":{"noteIndex":0},"schema":"https://github.com/citation-style-language/schema/raw/master/csl-citation.json"}</w:instrText>
      </w:r>
      <w:r w:rsidR="00BE5E4C" w:rsidRPr="00A90E57">
        <w:rPr>
          <w:sz w:val="24"/>
          <w:szCs w:val="24"/>
          <w:vertAlign w:val="superscript"/>
        </w:rPr>
        <w:fldChar w:fldCharType="separate"/>
      </w:r>
      <w:r w:rsidR="00752474" w:rsidRPr="00752474">
        <w:rPr>
          <w:noProof/>
          <w:sz w:val="24"/>
          <w:szCs w:val="24"/>
          <w:vertAlign w:val="superscript"/>
        </w:rPr>
        <w:t>71</w:t>
      </w:r>
      <w:r w:rsidR="00BE5E4C" w:rsidRPr="00A90E57">
        <w:rPr>
          <w:sz w:val="24"/>
          <w:szCs w:val="24"/>
        </w:rPr>
        <w:fldChar w:fldCharType="end"/>
      </w:r>
      <w:r w:rsidR="00BE5E4C" w:rsidRPr="00135762">
        <w:rPr>
          <w:sz w:val="24"/>
          <w:szCs w:val="24"/>
        </w:rPr>
        <w:t xml:space="preserve">, we also expected </w:t>
      </w:r>
      <w:r w:rsidR="00E6486A" w:rsidRPr="00135762">
        <w:rPr>
          <w:sz w:val="24"/>
          <w:szCs w:val="24"/>
        </w:rPr>
        <w:t xml:space="preserve">that statins would reduce </w:t>
      </w:r>
      <w:r w:rsidR="00BB566B" w:rsidRPr="00135762">
        <w:rPr>
          <w:sz w:val="24"/>
          <w:szCs w:val="24"/>
        </w:rPr>
        <w:t xml:space="preserve">exposure to hyperlipidaemia in </w:t>
      </w:r>
      <w:r w:rsidR="00E6486A" w:rsidRPr="00135762">
        <w:rPr>
          <w:sz w:val="24"/>
          <w:szCs w:val="24"/>
        </w:rPr>
        <w:t>ado</w:t>
      </w:r>
      <w:r w:rsidR="00D47662" w:rsidRPr="00135762">
        <w:rPr>
          <w:sz w:val="24"/>
          <w:szCs w:val="24"/>
        </w:rPr>
        <w:t>lescent</w:t>
      </w:r>
      <w:r w:rsidR="00BB566B" w:rsidRPr="00135762">
        <w:rPr>
          <w:sz w:val="24"/>
          <w:szCs w:val="24"/>
        </w:rPr>
        <w:t>s with T1DM</w:t>
      </w:r>
      <w:r w:rsidR="00E6486A" w:rsidRPr="00135762">
        <w:rPr>
          <w:sz w:val="24"/>
          <w:szCs w:val="24"/>
        </w:rPr>
        <w:fldChar w:fldCharType="begin" w:fldLock="1"/>
      </w:r>
      <w:r w:rsidR="00752474">
        <w:rPr>
          <w:sz w:val="24"/>
          <w:szCs w:val="24"/>
        </w:rPr>
        <w:instrText>ADDIN CSL_CITATION {"citationItems":[{"id":"ITEM-1","itemData":{"DOI":"10.1186/1471-2431-9-79","ISSN":"1471-2431","PMID":"20017932","abstract":"BACKGROUND: The prognosis for young people diagnosed with diabetes during childhood remains poor and this is mainly related to the long-term risk of developing vascular complications.Microalbuminuria identifies subjects at risk for diabetic nephropathy (DN) and cardiovascular disease (CVD). It is often detected in adolescence but is rarely treated before the age of 18 years, as at the end of puberty albumin excretion may decline and in some subjects will return into the normal range. However, evidence indicates that subjects with both transient and persistent microalbuminuria have experienced renal damage during puberty and thus reno-protection to prevent long-term complications is warranted. In adults with diabetes and microalbuminuria, the use of angiotensin converting enzyme inhibitors (ACEI) and Statins is increasing, and in order to determine whether these agents are of value in the adolescent population a large randomized controlled clinical trial is needed.\n\nMETHODS/DESIGN: The Adolescent type 1 Diabetes cardio-renal Intervention Trial (AdDIT) is a multi-center, randomized, double-blind, placebo-controlled trial of ACEI and Statin therapy in adolescents with type 1 diabetes. 500 high-risk adolescents, defined on the basis of their albumin excretion, are randomized to receive either ACEI (Quinapril) or Statins (Atorvastatin) or combination therapy or placebo for 3-4 years. There will also be a parallel open observational study, based on the follow-up of 400 low-risk non-randomized adolescents. The major endpoint of the study is the change in albumin excretion; secondary endpoints include markers of CVD, renal function, retinopathy, quality of life combined with assessment of compliance and potential health economic benefits.\n\nDISCUSSION: AdDIT will provide important data on the potential renal and cardiovascular protective effects of ACEI and Statins in high-risk adolescents. Long-term follow-up of the randomized subjects will provide direct evidence of disease outcomes, in addition to the data on early surrogate measures of DN and CVD. Follow-up of non-randomized low-risk subjects will determine the potential impact of intervention on DN and CVD. AdDIT will help to determine whether, in addition to encouraging young people to achieve good glycaemic control, pharmacological cardio-renal protection should also be implemented. EUDRACT NUMBER: 2007-001039-72\n\nTRIAL REGISTRATION NUMBER: ISRCTN91419926.","container-title":"BMC pediatrics","id":"ITEM-1","issued":{"date-parts":[["2009","1"]]},"page":"79","title":"Adolescent type 1 Diabetes Cardio-renal Intervention Trial (AdDIT).","type":"article-journal","volume":"9"},"uris":["http://www.mendeley.com/documents/?uuid=9dc25f6f-0309-4a6f-be25-a579354d9bd5"]}],"mendeley":{"formattedCitation":"&lt;sup&gt;62&lt;/sup&gt;","plainTextFormattedCitation":"62","previouslyFormattedCitation":"&lt;sup&gt;63&lt;/sup&gt;"},"properties":{"noteIndex":0},"schema":"https://github.com/citation-style-language/schema/raw/master/csl-citation.json"}</w:instrText>
      </w:r>
      <w:r w:rsidR="00E6486A" w:rsidRPr="00135762">
        <w:rPr>
          <w:sz w:val="24"/>
          <w:szCs w:val="24"/>
        </w:rPr>
        <w:fldChar w:fldCharType="separate"/>
      </w:r>
      <w:r w:rsidR="00752474" w:rsidRPr="00752474">
        <w:rPr>
          <w:noProof/>
          <w:sz w:val="24"/>
          <w:szCs w:val="24"/>
          <w:vertAlign w:val="superscript"/>
        </w:rPr>
        <w:t>62</w:t>
      </w:r>
      <w:r w:rsidR="00E6486A" w:rsidRPr="00135762">
        <w:rPr>
          <w:sz w:val="24"/>
          <w:szCs w:val="24"/>
        </w:rPr>
        <w:fldChar w:fldCharType="end"/>
      </w:r>
      <w:r w:rsidR="00E6486A" w:rsidRPr="00135762">
        <w:rPr>
          <w:sz w:val="24"/>
          <w:szCs w:val="24"/>
        </w:rPr>
        <w:t>.</w:t>
      </w:r>
      <w:r w:rsidR="00F96BE4" w:rsidRPr="00135762">
        <w:rPr>
          <w:sz w:val="24"/>
          <w:szCs w:val="24"/>
        </w:rPr>
        <w:t xml:space="preserve"> </w:t>
      </w:r>
      <w:r w:rsidR="00BB566B" w:rsidRPr="00135762">
        <w:rPr>
          <w:sz w:val="24"/>
          <w:szCs w:val="24"/>
        </w:rPr>
        <w:t>In the AdD</w:t>
      </w:r>
      <w:r w:rsidR="00182C66">
        <w:rPr>
          <w:sz w:val="24"/>
          <w:szCs w:val="24"/>
        </w:rPr>
        <w:t>IT</w:t>
      </w:r>
      <w:r w:rsidR="00BB566B" w:rsidRPr="00135762">
        <w:rPr>
          <w:sz w:val="24"/>
          <w:szCs w:val="24"/>
        </w:rPr>
        <w:t xml:space="preserve"> intervention study, b</w:t>
      </w:r>
      <w:r w:rsidR="009D311B" w:rsidRPr="00135762">
        <w:rPr>
          <w:sz w:val="24"/>
          <w:szCs w:val="24"/>
        </w:rPr>
        <w:t>oth</w:t>
      </w:r>
      <w:r w:rsidR="00E6486A" w:rsidRPr="00135762">
        <w:rPr>
          <w:sz w:val="24"/>
          <w:szCs w:val="24"/>
        </w:rPr>
        <w:t xml:space="preserve"> these predictions proved to be true and both drugs were well tolerated during adolescence with</w:t>
      </w:r>
      <w:r w:rsidR="00BB566B" w:rsidRPr="00135762">
        <w:rPr>
          <w:sz w:val="24"/>
          <w:szCs w:val="24"/>
        </w:rPr>
        <w:t xml:space="preserve"> very</w:t>
      </w:r>
      <w:r w:rsidR="00E6486A" w:rsidRPr="00135762">
        <w:rPr>
          <w:sz w:val="24"/>
          <w:szCs w:val="24"/>
        </w:rPr>
        <w:t xml:space="preserve"> few </w:t>
      </w:r>
      <w:r w:rsidR="00BB566B" w:rsidRPr="00135762">
        <w:rPr>
          <w:sz w:val="24"/>
          <w:szCs w:val="24"/>
        </w:rPr>
        <w:t>adverse</w:t>
      </w:r>
      <w:r w:rsidR="00E6486A" w:rsidRPr="00135762">
        <w:rPr>
          <w:sz w:val="24"/>
          <w:szCs w:val="24"/>
        </w:rPr>
        <w:t xml:space="preserve"> effects</w:t>
      </w:r>
      <w:r w:rsidR="0083214B" w:rsidRPr="00135762">
        <w:rPr>
          <w:rFonts w:eastAsia="Calibri" w:cs="Arial"/>
          <w:sz w:val="24"/>
          <w:szCs w:val="24"/>
        </w:rPr>
        <w:fldChar w:fldCharType="begin" w:fldLock="1"/>
      </w:r>
      <w:r w:rsidR="00752474">
        <w:rPr>
          <w:rFonts w:eastAsia="Calibri" w:cs="Arial"/>
          <w:sz w:val="24"/>
          <w:szCs w:val="24"/>
        </w:rPr>
        <w:instrText>ADDIN CSL_CITATION {"citationItems":[{"id":"ITEM-1","itemData":{"DOI":"10.1056/NEJMoa1703518","ISSN":"0028-4793","PMID":"29091568","abstract":"BACKGROUND Among adolescents with type 1 diabetes, rapid increases in albumin excretion during puberty precede the development of microalbuminuria and macroalbuminuria, long-term risk factors for renal and cardiovascular disease. We hypothesized that adolescents with high levels of albumin excretion might benefit from angiotensin-converting-enzyme (ACE) inhibitors and statins, drugs that have not been fully evaluated in adolescents. METHODS We screened 4407 adolescents with type 1 diabetes between the ages of 10 and 16 years of age and identified 1287 with values in the upper third of the albumin-to-creatinine ratios; 443 were randomly assigned in a placebo-controlled trial of an ACE inhibitor and a statin with the use of a 2-by-2 factorial design minimizing differences in baseline characteristics such as age, sex, and duration of diabetes. The primary outcome for both interventions was the change in albumin excretion, assessed according to the albumin-to-creatinine ratio calculated from three early-morning urine samples obtained every 6 months over 2 to 4 years, and expressed as the area under the curve. Key secondary outcomes included the development of microalbuminuria, progression of retinopathy, changes in the glomerular filtration rate, lipid levels, and measures of cardiovascular risk (carotid intima-media thickness and levels of high-sensitivity C-reactive protein and asymmetric dimethylarginine). RESULTS The primary outcome was not affected by ACE inhibitor therapy, statin therapy, or the combination of the two. The use of an ACE inhibitor was associated with a lower incidence of microalbuminuria than the use of placebo; in the context of negative findings for the primary outcome and statistical analysis plan, this lower incidence was not considered significant (hazard ratio, 0.57; 95% confidence interval, 0.35 to 0.94). Statin use resulted in significant reductions in total, low-density lipoprotein, and non-high-density lipoprotein cholesterol levels, in triglyceride levels, and in the ratio of apolipoprotein B to apolipoprotein A1, whereas neither drug had significant effects on carotid intima-media thickness, other cardiovascular markers, the glomerular filtration rate, or progression of retinopathy. Overall adherence to the drug regimen was 75%, and serious adverse events were similar across the groups. CONCLUSIONS The use of an ACE inhibitor and a statin did not change the albumin-to-creatinine ratio over time. (Funded by the Juvenile Diab…","author":[{"dropping-particle":"","family":"Marcovecchio","given":"M. Loredana","non-dropping-particle":"","parse-names":false,"suffix":""},{"dropping-particle":"","family":"Chiesa","given":"Scott T.","non-dropping-particle":"","parse-names":false,"suffix":""},{"dropping-particle":"","family":"Bond","given":"Simon","non-dropping-particle":"","parse-names":false,"suffix":""},{"dropping-particle":"","family":"Daneman","given":"Denis","non-dropping-particle":"","parse-names":false,"suffix":""},{"dropping-particle":"","family":"Dawson","given":"Sarah","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B.","non-dropping-particle":"","parse-names":false,"suffix":""},{"dropping-particle":"","family":"AdDIT Study Group","given":"","non-dropping-particle":"","parse-names":false,"suffix":""}],"container-title":"New England Journal of Medicine","id":"ITEM-1","issue":"18","issued":{"date-parts":[["2017","11","2"]]},"page":"1733-1745","title":"ACE Inhibitors and Statins in Adolescents with Type 1 Diabetes","type":"article-journal","volume":"377"},"uris":["http://www.mendeley.com/documents/?uuid=5f1f94b2-1b02-32e3-8a47-aac8b8c00527"]}],"mendeley":{"formattedCitation":"&lt;sup&gt;63&lt;/sup&gt;","plainTextFormattedCitation":"63","previouslyFormattedCitation":"&lt;sup&gt;64&lt;/sup&gt;"},"properties":{"noteIndex":0},"schema":"https://github.com/citation-style-language/schema/raw/master/csl-citation.json"}</w:instrText>
      </w:r>
      <w:r w:rsidR="0083214B" w:rsidRPr="00135762">
        <w:rPr>
          <w:rFonts w:eastAsia="Calibri" w:cs="Arial"/>
          <w:sz w:val="24"/>
          <w:szCs w:val="24"/>
          <w:vertAlign w:val="superscript"/>
        </w:rPr>
        <w:fldChar w:fldCharType="separate"/>
      </w:r>
      <w:r w:rsidR="00752474" w:rsidRPr="00752474">
        <w:rPr>
          <w:rFonts w:eastAsia="Calibri" w:cs="Arial"/>
          <w:noProof/>
          <w:sz w:val="24"/>
          <w:szCs w:val="24"/>
          <w:vertAlign w:val="superscript"/>
        </w:rPr>
        <w:t>63</w:t>
      </w:r>
      <w:r w:rsidR="0083214B" w:rsidRPr="00135762">
        <w:rPr>
          <w:rFonts w:eastAsia="Calibri" w:cs="Arial"/>
          <w:sz w:val="24"/>
          <w:szCs w:val="24"/>
        </w:rPr>
        <w:fldChar w:fldCharType="end"/>
      </w:r>
      <w:r w:rsidR="00E6486A" w:rsidRPr="00135762">
        <w:rPr>
          <w:sz w:val="24"/>
          <w:szCs w:val="24"/>
        </w:rPr>
        <w:t>.</w:t>
      </w:r>
      <w:r w:rsidR="00F96BE4" w:rsidRPr="00135762">
        <w:rPr>
          <w:sz w:val="24"/>
          <w:szCs w:val="24"/>
        </w:rPr>
        <w:t xml:space="preserve"> </w:t>
      </w:r>
    </w:p>
    <w:p w14:paraId="6325D1B0" w14:textId="77777777" w:rsidR="005659A0" w:rsidRPr="00135762" w:rsidRDefault="005659A0" w:rsidP="00E6486A">
      <w:pPr>
        <w:spacing w:line="360" w:lineRule="auto"/>
        <w:jc w:val="both"/>
        <w:rPr>
          <w:rFonts w:eastAsia="Calibri" w:cs="Arial"/>
          <w:sz w:val="24"/>
          <w:szCs w:val="24"/>
        </w:rPr>
      </w:pPr>
    </w:p>
    <w:p w14:paraId="06B57D3C" w14:textId="050DFD3A" w:rsidR="000F030A" w:rsidRPr="00135762" w:rsidRDefault="00E6486A" w:rsidP="00092FAC">
      <w:pPr>
        <w:spacing w:line="360" w:lineRule="auto"/>
        <w:jc w:val="both"/>
        <w:rPr>
          <w:rFonts w:eastAsia="Calibri" w:cs="Arial"/>
          <w:sz w:val="24"/>
          <w:szCs w:val="24"/>
        </w:rPr>
      </w:pPr>
      <w:r w:rsidRPr="00135762">
        <w:rPr>
          <w:rFonts w:eastAsia="Calibri" w:cs="Arial"/>
          <w:sz w:val="24"/>
          <w:szCs w:val="24"/>
        </w:rPr>
        <w:t xml:space="preserve">In the adolescent AdDIT </w:t>
      </w:r>
      <w:r w:rsidR="003744DB" w:rsidRPr="00135762">
        <w:rPr>
          <w:rFonts w:eastAsia="Calibri" w:cs="Arial"/>
          <w:sz w:val="24"/>
          <w:szCs w:val="24"/>
        </w:rPr>
        <w:t xml:space="preserve">intervention </w:t>
      </w:r>
      <w:r w:rsidR="00BB566B" w:rsidRPr="00135762">
        <w:rPr>
          <w:rFonts w:eastAsia="Calibri" w:cs="Arial"/>
          <w:sz w:val="24"/>
          <w:szCs w:val="24"/>
        </w:rPr>
        <w:t>cohort</w:t>
      </w:r>
      <w:r w:rsidR="002F13AA">
        <w:rPr>
          <w:rFonts w:eastAsia="Calibri" w:cs="Arial"/>
          <w:sz w:val="24"/>
          <w:szCs w:val="24"/>
        </w:rPr>
        <w:t xml:space="preserve"> </w:t>
      </w:r>
      <w:r w:rsidR="003D0E3E" w:rsidRPr="00135762">
        <w:rPr>
          <w:rFonts w:eastAsia="Calibri" w:cs="Arial"/>
          <w:sz w:val="24"/>
          <w:szCs w:val="24"/>
        </w:rPr>
        <w:t xml:space="preserve">with </w:t>
      </w:r>
      <w:r w:rsidR="00E95872" w:rsidRPr="00135762">
        <w:rPr>
          <w:rFonts w:eastAsia="Calibri" w:cs="Arial"/>
          <w:sz w:val="24"/>
          <w:szCs w:val="24"/>
        </w:rPr>
        <w:t>ACR in the upper ter</w:t>
      </w:r>
      <w:r w:rsidR="00815E4D">
        <w:rPr>
          <w:rFonts w:eastAsia="Calibri" w:cs="Arial"/>
          <w:sz w:val="24"/>
          <w:szCs w:val="24"/>
        </w:rPr>
        <w:t>t</w:t>
      </w:r>
      <w:r w:rsidR="00E95872" w:rsidRPr="00135762">
        <w:rPr>
          <w:rFonts w:eastAsia="Calibri" w:cs="Arial"/>
          <w:sz w:val="24"/>
          <w:szCs w:val="24"/>
        </w:rPr>
        <w:t>ile</w:t>
      </w:r>
      <w:r w:rsidR="00BB566B" w:rsidRPr="00135762">
        <w:rPr>
          <w:rFonts w:eastAsia="Calibri" w:cs="Arial"/>
          <w:sz w:val="24"/>
          <w:szCs w:val="24"/>
        </w:rPr>
        <w:t>,</w:t>
      </w:r>
      <w:r w:rsidRPr="00135762">
        <w:rPr>
          <w:rFonts w:eastAsia="Calibri" w:cs="Arial"/>
          <w:sz w:val="24"/>
          <w:szCs w:val="24"/>
        </w:rPr>
        <w:t xml:space="preserve"> statin treatment resulted in </w:t>
      </w:r>
      <w:r w:rsidR="003D0E3E" w:rsidRPr="00135762">
        <w:rPr>
          <w:rFonts w:eastAsia="Calibri" w:cs="Arial"/>
          <w:sz w:val="24"/>
          <w:szCs w:val="24"/>
        </w:rPr>
        <w:t>substantial</w:t>
      </w:r>
      <w:r w:rsidR="002F13AA">
        <w:rPr>
          <w:rFonts w:eastAsia="Calibri" w:cs="Arial"/>
          <w:sz w:val="24"/>
          <w:szCs w:val="24"/>
        </w:rPr>
        <w:t xml:space="preserve"> </w:t>
      </w:r>
      <w:r w:rsidR="003744DB" w:rsidRPr="00135762">
        <w:rPr>
          <w:rFonts w:eastAsia="Calibri" w:cs="Arial"/>
          <w:sz w:val="24"/>
          <w:szCs w:val="24"/>
        </w:rPr>
        <w:t>decreases</w:t>
      </w:r>
      <w:r w:rsidRPr="00135762">
        <w:rPr>
          <w:rFonts w:eastAsia="Calibri" w:cs="Arial"/>
          <w:sz w:val="24"/>
          <w:szCs w:val="24"/>
        </w:rPr>
        <w:t xml:space="preserve"> in total cholesterol, LDL cholesterol and non-HDL cholesterol, </w:t>
      </w:r>
      <w:r w:rsidR="00BB566B" w:rsidRPr="00135762">
        <w:rPr>
          <w:rFonts w:eastAsia="Calibri" w:cs="Arial"/>
          <w:sz w:val="24"/>
          <w:szCs w:val="24"/>
        </w:rPr>
        <w:t xml:space="preserve">the </w:t>
      </w:r>
      <w:r w:rsidRPr="00135762">
        <w:rPr>
          <w:rFonts w:eastAsia="Calibri" w:cs="Arial"/>
          <w:sz w:val="24"/>
          <w:szCs w:val="24"/>
        </w:rPr>
        <w:t>Apolipoprotein-B</w:t>
      </w:r>
      <w:r w:rsidR="00BB566B" w:rsidRPr="00135762">
        <w:rPr>
          <w:rFonts w:eastAsia="Calibri" w:cs="Arial"/>
          <w:sz w:val="24"/>
          <w:szCs w:val="24"/>
        </w:rPr>
        <w:t>–</w:t>
      </w:r>
      <w:r w:rsidRPr="00135762">
        <w:rPr>
          <w:rFonts w:eastAsia="Calibri" w:cs="Arial"/>
          <w:sz w:val="24"/>
          <w:szCs w:val="24"/>
        </w:rPr>
        <w:t>Apolipoprotein-A ratio and high-sensitivity C-reactive protein (hsCRP)</w:t>
      </w:r>
      <w:r w:rsidRPr="00135762">
        <w:rPr>
          <w:rFonts w:eastAsia="Calibri" w:cs="Arial"/>
          <w:sz w:val="24"/>
          <w:szCs w:val="24"/>
        </w:rPr>
        <w:fldChar w:fldCharType="begin" w:fldLock="1"/>
      </w:r>
      <w:r w:rsidR="00752474">
        <w:rPr>
          <w:rFonts w:eastAsia="Calibri" w:cs="Arial"/>
          <w:sz w:val="24"/>
          <w:szCs w:val="24"/>
        </w:rPr>
        <w:instrText>ADDIN CSL_CITATION {"citationItems":[{"id":"ITEM-1","itemData":{"DOI":"10.1056/NEJMoa1703518","ISSN":"0028-4793","PMID":"29091568","abstract":"BACKGROUND Among adolescents with type 1 diabetes, rapid increases in albumin excretion during puberty precede the development of microalbuminuria and macroalbuminuria, long-term risk factors for renal and cardiovascular disease. We hypothesized that adolescents with high levels of albumin excretion might benefit from angiotensin-converting-enzyme (ACE) inhibitors and statins, drugs that have not been fully evaluated in adolescents. METHODS We screened 4407 adolescents with type 1 diabetes between the ages of 10 and 16 years of age and identified 1287 with values in the upper third of the albumin-to-creatinine ratios; 443 were randomly assigned in a placebo-controlled trial of an ACE inhibitor and a statin with the use of a 2-by-2 factorial design minimizing differences in baseline characteristics such as age, sex, and duration of diabetes. The primary outcome for both interventions was the change in albumin excretion, assessed according to the albumin-to-creatinine ratio calculated from three early-morning urine samples obtained every 6 months over 2 to 4 years, and expressed as the area under the curve. Key secondary outcomes included the development of microalbuminuria, progression of retinopathy, changes in the glomerular filtration rate, lipid levels, and measures of cardiovascular risk (carotid intima-media thickness and levels of high-sensitivity C-reactive protein and asymmetric dimethylarginine). RESULTS The primary outcome was not affected by ACE inhibitor therapy, statin therapy, or the combination of the two. The use of an ACE inhibitor was associated with a lower incidence of microalbuminuria than the use of placebo; in the context of negative findings for the primary outcome and statistical analysis plan, this lower incidence was not considered significant (hazard ratio, 0.57; 95% confidence interval, 0.35 to 0.94). Statin use resulted in significant reductions in total, low-density lipoprotein, and non-high-density lipoprotein cholesterol levels, in triglyceride levels, and in the ratio of apolipoprotein B to apolipoprotein A1, whereas neither drug had significant effects on carotid intima-media thickness, other cardiovascular markers, the glomerular filtration rate, or progression of retinopathy. Overall adherence to the drug regimen was 75%, and serious adverse events were similar across the groups. CONCLUSIONS The use of an ACE inhibitor and a statin did not change the albumin-to-creatinine ratio over time. (Funded by the Juvenile Diab…","author":[{"dropping-particle":"","family":"Marcovecchio","given":"M. Loredana","non-dropping-particle":"","parse-names":false,"suffix":""},{"dropping-particle":"","family":"Chiesa","given":"Scott T.","non-dropping-particle":"","parse-names":false,"suffix":""},{"dropping-particle":"","family":"Bond","given":"Simon","non-dropping-particle":"","parse-names":false,"suffix":""},{"dropping-particle":"","family":"Daneman","given":"Denis","non-dropping-particle":"","parse-names":false,"suffix":""},{"dropping-particle":"","family":"Dawson","given":"Sarah","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B.","non-dropping-particle":"","parse-names":false,"suffix":""},{"dropping-particle":"","family":"AdDIT Study Group","given":"","non-dropping-particle":"","parse-names":false,"suffix":""}],"container-title":"New England Journal of Medicine","id":"ITEM-1","issue":"18","issued":{"date-parts":[["2017","11","2"]]},"page":"1733-1745","title":"ACE Inhibitors and Statins in Adolescents with Type 1 Diabetes","type":"article-journal","volume":"377"},"uris":["http://www.mendeley.com/documents/?uuid=5f1f94b2-1b02-32e3-8a47-aac8b8c00527"]}],"mendeley":{"formattedCitation":"&lt;sup&gt;63&lt;/sup&gt;","plainTextFormattedCitation":"63","previouslyFormattedCitation":"&lt;sup&gt;64&lt;/sup&gt;"},"properties":{"noteIndex":0},"schema":"https://github.com/citation-style-language/schema/raw/master/csl-citation.json"}</w:instrText>
      </w:r>
      <w:r w:rsidRPr="00135762">
        <w:rPr>
          <w:rFonts w:eastAsia="Calibri" w:cs="Arial"/>
          <w:sz w:val="24"/>
          <w:szCs w:val="24"/>
          <w:vertAlign w:val="superscript"/>
        </w:rPr>
        <w:fldChar w:fldCharType="separate"/>
      </w:r>
      <w:r w:rsidR="00752474" w:rsidRPr="00752474">
        <w:rPr>
          <w:rFonts w:eastAsia="Calibri" w:cs="Arial"/>
          <w:noProof/>
          <w:sz w:val="24"/>
          <w:szCs w:val="24"/>
          <w:vertAlign w:val="superscript"/>
        </w:rPr>
        <w:t>63</w:t>
      </w:r>
      <w:r w:rsidRPr="00135762">
        <w:rPr>
          <w:rFonts w:eastAsia="Calibri" w:cs="Arial"/>
          <w:sz w:val="24"/>
          <w:szCs w:val="24"/>
        </w:rPr>
        <w:fldChar w:fldCharType="end"/>
      </w:r>
      <w:r w:rsidRPr="00135762">
        <w:rPr>
          <w:rFonts w:eastAsia="Calibri" w:cs="Arial"/>
          <w:sz w:val="24"/>
          <w:szCs w:val="24"/>
        </w:rPr>
        <w:t xml:space="preserve">, which might lead to </w:t>
      </w:r>
      <w:r w:rsidR="003744DB" w:rsidRPr="00135762">
        <w:rPr>
          <w:rFonts w:eastAsia="Calibri" w:cs="Arial"/>
          <w:sz w:val="24"/>
          <w:szCs w:val="24"/>
        </w:rPr>
        <w:t xml:space="preserve">a </w:t>
      </w:r>
      <w:r w:rsidRPr="00135762">
        <w:rPr>
          <w:rFonts w:eastAsia="Calibri" w:cs="Arial"/>
          <w:sz w:val="24"/>
          <w:szCs w:val="24"/>
        </w:rPr>
        <w:t>long-term reduction of cardiovascular risk.</w:t>
      </w:r>
      <w:r w:rsidR="00F96BE4" w:rsidRPr="00135762">
        <w:rPr>
          <w:rFonts w:eastAsia="Calibri" w:cs="Arial"/>
          <w:sz w:val="24"/>
          <w:szCs w:val="24"/>
        </w:rPr>
        <w:t xml:space="preserve"> </w:t>
      </w:r>
      <w:r w:rsidR="003744DB" w:rsidRPr="00135762">
        <w:rPr>
          <w:rFonts w:eastAsia="Calibri" w:cs="Arial"/>
          <w:sz w:val="24"/>
          <w:szCs w:val="24"/>
        </w:rPr>
        <w:t xml:space="preserve">In </w:t>
      </w:r>
      <w:r w:rsidR="003744DB" w:rsidRPr="00135762">
        <w:rPr>
          <w:rFonts w:eastAsia="Calibri" w:cs="Arial"/>
          <w:sz w:val="24"/>
          <w:szCs w:val="24"/>
        </w:rPr>
        <w:lastRenderedPageBreak/>
        <w:t>addition, adolescents with T1</w:t>
      </w:r>
      <w:r w:rsidR="003F1709" w:rsidRPr="00135762">
        <w:rPr>
          <w:rFonts w:eastAsia="Calibri" w:cs="Arial"/>
          <w:sz w:val="24"/>
          <w:szCs w:val="24"/>
        </w:rPr>
        <w:t>D</w:t>
      </w:r>
      <w:r w:rsidR="003744DB" w:rsidRPr="00135762">
        <w:rPr>
          <w:rFonts w:eastAsia="Calibri" w:cs="Arial"/>
          <w:sz w:val="24"/>
          <w:szCs w:val="24"/>
        </w:rPr>
        <w:t>M</w:t>
      </w:r>
      <w:r w:rsidR="00092FAC" w:rsidRPr="00135762">
        <w:rPr>
          <w:rFonts w:eastAsia="Calibri" w:cs="Arial"/>
          <w:sz w:val="24"/>
          <w:szCs w:val="24"/>
        </w:rPr>
        <w:t xml:space="preserve"> from the AdDIT cohort</w:t>
      </w:r>
      <w:r w:rsidR="003744DB" w:rsidRPr="00135762">
        <w:rPr>
          <w:rFonts w:eastAsia="Calibri" w:cs="Arial"/>
          <w:sz w:val="24"/>
          <w:szCs w:val="24"/>
        </w:rPr>
        <w:t xml:space="preserve"> who were treated with ACE inhibitors</w:t>
      </w:r>
      <w:r w:rsidRPr="00135762">
        <w:rPr>
          <w:rFonts w:eastAsia="Calibri" w:cs="Arial"/>
          <w:sz w:val="24"/>
          <w:szCs w:val="24"/>
        </w:rPr>
        <w:t xml:space="preserve"> </w:t>
      </w:r>
      <w:r w:rsidR="00092FAC" w:rsidRPr="00135762">
        <w:rPr>
          <w:rFonts w:eastAsia="Calibri" w:cs="Arial"/>
          <w:sz w:val="24"/>
          <w:szCs w:val="24"/>
        </w:rPr>
        <w:t>showed</w:t>
      </w:r>
      <w:r w:rsidRPr="00135762">
        <w:rPr>
          <w:rFonts w:eastAsia="Calibri" w:cs="Arial"/>
          <w:sz w:val="24"/>
          <w:szCs w:val="24"/>
        </w:rPr>
        <w:t xml:space="preserve"> </w:t>
      </w:r>
      <w:r w:rsidR="00092FAC" w:rsidRPr="00135762">
        <w:rPr>
          <w:rFonts w:eastAsia="Calibri" w:cs="Arial"/>
          <w:sz w:val="24"/>
          <w:szCs w:val="24"/>
        </w:rPr>
        <w:t xml:space="preserve">a </w:t>
      </w:r>
      <w:r w:rsidR="0064643D" w:rsidRPr="00135762">
        <w:rPr>
          <w:rFonts w:eastAsia="Calibri" w:cs="Arial"/>
          <w:sz w:val="24"/>
          <w:szCs w:val="24"/>
        </w:rPr>
        <w:t xml:space="preserve">trend </w:t>
      </w:r>
      <w:r w:rsidR="00092FAC" w:rsidRPr="00135762">
        <w:rPr>
          <w:rFonts w:eastAsia="Calibri" w:cs="Arial"/>
          <w:sz w:val="24"/>
          <w:szCs w:val="24"/>
        </w:rPr>
        <w:t>towards a</w:t>
      </w:r>
      <w:r w:rsidR="0064643D" w:rsidRPr="00135762">
        <w:rPr>
          <w:rFonts w:eastAsia="Calibri" w:cs="Arial"/>
          <w:sz w:val="24"/>
          <w:szCs w:val="24"/>
        </w:rPr>
        <w:t xml:space="preserve"> </w:t>
      </w:r>
      <w:r w:rsidRPr="00135762">
        <w:rPr>
          <w:rFonts w:eastAsia="Calibri" w:cs="Arial"/>
          <w:sz w:val="24"/>
          <w:szCs w:val="24"/>
        </w:rPr>
        <w:t xml:space="preserve">reduction </w:t>
      </w:r>
      <w:r w:rsidR="00092FAC" w:rsidRPr="00135762">
        <w:rPr>
          <w:rFonts w:eastAsia="Calibri" w:cs="Arial"/>
          <w:sz w:val="24"/>
          <w:szCs w:val="24"/>
        </w:rPr>
        <w:t xml:space="preserve">in the prevalence of microalbuminuria, </w:t>
      </w:r>
      <w:r w:rsidR="0047609F" w:rsidRPr="00135762">
        <w:rPr>
          <w:rFonts w:eastAsia="Calibri" w:cs="Arial"/>
          <w:sz w:val="24"/>
          <w:szCs w:val="24"/>
        </w:rPr>
        <w:t>including</w:t>
      </w:r>
      <w:r w:rsidRPr="00135762">
        <w:rPr>
          <w:rFonts w:eastAsia="Calibri" w:cs="Arial"/>
          <w:sz w:val="24"/>
          <w:szCs w:val="24"/>
        </w:rPr>
        <w:t xml:space="preserve"> </w:t>
      </w:r>
      <w:r w:rsidR="00092FAC" w:rsidRPr="00135762">
        <w:rPr>
          <w:rFonts w:eastAsia="Calibri" w:cs="Arial"/>
          <w:sz w:val="24"/>
          <w:szCs w:val="24"/>
        </w:rPr>
        <w:t xml:space="preserve">cases of </w:t>
      </w:r>
      <w:r w:rsidRPr="00135762">
        <w:rPr>
          <w:rFonts w:eastAsia="Calibri" w:cs="Arial"/>
          <w:sz w:val="24"/>
          <w:szCs w:val="24"/>
        </w:rPr>
        <w:t>intermittent microalbuminuria</w:t>
      </w:r>
      <w:r w:rsidR="00FC14D2" w:rsidRPr="00135762">
        <w:rPr>
          <w:rFonts w:eastAsia="Calibri" w:cs="Arial"/>
          <w:sz w:val="24"/>
          <w:szCs w:val="24"/>
        </w:rPr>
        <w:fldChar w:fldCharType="begin" w:fldLock="1"/>
      </w:r>
      <w:r w:rsidR="00752474">
        <w:rPr>
          <w:rFonts w:eastAsia="Calibri" w:cs="Arial"/>
          <w:sz w:val="24"/>
          <w:szCs w:val="24"/>
        </w:rPr>
        <w:instrText>ADDIN CSL_CITATION {"citationItems":[{"id":"ITEM-1","itemData":{"DOI":"10.1056/NEJMoa1703518","ISSN":"0028-4793","PMID":"29091568","abstract":"BACKGROUND Among adolescents with type 1 diabetes, rapid increases in albumin excretion during puberty precede the development of microalbuminuria and macroalbuminuria, long-term risk factors for renal and cardiovascular disease. We hypothesized that adolescents with high levels of albumin excretion might benefit from angiotensin-converting-enzyme (ACE) inhibitors and statins, drugs that have not been fully evaluated in adolescents. METHODS We screened 4407 adolescents with type 1 diabetes between the ages of 10 and 16 years of age and identified 1287 with values in the upper third of the albumin-to-creatinine ratios; 443 were randomly assigned in a placebo-controlled trial of an ACE inhibitor and a statin with the use of a 2-by-2 factorial design minimizing differences in baseline characteristics such as age, sex, and duration of diabetes. The primary outcome for both interventions was the change in albumin excretion, assessed according to the albumin-to-creatinine ratio calculated from three early-morning urine samples obtained every 6 months over 2 to 4 years, and expressed as the area under the curve. Key secondary outcomes included the development of microalbuminuria, progression of retinopathy, changes in the glomerular filtration rate, lipid levels, and measures of cardiovascular risk (carotid intima-media thickness and levels of high-sensitivity C-reactive protein and asymmetric dimethylarginine). RESULTS The primary outcome was not affected by ACE inhibitor therapy, statin therapy, or the combination of the two. The use of an ACE inhibitor was associated with a lower incidence of microalbuminuria than the use of placebo; in the context of negative findings for the primary outcome and statistical analysis plan, this lower incidence was not considered significant (hazard ratio, 0.57; 95% confidence interval, 0.35 to 0.94). Statin use resulted in significant reductions in total, low-density lipoprotein, and non-high-density lipoprotein cholesterol levels, in triglyceride levels, and in the ratio of apolipoprotein B to apolipoprotein A1, whereas neither drug had significant effects on carotid intima-media thickness, other cardiovascular markers, the glomerular filtration rate, or progression of retinopathy. Overall adherence to the drug regimen was 75%, and serious adverse events were similar across the groups. CONCLUSIONS The use of an ACE inhibitor and a statin did not change the albumin-to-creatinine ratio over time. (Funded by the Juvenile Diab…","author":[{"dropping-particle":"","family":"Marcovecchio","given":"M. Loredana","non-dropping-particle":"","parse-names":false,"suffix":""},{"dropping-particle":"","family":"Chiesa","given":"Scott T.","non-dropping-particle":"","parse-names":false,"suffix":""},{"dropping-particle":"","family":"Bond","given":"Simon","non-dropping-particle":"","parse-names":false,"suffix":""},{"dropping-particle":"","family":"Daneman","given":"Denis","non-dropping-particle":"","parse-names":false,"suffix":""},{"dropping-particle":"","family":"Dawson","given":"Sarah","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B.","non-dropping-particle":"","parse-names":false,"suffix":""},{"dropping-particle":"","family":"AdDIT Study Group","given":"","non-dropping-particle":"","parse-names":false,"suffix":""}],"container-title":"New England Journal of Medicine","id":"ITEM-1","issue":"18","issued":{"date-parts":[["2017","11","2"]]},"page":"1733-1745","title":"ACE Inhibitors and Statins in Adolescents with Type 1 Diabetes","type":"article-journal","volume":"377"},"uris":["http://www.mendeley.com/documents/?uuid=5f1f94b2-1b02-32e3-8a47-aac8b8c00527"]}],"mendeley":{"formattedCitation":"&lt;sup&gt;63&lt;/sup&gt;","plainTextFormattedCitation":"63","previouslyFormattedCitation":"&lt;sup&gt;64&lt;/sup&gt;"},"properties":{"noteIndex":0},"schema":"https://github.com/citation-style-language/schema/raw/master/csl-citation.json"}</w:instrText>
      </w:r>
      <w:r w:rsidR="00FC14D2" w:rsidRPr="00135762">
        <w:rPr>
          <w:rFonts w:eastAsia="Calibri" w:cs="Arial"/>
          <w:sz w:val="24"/>
          <w:szCs w:val="24"/>
          <w:vertAlign w:val="superscript"/>
        </w:rPr>
        <w:fldChar w:fldCharType="separate"/>
      </w:r>
      <w:r w:rsidR="00752474" w:rsidRPr="00752474">
        <w:rPr>
          <w:rFonts w:eastAsia="Calibri" w:cs="Arial"/>
          <w:noProof/>
          <w:sz w:val="24"/>
          <w:szCs w:val="24"/>
          <w:vertAlign w:val="superscript"/>
        </w:rPr>
        <w:t>63</w:t>
      </w:r>
      <w:r w:rsidR="00FC14D2" w:rsidRPr="00135762">
        <w:rPr>
          <w:rFonts w:eastAsia="Calibri" w:cs="Arial"/>
          <w:sz w:val="24"/>
          <w:szCs w:val="24"/>
        </w:rPr>
        <w:fldChar w:fldCharType="end"/>
      </w:r>
      <w:r w:rsidR="00092FAC" w:rsidRPr="00135762">
        <w:rPr>
          <w:rFonts w:eastAsia="Calibri" w:cs="Arial"/>
          <w:sz w:val="24"/>
          <w:szCs w:val="24"/>
        </w:rPr>
        <w:t>.</w:t>
      </w:r>
      <w:r w:rsidR="0064643D" w:rsidRPr="00135762">
        <w:rPr>
          <w:rFonts w:eastAsia="Calibri" w:cs="Arial"/>
          <w:sz w:val="24"/>
          <w:szCs w:val="24"/>
        </w:rPr>
        <w:t xml:space="preserve"> </w:t>
      </w:r>
      <w:r w:rsidR="00092FAC" w:rsidRPr="00135762">
        <w:rPr>
          <w:rFonts w:eastAsia="Calibri" w:cs="Arial"/>
          <w:sz w:val="24"/>
          <w:szCs w:val="24"/>
        </w:rPr>
        <w:t xml:space="preserve">This intervention </w:t>
      </w:r>
      <w:r w:rsidRPr="00135762">
        <w:rPr>
          <w:rFonts w:eastAsia="Calibri" w:cs="Arial"/>
          <w:sz w:val="24"/>
          <w:szCs w:val="24"/>
        </w:rPr>
        <w:t xml:space="preserve">could </w:t>
      </w:r>
      <w:r w:rsidR="00092FAC" w:rsidRPr="00135762">
        <w:rPr>
          <w:rFonts w:eastAsia="Calibri" w:cs="Arial"/>
          <w:sz w:val="24"/>
          <w:szCs w:val="24"/>
        </w:rPr>
        <w:t xml:space="preserve">therefore </w:t>
      </w:r>
      <w:r w:rsidRPr="00135762">
        <w:rPr>
          <w:rFonts w:eastAsia="Calibri" w:cs="Arial"/>
          <w:sz w:val="24"/>
          <w:szCs w:val="24"/>
        </w:rPr>
        <w:t>lead to a long-term reduced risk of progression to diabetic nephropathy and prevention of cardiovascular disease</w:t>
      </w:r>
      <w:r w:rsidRPr="00135762">
        <w:rPr>
          <w:rFonts w:eastAsia="Calibri" w:cs="Arial"/>
          <w:sz w:val="24"/>
          <w:szCs w:val="24"/>
        </w:rPr>
        <w:fldChar w:fldCharType="begin" w:fldLock="1"/>
      </w:r>
      <w:r w:rsidR="00752474">
        <w:rPr>
          <w:rFonts w:eastAsia="Calibri" w:cs="Arial"/>
          <w:sz w:val="24"/>
          <w:szCs w:val="24"/>
        </w:rPr>
        <w:instrText>ADDIN CSL_CITATION {"citationItems":[{"id":"ITEM-1","itemData":{"DOI":"10.2215/CJN.02870316","ISSN":"1555-9041","PMID":"27797889","abstract":"BACKGROUND AND OBJECTIVES In trials of people with type 2 diabetes, albuminuria reduction with renin-angiotensin system inhibitors is associated with lower risks of cardiovascular events and CKD progression. We tested whether progression or remission of microalbuminuria is associated with cardiovascular and renal risk in a well characterized cohort of type 1 diabetes. DESIGN, SETTING, PARTICIPANTS, &amp; MEASUREMENTS We studied 1441 participants in the Diabetes Control and Complications Trial/Epidemiology of Diabetes Interventions and Complications study. Albumin excretion rate (AER) was quantified annually or biennially for up to 30 years. For each participant, albuminuria status was defined over time as normoalbuminuria (AER continuously &lt;30 mg/d), sustained microalbuminuria (AER, 30-299 mg/d on two consecutive visits), macroalbuminuria (AER≥300 mg/d), or remitted microalbuminuria (transition from sustained microalbuminuria to AER&lt;30 mg/d on two consecutive visits). We tested associations of time-updated albuminuria status with adjudicated clinical cardiovascular events, the development of reduced GFR (&lt;60 ml/min per 1.73 m(2) on two consecutive visits), and subclinical cardiovascular disease. RESULTS At least one cardiovascular event occurred in 184 participants, and 98 participants developed reduced eGFR. Compared with normoalbuminuria, sustained microalbuminuria, remitted microalbuminuria, and macroalbuminuria were each associated with higher risk of cardiovascular events (adjusted hazard ratios [HRs] and 95% confidence intervals [95% CIs]: 1.79 [1.13 to 2.85], 2.62 [1.68 to 4.07], and 2.65 [1.68 to 4.19], respectively) and reduced eGFR (adjusted HRs [95% CIs], 5.26 [2.43 to 11.41], 4.36 [1.80 to 10.57], and 54.35 [30.79 to 95.94], respectively). Compared with sustained microalbuminuria, remission to normoalbuminuria was not associated with reduced risk of cardiovascular events (adjusted HR, 1.33; 95% CI, 0.68 to 2.59) or reduced eGFR (adjusted HR, 1.75; 95% CI, 0.56 to 5.49). Compared with normoalbuminuria, sustained microalbuminuria, remitted microalbuminuria, and macroalbuminuria were associated with greater carotid intima-media thickness, and macroalbuminuria was associated with a greater degree of coronary artery calcification. CONCLUSIONS In type 1 diabetes, microalbuminuria and macroalbuminuria are associated with higher risks of cardiovascular disease and reduced eGFR, but achieving a remission of established microalbuminuria to normoalbuminuri…","author":[{"dropping-particle":"","family":"Boer","given":"I. H.","non-dropping-particle":"de","parse-names":false,"suffix":""},{"dropping-particle":"","family":"Gao","given":"X.","non-dropping-particle":"","parse-names":false,"suffix":""},{"dropping-particle":"","family":"Cleary","given":"P. A.","non-dropping-particle":"","parse-names":false,"suffix":""},{"dropping-particle":"","family":"Bebu","given":"I.","non-dropping-particle":"","parse-names":false,"suffix":""},{"dropping-particle":"","family":"Lachin","given":"J. M.","non-dropping-particle":"","parse-names":false,"suffix":""},{"dropping-particle":"","family":"Molitch","given":"M. E.","non-dropping-particle":"","parse-names":false,"suffix":""},{"dropping-particle":"","family":"Orchard","given":"T.","non-dropping-particle":"","parse-names":false,"suffix":""},{"dropping-particle":"","family":"Paterson","given":"A. D.","non-dropping-particle":"","parse-names":false,"suffix":""},{"dropping-particle":"","family":"Perkins","given":"B. A.","non-dropping-particle":"","parse-names":false,"suffix":""},{"dropping-particle":"","family":"Steffes","given":"M. W.","non-dropping-particle":"","parse-names":false,"suffix":""},{"dropping-particle":"","family":"Zinman","given":"B.","non-dropping-particle":"","parse-names":false,"suffix":""},{"dropping-particle":"","family":"Diabetes Control and Complications Trial/Epidemiology of Diabetes Interventions and Complications (DCCT/EDIC) Research Group","given":"","non-dropping-particle":"","parse-names":false,"suffix":""}],"container-title":"Clinical Journal of the American Society of Nephrology","id":"ITEM-1","issue":"11","issued":{"date-parts":[["2016","11","7"]]},"page":"1969-1977","title":"Albuminuria Changes and Cardiovascular and Renal Outcomes in Type 1 Diabetes: The DCCT/EDIC Study","type":"article-journal","volume":"11"},"uris":["http://www.mendeley.com/documents/?uuid=eb6803fd-1acb-3fa5-a25d-69bc73043aad"]}],"mendeley":{"formattedCitation":"&lt;sup&gt;72&lt;/sup&gt;","plainTextFormattedCitation":"72","previouslyFormattedCitation":"&lt;sup&gt;73&lt;/sup&gt;"},"properties":{"noteIndex":0},"schema":"https://github.com/citation-style-language/schema/raw/master/csl-citation.json"}</w:instrText>
      </w:r>
      <w:r w:rsidRPr="00135762">
        <w:rPr>
          <w:rFonts w:eastAsia="Calibri" w:cs="Arial"/>
          <w:sz w:val="24"/>
          <w:szCs w:val="24"/>
        </w:rPr>
        <w:fldChar w:fldCharType="separate"/>
      </w:r>
      <w:r w:rsidR="00752474" w:rsidRPr="00752474">
        <w:rPr>
          <w:rFonts w:eastAsia="Calibri" w:cs="Arial"/>
          <w:noProof/>
          <w:sz w:val="24"/>
          <w:szCs w:val="24"/>
          <w:vertAlign w:val="superscript"/>
        </w:rPr>
        <w:t>72</w:t>
      </w:r>
      <w:r w:rsidRPr="00135762">
        <w:rPr>
          <w:rFonts w:eastAsia="Calibri" w:cs="Arial"/>
          <w:sz w:val="24"/>
          <w:szCs w:val="24"/>
        </w:rPr>
        <w:fldChar w:fldCharType="end"/>
      </w:r>
      <w:r w:rsidR="00092FAC" w:rsidRPr="00135762">
        <w:rPr>
          <w:rFonts w:eastAsia="Calibri" w:cs="Arial"/>
          <w:sz w:val="24"/>
          <w:szCs w:val="24"/>
        </w:rPr>
        <w:t xml:space="preserve">. </w:t>
      </w:r>
      <w:r w:rsidR="002F13AA">
        <w:rPr>
          <w:rFonts w:eastAsia="Calibri" w:cs="Arial"/>
          <w:sz w:val="24"/>
          <w:szCs w:val="24"/>
        </w:rPr>
        <w:t>Participant</w:t>
      </w:r>
      <w:r w:rsidR="00092FAC" w:rsidRPr="00135762">
        <w:rPr>
          <w:rFonts w:eastAsia="Calibri" w:cs="Arial"/>
          <w:sz w:val="24"/>
          <w:szCs w:val="24"/>
        </w:rPr>
        <w:t xml:space="preserve"> a</w:t>
      </w:r>
      <w:r w:rsidRPr="00135762">
        <w:rPr>
          <w:rFonts w:eastAsia="Calibri" w:cs="Arial"/>
          <w:sz w:val="24"/>
          <w:szCs w:val="24"/>
        </w:rPr>
        <w:t xml:space="preserve">dherence </w:t>
      </w:r>
      <w:r w:rsidR="00092FAC" w:rsidRPr="00135762">
        <w:rPr>
          <w:rFonts w:eastAsia="Calibri" w:cs="Arial"/>
          <w:sz w:val="24"/>
          <w:szCs w:val="24"/>
        </w:rPr>
        <w:t>to</w:t>
      </w:r>
      <w:r w:rsidRPr="00135762">
        <w:rPr>
          <w:rFonts w:eastAsia="Calibri" w:cs="Arial"/>
          <w:sz w:val="24"/>
          <w:szCs w:val="24"/>
        </w:rPr>
        <w:t xml:space="preserve"> ACE inhibitors and statins during the AdDIT trial was</w:t>
      </w:r>
      <w:r w:rsidR="006B15E3" w:rsidRPr="00135762">
        <w:rPr>
          <w:rFonts w:eastAsia="Calibri" w:cs="Arial"/>
          <w:sz w:val="24"/>
          <w:szCs w:val="24"/>
        </w:rPr>
        <w:t xml:space="preserve"> </w:t>
      </w:r>
      <w:r w:rsidRPr="00135762">
        <w:rPr>
          <w:rFonts w:eastAsia="Calibri" w:cs="Arial"/>
          <w:sz w:val="24"/>
          <w:szCs w:val="24"/>
        </w:rPr>
        <w:t>75</w:t>
      </w:r>
      <w:r w:rsidR="00092FAC" w:rsidRPr="00135762">
        <w:rPr>
          <w:rFonts w:eastAsia="Calibri" w:cs="Arial"/>
          <w:sz w:val="24"/>
          <w:szCs w:val="24"/>
        </w:rPr>
        <w:t>–</w:t>
      </w:r>
      <w:r w:rsidR="002F376D" w:rsidRPr="00135762">
        <w:rPr>
          <w:rFonts w:eastAsia="Calibri" w:cs="Arial"/>
          <w:sz w:val="24"/>
          <w:szCs w:val="24"/>
        </w:rPr>
        <w:t>80</w:t>
      </w:r>
      <w:r w:rsidRPr="00135762">
        <w:rPr>
          <w:rFonts w:eastAsia="Calibri" w:cs="Arial"/>
          <w:sz w:val="24"/>
          <w:szCs w:val="24"/>
        </w:rPr>
        <w:t>%</w:t>
      </w:r>
      <w:r w:rsidR="006B15E3" w:rsidRPr="00135762">
        <w:rPr>
          <w:rFonts w:eastAsia="Calibri" w:cs="Arial"/>
          <w:sz w:val="24"/>
          <w:szCs w:val="24"/>
        </w:rPr>
        <w:fldChar w:fldCharType="begin" w:fldLock="1"/>
      </w:r>
      <w:r w:rsidR="00752474">
        <w:rPr>
          <w:rFonts w:eastAsia="Calibri" w:cs="Arial"/>
          <w:sz w:val="24"/>
          <w:szCs w:val="24"/>
        </w:rPr>
        <w:instrText>ADDIN CSL_CITATION {"citationItems":[{"id":"ITEM-1","itemData":{"DOI":"10.1056/NEJMoa1703518","ISSN":"0028-4793","PMID":"29091568","abstract":"BACKGROUND Among adolescents with type 1 diabetes, rapid increases in albumin excretion during puberty precede the development of microalbuminuria and macroalbuminuria, long-term risk factors for renal and cardiovascular disease. We hypothesized that adolescents with high levels of albumin excretion might benefit from angiotensin-converting-enzyme (ACE) inhibitors and statins, drugs that have not been fully evaluated in adolescents. METHODS We screened 4407 adolescents with type 1 diabetes between the ages of 10 and 16 years of age and identified 1287 with values in the upper third of the albumin-to-creatinine ratios; 443 were randomly assigned in a placebo-controlled trial of an ACE inhibitor and a statin with the use of a 2-by-2 factorial design minimizing differences in baseline characteristics such as age, sex, and duration of diabetes. The primary outcome for both interventions was the change in albumin excretion, assessed according to the albumin-to-creatinine ratio calculated from three early-morning urine samples obtained every 6 months over 2 to 4 years, and expressed as the area under the curve. Key secondary outcomes included the development of microalbuminuria, progression of retinopathy, changes in the glomerular filtration rate, lipid levels, and measures of cardiovascular risk (carotid intima-media thickness and levels of high-sensitivity C-reactive protein and asymmetric dimethylarginine). RESULTS The primary outcome was not affected by ACE inhibitor therapy, statin therapy, or the combination of the two. The use of an ACE inhibitor was associated with a lower incidence of microalbuminuria than the use of placebo; in the context of negative findings for the primary outcome and statistical analysis plan, this lower incidence was not considered significant (hazard ratio, 0.57; 95% confidence interval, 0.35 to 0.94). Statin use resulted in significant reductions in total, low-density lipoprotein, and non-high-density lipoprotein cholesterol levels, in triglyceride levels, and in the ratio of apolipoprotein B to apolipoprotein A1, whereas neither drug had significant effects on carotid intima-media thickness, other cardiovascular markers, the glomerular filtration rate, or progression of retinopathy. Overall adherence to the drug regimen was 75%, and serious adverse events were similar across the groups. CONCLUSIONS The use of an ACE inhibitor and a statin did not change the albumin-to-creatinine ratio over time. (Funded by the Juvenile Diab…","author":[{"dropping-particle":"","family":"Marcovecchio","given":"M. Loredana","non-dropping-particle":"","parse-names":false,"suffix":""},{"dropping-particle":"","family":"Chiesa","given":"Scott T.","non-dropping-particle":"","parse-names":false,"suffix":""},{"dropping-particle":"","family":"Bond","given":"Simon","non-dropping-particle":"","parse-names":false,"suffix":""},{"dropping-particle":"","family":"Daneman","given":"Denis","non-dropping-particle":"","parse-names":false,"suffix":""},{"dropping-particle":"","family":"Dawson","given":"Sarah","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B.","non-dropping-particle":"","parse-names":false,"suffix":""},{"dropping-particle":"","family":"AdDIT Study Group","given":"","non-dropping-particle":"","parse-names":false,"suffix":""}],"container-title":"New England Journal of Medicine","id":"ITEM-1","issue":"18","issued":{"date-parts":[["2017","11","2"]]},"page":"1733-1745","title":"ACE Inhibitors and Statins in Adolescents with Type 1 Diabetes","type":"article-journal","volume":"377"},"uris":["http://www.mendeley.com/documents/?uuid=5f1f94b2-1b02-32e3-8a47-aac8b8c00527"]}],"mendeley":{"formattedCitation":"&lt;sup&gt;63&lt;/sup&gt;","plainTextFormattedCitation":"63","previouslyFormattedCitation":"&lt;sup&gt;64&lt;/sup&gt;"},"properties":{"noteIndex":0},"schema":"https://github.com/citation-style-language/schema/raw/master/csl-citation.json"}</w:instrText>
      </w:r>
      <w:r w:rsidR="006B15E3" w:rsidRPr="00135762">
        <w:rPr>
          <w:rFonts w:eastAsia="Calibri" w:cs="Arial"/>
          <w:sz w:val="24"/>
          <w:szCs w:val="24"/>
          <w:vertAlign w:val="superscript"/>
        </w:rPr>
        <w:fldChar w:fldCharType="separate"/>
      </w:r>
      <w:r w:rsidR="00752474" w:rsidRPr="00752474">
        <w:rPr>
          <w:rFonts w:eastAsia="Calibri" w:cs="Arial"/>
          <w:noProof/>
          <w:sz w:val="24"/>
          <w:szCs w:val="24"/>
          <w:vertAlign w:val="superscript"/>
        </w:rPr>
        <w:t>63</w:t>
      </w:r>
      <w:r w:rsidR="006B15E3" w:rsidRPr="00135762">
        <w:rPr>
          <w:rFonts w:eastAsia="Calibri" w:cs="Arial"/>
          <w:sz w:val="24"/>
          <w:szCs w:val="24"/>
        </w:rPr>
        <w:fldChar w:fldCharType="end"/>
      </w:r>
      <w:r w:rsidRPr="00135762">
        <w:rPr>
          <w:rFonts w:eastAsia="Calibri" w:cs="Arial"/>
          <w:sz w:val="24"/>
          <w:szCs w:val="24"/>
        </w:rPr>
        <w:t xml:space="preserve">, </w:t>
      </w:r>
      <w:r w:rsidR="00092FAC" w:rsidRPr="00135762">
        <w:rPr>
          <w:rFonts w:eastAsia="Calibri" w:cs="Arial"/>
          <w:sz w:val="24"/>
          <w:szCs w:val="24"/>
        </w:rPr>
        <w:t xml:space="preserve">which is </w:t>
      </w:r>
      <w:r w:rsidRPr="00135762">
        <w:rPr>
          <w:rFonts w:eastAsia="Calibri" w:cs="Arial"/>
          <w:sz w:val="24"/>
          <w:szCs w:val="24"/>
        </w:rPr>
        <w:t xml:space="preserve">well above </w:t>
      </w:r>
      <w:r w:rsidR="00092FAC" w:rsidRPr="00135762">
        <w:rPr>
          <w:rFonts w:eastAsia="Calibri" w:cs="Arial"/>
          <w:sz w:val="24"/>
          <w:szCs w:val="24"/>
        </w:rPr>
        <w:t xml:space="preserve">the </w:t>
      </w:r>
      <w:r w:rsidRPr="00135762">
        <w:rPr>
          <w:rFonts w:eastAsia="Calibri" w:cs="Arial"/>
          <w:sz w:val="24"/>
          <w:szCs w:val="24"/>
        </w:rPr>
        <w:t>average adherence in other trials with adolescent populations</w:t>
      </w:r>
      <w:r w:rsidR="006B15E3" w:rsidRPr="00135762">
        <w:rPr>
          <w:rFonts w:eastAsia="Calibri" w:cs="Arial"/>
          <w:sz w:val="24"/>
          <w:szCs w:val="24"/>
        </w:rPr>
        <w:fldChar w:fldCharType="begin" w:fldLock="1"/>
      </w:r>
      <w:r w:rsidR="00752474">
        <w:rPr>
          <w:rFonts w:eastAsia="Calibri" w:cs="Arial"/>
          <w:sz w:val="24"/>
          <w:szCs w:val="24"/>
        </w:rPr>
        <w:instrText>ADDIN CSL_CITATION {"citationItems":[{"id":"ITEM-1","itemData":{"author":[{"dropping-particle":"","family":"Rapoff","given":"MA","non-dropping-particle":"","parse-names":false,"suffix":""}],"id":"ITEM-1","issued":{"date-parts":[["1999"]]},"publisher":"Kluwer Academic/Plenum Publishers","publisher-place":"New York, NY","title":"Adherence to pediatric medical regimens","type":"book"},"uris":["http://www.mendeley.com/documents/?uuid=49b36dbb-96e0-47b4-9fe3-cb75bd9e62fb"]}],"mendeley":{"formattedCitation":"&lt;sup&gt;73&lt;/sup&gt;","plainTextFormattedCitation":"73","previouslyFormattedCitation":"&lt;sup&gt;74&lt;/sup&gt;"},"properties":{"noteIndex":0},"schema":"https://github.com/citation-style-language/schema/raw/master/csl-citation.json"}</w:instrText>
      </w:r>
      <w:r w:rsidR="006B15E3" w:rsidRPr="00135762">
        <w:rPr>
          <w:rFonts w:eastAsia="Calibri" w:cs="Arial"/>
          <w:sz w:val="24"/>
          <w:szCs w:val="24"/>
        </w:rPr>
        <w:fldChar w:fldCharType="separate"/>
      </w:r>
      <w:r w:rsidR="00752474" w:rsidRPr="00752474">
        <w:rPr>
          <w:rFonts w:eastAsia="Calibri" w:cs="Arial"/>
          <w:noProof/>
          <w:sz w:val="24"/>
          <w:szCs w:val="24"/>
          <w:vertAlign w:val="superscript"/>
        </w:rPr>
        <w:t>73</w:t>
      </w:r>
      <w:r w:rsidR="006B15E3" w:rsidRPr="00135762">
        <w:rPr>
          <w:rFonts w:eastAsia="Calibri" w:cs="Arial"/>
          <w:sz w:val="24"/>
          <w:szCs w:val="24"/>
        </w:rPr>
        <w:fldChar w:fldCharType="end"/>
      </w:r>
      <w:r w:rsidRPr="00135762">
        <w:rPr>
          <w:rFonts w:eastAsia="Calibri" w:cs="Arial"/>
          <w:sz w:val="24"/>
          <w:szCs w:val="24"/>
        </w:rPr>
        <w:t xml:space="preserve">, </w:t>
      </w:r>
      <w:r w:rsidR="00C205A0" w:rsidRPr="00135762">
        <w:rPr>
          <w:rFonts w:eastAsia="Calibri" w:cs="Arial"/>
          <w:sz w:val="24"/>
          <w:szCs w:val="24"/>
        </w:rPr>
        <w:t>and both drugs were safe</w:t>
      </w:r>
      <w:r w:rsidR="00BE5E4C" w:rsidRPr="00135762">
        <w:rPr>
          <w:rFonts w:eastAsia="Calibri" w:cs="Arial"/>
          <w:sz w:val="24"/>
          <w:szCs w:val="24"/>
        </w:rPr>
        <w:t>.</w:t>
      </w:r>
      <w:r w:rsidR="00F96BE4" w:rsidRPr="00135762">
        <w:rPr>
          <w:rFonts w:eastAsia="Calibri" w:cs="Arial"/>
          <w:sz w:val="24"/>
          <w:szCs w:val="24"/>
        </w:rPr>
        <w:t xml:space="preserve"> </w:t>
      </w:r>
      <w:r w:rsidR="00BE5E4C" w:rsidRPr="00135762">
        <w:rPr>
          <w:rFonts w:eastAsia="Calibri" w:cs="Arial"/>
          <w:sz w:val="24"/>
          <w:szCs w:val="24"/>
        </w:rPr>
        <w:t xml:space="preserve">These results are </w:t>
      </w:r>
      <w:r w:rsidRPr="00135762">
        <w:rPr>
          <w:rFonts w:eastAsia="Calibri" w:cs="Arial"/>
          <w:sz w:val="24"/>
          <w:szCs w:val="24"/>
        </w:rPr>
        <w:t xml:space="preserve">encouraging </w:t>
      </w:r>
      <w:r w:rsidR="00092FAC" w:rsidRPr="00135762">
        <w:rPr>
          <w:rFonts w:eastAsia="Calibri" w:cs="Arial"/>
          <w:sz w:val="24"/>
          <w:szCs w:val="24"/>
        </w:rPr>
        <w:t>and suggest that statins and ACE inhibitors might be used more widely in individuals with T1DM from a younger age</w:t>
      </w:r>
      <w:r w:rsidR="002F13AA">
        <w:rPr>
          <w:rFonts w:eastAsia="Calibri" w:cs="Arial"/>
          <w:sz w:val="24"/>
          <w:szCs w:val="24"/>
        </w:rPr>
        <w:t>.</w:t>
      </w:r>
    </w:p>
    <w:p w14:paraId="58A8F2E0" w14:textId="77777777" w:rsidR="00E7035B" w:rsidRPr="00135762" w:rsidRDefault="00E7035B" w:rsidP="00C419A1">
      <w:pPr>
        <w:spacing w:after="0" w:line="360" w:lineRule="auto"/>
        <w:rPr>
          <w:rFonts w:eastAsia="Calibri" w:cs="Arial"/>
          <w:sz w:val="24"/>
          <w:szCs w:val="24"/>
        </w:rPr>
      </w:pPr>
    </w:p>
    <w:p w14:paraId="2E2D9EDB" w14:textId="52B5C380" w:rsidR="00E6486A" w:rsidRPr="00135762" w:rsidRDefault="0030708C" w:rsidP="000F030A">
      <w:pPr>
        <w:spacing w:after="0" w:line="360" w:lineRule="auto"/>
        <w:rPr>
          <w:sz w:val="24"/>
          <w:szCs w:val="24"/>
        </w:rPr>
      </w:pPr>
      <w:r w:rsidRPr="00135762">
        <w:rPr>
          <w:sz w:val="24"/>
          <w:szCs w:val="24"/>
        </w:rPr>
        <w:t>Importantly</w:t>
      </w:r>
      <w:r w:rsidR="00C419A1" w:rsidRPr="00135762">
        <w:rPr>
          <w:sz w:val="24"/>
          <w:szCs w:val="24"/>
        </w:rPr>
        <w:t xml:space="preserve">, the </w:t>
      </w:r>
      <w:r w:rsidRPr="00135762">
        <w:rPr>
          <w:sz w:val="24"/>
          <w:szCs w:val="24"/>
        </w:rPr>
        <w:t>AdDIT intervention study</w:t>
      </w:r>
      <w:r w:rsidR="00182C66">
        <w:rPr>
          <w:sz w:val="24"/>
          <w:szCs w:val="24"/>
        </w:rPr>
        <w:t xml:space="preserve"> </w:t>
      </w:r>
      <w:r w:rsidR="00C419A1" w:rsidRPr="00135762">
        <w:rPr>
          <w:sz w:val="24"/>
          <w:szCs w:val="24"/>
        </w:rPr>
        <w:t xml:space="preserve">failed to show an effect on the primary outcome, which was whether either </w:t>
      </w:r>
      <w:r w:rsidRPr="00135762">
        <w:rPr>
          <w:sz w:val="24"/>
          <w:szCs w:val="24"/>
        </w:rPr>
        <w:t>ACE inhibitors or statins</w:t>
      </w:r>
      <w:r w:rsidR="002F13AA">
        <w:rPr>
          <w:sz w:val="24"/>
          <w:szCs w:val="24"/>
        </w:rPr>
        <w:t xml:space="preserve"> </w:t>
      </w:r>
      <w:r w:rsidR="00C419A1" w:rsidRPr="00135762">
        <w:rPr>
          <w:sz w:val="24"/>
          <w:szCs w:val="24"/>
        </w:rPr>
        <w:t>alone or in combination could reduce the baseline ACR</w:t>
      </w:r>
      <w:r w:rsidRPr="00135762">
        <w:rPr>
          <w:sz w:val="24"/>
          <w:szCs w:val="24"/>
        </w:rPr>
        <w:t xml:space="preserve"> in adolescents with T1DM</w:t>
      </w:r>
      <w:r w:rsidR="00F96BE4" w:rsidRPr="00135762">
        <w:rPr>
          <w:sz w:val="24"/>
          <w:szCs w:val="24"/>
        </w:rPr>
        <w:t xml:space="preserve"> </w:t>
      </w:r>
      <w:r w:rsidR="00C419A1" w:rsidRPr="00135762">
        <w:rPr>
          <w:sz w:val="24"/>
          <w:szCs w:val="24"/>
        </w:rPr>
        <w:t>and thus potentially reduce the ACR-associated risk for progression to diabetic nephropathy and cardiovascular disease</w:t>
      </w:r>
      <w:r w:rsidR="00C419A1" w:rsidRPr="00135762">
        <w:rPr>
          <w:sz w:val="24"/>
          <w:szCs w:val="24"/>
        </w:rPr>
        <w:fldChar w:fldCharType="begin" w:fldLock="1"/>
      </w:r>
      <w:r w:rsidR="00752474">
        <w:rPr>
          <w:sz w:val="24"/>
          <w:szCs w:val="24"/>
        </w:rPr>
        <w:instrText>ADDIN CSL_CITATION {"citationItems":[{"id":"ITEM-1","itemData":{"DOI":"10.1056/NEJMoa1703518","ISSN":"0028-4793","PMID":"29091568","abstract":"BACKGROUND Among adolescents with type 1 diabetes, rapid increases in albumin excretion during puberty precede the development of microalbuminuria and macroalbuminuria, long-term risk factors for renal and cardiovascular disease. We hypothesized that adolescents with high levels of albumin excretion might benefit from angiotensin-converting-enzyme (ACE) inhibitors and statins, drugs that have not been fully evaluated in adolescents. METHODS We screened 4407 adolescents with type 1 diabetes between the ages of 10 and 16 years of age and identified 1287 with values in the upper third of the albumin-to-creatinine ratios; 443 were randomly assigned in a placebo-controlled trial of an ACE inhibitor and a statin with the use of a 2-by-2 factorial design minimizing differences in baseline characteristics such as age, sex, and duration of diabetes. The primary outcome for both interventions was the change in albumin excretion, assessed according to the albumin-to-creatinine ratio calculated from three early-morning urine samples obtained every 6 months over 2 to 4 years, and expressed as the area under the curve. Key secondary outcomes included the development of microalbuminuria, progression of retinopathy, changes in the glomerular filtration rate, lipid levels, and measures of cardiovascular risk (carotid intima-media thickness and levels of high-sensitivity C-reactive protein and asymmetric dimethylarginine). RESULTS The primary outcome was not affected by ACE inhibitor therapy, statin therapy, or the combination of the two. The use of an ACE inhibitor was associated with a lower incidence of microalbuminuria than the use of placebo; in the context of negative findings for the primary outcome and statistical analysis plan, this lower incidence was not considered significant (hazard ratio, 0.57; 95% confidence interval, 0.35 to 0.94). Statin use resulted in significant reductions in total, low-density lipoprotein, and non-high-density lipoprotein cholesterol levels, in triglyceride levels, and in the ratio of apolipoprotein B to apolipoprotein A1, whereas neither drug had significant effects on carotid intima-media thickness, other cardiovascular markers, the glomerular filtration rate, or progression of retinopathy. Overall adherence to the drug regimen was 75%, and serious adverse events were similar across the groups. CONCLUSIONS The use of an ACE inhibitor and a statin did not change the albumin-to-creatinine ratio over time. (Funded by the Juvenile Diab…","author":[{"dropping-particle":"","family":"Marcovecchio","given":"M. Loredana","non-dropping-particle":"","parse-names":false,"suffix":""},{"dropping-particle":"","family":"Chiesa","given":"Scott T.","non-dropping-particle":"","parse-names":false,"suffix":""},{"dropping-particle":"","family":"Bond","given":"Simon","non-dropping-particle":"","parse-names":false,"suffix":""},{"dropping-particle":"","family":"Daneman","given":"Denis","non-dropping-particle":"","parse-names":false,"suffix":""},{"dropping-particle":"","family":"Dawson","given":"Sarah","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B.","non-dropping-particle":"","parse-names":false,"suffix":""},{"dropping-particle":"","family":"AdDIT Study Group","given":"","non-dropping-particle":"","parse-names":false,"suffix":""}],"container-title":"New England Journal of Medicine","id":"ITEM-1","issue":"18","issued":{"date-parts":[["2017","11","2"]]},"page":"1733-1745","title":"ACE Inhibitors and Statins in Adolescents with Type 1 Diabetes","type":"article-journal","volume":"377"},"uris":["http://www.mendeley.com/documents/?uuid=5f1f94b2-1b02-32e3-8a47-aac8b8c00527"]}],"mendeley":{"formattedCitation":"&lt;sup&gt;63&lt;/sup&gt;","plainTextFormattedCitation":"63","previouslyFormattedCitation":"&lt;sup&gt;64&lt;/sup&gt;"},"properties":{"noteIndex":0},"schema":"https://github.com/citation-style-language/schema/raw/master/csl-citation.json"}</w:instrText>
      </w:r>
      <w:r w:rsidR="00C419A1" w:rsidRPr="00135762">
        <w:rPr>
          <w:sz w:val="24"/>
          <w:szCs w:val="24"/>
          <w:vertAlign w:val="superscript"/>
        </w:rPr>
        <w:fldChar w:fldCharType="separate"/>
      </w:r>
      <w:r w:rsidR="00752474" w:rsidRPr="00752474">
        <w:rPr>
          <w:noProof/>
          <w:sz w:val="24"/>
          <w:szCs w:val="24"/>
          <w:vertAlign w:val="superscript"/>
        </w:rPr>
        <w:t>63</w:t>
      </w:r>
      <w:r w:rsidR="00C419A1" w:rsidRPr="00135762">
        <w:rPr>
          <w:sz w:val="24"/>
          <w:szCs w:val="24"/>
        </w:rPr>
        <w:fldChar w:fldCharType="end"/>
      </w:r>
      <w:r w:rsidR="00C419A1" w:rsidRPr="00135762">
        <w:rPr>
          <w:sz w:val="24"/>
          <w:szCs w:val="24"/>
        </w:rPr>
        <w:t>.</w:t>
      </w:r>
      <w:r w:rsidR="00F96BE4" w:rsidRPr="00135762">
        <w:rPr>
          <w:sz w:val="24"/>
          <w:szCs w:val="24"/>
        </w:rPr>
        <w:t xml:space="preserve"> </w:t>
      </w:r>
      <w:r w:rsidR="00C419A1" w:rsidRPr="00135762">
        <w:rPr>
          <w:sz w:val="24"/>
          <w:szCs w:val="24"/>
        </w:rPr>
        <w:t xml:space="preserve">In retrospect, this primary outcome was </w:t>
      </w:r>
      <w:r w:rsidRPr="00135762">
        <w:rPr>
          <w:sz w:val="24"/>
          <w:szCs w:val="24"/>
        </w:rPr>
        <w:t>potentially</w:t>
      </w:r>
      <w:r w:rsidR="00C419A1" w:rsidRPr="00135762">
        <w:rPr>
          <w:sz w:val="24"/>
          <w:szCs w:val="24"/>
        </w:rPr>
        <w:t xml:space="preserve"> naïve</w:t>
      </w:r>
      <w:r w:rsidRPr="00135762">
        <w:rPr>
          <w:sz w:val="24"/>
          <w:szCs w:val="24"/>
        </w:rPr>
        <w:t>,</w:t>
      </w:r>
      <w:r w:rsidR="00C419A1" w:rsidRPr="00135762">
        <w:rPr>
          <w:sz w:val="24"/>
          <w:szCs w:val="24"/>
        </w:rPr>
        <w:t xml:space="preserve"> as subsequent analysis of the AdDIT data suggests that the inherent risk</w:t>
      </w:r>
      <w:r w:rsidRPr="00135762">
        <w:rPr>
          <w:sz w:val="24"/>
          <w:szCs w:val="24"/>
        </w:rPr>
        <w:t xml:space="preserve"> of complications</w:t>
      </w:r>
      <w:r w:rsidR="00C419A1" w:rsidRPr="00135762">
        <w:rPr>
          <w:sz w:val="24"/>
          <w:szCs w:val="24"/>
        </w:rPr>
        <w:t xml:space="preserve"> </w:t>
      </w:r>
      <w:r w:rsidRPr="00135762">
        <w:rPr>
          <w:sz w:val="24"/>
          <w:szCs w:val="24"/>
        </w:rPr>
        <w:t xml:space="preserve">that is </w:t>
      </w:r>
      <w:r w:rsidR="00C419A1" w:rsidRPr="00135762">
        <w:rPr>
          <w:sz w:val="24"/>
          <w:szCs w:val="24"/>
        </w:rPr>
        <w:t>associated with</w:t>
      </w:r>
      <w:r w:rsidRPr="00135762">
        <w:rPr>
          <w:sz w:val="24"/>
          <w:szCs w:val="24"/>
        </w:rPr>
        <w:t xml:space="preserve"> high</w:t>
      </w:r>
      <w:r w:rsidR="00F96BE4" w:rsidRPr="00135762">
        <w:rPr>
          <w:sz w:val="24"/>
          <w:szCs w:val="24"/>
        </w:rPr>
        <w:t xml:space="preserve"> </w:t>
      </w:r>
      <w:r w:rsidR="00C419A1" w:rsidRPr="00135762">
        <w:rPr>
          <w:sz w:val="24"/>
          <w:szCs w:val="24"/>
        </w:rPr>
        <w:t>baseline ACR may be more closely related to genetic or environmental factors</w:t>
      </w:r>
      <w:r w:rsidRPr="00135762">
        <w:rPr>
          <w:sz w:val="24"/>
          <w:szCs w:val="24"/>
        </w:rPr>
        <w:t>,</w:t>
      </w:r>
      <w:r w:rsidR="00C419A1" w:rsidRPr="00135762">
        <w:rPr>
          <w:sz w:val="24"/>
          <w:szCs w:val="24"/>
        </w:rPr>
        <w:t xml:space="preserve"> which are unlikely to be influenced by these drugs</w:t>
      </w:r>
      <w:r w:rsidR="00C419A1" w:rsidRPr="00135762">
        <w:rPr>
          <w:sz w:val="24"/>
          <w:szCs w:val="24"/>
        </w:rPr>
        <w:fldChar w:fldCharType="begin" w:fldLock="1"/>
      </w:r>
      <w:r w:rsidR="00752474">
        <w:rPr>
          <w:sz w:val="24"/>
          <w:szCs w:val="24"/>
        </w:rPr>
        <w:instrText>ADDIN CSL_CITATION {"citationItems":[{"id":"ITEM-1","itemData":{"DOI":"10.2337/dc18-1125","ISSN":"0149-5992","PMID":"30026334","abstract":"OBJECTIVE Baseline data from the Adolescent Type 1 Diabetes Cardio-Renal Intervention Trial (AdDIT) indicated that tertiles of urinary albumin-to-creatinine ratios (ACRs) in the normal range at age 10-16 years are associated with risk markers for diabetic nephropathy (DN) and cardiovascular disease (CVD). We aimed to determine whether the top ACR tertile remained associated with DN and CVD risk over the 2-4-year AdDIT study. RESEARCH DESIGN AND METHODS One hundred fifty adolescents (mean age 14.1 years [SD 1.6]) with baseline ACR in the upper tertile (high-ACR group) recruited to the AdDIT trial, who remained untreated, and 396 (age 14.3 years [1.6]) with ACR in the middle and lower tertiles (low-ACR group), who completed the parallel AdDIT observational study, were evaluated prospectively with assessments of ACR and renal and CVD markers, combined with carotid intima-media thickness (cIMT) at baseline and end of study. RESULTS After a median follow-up of 3.9 years, the cumulative incidence of microalbuminuria was 16.3% in the high-ACR versus 5.5% in the low-ACR group (log-rank P &lt; 0.001). Cox models showed independent contributions of the high-ACR group (hazard ratio 4.29 [95% CI 2.08-8.85]) and HbA1c (1.37 [1.10-1.72]) to microalbuminuria risk. cIMT change from baseline was significantly greater in the high- versus low-ACR group (mean difference 0.010 mm [0.079], P = 0.006). Changes in estimated glomerular filtration rate, systolic blood pressure, and hs-CRP were also significantly greater in the high-ACR group (P &lt; 0.05). CONCLUSIONS ACR at the higher end of the normal range at the age of 10-16 years is associated with an increased risk of progression to microalbuminuria and future CVD risk, independently of HbA1c.","author":[{"dropping-particle":"","family":"Marcovecchio","given":"M. Loredana","non-dropping-particle":"","parse-names":false,"suffix":""},{"dropping-particle":"","family":"Chiesa","given":"Scott T.","non-dropping-particle":"","parse-names":false,"suffix":""},{"dropping-particle":"","family":"Armitage","given":"Jane","non-dropping-particle":"","parse-names":false,"suffix":""},{"dropping-particle":"","family":"Daneman","given":"Denis","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B.","non-dropping-particle":"","parse-names":false,"suffix":""},{"dropping-particle":"","family":"Adolescent Type 1 Diabetes Cardio-Renal Intervention Trial (AdDIT) Study Group","given":"","non-dropping-particle":"","parse-names":false,"suffix":""}],"container-title":"Diabetes Care","id":"ITEM-1","issue":"9","issued":{"date-parts":[["2018","9"]]},"page":"1963-1969","title":"Renal and Cardiovascular Risk According to Tertiles of Urinary Albumin-to-Creatinine Ratio: The Adolescent Type 1 Diabetes Cardio-Renal Intervention Trial (AdDIT)","type":"article-journal","volume":"41"},"uris":["http://www.mendeley.com/documents/?uuid=7af72299-c5cd-3a10-9d62-a860633aa94e"]}],"mendeley":{"formattedCitation":"&lt;sup&gt;69&lt;/sup&gt;","plainTextFormattedCitation":"69","previouslyFormattedCitation":"&lt;sup&gt;70&lt;/sup&gt;"},"properties":{"noteIndex":0},"schema":"https://github.com/citation-style-language/schema/raw/master/csl-citation.json"}</w:instrText>
      </w:r>
      <w:r w:rsidR="00C419A1" w:rsidRPr="00135762">
        <w:rPr>
          <w:sz w:val="24"/>
          <w:szCs w:val="24"/>
          <w:vertAlign w:val="superscript"/>
        </w:rPr>
        <w:fldChar w:fldCharType="separate"/>
      </w:r>
      <w:r w:rsidR="00752474" w:rsidRPr="00752474">
        <w:rPr>
          <w:noProof/>
          <w:sz w:val="24"/>
          <w:szCs w:val="24"/>
          <w:vertAlign w:val="superscript"/>
        </w:rPr>
        <w:t>69</w:t>
      </w:r>
      <w:r w:rsidR="00C419A1" w:rsidRPr="00135762">
        <w:rPr>
          <w:sz w:val="24"/>
          <w:szCs w:val="24"/>
        </w:rPr>
        <w:fldChar w:fldCharType="end"/>
      </w:r>
      <w:r w:rsidR="00C419A1" w:rsidRPr="00135762">
        <w:rPr>
          <w:sz w:val="24"/>
          <w:szCs w:val="24"/>
        </w:rPr>
        <w:t>.</w:t>
      </w:r>
      <w:r w:rsidR="00F96BE4" w:rsidRPr="00135762">
        <w:rPr>
          <w:sz w:val="24"/>
          <w:szCs w:val="24"/>
        </w:rPr>
        <w:t xml:space="preserve"> </w:t>
      </w:r>
      <w:r w:rsidR="00BE5E4C" w:rsidRPr="00135762">
        <w:rPr>
          <w:sz w:val="24"/>
          <w:szCs w:val="24"/>
        </w:rPr>
        <w:t>The lack of effect o</w:t>
      </w:r>
      <w:r w:rsidR="00932654" w:rsidRPr="00135762">
        <w:rPr>
          <w:sz w:val="24"/>
          <w:szCs w:val="24"/>
        </w:rPr>
        <w:t>f</w:t>
      </w:r>
      <w:r w:rsidR="00BE5E4C" w:rsidRPr="00135762">
        <w:rPr>
          <w:sz w:val="24"/>
          <w:szCs w:val="24"/>
        </w:rPr>
        <w:t xml:space="preserve"> ACE inhibitors and statins</w:t>
      </w:r>
      <w:r w:rsidR="00932654" w:rsidRPr="00135762">
        <w:rPr>
          <w:sz w:val="24"/>
          <w:szCs w:val="24"/>
        </w:rPr>
        <w:t xml:space="preserve"> in the AdDIT population</w:t>
      </w:r>
      <w:r w:rsidRPr="00135762">
        <w:rPr>
          <w:sz w:val="24"/>
          <w:szCs w:val="24"/>
        </w:rPr>
        <w:t xml:space="preserve"> on the primary outcome</w:t>
      </w:r>
      <w:r w:rsidR="002F13AA">
        <w:rPr>
          <w:sz w:val="24"/>
          <w:szCs w:val="24"/>
        </w:rPr>
        <w:t xml:space="preserve"> </w:t>
      </w:r>
      <w:r w:rsidR="00BE5E4C" w:rsidRPr="00135762">
        <w:rPr>
          <w:sz w:val="24"/>
          <w:szCs w:val="24"/>
        </w:rPr>
        <w:t>along</w:t>
      </w:r>
      <w:r w:rsidR="00005D6A" w:rsidRPr="00135762">
        <w:rPr>
          <w:sz w:val="24"/>
          <w:szCs w:val="24"/>
        </w:rPr>
        <w:t>side</w:t>
      </w:r>
      <w:r w:rsidR="00BE5E4C" w:rsidRPr="00135762">
        <w:rPr>
          <w:sz w:val="24"/>
          <w:szCs w:val="24"/>
        </w:rPr>
        <w:t xml:space="preserve"> with the known modulatory effect of other factors</w:t>
      </w:r>
      <w:r w:rsidR="00005D6A" w:rsidRPr="00135762">
        <w:rPr>
          <w:sz w:val="24"/>
          <w:szCs w:val="24"/>
        </w:rPr>
        <w:t xml:space="preserve"> </w:t>
      </w:r>
      <w:r w:rsidR="00BE5E4C" w:rsidRPr="00135762">
        <w:rPr>
          <w:sz w:val="24"/>
          <w:szCs w:val="24"/>
        </w:rPr>
        <w:t xml:space="preserve">on albumin excretion during </w:t>
      </w:r>
      <w:r w:rsidR="00932654" w:rsidRPr="00135762">
        <w:rPr>
          <w:sz w:val="24"/>
          <w:szCs w:val="24"/>
        </w:rPr>
        <w:t>puberty</w:t>
      </w:r>
      <w:r w:rsidR="00C80C82" w:rsidRPr="00135762">
        <w:rPr>
          <w:sz w:val="24"/>
          <w:szCs w:val="24"/>
        </w:rPr>
        <w:fldChar w:fldCharType="begin" w:fldLock="1"/>
      </w:r>
      <w:r w:rsidR="008736A2">
        <w:rPr>
          <w:sz w:val="24"/>
          <w:szCs w:val="24"/>
        </w:rPr>
        <w:instrText>ADDIN CSL_CITATION {"citationItems":[{"id":"ITEM-1","itemData":{"DOI":"10.1111/pedi.12112","ISSN":"1399-5448","PMID":"24443957","abstract":"Much is written about how difficult it is to deal with diabetes during adolescence, and rightly so. Less is understood as to how puberty may be an accelerator of vascular complications. With the increase in childhood diabetes, complication risks need to be revisited in relation to puberty and the secular increase in adiposity. Recent data suggest greater risk for severe vascular complications in those with diabetes during puberty, compared with young people who develop diabetes after puberty. It is also widely recognized that higher hemoglobin A1c (HbA1c) results are often seen during the pubertal period. This article will review complication outcomes in relation to puberty and examine mechanisms by which puberty may modify risk above glycemic exposure, and possible gender disparities in the risk of complications in the adolescent period.","author":[{"dropping-particle":"","family":"Cho","given":"Yoon Hi","non-dropping-particle":"","parse-names":false,"suffix":""},{"dropping-particle":"","family":"Craig","given":"Maria E","non-dropping-particle":"","parse-names":false,"suffix":""},{"dropping-particle":"","family":"Donaghue","given":"Kim C","non-dropping-particle":"","parse-names":false,"suffix":""}],"container-title":"Pediatric diabetes","id":"ITEM-1","issue":"1","issued":{"date-parts":[["2014","2"]]},"page":"18-26","title":"Puberty as an accelerator for diabetes complications.","type":"article-journal","volume":"15"},"uris":["http://www.mendeley.com/documents/?uuid=dd8000b9-f2b7-390f-9721-a68a972c872e"]},{"id":"ITEM-2","itemData":{"DOI":"10.1152/ajprenal.00368.2001","ISSN":"1931-857X","PMID":"12217849","abstract":"Puberty accelerates microvascular complications of diabetes mellitus, including nephropathy. Animal studies confirm a different renal hypertrophic response to diabetes before and after puberty, probably due to differences in the production of transforming growth factor-beta (TGF-beta). Many of the complex physiological changes during puberty could affect potentially pathogenic mechanisms of diabetic kidney disease. Increased blood pressure, activation of the growth hormone-insulin-like growth factor I axis, and production of sex steroids could all play a role in pubertal susceptibility to diabetic renal hypertrophy and nephropathy. These factors may influence the effects of hyperglycemia and several systems that ultimately control TGF-beta production, including the renin-angiotensin system, cellular redox systems, the polyol pathway, and protein kinase C. These phenomena may also explain gender differences in kidney function and incidence of end-stage renal disease. Normal changes during puberty, when coupled with diabetes and superimposed on a genetically susceptible milieu, are capable of accelerating diabetic hypertrophy and microvascular lesions. A better understanding of these processes may lead to new treatments to prevent renal failure in diabetes mellitus.","author":[{"dropping-particle":"","family":"Lane","given":"Pascale H.","non-dropping-particle":"","parse-names":false,"suffix":""}],"container-title":"American Journal of Physiology-Renal Physiology","id":"ITEM-2","issue":"4","issued":{"date-parts":[["2002","10"]]},"page":"F589-F600","title":"Diabetic kidney disease: impact of puberty","type":"article-journal","volume":"283"},"uris":["http://www.mendeley.com/documents/?uuid=545af978-be3c-377a-9591-3762e8c7e58a"]},{"id":"ITEM-3","itemData":{"DOI":"10.1111/dme.13299","ISSN":"1464-5491 (Electronic)","PMID":"27973749","abstract":"Adolescence is a challenging period of life for any young person, and for those with Type 1 diabetes, physiological and psychological factors can result in a deterioration in glycaemic control. In young people with Type 1 diabetes, puberty may be an additional risk factor impacting on the lifetime risk for renal and cardiovascular complications. Our longitudinal studies have identified that increases in urinary albumin excretion through childhood are associated with the development of microalbuminuria and a generalized endotheliopathy linked to cardiovascular risk. Screening of participants recruited to the Adolescent type 1 Diabetes cardio-renal Intervention Trial (AdDIT) confirms that these early changes in albumin excretion are related to both diabetic nephropathy and cardiovascular risk; in part, independent of glycaemic control. Thus, as well as current attempts to improve glycaemic control through enhanced targeted insulin delivery, pumps, sensors and closed loop, we have explored the role of angiotensin-converting enzyme inhibitors and statins in providing cardio-renal protection during adolescence.","author":[{"dropping-particle":"","family":"Dunger","given":"D B","non-dropping-particle":"","parse-names":false,"suffix":""}],"container-title":"Diabetic medicine : a journal of the British Diabetic Association","id":"ITEM-3","issue":"4","issued":{"date-parts":[["2017","4"]]},"language":"eng","page":"460-466","publisher-place":"England","title":"Banting Memorial Lecture 2016 Reducing lifetime risk of complications in adolescents with Type 1 diabetes.","type":"article-journal","volume":"34"},"uris":["http://www.mendeley.com/documents/?uuid=3115ca5c-d8c0-4ae5-bad6-4cb61093703e"]}],"mendeley":{"formattedCitation":"&lt;sup&gt;33,36,37&lt;/sup&gt;","plainTextFormattedCitation":"33,36,37","previouslyFormattedCitation":"&lt;sup&gt;33,36,37&lt;/sup&gt;"},"properties":{"noteIndex":0},"schema":"https://github.com/citation-style-language/schema/raw/master/csl-citation.json"}</w:instrText>
      </w:r>
      <w:r w:rsidR="00C80C82" w:rsidRPr="00135762">
        <w:rPr>
          <w:sz w:val="24"/>
          <w:szCs w:val="24"/>
        </w:rPr>
        <w:fldChar w:fldCharType="separate"/>
      </w:r>
      <w:r w:rsidR="00705406" w:rsidRPr="00705406">
        <w:rPr>
          <w:noProof/>
          <w:sz w:val="24"/>
          <w:szCs w:val="24"/>
          <w:vertAlign w:val="superscript"/>
        </w:rPr>
        <w:t>33,36,37</w:t>
      </w:r>
      <w:r w:rsidR="00C80C82" w:rsidRPr="00135762">
        <w:rPr>
          <w:sz w:val="24"/>
          <w:szCs w:val="24"/>
        </w:rPr>
        <w:fldChar w:fldCharType="end"/>
      </w:r>
      <w:r w:rsidR="00932654" w:rsidRPr="00135762">
        <w:rPr>
          <w:sz w:val="24"/>
          <w:szCs w:val="24"/>
        </w:rPr>
        <w:t>, suggest that</w:t>
      </w:r>
      <w:r w:rsidR="00BE5E4C" w:rsidRPr="00135762">
        <w:rPr>
          <w:sz w:val="24"/>
          <w:szCs w:val="24"/>
        </w:rPr>
        <w:t xml:space="preserve"> additional interventions</w:t>
      </w:r>
      <w:r w:rsidR="00005D6A" w:rsidRPr="00135762">
        <w:rPr>
          <w:sz w:val="24"/>
          <w:szCs w:val="24"/>
        </w:rPr>
        <w:t xml:space="preserve"> might be necessary to impact on other mechanisms that are implicated in the pathogenesis of vascular complications during adolescence.</w:t>
      </w:r>
      <w:r w:rsidR="00BE5E4C" w:rsidRPr="00135762">
        <w:rPr>
          <w:sz w:val="24"/>
          <w:szCs w:val="24"/>
        </w:rPr>
        <w:t xml:space="preserve"> </w:t>
      </w:r>
      <w:r w:rsidR="009E2596" w:rsidRPr="00135762">
        <w:rPr>
          <w:sz w:val="24"/>
          <w:szCs w:val="24"/>
        </w:rPr>
        <w:t>These interventions could</w:t>
      </w:r>
      <w:r w:rsidR="00005D6A" w:rsidRPr="00135762">
        <w:rPr>
          <w:sz w:val="24"/>
          <w:szCs w:val="24"/>
        </w:rPr>
        <w:t xml:space="preserve"> </w:t>
      </w:r>
      <w:r w:rsidR="00BE5E4C" w:rsidRPr="00135762">
        <w:rPr>
          <w:sz w:val="24"/>
          <w:szCs w:val="24"/>
        </w:rPr>
        <w:t>includ</w:t>
      </w:r>
      <w:r w:rsidR="00005D6A" w:rsidRPr="00135762">
        <w:rPr>
          <w:sz w:val="24"/>
          <w:szCs w:val="24"/>
        </w:rPr>
        <w:t>e</w:t>
      </w:r>
      <w:r w:rsidR="00BE5E4C" w:rsidRPr="00135762">
        <w:rPr>
          <w:sz w:val="24"/>
          <w:szCs w:val="24"/>
        </w:rPr>
        <w:t xml:space="preserve"> new drugs as well as lifestyle </w:t>
      </w:r>
      <w:r w:rsidR="00932654" w:rsidRPr="00135762">
        <w:rPr>
          <w:sz w:val="24"/>
          <w:szCs w:val="24"/>
        </w:rPr>
        <w:t>changes</w:t>
      </w:r>
      <w:r w:rsidR="00DF75E8" w:rsidRPr="00135762">
        <w:rPr>
          <w:sz w:val="24"/>
          <w:szCs w:val="24"/>
        </w:rPr>
        <w:t xml:space="preserve"> </w:t>
      </w:r>
      <w:r w:rsidR="00F95424" w:rsidRPr="00135762">
        <w:rPr>
          <w:sz w:val="24"/>
          <w:szCs w:val="24"/>
        </w:rPr>
        <w:t xml:space="preserve">to control weight gain </w:t>
      </w:r>
      <w:r w:rsidR="002F376D" w:rsidRPr="00135762">
        <w:rPr>
          <w:sz w:val="24"/>
          <w:szCs w:val="24"/>
        </w:rPr>
        <w:t xml:space="preserve">and </w:t>
      </w:r>
      <w:r w:rsidR="00F95424" w:rsidRPr="00135762">
        <w:rPr>
          <w:sz w:val="24"/>
          <w:szCs w:val="24"/>
        </w:rPr>
        <w:t>improve insulin sensitivity.</w:t>
      </w:r>
      <w:r w:rsidR="00BE5E4C" w:rsidRPr="00135762">
        <w:rPr>
          <w:sz w:val="24"/>
          <w:szCs w:val="24"/>
        </w:rPr>
        <w:t xml:space="preserve"> </w:t>
      </w:r>
    </w:p>
    <w:p w14:paraId="27340017" w14:textId="77777777" w:rsidR="00E6486A" w:rsidRPr="00135762" w:rsidRDefault="00E6486A" w:rsidP="00E6486A">
      <w:pPr>
        <w:rPr>
          <w:sz w:val="24"/>
          <w:szCs w:val="24"/>
        </w:rPr>
      </w:pPr>
    </w:p>
    <w:p w14:paraId="10F4459B" w14:textId="7AFE4F54" w:rsidR="00E6486A" w:rsidRPr="00135762" w:rsidRDefault="00CA6BCC" w:rsidP="00705114">
      <w:pPr>
        <w:spacing w:line="360" w:lineRule="auto"/>
        <w:rPr>
          <w:b/>
          <w:sz w:val="24"/>
        </w:rPr>
      </w:pPr>
      <w:r w:rsidRPr="00135762">
        <w:rPr>
          <w:i/>
          <w:sz w:val="24"/>
        </w:rPr>
        <w:t>A</w:t>
      </w:r>
      <w:r w:rsidR="00E6486A" w:rsidRPr="00135762">
        <w:rPr>
          <w:i/>
          <w:sz w:val="24"/>
        </w:rPr>
        <w:t xml:space="preserve">dDIT </w:t>
      </w:r>
      <w:r w:rsidR="00C32386" w:rsidRPr="00135762">
        <w:rPr>
          <w:i/>
          <w:sz w:val="24"/>
        </w:rPr>
        <w:t xml:space="preserve">observational </w:t>
      </w:r>
      <w:r w:rsidR="00E6486A" w:rsidRPr="00135762">
        <w:rPr>
          <w:i/>
          <w:sz w:val="24"/>
        </w:rPr>
        <w:t>cohort</w:t>
      </w:r>
      <w:r w:rsidR="007B5715">
        <w:rPr>
          <w:i/>
          <w:sz w:val="24"/>
        </w:rPr>
        <w:t>.</w:t>
      </w:r>
    </w:p>
    <w:p w14:paraId="3CEA347D" w14:textId="15D9EA75" w:rsidR="005659A0" w:rsidRPr="00135762" w:rsidRDefault="00E6486A" w:rsidP="00975785">
      <w:pPr>
        <w:spacing w:after="0" w:line="360" w:lineRule="auto"/>
        <w:rPr>
          <w:sz w:val="24"/>
          <w:szCs w:val="24"/>
        </w:rPr>
      </w:pPr>
      <w:r w:rsidRPr="00135762">
        <w:rPr>
          <w:sz w:val="24"/>
          <w:szCs w:val="24"/>
        </w:rPr>
        <w:t>Subsequent study of the observational</w:t>
      </w:r>
      <w:r w:rsidR="009E2596" w:rsidRPr="00135762">
        <w:rPr>
          <w:sz w:val="24"/>
          <w:szCs w:val="24"/>
        </w:rPr>
        <w:t xml:space="preserve"> AdDIT</w:t>
      </w:r>
      <w:r w:rsidRPr="00135762">
        <w:rPr>
          <w:sz w:val="24"/>
          <w:szCs w:val="24"/>
        </w:rPr>
        <w:t xml:space="preserve"> cohort and those</w:t>
      </w:r>
      <w:r w:rsidR="009E2596" w:rsidRPr="00135762">
        <w:rPr>
          <w:sz w:val="24"/>
          <w:szCs w:val="24"/>
        </w:rPr>
        <w:t xml:space="preserve"> participants</w:t>
      </w:r>
      <w:r w:rsidRPr="00135762">
        <w:rPr>
          <w:sz w:val="24"/>
          <w:szCs w:val="24"/>
        </w:rPr>
        <w:t xml:space="preserve"> in the interventional cohort</w:t>
      </w:r>
      <w:r w:rsidR="009E2596" w:rsidRPr="00135762">
        <w:rPr>
          <w:sz w:val="24"/>
          <w:szCs w:val="24"/>
        </w:rPr>
        <w:t xml:space="preserve"> who were</w:t>
      </w:r>
      <w:r w:rsidRPr="00135762">
        <w:rPr>
          <w:sz w:val="24"/>
          <w:szCs w:val="24"/>
        </w:rPr>
        <w:t xml:space="preserve"> randomised to </w:t>
      </w:r>
      <w:r w:rsidR="009E2596" w:rsidRPr="00135762">
        <w:rPr>
          <w:sz w:val="24"/>
          <w:szCs w:val="24"/>
        </w:rPr>
        <w:t xml:space="preserve">the </w:t>
      </w:r>
      <w:r w:rsidRPr="00135762">
        <w:rPr>
          <w:sz w:val="24"/>
          <w:szCs w:val="24"/>
        </w:rPr>
        <w:t>placebo</w:t>
      </w:r>
      <w:r w:rsidR="009E2596" w:rsidRPr="00135762">
        <w:rPr>
          <w:sz w:val="24"/>
          <w:szCs w:val="24"/>
        </w:rPr>
        <w:t xml:space="preserve"> arm</w:t>
      </w:r>
      <w:r w:rsidR="007B5715">
        <w:rPr>
          <w:sz w:val="24"/>
          <w:szCs w:val="24"/>
        </w:rPr>
        <w:t xml:space="preserve"> </w:t>
      </w:r>
      <w:r w:rsidRPr="00135762">
        <w:rPr>
          <w:sz w:val="24"/>
          <w:szCs w:val="24"/>
        </w:rPr>
        <w:t>provide</w:t>
      </w:r>
      <w:r w:rsidR="00BA0826" w:rsidRPr="00135762">
        <w:rPr>
          <w:sz w:val="24"/>
          <w:szCs w:val="24"/>
        </w:rPr>
        <w:t>d</w:t>
      </w:r>
      <w:r w:rsidRPr="00135762">
        <w:rPr>
          <w:sz w:val="24"/>
          <w:szCs w:val="24"/>
        </w:rPr>
        <w:t xml:space="preserve"> further insights into the predictive value of ACR</w:t>
      </w:r>
      <w:r w:rsidRPr="00135762">
        <w:rPr>
          <w:sz w:val="24"/>
          <w:szCs w:val="24"/>
        </w:rPr>
        <w:fldChar w:fldCharType="begin" w:fldLock="1"/>
      </w:r>
      <w:r w:rsidR="00752474">
        <w:rPr>
          <w:sz w:val="24"/>
          <w:szCs w:val="24"/>
        </w:rPr>
        <w:instrText>ADDIN CSL_CITATION {"citationItems":[{"id":"ITEM-1","itemData":{"DOI":"10.2337/dc18-1125","ISSN":"0149-5992","PMID":"30026334","abstract":"OBJECTIVE Baseline data from the Adolescent Type 1 Diabetes Cardio-Renal Intervention Trial (AdDIT) indicated that tertiles of urinary albumin-to-creatinine ratios (ACRs) in the normal range at age 10-16 years are associated with risk markers for diabetic nephropathy (DN) and cardiovascular disease (CVD). We aimed to determine whether the top ACR tertile remained associated with DN and CVD risk over the 2-4-year AdDIT study. RESEARCH DESIGN AND METHODS One hundred fifty adolescents (mean age 14.1 years [SD 1.6]) with baseline ACR in the upper tertile (high-ACR group) recruited to the AdDIT trial, who remained untreated, and 396 (age 14.3 years [1.6]) with ACR in the middle and lower tertiles (low-ACR group), who completed the parallel AdDIT observational study, were evaluated prospectively with assessments of ACR and renal and CVD markers, combined with carotid intima-media thickness (cIMT) at baseline and end of study. RESULTS After a median follow-up of 3.9 years, the cumulative incidence of microalbuminuria was 16.3% in the high-ACR versus 5.5% in the low-ACR group (log-rank P &lt; 0.001). Cox models showed independent contributions of the high-ACR group (hazard ratio 4.29 [95% CI 2.08-8.85]) and HbA1c (1.37 [1.10-1.72]) to microalbuminuria risk. cIMT change from baseline was significantly greater in the high- versus low-ACR group (mean difference 0.010 mm [0.079], P = 0.006). Changes in estimated glomerular filtration rate, systolic blood pressure, and hs-CRP were also significantly greater in the high-ACR group (P &lt; 0.05). CONCLUSIONS ACR at the higher end of the normal range at the age of 10-16 years is associated with an increased risk of progression to microalbuminuria and future CVD risk, independently of HbA1c.","author":[{"dropping-particle":"","family":"Marcovecchio","given":"M. Loredana","non-dropping-particle":"","parse-names":false,"suffix":""},{"dropping-particle":"","family":"Chiesa","given":"Scott T.","non-dropping-particle":"","parse-names":false,"suffix":""},{"dropping-particle":"","family":"Armitage","given":"Jane","non-dropping-particle":"","parse-names":false,"suffix":""},{"dropping-particle":"","family":"Daneman","given":"Denis","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B.","non-dropping-particle":"","parse-names":false,"suffix":""},{"dropping-particle":"","family":"Adolescent Type 1 Diabetes Cardio-Renal Intervention Trial (AdDIT) Study Group","given":"","non-dropping-particle":"","parse-names":false,"suffix":""}],"container-title":"Diabetes Care","id":"ITEM-1","issue":"9","issued":{"date-parts":[["2018","9"]]},"page":"1963-1969","title":"Renal and Cardiovascular Risk According to Tertiles of Urinary Albumin-to-Creatinine Ratio: The Adolescent Type 1 Diabetes Cardio-Renal Intervention Trial (AdDIT)","type":"article-journal","volume":"41"},"uris":["http://www.mendeley.com/documents/?uuid=7af72299-c5cd-3a10-9d62-a860633aa94e"]}],"mendeley":{"formattedCitation":"&lt;sup&gt;69&lt;/sup&gt;","plainTextFormattedCitation":"69","previouslyFormattedCitation":"&lt;sup&gt;70&lt;/sup&gt;"},"properties":{"noteIndex":0},"schema":"https://github.com/citation-style-language/schema/raw/master/csl-citation.json"}</w:instrText>
      </w:r>
      <w:r w:rsidRPr="00135762">
        <w:rPr>
          <w:sz w:val="24"/>
          <w:szCs w:val="24"/>
          <w:vertAlign w:val="superscript"/>
        </w:rPr>
        <w:fldChar w:fldCharType="separate"/>
      </w:r>
      <w:r w:rsidR="00752474" w:rsidRPr="00752474">
        <w:rPr>
          <w:noProof/>
          <w:sz w:val="24"/>
          <w:szCs w:val="24"/>
          <w:vertAlign w:val="superscript"/>
        </w:rPr>
        <w:t>69</w:t>
      </w:r>
      <w:r w:rsidRPr="00135762">
        <w:rPr>
          <w:sz w:val="24"/>
          <w:szCs w:val="24"/>
        </w:rPr>
        <w:fldChar w:fldCharType="end"/>
      </w:r>
      <w:r w:rsidRPr="00135762">
        <w:rPr>
          <w:sz w:val="24"/>
          <w:szCs w:val="24"/>
        </w:rPr>
        <w:t>. During the 2 to 4 years observational period</w:t>
      </w:r>
      <w:r w:rsidR="00BA0826" w:rsidRPr="00135762">
        <w:rPr>
          <w:sz w:val="24"/>
          <w:szCs w:val="24"/>
        </w:rPr>
        <w:t>,</w:t>
      </w:r>
      <w:r w:rsidRPr="00135762">
        <w:rPr>
          <w:sz w:val="24"/>
          <w:szCs w:val="24"/>
        </w:rPr>
        <w:t xml:space="preserve"> we noted </w:t>
      </w:r>
      <w:r w:rsidR="00510AAC" w:rsidRPr="00135762">
        <w:rPr>
          <w:sz w:val="24"/>
          <w:szCs w:val="24"/>
        </w:rPr>
        <w:t>substantial</w:t>
      </w:r>
      <w:r w:rsidR="007B5715">
        <w:rPr>
          <w:sz w:val="24"/>
          <w:szCs w:val="24"/>
        </w:rPr>
        <w:t xml:space="preserve"> </w:t>
      </w:r>
      <w:r w:rsidRPr="00135762">
        <w:rPr>
          <w:sz w:val="24"/>
          <w:szCs w:val="24"/>
        </w:rPr>
        <w:t xml:space="preserve">differences </w:t>
      </w:r>
      <w:r w:rsidR="00BA0826" w:rsidRPr="00135762">
        <w:rPr>
          <w:sz w:val="24"/>
          <w:szCs w:val="24"/>
        </w:rPr>
        <w:t>between adolescence</w:t>
      </w:r>
      <w:r w:rsidR="009E2596" w:rsidRPr="00135762">
        <w:rPr>
          <w:sz w:val="24"/>
          <w:szCs w:val="24"/>
        </w:rPr>
        <w:t xml:space="preserve"> participants</w:t>
      </w:r>
      <w:r w:rsidR="00BA0826" w:rsidRPr="00135762">
        <w:rPr>
          <w:sz w:val="24"/>
          <w:szCs w:val="24"/>
        </w:rPr>
        <w:t xml:space="preserve"> with a high </w:t>
      </w:r>
      <w:r w:rsidR="009E2596" w:rsidRPr="00135762">
        <w:rPr>
          <w:sz w:val="24"/>
          <w:szCs w:val="24"/>
        </w:rPr>
        <w:t xml:space="preserve">baseline </w:t>
      </w:r>
      <w:r w:rsidR="00BA0826" w:rsidRPr="00135762">
        <w:rPr>
          <w:sz w:val="24"/>
          <w:szCs w:val="24"/>
        </w:rPr>
        <w:t xml:space="preserve">ACR compared to those with a low </w:t>
      </w:r>
      <w:r w:rsidR="009E2596" w:rsidRPr="00135762">
        <w:rPr>
          <w:sz w:val="24"/>
          <w:szCs w:val="24"/>
        </w:rPr>
        <w:t xml:space="preserve">baseline </w:t>
      </w:r>
      <w:r w:rsidR="00BA0826" w:rsidRPr="00135762">
        <w:rPr>
          <w:sz w:val="24"/>
          <w:szCs w:val="24"/>
        </w:rPr>
        <w:t>ACR (</w:t>
      </w:r>
      <w:r w:rsidR="009E2596" w:rsidRPr="00135762">
        <w:rPr>
          <w:sz w:val="24"/>
          <w:szCs w:val="24"/>
        </w:rPr>
        <w:t xml:space="preserve">falling in the </w:t>
      </w:r>
      <w:r w:rsidR="00BA0826" w:rsidRPr="00135762">
        <w:rPr>
          <w:sz w:val="24"/>
          <w:szCs w:val="24"/>
        </w:rPr>
        <w:t>middle and lower tertiles</w:t>
      </w:r>
      <w:r w:rsidRPr="00135762">
        <w:rPr>
          <w:sz w:val="24"/>
          <w:szCs w:val="24"/>
        </w:rPr>
        <w:t xml:space="preserve"> </w:t>
      </w:r>
      <w:r w:rsidR="00D10676" w:rsidRPr="00135762">
        <w:rPr>
          <w:sz w:val="24"/>
          <w:szCs w:val="24"/>
        </w:rPr>
        <w:t>Individuals with high baseline ACR were more likely to develop</w:t>
      </w:r>
      <w:r w:rsidRPr="00135762">
        <w:rPr>
          <w:sz w:val="24"/>
          <w:szCs w:val="24"/>
        </w:rPr>
        <w:t xml:space="preserve"> microalbuminuria</w:t>
      </w:r>
      <w:r w:rsidR="000A6861">
        <w:rPr>
          <w:sz w:val="24"/>
          <w:szCs w:val="24"/>
        </w:rPr>
        <w:t xml:space="preserve"> </w:t>
      </w:r>
      <w:r w:rsidRPr="00135762">
        <w:rPr>
          <w:sz w:val="24"/>
          <w:szCs w:val="24"/>
        </w:rPr>
        <w:t xml:space="preserve">but also </w:t>
      </w:r>
      <w:r w:rsidR="00184E4A" w:rsidRPr="00135762">
        <w:rPr>
          <w:sz w:val="24"/>
          <w:szCs w:val="24"/>
        </w:rPr>
        <w:lastRenderedPageBreak/>
        <w:t xml:space="preserve">more marked increases </w:t>
      </w:r>
      <w:r w:rsidRPr="000A6861">
        <w:rPr>
          <w:sz w:val="24"/>
          <w:szCs w:val="24"/>
        </w:rPr>
        <w:t xml:space="preserve">in </w:t>
      </w:r>
      <w:r w:rsidR="009E2596" w:rsidRPr="000A6861">
        <w:rPr>
          <w:sz w:val="24"/>
          <w:szCs w:val="24"/>
        </w:rPr>
        <w:t>c</w:t>
      </w:r>
      <w:r w:rsidRPr="000A6861">
        <w:rPr>
          <w:sz w:val="24"/>
          <w:szCs w:val="24"/>
        </w:rPr>
        <w:t>IMT</w:t>
      </w:r>
      <w:r w:rsidR="000A6861" w:rsidRPr="000A6861">
        <w:rPr>
          <w:sz w:val="24"/>
          <w:szCs w:val="24"/>
        </w:rPr>
        <w:t xml:space="preserve">, </w:t>
      </w:r>
      <w:r w:rsidRPr="000A6861">
        <w:rPr>
          <w:sz w:val="24"/>
          <w:szCs w:val="24"/>
        </w:rPr>
        <w:t xml:space="preserve">hsCRP </w:t>
      </w:r>
      <w:r w:rsidRPr="00135762">
        <w:rPr>
          <w:sz w:val="24"/>
          <w:szCs w:val="24"/>
        </w:rPr>
        <w:t xml:space="preserve">and systolic blood pressure, </w:t>
      </w:r>
      <w:r w:rsidR="00D10676" w:rsidRPr="00135762">
        <w:rPr>
          <w:sz w:val="24"/>
          <w:szCs w:val="24"/>
        </w:rPr>
        <w:t xml:space="preserve">which are </w:t>
      </w:r>
      <w:r w:rsidRPr="00135762">
        <w:rPr>
          <w:sz w:val="24"/>
          <w:szCs w:val="24"/>
        </w:rPr>
        <w:t>indicative of future risk for both diabetic nephropathy and cardiovascular disease</w:t>
      </w:r>
      <w:r w:rsidRPr="00135762">
        <w:rPr>
          <w:sz w:val="24"/>
          <w:szCs w:val="24"/>
        </w:rPr>
        <w:fldChar w:fldCharType="begin" w:fldLock="1"/>
      </w:r>
      <w:r w:rsidR="00752474">
        <w:rPr>
          <w:sz w:val="24"/>
          <w:szCs w:val="24"/>
        </w:rPr>
        <w:instrText>ADDIN CSL_CITATION {"citationItems":[{"id":"ITEM-1","itemData":{"DOI":"10.2337/dc18-1125","ISSN":"0149-5992","PMID":"30026334","abstract":"OBJECTIVE Baseline data from the Adolescent Type 1 Diabetes Cardio-Renal Intervention Trial (AdDIT) indicated that tertiles of urinary albumin-to-creatinine ratios (ACRs) in the normal range at age 10-16 years are associated with risk markers for diabetic nephropathy (DN) and cardiovascular disease (CVD). We aimed to determine whether the top ACR tertile remained associated with DN and CVD risk over the 2-4-year AdDIT study. RESEARCH DESIGN AND METHODS One hundred fifty adolescents (mean age 14.1 years [SD 1.6]) with baseline ACR in the upper tertile (high-ACR group) recruited to the AdDIT trial, who remained untreated, and 396 (age 14.3 years [1.6]) with ACR in the middle and lower tertiles (low-ACR group), who completed the parallel AdDIT observational study, were evaluated prospectively with assessments of ACR and renal and CVD markers, combined with carotid intima-media thickness (cIMT) at baseline and end of study. RESULTS After a median follow-up of 3.9 years, the cumulative incidence of microalbuminuria was 16.3% in the high-ACR versus 5.5% in the low-ACR group (log-rank P &lt; 0.001). Cox models showed independent contributions of the high-ACR group (hazard ratio 4.29 [95% CI 2.08-8.85]) and HbA1c (1.37 [1.10-1.72]) to microalbuminuria risk. cIMT change from baseline was significantly greater in the high- versus low-ACR group (mean difference 0.010 mm [0.079], P = 0.006). Changes in estimated glomerular filtration rate, systolic blood pressure, and hs-CRP were also significantly greater in the high-ACR group (P &lt; 0.05). CONCLUSIONS ACR at the higher end of the normal range at the age of 10-16 years is associated with an increased risk of progression to microalbuminuria and future CVD risk, independently of HbA1c.","author":[{"dropping-particle":"","family":"Marcovecchio","given":"M. Loredana","non-dropping-particle":"","parse-names":false,"suffix":""},{"dropping-particle":"","family":"Chiesa","given":"Scott T.","non-dropping-particle":"","parse-names":false,"suffix":""},{"dropping-particle":"","family":"Armitage","given":"Jane","non-dropping-particle":"","parse-names":false,"suffix":""},{"dropping-particle":"","family":"Daneman","given":"Denis","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B.","non-dropping-particle":"","parse-names":false,"suffix":""},{"dropping-particle":"","family":"Adolescent Type 1 Diabetes Cardio-Renal Intervention Trial (AdDIT) Study Group","given":"","non-dropping-particle":"","parse-names":false,"suffix":""}],"container-title":"Diabetes Care","id":"ITEM-1","issue":"9","issued":{"date-parts":[["2018","9"]]},"page":"1963-1969","title":"Renal and Cardiovascular Risk According to Tertiles of Urinary Albumin-to-Creatinine Ratio: The Adolescent Type 1 Diabetes Cardio-Renal Intervention Trial (AdDIT)","type":"article-journal","volume":"41"},"uris":["http://www.mendeley.com/documents/?uuid=7af72299-c5cd-3a10-9d62-a860633aa94e"]}],"mendeley":{"formattedCitation":"&lt;sup&gt;69&lt;/sup&gt;","plainTextFormattedCitation":"69","previouslyFormattedCitation":"&lt;sup&gt;70&lt;/sup&gt;"},"properties":{"noteIndex":0},"schema":"https://github.com/citation-style-language/schema/raw/master/csl-citation.json"}</w:instrText>
      </w:r>
      <w:r w:rsidRPr="00135762">
        <w:rPr>
          <w:sz w:val="24"/>
          <w:szCs w:val="24"/>
        </w:rPr>
        <w:fldChar w:fldCharType="separate"/>
      </w:r>
      <w:r w:rsidR="00752474" w:rsidRPr="00752474">
        <w:rPr>
          <w:noProof/>
          <w:sz w:val="24"/>
          <w:szCs w:val="24"/>
          <w:vertAlign w:val="superscript"/>
        </w:rPr>
        <w:t>69</w:t>
      </w:r>
      <w:r w:rsidRPr="00135762">
        <w:rPr>
          <w:sz w:val="24"/>
          <w:szCs w:val="24"/>
        </w:rPr>
        <w:fldChar w:fldCharType="end"/>
      </w:r>
      <w:r w:rsidRPr="00135762">
        <w:rPr>
          <w:sz w:val="24"/>
          <w:szCs w:val="24"/>
        </w:rPr>
        <w:t>.</w:t>
      </w:r>
      <w:r w:rsidR="00F96BE4" w:rsidRPr="00135762">
        <w:rPr>
          <w:sz w:val="24"/>
          <w:szCs w:val="24"/>
        </w:rPr>
        <w:t xml:space="preserve"> </w:t>
      </w:r>
      <w:r w:rsidR="00D10676" w:rsidRPr="00135762">
        <w:rPr>
          <w:sz w:val="24"/>
          <w:szCs w:val="24"/>
        </w:rPr>
        <w:t>Notably, t</w:t>
      </w:r>
      <w:r w:rsidR="000F030A" w:rsidRPr="00135762">
        <w:rPr>
          <w:sz w:val="24"/>
          <w:szCs w:val="24"/>
        </w:rPr>
        <w:t>he</w:t>
      </w:r>
      <w:r w:rsidRPr="00135762">
        <w:rPr>
          <w:sz w:val="24"/>
          <w:szCs w:val="24"/>
        </w:rPr>
        <w:t xml:space="preserve"> greatest risk for progression of retinopathy was also observed in those in the highest tertile of ACR</w:t>
      </w:r>
      <w:r w:rsidR="00863164" w:rsidRPr="00135762">
        <w:rPr>
          <w:sz w:val="24"/>
          <w:szCs w:val="24"/>
        </w:rPr>
        <w:fldChar w:fldCharType="begin" w:fldLock="1"/>
      </w:r>
      <w:r w:rsidR="00752474">
        <w:rPr>
          <w:sz w:val="24"/>
          <w:szCs w:val="24"/>
        </w:rPr>
        <w:instrText>ADDIN CSL_CITATION {"citationItems":[{"id":"ITEM-1","itemData":{"author":[{"dropping-particle":"","family":"Benitez-Aguirre P.Z., Marcovecchio M.L., Jones T.W., Couper J., Davis E., Cameron F., Craig M.E., Cotterill A., Wong T.Y., Mahmud F.H., Marshall S.M., Dalton R.N., Daneman D, Deanfield J, Dunger D.B., Donaghue K.C.","given":"AdDIT Study Group","non-dropping-particle":"","parse-names":false,"suffix":""}],"container-title":"Pediatric diabetes","id":"ITEM-1","issue":"S26","issued":{"date-parts":[["2018"]]},"page":"98","title":"Top tertile urinary albumin creatinine ratio (ACR)doubles the risk of 3-step progression of diabeticretinopathy: the adolescent type 1 diabetes cardio-renal intervention trial (AdDIT)","type":"article-journal","volume":"19"},"uris":["http://www.mendeley.com/documents/?uuid=c4bd7d12-fb93-4614-bff9-e84cb5d7c2ed"]}],"mendeley":{"formattedCitation":"&lt;sup&gt;74&lt;/sup&gt;","plainTextFormattedCitation":"74","previouslyFormattedCitation":"&lt;sup&gt;75&lt;/sup&gt;"},"properties":{"noteIndex":0},"schema":"https://github.com/citation-style-language/schema/raw/master/csl-citation.json"}</w:instrText>
      </w:r>
      <w:r w:rsidR="00863164" w:rsidRPr="00135762">
        <w:rPr>
          <w:sz w:val="24"/>
          <w:szCs w:val="24"/>
        </w:rPr>
        <w:fldChar w:fldCharType="separate"/>
      </w:r>
      <w:r w:rsidR="00752474" w:rsidRPr="00752474">
        <w:rPr>
          <w:noProof/>
          <w:sz w:val="24"/>
          <w:szCs w:val="24"/>
          <w:vertAlign w:val="superscript"/>
        </w:rPr>
        <w:t>74</w:t>
      </w:r>
      <w:r w:rsidR="00863164" w:rsidRPr="00135762">
        <w:rPr>
          <w:sz w:val="24"/>
          <w:szCs w:val="24"/>
        </w:rPr>
        <w:fldChar w:fldCharType="end"/>
      </w:r>
      <w:r w:rsidRPr="00135762">
        <w:rPr>
          <w:sz w:val="24"/>
          <w:szCs w:val="24"/>
        </w:rPr>
        <w:t>. Importantly, all these observations were partly independent of HbA</w:t>
      </w:r>
      <w:r w:rsidRPr="00135762">
        <w:rPr>
          <w:sz w:val="24"/>
          <w:szCs w:val="24"/>
          <w:vertAlign w:val="subscript"/>
        </w:rPr>
        <w:t>1c</w:t>
      </w:r>
      <w:r w:rsidR="00705406" w:rsidRPr="00135762">
        <w:rPr>
          <w:sz w:val="24"/>
          <w:szCs w:val="24"/>
        </w:rPr>
        <w:fldChar w:fldCharType="begin" w:fldLock="1"/>
      </w:r>
      <w:r w:rsidR="00752474">
        <w:rPr>
          <w:sz w:val="24"/>
          <w:szCs w:val="24"/>
        </w:rPr>
        <w:instrText>ADDIN CSL_CITATION {"citationItems":[{"id":"ITEM-1","itemData":{"DOI":"10.2337/dc18-1125","ISSN":"0149-5992","PMID":"30026334","abstract":"OBJECTIVE Baseline data from the Adolescent Type 1 Diabetes Cardio-Renal Intervention Trial (AdDIT) indicated that tertiles of urinary albumin-to-creatinine ratios (ACRs) in the normal range at age 10-16 years are associated with risk markers for diabetic nephropathy (DN) and cardiovascular disease (CVD). We aimed to determine whether the top ACR tertile remained associated with DN and CVD risk over the 2-4-year AdDIT study. RESEARCH DESIGN AND METHODS One hundred fifty adolescents (mean age 14.1 years [SD 1.6]) with baseline ACR in the upper tertile (high-ACR group) recruited to the AdDIT trial, who remained untreated, and 396 (age 14.3 years [1.6]) with ACR in the middle and lower tertiles (low-ACR group), who completed the parallel AdDIT observational study, were evaluated prospectively with assessments of ACR and renal and CVD markers, combined with carotid intima-media thickness (cIMT) at baseline and end of study. RESULTS After a median follow-up of 3.9 years, the cumulative incidence of microalbuminuria was 16.3% in the high-ACR versus 5.5% in the low-ACR group (log-rank P &lt; 0.001). Cox models showed independent contributions of the high-ACR group (hazard ratio 4.29 [95% CI 2.08-8.85]) and HbA1c (1.37 [1.10-1.72]) to microalbuminuria risk. cIMT change from baseline was significantly greater in the high- versus low-ACR group (mean difference 0.010 mm [0.079], P = 0.006). Changes in estimated glomerular filtration rate, systolic blood pressure, and hs-CRP were also significantly greater in the high-ACR group (P &lt; 0.05). CONCLUSIONS ACR at the higher end of the normal range at the age of 10-16 years is associated with an increased risk of progression to microalbuminuria and future CVD risk, independently of HbA1c.","author":[{"dropping-particle":"","family":"Marcovecchio","given":"M. Loredana","non-dropping-particle":"","parse-names":false,"suffix":""},{"dropping-particle":"","family":"Chiesa","given":"Scott T.","non-dropping-particle":"","parse-names":false,"suffix":""},{"dropping-particle":"","family":"Armitage","given":"Jane","non-dropping-particle":"","parse-names":false,"suffix":""},{"dropping-particle":"","family":"Daneman","given":"Denis","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B.","non-dropping-particle":"","parse-names":false,"suffix":""},{"dropping-particle":"","family":"Adolescent Type 1 Diabetes Cardio-Renal Intervention Trial (AdDIT) Study Group","given":"","non-dropping-particle":"","parse-names":false,"suffix":""}],"container-title":"Diabetes Care","id":"ITEM-1","issue":"9","issued":{"date-parts":[["2018","9"]]},"page":"1963-1969","title":"Renal and Cardiovascular Risk According to Tertiles of Urinary Albumin-to-Creatinine Ratio: The Adolescent Type 1 Diabetes Cardio-Renal Intervention Trial (AdDIT)","type":"article-journal","volume":"41"},"uris":["http://www.mendeley.com/documents/?uuid=7af72299-c5cd-3a10-9d62-a860633aa94e"]},{"id":"ITEM-2","itemData":{"author":[{"dropping-particle":"","family":"Benitez-Aguirre P.Z., Marcovecchio M.L., Jones T.W., Couper J., Davis E., Cameron F., Craig M.E., Cotterill A., Wong T.Y., Mahmud F.H., Marshall S.M., Dalton R.N., Daneman D, Deanfield J, Dunger D.B., Donaghue K.C.","given":"AdDIT Study Group","non-dropping-particle":"","parse-names":false,"suffix":""}],"container-title":"Pediatric diabetes","id":"ITEM-2","issue":"S26","issued":{"date-parts":[["2018"]]},"page":"98","title":"Top tertile urinary albumin creatinine ratio (ACR)doubles the risk of 3-step progression of diabeticretinopathy: the adolescent type 1 diabetes cardio-renal intervention trial (AdDIT)","type":"article-journal","volume":"19"},"uris":["http://www.mendeley.com/documents/?uuid=c4bd7d12-fb93-4614-bff9-e84cb5d7c2ed"]}],"mendeley":{"formattedCitation":"&lt;sup&gt;69,74&lt;/sup&gt;","plainTextFormattedCitation":"69,74","previouslyFormattedCitation":"&lt;sup&gt;70,75&lt;/sup&gt;"},"properties":{"noteIndex":0},"schema":"https://github.com/citation-style-language/schema/raw/master/csl-citation.json"}</w:instrText>
      </w:r>
      <w:r w:rsidR="00705406" w:rsidRPr="00135762">
        <w:rPr>
          <w:sz w:val="24"/>
          <w:szCs w:val="24"/>
        </w:rPr>
        <w:fldChar w:fldCharType="separate"/>
      </w:r>
      <w:r w:rsidR="00752474" w:rsidRPr="00752474">
        <w:rPr>
          <w:noProof/>
          <w:sz w:val="24"/>
          <w:szCs w:val="24"/>
          <w:vertAlign w:val="superscript"/>
        </w:rPr>
        <w:t>69,74</w:t>
      </w:r>
      <w:r w:rsidR="00705406" w:rsidRPr="00135762">
        <w:rPr>
          <w:sz w:val="24"/>
          <w:szCs w:val="24"/>
        </w:rPr>
        <w:fldChar w:fldCharType="end"/>
      </w:r>
      <w:r w:rsidR="00D10676" w:rsidRPr="00135762">
        <w:rPr>
          <w:sz w:val="24"/>
          <w:szCs w:val="24"/>
        </w:rPr>
        <w:t xml:space="preserve">, which suggests that </w:t>
      </w:r>
      <w:r w:rsidR="00510AAC" w:rsidRPr="00135762">
        <w:rPr>
          <w:sz w:val="24"/>
          <w:szCs w:val="24"/>
        </w:rPr>
        <w:t xml:space="preserve">other </w:t>
      </w:r>
      <w:r w:rsidR="00D10676" w:rsidRPr="00135762">
        <w:rPr>
          <w:sz w:val="24"/>
          <w:szCs w:val="24"/>
        </w:rPr>
        <w:t>pathogen</w:t>
      </w:r>
      <w:r w:rsidR="000A6861">
        <w:rPr>
          <w:sz w:val="24"/>
          <w:szCs w:val="24"/>
        </w:rPr>
        <w:t>ic</w:t>
      </w:r>
      <w:r w:rsidR="00D10676" w:rsidRPr="00135762">
        <w:rPr>
          <w:sz w:val="24"/>
          <w:szCs w:val="24"/>
        </w:rPr>
        <w:t xml:space="preserve"> mechanisms in addition to </w:t>
      </w:r>
      <w:r w:rsidR="00510AAC" w:rsidRPr="00135762">
        <w:rPr>
          <w:sz w:val="24"/>
          <w:szCs w:val="24"/>
        </w:rPr>
        <w:t xml:space="preserve">effect of </w:t>
      </w:r>
      <w:r w:rsidR="00D10676" w:rsidRPr="00135762">
        <w:rPr>
          <w:sz w:val="24"/>
          <w:szCs w:val="24"/>
        </w:rPr>
        <w:t>glycaemic control are responsible for diabet</w:t>
      </w:r>
      <w:r w:rsidR="000A6861">
        <w:rPr>
          <w:sz w:val="24"/>
          <w:szCs w:val="24"/>
        </w:rPr>
        <w:t>es</w:t>
      </w:r>
      <w:r w:rsidR="00D10676" w:rsidRPr="00135762">
        <w:rPr>
          <w:sz w:val="24"/>
          <w:szCs w:val="24"/>
        </w:rPr>
        <w:t xml:space="preserve"> vascular complications </w:t>
      </w:r>
      <w:r w:rsidR="00C72790" w:rsidRPr="00135762">
        <w:rPr>
          <w:sz w:val="24"/>
          <w:szCs w:val="24"/>
        </w:rPr>
        <w:t xml:space="preserve">(Figure </w:t>
      </w:r>
      <w:r w:rsidR="00BB566B" w:rsidRPr="00135762">
        <w:rPr>
          <w:sz w:val="24"/>
          <w:szCs w:val="24"/>
        </w:rPr>
        <w:t>4</w:t>
      </w:r>
      <w:r w:rsidR="00C72790" w:rsidRPr="00135762">
        <w:rPr>
          <w:sz w:val="24"/>
          <w:szCs w:val="24"/>
        </w:rPr>
        <w:t>)</w:t>
      </w:r>
      <w:r w:rsidR="00242087" w:rsidRPr="00135762">
        <w:rPr>
          <w:sz w:val="24"/>
          <w:szCs w:val="24"/>
        </w:rPr>
        <w:t>.</w:t>
      </w:r>
      <w:r w:rsidRPr="00135762">
        <w:rPr>
          <w:sz w:val="24"/>
          <w:szCs w:val="24"/>
          <w:shd w:val="clear" w:color="auto" w:fill="FFFF00"/>
        </w:rPr>
        <w:br/>
      </w:r>
    </w:p>
    <w:p w14:paraId="6CFEE3C0" w14:textId="6CA007DB" w:rsidR="00E6486A" w:rsidRPr="00135762" w:rsidRDefault="00E6486A" w:rsidP="00975785">
      <w:pPr>
        <w:spacing w:after="0" w:line="360" w:lineRule="auto"/>
        <w:rPr>
          <w:sz w:val="24"/>
          <w:szCs w:val="24"/>
        </w:rPr>
      </w:pPr>
      <w:r w:rsidRPr="00135762">
        <w:rPr>
          <w:sz w:val="24"/>
          <w:szCs w:val="24"/>
        </w:rPr>
        <w:t>Together</w:t>
      </w:r>
      <w:r w:rsidR="00D10676" w:rsidRPr="00135762">
        <w:rPr>
          <w:sz w:val="24"/>
          <w:szCs w:val="24"/>
        </w:rPr>
        <w:t>,</w:t>
      </w:r>
      <w:r w:rsidRPr="00135762">
        <w:rPr>
          <w:sz w:val="24"/>
          <w:szCs w:val="24"/>
        </w:rPr>
        <w:t xml:space="preserve"> these data suggest that repeated measures of ACR </w:t>
      </w:r>
      <w:r w:rsidR="00D10676" w:rsidRPr="00135762">
        <w:rPr>
          <w:sz w:val="24"/>
          <w:szCs w:val="24"/>
        </w:rPr>
        <w:t>between</w:t>
      </w:r>
      <w:r w:rsidRPr="00135762">
        <w:rPr>
          <w:sz w:val="24"/>
          <w:szCs w:val="24"/>
        </w:rPr>
        <w:t xml:space="preserve"> the age</w:t>
      </w:r>
      <w:r w:rsidR="00D10676" w:rsidRPr="00135762">
        <w:rPr>
          <w:sz w:val="24"/>
          <w:szCs w:val="24"/>
        </w:rPr>
        <w:t>s</w:t>
      </w:r>
      <w:r w:rsidRPr="00135762">
        <w:rPr>
          <w:sz w:val="24"/>
          <w:szCs w:val="24"/>
        </w:rPr>
        <w:t xml:space="preserve"> of 10</w:t>
      </w:r>
      <w:r w:rsidR="00D10676" w:rsidRPr="00135762">
        <w:rPr>
          <w:sz w:val="24"/>
          <w:szCs w:val="24"/>
        </w:rPr>
        <w:t>–</w:t>
      </w:r>
      <w:r w:rsidRPr="00135762">
        <w:rPr>
          <w:sz w:val="24"/>
          <w:szCs w:val="24"/>
        </w:rPr>
        <w:t xml:space="preserve">16 years could contribute additional </w:t>
      </w:r>
      <w:r w:rsidR="00D10676" w:rsidRPr="00135762">
        <w:rPr>
          <w:sz w:val="24"/>
          <w:szCs w:val="24"/>
        </w:rPr>
        <w:t xml:space="preserve">prognostic </w:t>
      </w:r>
      <w:r w:rsidRPr="00135762">
        <w:rPr>
          <w:sz w:val="24"/>
          <w:szCs w:val="24"/>
        </w:rPr>
        <w:t>information</w:t>
      </w:r>
      <w:r w:rsidR="00D10676" w:rsidRPr="00135762">
        <w:rPr>
          <w:sz w:val="24"/>
          <w:szCs w:val="24"/>
        </w:rPr>
        <w:t xml:space="preserve"> for young people with early onset T1DM.</w:t>
      </w:r>
      <w:r w:rsidR="007B5715">
        <w:rPr>
          <w:b/>
          <w:color w:val="0000FF"/>
          <w:sz w:val="24"/>
          <w:szCs w:val="24"/>
        </w:rPr>
        <w:t xml:space="preserve"> </w:t>
      </w:r>
      <w:r w:rsidR="00D10676" w:rsidRPr="00135762">
        <w:rPr>
          <w:sz w:val="24"/>
          <w:szCs w:val="24"/>
        </w:rPr>
        <w:t>In the future, these findings could</w:t>
      </w:r>
      <w:r w:rsidR="007B5715">
        <w:rPr>
          <w:sz w:val="24"/>
          <w:szCs w:val="24"/>
        </w:rPr>
        <w:t xml:space="preserve"> </w:t>
      </w:r>
      <w:r w:rsidRPr="00135762">
        <w:rPr>
          <w:sz w:val="24"/>
          <w:szCs w:val="24"/>
        </w:rPr>
        <w:t>lead to precision medicine approaches to intensifying therapy based on HbA</w:t>
      </w:r>
      <w:r w:rsidRPr="00135762">
        <w:rPr>
          <w:sz w:val="24"/>
          <w:szCs w:val="24"/>
          <w:vertAlign w:val="subscript"/>
        </w:rPr>
        <w:t xml:space="preserve">1c </w:t>
      </w:r>
      <w:r w:rsidR="00D10676" w:rsidRPr="00135762">
        <w:rPr>
          <w:sz w:val="24"/>
          <w:szCs w:val="24"/>
        </w:rPr>
        <w:t xml:space="preserve">levels </w:t>
      </w:r>
      <w:r w:rsidRPr="00135762">
        <w:rPr>
          <w:sz w:val="24"/>
          <w:szCs w:val="24"/>
        </w:rPr>
        <w:t xml:space="preserve">and additional </w:t>
      </w:r>
      <w:r w:rsidR="00C419A1" w:rsidRPr="00135762">
        <w:rPr>
          <w:sz w:val="24"/>
          <w:szCs w:val="24"/>
        </w:rPr>
        <w:t xml:space="preserve">potential </w:t>
      </w:r>
      <w:r w:rsidRPr="00135762">
        <w:rPr>
          <w:sz w:val="24"/>
          <w:szCs w:val="24"/>
        </w:rPr>
        <w:t xml:space="preserve">markers of </w:t>
      </w:r>
      <w:r w:rsidR="00D10676" w:rsidRPr="00135762">
        <w:rPr>
          <w:sz w:val="24"/>
          <w:szCs w:val="24"/>
        </w:rPr>
        <w:t xml:space="preserve">the risk of </w:t>
      </w:r>
      <w:r w:rsidRPr="00135762">
        <w:rPr>
          <w:sz w:val="24"/>
          <w:szCs w:val="24"/>
        </w:rPr>
        <w:t>complications</w:t>
      </w:r>
      <w:r w:rsidR="00C419A1" w:rsidRPr="00135762">
        <w:rPr>
          <w:sz w:val="24"/>
          <w:szCs w:val="24"/>
        </w:rPr>
        <w:t xml:space="preserve"> such as ACR</w:t>
      </w:r>
      <w:r w:rsidRPr="00135762">
        <w:rPr>
          <w:sz w:val="24"/>
          <w:szCs w:val="24"/>
        </w:rPr>
        <w:t>.</w:t>
      </w:r>
    </w:p>
    <w:p w14:paraId="53D3258E" w14:textId="375D70A1" w:rsidR="001E31C9" w:rsidRPr="00135762" w:rsidRDefault="001E31C9" w:rsidP="001976DA">
      <w:pPr>
        <w:spacing w:after="0" w:line="360" w:lineRule="auto"/>
        <w:rPr>
          <w:sz w:val="24"/>
          <w:szCs w:val="24"/>
        </w:rPr>
      </w:pPr>
    </w:p>
    <w:p w14:paraId="6753300A" w14:textId="21A6F883" w:rsidR="00E845A9" w:rsidRPr="00135762" w:rsidRDefault="00AC039E" w:rsidP="00705114">
      <w:pPr>
        <w:spacing w:line="360" w:lineRule="auto"/>
        <w:rPr>
          <w:b/>
          <w:sz w:val="24"/>
        </w:rPr>
      </w:pPr>
      <w:r w:rsidRPr="00135762">
        <w:rPr>
          <w:b/>
          <w:sz w:val="24"/>
        </w:rPr>
        <w:t>A change in risk assessment</w:t>
      </w:r>
      <w:r w:rsidR="00E845A9" w:rsidRPr="00135762">
        <w:rPr>
          <w:b/>
          <w:sz w:val="24"/>
        </w:rPr>
        <w:t>?</w:t>
      </w:r>
      <w:r w:rsidRPr="00135762">
        <w:rPr>
          <w:b/>
          <w:sz w:val="24"/>
        </w:rPr>
        <w:t xml:space="preserve">  </w:t>
      </w:r>
    </w:p>
    <w:p w14:paraId="505A1BF8" w14:textId="7F092DA9" w:rsidR="00885B5D" w:rsidRPr="00135762" w:rsidRDefault="00C536A4" w:rsidP="00975785">
      <w:pPr>
        <w:spacing w:after="0" w:line="360" w:lineRule="auto"/>
        <w:rPr>
          <w:sz w:val="24"/>
          <w:szCs w:val="24"/>
        </w:rPr>
      </w:pPr>
      <w:r w:rsidRPr="00135762">
        <w:rPr>
          <w:i/>
          <w:sz w:val="24"/>
          <w:szCs w:val="24"/>
        </w:rPr>
        <w:t>Current guidelines</w:t>
      </w:r>
      <w:r w:rsidR="00885B5D" w:rsidRPr="00135762">
        <w:rPr>
          <w:i/>
          <w:sz w:val="24"/>
          <w:szCs w:val="24"/>
        </w:rPr>
        <w:t>.</w:t>
      </w:r>
      <w:r w:rsidR="00885B5D" w:rsidRPr="00135762">
        <w:rPr>
          <w:sz w:val="24"/>
          <w:szCs w:val="24"/>
        </w:rPr>
        <w:t xml:space="preserve"> </w:t>
      </w:r>
    </w:p>
    <w:p w14:paraId="11AC761A" w14:textId="076C7F14" w:rsidR="00BE3B0E" w:rsidRPr="00135762" w:rsidRDefault="00E6486A" w:rsidP="00975785">
      <w:pPr>
        <w:spacing w:after="0" w:line="360" w:lineRule="auto"/>
        <w:rPr>
          <w:sz w:val="24"/>
          <w:szCs w:val="24"/>
        </w:rPr>
      </w:pPr>
      <w:r w:rsidRPr="00135762">
        <w:rPr>
          <w:sz w:val="24"/>
          <w:szCs w:val="24"/>
        </w:rPr>
        <w:t>During adolescence the primary focus</w:t>
      </w:r>
      <w:r w:rsidR="00C536A4" w:rsidRPr="00135762">
        <w:rPr>
          <w:sz w:val="24"/>
          <w:szCs w:val="24"/>
        </w:rPr>
        <w:t>es</w:t>
      </w:r>
      <w:r w:rsidRPr="00135762">
        <w:rPr>
          <w:sz w:val="24"/>
          <w:szCs w:val="24"/>
        </w:rPr>
        <w:t xml:space="preserve"> of </w:t>
      </w:r>
      <w:r w:rsidR="00046F0C" w:rsidRPr="00135762">
        <w:rPr>
          <w:sz w:val="24"/>
          <w:szCs w:val="24"/>
        </w:rPr>
        <w:t xml:space="preserve">management </w:t>
      </w:r>
      <w:r w:rsidR="00E31CEB" w:rsidRPr="00135762">
        <w:rPr>
          <w:sz w:val="24"/>
          <w:szCs w:val="24"/>
        </w:rPr>
        <w:t xml:space="preserve">the </w:t>
      </w:r>
      <w:r w:rsidR="00046F0C" w:rsidRPr="00135762">
        <w:rPr>
          <w:sz w:val="24"/>
          <w:szCs w:val="24"/>
        </w:rPr>
        <w:t>of risk of diabetes complications</w:t>
      </w:r>
      <w:r w:rsidR="007B5715">
        <w:rPr>
          <w:sz w:val="24"/>
          <w:szCs w:val="24"/>
        </w:rPr>
        <w:t xml:space="preserve"> </w:t>
      </w:r>
      <w:r w:rsidR="00C536A4" w:rsidRPr="00135762">
        <w:rPr>
          <w:sz w:val="24"/>
          <w:szCs w:val="24"/>
        </w:rPr>
        <w:t xml:space="preserve">are </w:t>
      </w:r>
      <w:r w:rsidR="00242087" w:rsidRPr="00135762">
        <w:rPr>
          <w:sz w:val="24"/>
          <w:szCs w:val="24"/>
        </w:rPr>
        <w:t>improvements in glyc</w:t>
      </w:r>
      <w:r w:rsidR="001D437B" w:rsidRPr="00135762">
        <w:rPr>
          <w:sz w:val="24"/>
          <w:szCs w:val="24"/>
        </w:rPr>
        <w:t>a</w:t>
      </w:r>
      <w:r w:rsidRPr="00135762">
        <w:rPr>
          <w:sz w:val="24"/>
          <w:szCs w:val="24"/>
        </w:rPr>
        <w:t xml:space="preserve">emic control and </w:t>
      </w:r>
      <w:r w:rsidR="001D437B" w:rsidRPr="00135762">
        <w:rPr>
          <w:sz w:val="24"/>
          <w:szCs w:val="24"/>
        </w:rPr>
        <w:t>decreases</w:t>
      </w:r>
      <w:r w:rsidRPr="00135762">
        <w:rPr>
          <w:sz w:val="24"/>
          <w:szCs w:val="24"/>
        </w:rPr>
        <w:t xml:space="preserve"> in HbA</w:t>
      </w:r>
      <w:r w:rsidRPr="00135762">
        <w:rPr>
          <w:sz w:val="24"/>
          <w:szCs w:val="24"/>
          <w:vertAlign w:val="subscript"/>
        </w:rPr>
        <w:t>1c</w:t>
      </w:r>
      <w:r w:rsidR="00382794" w:rsidRPr="00135762">
        <w:rPr>
          <w:sz w:val="24"/>
          <w:szCs w:val="24"/>
        </w:rPr>
        <w:fldChar w:fldCharType="begin" w:fldLock="1"/>
      </w:r>
      <w:r w:rsidR="008736A2">
        <w:rPr>
          <w:sz w:val="24"/>
          <w:szCs w:val="24"/>
        </w:rPr>
        <w:instrText>ADDIN CSL_CITATION {"citationItems":[{"id":"ITEM-1","itemData":{"DOI":"10.1111/pedi.12742","ISSN":"1399543X","PMID":"30079595","author":[{"dropping-particle":"","family":"Donaghue","given":"Kim C.","non-dropping-particle":"","parse-names":false,"suffix":""},{"dropping-particle":"","family":"Marcovecchio","given":"M. Loredana","non-dropping-particle":"","parse-names":false,"suffix":""},{"dropping-particle":"","family":"Wadwa","given":"R. P.","non-dropping-particle":"","parse-names":false,"suffix":""},{"dropping-particle":"","family":"Chew","given":"Emily Y.","non-dropping-particle":"","parse-names":false,"suffix":""},{"dropping-particle":"","family":"Wong","given":"Tien Y.","non-dropping-particle":"","parse-names":false,"suffix":""},{"dropping-particle":"","family":"Calliari","given":"Luis Eduardo","non-dropping-particle":"","parse-names":false,"suffix":""},{"dropping-particle":"","family":"Zabeen","given":"Bedowra","non-dropping-particle":"","parse-names":false,"suffix":""},{"dropping-particle":"","family":"Salem","given":"Mona A.","non-dropping-particle":"","parse-names":false,"suffix":""},{"dropping-particle":"","family":"Craig","given":"Maria E.","non-dropping-particle":"","parse-names":false,"suffix":""}],"container-title":"Pediatric Diabetes","id":"ITEM-1","issued":{"date-parts":[["2018","10"]]},"page":"262-274","title":"ISPAD Clinical Practice Consensus Guidelines 2018: Microvascular and macrovascular complications in children and adolescents","type":"article-journal","volume":"19"},"uris":["http://www.mendeley.com/documents/?uuid=79342330-c4b0-317d-b20b-3395ee92f358"]},{"id":"ITEM-2","itemData":{"DOI":"10.2337/dc19-S013","ISSN":"1935-5548","PMID":"30559239","abstract":"The American Diabetes Association (ADA) \"Standards of Medical Care in Diabetes\" includes ADA's current clinical practice recommendations and is intended to provide the components of diabetes care, general treatment goals and guidelines, and tools to evaluate quality of care. Members of the ADA Professional Practice Committee, a multidisciplinary expert committee, are responsible for updating the Standards of Care annually, or more frequently as warranted. For a detailed description of ADA standards, statements, and reports, as well as the evidence-grading system for ADA's clinical practice recommendations, please refer to the Standards of Care Introduction Readers who wish to comment on the Standards of Care are invited to do so at professional.diabetes.org/SOC.","author":[{"dropping-particle":"","family":"American Diabetes Association","given":"","non-dropping-particle":"","parse-names":false,"suffix":""}],"container-title":"Diabetes care","id":"ITEM-2","issue":"Suppl 1","issued":{"date-parts":[["2019","1","17"]]},"page":"S148-S164","title":"13. Children and Adolescents: Standards of Medical Care in Diabetes-2019.","type":"article-journal","volume":"42"},"uris":["http://www.mendeley.com/documents/?uuid=ee90e916-22f8-37b1-8729-377cb889055b"]}],"mendeley":{"formattedCitation":"&lt;sup&gt;20,21&lt;/sup&gt;","plainTextFormattedCitation":"20,21","previouslyFormattedCitation":"&lt;sup&gt;20,21&lt;/sup&gt;"},"properties":{"noteIndex":0},"schema":"https://github.com/citation-style-language/schema/raw/master/csl-citation.json"}</w:instrText>
      </w:r>
      <w:r w:rsidR="00382794" w:rsidRPr="00135762">
        <w:rPr>
          <w:sz w:val="24"/>
          <w:szCs w:val="24"/>
        </w:rPr>
        <w:fldChar w:fldCharType="separate"/>
      </w:r>
      <w:r w:rsidR="00382794" w:rsidRPr="00705406">
        <w:rPr>
          <w:noProof/>
          <w:sz w:val="24"/>
          <w:szCs w:val="24"/>
          <w:vertAlign w:val="superscript"/>
        </w:rPr>
        <w:t>20,21</w:t>
      </w:r>
      <w:r w:rsidR="00382794" w:rsidRPr="00135762">
        <w:rPr>
          <w:sz w:val="24"/>
          <w:szCs w:val="24"/>
        </w:rPr>
        <w:fldChar w:fldCharType="end"/>
      </w:r>
      <w:r w:rsidR="00242087" w:rsidRPr="00135762">
        <w:rPr>
          <w:sz w:val="24"/>
          <w:szCs w:val="24"/>
        </w:rPr>
        <w:t xml:space="preserve">, although the recommended </w:t>
      </w:r>
      <w:r w:rsidRPr="00135762">
        <w:rPr>
          <w:sz w:val="24"/>
          <w:szCs w:val="24"/>
        </w:rPr>
        <w:t>target</w:t>
      </w:r>
      <w:r w:rsidR="001D437B" w:rsidRPr="00135762">
        <w:rPr>
          <w:sz w:val="24"/>
          <w:szCs w:val="24"/>
        </w:rPr>
        <w:t xml:space="preserve"> levels for Hb1A</w:t>
      </w:r>
      <w:r w:rsidR="001D437B" w:rsidRPr="00135762">
        <w:rPr>
          <w:sz w:val="24"/>
          <w:szCs w:val="24"/>
          <w:vertAlign w:val="subscript"/>
        </w:rPr>
        <w:t>1C</w:t>
      </w:r>
      <w:r w:rsidR="00C536A4" w:rsidRPr="00135762">
        <w:rPr>
          <w:sz w:val="24"/>
          <w:szCs w:val="24"/>
          <w:vertAlign w:val="subscript"/>
        </w:rPr>
        <w:t xml:space="preserve"> </w:t>
      </w:r>
      <w:r w:rsidR="00242087" w:rsidRPr="00135762">
        <w:rPr>
          <w:sz w:val="24"/>
          <w:szCs w:val="24"/>
        </w:rPr>
        <w:t>are difficult to achieve</w:t>
      </w:r>
      <w:r w:rsidRPr="00135762">
        <w:rPr>
          <w:sz w:val="24"/>
          <w:szCs w:val="24"/>
        </w:rPr>
        <w:fldChar w:fldCharType="begin" w:fldLock="1"/>
      </w:r>
      <w:r w:rsidR="008736A2">
        <w:rPr>
          <w:sz w:val="24"/>
          <w:szCs w:val="24"/>
        </w:rPr>
        <w:instrText xml:space="preserve">ADDIN CSL_CITATION {"citationItems":[{"id":"ITEM-1","itemData":{"DOI":"10.2337/dc15-0078","ISSN":"1935-5548","PMID":"25998289","abstract":"To examine the overall state of metabolic control and current use of advanced diabetes technologies in the U.S., we report recent data collected on individuals with type 1 diabetes participating in the T1D Exchange clinic registry. Data from 16,061 participants updated between 1 September 2013 and 1 December 2014 were compared with registry enrollment data collected from 1 September 2010 to 1 August 2012. Mean hemoglobin A1c (HbA1c) was assessed by year of age from &lt;4 to &gt;75 years. The overall average HbA1c was 8.2% (66 mmol/mol) at enrollment and 8.4% (68 mmol/mol) at the most recent update. During childhood, mean HbA1c decreased from 8.3% (67 mmol/mol) in 2-4-year-olds to 8.1% (65 mmol/mol) at 7 years of age, followed by an increase to 9.2% (77 mmol/mol) in 19-year-olds. Subsequently, mean HbA1c values decline gradually until </w:instrText>
      </w:r>
      <w:r w:rsidR="008736A2">
        <w:rPr>
          <w:rFonts w:ascii="Cambria Math" w:hAnsi="Cambria Math" w:cs="Cambria Math"/>
          <w:sz w:val="24"/>
          <w:szCs w:val="24"/>
        </w:rPr>
        <w:instrText>∼</w:instrText>
      </w:r>
      <w:r w:rsidR="008736A2">
        <w:rPr>
          <w:sz w:val="24"/>
          <w:szCs w:val="24"/>
        </w:rPr>
        <w:instrText>30 years of age, plateauing at 7.5-7.8% (58-62 mmol/mol) beyond age 30 until a modest drop in HbA1c below 7.5% (58 mmol/mol) in those 65 years of age. Severe hypoglycemia (SH) and diabetic ketoacidosis (DKA) remain all too common complications of treatment, especially in older (SH) and younger patients (DKA). Insulin pump use increased slightly from enrollment (58-62%), and use of continuous glucose monitoring (CGM) did not change (7%). Although the T1D Exchange registry findings are not population based and could be biased, it is clear that there remains considerable room for improving outcomes of treatment of type 1 diabetes across all age-groups. Barriers to more effective use of current treatments need to be addressed and new therapies are needed to achieve optimal metabolic control in people with type 1 diabetes.","author":[{"dropping-particle":"","family":"Miller","given":"Kellee M","non-dropping-particle":"","parse-names":false,"suffix":""},{"dropping-particle":"","family":"Foster","given":"Nicole C","non-dropping-particle":"","parse-names":false,"suffix":""},{"dropping-particle":"","family":"Beck","given":"Roy W","non-dropping-particle":"","parse-names":false,"suffix":""},{"dropping-particle":"","family":"Bergenstal","given":"Richard M","non-dropping-particle":"","parse-names":false,"suffix":""},{"dropping-particle":"","family":"DuBose","given":"Stephanie N","non-dropping-particle":"","parse-names":false,"suffix":""},{"dropping-particle":"","family":"DiMeglio","given":"Linda A","non-dropping-particle":"","parse-names":false,"suffix":""},{"dropping-particle":"","family":"Maahs","given":"David M","non-dropping-particle":"","parse-names":false,"suffix":""},{"dropping-particle":"V","family":"Tamborlane","given":"William","non-dropping-particle":"","parse-names":false,"suffix":""},{"dropping-particle":"","family":"T1D Exchange Clinic Network","given":"","non-dropping-particle":"","parse-names":false,"suffix":""}],"container-title":"Diabetes care","id":"ITEM-1","issue":"6","issued":{"date-parts":[["2015","6"]]},"page":"971-8","title":"Current state of type 1 diabetes treatment in the U.S.: updated data from the T1D Exchange clinic registry.","type":"article-journal","volume":"38"},"uris":["http://www.mendeley.com/documents/?uuid=94f1c7aa-5510-3f40-9cc4-116e236ff644"]},{"id":"ITEM-2","itemData":{"ISSN":"1326-5377","PMID":"28208043","abstract":"OBJECTIVES To assess glycaemic control, anthropometry and insulin regimens in a national sample of Australian children and adolescents with type 1 diabetes. DESIGN Cross-sectional analysis of de-identified, prospectively collected data from the Australasian Diabetes Data Network (ADDN) registry. SETTING Five paediatric diabetes centres in New South Wales, Queensland, South Australia, Victoria and Western Australia. PARTICIPANTS Children and adolescents (aged 18 years or under) with type 1 diabetes of at least 12 months' duration for whom data were added to the ADDN registry during 2015. MAIN OUTCOME MEASURES Glycaemic control was assessed by measuring haemoglobin A1c (HbA1c) levels. Body mass index standard deviation scores (BMI-SDS) were calculated according to the CDC-2000 reference; overweight and obesity were defined by International Obesity Task Force guidelines. Insulin regimens were classified as twice-daily injections (BD), multiple daily injections (MDI; at least three injection times per day), or continuous subcutaneous insulin infusion (CSII). RESULTS The mean age of the 3279 participants was 12.8 years (SD, 3.7), mean diabetes duration was 5.7 years (SD, 3.7), and mean HbA1c level 67 mmol/mol (SD, 15); only 27% achieved the national HbA1c target of less than 58 mmol/mol. The mean HbA1c level was lower in children under 6 (63 mmol/mol) than in adolescents (14-18 years; 69 mmol/mol). Mean BMI-SDS for all participants was 0.6 (SD, 0.9); 33% of the participants were overweight or obese. 44% were treated with CSII, 38% with MDI, 18% with BD. CONCLUSIONS Most Australian children and adolescents with type 1 diabetes are not meeting the recognised HbA1c target. The prevalence of overweight and obesity is high. There is an urgent need to identify barriers to achieving optimal glycaemic control in this population.","author":[{"dropping-particle":"","family":"Phelan","given":"Helen","non-dropping-particle":"","parse-names":false,"suffix":""},{"dropping-particle":"","family":"Clapin","given":"Helen","non-dropping-particle":"","parse-names":false,"suffix":""},{"dropping-particle":"","family":"Bruns","given":"Loren","non-dropping-particle":"","parse-names":false,"suffix":""},{"dropping-particle":"","family":"Cameron","given":"Fergus J","non-dropping-particle":"","parse-names":false,"suffix":""},{"dropping-particle":"","family":"Cotterill","given":"Andrew M","non-dropping-particle":"","parse-names":false,"suffix":""},{"dropping-particle":"","family":"Couper","given":"Jennifer J","non-dropping-particle":"","parse-names":false,"suffix":""},{"dropping-particle":"","family":"Davis","given":"Elizabeth A","non-dropping-particle":"","parse-names":false,"suffix":""},{"dropping-particle":"","family":"Donaghue","given":"Kim C","non-dropping-particle":"","parse-names":false,"suffix":""},{"dropping-particle":"","family":"Jefferies","given":"Craig A","non-dropping-particle":"","parse-names":false,"suffix":""},{"dropping-particle":"","family":"King","given":"Bruce R","non-dropping-particle":"","parse-names":false,"suffix":""},{"dropping-particle":"","family":"Sinnott","given":"Richard O","non-dropping-particle":"","parse-names":false,"suffix":""},{"dropping-particle":"","family":"Tham","given":"Elaine B","non-dropping-particle":"","parse-names":false,"suffix":""},{"dropping-particle":"","family":"Wales","given":"Jerry K","non-dropping-particle":"","parse-names":false,"suffix":""},{"dropping-particle":"","family":"Jones","given":"Timothy W","non-dropping-particle":"","parse-names":false,"suffix":""},{"dropping-particle":"","family":"Craig","given":"Maria E","non-dropping-particle":"","parse-names":false,"suffix":""}],"container-title":"The Medical journal of Australia","id":"ITEM-2","issue":"3","issued":{"date-parts":[["2017","2","20"]]},"page":"121-125","title":"The Australasian Diabetes Data Network: first national audit of children and adolescents with type 1 diabetes.","type":"article-journal","volume":"206"},"uris":["http://www.mendeley.com/documents/?uuid=d550c3a3-4445-3fc2-9fa3-6d6b931d5cf9"]}],"mendeley":{"formattedCitation":"&lt;sup&gt;29,30&lt;/sup&gt;","plainTextFormattedCitation":"29,30","previouslyFormattedCitation":"&lt;sup&gt;29,30&lt;/sup&gt;"},"properties":{"noteIndex":0},"schema":"https://github.com/citation-style-language/schema/raw/master/csl-citation.json"}</w:instrText>
      </w:r>
      <w:r w:rsidRPr="00135762">
        <w:rPr>
          <w:sz w:val="24"/>
          <w:szCs w:val="24"/>
        </w:rPr>
        <w:fldChar w:fldCharType="separate"/>
      </w:r>
      <w:r w:rsidR="00705406" w:rsidRPr="00705406">
        <w:rPr>
          <w:noProof/>
          <w:sz w:val="24"/>
          <w:szCs w:val="24"/>
          <w:vertAlign w:val="superscript"/>
        </w:rPr>
        <w:t>29,30</w:t>
      </w:r>
      <w:r w:rsidRPr="00135762">
        <w:rPr>
          <w:sz w:val="24"/>
          <w:szCs w:val="24"/>
        </w:rPr>
        <w:fldChar w:fldCharType="end"/>
      </w:r>
      <w:r w:rsidRPr="00135762">
        <w:rPr>
          <w:sz w:val="24"/>
          <w:szCs w:val="24"/>
        </w:rPr>
        <w:t>.</w:t>
      </w:r>
      <w:r w:rsidR="00F96BE4" w:rsidRPr="00135762">
        <w:rPr>
          <w:sz w:val="24"/>
          <w:szCs w:val="24"/>
        </w:rPr>
        <w:t xml:space="preserve"> </w:t>
      </w:r>
      <w:r w:rsidR="00C536A4" w:rsidRPr="00135762">
        <w:rPr>
          <w:sz w:val="24"/>
          <w:szCs w:val="24"/>
        </w:rPr>
        <w:t>C</w:t>
      </w:r>
      <w:r w:rsidRPr="00135762">
        <w:rPr>
          <w:sz w:val="24"/>
          <w:szCs w:val="24"/>
        </w:rPr>
        <w:t>urrent guidelines also recommend regular screening</w:t>
      </w:r>
      <w:r w:rsidR="00C536A4" w:rsidRPr="00135762">
        <w:rPr>
          <w:sz w:val="24"/>
          <w:szCs w:val="24"/>
        </w:rPr>
        <w:t xml:space="preserve"> for microalbuminuria (as a marker of incident nephropathy) and dyslipidaemia and hypertension (as markers of potential cardiovascular disease)</w:t>
      </w:r>
      <w:r w:rsidRPr="00135762">
        <w:rPr>
          <w:sz w:val="24"/>
          <w:szCs w:val="24"/>
        </w:rPr>
        <w:t xml:space="preserve"> </w:t>
      </w:r>
      <w:r w:rsidR="0055554C" w:rsidRPr="00135762">
        <w:rPr>
          <w:sz w:val="24"/>
          <w:szCs w:val="24"/>
        </w:rPr>
        <w:t>from the age</w:t>
      </w:r>
      <w:r w:rsidR="00C536A4" w:rsidRPr="00135762">
        <w:rPr>
          <w:sz w:val="24"/>
          <w:szCs w:val="24"/>
        </w:rPr>
        <w:t>s</w:t>
      </w:r>
      <w:r w:rsidR="0055554C" w:rsidRPr="00135762">
        <w:rPr>
          <w:sz w:val="24"/>
          <w:szCs w:val="24"/>
        </w:rPr>
        <w:t xml:space="preserve"> of 10</w:t>
      </w:r>
      <w:r w:rsidR="00C536A4" w:rsidRPr="00135762">
        <w:rPr>
          <w:sz w:val="24"/>
          <w:szCs w:val="24"/>
        </w:rPr>
        <w:t xml:space="preserve"> to </w:t>
      </w:r>
      <w:r w:rsidR="0055554C" w:rsidRPr="00135762">
        <w:rPr>
          <w:sz w:val="24"/>
          <w:szCs w:val="24"/>
        </w:rPr>
        <w:t>11 years</w:t>
      </w:r>
      <w:r w:rsidR="004B72AD" w:rsidRPr="00135762">
        <w:rPr>
          <w:sz w:val="24"/>
          <w:szCs w:val="24"/>
        </w:rPr>
        <w:fldChar w:fldCharType="begin" w:fldLock="1"/>
      </w:r>
      <w:r w:rsidR="008736A2">
        <w:rPr>
          <w:sz w:val="24"/>
          <w:szCs w:val="24"/>
        </w:rPr>
        <w:instrText>ADDIN CSL_CITATION {"citationItems":[{"id":"ITEM-1","itemData":{"DOI":"10.1111/pedi.12742","ISSN":"1399543X","PMID":"30079595","author":[{"dropping-particle":"","family":"Donaghue","given":"Kim C.","non-dropping-particle":"","parse-names":false,"suffix":""},{"dropping-particle":"","family":"Marcovecchio","given":"M. Loredana","non-dropping-particle":"","parse-names":false,"suffix":""},{"dropping-particle":"","family":"Wadwa","given":"R. P.","non-dropping-particle":"","parse-names":false,"suffix":""},{"dropping-particle":"","family":"Chew","given":"Emily Y.","non-dropping-particle":"","parse-names":false,"suffix":""},{"dropping-particle":"","family":"Wong","given":"Tien Y.","non-dropping-particle":"","parse-names":false,"suffix":""},{"dropping-particle":"","family":"Calliari","given":"Luis Eduardo","non-dropping-particle":"","parse-names":false,"suffix":""},{"dropping-particle":"","family":"Zabeen","given":"Bedowra","non-dropping-particle":"","parse-names":false,"suffix":""},{"dropping-particle":"","family":"Salem","given":"Mona A.","non-dropping-particle":"","parse-names":false,"suffix":""},{"dropping-particle":"","family":"Craig","given":"Maria E.","non-dropping-particle":"","parse-names":false,"suffix":""}],"container-title":"Pediatric Diabetes","id":"ITEM-1","issued":{"date-parts":[["2018","10"]]},"page":"262-274","title":"ISPAD Clinical Practice Consensus Guidelines 2018: Microvascular and macrovascular complications in children and adolescents","type":"article-journal","volume":"19"},"uris":["http://www.mendeley.com/documents/?uuid=79342330-c4b0-317d-b20b-3395ee92f358"]},{"id":"ITEM-2","itemData":{"DOI":"10.2337/dc19-S013","ISSN":"1935-5548","PMID":"30559239","abstract":"The American Diabetes Association (ADA) \"Standards of Medical Care in Diabetes\" includes ADA's current clinical practice recommendations and is intended to provide the components of diabetes care, general treatment goals and guidelines, and tools to evaluate quality of care. Members of the ADA Professional Practice Committee, a multidisciplinary expert committee, are responsible for updating the Standards of Care annually, or more frequently as warranted. For a detailed description of ADA standards, statements, and reports, as well as the evidence-grading system for ADA's clinical practice recommendations, please refer to the Standards of Care Introduction Readers who wish to comment on the Standards of Care are invited to do so at professional.diabetes.org/SOC.","author":[{"dropping-particle":"","family":"American Diabetes Association","given":"","non-dropping-particle":"","parse-names":false,"suffix":""}],"container-title":"Diabetes care","id":"ITEM-2","issue":"Suppl 1","issued":{"date-parts":[["2019","1","17"]]},"page":"S148-S164","title":"13. Children and Adolescents: Standards of Medical Care in Diabetes-2019.","type":"article-journal","volume":"42"},"uris":["http://www.mendeley.com/documents/?uuid=ee90e916-22f8-37b1-8729-377cb889055b"]}],"mendeley":{"formattedCitation":"&lt;sup&gt;20,21&lt;/sup&gt;","plainTextFormattedCitation":"20,21","previouslyFormattedCitation":"&lt;sup&gt;20,21&lt;/sup&gt;"},"properties":{"noteIndex":0},"schema":"https://github.com/citation-style-language/schema/raw/master/csl-citation.json"}</w:instrText>
      </w:r>
      <w:r w:rsidR="004B72AD" w:rsidRPr="00135762">
        <w:rPr>
          <w:sz w:val="24"/>
          <w:szCs w:val="24"/>
        </w:rPr>
        <w:fldChar w:fldCharType="separate"/>
      </w:r>
      <w:r w:rsidR="00705406" w:rsidRPr="00705406">
        <w:rPr>
          <w:noProof/>
          <w:sz w:val="24"/>
          <w:szCs w:val="24"/>
          <w:vertAlign w:val="superscript"/>
        </w:rPr>
        <w:t>20,21</w:t>
      </w:r>
      <w:r w:rsidR="004B72AD" w:rsidRPr="00135762">
        <w:rPr>
          <w:sz w:val="24"/>
          <w:szCs w:val="24"/>
        </w:rPr>
        <w:fldChar w:fldCharType="end"/>
      </w:r>
      <w:r w:rsidR="007B5715">
        <w:rPr>
          <w:sz w:val="24"/>
          <w:szCs w:val="24"/>
        </w:rPr>
        <w:t xml:space="preserve">. </w:t>
      </w:r>
      <w:r w:rsidR="00C536A4" w:rsidRPr="00135762">
        <w:rPr>
          <w:sz w:val="24"/>
          <w:szCs w:val="24"/>
        </w:rPr>
        <w:t xml:space="preserve">However, </w:t>
      </w:r>
      <w:r w:rsidRPr="00135762">
        <w:rPr>
          <w:sz w:val="24"/>
          <w:szCs w:val="24"/>
        </w:rPr>
        <w:t xml:space="preserve">the current recommendations for </w:t>
      </w:r>
      <w:r w:rsidR="00C536A4" w:rsidRPr="00135762">
        <w:rPr>
          <w:sz w:val="24"/>
          <w:szCs w:val="24"/>
        </w:rPr>
        <w:t xml:space="preserve">appropriate </w:t>
      </w:r>
      <w:r w:rsidRPr="00135762">
        <w:rPr>
          <w:sz w:val="24"/>
          <w:szCs w:val="24"/>
        </w:rPr>
        <w:t>intervention</w:t>
      </w:r>
      <w:r w:rsidR="00C536A4" w:rsidRPr="00135762">
        <w:rPr>
          <w:sz w:val="24"/>
          <w:szCs w:val="24"/>
        </w:rPr>
        <w:t>s</w:t>
      </w:r>
      <w:r w:rsidRPr="00135762">
        <w:rPr>
          <w:sz w:val="24"/>
          <w:szCs w:val="24"/>
        </w:rPr>
        <w:t xml:space="preserve"> are </w:t>
      </w:r>
      <w:r w:rsidR="00242087" w:rsidRPr="00135762">
        <w:rPr>
          <w:sz w:val="24"/>
          <w:szCs w:val="24"/>
        </w:rPr>
        <w:t>still vague</w:t>
      </w:r>
      <w:r w:rsidRPr="00135762">
        <w:rPr>
          <w:sz w:val="24"/>
          <w:szCs w:val="24"/>
        </w:rPr>
        <w:t xml:space="preserve"> as there are few published </w:t>
      </w:r>
      <w:r w:rsidR="0055554C" w:rsidRPr="00135762">
        <w:rPr>
          <w:sz w:val="24"/>
          <w:szCs w:val="24"/>
        </w:rPr>
        <w:t xml:space="preserve">outcome </w:t>
      </w:r>
      <w:r w:rsidRPr="00135762">
        <w:rPr>
          <w:sz w:val="24"/>
          <w:szCs w:val="24"/>
        </w:rPr>
        <w:t xml:space="preserve">data. </w:t>
      </w:r>
    </w:p>
    <w:p w14:paraId="34A25207" w14:textId="77777777" w:rsidR="00C536A4" w:rsidRPr="00135762" w:rsidRDefault="00C536A4" w:rsidP="00BE3B0E">
      <w:pPr>
        <w:spacing w:line="360" w:lineRule="auto"/>
        <w:rPr>
          <w:sz w:val="24"/>
          <w:szCs w:val="24"/>
        </w:rPr>
      </w:pPr>
    </w:p>
    <w:p w14:paraId="7D66D229" w14:textId="05EF31A5" w:rsidR="00E845A9" w:rsidRPr="00135762" w:rsidRDefault="00E845A9" w:rsidP="00BE3B0E">
      <w:pPr>
        <w:spacing w:line="360" w:lineRule="auto"/>
        <w:rPr>
          <w:sz w:val="24"/>
          <w:szCs w:val="24"/>
        </w:rPr>
      </w:pPr>
      <w:r w:rsidRPr="00135762">
        <w:rPr>
          <w:sz w:val="24"/>
          <w:szCs w:val="24"/>
        </w:rPr>
        <w:t xml:space="preserve">The various </w:t>
      </w:r>
      <w:r w:rsidR="00C536A4" w:rsidRPr="00135762">
        <w:rPr>
          <w:sz w:val="24"/>
          <w:szCs w:val="24"/>
        </w:rPr>
        <w:t xml:space="preserve">existing clinical </w:t>
      </w:r>
      <w:r w:rsidRPr="00135762">
        <w:rPr>
          <w:sz w:val="24"/>
          <w:szCs w:val="24"/>
        </w:rPr>
        <w:t>guidelines</w:t>
      </w:r>
      <w:r w:rsidR="00F96BE4" w:rsidRPr="00135762">
        <w:rPr>
          <w:sz w:val="24"/>
          <w:szCs w:val="24"/>
        </w:rPr>
        <w:t xml:space="preserve"> </w:t>
      </w:r>
      <w:r w:rsidR="00C536A4" w:rsidRPr="00135762">
        <w:rPr>
          <w:sz w:val="24"/>
          <w:szCs w:val="24"/>
        </w:rPr>
        <w:t xml:space="preserve">that </w:t>
      </w:r>
      <w:r w:rsidR="0089065A" w:rsidRPr="00135762">
        <w:rPr>
          <w:sz w:val="24"/>
          <w:szCs w:val="24"/>
        </w:rPr>
        <w:t>recommend</w:t>
      </w:r>
      <w:r w:rsidRPr="00135762">
        <w:rPr>
          <w:sz w:val="24"/>
          <w:szCs w:val="24"/>
        </w:rPr>
        <w:t xml:space="preserve"> screening during adolescence for microalbuminuria differ only slightly </w:t>
      </w:r>
      <w:r w:rsidR="00C536A4" w:rsidRPr="00135762">
        <w:rPr>
          <w:sz w:val="24"/>
          <w:szCs w:val="24"/>
        </w:rPr>
        <w:t>in</w:t>
      </w:r>
      <w:r w:rsidRPr="00135762">
        <w:rPr>
          <w:sz w:val="24"/>
          <w:szCs w:val="24"/>
        </w:rPr>
        <w:t xml:space="preserve"> the </w:t>
      </w:r>
      <w:r w:rsidR="0089065A" w:rsidRPr="00135762">
        <w:rPr>
          <w:sz w:val="24"/>
          <w:szCs w:val="24"/>
        </w:rPr>
        <w:t xml:space="preserve">advised </w:t>
      </w:r>
      <w:r w:rsidRPr="00135762">
        <w:rPr>
          <w:sz w:val="24"/>
          <w:szCs w:val="24"/>
        </w:rPr>
        <w:t xml:space="preserve">age </w:t>
      </w:r>
      <w:r w:rsidR="0089065A" w:rsidRPr="00135762">
        <w:rPr>
          <w:sz w:val="24"/>
          <w:szCs w:val="24"/>
        </w:rPr>
        <w:t>at screening</w:t>
      </w:r>
      <w:r w:rsidRPr="00135762">
        <w:rPr>
          <w:sz w:val="24"/>
          <w:szCs w:val="24"/>
        </w:rPr>
        <w:t xml:space="preserve">, </w:t>
      </w:r>
      <w:r w:rsidR="0089065A" w:rsidRPr="00135762">
        <w:rPr>
          <w:sz w:val="24"/>
          <w:szCs w:val="24"/>
        </w:rPr>
        <w:t>however, current guidelines</w:t>
      </w:r>
      <w:r w:rsidRPr="00135762">
        <w:rPr>
          <w:sz w:val="24"/>
          <w:szCs w:val="24"/>
        </w:rPr>
        <w:t xml:space="preserve"> only broadly</w:t>
      </w:r>
      <w:r w:rsidR="00F96BE4" w:rsidRPr="00135762">
        <w:rPr>
          <w:sz w:val="24"/>
          <w:szCs w:val="24"/>
        </w:rPr>
        <w:t xml:space="preserve"> </w:t>
      </w:r>
      <w:r w:rsidRPr="00135762">
        <w:rPr>
          <w:sz w:val="24"/>
          <w:szCs w:val="24"/>
        </w:rPr>
        <w:t>describe the method</w:t>
      </w:r>
      <w:r w:rsidR="0089065A" w:rsidRPr="00135762">
        <w:rPr>
          <w:sz w:val="24"/>
          <w:szCs w:val="24"/>
        </w:rPr>
        <w:t xml:space="preserve"> of screening</w:t>
      </w:r>
      <w:r w:rsidRPr="00135762">
        <w:rPr>
          <w:sz w:val="24"/>
          <w:szCs w:val="24"/>
        </w:rPr>
        <w:t xml:space="preserve"> and interpretation of the </w:t>
      </w:r>
      <w:r w:rsidR="0089065A" w:rsidRPr="00135762">
        <w:rPr>
          <w:sz w:val="24"/>
          <w:szCs w:val="24"/>
        </w:rPr>
        <w:t>results</w:t>
      </w:r>
      <w:r w:rsidR="008736A2">
        <w:rPr>
          <w:sz w:val="24"/>
          <w:szCs w:val="24"/>
        </w:rPr>
        <w:fldChar w:fldCharType="begin" w:fldLock="1"/>
      </w:r>
      <w:r w:rsidR="00A90E57">
        <w:rPr>
          <w:sz w:val="24"/>
          <w:szCs w:val="24"/>
        </w:rPr>
        <w:instrText>ADDIN CSL_CITATION {"citationItems":[{"id":"ITEM-1","itemData":{"DOI":"10.1111/pedi.12742","ISSN":"1399543X","PMID":"30079595","author":[{"dropping-particle":"","family":"Donaghue","given":"Kim C.","non-dropping-particle":"","parse-names":false,"suffix":""},{"dropping-particle":"","family":"Marcovecchio","given":"M. Loredana","non-dropping-particle":"","parse-names":false,"suffix":""},{"dropping-particle":"","family":"Wadwa","given":"R. P.","non-dropping-particle":"","parse-names":false,"suffix":""},{"dropping-particle":"","family":"Chew","given":"Emily Y.","non-dropping-particle":"","parse-names":false,"suffix":""},{"dropping-particle":"","family":"Wong","given":"Tien Y.","non-dropping-particle":"","parse-names":false,"suffix":""},{"dropping-particle":"","family":"Calliari","given":"Luis Eduardo","non-dropping-particle":"","parse-names":false,"suffix":""},{"dropping-particle":"","family":"Zabeen","given":"Bedowra","non-dropping-particle":"","parse-names":false,"suffix":""},{"dropping-particle":"","family":"Salem","given":"Mona A.","non-dropping-particle":"","parse-names":false,"suffix":""},{"dropping-particle":"","family":"Craig","given":"Maria E.","non-dropping-particle":"","parse-names":false,"suffix":""}],"container-title":"Pediatric Diabetes","id":"ITEM-1","issued":{"date-parts":[["2018","10"]]},"page":"262-274","title":"ISPAD Clinical Practice Consensus Guidelines 2018: Microvascular and macrovascular complications in children and adolescents","type":"article-journal","volume":"19"},"uris":["http://www.mendeley.com/documents/?uuid=79342330-c4b0-317d-b20b-3395ee92f358"]},{"id":"ITEM-2","itemData":{"DOI":"10.2337/dc19-S013","ISSN":"1935-5548","PMID":"30559239","abstract":"The American Diabetes Association (ADA) \"Standards of Medical Care in Diabetes\" includes ADA's current clinical practice recommendations and is intended to provide the components of diabetes care, general treatment goals and guidelines, and tools to evaluate quality of care. Members of the ADA Professional Practice Committee, a multidisciplinary expert committee, are responsible for updating the Standards of Care annually, or more frequently as warranted. For a detailed description of ADA standards, statements, and reports, as well as the evidence-grading system for ADA's clinical practice recommendations, please refer to the Standards of Care Introduction Readers who wish to comment on the Standards of Care are invited to do so at professional.diabetes.org/SOC.","author":[{"dropping-particle":"","family":"American Diabetes Association","given":"","non-dropping-particle":"","parse-names":false,"suffix":""}],"container-title":"Diabetes care","id":"ITEM-2","issue":"Suppl 1","issued":{"date-parts":[["2019","1","17"]]},"page":"S148-S164","title":"13. Children and Adolescents: Standards of Medical Care in Diabetes-2019.","type":"article-journal","volume":"42"},"uris":["http://www.mendeley.com/documents/?uuid=ee90e916-22f8-37b1-8729-377cb889055b"]},{"id":"ITEM-3","itemData":{"abstract":"The recommendations in this guideline represent the view of NICE, arrived at after careful consideration of the evidence available. When exercising their judgement, professionals are expected to take this guideline fully into account, alongside the individual needs, preferences and values of their patients or service users. The application of the recommendations in this guideline are not mandatory and the guideline does not override the responsibility of healthcare professionals to make decisions appropriate to the circumstances of the individual patient, in consultation with the patient and/or their carer or guardian. Local commissioners and/or providers have a responsibility to enable the guideline to be applied when individual health professionals and their patients or service users wish to use it. They should do so in the context of local and national priorities for funding and developing services, and in light of their duties to have due regard to the need to eliminate unlawful discrimination, to advance equality of opportunity and to reduce health inequalities. Nothing in this guideline should be interpreted in a way that would be inconsistent with compliance with those duties. Diabetes (type 1 and type 2) in children and young people: diagnosis and management (NG18)","id":"ITEM-3","issued":{"date-parts":[["2015"]]},"title":"Diabetes (type 1 and type 2) in children Diabetes (type 1 and type 2) in children and y and young people: diagnosis and oung people: diagnosis and management management NICE guideline","type":"article-journal"},"uris":["http://www.mendeley.com/documents/?uuid=43a94272-c0e9-39af-aab0-5544013f0163"]}],"mendeley":{"formattedCitation":"&lt;sup&gt;20–22&lt;/sup&gt;","plainTextFormattedCitation":"20–22","previouslyFormattedCitation":"&lt;sup&gt;20–22&lt;/sup&gt;"},"properties":{"noteIndex":0},"schema":"https://github.com/citation-style-language/schema/raw/master/csl-citation.json"}</w:instrText>
      </w:r>
      <w:r w:rsidR="008736A2">
        <w:rPr>
          <w:sz w:val="24"/>
          <w:szCs w:val="24"/>
        </w:rPr>
        <w:fldChar w:fldCharType="separate"/>
      </w:r>
      <w:r w:rsidR="008736A2" w:rsidRPr="008736A2">
        <w:rPr>
          <w:noProof/>
          <w:sz w:val="24"/>
          <w:szCs w:val="24"/>
          <w:vertAlign w:val="superscript"/>
        </w:rPr>
        <w:t>20–22</w:t>
      </w:r>
      <w:r w:rsidR="008736A2">
        <w:rPr>
          <w:sz w:val="24"/>
          <w:szCs w:val="24"/>
        </w:rPr>
        <w:fldChar w:fldCharType="end"/>
      </w:r>
      <w:r w:rsidRPr="00135762">
        <w:rPr>
          <w:sz w:val="24"/>
          <w:szCs w:val="24"/>
        </w:rPr>
        <w:t>.</w:t>
      </w:r>
      <w:r w:rsidR="00F96BE4" w:rsidRPr="00135762">
        <w:rPr>
          <w:sz w:val="24"/>
          <w:szCs w:val="24"/>
        </w:rPr>
        <w:t xml:space="preserve"> </w:t>
      </w:r>
      <w:r w:rsidR="0089065A" w:rsidRPr="00135762">
        <w:rPr>
          <w:sz w:val="24"/>
          <w:szCs w:val="24"/>
        </w:rPr>
        <w:t>In the various guidelines,</w:t>
      </w:r>
      <w:r w:rsidRPr="00135762">
        <w:rPr>
          <w:sz w:val="24"/>
          <w:szCs w:val="24"/>
        </w:rPr>
        <w:t xml:space="preserve"> microalbuminuria </w:t>
      </w:r>
      <w:r w:rsidR="0089065A" w:rsidRPr="00135762">
        <w:rPr>
          <w:sz w:val="24"/>
          <w:szCs w:val="24"/>
        </w:rPr>
        <w:t>is usually defined as</w:t>
      </w:r>
      <w:r w:rsidRPr="00135762">
        <w:rPr>
          <w:sz w:val="24"/>
          <w:szCs w:val="24"/>
        </w:rPr>
        <w:t xml:space="preserve"> two out of three urine collections</w:t>
      </w:r>
      <w:r w:rsidR="007B5715">
        <w:rPr>
          <w:sz w:val="24"/>
          <w:szCs w:val="24"/>
        </w:rPr>
        <w:t xml:space="preserve"> </w:t>
      </w:r>
      <w:r w:rsidR="0089065A" w:rsidRPr="00135762">
        <w:rPr>
          <w:sz w:val="24"/>
          <w:szCs w:val="24"/>
        </w:rPr>
        <w:t>that</w:t>
      </w:r>
      <w:r w:rsidRPr="00135762">
        <w:rPr>
          <w:sz w:val="24"/>
          <w:szCs w:val="24"/>
        </w:rPr>
        <w:t xml:space="preserve"> exceed </w:t>
      </w:r>
      <w:r w:rsidR="0089065A" w:rsidRPr="00135762">
        <w:rPr>
          <w:sz w:val="24"/>
          <w:szCs w:val="24"/>
        </w:rPr>
        <w:t>a sex</w:t>
      </w:r>
      <w:r w:rsidR="0082199E" w:rsidRPr="00135762">
        <w:rPr>
          <w:sz w:val="24"/>
          <w:szCs w:val="24"/>
        </w:rPr>
        <w:t>-</w:t>
      </w:r>
      <w:r w:rsidR="0089065A" w:rsidRPr="00135762">
        <w:rPr>
          <w:sz w:val="24"/>
          <w:szCs w:val="24"/>
        </w:rPr>
        <w:t xml:space="preserve">specific value of </w:t>
      </w:r>
      <w:r w:rsidRPr="00135762">
        <w:rPr>
          <w:sz w:val="24"/>
          <w:szCs w:val="24"/>
        </w:rPr>
        <w:t>ACR</w:t>
      </w:r>
      <w:r w:rsidR="007B5715">
        <w:rPr>
          <w:sz w:val="24"/>
          <w:szCs w:val="24"/>
        </w:rPr>
        <w:t xml:space="preserve">. </w:t>
      </w:r>
      <w:r w:rsidRPr="00135762">
        <w:rPr>
          <w:sz w:val="24"/>
          <w:szCs w:val="24"/>
        </w:rPr>
        <w:t xml:space="preserve">Only </w:t>
      </w:r>
      <w:r w:rsidR="0089065A" w:rsidRPr="00135762">
        <w:rPr>
          <w:sz w:val="24"/>
          <w:szCs w:val="24"/>
        </w:rPr>
        <w:t>individuals who are classified as</w:t>
      </w:r>
      <w:r w:rsidRPr="00135762">
        <w:rPr>
          <w:sz w:val="24"/>
          <w:szCs w:val="24"/>
        </w:rPr>
        <w:t xml:space="preserve"> hav</w:t>
      </w:r>
      <w:r w:rsidR="0089065A" w:rsidRPr="00135762">
        <w:rPr>
          <w:sz w:val="24"/>
          <w:szCs w:val="24"/>
        </w:rPr>
        <w:t>ing</w:t>
      </w:r>
      <w:r w:rsidRPr="00135762">
        <w:rPr>
          <w:sz w:val="24"/>
          <w:szCs w:val="24"/>
        </w:rPr>
        <w:t xml:space="preserve"> developed microalbuminuria are subsequently investigated for evidence of abnormalities in ambulatory blood pressure and may</w:t>
      </w:r>
      <w:r w:rsidR="00891C82" w:rsidRPr="00135762">
        <w:rPr>
          <w:sz w:val="24"/>
          <w:szCs w:val="24"/>
        </w:rPr>
        <w:t xml:space="preserve"> b</w:t>
      </w:r>
      <w:r w:rsidRPr="00135762">
        <w:rPr>
          <w:sz w:val="24"/>
          <w:szCs w:val="24"/>
        </w:rPr>
        <w:t>e started</w:t>
      </w:r>
      <w:r w:rsidR="00891C82" w:rsidRPr="00135762">
        <w:rPr>
          <w:sz w:val="24"/>
          <w:szCs w:val="24"/>
        </w:rPr>
        <w:t xml:space="preserve"> an ACE </w:t>
      </w:r>
      <w:r w:rsidR="00891C82" w:rsidRPr="007B5715">
        <w:rPr>
          <w:sz w:val="24"/>
          <w:szCs w:val="24"/>
        </w:rPr>
        <w:t>inhibitor</w:t>
      </w:r>
      <w:r w:rsidR="004B72AD" w:rsidRPr="007B5715">
        <w:rPr>
          <w:sz w:val="24"/>
          <w:szCs w:val="24"/>
        </w:rPr>
        <w:fldChar w:fldCharType="begin" w:fldLock="1"/>
      </w:r>
      <w:r w:rsidR="008736A2" w:rsidRPr="007B5715">
        <w:rPr>
          <w:sz w:val="24"/>
          <w:szCs w:val="24"/>
        </w:rPr>
        <w:instrText>ADDIN CSL_CITATION {"citationItems":[{"id":"ITEM-1","itemData":{"DOI":"10.1111/pedi.12742","ISSN":"1399543X","PMID":"30079595","author":[{"dropping-particle":"","family":"Donaghue","given":"Kim C.","non-dropping-particle":"","parse-names":false,"suffix":""},{"dropping-particle":"","family":"Marcovecchio","given":"M. Loredana","non-dropping-particle":"","parse-names":false,"suffix":""},{"dropping-particle":"","family":"Wadwa","given":"R. P.","non-dropping-particle":"","parse-names":false,"suffix":""},{"dropping-particle":"","family":"Chew","given":"Emily Y.","non-dropping-particle":"","parse-names":false,"suffix":""},{"dropping-particle":"","family":"Wong","given":"Tien Y.","non-dropping-particle":"","parse-names":false,"suffix":""},{"dropping-particle":"","family":"Calliari","given":"Luis Eduardo","non-dropping-particle":"","parse-names":false,"suffix":""},{"dropping-particle":"","family":"Zabeen","given":"Bedowra","non-dropping-particle":"","parse-names":false,"suffix":""},{"dropping-particle":"","family":"Salem","given":"Mona A.","non-dropping-particle":"","parse-names":false,"suffix":""},{"dropping-particle":"","family":"Craig","given":"Maria E.","non-dropping-particle":"","parse-names":false,"suffix":""}],"container-title":"Pediatric Diabetes","id":"ITEM-1","issued":{"date-parts":[["2018","10"]]},"page":"262-274","title":"ISPAD Clinical Practice Consensus Guidelines 2018: Microvascular and macrovascular complications in children and adolescents","type":"article-journal","volume":"19"},"uris":["http://www.mendeley.com/documents/?uuid=79342330-c4b0-317d-b20b-3395ee92f358"]},{"id":"ITEM-2","itemData":{"DOI":"10.2337/dc19-S013","ISSN":"1935-5548","PMID":"30559239","abstract":"The American Diabetes Association (ADA) \"Standards of Medical Care in Diabetes\" includes ADA's current clinical practice recommendations and is intended to provide the components of diabetes care, general treatment goals and guidelines, and tools to evaluate quality of care. Members of the ADA Professional Practice Committee, a multidisciplinary expert committee, are responsible for updating the Standards of Care annually, or more frequently as warranted. For a detailed description of ADA standards, statements, and reports, as well as the evidence-grading system for ADA's clinical practice recommendations, please refer to the Standards of Care Introduction Readers who wish to comment on the Standards of Care are invited to do so at professional.diabetes.org/SOC.","author":[{"dropping-particle":"","family":"American Diabetes Association","given":"","non-dropping-particle":"","parse-names":false,"suffix":""}],"container-title":"Diabetes care","id":"ITEM-2","issue":"Suppl 1","issued":{"date-parts":[["2019","1","17"]]},"page":"S148-S164","title":"13. Children and Adolescents: Standards of Medical Care in Diabetes-2019.","type":"article-journal","volume":"42"},"uris":["http://www.mendeley.com/documents/?uuid=ee90e916-22f8-37b1-8729-377cb889055b"]}],"mendeley":{"formattedCitation":"&lt;sup&gt;20,21&lt;/sup&gt;","plainTextFormattedCitation":"20,21","previouslyFormattedCitation":"&lt;sup&gt;20,21&lt;/sup&gt;"},"properties":{"noteIndex":0},"schema":"https://github.com/citation-style-language/schema/raw/master/csl-citation.json"}</w:instrText>
      </w:r>
      <w:r w:rsidR="004B72AD" w:rsidRPr="007B5715">
        <w:rPr>
          <w:sz w:val="24"/>
          <w:szCs w:val="24"/>
        </w:rPr>
        <w:fldChar w:fldCharType="separate"/>
      </w:r>
      <w:r w:rsidR="00705406" w:rsidRPr="007B5715">
        <w:rPr>
          <w:noProof/>
          <w:sz w:val="24"/>
          <w:szCs w:val="24"/>
          <w:vertAlign w:val="superscript"/>
        </w:rPr>
        <w:t>20,21</w:t>
      </w:r>
      <w:r w:rsidR="004B72AD" w:rsidRPr="007B5715">
        <w:rPr>
          <w:sz w:val="24"/>
          <w:szCs w:val="24"/>
        </w:rPr>
        <w:fldChar w:fldCharType="end"/>
      </w:r>
      <w:r w:rsidR="007B5715" w:rsidRPr="007B5715">
        <w:rPr>
          <w:sz w:val="24"/>
          <w:szCs w:val="24"/>
        </w:rPr>
        <w:t>.</w:t>
      </w:r>
    </w:p>
    <w:p w14:paraId="52319DE0" w14:textId="77777777" w:rsidR="00C536A4" w:rsidRPr="00135762" w:rsidRDefault="00C536A4" w:rsidP="00E845A9">
      <w:pPr>
        <w:spacing w:after="0" w:line="360" w:lineRule="auto"/>
        <w:rPr>
          <w:i/>
          <w:sz w:val="24"/>
          <w:szCs w:val="24"/>
        </w:rPr>
      </w:pPr>
    </w:p>
    <w:p w14:paraId="39CADDAD" w14:textId="18A6ABC5" w:rsidR="002C1FA5" w:rsidRPr="00135762" w:rsidRDefault="002C1FA5" w:rsidP="00E845A9">
      <w:pPr>
        <w:spacing w:after="0" w:line="360" w:lineRule="auto"/>
        <w:rPr>
          <w:sz w:val="24"/>
          <w:szCs w:val="24"/>
        </w:rPr>
      </w:pPr>
      <w:r w:rsidRPr="00135762">
        <w:rPr>
          <w:i/>
          <w:sz w:val="24"/>
          <w:szCs w:val="24"/>
        </w:rPr>
        <w:lastRenderedPageBreak/>
        <w:t>A new proposed approach.</w:t>
      </w:r>
      <w:r w:rsidRPr="00135762">
        <w:rPr>
          <w:sz w:val="24"/>
          <w:szCs w:val="24"/>
        </w:rPr>
        <w:t xml:space="preserve"> </w:t>
      </w:r>
    </w:p>
    <w:p w14:paraId="54760D58" w14:textId="61A388BA" w:rsidR="00E845A9" w:rsidRPr="00135762" w:rsidRDefault="00E845A9" w:rsidP="00E845A9">
      <w:pPr>
        <w:spacing w:after="0" w:line="360" w:lineRule="auto"/>
        <w:rPr>
          <w:sz w:val="24"/>
          <w:szCs w:val="24"/>
        </w:rPr>
      </w:pPr>
      <w:r w:rsidRPr="00135762">
        <w:rPr>
          <w:sz w:val="24"/>
          <w:szCs w:val="24"/>
        </w:rPr>
        <w:t>Data from ORPS and AdDIT suggest that th</w:t>
      </w:r>
      <w:r w:rsidR="002B77B3" w:rsidRPr="00135762">
        <w:rPr>
          <w:sz w:val="24"/>
          <w:szCs w:val="24"/>
        </w:rPr>
        <w:t>e above described</w:t>
      </w:r>
      <w:r w:rsidRPr="00135762">
        <w:rPr>
          <w:sz w:val="24"/>
          <w:szCs w:val="24"/>
        </w:rPr>
        <w:t xml:space="preserve"> approach</w:t>
      </w:r>
      <w:r w:rsidR="002B77B3" w:rsidRPr="00135762">
        <w:rPr>
          <w:sz w:val="24"/>
          <w:szCs w:val="24"/>
        </w:rPr>
        <w:t xml:space="preserve"> suggested in clinical guidelines</w:t>
      </w:r>
      <w:r w:rsidR="007B5715">
        <w:rPr>
          <w:sz w:val="24"/>
          <w:szCs w:val="24"/>
        </w:rPr>
        <w:t xml:space="preserve"> </w:t>
      </w:r>
      <w:r w:rsidR="008659B3" w:rsidRPr="00135762">
        <w:rPr>
          <w:sz w:val="24"/>
          <w:szCs w:val="24"/>
        </w:rPr>
        <w:t xml:space="preserve">for </w:t>
      </w:r>
      <w:r w:rsidRPr="00135762">
        <w:rPr>
          <w:sz w:val="24"/>
          <w:szCs w:val="24"/>
        </w:rPr>
        <w:t xml:space="preserve">detecting or excluding incident nephropathy may </w:t>
      </w:r>
      <w:r w:rsidR="005F14B3" w:rsidRPr="00135762">
        <w:rPr>
          <w:sz w:val="24"/>
          <w:szCs w:val="24"/>
        </w:rPr>
        <w:t>not</w:t>
      </w:r>
      <w:r w:rsidRPr="00135762">
        <w:rPr>
          <w:sz w:val="24"/>
          <w:szCs w:val="24"/>
        </w:rPr>
        <w:t xml:space="preserve"> identify </w:t>
      </w:r>
      <w:r w:rsidR="005F14B3" w:rsidRPr="00135762">
        <w:rPr>
          <w:sz w:val="24"/>
          <w:szCs w:val="24"/>
        </w:rPr>
        <w:t xml:space="preserve">all </w:t>
      </w:r>
      <w:r w:rsidR="002B77B3" w:rsidRPr="00135762">
        <w:rPr>
          <w:sz w:val="24"/>
          <w:szCs w:val="24"/>
        </w:rPr>
        <w:t xml:space="preserve">young people </w:t>
      </w:r>
      <w:r w:rsidRPr="00135762">
        <w:rPr>
          <w:sz w:val="24"/>
          <w:szCs w:val="24"/>
        </w:rPr>
        <w:t>at risk for diabetic nephropathy, cardiovascular disease and retinopathy.</w:t>
      </w:r>
      <w:r w:rsidR="00F96BE4" w:rsidRPr="00135762">
        <w:rPr>
          <w:sz w:val="24"/>
          <w:szCs w:val="24"/>
        </w:rPr>
        <w:t xml:space="preserve"> </w:t>
      </w:r>
      <w:r w:rsidRPr="00135762">
        <w:rPr>
          <w:sz w:val="24"/>
          <w:szCs w:val="24"/>
        </w:rPr>
        <w:t>Urinary albumin excretion is highly variable and the single measurement</w:t>
      </w:r>
      <w:r w:rsidR="002B77B3" w:rsidRPr="00135762">
        <w:rPr>
          <w:sz w:val="24"/>
          <w:szCs w:val="24"/>
        </w:rPr>
        <w:t xml:space="preserve"> made</w:t>
      </w:r>
      <w:r w:rsidRPr="00135762">
        <w:rPr>
          <w:sz w:val="24"/>
          <w:szCs w:val="24"/>
        </w:rPr>
        <w:t xml:space="preserve"> in three urines every year m</w:t>
      </w:r>
      <w:r w:rsidR="002B77B3" w:rsidRPr="00135762">
        <w:rPr>
          <w:sz w:val="24"/>
          <w:szCs w:val="24"/>
        </w:rPr>
        <w:t>ight</w:t>
      </w:r>
      <w:r w:rsidRPr="00135762">
        <w:rPr>
          <w:sz w:val="24"/>
          <w:szCs w:val="24"/>
        </w:rPr>
        <w:t xml:space="preserve"> fail to detect people </w:t>
      </w:r>
      <w:r w:rsidR="002B77B3" w:rsidRPr="00135762">
        <w:rPr>
          <w:sz w:val="24"/>
          <w:szCs w:val="24"/>
        </w:rPr>
        <w:t>who have</w:t>
      </w:r>
      <w:r w:rsidRPr="00135762">
        <w:rPr>
          <w:sz w:val="24"/>
          <w:szCs w:val="24"/>
        </w:rPr>
        <w:t xml:space="preserve"> increasing albumin excretion.</w:t>
      </w:r>
      <w:r w:rsidR="00F96BE4" w:rsidRPr="00135762">
        <w:rPr>
          <w:sz w:val="24"/>
          <w:szCs w:val="24"/>
        </w:rPr>
        <w:t xml:space="preserve"> </w:t>
      </w:r>
      <w:r w:rsidR="00783F15" w:rsidRPr="00135762">
        <w:rPr>
          <w:sz w:val="24"/>
          <w:szCs w:val="24"/>
        </w:rPr>
        <w:t xml:space="preserve">These </w:t>
      </w:r>
      <w:r w:rsidR="00601E3C" w:rsidRPr="00135762">
        <w:rPr>
          <w:sz w:val="24"/>
          <w:szCs w:val="24"/>
        </w:rPr>
        <w:t>subjects with</w:t>
      </w:r>
      <w:r w:rsidR="002B77B3" w:rsidRPr="00135762">
        <w:rPr>
          <w:sz w:val="24"/>
          <w:szCs w:val="24"/>
        </w:rPr>
        <w:t xml:space="preserve"> increasing albumin excretion</w:t>
      </w:r>
      <w:r w:rsidR="00601E3C" w:rsidRPr="00135762">
        <w:rPr>
          <w:sz w:val="24"/>
          <w:szCs w:val="24"/>
        </w:rPr>
        <w:t xml:space="preserve"> need to </w:t>
      </w:r>
      <w:r w:rsidR="007A5D3C" w:rsidRPr="00135762">
        <w:rPr>
          <w:sz w:val="24"/>
          <w:szCs w:val="24"/>
        </w:rPr>
        <w:t xml:space="preserve">be </w:t>
      </w:r>
      <w:r w:rsidR="002B77B3" w:rsidRPr="00135762">
        <w:rPr>
          <w:sz w:val="24"/>
          <w:szCs w:val="24"/>
        </w:rPr>
        <w:t>identif</w:t>
      </w:r>
      <w:r w:rsidR="007A5D3C" w:rsidRPr="00135762">
        <w:rPr>
          <w:sz w:val="24"/>
          <w:szCs w:val="24"/>
        </w:rPr>
        <w:t xml:space="preserve">ied </w:t>
      </w:r>
      <w:r w:rsidRPr="00135762">
        <w:rPr>
          <w:sz w:val="24"/>
          <w:szCs w:val="24"/>
        </w:rPr>
        <w:t>through repeated measures of ACR.</w:t>
      </w:r>
      <w:r w:rsidR="00F96BE4" w:rsidRPr="00135762">
        <w:rPr>
          <w:sz w:val="24"/>
          <w:szCs w:val="24"/>
        </w:rPr>
        <w:t xml:space="preserve"> </w:t>
      </w:r>
      <w:r w:rsidRPr="00135762">
        <w:rPr>
          <w:sz w:val="24"/>
          <w:szCs w:val="24"/>
        </w:rPr>
        <w:t xml:space="preserve">The AdDIT results suggest that accurately tracking </w:t>
      </w:r>
      <w:r w:rsidR="0048533F" w:rsidRPr="00135762">
        <w:rPr>
          <w:sz w:val="24"/>
          <w:szCs w:val="24"/>
        </w:rPr>
        <w:t xml:space="preserve">urinary </w:t>
      </w:r>
      <w:r w:rsidRPr="00135762">
        <w:rPr>
          <w:sz w:val="24"/>
          <w:szCs w:val="24"/>
        </w:rPr>
        <w:t xml:space="preserve">albumin excretion using </w:t>
      </w:r>
      <w:r w:rsidR="007E5FA7" w:rsidRPr="00135762">
        <w:rPr>
          <w:sz w:val="24"/>
          <w:szCs w:val="24"/>
        </w:rPr>
        <w:t>two</w:t>
      </w:r>
      <w:r w:rsidR="00C6117D" w:rsidRPr="00135762">
        <w:rPr>
          <w:sz w:val="24"/>
          <w:szCs w:val="24"/>
        </w:rPr>
        <w:t xml:space="preserve"> sets of </w:t>
      </w:r>
      <w:r w:rsidR="007E5FA7" w:rsidRPr="00135762">
        <w:rPr>
          <w:sz w:val="24"/>
          <w:szCs w:val="24"/>
        </w:rPr>
        <w:t>three</w:t>
      </w:r>
      <w:r w:rsidR="00C6117D" w:rsidRPr="00135762">
        <w:rPr>
          <w:sz w:val="24"/>
          <w:szCs w:val="24"/>
        </w:rPr>
        <w:t xml:space="preserve"> </w:t>
      </w:r>
      <w:r w:rsidR="00CB5DE4" w:rsidRPr="00135762">
        <w:rPr>
          <w:sz w:val="24"/>
          <w:szCs w:val="24"/>
        </w:rPr>
        <w:t>repeated</w:t>
      </w:r>
      <w:r w:rsidR="00F96BE4" w:rsidRPr="00135762">
        <w:rPr>
          <w:sz w:val="24"/>
          <w:szCs w:val="24"/>
        </w:rPr>
        <w:t xml:space="preserve"> </w:t>
      </w:r>
      <w:r w:rsidR="00CB5DE4" w:rsidRPr="00135762">
        <w:rPr>
          <w:sz w:val="24"/>
          <w:szCs w:val="24"/>
        </w:rPr>
        <w:t xml:space="preserve">measurements of </w:t>
      </w:r>
      <w:r w:rsidRPr="00135762">
        <w:rPr>
          <w:sz w:val="24"/>
          <w:szCs w:val="24"/>
        </w:rPr>
        <w:t xml:space="preserve">ACR </w:t>
      </w:r>
      <w:r w:rsidR="002A24CA">
        <w:rPr>
          <w:sz w:val="24"/>
          <w:szCs w:val="24"/>
        </w:rPr>
        <w:t>annually</w:t>
      </w:r>
      <w:r w:rsidR="007B5715">
        <w:rPr>
          <w:sz w:val="24"/>
          <w:szCs w:val="24"/>
        </w:rPr>
        <w:t xml:space="preserve"> </w:t>
      </w:r>
      <w:r w:rsidRPr="00135762">
        <w:rPr>
          <w:sz w:val="24"/>
          <w:szCs w:val="24"/>
        </w:rPr>
        <w:t>from as early as 10 years</w:t>
      </w:r>
      <w:r w:rsidR="007E5FA7" w:rsidRPr="00135762">
        <w:rPr>
          <w:sz w:val="24"/>
          <w:szCs w:val="24"/>
        </w:rPr>
        <w:t xml:space="preserve"> of age</w:t>
      </w:r>
      <w:r w:rsidRPr="00135762">
        <w:rPr>
          <w:sz w:val="24"/>
          <w:szCs w:val="24"/>
        </w:rPr>
        <w:t>, can help in identifying those adolescents with increased risk for future complications</w:t>
      </w:r>
      <w:r w:rsidR="004B72AD" w:rsidRPr="00135762">
        <w:rPr>
          <w:sz w:val="24"/>
          <w:szCs w:val="24"/>
        </w:rPr>
        <w:fldChar w:fldCharType="begin" w:fldLock="1"/>
      </w:r>
      <w:r w:rsidR="00752474">
        <w:rPr>
          <w:sz w:val="24"/>
          <w:szCs w:val="24"/>
        </w:rPr>
        <w:instrText>ADDIN CSL_CITATION {"citationItems":[{"id":"ITEM-1","itemData":{"DOI":"10.2337/dc18-1125","ISSN":"0149-5992","PMID":"30026334","abstract":"OBJECTIVE Baseline data from the Adolescent Type 1 Diabetes Cardio-Renal Intervention Trial (AdDIT) indicated that tertiles of urinary albumin-to-creatinine ratios (ACRs) in the normal range at age 10-16 years are associated with risk markers for diabetic nephropathy (DN) and cardiovascular disease (CVD). We aimed to determine whether the top ACR tertile remained associated with DN and CVD risk over the 2-4-year AdDIT study. RESEARCH DESIGN AND METHODS One hundred fifty adolescents (mean age 14.1 years [SD 1.6]) with baseline ACR in the upper tertile (high-ACR group) recruited to the AdDIT trial, who remained untreated, and 396 (age 14.3 years [1.6]) with ACR in the middle and lower tertiles (low-ACR group), who completed the parallel AdDIT observational study, were evaluated prospectively with assessments of ACR and renal and CVD markers, combined with carotid intima-media thickness (cIMT) at baseline and end of study. RESULTS After a median follow-up of 3.9 years, the cumulative incidence of microalbuminuria was 16.3% in the high-ACR versus 5.5% in the low-ACR group (log-rank P &lt; 0.001). Cox models showed independent contributions of the high-ACR group (hazard ratio 4.29 [95% CI 2.08-8.85]) and HbA1c (1.37 [1.10-1.72]) to microalbuminuria risk. cIMT change from baseline was significantly greater in the high- versus low-ACR group (mean difference 0.010 mm [0.079], P = 0.006). Changes in estimated glomerular filtration rate, systolic blood pressure, and hs-CRP were also significantly greater in the high-ACR group (P &lt; 0.05). CONCLUSIONS ACR at the higher end of the normal range at the age of 10-16 years is associated with an increased risk of progression to microalbuminuria and future CVD risk, independently of HbA1c.","author":[{"dropping-particle":"","family":"Marcovecchio","given":"M. Loredana","non-dropping-particle":"","parse-names":false,"suffix":""},{"dropping-particle":"","family":"Chiesa","given":"Scott T.","non-dropping-particle":"","parse-names":false,"suffix":""},{"dropping-particle":"","family":"Armitage","given":"Jane","non-dropping-particle":"","parse-names":false,"suffix":""},{"dropping-particle":"","family":"Daneman","given":"Denis","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B.","non-dropping-particle":"","parse-names":false,"suffix":""},{"dropping-particle":"","family":"Adolescent Type 1 Diabetes Cardio-Renal Intervention Trial (AdDIT) Study Group","given":"","non-dropping-particle":"","parse-names":false,"suffix":""}],"container-title":"Diabetes Care","id":"ITEM-1","issue":"9","issued":{"date-parts":[["2018","9"]]},"page":"1963-1969","title":"Renal and Cardiovascular Risk According to Tertiles of Urinary Albumin-to-Creatinine Ratio: The Adolescent Type 1 Diabetes Cardio-Renal Intervention Trial (AdDIT)","type":"article-journal","volume":"41"},"uris":["http://www.mendeley.com/documents/?uuid=7af72299-c5cd-3a10-9d62-a860633aa94e"]}],"mendeley":{"formattedCitation":"&lt;sup&gt;69&lt;/sup&gt;","plainTextFormattedCitation":"69","previouslyFormattedCitation":"&lt;sup&gt;70&lt;/sup&gt;"},"properties":{"noteIndex":0},"schema":"https://github.com/citation-style-language/schema/raw/master/csl-citation.json"}</w:instrText>
      </w:r>
      <w:r w:rsidR="004B72AD" w:rsidRPr="00135762">
        <w:rPr>
          <w:sz w:val="24"/>
          <w:szCs w:val="24"/>
          <w:vertAlign w:val="superscript"/>
        </w:rPr>
        <w:fldChar w:fldCharType="separate"/>
      </w:r>
      <w:r w:rsidR="00752474" w:rsidRPr="00752474">
        <w:rPr>
          <w:noProof/>
          <w:sz w:val="24"/>
          <w:szCs w:val="24"/>
          <w:vertAlign w:val="superscript"/>
        </w:rPr>
        <w:t>69</w:t>
      </w:r>
      <w:r w:rsidR="004B72AD" w:rsidRPr="00135762">
        <w:rPr>
          <w:sz w:val="24"/>
          <w:szCs w:val="24"/>
        </w:rPr>
        <w:fldChar w:fldCharType="end"/>
      </w:r>
      <w:r w:rsidRPr="00135762">
        <w:rPr>
          <w:sz w:val="24"/>
          <w:szCs w:val="24"/>
        </w:rPr>
        <w:t>.</w:t>
      </w:r>
      <w:r w:rsidR="00F96BE4" w:rsidRPr="00135762">
        <w:rPr>
          <w:sz w:val="24"/>
          <w:szCs w:val="24"/>
        </w:rPr>
        <w:t xml:space="preserve"> </w:t>
      </w:r>
      <w:r w:rsidRPr="00135762">
        <w:rPr>
          <w:sz w:val="24"/>
          <w:szCs w:val="24"/>
        </w:rPr>
        <w:t>These data could be used alongside HbA</w:t>
      </w:r>
      <w:r w:rsidRPr="00135762">
        <w:rPr>
          <w:sz w:val="24"/>
          <w:szCs w:val="24"/>
          <w:vertAlign w:val="subscript"/>
        </w:rPr>
        <w:t>1c</w:t>
      </w:r>
      <w:r w:rsidRPr="00135762">
        <w:rPr>
          <w:sz w:val="24"/>
          <w:szCs w:val="24"/>
        </w:rPr>
        <w:t xml:space="preserve"> </w:t>
      </w:r>
      <w:r w:rsidR="007E5FA7" w:rsidRPr="00135762">
        <w:rPr>
          <w:sz w:val="24"/>
          <w:szCs w:val="24"/>
        </w:rPr>
        <w:t xml:space="preserve">levels </w:t>
      </w:r>
      <w:r w:rsidRPr="00135762">
        <w:rPr>
          <w:sz w:val="24"/>
          <w:szCs w:val="24"/>
        </w:rPr>
        <w:t xml:space="preserve">to determine </w:t>
      </w:r>
      <w:r w:rsidR="007E5FA7" w:rsidRPr="00135762">
        <w:rPr>
          <w:sz w:val="24"/>
          <w:szCs w:val="24"/>
        </w:rPr>
        <w:t xml:space="preserve">the </w:t>
      </w:r>
      <w:r w:rsidRPr="00135762">
        <w:rPr>
          <w:sz w:val="24"/>
          <w:szCs w:val="24"/>
        </w:rPr>
        <w:t>relative risk for complications, which could then be used to influence management.</w:t>
      </w:r>
      <w:r w:rsidR="00F96BE4" w:rsidRPr="00135762">
        <w:rPr>
          <w:sz w:val="24"/>
          <w:szCs w:val="24"/>
        </w:rPr>
        <w:t xml:space="preserve"> </w:t>
      </w:r>
      <w:r w:rsidR="007B5715">
        <w:rPr>
          <w:sz w:val="24"/>
          <w:szCs w:val="24"/>
        </w:rPr>
        <w:t>T</w:t>
      </w:r>
      <w:r w:rsidRPr="00135762">
        <w:rPr>
          <w:sz w:val="24"/>
          <w:szCs w:val="24"/>
        </w:rPr>
        <w:t xml:space="preserve">hose </w:t>
      </w:r>
      <w:r w:rsidR="00C6117D" w:rsidRPr="00135762">
        <w:rPr>
          <w:sz w:val="24"/>
          <w:szCs w:val="24"/>
        </w:rPr>
        <w:t xml:space="preserve">adolescents </w:t>
      </w:r>
      <w:r w:rsidRPr="00135762">
        <w:rPr>
          <w:sz w:val="24"/>
          <w:szCs w:val="24"/>
        </w:rPr>
        <w:t>with a rapid</w:t>
      </w:r>
      <w:r w:rsidR="00F7259D" w:rsidRPr="00135762">
        <w:rPr>
          <w:sz w:val="24"/>
          <w:szCs w:val="24"/>
        </w:rPr>
        <w:t>ly increasing ACR</w:t>
      </w:r>
      <w:r w:rsidR="00BC3245" w:rsidRPr="00135762">
        <w:rPr>
          <w:sz w:val="24"/>
          <w:szCs w:val="24"/>
        </w:rPr>
        <w:t xml:space="preserve"> </w:t>
      </w:r>
      <w:r w:rsidR="007E5FA7" w:rsidRPr="006C59DB">
        <w:rPr>
          <w:sz w:val="24"/>
          <w:szCs w:val="24"/>
        </w:rPr>
        <w:t xml:space="preserve">(defined </w:t>
      </w:r>
      <w:r w:rsidR="00BC3245" w:rsidRPr="006C59DB">
        <w:rPr>
          <w:sz w:val="24"/>
          <w:szCs w:val="24"/>
        </w:rPr>
        <w:t xml:space="preserve">as </w:t>
      </w:r>
      <w:r w:rsidR="007E5FA7" w:rsidRPr="006C59DB">
        <w:rPr>
          <w:sz w:val="24"/>
          <w:szCs w:val="24"/>
        </w:rPr>
        <w:t>three</w:t>
      </w:r>
      <w:r w:rsidR="00BC3245" w:rsidRPr="00135762">
        <w:rPr>
          <w:sz w:val="24"/>
          <w:szCs w:val="24"/>
        </w:rPr>
        <w:t xml:space="preserve"> consecutive ACR</w:t>
      </w:r>
      <w:r w:rsidR="007B5715">
        <w:rPr>
          <w:sz w:val="24"/>
          <w:szCs w:val="24"/>
        </w:rPr>
        <w:t xml:space="preserve"> </w:t>
      </w:r>
      <w:r w:rsidR="00F7259D" w:rsidRPr="00135762">
        <w:rPr>
          <w:sz w:val="24"/>
          <w:szCs w:val="24"/>
        </w:rPr>
        <w:t>and poor glyc</w:t>
      </w:r>
      <w:r w:rsidR="007E5FA7" w:rsidRPr="00135762">
        <w:rPr>
          <w:sz w:val="24"/>
          <w:szCs w:val="24"/>
        </w:rPr>
        <w:t>a</w:t>
      </w:r>
      <w:r w:rsidRPr="00135762">
        <w:rPr>
          <w:sz w:val="24"/>
          <w:szCs w:val="24"/>
        </w:rPr>
        <w:t>emic control would be the priority targets for intensive insulin therapy but also potentially for</w:t>
      </w:r>
      <w:r w:rsidR="007E5FA7" w:rsidRPr="00135762">
        <w:rPr>
          <w:sz w:val="24"/>
          <w:szCs w:val="24"/>
        </w:rPr>
        <w:t xml:space="preserve"> treatment with</w:t>
      </w:r>
      <w:r w:rsidRPr="00135762">
        <w:rPr>
          <w:sz w:val="24"/>
          <w:szCs w:val="24"/>
        </w:rPr>
        <w:t xml:space="preserve"> ACE inhibitor</w:t>
      </w:r>
      <w:r w:rsidR="007E5FA7" w:rsidRPr="00135762">
        <w:rPr>
          <w:sz w:val="24"/>
          <w:szCs w:val="24"/>
        </w:rPr>
        <w:t>s</w:t>
      </w:r>
      <w:r w:rsidRPr="00135762">
        <w:rPr>
          <w:sz w:val="24"/>
          <w:szCs w:val="24"/>
        </w:rPr>
        <w:t xml:space="preserve"> or </w:t>
      </w:r>
      <w:r w:rsidR="00F7259D" w:rsidRPr="00135762">
        <w:rPr>
          <w:sz w:val="24"/>
          <w:szCs w:val="24"/>
        </w:rPr>
        <w:t>angiotensin receptor blockers</w:t>
      </w:r>
      <w:r w:rsidR="007E5FA7" w:rsidRPr="00135762">
        <w:rPr>
          <w:sz w:val="24"/>
          <w:szCs w:val="24"/>
        </w:rPr>
        <w:t>.</w:t>
      </w:r>
      <w:r w:rsidR="00C6117D" w:rsidRPr="00135762">
        <w:rPr>
          <w:sz w:val="24"/>
          <w:szCs w:val="24"/>
        </w:rPr>
        <w:t xml:space="preserve"> </w:t>
      </w:r>
      <w:r w:rsidR="00A03259" w:rsidRPr="00135762">
        <w:rPr>
          <w:sz w:val="24"/>
          <w:szCs w:val="24"/>
        </w:rPr>
        <w:t>Data from the AdDIT trial have also provided support for the wider use of statins in young people (&gt;10 years of age) with T1DM in whom high lipid levels are detected. The studies provided reassuring safety data for this patient population, which are similar to those previously reported in children and adolescents with familial hypercholesterolemia</w:t>
      </w:r>
      <w:r w:rsidR="00A03259" w:rsidRPr="00135762">
        <w:rPr>
          <w:sz w:val="24"/>
          <w:szCs w:val="24"/>
        </w:rPr>
        <w:fldChar w:fldCharType="begin" w:fldLock="1"/>
      </w:r>
      <w:r w:rsidR="00752474">
        <w:rPr>
          <w:sz w:val="24"/>
          <w:szCs w:val="24"/>
        </w:rPr>
        <w:instrText>ADDIN CSL_CITATION {"citationItems":[{"id":"ITEM-1","itemData":{"DOI":"10.1002/14651858.CD006401.pub4","ISSN":"14651858","PMID":"28685504","abstract":"BACKGROUND Familial hypercholesterolemia is one of the most common inherited metabolic diseases and is an autosomal dominant disorder meaning heterozygotes, or carriers, are affected. Those who are homozygous have severe disease. The average worldwide prevalence of heterozygous familial hypercholesterolemia is at least 1 in 500, although recent genetic epidemiological data from Denmark and next generation sequencing data suggest the frequency may be closer to 1 in 250. Diagnosis of familial hypercholesterolemia in children is based on elevated total cholesterol and low-density lipoprotein cholesterol levels or DNA-based analysis, or both. Coronary atherosclerosis has been detected in men with heterozygous familial hypercholesterolemia as young as 17 years old and in women with heterozygous familial hypercholesterolemia at 25 years old. Since the clinical complications of atherosclerosis occur prematurely, especially in men, lifelong treatment, started in childhood, is needed to reduce the risk of cardiovascular disease. In children with the disease, diet was the cornerstone of treatment but the addition of lipid-lowering medications has resulted in a significant improvement in treatment. Anion exchange resins, such as cholestyramine and colestipol, were found to be effective, but they are poorly tolerated. Since the 1990s studies carried out on children aged 6 to 17 years with heterozygous familial hypercholesterolemia have demonstrated significant reductions in their serum total and low-density lipoprotein cholesterol levels. While statins seem to be safe and well-tolerated in children, their long-term safety in this age group is not firmly established. This is an update of a previously published version of this Cochane Review. OBJECTIVES To assess the effectiveness and safety of statins in children with heterozygous familial hypercholesterolemia. SEARCH METHODS Relevant studies were identified from the Group's Inborn Errors and Metabolism Trials Register and Medline.Date of most recent search: 20 February 2017. SELECTION CRITERIA Randomized and controlled clinical studies including participants up to 18 years old, comparing a statin to placebo or to diet alone. DATA COLLECTION AND ANALYSIS Two authors independently assessed studies for inclusion and extracted data. MAIN RESULTS We found 26 potentially eligible studies, of which we included nine randomized placebo-controlled studies (1177 participants). In general, the intervention and follow-up time w…","author":[{"dropping-particle":"","family":"Vuorio","given":"Alpo","non-dropping-particle":"","parse-names":false,"suffix":""},{"dropping-particle":"","family":"Kuoppala","given":"Jaana","non-dropping-particle":"","parse-names":false,"suffix":""},{"dropping-particle":"","family":"Kovanen","given":"Petri T","non-dropping-particle":"","parse-names":false,"suffix":""},{"dropping-particle":"","family":"Humphries","given":"Steve E","non-dropping-particle":"","parse-names":false,"suffix":""},{"dropping-particle":"","family":"Tonstad","given":"Serena","non-dropping-particle":"","parse-names":false,"suffix":""},{"dropping-particle":"","family":"Wiegman","given":"Albert","non-dropping-particle":"","parse-names":false,"suffix":""},{"dropping-particle":"","family":"Drogari","given":"Euridiki","non-dropping-particle":"","parse-names":false,"suffix":""},{"dropping-particle":"","family":"Ramaswami","given":"Uma","non-dropping-particle":"","parse-names":false,"suffix":""}],"container-title":"Cochrane Database of Systematic Reviews","id":"ITEM-1","issued":{"date-parts":[["2017","7","7"]]},"page":"CD006401","title":"Statins for children with familial hypercholesterolemia","type":"article-journal","volume":"7"},"uris":["http://www.mendeley.com/documents/?uuid=2284e5f7-b082-3bf7-9158-71039087ae27","http://www.mendeley.com/documents/?uuid=bb1e9d52-432d-4b71-8a44-81f3e586a813"]}],"mendeley":{"formattedCitation":"&lt;sup&gt;75&lt;/sup&gt;","plainTextFormattedCitation":"75","previouslyFormattedCitation":"&lt;sup&gt;76&lt;/sup&gt;"},"properties":{"noteIndex":0},"schema":"https://github.com/citation-style-language/schema/raw/master/csl-citation.json"}</w:instrText>
      </w:r>
      <w:r w:rsidR="00A03259" w:rsidRPr="00135762">
        <w:rPr>
          <w:sz w:val="24"/>
          <w:szCs w:val="24"/>
          <w:vertAlign w:val="superscript"/>
        </w:rPr>
        <w:fldChar w:fldCharType="separate"/>
      </w:r>
      <w:r w:rsidR="00752474" w:rsidRPr="00752474">
        <w:rPr>
          <w:noProof/>
          <w:sz w:val="24"/>
          <w:szCs w:val="24"/>
          <w:vertAlign w:val="superscript"/>
        </w:rPr>
        <w:t>75</w:t>
      </w:r>
      <w:r w:rsidR="00A03259" w:rsidRPr="00135762">
        <w:rPr>
          <w:sz w:val="24"/>
          <w:szCs w:val="24"/>
        </w:rPr>
        <w:fldChar w:fldCharType="end"/>
      </w:r>
      <w:r w:rsidR="00A03259" w:rsidRPr="00135762">
        <w:rPr>
          <w:sz w:val="24"/>
          <w:szCs w:val="24"/>
        </w:rPr>
        <w:t xml:space="preserve">. </w:t>
      </w:r>
      <w:r w:rsidR="007E5FA7" w:rsidRPr="00135762">
        <w:rPr>
          <w:sz w:val="24"/>
          <w:szCs w:val="24"/>
        </w:rPr>
        <w:t>Furthermore, these high risk young individuals might be</w:t>
      </w:r>
      <w:r w:rsidR="007B5715">
        <w:rPr>
          <w:b/>
          <w:color w:val="0000FF"/>
          <w:sz w:val="24"/>
          <w:szCs w:val="24"/>
        </w:rPr>
        <w:t xml:space="preserve"> </w:t>
      </w:r>
      <w:r w:rsidR="00C6117D" w:rsidRPr="00135762">
        <w:rPr>
          <w:sz w:val="24"/>
          <w:szCs w:val="24"/>
        </w:rPr>
        <w:t>potential candidates for new reno</w:t>
      </w:r>
      <w:r w:rsidR="00BC4042" w:rsidRPr="00135762">
        <w:rPr>
          <w:sz w:val="24"/>
          <w:szCs w:val="24"/>
        </w:rPr>
        <w:t>-</w:t>
      </w:r>
      <w:r w:rsidR="00C6117D" w:rsidRPr="00135762">
        <w:rPr>
          <w:sz w:val="24"/>
          <w:szCs w:val="24"/>
        </w:rPr>
        <w:t>protective drugs</w:t>
      </w:r>
      <w:r w:rsidR="00C6117D" w:rsidRPr="00135762">
        <w:rPr>
          <w:rFonts w:cstheme="minorHAnsi"/>
          <w:sz w:val="24"/>
          <w:szCs w:val="24"/>
        </w:rPr>
        <w:t xml:space="preserve">, such as </w:t>
      </w:r>
      <w:r w:rsidR="002F376D" w:rsidRPr="00135762">
        <w:rPr>
          <w:rFonts w:cstheme="minorHAnsi"/>
          <w:color w:val="222222"/>
          <w:sz w:val="24"/>
          <w:szCs w:val="24"/>
          <w:shd w:val="clear" w:color="auto" w:fill="FFFFFF"/>
        </w:rPr>
        <w:t>Sodium-glucose Cotransporter-2 </w:t>
      </w:r>
      <w:r w:rsidR="00C6117D" w:rsidRPr="00135762">
        <w:rPr>
          <w:rFonts w:cstheme="minorHAnsi"/>
          <w:sz w:val="24"/>
          <w:szCs w:val="24"/>
        </w:rPr>
        <w:t xml:space="preserve"> inhibitors, which have shown promising r</w:t>
      </w:r>
      <w:r w:rsidR="00C6117D" w:rsidRPr="00135762">
        <w:rPr>
          <w:sz w:val="24"/>
          <w:szCs w:val="24"/>
        </w:rPr>
        <w:t>esults in terms of cardio-renal outcomes in adults with diabetes</w:t>
      </w:r>
      <w:r w:rsidR="00C80C82" w:rsidRPr="00135762">
        <w:rPr>
          <w:sz w:val="24"/>
          <w:szCs w:val="24"/>
        </w:rPr>
        <w:fldChar w:fldCharType="begin" w:fldLock="1"/>
      </w:r>
      <w:r w:rsidR="00752474">
        <w:rPr>
          <w:sz w:val="24"/>
          <w:szCs w:val="24"/>
        </w:rPr>
        <w:instrText>ADDIN CSL_CITATION {"citationItems":[{"id":"ITEM-1","itemData":{"DOI":"10.1007/s10157-018-1673-0","ISSN":"1342-1751","PMID":"30478731","abstract":"This communication provides a current overview on the renal protective effects of sodium-glucose cotransporter 2 (SGLT2) inhibitors in diabetics. Following the epoch-making publications, the CANVAS Program and the EMPA-REG OUTCOME trial, numerous literature has discussed the mechanisms by which SGLT2 inhibition exerts its cardio-renal protective effects. Some of them reached agreement, while others did not. This review focuses on the hemodynamic aspect and the remaining potential factors relevant to the renal protection which have not been so much taken up by other review papers. Questions unanswered include factors of uric acid, lipids, erythropoiesis and oxidative stress, salt and sympathetic nerve, and the Na-H exchanger in heart and kidney.","author":[{"dropping-particle":"","family":"Kuriyama","given":"Satoru","non-dropping-particle":"","parse-names":false,"suffix":""}],"container-title":"Clinical and Experimental Nephrology","id":"ITEM-1","issued":{"date-parts":[["2018","11","26"]]},"title":"Protection of the kidney with sodium–glucose cotransporter 2 inhibitors: potential mechanisms raised by the large-scaled randomized control trials","type":"article-journal"},"uris":["http://www.mendeley.com/documents/?uuid=eaef6335-86f7-38ff-8a55-a7248b7b2541"]}],"mendeley":{"formattedCitation":"&lt;sup&gt;76&lt;/sup&gt;","plainTextFormattedCitation":"76","previouslyFormattedCitation":"&lt;sup&gt;77&lt;/sup&gt;"},"properties":{"noteIndex":0},"schema":"https://github.com/citation-style-language/schema/raw/master/csl-citation.json"}</w:instrText>
      </w:r>
      <w:r w:rsidR="00C80C82" w:rsidRPr="00135762">
        <w:rPr>
          <w:sz w:val="24"/>
          <w:szCs w:val="24"/>
          <w:vertAlign w:val="superscript"/>
        </w:rPr>
        <w:fldChar w:fldCharType="separate"/>
      </w:r>
      <w:r w:rsidR="00752474" w:rsidRPr="00752474">
        <w:rPr>
          <w:noProof/>
          <w:sz w:val="24"/>
          <w:szCs w:val="24"/>
          <w:vertAlign w:val="superscript"/>
        </w:rPr>
        <w:t>76</w:t>
      </w:r>
      <w:r w:rsidR="00C80C82" w:rsidRPr="00135762">
        <w:rPr>
          <w:sz w:val="24"/>
          <w:szCs w:val="24"/>
        </w:rPr>
        <w:fldChar w:fldCharType="end"/>
      </w:r>
      <w:r w:rsidR="00C80C82" w:rsidRPr="00135762">
        <w:rPr>
          <w:sz w:val="24"/>
          <w:szCs w:val="24"/>
        </w:rPr>
        <w:t>.</w:t>
      </w:r>
    </w:p>
    <w:p w14:paraId="2E1C9C1D" w14:textId="77777777" w:rsidR="005659A0" w:rsidRPr="00135762" w:rsidRDefault="005659A0" w:rsidP="00E845A9">
      <w:pPr>
        <w:spacing w:after="0" w:line="360" w:lineRule="auto"/>
        <w:rPr>
          <w:sz w:val="24"/>
          <w:szCs w:val="24"/>
        </w:rPr>
      </w:pPr>
    </w:p>
    <w:p w14:paraId="5C6115FE" w14:textId="1308FF28" w:rsidR="00E845A9" w:rsidRPr="00135762" w:rsidRDefault="00C205A0" w:rsidP="00FD3189">
      <w:pPr>
        <w:spacing w:after="0" w:line="360" w:lineRule="auto"/>
        <w:rPr>
          <w:sz w:val="24"/>
          <w:szCs w:val="24"/>
        </w:rPr>
      </w:pPr>
      <w:r w:rsidRPr="00135762">
        <w:rPr>
          <w:sz w:val="24"/>
          <w:szCs w:val="24"/>
        </w:rPr>
        <w:t xml:space="preserve">We plan further analyses of the large AdDIT dataset to refine the ACR-based </w:t>
      </w:r>
      <w:r w:rsidR="00BC4042" w:rsidRPr="00135762">
        <w:rPr>
          <w:sz w:val="24"/>
          <w:szCs w:val="24"/>
        </w:rPr>
        <w:t xml:space="preserve">algorithm for the identification of adolescents </w:t>
      </w:r>
      <w:r w:rsidR="00CF5BF1" w:rsidRPr="00135762">
        <w:rPr>
          <w:sz w:val="24"/>
          <w:szCs w:val="24"/>
        </w:rPr>
        <w:t xml:space="preserve">who are </w:t>
      </w:r>
      <w:r w:rsidR="00BC4042" w:rsidRPr="00135762">
        <w:rPr>
          <w:sz w:val="24"/>
          <w:szCs w:val="24"/>
        </w:rPr>
        <w:t xml:space="preserve">at higher risk of </w:t>
      </w:r>
      <w:r w:rsidR="00405BC7" w:rsidRPr="00135762">
        <w:rPr>
          <w:rFonts w:cs="Tahoma"/>
          <w:sz w:val="24"/>
          <w:szCs w:val="24"/>
        </w:rPr>
        <w:t>renal, retinal and cardiovascular</w:t>
      </w:r>
      <w:r w:rsidR="00BC4042" w:rsidRPr="00135762">
        <w:rPr>
          <w:rFonts w:cs="Tahoma"/>
          <w:sz w:val="24"/>
          <w:szCs w:val="24"/>
        </w:rPr>
        <w:t xml:space="preserve"> outcomes</w:t>
      </w:r>
      <w:r w:rsidR="00CF5BF1" w:rsidRPr="00135762">
        <w:rPr>
          <w:rFonts w:cs="Tahoma"/>
          <w:sz w:val="24"/>
          <w:szCs w:val="24"/>
        </w:rPr>
        <w:t>.</w:t>
      </w:r>
      <w:r w:rsidR="00BC4042" w:rsidRPr="00135762">
        <w:rPr>
          <w:rFonts w:cs="Tahoma"/>
          <w:sz w:val="24"/>
          <w:szCs w:val="24"/>
        </w:rPr>
        <w:t xml:space="preserve"> </w:t>
      </w:r>
      <w:r w:rsidR="00CF5BF1" w:rsidRPr="00135762">
        <w:rPr>
          <w:rFonts w:cs="Tahoma"/>
          <w:sz w:val="24"/>
          <w:szCs w:val="24"/>
        </w:rPr>
        <w:t>We will</w:t>
      </w:r>
      <w:r w:rsidRPr="00135762">
        <w:rPr>
          <w:sz w:val="24"/>
          <w:szCs w:val="24"/>
        </w:rPr>
        <w:t xml:space="preserve"> </w:t>
      </w:r>
      <w:r w:rsidR="00BC4042" w:rsidRPr="00135762">
        <w:rPr>
          <w:sz w:val="24"/>
          <w:szCs w:val="24"/>
        </w:rPr>
        <w:t>explor</w:t>
      </w:r>
      <w:r w:rsidR="00CF5BF1" w:rsidRPr="00135762">
        <w:rPr>
          <w:sz w:val="24"/>
          <w:szCs w:val="24"/>
        </w:rPr>
        <w:t>e</w:t>
      </w:r>
      <w:r w:rsidRPr="00135762">
        <w:rPr>
          <w:sz w:val="24"/>
          <w:szCs w:val="24"/>
        </w:rPr>
        <w:t xml:space="preserve"> interaction</w:t>
      </w:r>
      <w:r w:rsidR="00CF5BF1" w:rsidRPr="00135762">
        <w:rPr>
          <w:sz w:val="24"/>
          <w:szCs w:val="24"/>
        </w:rPr>
        <w:t>s</w:t>
      </w:r>
      <w:r w:rsidRPr="00135762">
        <w:rPr>
          <w:sz w:val="24"/>
          <w:szCs w:val="24"/>
        </w:rPr>
        <w:t xml:space="preserve"> </w:t>
      </w:r>
      <w:r w:rsidR="00CF5BF1" w:rsidRPr="00135762">
        <w:rPr>
          <w:sz w:val="24"/>
          <w:szCs w:val="24"/>
        </w:rPr>
        <w:t>between</w:t>
      </w:r>
      <w:r w:rsidRPr="00135762">
        <w:rPr>
          <w:sz w:val="24"/>
          <w:szCs w:val="24"/>
        </w:rPr>
        <w:t xml:space="preserve"> HbA</w:t>
      </w:r>
      <w:r w:rsidRPr="00135762">
        <w:rPr>
          <w:sz w:val="24"/>
          <w:szCs w:val="24"/>
          <w:vertAlign w:val="subscript"/>
        </w:rPr>
        <w:t>1c</w:t>
      </w:r>
      <w:r w:rsidRPr="00135762">
        <w:rPr>
          <w:sz w:val="24"/>
          <w:szCs w:val="24"/>
        </w:rPr>
        <w:t xml:space="preserve"> and other </w:t>
      </w:r>
      <w:r w:rsidR="00CF5BF1" w:rsidRPr="00135762">
        <w:rPr>
          <w:sz w:val="24"/>
          <w:szCs w:val="24"/>
        </w:rPr>
        <w:t>bio</w:t>
      </w:r>
      <w:r w:rsidRPr="00135762">
        <w:rPr>
          <w:sz w:val="24"/>
          <w:szCs w:val="24"/>
        </w:rPr>
        <w:t xml:space="preserve">markers, such as lipids, blood pressure, BMI, </w:t>
      </w:r>
      <w:r w:rsidR="002F376D" w:rsidRPr="00135762">
        <w:rPr>
          <w:sz w:val="24"/>
          <w:szCs w:val="24"/>
        </w:rPr>
        <w:t>glomerular filtration rate</w:t>
      </w:r>
      <w:r w:rsidR="00405BC7" w:rsidRPr="00135762">
        <w:rPr>
          <w:sz w:val="24"/>
          <w:szCs w:val="24"/>
        </w:rPr>
        <w:t xml:space="preserve">, inflammatory markers and new biomarkers emerging from ongoing </w:t>
      </w:r>
      <w:r w:rsidR="00BC4042" w:rsidRPr="00135762">
        <w:rPr>
          <w:sz w:val="24"/>
          <w:szCs w:val="24"/>
        </w:rPr>
        <w:t xml:space="preserve">‘omics’ </w:t>
      </w:r>
      <w:r w:rsidR="00405BC7" w:rsidRPr="00135762">
        <w:rPr>
          <w:sz w:val="24"/>
          <w:szCs w:val="24"/>
        </w:rPr>
        <w:t>studies</w:t>
      </w:r>
      <w:r w:rsidR="00BC4042" w:rsidRPr="00135762">
        <w:rPr>
          <w:sz w:val="24"/>
          <w:szCs w:val="24"/>
        </w:rPr>
        <w:t>.</w:t>
      </w:r>
      <w:r w:rsidR="00F96BE4" w:rsidRPr="00135762">
        <w:rPr>
          <w:sz w:val="24"/>
          <w:szCs w:val="24"/>
        </w:rPr>
        <w:t xml:space="preserve"> </w:t>
      </w:r>
      <w:r w:rsidR="00E845A9" w:rsidRPr="00135762">
        <w:rPr>
          <w:sz w:val="24"/>
          <w:szCs w:val="24"/>
        </w:rPr>
        <w:t xml:space="preserve">Further follow up of the AdDIT cohort </w:t>
      </w:r>
      <w:r w:rsidR="00BC4042" w:rsidRPr="00135762">
        <w:rPr>
          <w:sz w:val="24"/>
          <w:szCs w:val="24"/>
        </w:rPr>
        <w:t xml:space="preserve">during adult life </w:t>
      </w:r>
      <w:r w:rsidR="00E845A9" w:rsidRPr="00135762">
        <w:rPr>
          <w:sz w:val="24"/>
          <w:szCs w:val="24"/>
        </w:rPr>
        <w:t xml:space="preserve">will also provide valuable information on </w:t>
      </w:r>
      <w:r w:rsidR="00611D33" w:rsidRPr="00135762">
        <w:rPr>
          <w:sz w:val="24"/>
          <w:szCs w:val="24"/>
        </w:rPr>
        <w:t xml:space="preserve">the </w:t>
      </w:r>
      <w:r w:rsidR="00E845A9" w:rsidRPr="00135762">
        <w:rPr>
          <w:sz w:val="24"/>
          <w:szCs w:val="24"/>
        </w:rPr>
        <w:t xml:space="preserve">rates of long-term complications and hard endpoints and how </w:t>
      </w:r>
      <w:r w:rsidR="00611D33" w:rsidRPr="00135762">
        <w:rPr>
          <w:sz w:val="24"/>
          <w:szCs w:val="24"/>
        </w:rPr>
        <w:t xml:space="preserve">these outcomes might by influenced by </w:t>
      </w:r>
      <w:r w:rsidR="00E845A9" w:rsidRPr="00135762">
        <w:rPr>
          <w:sz w:val="24"/>
          <w:szCs w:val="24"/>
        </w:rPr>
        <w:t>early intervention</w:t>
      </w:r>
      <w:r w:rsidR="002F376D" w:rsidRPr="00135762">
        <w:rPr>
          <w:sz w:val="24"/>
          <w:szCs w:val="24"/>
        </w:rPr>
        <w:t>s</w:t>
      </w:r>
      <w:r w:rsidR="00E845A9" w:rsidRPr="00135762">
        <w:rPr>
          <w:sz w:val="24"/>
          <w:szCs w:val="24"/>
        </w:rPr>
        <w:t xml:space="preserve"> during the critical pubertal years. </w:t>
      </w:r>
      <w:r w:rsidR="00E845A9" w:rsidRPr="00135762">
        <w:rPr>
          <w:rFonts w:ascii="Calibri" w:hAnsi="Calibri"/>
          <w:sz w:val="24"/>
          <w:szCs w:val="24"/>
        </w:rPr>
        <w:t>Even small reductions in HbA</w:t>
      </w:r>
      <w:r w:rsidR="00E845A9" w:rsidRPr="00135762">
        <w:rPr>
          <w:rFonts w:ascii="Calibri" w:hAnsi="Calibri"/>
          <w:sz w:val="24"/>
          <w:szCs w:val="24"/>
          <w:vertAlign w:val="subscript"/>
        </w:rPr>
        <w:t>1c</w:t>
      </w:r>
      <w:r w:rsidR="00E845A9" w:rsidRPr="00135762">
        <w:rPr>
          <w:rFonts w:ascii="Calibri" w:hAnsi="Calibri"/>
          <w:sz w:val="24"/>
          <w:szCs w:val="24"/>
        </w:rPr>
        <w:t xml:space="preserve">, blood pressure, lipid levels, </w:t>
      </w:r>
      <w:r w:rsidR="00E845A9" w:rsidRPr="00135762">
        <w:rPr>
          <w:rFonts w:ascii="Calibri" w:hAnsi="Calibri"/>
          <w:sz w:val="24"/>
          <w:szCs w:val="24"/>
        </w:rPr>
        <w:lastRenderedPageBreak/>
        <w:t xml:space="preserve">inflammatory markers and </w:t>
      </w:r>
      <w:r w:rsidR="00611D33" w:rsidRPr="00135762">
        <w:rPr>
          <w:rFonts w:ascii="Calibri" w:hAnsi="Calibri"/>
          <w:sz w:val="24"/>
          <w:szCs w:val="24"/>
        </w:rPr>
        <w:t xml:space="preserve">the </w:t>
      </w:r>
      <w:r w:rsidR="00E845A9" w:rsidRPr="00135762">
        <w:rPr>
          <w:rFonts w:ascii="Calibri" w:hAnsi="Calibri"/>
          <w:sz w:val="24"/>
          <w:szCs w:val="24"/>
        </w:rPr>
        <w:t xml:space="preserve">rate of microalbuminuria during the AdDIT trial period could lead to longer-term cardio-renal protection. </w:t>
      </w:r>
    </w:p>
    <w:p w14:paraId="66FDF356" w14:textId="4CF8FF38" w:rsidR="00E845A9" w:rsidRPr="00135762" w:rsidRDefault="00E845A9" w:rsidP="00FD3189">
      <w:pPr>
        <w:spacing w:after="0" w:line="360" w:lineRule="auto"/>
        <w:rPr>
          <w:sz w:val="24"/>
          <w:szCs w:val="24"/>
        </w:rPr>
      </w:pPr>
    </w:p>
    <w:p w14:paraId="26D576E3" w14:textId="4D9D74E6" w:rsidR="00DE61A6" w:rsidRPr="00135762" w:rsidRDefault="005844AF" w:rsidP="00705114">
      <w:pPr>
        <w:spacing w:line="360" w:lineRule="auto"/>
        <w:rPr>
          <w:rFonts w:ascii="Arial" w:hAnsi="Arial" w:cs="Arial"/>
          <w:color w:val="000000"/>
          <w:sz w:val="24"/>
          <w:shd w:val="clear" w:color="auto" w:fill="FFFFFF"/>
        </w:rPr>
      </w:pPr>
      <w:r w:rsidRPr="00135762">
        <w:rPr>
          <w:b/>
          <w:sz w:val="24"/>
        </w:rPr>
        <w:t>Conclusions</w:t>
      </w:r>
    </w:p>
    <w:p w14:paraId="034A5400" w14:textId="72BB5376" w:rsidR="00E50F82" w:rsidRPr="00135762" w:rsidRDefault="004851D0" w:rsidP="001E31C9">
      <w:pPr>
        <w:spacing w:after="0" w:line="360" w:lineRule="auto"/>
        <w:rPr>
          <w:rFonts w:cstheme="minorHAnsi"/>
          <w:sz w:val="24"/>
          <w:szCs w:val="24"/>
        </w:rPr>
      </w:pPr>
      <w:r w:rsidRPr="00135762">
        <w:rPr>
          <w:rFonts w:cstheme="minorHAnsi"/>
          <w:sz w:val="24"/>
          <w:szCs w:val="24"/>
        </w:rPr>
        <w:t xml:space="preserve">Data from historical cohorts </w:t>
      </w:r>
      <w:r w:rsidR="003E18E0" w:rsidRPr="00135762">
        <w:rPr>
          <w:rFonts w:cstheme="minorHAnsi"/>
          <w:sz w:val="24"/>
          <w:szCs w:val="24"/>
        </w:rPr>
        <w:t xml:space="preserve">of </w:t>
      </w:r>
      <w:r w:rsidR="002F376D" w:rsidRPr="00135762">
        <w:rPr>
          <w:rFonts w:cstheme="minorHAnsi"/>
          <w:sz w:val="24"/>
          <w:szCs w:val="24"/>
        </w:rPr>
        <w:t>children and adolescents with</w:t>
      </w:r>
      <w:r w:rsidR="003E18E0" w:rsidRPr="00135762">
        <w:rPr>
          <w:rFonts w:cstheme="minorHAnsi"/>
          <w:sz w:val="24"/>
          <w:szCs w:val="24"/>
        </w:rPr>
        <w:t xml:space="preserve"> </w:t>
      </w:r>
      <w:r w:rsidR="00611D33" w:rsidRPr="00135762">
        <w:rPr>
          <w:rFonts w:cstheme="minorHAnsi"/>
          <w:sz w:val="24"/>
          <w:szCs w:val="24"/>
        </w:rPr>
        <w:t>T1DM</w:t>
      </w:r>
      <w:r w:rsidR="003E18E0" w:rsidRPr="00135762">
        <w:rPr>
          <w:rFonts w:cstheme="minorHAnsi"/>
          <w:sz w:val="24"/>
          <w:szCs w:val="24"/>
        </w:rPr>
        <w:t xml:space="preserve"> </w:t>
      </w:r>
      <w:r w:rsidRPr="00135762">
        <w:rPr>
          <w:rFonts w:cstheme="minorHAnsi"/>
          <w:sz w:val="24"/>
          <w:szCs w:val="24"/>
        </w:rPr>
        <w:t xml:space="preserve">and the more recent AdDIT </w:t>
      </w:r>
      <w:r w:rsidR="00DB706B" w:rsidRPr="00135762">
        <w:rPr>
          <w:rFonts w:cstheme="minorHAnsi"/>
          <w:sz w:val="24"/>
          <w:szCs w:val="24"/>
        </w:rPr>
        <w:t xml:space="preserve">cohort </w:t>
      </w:r>
      <w:r w:rsidRPr="00135762">
        <w:rPr>
          <w:rFonts w:cstheme="minorHAnsi"/>
          <w:sz w:val="24"/>
          <w:szCs w:val="24"/>
        </w:rPr>
        <w:t>provide evidence that variation in urinary albumin excretion</w:t>
      </w:r>
      <w:r w:rsidR="00242087" w:rsidRPr="00135762">
        <w:rPr>
          <w:rFonts w:cstheme="minorHAnsi"/>
          <w:sz w:val="24"/>
          <w:szCs w:val="24"/>
        </w:rPr>
        <w:t>,</w:t>
      </w:r>
      <w:r w:rsidRPr="00135762">
        <w:rPr>
          <w:rFonts w:cstheme="minorHAnsi"/>
          <w:sz w:val="24"/>
          <w:szCs w:val="24"/>
        </w:rPr>
        <w:t xml:space="preserve"> </w:t>
      </w:r>
      <w:r w:rsidR="00611D33" w:rsidRPr="00135762">
        <w:rPr>
          <w:rFonts w:cstheme="minorHAnsi"/>
          <w:sz w:val="24"/>
          <w:szCs w:val="24"/>
        </w:rPr>
        <w:t>in patients aged</w:t>
      </w:r>
      <w:r w:rsidRPr="00135762">
        <w:rPr>
          <w:rFonts w:cstheme="minorHAnsi"/>
          <w:sz w:val="24"/>
          <w:szCs w:val="24"/>
        </w:rPr>
        <w:t xml:space="preserve"> 10</w:t>
      </w:r>
      <w:r w:rsidR="00611D33" w:rsidRPr="00135762">
        <w:rPr>
          <w:rFonts w:cstheme="minorHAnsi"/>
          <w:sz w:val="24"/>
          <w:szCs w:val="24"/>
        </w:rPr>
        <w:t>–</w:t>
      </w:r>
      <w:r w:rsidRPr="00135762">
        <w:rPr>
          <w:rFonts w:cstheme="minorHAnsi"/>
          <w:sz w:val="24"/>
          <w:szCs w:val="24"/>
        </w:rPr>
        <w:t>16 years</w:t>
      </w:r>
      <w:r w:rsidR="00242087" w:rsidRPr="00135762">
        <w:rPr>
          <w:rFonts w:cstheme="minorHAnsi"/>
          <w:sz w:val="24"/>
          <w:szCs w:val="24"/>
        </w:rPr>
        <w:t>,</w:t>
      </w:r>
      <w:r w:rsidRPr="00135762">
        <w:rPr>
          <w:rFonts w:cstheme="minorHAnsi"/>
          <w:sz w:val="24"/>
          <w:szCs w:val="24"/>
        </w:rPr>
        <w:t xml:space="preserve"> can predict future risk</w:t>
      </w:r>
      <w:r w:rsidR="00DB706B" w:rsidRPr="00135762">
        <w:rPr>
          <w:rFonts w:cstheme="minorHAnsi"/>
          <w:sz w:val="24"/>
          <w:szCs w:val="24"/>
        </w:rPr>
        <w:t xml:space="preserve"> for vascular complications</w:t>
      </w:r>
      <w:r w:rsidR="00611D33" w:rsidRPr="00135762">
        <w:rPr>
          <w:rFonts w:cstheme="minorHAnsi"/>
          <w:sz w:val="24"/>
          <w:szCs w:val="24"/>
        </w:rPr>
        <w:t>.</w:t>
      </w:r>
      <w:r w:rsidRPr="00135762">
        <w:rPr>
          <w:rFonts w:cstheme="minorHAnsi"/>
          <w:sz w:val="24"/>
          <w:szCs w:val="24"/>
        </w:rPr>
        <w:t xml:space="preserve"> </w:t>
      </w:r>
      <w:r w:rsidR="00611D33" w:rsidRPr="00135762">
        <w:rPr>
          <w:rFonts w:cstheme="minorHAnsi"/>
          <w:sz w:val="24"/>
          <w:szCs w:val="24"/>
        </w:rPr>
        <w:t xml:space="preserve">These findings </w:t>
      </w:r>
      <w:r w:rsidRPr="00135762">
        <w:rPr>
          <w:rFonts w:cstheme="minorHAnsi"/>
          <w:sz w:val="24"/>
          <w:szCs w:val="24"/>
        </w:rPr>
        <w:t>support the concept that risk stratification using ACR during early adolescence m</w:t>
      </w:r>
      <w:r w:rsidR="00611D33" w:rsidRPr="00135762">
        <w:rPr>
          <w:rFonts w:cstheme="minorHAnsi"/>
          <w:sz w:val="24"/>
          <w:szCs w:val="24"/>
        </w:rPr>
        <w:t>ight</w:t>
      </w:r>
      <w:r w:rsidRPr="00135762">
        <w:rPr>
          <w:rFonts w:cstheme="minorHAnsi"/>
          <w:sz w:val="24"/>
          <w:szCs w:val="24"/>
        </w:rPr>
        <w:t xml:space="preserve"> be critical for the early identification of patients </w:t>
      </w:r>
      <w:r w:rsidR="00611D33" w:rsidRPr="00135762">
        <w:rPr>
          <w:rFonts w:cstheme="minorHAnsi"/>
          <w:sz w:val="24"/>
          <w:szCs w:val="24"/>
        </w:rPr>
        <w:t xml:space="preserve">who are </w:t>
      </w:r>
      <w:r w:rsidRPr="00135762">
        <w:rPr>
          <w:rFonts w:cstheme="minorHAnsi"/>
          <w:sz w:val="24"/>
          <w:szCs w:val="24"/>
        </w:rPr>
        <w:t>at risk of developing renal</w:t>
      </w:r>
      <w:r w:rsidR="00DB706B" w:rsidRPr="00135762">
        <w:rPr>
          <w:rFonts w:cstheme="minorHAnsi"/>
          <w:sz w:val="24"/>
          <w:szCs w:val="24"/>
        </w:rPr>
        <w:t>, retinal</w:t>
      </w:r>
      <w:r w:rsidRPr="00135762">
        <w:rPr>
          <w:rFonts w:cstheme="minorHAnsi"/>
          <w:sz w:val="24"/>
          <w:szCs w:val="24"/>
        </w:rPr>
        <w:t xml:space="preserve"> and cardiovascular complications.</w:t>
      </w:r>
    </w:p>
    <w:p w14:paraId="3271FCB1" w14:textId="77777777" w:rsidR="005659A0" w:rsidRPr="00135762" w:rsidRDefault="005659A0" w:rsidP="00696CFE">
      <w:pPr>
        <w:pStyle w:val="Title1"/>
        <w:shd w:val="clear" w:color="auto" w:fill="FFFFFF"/>
        <w:spacing w:before="0" w:beforeAutospacing="0" w:after="0" w:afterAutospacing="0" w:line="360" w:lineRule="auto"/>
        <w:rPr>
          <w:rFonts w:asciiTheme="minorHAnsi" w:hAnsiTheme="minorHAnsi" w:cstheme="minorHAnsi"/>
        </w:rPr>
      </w:pPr>
    </w:p>
    <w:p w14:paraId="6E331D07" w14:textId="1D9F9689" w:rsidR="000C02A0" w:rsidRPr="00135762" w:rsidRDefault="00DE61A6" w:rsidP="00696CFE">
      <w:pPr>
        <w:pStyle w:val="Title1"/>
        <w:shd w:val="clear" w:color="auto" w:fill="FFFFFF"/>
        <w:spacing w:before="0" w:beforeAutospacing="0" w:after="0" w:afterAutospacing="0" w:line="360" w:lineRule="auto"/>
        <w:rPr>
          <w:rFonts w:asciiTheme="minorHAnsi" w:hAnsiTheme="minorHAnsi" w:cstheme="minorHAnsi"/>
        </w:rPr>
      </w:pPr>
      <w:r w:rsidRPr="00135762">
        <w:rPr>
          <w:rFonts w:asciiTheme="minorHAnsi" w:hAnsiTheme="minorHAnsi" w:cstheme="minorHAnsi"/>
        </w:rPr>
        <w:t>In our opinion</w:t>
      </w:r>
      <w:r w:rsidR="00611D33" w:rsidRPr="00135762">
        <w:rPr>
          <w:rFonts w:asciiTheme="minorHAnsi" w:hAnsiTheme="minorHAnsi" w:cstheme="minorHAnsi"/>
        </w:rPr>
        <w:t>,</w:t>
      </w:r>
      <w:r w:rsidRPr="00135762">
        <w:rPr>
          <w:rFonts w:asciiTheme="minorHAnsi" w:hAnsiTheme="minorHAnsi" w:cstheme="minorHAnsi"/>
        </w:rPr>
        <w:t xml:space="preserve"> detailed assessment and tracking of ACR</w:t>
      </w:r>
      <w:r w:rsidR="00EE447D" w:rsidRPr="00135762">
        <w:rPr>
          <w:rFonts w:asciiTheme="minorHAnsi" w:hAnsiTheme="minorHAnsi" w:cstheme="minorHAnsi"/>
        </w:rPr>
        <w:t xml:space="preserve">, </w:t>
      </w:r>
      <w:r w:rsidR="00611D33" w:rsidRPr="00135762">
        <w:rPr>
          <w:rFonts w:asciiTheme="minorHAnsi" w:hAnsiTheme="minorHAnsi" w:cstheme="minorHAnsi"/>
        </w:rPr>
        <w:t xml:space="preserve">considered </w:t>
      </w:r>
      <w:r w:rsidR="00EE447D" w:rsidRPr="00135762">
        <w:rPr>
          <w:rFonts w:asciiTheme="minorHAnsi" w:hAnsiTheme="minorHAnsi" w:cstheme="minorHAnsi"/>
        </w:rPr>
        <w:t xml:space="preserve">together with </w:t>
      </w:r>
      <w:r w:rsidR="00CB058F" w:rsidRPr="00135762">
        <w:rPr>
          <w:rFonts w:asciiTheme="minorHAnsi" w:hAnsiTheme="minorHAnsi" w:cstheme="minorHAnsi"/>
        </w:rPr>
        <w:t xml:space="preserve">other </w:t>
      </w:r>
      <w:r w:rsidR="00EE447D" w:rsidRPr="00135762">
        <w:rPr>
          <w:rFonts w:asciiTheme="minorHAnsi" w:hAnsiTheme="minorHAnsi" w:cstheme="minorHAnsi"/>
        </w:rPr>
        <w:t>risk factors</w:t>
      </w:r>
      <w:r w:rsidRPr="00135762">
        <w:rPr>
          <w:rFonts w:asciiTheme="minorHAnsi" w:hAnsiTheme="minorHAnsi" w:cstheme="minorHAnsi"/>
        </w:rPr>
        <w:t xml:space="preserve"> during adolescen</w:t>
      </w:r>
      <w:r w:rsidR="003E18E0" w:rsidRPr="00135762">
        <w:rPr>
          <w:rFonts w:asciiTheme="minorHAnsi" w:hAnsiTheme="minorHAnsi" w:cstheme="minorHAnsi"/>
        </w:rPr>
        <w:t>ce</w:t>
      </w:r>
      <w:r w:rsidRPr="00135762">
        <w:rPr>
          <w:rFonts w:asciiTheme="minorHAnsi" w:hAnsiTheme="minorHAnsi" w:cstheme="minorHAnsi"/>
        </w:rPr>
        <w:t xml:space="preserve"> could be used</w:t>
      </w:r>
      <w:r w:rsidRPr="00135762">
        <w:rPr>
          <w:rFonts w:asciiTheme="minorHAnsi" w:hAnsiTheme="minorHAnsi" w:cstheme="minorHAnsi"/>
          <w:color w:val="000000"/>
          <w:shd w:val="clear" w:color="auto" w:fill="FFFFFF"/>
        </w:rPr>
        <w:t xml:space="preserve"> in </w:t>
      </w:r>
      <w:r w:rsidR="003E18E0" w:rsidRPr="00135762">
        <w:rPr>
          <w:rFonts w:asciiTheme="minorHAnsi" w:hAnsiTheme="minorHAnsi" w:cstheme="minorHAnsi"/>
          <w:color w:val="000000"/>
          <w:shd w:val="clear" w:color="auto" w:fill="FFFFFF"/>
        </w:rPr>
        <w:t>addition to HbA</w:t>
      </w:r>
      <w:r w:rsidR="003E18E0" w:rsidRPr="00135762">
        <w:rPr>
          <w:rFonts w:asciiTheme="minorHAnsi" w:hAnsiTheme="minorHAnsi" w:cstheme="minorHAnsi"/>
          <w:color w:val="000000"/>
          <w:shd w:val="clear" w:color="auto" w:fill="FFFFFF"/>
          <w:vertAlign w:val="subscript"/>
        </w:rPr>
        <w:t>1c</w:t>
      </w:r>
      <w:r w:rsidRPr="00135762">
        <w:rPr>
          <w:rFonts w:asciiTheme="minorHAnsi" w:hAnsiTheme="minorHAnsi" w:cstheme="minorHAnsi"/>
          <w:color w:val="000000"/>
          <w:shd w:val="clear" w:color="auto" w:fill="FFFFFF"/>
        </w:rPr>
        <w:t xml:space="preserve"> to identify </w:t>
      </w:r>
      <w:r w:rsidR="00611D33" w:rsidRPr="00135762">
        <w:rPr>
          <w:rFonts w:asciiTheme="minorHAnsi" w:hAnsiTheme="minorHAnsi" w:cstheme="minorHAnsi"/>
          <w:color w:val="000000"/>
          <w:shd w:val="clear" w:color="auto" w:fill="FFFFFF"/>
        </w:rPr>
        <w:t>young people who are</w:t>
      </w:r>
      <w:r w:rsidRPr="00135762">
        <w:rPr>
          <w:rFonts w:asciiTheme="minorHAnsi" w:hAnsiTheme="minorHAnsi" w:cstheme="minorHAnsi"/>
          <w:color w:val="000000"/>
          <w:shd w:val="clear" w:color="auto" w:fill="FFFFFF"/>
        </w:rPr>
        <w:t xml:space="preserve"> most at risk</w:t>
      </w:r>
      <w:r w:rsidR="00611D33" w:rsidRPr="00135762">
        <w:rPr>
          <w:rFonts w:asciiTheme="minorHAnsi" w:hAnsiTheme="minorHAnsi" w:cstheme="minorHAnsi"/>
          <w:color w:val="000000"/>
          <w:shd w:val="clear" w:color="auto" w:fill="FFFFFF"/>
        </w:rPr>
        <w:t>. This information might be used</w:t>
      </w:r>
      <w:r w:rsidR="00696CFE" w:rsidRPr="00135762">
        <w:rPr>
          <w:rFonts w:asciiTheme="minorHAnsi" w:hAnsiTheme="minorHAnsi" w:cstheme="minorHAnsi"/>
          <w:color w:val="000000"/>
          <w:shd w:val="clear" w:color="auto" w:fill="FFFFFF"/>
        </w:rPr>
        <w:t xml:space="preserve"> </w:t>
      </w:r>
      <w:r w:rsidR="00611D33" w:rsidRPr="00135762">
        <w:rPr>
          <w:rFonts w:asciiTheme="minorHAnsi" w:hAnsiTheme="minorHAnsi" w:cstheme="minorHAnsi"/>
          <w:color w:val="000000"/>
          <w:shd w:val="clear" w:color="auto" w:fill="FFFFFF"/>
        </w:rPr>
        <w:t xml:space="preserve">to </w:t>
      </w:r>
      <w:r w:rsidR="00696CFE" w:rsidRPr="00135762">
        <w:rPr>
          <w:rFonts w:asciiTheme="minorHAnsi" w:hAnsiTheme="minorHAnsi" w:cstheme="minorHAnsi"/>
        </w:rPr>
        <w:t xml:space="preserve">guide future management and support prevention strategies in </w:t>
      </w:r>
      <w:r w:rsidR="00696CFE" w:rsidRPr="00135762">
        <w:rPr>
          <w:rFonts w:asciiTheme="minorHAnsi" w:hAnsiTheme="minorHAnsi" w:cstheme="minorHAnsi"/>
          <w:color w:val="000000"/>
          <w:shd w:val="clear" w:color="auto" w:fill="FFFFFF"/>
        </w:rPr>
        <w:t xml:space="preserve">adolescents with </w:t>
      </w:r>
      <w:r w:rsidR="00611D33" w:rsidRPr="00135762">
        <w:rPr>
          <w:rFonts w:asciiTheme="minorHAnsi" w:hAnsiTheme="minorHAnsi" w:cstheme="minorHAnsi"/>
          <w:color w:val="000000"/>
          <w:shd w:val="clear" w:color="auto" w:fill="FFFFFF"/>
        </w:rPr>
        <w:t>T1DM</w:t>
      </w:r>
      <w:r w:rsidR="00696CFE" w:rsidRPr="00135762">
        <w:rPr>
          <w:rFonts w:asciiTheme="minorHAnsi" w:hAnsiTheme="minorHAnsi" w:cstheme="minorHAnsi"/>
        </w:rPr>
        <w:t xml:space="preserve"> based on precision medicine</w:t>
      </w:r>
      <w:r w:rsidR="00696CFE" w:rsidRPr="00135762">
        <w:rPr>
          <w:rFonts w:asciiTheme="minorHAnsi" w:eastAsiaTheme="minorHAnsi" w:hAnsiTheme="minorHAnsi" w:cstheme="minorHAnsi"/>
          <w:lang w:eastAsia="en-US"/>
        </w:rPr>
        <w:t>.</w:t>
      </w:r>
    </w:p>
    <w:p w14:paraId="6618C5DD" w14:textId="5A955F19" w:rsidR="000C02A0" w:rsidRPr="00135762" w:rsidRDefault="000C02A0" w:rsidP="000C02A0">
      <w:pPr>
        <w:spacing w:after="0" w:line="360" w:lineRule="auto"/>
        <w:rPr>
          <w:sz w:val="24"/>
          <w:szCs w:val="24"/>
        </w:rPr>
      </w:pPr>
    </w:p>
    <w:p w14:paraId="2F6E3540" w14:textId="1962D931" w:rsidR="00F627D3" w:rsidRPr="00135762" w:rsidRDefault="00F627D3" w:rsidP="000C02A0">
      <w:pPr>
        <w:spacing w:after="0" w:line="360" w:lineRule="auto"/>
        <w:rPr>
          <w:sz w:val="24"/>
          <w:szCs w:val="24"/>
        </w:rPr>
      </w:pPr>
    </w:p>
    <w:p w14:paraId="0032F962" w14:textId="3F7FD740" w:rsidR="00F627D3" w:rsidRPr="00135762" w:rsidRDefault="00F627D3" w:rsidP="000C02A0">
      <w:pPr>
        <w:spacing w:after="0" w:line="360" w:lineRule="auto"/>
        <w:rPr>
          <w:sz w:val="24"/>
          <w:szCs w:val="24"/>
        </w:rPr>
      </w:pPr>
    </w:p>
    <w:p w14:paraId="4F6953E3" w14:textId="2B848D30" w:rsidR="00BC4042" w:rsidRPr="00135762" w:rsidRDefault="00BC4042" w:rsidP="000C02A0">
      <w:pPr>
        <w:spacing w:after="0" w:line="360" w:lineRule="auto"/>
        <w:rPr>
          <w:sz w:val="24"/>
          <w:szCs w:val="24"/>
        </w:rPr>
      </w:pPr>
    </w:p>
    <w:p w14:paraId="17293EE2" w14:textId="7A9A4D81" w:rsidR="00BC4042" w:rsidRPr="00135762" w:rsidRDefault="00BC4042" w:rsidP="000C02A0">
      <w:pPr>
        <w:spacing w:after="0" w:line="360" w:lineRule="auto"/>
        <w:rPr>
          <w:sz w:val="24"/>
          <w:szCs w:val="24"/>
        </w:rPr>
      </w:pPr>
    </w:p>
    <w:p w14:paraId="0C9C3B7D" w14:textId="7C289734" w:rsidR="00BC4042" w:rsidRPr="00135762" w:rsidRDefault="00BC4042" w:rsidP="000C02A0">
      <w:pPr>
        <w:spacing w:after="0" w:line="360" w:lineRule="auto"/>
        <w:rPr>
          <w:sz w:val="24"/>
          <w:szCs w:val="24"/>
        </w:rPr>
      </w:pPr>
    </w:p>
    <w:p w14:paraId="3C3DA246" w14:textId="1DC211A4" w:rsidR="00BC4042" w:rsidRDefault="00BC4042" w:rsidP="000C02A0">
      <w:pPr>
        <w:spacing w:after="0" w:line="360" w:lineRule="auto"/>
        <w:rPr>
          <w:sz w:val="24"/>
          <w:szCs w:val="24"/>
        </w:rPr>
      </w:pPr>
    </w:p>
    <w:p w14:paraId="48D0AABE" w14:textId="77777777" w:rsidR="00706022" w:rsidRDefault="00706022" w:rsidP="00A973D7">
      <w:pPr>
        <w:spacing w:after="0" w:line="360" w:lineRule="auto"/>
        <w:rPr>
          <w:sz w:val="24"/>
          <w:szCs w:val="24"/>
        </w:rPr>
      </w:pPr>
    </w:p>
    <w:p w14:paraId="5C6EBD02" w14:textId="77777777" w:rsidR="00706022" w:rsidRDefault="00706022" w:rsidP="00A973D7">
      <w:pPr>
        <w:spacing w:after="0" w:line="360" w:lineRule="auto"/>
        <w:rPr>
          <w:sz w:val="24"/>
          <w:szCs w:val="24"/>
        </w:rPr>
      </w:pPr>
    </w:p>
    <w:p w14:paraId="1FA33826" w14:textId="77777777" w:rsidR="00706022" w:rsidRDefault="00706022" w:rsidP="00A973D7">
      <w:pPr>
        <w:spacing w:after="0" w:line="360" w:lineRule="auto"/>
        <w:rPr>
          <w:sz w:val="24"/>
          <w:szCs w:val="24"/>
        </w:rPr>
      </w:pPr>
    </w:p>
    <w:p w14:paraId="489BDE8F" w14:textId="77777777" w:rsidR="00706022" w:rsidRDefault="00706022" w:rsidP="00A973D7">
      <w:pPr>
        <w:spacing w:after="0" w:line="360" w:lineRule="auto"/>
        <w:rPr>
          <w:sz w:val="24"/>
          <w:szCs w:val="24"/>
        </w:rPr>
      </w:pPr>
    </w:p>
    <w:p w14:paraId="19EAB823" w14:textId="77777777" w:rsidR="00706022" w:rsidRDefault="00706022" w:rsidP="00A973D7">
      <w:pPr>
        <w:spacing w:after="0" w:line="360" w:lineRule="auto"/>
        <w:rPr>
          <w:sz w:val="24"/>
          <w:szCs w:val="24"/>
        </w:rPr>
      </w:pPr>
    </w:p>
    <w:p w14:paraId="1E4724C2" w14:textId="77777777" w:rsidR="00706022" w:rsidRDefault="00706022" w:rsidP="00A973D7">
      <w:pPr>
        <w:spacing w:after="0" w:line="360" w:lineRule="auto"/>
        <w:rPr>
          <w:sz w:val="24"/>
          <w:szCs w:val="24"/>
        </w:rPr>
      </w:pPr>
    </w:p>
    <w:p w14:paraId="3B8AFA23" w14:textId="77777777" w:rsidR="00706022" w:rsidRDefault="00706022" w:rsidP="00A973D7">
      <w:pPr>
        <w:spacing w:after="0" w:line="360" w:lineRule="auto"/>
        <w:rPr>
          <w:sz w:val="24"/>
          <w:szCs w:val="24"/>
        </w:rPr>
      </w:pPr>
    </w:p>
    <w:p w14:paraId="28708B9E" w14:textId="77777777" w:rsidR="00706022" w:rsidRDefault="00706022" w:rsidP="00A973D7">
      <w:pPr>
        <w:spacing w:after="0" w:line="360" w:lineRule="auto"/>
        <w:rPr>
          <w:sz w:val="24"/>
          <w:szCs w:val="24"/>
        </w:rPr>
      </w:pPr>
    </w:p>
    <w:p w14:paraId="36B569BE" w14:textId="77777777" w:rsidR="00706022" w:rsidRDefault="00706022" w:rsidP="00A973D7">
      <w:pPr>
        <w:spacing w:after="0" w:line="360" w:lineRule="auto"/>
        <w:rPr>
          <w:sz w:val="24"/>
          <w:szCs w:val="24"/>
        </w:rPr>
      </w:pPr>
    </w:p>
    <w:p w14:paraId="3C70D559" w14:textId="69DBF791" w:rsidR="00B9773E" w:rsidRPr="00135762" w:rsidRDefault="00B9773E" w:rsidP="00A973D7">
      <w:pPr>
        <w:spacing w:after="0" w:line="360" w:lineRule="auto"/>
        <w:rPr>
          <w:b/>
          <w:sz w:val="24"/>
          <w:szCs w:val="24"/>
        </w:rPr>
      </w:pPr>
      <w:r w:rsidRPr="00135762">
        <w:rPr>
          <w:b/>
          <w:sz w:val="24"/>
          <w:szCs w:val="24"/>
        </w:rPr>
        <w:lastRenderedPageBreak/>
        <w:t>Acknowledgements</w:t>
      </w:r>
    </w:p>
    <w:p w14:paraId="0CC61496" w14:textId="6FF6D249" w:rsidR="00B9773E" w:rsidRPr="00135762" w:rsidRDefault="00B96996" w:rsidP="00B9773E">
      <w:pPr>
        <w:spacing w:after="0" w:line="360" w:lineRule="auto"/>
        <w:rPr>
          <w:rFonts w:cs="Times New Roman"/>
          <w:sz w:val="24"/>
          <w:szCs w:val="24"/>
        </w:rPr>
      </w:pPr>
      <w:bookmarkStart w:id="1" w:name="_Hlk513406573"/>
      <w:r w:rsidRPr="00135762">
        <w:rPr>
          <w:rFonts w:cs="Times New Roman"/>
          <w:sz w:val="24"/>
          <w:szCs w:val="24"/>
          <w:lang w:val="en-US"/>
        </w:rPr>
        <w:t xml:space="preserve">The authors acknowledge the support of Diabetes UK, the Juvenile Diabetes Research Foundation, the British Heart Foundation, the JDRF- Canadian Clinical Trial Network (CCTN), the Canadian Diabetes Association and the Heart and Stroke Foundation Canada, which all contributed funding for the </w:t>
      </w:r>
      <w:r w:rsidR="00B9773E" w:rsidRPr="00135762">
        <w:rPr>
          <w:rFonts w:cs="Times New Roman"/>
          <w:sz w:val="24"/>
          <w:szCs w:val="24"/>
          <w:lang w:val="en-US"/>
        </w:rPr>
        <w:t>AdDIT</w:t>
      </w:r>
      <w:r w:rsidRPr="00135762">
        <w:rPr>
          <w:rFonts w:cs="Times New Roman"/>
          <w:sz w:val="24"/>
          <w:szCs w:val="24"/>
          <w:lang w:val="en-US"/>
        </w:rPr>
        <w:t xml:space="preserve"> studies</w:t>
      </w:r>
      <w:bookmarkEnd w:id="1"/>
    </w:p>
    <w:p w14:paraId="00F799E2" w14:textId="54CCC1D8" w:rsidR="0008098E" w:rsidRDefault="0008098E" w:rsidP="00B9773E">
      <w:pPr>
        <w:spacing w:after="0" w:line="360" w:lineRule="auto"/>
        <w:rPr>
          <w:rFonts w:eastAsia="Times New Roman" w:cstheme="minorHAnsi"/>
          <w:color w:val="333333"/>
          <w:spacing w:val="2"/>
          <w:sz w:val="24"/>
          <w:szCs w:val="24"/>
          <w:lang w:eastAsia="en-GB"/>
        </w:rPr>
      </w:pPr>
    </w:p>
    <w:p w14:paraId="11E283A1" w14:textId="77777777" w:rsidR="002A24CA" w:rsidRPr="00374B97" w:rsidRDefault="002A24CA" w:rsidP="002A24CA">
      <w:pPr>
        <w:spacing w:after="0" w:line="240" w:lineRule="auto"/>
        <w:rPr>
          <w:rFonts w:cstheme="minorHAnsi"/>
          <w:b/>
          <w:sz w:val="24"/>
          <w:szCs w:val="24"/>
        </w:rPr>
      </w:pPr>
      <w:r w:rsidRPr="00374B97">
        <w:rPr>
          <w:rFonts w:cstheme="minorHAnsi"/>
          <w:b/>
          <w:sz w:val="24"/>
          <w:szCs w:val="24"/>
        </w:rPr>
        <w:t>AdDIT study group</w:t>
      </w:r>
    </w:p>
    <w:p w14:paraId="39E060C6" w14:textId="77777777" w:rsidR="002A24CA" w:rsidRPr="00374B97" w:rsidRDefault="002A24CA" w:rsidP="002A24CA">
      <w:pPr>
        <w:pStyle w:val="para"/>
        <w:shd w:val="clear" w:color="auto" w:fill="FCFCFC"/>
        <w:spacing w:before="0" w:beforeAutospacing="0" w:after="0" w:afterAutospacing="0"/>
        <w:rPr>
          <w:rFonts w:asciiTheme="minorHAnsi" w:hAnsiTheme="minorHAnsi" w:cstheme="minorHAnsi"/>
          <w:color w:val="333333"/>
          <w:spacing w:val="2"/>
        </w:rPr>
      </w:pPr>
      <w:bookmarkStart w:id="2" w:name="_Toc485201850"/>
      <w:r w:rsidRPr="00374B97">
        <w:rPr>
          <w:rFonts w:asciiTheme="minorHAnsi" w:hAnsiTheme="minorHAnsi" w:cstheme="minorHAnsi"/>
          <w:color w:val="333333"/>
          <w:spacing w:val="2"/>
        </w:rPr>
        <w:t xml:space="preserve">In the UK: Acerini C. (University of Cambridge, Cambridge, UK), Ackland F. (Northampton General Hospital, Northampton, UK), Anand B. (West Suffolk Hospital, NHS Foundation Trust, Bury St Edmunds, UK), Barrett T. (Birmingham Children’s Hospital and University of Birmingham, Birmingham, UK), Birrell V. (James Cook Hospital, South Tees Hospitals NHS Foundation Trust, Middlesbrough, UK), Campbell F. (Leeds General Infirmary, The Leeds Teaching Hospitals NHS Trust, Leeds, UK), Charakida M. (King’s College London, London, UK), Cheetham T. (Royal Victoria Infirmary, The Newcastle upon Tyne Hospitals NHS Foundation Trust and Newcastle University, Newcastle, UK), Chiesa T. (University College London, London, UK), John Deanfield (University College London, London, UK), Cooper C. (Stepping Hill Hospital, Stockport NHS Foundation Trust, Stockport, UK), Doughty I. (Royal Manchester Children’s Hospital, Manchester, UK), Dutta A. (Stoke Mandeville Hospital, Aylesbury, UK), Edge J. (John Radcliffe Hospital, Oxford, UK), Gray A. (University of Oxford, Oxford, UK), Hamilton-Shield J. (University of Bristol and University Hospitals Bristol NHS Foundation Trust, Bristol, UK), Mann N. (Royal Berkshire Hospital, Reading, UK), Marcovecchio M.L. (University of Cambridge, Cambridge, UK), </w:t>
      </w:r>
      <w:r w:rsidRPr="00374B97">
        <w:rPr>
          <w:rFonts w:asciiTheme="minorHAnsi" w:hAnsiTheme="minorHAnsi" w:cstheme="minorHAnsi"/>
          <w:bCs/>
          <w:lang w:val="en-US"/>
        </w:rPr>
        <w:t xml:space="preserve">Marshall S. </w:t>
      </w:r>
      <w:r w:rsidRPr="00374B97">
        <w:rPr>
          <w:rFonts w:asciiTheme="minorHAnsi" w:hAnsiTheme="minorHAnsi" w:cstheme="minorHAnsi"/>
          <w:lang w:val="en-US"/>
        </w:rPr>
        <w:t xml:space="preserve">(University Newcastle), </w:t>
      </w:r>
      <w:r w:rsidRPr="00374B97">
        <w:rPr>
          <w:rFonts w:asciiTheme="minorHAnsi" w:hAnsiTheme="minorHAnsi" w:cstheme="minorHAnsi"/>
          <w:color w:val="333333"/>
          <w:spacing w:val="2"/>
        </w:rPr>
        <w:t>Rayman G. (Ipswich Hospitals NHS Trust, Ipswich, UK), Robinson J.M. (Royal Albert Edward Infirmary, Wrightington, Wigan and Leigh NHS Foundation Trust, Wigan, UK), Russell-Taylor M (Wycombe Hospital, Buckingham Healthcare NHS Trust, High Wycombe, UK), Sankar V. (Royal Bolton Hospital, Bolton NHS Foundation Trust, Bolton, UK), Smith A. (Northampton General Hospital, Northampton, UK), Thalange N. (Norfolk and Norwich University Hospitals NHS Foundation Trust, Norwich, UK), Yaliwal C. (Royal Berkshire Hospital, Reading, UK).</w:t>
      </w:r>
    </w:p>
    <w:p w14:paraId="6FED68FD" w14:textId="77777777" w:rsidR="002A24CA" w:rsidRPr="00374B97" w:rsidRDefault="002A24CA" w:rsidP="002A24CA">
      <w:pPr>
        <w:pStyle w:val="para"/>
        <w:shd w:val="clear" w:color="auto" w:fill="FCFCFC"/>
        <w:spacing w:before="0" w:beforeAutospacing="0" w:after="0" w:afterAutospacing="0"/>
        <w:rPr>
          <w:rFonts w:asciiTheme="minorHAnsi" w:hAnsiTheme="minorHAnsi" w:cstheme="minorHAnsi"/>
          <w:color w:val="333333"/>
          <w:spacing w:val="2"/>
        </w:rPr>
      </w:pPr>
      <w:r w:rsidRPr="00374B97">
        <w:rPr>
          <w:rFonts w:asciiTheme="minorHAnsi" w:hAnsiTheme="minorHAnsi" w:cstheme="minorHAnsi"/>
          <w:color w:val="333333"/>
          <w:spacing w:val="2"/>
        </w:rPr>
        <w:t>In Australia: Benitez-Aguirre P. (The Children’s Hospital at Westmead and University of Sydney, Sydney, NSW, Australia), Cameron F. (Royal Children’s Hospital, Murdoch Children’s Research Institute and The University of Melbourne, Melbourne, VIC, Australia), Cotterill A. (University of Queensland, Brisbane, QLD, Australia), Couper J. (Women’s and Children’s Hospital and University of Adelaide, Adelaide, SA, Australia), Craig M. (The Children’s Hospital at Westmead, University of Sydney, and University of New South Wales, Sydney, NSW, Australia), Davis E. (Princess Margaret Hospital for Children and University of Western Australia, Perth, WA, Australia), Donaghue K. (The Children’s Hospital at Westmead and University of Sydney, Sydney, NSW, Australia), Jones T.W. (Princess Margaret Hospital for Children and University of Western Australia, Perth, WA, Australia), Bruce King (University of Newcastle, Newcastle, NSW, Australia), Verge C. (Sydney Children’s Hospital and University of New South Wales, Sydney, NSW, Australia), Bergman P. (Monash Children’s Hospital, Clayton, VIC, Australia), Rodda C. (University of Melbourne, Melbourne, VIC, Australia).</w:t>
      </w:r>
    </w:p>
    <w:p w14:paraId="01E1A2AE" w14:textId="77777777" w:rsidR="002A24CA" w:rsidRPr="00374B97" w:rsidRDefault="002A24CA" w:rsidP="002A24CA">
      <w:pPr>
        <w:pStyle w:val="para"/>
        <w:shd w:val="clear" w:color="auto" w:fill="FCFCFC"/>
        <w:spacing w:before="0" w:beforeAutospacing="0" w:after="0" w:afterAutospacing="0"/>
        <w:rPr>
          <w:rFonts w:asciiTheme="minorHAnsi" w:hAnsiTheme="minorHAnsi" w:cstheme="minorHAnsi"/>
          <w:color w:val="333333"/>
          <w:spacing w:val="2"/>
        </w:rPr>
      </w:pPr>
      <w:r w:rsidRPr="00374B97">
        <w:rPr>
          <w:rFonts w:asciiTheme="minorHAnsi" w:hAnsiTheme="minorHAnsi" w:cstheme="minorHAnsi"/>
          <w:color w:val="333333"/>
          <w:spacing w:val="2"/>
        </w:rPr>
        <w:lastRenderedPageBreak/>
        <w:t>In Canada: Clarson C. (London Health Sciences Centre and Western University, London, ON, Canada); Curtis J. (The Hospital for Sick Children and University of Toronto, Toronto, ON, Canada), Daneman D., (The Hospital for Sick Children and University of Toronto, Toronto. ON, Canada), Mahmud F. (The Hospital for Sick Children and University of Toronto, Toronto, ON, Canada); Sochett E. (The Hospital for Sick Children and University of Toronto, Toronto, ON, Canada).</w:t>
      </w:r>
    </w:p>
    <w:bookmarkEnd w:id="2"/>
    <w:p w14:paraId="4E356B30" w14:textId="06ABE013" w:rsidR="002A24CA" w:rsidRDefault="002A24CA" w:rsidP="00B9773E">
      <w:pPr>
        <w:spacing w:after="0" w:line="360" w:lineRule="auto"/>
        <w:rPr>
          <w:rFonts w:cs="Times New Roman"/>
          <w:sz w:val="24"/>
          <w:szCs w:val="24"/>
        </w:rPr>
      </w:pPr>
    </w:p>
    <w:p w14:paraId="346766DD" w14:textId="2DECC227" w:rsidR="002A24CA" w:rsidRPr="00135762" w:rsidRDefault="002A24CA" w:rsidP="00B9773E">
      <w:pPr>
        <w:spacing w:after="0" w:line="360" w:lineRule="auto"/>
        <w:rPr>
          <w:rFonts w:cs="Times New Roman"/>
          <w:sz w:val="24"/>
          <w:szCs w:val="24"/>
        </w:rPr>
      </w:pPr>
    </w:p>
    <w:p w14:paraId="1102A7C2" w14:textId="4C185F45" w:rsidR="00CB5DE4" w:rsidRPr="00135762" w:rsidRDefault="00CB5DE4" w:rsidP="00B9773E">
      <w:pPr>
        <w:spacing w:after="0" w:line="360" w:lineRule="auto"/>
        <w:rPr>
          <w:rFonts w:cs="Times New Roman"/>
          <w:b/>
          <w:sz w:val="24"/>
          <w:szCs w:val="24"/>
        </w:rPr>
      </w:pPr>
      <w:r w:rsidRPr="00135762">
        <w:rPr>
          <w:rFonts w:cs="Times New Roman"/>
          <w:b/>
          <w:sz w:val="24"/>
          <w:szCs w:val="24"/>
        </w:rPr>
        <w:t>Authors contribution</w:t>
      </w:r>
      <w:r w:rsidR="00C93088" w:rsidRPr="00135762">
        <w:rPr>
          <w:rFonts w:cs="Times New Roman"/>
          <w:b/>
          <w:sz w:val="24"/>
          <w:szCs w:val="24"/>
        </w:rPr>
        <w:t xml:space="preserve"> </w:t>
      </w:r>
    </w:p>
    <w:p w14:paraId="7C16D3CE" w14:textId="60D0B57B" w:rsidR="00CB5DE4" w:rsidRPr="00135762" w:rsidRDefault="00930A01" w:rsidP="00CB5DE4">
      <w:pPr>
        <w:pStyle w:val="BodyText3"/>
        <w:spacing w:after="0" w:line="480" w:lineRule="auto"/>
        <w:rPr>
          <w:rFonts w:cs="Times New Roman"/>
          <w:iCs/>
          <w:sz w:val="24"/>
          <w:szCs w:val="24"/>
          <w:lang w:val="en-US"/>
        </w:rPr>
      </w:pPr>
      <w:r w:rsidRPr="00135762">
        <w:rPr>
          <w:rFonts w:cs="Times New Roman"/>
          <w:iCs/>
          <w:sz w:val="24"/>
          <w:szCs w:val="24"/>
        </w:rPr>
        <w:t>All authors re</w:t>
      </w:r>
      <w:r w:rsidR="00C93088" w:rsidRPr="00135762">
        <w:rPr>
          <w:rFonts w:cs="Times New Roman"/>
          <w:iCs/>
          <w:sz w:val="24"/>
          <w:szCs w:val="24"/>
        </w:rPr>
        <w:t>searched data</w:t>
      </w:r>
      <w:r w:rsidR="007B5715">
        <w:rPr>
          <w:rFonts w:cs="Times New Roman"/>
          <w:iCs/>
          <w:sz w:val="24"/>
          <w:szCs w:val="24"/>
        </w:rPr>
        <w:t xml:space="preserve"> for the article. D.B.D., </w:t>
      </w:r>
      <w:r w:rsidRPr="00135762">
        <w:rPr>
          <w:rFonts w:cs="Times New Roman"/>
          <w:iCs/>
          <w:sz w:val="24"/>
          <w:szCs w:val="24"/>
        </w:rPr>
        <w:t>D.</w:t>
      </w:r>
      <w:r w:rsidR="00CB058F" w:rsidRPr="00135762">
        <w:rPr>
          <w:rFonts w:cs="Times New Roman"/>
          <w:iCs/>
          <w:sz w:val="24"/>
          <w:szCs w:val="24"/>
        </w:rPr>
        <w:t>D.</w:t>
      </w:r>
      <w:r w:rsidRPr="00135762">
        <w:rPr>
          <w:rFonts w:cs="Times New Roman"/>
          <w:iCs/>
          <w:sz w:val="24"/>
          <w:szCs w:val="24"/>
        </w:rPr>
        <w:t>, J.D., R.N.</w:t>
      </w:r>
      <w:r w:rsidR="00C93088" w:rsidRPr="00135762">
        <w:rPr>
          <w:rFonts w:cs="Times New Roman"/>
          <w:iCs/>
          <w:sz w:val="24"/>
          <w:szCs w:val="24"/>
        </w:rPr>
        <w:t>D and</w:t>
      </w:r>
      <w:r w:rsidRPr="00135762">
        <w:rPr>
          <w:rFonts w:cs="Times New Roman"/>
          <w:iCs/>
          <w:sz w:val="24"/>
          <w:szCs w:val="24"/>
        </w:rPr>
        <w:t xml:space="preserve"> T</w:t>
      </w:r>
      <w:r w:rsidR="00C93088" w:rsidRPr="00135762">
        <w:rPr>
          <w:rFonts w:cs="Times New Roman"/>
          <w:iCs/>
          <w:sz w:val="24"/>
          <w:szCs w:val="24"/>
        </w:rPr>
        <w:t>.</w:t>
      </w:r>
      <w:r w:rsidRPr="00135762">
        <w:rPr>
          <w:rFonts w:cs="Times New Roman"/>
          <w:iCs/>
          <w:sz w:val="24"/>
          <w:szCs w:val="24"/>
        </w:rPr>
        <w:t>J</w:t>
      </w:r>
      <w:r w:rsidR="00C93088" w:rsidRPr="00135762">
        <w:rPr>
          <w:rFonts w:cs="Times New Roman"/>
          <w:iCs/>
          <w:sz w:val="24"/>
          <w:szCs w:val="24"/>
        </w:rPr>
        <w:t>.</w:t>
      </w:r>
      <w:r w:rsidRPr="00135762">
        <w:rPr>
          <w:rFonts w:cs="Times New Roman"/>
          <w:iCs/>
          <w:sz w:val="24"/>
          <w:szCs w:val="24"/>
        </w:rPr>
        <w:t xml:space="preserve"> </w:t>
      </w:r>
      <w:r w:rsidR="00C93088" w:rsidRPr="00135762">
        <w:rPr>
          <w:rFonts w:cs="Times New Roman"/>
          <w:iCs/>
          <w:sz w:val="24"/>
          <w:szCs w:val="24"/>
        </w:rPr>
        <w:t xml:space="preserve">provided a substantial contribution to discussion of content. </w:t>
      </w:r>
      <w:r w:rsidR="00CB5DE4" w:rsidRPr="00135762">
        <w:rPr>
          <w:rFonts w:cs="Times New Roman"/>
          <w:iCs/>
          <w:sz w:val="24"/>
          <w:szCs w:val="24"/>
        </w:rPr>
        <w:t>M</w:t>
      </w:r>
      <w:r w:rsidR="00C93088" w:rsidRPr="00135762">
        <w:rPr>
          <w:rFonts w:cs="Times New Roman"/>
          <w:iCs/>
          <w:sz w:val="24"/>
          <w:szCs w:val="24"/>
        </w:rPr>
        <w:t>.</w:t>
      </w:r>
      <w:r w:rsidR="00CB5DE4" w:rsidRPr="00135762">
        <w:rPr>
          <w:rFonts w:cs="Times New Roman"/>
          <w:iCs/>
          <w:sz w:val="24"/>
          <w:szCs w:val="24"/>
        </w:rPr>
        <w:t>L</w:t>
      </w:r>
      <w:r w:rsidR="00C93088" w:rsidRPr="00135762">
        <w:rPr>
          <w:rFonts w:cs="Times New Roman"/>
          <w:iCs/>
          <w:sz w:val="24"/>
          <w:szCs w:val="24"/>
        </w:rPr>
        <w:t>.</w:t>
      </w:r>
      <w:r w:rsidR="00CB5DE4" w:rsidRPr="00135762">
        <w:rPr>
          <w:rFonts w:cs="Times New Roman"/>
          <w:iCs/>
          <w:sz w:val="24"/>
          <w:szCs w:val="24"/>
        </w:rPr>
        <w:t>M</w:t>
      </w:r>
      <w:r w:rsidR="00C93088" w:rsidRPr="00135762">
        <w:rPr>
          <w:rFonts w:cs="Times New Roman"/>
          <w:iCs/>
          <w:sz w:val="24"/>
          <w:szCs w:val="24"/>
        </w:rPr>
        <w:t>.</w:t>
      </w:r>
      <w:r w:rsidR="00CB5DE4" w:rsidRPr="00135762">
        <w:rPr>
          <w:rFonts w:cs="Times New Roman"/>
          <w:iCs/>
          <w:sz w:val="24"/>
          <w:szCs w:val="24"/>
        </w:rPr>
        <w:t xml:space="preserve"> and D</w:t>
      </w:r>
      <w:r w:rsidR="00C93088" w:rsidRPr="00135762">
        <w:rPr>
          <w:rFonts w:cs="Times New Roman"/>
          <w:iCs/>
          <w:sz w:val="24"/>
          <w:szCs w:val="24"/>
        </w:rPr>
        <w:t>.</w:t>
      </w:r>
      <w:r w:rsidR="00CB5DE4" w:rsidRPr="00135762">
        <w:rPr>
          <w:rFonts w:cs="Times New Roman"/>
          <w:iCs/>
          <w:sz w:val="24"/>
          <w:szCs w:val="24"/>
        </w:rPr>
        <w:t>B</w:t>
      </w:r>
      <w:r w:rsidR="00C93088" w:rsidRPr="00135762">
        <w:rPr>
          <w:rFonts w:cs="Times New Roman"/>
          <w:iCs/>
          <w:sz w:val="24"/>
          <w:szCs w:val="24"/>
        </w:rPr>
        <w:t>.</w:t>
      </w:r>
      <w:r w:rsidR="00CB5DE4" w:rsidRPr="00135762">
        <w:rPr>
          <w:rFonts w:cs="Times New Roman"/>
          <w:iCs/>
          <w:sz w:val="24"/>
          <w:szCs w:val="24"/>
        </w:rPr>
        <w:t>D</w:t>
      </w:r>
      <w:r w:rsidR="00C93088" w:rsidRPr="00135762">
        <w:rPr>
          <w:rFonts w:cs="Times New Roman"/>
          <w:iCs/>
          <w:sz w:val="24"/>
          <w:szCs w:val="24"/>
        </w:rPr>
        <w:t xml:space="preserve">. wrote the article. All authors </w:t>
      </w:r>
      <w:r w:rsidR="00C93088" w:rsidRPr="00135762">
        <w:rPr>
          <w:rFonts w:cs="Times New Roman"/>
          <w:iCs/>
          <w:sz w:val="24"/>
          <w:szCs w:val="24"/>
          <w:lang w:val="en-US"/>
        </w:rPr>
        <w:t>reviewed and edited the manuscript before submission.</w:t>
      </w:r>
    </w:p>
    <w:p w14:paraId="6396ED2A" w14:textId="0D429DEE" w:rsidR="0008098E" w:rsidRPr="00135762" w:rsidRDefault="0008098E" w:rsidP="00CB5DE4">
      <w:pPr>
        <w:pStyle w:val="BodyText3"/>
        <w:spacing w:after="0" w:line="480" w:lineRule="auto"/>
        <w:rPr>
          <w:rFonts w:cs="Times New Roman"/>
          <w:iCs/>
          <w:sz w:val="24"/>
          <w:szCs w:val="24"/>
          <w:lang w:val="en-US"/>
        </w:rPr>
      </w:pPr>
    </w:p>
    <w:p w14:paraId="5B28DDBA" w14:textId="77777777" w:rsidR="00F73EAB" w:rsidRPr="00135762" w:rsidRDefault="00F73EAB" w:rsidP="00B96996">
      <w:pPr>
        <w:pStyle w:val="Smallprinthead"/>
      </w:pPr>
    </w:p>
    <w:p w14:paraId="75C8C37B" w14:textId="20C71DC4" w:rsidR="00B96996" w:rsidRPr="00135762" w:rsidRDefault="00B96996" w:rsidP="00B96996">
      <w:pPr>
        <w:pStyle w:val="Smallprinthead"/>
        <w:rPr>
          <w:rFonts w:asciiTheme="minorHAnsi" w:hAnsiTheme="minorHAnsi"/>
          <w:sz w:val="24"/>
          <w:lang w:val="en-US"/>
        </w:rPr>
      </w:pPr>
      <w:r w:rsidRPr="00135762">
        <w:rPr>
          <w:rFonts w:asciiTheme="minorHAnsi" w:hAnsiTheme="minorHAnsi"/>
          <w:sz w:val="24"/>
          <w:lang w:val="en-US"/>
        </w:rPr>
        <w:t>Publisher's note</w:t>
      </w:r>
    </w:p>
    <w:p w14:paraId="4CCE4682" w14:textId="77777777" w:rsidR="00B96996" w:rsidRPr="00135762" w:rsidRDefault="00B96996" w:rsidP="00B96996">
      <w:pPr>
        <w:pStyle w:val="Smallprinttext"/>
        <w:rPr>
          <w:rFonts w:asciiTheme="minorHAnsi" w:hAnsiTheme="minorHAnsi"/>
          <w:b w:val="0"/>
          <w:sz w:val="24"/>
          <w:lang w:val="en-US"/>
        </w:rPr>
      </w:pPr>
      <w:r w:rsidRPr="00135762">
        <w:rPr>
          <w:rFonts w:asciiTheme="minorHAnsi" w:hAnsiTheme="minorHAnsi"/>
          <w:b w:val="0"/>
          <w:sz w:val="24"/>
          <w:lang w:val="en-US"/>
        </w:rPr>
        <w:t>Springer Nature remains neutral with regard to jurisdictional claims in published maps and institutional affiliations.</w:t>
      </w:r>
    </w:p>
    <w:p w14:paraId="32FC14EF" w14:textId="77777777" w:rsidR="00B96996" w:rsidRPr="00135762" w:rsidRDefault="00B96996" w:rsidP="00CB5DE4">
      <w:pPr>
        <w:spacing w:after="0" w:line="480" w:lineRule="auto"/>
        <w:rPr>
          <w:rFonts w:ascii="Times New Roman" w:hAnsi="Times New Roman" w:cs="Times New Roman"/>
          <w:b/>
          <w:sz w:val="24"/>
          <w:szCs w:val="24"/>
        </w:rPr>
      </w:pPr>
    </w:p>
    <w:p w14:paraId="438EC077" w14:textId="445C23C8" w:rsidR="00CB5DE4" w:rsidRPr="00135762" w:rsidRDefault="00B96996" w:rsidP="00CB5DE4">
      <w:pPr>
        <w:spacing w:after="0" w:line="360" w:lineRule="auto"/>
        <w:rPr>
          <w:rFonts w:cstheme="minorHAnsi"/>
          <w:sz w:val="24"/>
          <w:szCs w:val="24"/>
        </w:rPr>
      </w:pPr>
      <w:r w:rsidRPr="00135762">
        <w:rPr>
          <w:rFonts w:cstheme="minorHAnsi"/>
          <w:b/>
          <w:sz w:val="24"/>
          <w:szCs w:val="24"/>
        </w:rPr>
        <w:t>Competing interest</w:t>
      </w:r>
      <w:r w:rsidRPr="00135762">
        <w:rPr>
          <w:rFonts w:cstheme="minorHAnsi"/>
          <w:sz w:val="24"/>
          <w:szCs w:val="24"/>
          <w:lang w:val="en-US"/>
        </w:rPr>
        <w:t>The authors declare no competing interests.</w:t>
      </w:r>
    </w:p>
    <w:p w14:paraId="68DC42FE" w14:textId="52659499" w:rsidR="00137E55" w:rsidRPr="00135762" w:rsidRDefault="00A8783A" w:rsidP="007B5715">
      <w:pPr>
        <w:rPr>
          <w:sz w:val="24"/>
          <w:szCs w:val="24"/>
        </w:rPr>
      </w:pPr>
      <w:r w:rsidRPr="00135762">
        <w:rPr>
          <w:sz w:val="24"/>
          <w:szCs w:val="24"/>
        </w:rPr>
        <w:br w:type="page"/>
      </w:r>
      <w:r w:rsidR="00477637" w:rsidRPr="00135762">
        <w:rPr>
          <w:b/>
          <w:sz w:val="24"/>
          <w:szCs w:val="24"/>
        </w:rPr>
        <w:lastRenderedPageBreak/>
        <w:t>References</w:t>
      </w:r>
      <w:r w:rsidR="009F72A9" w:rsidRPr="00135762">
        <w:rPr>
          <w:b/>
          <w:sz w:val="24"/>
          <w:szCs w:val="24"/>
        </w:rPr>
        <w:t xml:space="preserve"> </w:t>
      </w:r>
    </w:p>
    <w:p w14:paraId="4AA54EE4" w14:textId="0D2DC7BC" w:rsidR="00752474" w:rsidRPr="00752474" w:rsidRDefault="00477637" w:rsidP="00752474">
      <w:pPr>
        <w:widowControl w:val="0"/>
        <w:autoSpaceDE w:val="0"/>
        <w:autoSpaceDN w:val="0"/>
        <w:adjustRightInd w:val="0"/>
        <w:spacing w:after="0" w:line="240" w:lineRule="auto"/>
        <w:ind w:left="640" w:hanging="640"/>
        <w:rPr>
          <w:rFonts w:ascii="Calibri" w:hAnsi="Calibri" w:cs="Calibri"/>
          <w:noProof/>
          <w:sz w:val="24"/>
          <w:szCs w:val="24"/>
        </w:rPr>
      </w:pPr>
      <w:r w:rsidRPr="00135762">
        <w:rPr>
          <w:sz w:val="24"/>
          <w:szCs w:val="24"/>
        </w:rPr>
        <w:fldChar w:fldCharType="begin" w:fldLock="1"/>
      </w:r>
      <w:r w:rsidRPr="00135762">
        <w:rPr>
          <w:sz w:val="24"/>
          <w:szCs w:val="24"/>
        </w:rPr>
        <w:instrText xml:space="preserve">ADDIN Mendeley Bibliography CSL_BIBLIOGRAPHY </w:instrText>
      </w:r>
      <w:r w:rsidRPr="00135762">
        <w:rPr>
          <w:sz w:val="24"/>
          <w:szCs w:val="24"/>
        </w:rPr>
        <w:fldChar w:fldCharType="separate"/>
      </w:r>
      <w:r w:rsidR="00752474" w:rsidRPr="00752474">
        <w:rPr>
          <w:rFonts w:ascii="Calibri" w:hAnsi="Calibri" w:cs="Calibri"/>
          <w:noProof/>
          <w:sz w:val="24"/>
          <w:szCs w:val="24"/>
        </w:rPr>
        <w:t>1.</w:t>
      </w:r>
      <w:r w:rsidR="00752474" w:rsidRPr="00752474">
        <w:rPr>
          <w:rFonts w:ascii="Calibri" w:hAnsi="Calibri" w:cs="Calibri"/>
          <w:noProof/>
          <w:sz w:val="24"/>
          <w:szCs w:val="24"/>
        </w:rPr>
        <w:tab/>
        <w:t xml:space="preserve">IDF Diabetes Atlas. (2017). Available at: http://www.diabetesatlas.org/. </w:t>
      </w:r>
    </w:p>
    <w:p w14:paraId="42D04B62"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2.</w:t>
      </w:r>
      <w:r w:rsidRPr="00752474">
        <w:rPr>
          <w:rFonts w:ascii="Calibri" w:hAnsi="Calibri" w:cs="Calibri"/>
          <w:noProof/>
          <w:sz w:val="24"/>
          <w:szCs w:val="24"/>
        </w:rPr>
        <w:tab/>
        <w:t xml:space="preserve">Mayer-Davis, E. J. </w:t>
      </w:r>
      <w:r w:rsidRPr="00752474">
        <w:rPr>
          <w:rFonts w:ascii="Calibri" w:hAnsi="Calibri" w:cs="Calibri"/>
          <w:i/>
          <w:iCs/>
          <w:noProof/>
          <w:sz w:val="24"/>
          <w:szCs w:val="24"/>
        </w:rPr>
        <w:t>et al.</w:t>
      </w:r>
      <w:r w:rsidRPr="00752474">
        <w:rPr>
          <w:rFonts w:ascii="Calibri" w:hAnsi="Calibri" w:cs="Calibri"/>
          <w:noProof/>
          <w:sz w:val="24"/>
          <w:szCs w:val="24"/>
        </w:rPr>
        <w:t xml:space="preserve"> Incidence Trends of Type 1 and Type 2 Diabetes among Youths, 2002–2012. </w:t>
      </w:r>
      <w:r w:rsidRPr="00752474">
        <w:rPr>
          <w:rFonts w:ascii="Calibri" w:hAnsi="Calibri" w:cs="Calibri"/>
          <w:i/>
          <w:iCs/>
          <w:noProof/>
          <w:sz w:val="24"/>
          <w:szCs w:val="24"/>
        </w:rPr>
        <w:t>N. Engl. J. Med.</w:t>
      </w:r>
      <w:r w:rsidRPr="00752474">
        <w:rPr>
          <w:rFonts w:ascii="Calibri" w:hAnsi="Calibri" w:cs="Calibri"/>
          <w:noProof/>
          <w:sz w:val="24"/>
          <w:szCs w:val="24"/>
        </w:rPr>
        <w:t xml:space="preserve"> </w:t>
      </w:r>
      <w:r w:rsidRPr="00752474">
        <w:rPr>
          <w:rFonts w:ascii="Calibri" w:hAnsi="Calibri" w:cs="Calibri"/>
          <w:b/>
          <w:bCs/>
          <w:noProof/>
          <w:sz w:val="24"/>
          <w:szCs w:val="24"/>
        </w:rPr>
        <w:t>376,</w:t>
      </w:r>
      <w:r w:rsidRPr="00752474">
        <w:rPr>
          <w:rFonts w:ascii="Calibri" w:hAnsi="Calibri" w:cs="Calibri"/>
          <w:noProof/>
          <w:sz w:val="24"/>
          <w:szCs w:val="24"/>
        </w:rPr>
        <w:t xml:space="preserve"> 1419–1429 (2017).</w:t>
      </w:r>
    </w:p>
    <w:p w14:paraId="4BE8BE2D"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3.</w:t>
      </w:r>
      <w:r w:rsidRPr="00752474">
        <w:rPr>
          <w:rFonts w:ascii="Calibri" w:hAnsi="Calibri" w:cs="Calibri"/>
          <w:noProof/>
          <w:sz w:val="24"/>
          <w:szCs w:val="24"/>
        </w:rPr>
        <w:tab/>
        <w:t xml:space="preserve">Patterson, C. C. </w:t>
      </w:r>
      <w:r w:rsidRPr="00752474">
        <w:rPr>
          <w:rFonts w:ascii="Calibri" w:hAnsi="Calibri" w:cs="Calibri"/>
          <w:i/>
          <w:iCs/>
          <w:noProof/>
          <w:sz w:val="24"/>
          <w:szCs w:val="24"/>
        </w:rPr>
        <w:t>et al.</w:t>
      </w:r>
      <w:r w:rsidRPr="00752474">
        <w:rPr>
          <w:rFonts w:ascii="Calibri" w:hAnsi="Calibri" w:cs="Calibri"/>
          <w:noProof/>
          <w:sz w:val="24"/>
          <w:szCs w:val="24"/>
        </w:rPr>
        <w:t xml:space="preserve"> Trends and cyclical variation in the incidence of childhood type 1 diabetes in 26 European centres in the 25 year period 1989-2013: a multicentre prospective registration study. </w:t>
      </w:r>
      <w:r w:rsidRPr="00752474">
        <w:rPr>
          <w:rFonts w:ascii="Calibri" w:hAnsi="Calibri" w:cs="Calibri"/>
          <w:i/>
          <w:iCs/>
          <w:noProof/>
          <w:sz w:val="24"/>
          <w:szCs w:val="24"/>
        </w:rPr>
        <w:t>Diabetologia</w:t>
      </w:r>
      <w:r w:rsidRPr="00752474">
        <w:rPr>
          <w:rFonts w:ascii="Calibri" w:hAnsi="Calibri" w:cs="Calibri"/>
          <w:noProof/>
          <w:sz w:val="24"/>
          <w:szCs w:val="24"/>
        </w:rPr>
        <w:t xml:space="preserve"> </w:t>
      </w:r>
      <w:r w:rsidRPr="00752474">
        <w:rPr>
          <w:rFonts w:ascii="Calibri" w:hAnsi="Calibri" w:cs="Calibri"/>
          <w:b/>
          <w:bCs/>
          <w:noProof/>
          <w:sz w:val="24"/>
          <w:szCs w:val="24"/>
        </w:rPr>
        <w:t>62,</w:t>
      </w:r>
      <w:r w:rsidRPr="00752474">
        <w:rPr>
          <w:rFonts w:ascii="Calibri" w:hAnsi="Calibri" w:cs="Calibri"/>
          <w:noProof/>
          <w:sz w:val="24"/>
          <w:szCs w:val="24"/>
        </w:rPr>
        <w:t xml:space="preserve"> 408–417 (2019).</w:t>
      </w:r>
    </w:p>
    <w:p w14:paraId="3AD49A71"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4.</w:t>
      </w:r>
      <w:r w:rsidRPr="00752474">
        <w:rPr>
          <w:rFonts w:ascii="Calibri" w:hAnsi="Calibri" w:cs="Calibri"/>
          <w:noProof/>
          <w:sz w:val="24"/>
          <w:szCs w:val="24"/>
        </w:rPr>
        <w:tab/>
        <w:t xml:space="preserve">Secrest, A. M., Becker, D. J., Kelsey, S. F., Laporte, R. E. &amp; Orchard, T. J. Cause-specific mortality trends in a large population-based cohort with long-standing childhood-onset type 1 diabetes. </w:t>
      </w:r>
      <w:r w:rsidRPr="00752474">
        <w:rPr>
          <w:rFonts w:ascii="Calibri" w:hAnsi="Calibri" w:cs="Calibri"/>
          <w:i/>
          <w:iCs/>
          <w:noProof/>
          <w:sz w:val="24"/>
          <w:szCs w:val="24"/>
        </w:rPr>
        <w:t>Diabetes</w:t>
      </w:r>
      <w:r w:rsidRPr="00752474">
        <w:rPr>
          <w:rFonts w:ascii="Calibri" w:hAnsi="Calibri" w:cs="Calibri"/>
          <w:noProof/>
          <w:sz w:val="24"/>
          <w:szCs w:val="24"/>
        </w:rPr>
        <w:t xml:space="preserve"> </w:t>
      </w:r>
      <w:r w:rsidRPr="00752474">
        <w:rPr>
          <w:rFonts w:ascii="Calibri" w:hAnsi="Calibri" w:cs="Calibri"/>
          <w:b/>
          <w:bCs/>
          <w:noProof/>
          <w:sz w:val="24"/>
          <w:szCs w:val="24"/>
        </w:rPr>
        <w:t>59,</w:t>
      </w:r>
      <w:r w:rsidRPr="00752474">
        <w:rPr>
          <w:rFonts w:ascii="Calibri" w:hAnsi="Calibri" w:cs="Calibri"/>
          <w:noProof/>
          <w:sz w:val="24"/>
          <w:szCs w:val="24"/>
        </w:rPr>
        <w:t xml:space="preserve"> 3216–22 (2010).</w:t>
      </w:r>
    </w:p>
    <w:p w14:paraId="0935AF94"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5.</w:t>
      </w:r>
      <w:r w:rsidRPr="00752474">
        <w:rPr>
          <w:rFonts w:ascii="Calibri" w:hAnsi="Calibri" w:cs="Calibri"/>
          <w:noProof/>
          <w:sz w:val="24"/>
          <w:szCs w:val="24"/>
        </w:rPr>
        <w:tab/>
        <w:t xml:space="preserve">Bjornstad, P., Donaghue, K. C. &amp; Maahs, D. M. Macrovascular disease and risk factors in youth with type 1 diabetes: time to be more attentive to treatment? </w:t>
      </w:r>
      <w:r w:rsidRPr="00752474">
        <w:rPr>
          <w:rFonts w:ascii="Calibri" w:hAnsi="Calibri" w:cs="Calibri"/>
          <w:i/>
          <w:iCs/>
          <w:noProof/>
          <w:sz w:val="24"/>
          <w:szCs w:val="24"/>
        </w:rPr>
        <w:t>Lancet Diabetes Endocrinol.</w:t>
      </w:r>
      <w:r w:rsidRPr="00752474">
        <w:rPr>
          <w:rFonts w:ascii="Calibri" w:hAnsi="Calibri" w:cs="Calibri"/>
          <w:noProof/>
          <w:sz w:val="24"/>
          <w:szCs w:val="24"/>
        </w:rPr>
        <w:t xml:space="preserve"> </w:t>
      </w:r>
      <w:r w:rsidRPr="00752474">
        <w:rPr>
          <w:rFonts w:ascii="Calibri" w:hAnsi="Calibri" w:cs="Calibri"/>
          <w:b/>
          <w:bCs/>
          <w:noProof/>
          <w:sz w:val="24"/>
          <w:szCs w:val="24"/>
        </w:rPr>
        <w:t>6,</w:t>
      </w:r>
      <w:r w:rsidRPr="00752474">
        <w:rPr>
          <w:rFonts w:ascii="Calibri" w:hAnsi="Calibri" w:cs="Calibri"/>
          <w:noProof/>
          <w:sz w:val="24"/>
          <w:szCs w:val="24"/>
        </w:rPr>
        <w:t xml:space="preserve"> 809–820 (2018).</w:t>
      </w:r>
    </w:p>
    <w:p w14:paraId="6B9D8207"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6.</w:t>
      </w:r>
      <w:r w:rsidRPr="00752474">
        <w:rPr>
          <w:rFonts w:ascii="Calibri" w:hAnsi="Calibri" w:cs="Calibri"/>
          <w:noProof/>
          <w:sz w:val="24"/>
          <w:szCs w:val="24"/>
        </w:rPr>
        <w:tab/>
        <w:t xml:space="preserve">Barrett, E. J. </w:t>
      </w:r>
      <w:r w:rsidRPr="00752474">
        <w:rPr>
          <w:rFonts w:ascii="Calibri" w:hAnsi="Calibri" w:cs="Calibri"/>
          <w:i/>
          <w:iCs/>
          <w:noProof/>
          <w:sz w:val="24"/>
          <w:szCs w:val="24"/>
        </w:rPr>
        <w:t>et al.</w:t>
      </w:r>
      <w:r w:rsidRPr="00752474">
        <w:rPr>
          <w:rFonts w:ascii="Calibri" w:hAnsi="Calibri" w:cs="Calibri"/>
          <w:noProof/>
          <w:sz w:val="24"/>
          <w:szCs w:val="24"/>
        </w:rPr>
        <w:t xml:space="preserve"> Diabetic Microvascular Disease: An Endocrine Society Scientific Statement. </w:t>
      </w:r>
      <w:r w:rsidRPr="00752474">
        <w:rPr>
          <w:rFonts w:ascii="Calibri" w:hAnsi="Calibri" w:cs="Calibri"/>
          <w:i/>
          <w:iCs/>
          <w:noProof/>
          <w:sz w:val="24"/>
          <w:szCs w:val="24"/>
        </w:rPr>
        <w:t>J. Clin. Endocrinol. Metab.</w:t>
      </w:r>
      <w:r w:rsidRPr="00752474">
        <w:rPr>
          <w:rFonts w:ascii="Calibri" w:hAnsi="Calibri" w:cs="Calibri"/>
          <w:noProof/>
          <w:sz w:val="24"/>
          <w:szCs w:val="24"/>
        </w:rPr>
        <w:t xml:space="preserve"> </w:t>
      </w:r>
      <w:r w:rsidRPr="00752474">
        <w:rPr>
          <w:rFonts w:ascii="Calibri" w:hAnsi="Calibri" w:cs="Calibri"/>
          <w:b/>
          <w:bCs/>
          <w:noProof/>
          <w:sz w:val="24"/>
          <w:szCs w:val="24"/>
        </w:rPr>
        <w:t>102,</w:t>
      </w:r>
      <w:r w:rsidRPr="00752474">
        <w:rPr>
          <w:rFonts w:ascii="Calibri" w:hAnsi="Calibri" w:cs="Calibri"/>
          <w:noProof/>
          <w:sz w:val="24"/>
          <w:szCs w:val="24"/>
        </w:rPr>
        <w:t xml:space="preserve"> 4343–4410 (2017).</w:t>
      </w:r>
    </w:p>
    <w:p w14:paraId="14922867"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7.</w:t>
      </w:r>
      <w:r w:rsidRPr="00752474">
        <w:rPr>
          <w:rFonts w:ascii="Calibri" w:hAnsi="Calibri" w:cs="Calibri"/>
          <w:noProof/>
          <w:sz w:val="24"/>
          <w:szCs w:val="24"/>
        </w:rPr>
        <w:tab/>
        <w:t xml:space="preserve">Patterson, C. C. </w:t>
      </w:r>
      <w:r w:rsidRPr="00752474">
        <w:rPr>
          <w:rFonts w:ascii="Calibri" w:hAnsi="Calibri" w:cs="Calibri"/>
          <w:i/>
          <w:iCs/>
          <w:noProof/>
          <w:sz w:val="24"/>
          <w:szCs w:val="24"/>
        </w:rPr>
        <w:t>et al.</w:t>
      </w:r>
      <w:r w:rsidRPr="00752474">
        <w:rPr>
          <w:rFonts w:ascii="Calibri" w:hAnsi="Calibri" w:cs="Calibri"/>
          <w:noProof/>
          <w:sz w:val="24"/>
          <w:szCs w:val="24"/>
        </w:rPr>
        <w:t xml:space="preserve"> Early mortality in EURODIAB population-based cohorts of type 1 diabetes diagnosed in childhood since 1989. </w:t>
      </w:r>
      <w:r w:rsidRPr="00752474">
        <w:rPr>
          <w:rFonts w:ascii="Calibri" w:hAnsi="Calibri" w:cs="Calibri"/>
          <w:i/>
          <w:iCs/>
          <w:noProof/>
          <w:sz w:val="24"/>
          <w:szCs w:val="24"/>
        </w:rPr>
        <w:t>Diabetologia</w:t>
      </w:r>
      <w:r w:rsidRPr="00752474">
        <w:rPr>
          <w:rFonts w:ascii="Calibri" w:hAnsi="Calibri" w:cs="Calibri"/>
          <w:noProof/>
          <w:sz w:val="24"/>
          <w:szCs w:val="24"/>
        </w:rPr>
        <w:t xml:space="preserve"> </w:t>
      </w:r>
      <w:r w:rsidRPr="00752474">
        <w:rPr>
          <w:rFonts w:ascii="Calibri" w:hAnsi="Calibri" w:cs="Calibri"/>
          <w:b/>
          <w:bCs/>
          <w:noProof/>
          <w:sz w:val="24"/>
          <w:szCs w:val="24"/>
        </w:rPr>
        <w:t>50,</w:t>
      </w:r>
      <w:r w:rsidRPr="00752474">
        <w:rPr>
          <w:rFonts w:ascii="Calibri" w:hAnsi="Calibri" w:cs="Calibri"/>
          <w:noProof/>
          <w:sz w:val="24"/>
          <w:szCs w:val="24"/>
        </w:rPr>
        <w:t xml:space="preserve"> 2439–42 (2007).</w:t>
      </w:r>
    </w:p>
    <w:p w14:paraId="4624B396"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8.</w:t>
      </w:r>
      <w:r w:rsidRPr="00752474">
        <w:rPr>
          <w:rFonts w:ascii="Calibri" w:hAnsi="Calibri" w:cs="Calibri"/>
          <w:noProof/>
          <w:sz w:val="24"/>
          <w:szCs w:val="24"/>
        </w:rPr>
        <w:tab/>
        <w:t xml:space="preserve">Livingstone, S. J. </w:t>
      </w:r>
      <w:r w:rsidRPr="00752474">
        <w:rPr>
          <w:rFonts w:ascii="Calibri" w:hAnsi="Calibri" w:cs="Calibri"/>
          <w:i/>
          <w:iCs/>
          <w:noProof/>
          <w:sz w:val="24"/>
          <w:szCs w:val="24"/>
        </w:rPr>
        <w:t>et al.</w:t>
      </w:r>
      <w:r w:rsidRPr="00752474">
        <w:rPr>
          <w:rFonts w:ascii="Calibri" w:hAnsi="Calibri" w:cs="Calibri"/>
          <w:noProof/>
          <w:sz w:val="24"/>
          <w:szCs w:val="24"/>
        </w:rPr>
        <w:t xml:space="preserve"> Estimated life expectancy in a Scottish cohort with type 1 diabetes, 2008-2010. </w:t>
      </w:r>
      <w:r w:rsidRPr="00752474">
        <w:rPr>
          <w:rFonts w:ascii="Calibri" w:hAnsi="Calibri" w:cs="Calibri"/>
          <w:i/>
          <w:iCs/>
          <w:noProof/>
          <w:sz w:val="24"/>
          <w:szCs w:val="24"/>
        </w:rPr>
        <w:t>JAMA</w:t>
      </w:r>
      <w:r w:rsidRPr="00752474">
        <w:rPr>
          <w:rFonts w:ascii="Calibri" w:hAnsi="Calibri" w:cs="Calibri"/>
          <w:noProof/>
          <w:sz w:val="24"/>
          <w:szCs w:val="24"/>
        </w:rPr>
        <w:t xml:space="preserve"> </w:t>
      </w:r>
      <w:r w:rsidRPr="00752474">
        <w:rPr>
          <w:rFonts w:ascii="Calibri" w:hAnsi="Calibri" w:cs="Calibri"/>
          <w:b/>
          <w:bCs/>
          <w:noProof/>
          <w:sz w:val="24"/>
          <w:szCs w:val="24"/>
        </w:rPr>
        <w:t>313,</w:t>
      </w:r>
      <w:r w:rsidRPr="00752474">
        <w:rPr>
          <w:rFonts w:ascii="Calibri" w:hAnsi="Calibri" w:cs="Calibri"/>
          <w:noProof/>
          <w:sz w:val="24"/>
          <w:szCs w:val="24"/>
        </w:rPr>
        <w:t xml:space="preserve"> 37–44 (2015).</w:t>
      </w:r>
    </w:p>
    <w:p w14:paraId="090A55DD"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9.</w:t>
      </w:r>
      <w:r w:rsidRPr="00752474">
        <w:rPr>
          <w:rFonts w:ascii="Calibri" w:hAnsi="Calibri" w:cs="Calibri"/>
          <w:noProof/>
          <w:sz w:val="24"/>
          <w:szCs w:val="24"/>
        </w:rPr>
        <w:tab/>
        <w:t xml:space="preserve">Petrie, D. </w:t>
      </w:r>
      <w:r w:rsidRPr="00752474">
        <w:rPr>
          <w:rFonts w:ascii="Calibri" w:hAnsi="Calibri" w:cs="Calibri"/>
          <w:i/>
          <w:iCs/>
          <w:noProof/>
          <w:sz w:val="24"/>
          <w:szCs w:val="24"/>
        </w:rPr>
        <w:t>et al.</w:t>
      </w:r>
      <w:r w:rsidRPr="00752474">
        <w:rPr>
          <w:rFonts w:ascii="Calibri" w:hAnsi="Calibri" w:cs="Calibri"/>
          <w:noProof/>
          <w:sz w:val="24"/>
          <w:szCs w:val="24"/>
        </w:rPr>
        <w:t xml:space="preserve"> Recent trends in life expectancy for people with type 1 diabetes in Sweden. </w:t>
      </w:r>
      <w:r w:rsidRPr="00752474">
        <w:rPr>
          <w:rFonts w:ascii="Calibri" w:hAnsi="Calibri" w:cs="Calibri"/>
          <w:i/>
          <w:iCs/>
          <w:noProof/>
          <w:sz w:val="24"/>
          <w:szCs w:val="24"/>
        </w:rPr>
        <w:t>Diabetologia</w:t>
      </w:r>
      <w:r w:rsidRPr="00752474">
        <w:rPr>
          <w:rFonts w:ascii="Calibri" w:hAnsi="Calibri" w:cs="Calibri"/>
          <w:noProof/>
          <w:sz w:val="24"/>
          <w:szCs w:val="24"/>
        </w:rPr>
        <w:t xml:space="preserve"> </w:t>
      </w:r>
      <w:r w:rsidRPr="00752474">
        <w:rPr>
          <w:rFonts w:ascii="Calibri" w:hAnsi="Calibri" w:cs="Calibri"/>
          <w:b/>
          <w:bCs/>
          <w:noProof/>
          <w:sz w:val="24"/>
          <w:szCs w:val="24"/>
        </w:rPr>
        <w:t>59,</w:t>
      </w:r>
      <w:r w:rsidRPr="00752474">
        <w:rPr>
          <w:rFonts w:ascii="Calibri" w:hAnsi="Calibri" w:cs="Calibri"/>
          <w:noProof/>
          <w:sz w:val="24"/>
          <w:szCs w:val="24"/>
        </w:rPr>
        <w:t xml:space="preserve"> 1167–76 (2016).</w:t>
      </w:r>
    </w:p>
    <w:p w14:paraId="6C8CC6FD"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10.</w:t>
      </w:r>
      <w:r w:rsidRPr="00752474">
        <w:rPr>
          <w:rFonts w:ascii="Calibri" w:hAnsi="Calibri" w:cs="Calibri"/>
          <w:noProof/>
          <w:sz w:val="24"/>
          <w:szCs w:val="24"/>
        </w:rPr>
        <w:tab/>
        <w:t xml:space="preserve">Huo, L., Harding, J. L., Peeters, A., Shaw, J. E. &amp; Magliano, D. J. Life expectancy of type 1 diabetic patients during 1997-2010: a national Australian registry-based cohort study. </w:t>
      </w:r>
      <w:r w:rsidRPr="00752474">
        <w:rPr>
          <w:rFonts w:ascii="Calibri" w:hAnsi="Calibri" w:cs="Calibri"/>
          <w:i/>
          <w:iCs/>
          <w:noProof/>
          <w:sz w:val="24"/>
          <w:szCs w:val="24"/>
        </w:rPr>
        <w:t>Diabetologia</w:t>
      </w:r>
      <w:r w:rsidRPr="00752474">
        <w:rPr>
          <w:rFonts w:ascii="Calibri" w:hAnsi="Calibri" w:cs="Calibri"/>
          <w:noProof/>
          <w:sz w:val="24"/>
          <w:szCs w:val="24"/>
        </w:rPr>
        <w:t xml:space="preserve"> </w:t>
      </w:r>
      <w:r w:rsidRPr="00752474">
        <w:rPr>
          <w:rFonts w:ascii="Calibri" w:hAnsi="Calibri" w:cs="Calibri"/>
          <w:b/>
          <w:bCs/>
          <w:noProof/>
          <w:sz w:val="24"/>
          <w:szCs w:val="24"/>
        </w:rPr>
        <w:t>59,</w:t>
      </w:r>
      <w:r w:rsidRPr="00752474">
        <w:rPr>
          <w:rFonts w:ascii="Calibri" w:hAnsi="Calibri" w:cs="Calibri"/>
          <w:noProof/>
          <w:sz w:val="24"/>
          <w:szCs w:val="24"/>
        </w:rPr>
        <w:t xml:space="preserve"> 1177–85 (2016).</w:t>
      </w:r>
    </w:p>
    <w:p w14:paraId="6FBAD197"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11.</w:t>
      </w:r>
      <w:r w:rsidRPr="00752474">
        <w:rPr>
          <w:rFonts w:ascii="Calibri" w:hAnsi="Calibri" w:cs="Calibri"/>
          <w:noProof/>
          <w:sz w:val="24"/>
          <w:szCs w:val="24"/>
        </w:rPr>
        <w:tab/>
        <w:t xml:space="preserve">Gregg, E. W. </w:t>
      </w:r>
      <w:r w:rsidRPr="00752474">
        <w:rPr>
          <w:rFonts w:ascii="Calibri" w:hAnsi="Calibri" w:cs="Calibri"/>
          <w:i/>
          <w:iCs/>
          <w:noProof/>
          <w:sz w:val="24"/>
          <w:szCs w:val="24"/>
        </w:rPr>
        <w:t>et al.</w:t>
      </w:r>
      <w:r w:rsidRPr="00752474">
        <w:rPr>
          <w:rFonts w:ascii="Calibri" w:hAnsi="Calibri" w:cs="Calibri"/>
          <w:noProof/>
          <w:sz w:val="24"/>
          <w:szCs w:val="24"/>
        </w:rPr>
        <w:t xml:space="preserve"> Trends in cause-specific mortality among adults with and without diagnosed diabetes in the USA: an epidemiological analysis of linked national survey and vital statistics data. </w:t>
      </w:r>
      <w:r w:rsidRPr="00752474">
        <w:rPr>
          <w:rFonts w:ascii="Calibri" w:hAnsi="Calibri" w:cs="Calibri"/>
          <w:i/>
          <w:iCs/>
          <w:noProof/>
          <w:sz w:val="24"/>
          <w:szCs w:val="24"/>
        </w:rPr>
        <w:t>Lancet</w:t>
      </w:r>
      <w:r w:rsidRPr="00752474">
        <w:rPr>
          <w:rFonts w:ascii="Calibri" w:hAnsi="Calibri" w:cs="Calibri"/>
          <w:noProof/>
          <w:sz w:val="24"/>
          <w:szCs w:val="24"/>
        </w:rPr>
        <w:t xml:space="preserve"> </w:t>
      </w:r>
      <w:r w:rsidRPr="00752474">
        <w:rPr>
          <w:rFonts w:ascii="Calibri" w:hAnsi="Calibri" w:cs="Calibri"/>
          <w:b/>
          <w:bCs/>
          <w:noProof/>
          <w:sz w:val="24"/>
          <w:szCs w:val="24"/>
        </w:rPr>
        <w:t>391,</w:t>
      </w:r>
      <w:r w:rsidRPr="00752474">
        <w:rPr>
          <w:rFonts w:ascii="Calibri" w:hAnsi="Calibri" w:cs="Calibri"/>
          <w:noProof/>
          <w:sz w:val="24"/>
          <w:szCs w:val="24"/>
        </w:rPr>
        <w:t xml:space="preserve"> 2430–2440 (2018).</w:t>
      </w:r>
    </w:p>
    <w:p w14:paraId="6D078D75"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12.</w:t>
      </w:r>
      <w:r w:rsidRPr="00752474">
        <w:rPr>
          <w:rFonts w:ascii="Calibri" w:hAnsi="Calibri" w:cs="Calibri"/>
          <w:noProof/>
          <w:sz w:val="24"/>
          <w:szCs w:val="24"/>
        </w:rPr>
        <w:tab/>
        <w:t xml:space="preserve">Rawshani, A. </w:t>
      </w:r>
      <w:r w:rsidRPr="00752474">
        <w:rPr>
          <w:rFonts w:ascii="Calibri" w:hAnsi="Calibri" w:cs="Calibri"/>
          <w:i/>
          <w:iCs/>
          <w:noProof/>
          <w:sz w:val="24"/>
          <w:szCs w:val="24"/>
        </w:rPr>
        <w:t>et al.</w:t>
      </w:r>
      <w:r w:rsidRPr="00752474">
        <w:rPr>
          <w:rFonts w:ascii="Calibri" w:hAnsi="Calibri" w:cs="Calibri"/>
          <w:noProof/>
          <w:sz w:val="24"/>
          <w:szCs w:val="24"/>
        </w:rPr>
        <w:t xml:space="preserve"> Excess mortality and cardiovascular disease in young adults with type 1 diabetes in relation to age at onset: a nationwide, register-based cohort study. </w:t>
      </w:r>
      <w:r w:rsidRPr="00752474">
        <w:rPr>
          <w:rFonts w:ascii="Calibri" w:hAnsi="Calibri" w:cs="Calibri"/>
          <w:i/>
          <w:iCs/>
          <w:noProof/>
          <w:sz w:val="24"/>
          <w:szCs w:val="24"/>
        </w:rPr>
        <w:t>Lancet</w:t>
      </w:r>
      <w:r w:rsidRPr="00752474">
        <w:rPr>
          <w:rFonts w:ascii="Calibri" w:hAnsi="Calibri" w:cs="Calibri"/>
          <w:noProof/>
          <w:sz w:val="24"/>
          <w:szCs w:val="24"/>
        </w:rPr>
        <w:t xml:space="preserve"> </w:t>
      </w:r>
      <w:r w:rsidRPr="00752474">
        <w:rPr>
          <w:rFonts w:ascii="Calibri" w:hAnsi="Calibri" w:cs="Calibri"/>
          <w:b/>
          <w:bCs/>
          <w:noProof/>
          <w:sz w:val="24"/>
          <w:szCs w:val="24"/>
        </w:rPr>
        <w:t>392,</w:t>
      </w:r>
      <w:r w:rsidRPr="00752474">
        <w:rPr>
          <w:rFonts w:ascii="Calibri" w:hAnsi="Calibri" w:cs="Calibri"/>
          <w:noProof/>
          <w:sz w:val="24"/>
          <w:szCs w:val="24"/>
        </w:rPr>
        <w:t xml:space="preserve"> 477–486 (2018).</w:t>
      </w:r>
    </w:p>
    <w:p w14:paraId="55CAA83B"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13.</w:t>
      </w:r>
      <w:r w:rsidRPr="00752474">
        <w:rPr>
          <w:rFonts w:ascii="Calibri" w:hAnsi="Calibri" w:cs="Calibri"/>
          <w:noProof/>
          <w:sz w:val="24"/>
          <w:szCs w:val="24"/>
        </w:rPr>
        <w:tab/>
        <w:t xml:space="preserve">Cameron, F. J. &amp; Wherrett, D. K. Care of diabetes in children and adolescents: controversies, changes, and consensus. </w:t>
      </w:r>
      <w:r w:rsidRPr="00752474">
        <w:rPr>
          <w:rFonts w:ascii="Calibri" w:hAnsi="Calibri" w:cs="Calibri"/>
          <w:i/>
          <w:iCs/>
          <w:noProof/>
          <w:sz w:val="24"/>
          <w:szCs w:val="24"/>
        </w:rPr>
        <w:t>Lancet</w:t>
      </w:r>
      <w:r w:rsidRPr="00752474">
        <w:rPr>
          <w:rFonts w:ascii="Calibri" w:hAnsi="Calibri" w:cs="Calibri"/>
          <w:noProof/>
          <w:sz w:val="24"/>
          <w:szCs w:val="24"/>
        </w:rPr>
        <w:t xml:space="preserve"> </w:t>
      </w:r>
      <w:r w:rsidRPr="00752474">
        <w:rPr>
          <w:rFonts w:ascii="Calibri" w:hAnsi="Calibri" w:cs="Calibri"/>
          <w:b/>
          <w:bCs/>
          <w:noProof/>
          <w:sz w:val="24"/>
          <w:szCs w:val="24"/>
        </w:rPr>
        <w:t>385,</w:t>
      </w:r>
      <w:r w:rsidRPr="00752474">
        <w:rPr>
          <w:rFonts w:ascii="Calibri" w:hAnsi="Calibri" w:cs="Calibri"/>
          <w:noProof/>
          <w:sz w:val="24"/>
          <w:szCs w:val="24"/>
        </w:rPr>
        <w:t xml:space="preserve"> 2096–2106 (2015).</w:t>
      </w:r>
    </w:p>
    <w:p w14:paraId="5AA4BA78"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14.</w:t>
      </w:r>
      <w:r w:rsidRPr="00752474">
        <w:rPr>
          <w:rFonts w:ascii="Calibri" w:hAnsi="Calibri" w:cs="Calibri"/>
          <w:noProof/>
          <w:sz w:val="24"/>
          <w:szCs w:val="24"/>
        </w:rPr>
        <w:tab/>
        <w:t xml:space="preserve">Cameron, F. J., Garvey, K., Hood, K. K., Acerini, C. L. &amp; Codner, E. ISPAD Clinical Practice Consensus Guidelines 2018: Diabetes in adolescence. </w:t>
      </w:r>
      <w:r w:rsidRPr="00752474">
        <w:rPr>
          <w:rFonts w:ascii="Calibri" w:hAnsi="Calibri" w:cs="Calibri"/>
          <w:i/>
          <w:iCs/>
          <w:noProof/>
          <w:sz w:val="24"/>
          <w:szCs w:val="24"/>
        </w:rPr>
        <w:t>Pediatr. Diabetes</w:t>
      </w:r>
      <w:r w:rsidRPr="00752474">
        <w:rPr>
          <w:rFonts w:ascii="Calibri" w:hAnsi="Calibri" w:cs="Calibri"/>
          <w:noProof/>
          <w:sz w:val="24"/>
          <w:szCs w:val="24"/>
        </w:rPr>
        <w:t xml:space="preserve"> </w:t>
      </w:r>
      <w:r w:rsidRPr="00752474">
        <w:rPr>
          <w:rFonts w:ascii="Calibri" w:hAnsi="Calibri" w:cs="Calibri"/>
          <w:b/>
          <w:bCs/>
          <w:noProof/>
          <w:sz w:val="24"/>
          <w:szCs w:val="24"/>
        </w:rPr>
        <w:t>19,</w:t>
      </w:r>
      <w:r w:rsidRPr="00752474">
        <w:rPr>
          <w:rFonts w:ascii="Calibri" w:hAnsi="Calibri" w:cs="Calibri"/>
          <w:noProof/>
          <w:sz w:val="24"/>
          <w:szCs w:val="24"/>
        </w:rPr>
        <w:t xml:space="preserve"> 250–261 (2018).</w:t>
      </w:r>
    </w:p>
    <w:p w14:paraId="7C928207"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15.</w:t>
      </w:r>
      <w:r w:rsidRPr="00752474">
        <w:rPr>
          <w:rFonts w:ascii="Calibri" w:hAnsi="Calibri" w:cs="Calibri"/>
          <w:noProof/>
          <w:sz w:val="24"/>
          <w:szCs w:val="24"/>
        </w:rPr>
        <w:tab/>
        <w:t xml:space="preserve">Marcovecchio, M. L., Tossavainen, P. H. &amp; Dunger, D. B. Status and rationale of renoprotection studies in adolescents with type 1 diabetes. </w:t>
      </w:r>
      <w:r w:rsidRPr="00752474">
        <w:rPr>
          <w:rFonts w:ascii="Calibri" w:hAnsi="Calibri" w:cs="Calibri"/>
          <w:i/>
          <w:iCs/>
          <w:noProof/>
          <w:sz w:val="24"/>
          <w:szCs w:val="24"/>
        </w:rPr>
        <w:t>Pediatr. Diabetes</w:t>
      </w:r>
      <w:r w:rsidRPr="00752474">
        <w:rPr>
          <w:rFonts w:ascii="Calibri" w:hAnsi="Calibri" w:cs="Calibri"/>
          <w:noProof/>
          <w:sz w:val="24"/>
          <w:szCs w:val="24"/>
        </w:rPr>
        <w:t xml:space="preserve"> </w:t>
      </w:r>
      <w:r w:rsidRPr="00752474">
        <w:rPr>
          <w:rFonts w:ascii="Calibri" w:hAnsi="Calibri" w:cs="Calibri"/>
          <w:b/>
          <w:bCs/>
          <w:noProof/>
          <w:sz w:val="24"/>
          <w:szCs w:val="24"/>
        </w:rPr>
        <w:t>10,</w:t>
      </w:r>
      <w:r w:rsidRPr="00752474">
        <w:rPr>
          <w:rFonts w:ascii="Calibri" w:hAnsi="Calibri" w:cs="Calibri"/>
          <w:noProof/>
          <w:sz w:val="24"/>
          <w:szCs w:val="24"/>
        </w:rPr>
        <w:t xml:space="preserve"> 347–355 (2009).</w:t>
      </w:r>
    </w:p>
    <w:p w14:paraId="1B935117"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16.</w:t>
      </w:r>
      <w:r w:rsidRPr="00752474">
        <w:rPr>
          <w:rFonts w:ascii="Calibri" w:hAnsi="Calibri" w:cs="Calibri"/>
          <w:noProof/>
          <w:sz w:val="24"/>
          <w:szCs w:val="24"/>
        </w:rPr>
        <w:tab/>
        <w:t xml:space="preserve">Sauder, K. A. </w:t>
      </w:r>
      <w:r w:rsidRPr="00752474">
        <w:rPr>
          <w:rFonts w:ascii="Calibri" w:hAnsi="Calibri" w:cs="Calibri"/>
          <w:i/>
          <w:iCs/>
          <w:noProof/>
          <w:sz w:val="24"/>
          <w:szCs w:val="24"/>
        </w:rPr>
        <w:t>et al.</w:t>
      </w:r>
      <w:r w:rsidRPr="00752474">
        <w:rPr>
          <w:rFonts w:ascii="Calibri" w:hAnsi="Calibri" w:cs="Calibri"/>
          <w:noProof/>
          <w:sz w:val="24"/>
          <w:szCs w:val="24"/>
        </w:rPr>
        <w:t xml:space="preserve"> Co-occurrence of early diabetes-related complications in adolescents and young adults with type 1 diabetes: an observational cohort study. </w:t>
      </w:r>
      <w:r w:rsidRPr="00752474">
        <w:rPr>
          <w:rFonts w:ascii="Calibri" w:hAnsi="Calibri" w:cs="Calibri"/>
          <w:i/>
          <w:iCs/>
          <w:noProof/>
          <w:sz w:val="24"/>
          <w:szCs w:val="24"/>
        </w:rPr>
        <w:t>Lancet Child Adolesc. Heal.</w:t>
      </w:r>
      <w:r w:rsidRPr="00752474">
        <w:rPr>
          <w:rFonts w:ascii="Calibri" w:hAnsi="Calibri" w:cs="Calibri"/>
          <w:noProof/>
          <w:sz w:val="24"/>
          <w:szCs w:val="24"/>
        </w:rPr>
        <w:t xml:space="preserve"> </w:t>
      </w:r>
      <w:r w:rsidRPr="00752474">
        <w:rPr>
          <w:rFonts w:ascii="Calibri" w:hAnsi="Calibri" w:cs="Calibri"/>
          <w:b/>
          <w:bCs/>
          <w:noProof/>
          <w:sz w:val="24"/>
          <w:szCs w:val="24"/>
        </w:rPr>
        <w:t>3,</w:t>
      </w:r>
      <w:r w:rsidRPr="00752474">
        <w:rPr>
          <w:rFonts w:ascii="Calibri" w:hAnsi="Calibri" w:cs="Calibri"/>
          <w:noProof/>
          <w:sz w:val="24"/>
          <w:szCs w:val="24"/>
        </w:rPr>
        <w:t xml:space="preserve"> 35–43 (2019).</w:t>
      </w:r>
    </w:p>
    <w:p w14:paraId="7D9A8D48" w14:textId="42846C93"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17.</w:t>
      </w:r>
      <w:r w:rsidRPr="00752474">
        <w:rPr>
          <w:rFonts w:ascii="Calibri" w:hAnsi="Calibri" w:cs="Calibri"/>
          <w:noProof/>
          <w:sz w:val="24"/>
          <w:szCs w:val="24"/>
        </w:rPr>
        <w:tab/>
      </w:r>
      <w:r w:rsidR="005D7AEE">
        <w:rPr>
          <w:rFonts w:ascii="Calibri" w:hAnsi="Calibri" w:cs="Calibri"/>
          <w:noProof/>
          <w:sz w:val="24"/>
          <w:szCs w:val="24"/>
        </w:rPr>
        <w:t>D</w:t>
      </w:r>
      <w:r w:rsidR="005D7AEE" w:rsidRPr="008A5C8C">
        <w:rPr>
          <w:rFonts w:ascii="Calibri" w:hAnsi="Calibri" w:cs="Calibri"/>
          <w:noProof/>
          <w:sz w:val="24"/>
          <w:szCs w:val="24"/>
        </w:rPr>
        <w:t>iabetes Control and Complications Trial</w:t>
      </w:r>
      <w:r w:rsidR="005D7AEE">
        <w:rPr>
          <w:rFonts w:ascii="Calibri" w:hAnsi="Calibri" w:cs="Calibri"/>
          <w:noProof/>
          <w:sz w:val="24"/>
          <w:szCs w:val="24"/>
        </w:rPr>
        <w:t xml:space="preserve"> Research group</w:t>
      </w:r>
      <w:r w:rsidR="005D7AEE" w:rsidRPr="008A5C8C">
        <w:rPr>
          <w:rFonts w:ascii="Calibri" w:hAnsi="Calibri" w:cs="Calibri"/>
          <w:i/>
          <w:iCs/>
          <w:noProof/>
          <w:sz w:val="24"/>
          <w:szCs w:val="24"/>
        </w:rPr>
        <w:t>.</w:t>
      </w:r>
      <w:r w:rsidRPr="00752474">
        <w:rPr>
          <w:rFonts w:ascii="Calibri" w:hAnsi="Calibri" w:cs="Calibri"/>
          <w:noProof/>
          <w:sz w:val="24"/>
          <w:szCs w:val="24"/>
        </w:rPr>
        <w:t xml:space="preserve"> The Effect of Intensive Treatment of Diabetes on the Development and Progression of Long-Term Complications in Insulin-Dependent Diabetes Mellitus. </w:t>
      </w:r>
      <w:r w:rsidRPr="00752474">
        <w:rPr>
          <w:rFonts w:ascii="Calibri" w:hAnsi="Calibri" w:cs="Calibri"/>
          <w:i/>
          <w:iCs/>
          <w:noProof/>
          <w:sz w:val="24"/>
          <w:szCs w:val="24"/>
        </w:rPr>
        <w:t>N. Engl. J. Med.</w:t>
      </w:r>
      <w:r w:rsidRPr="00752474">
        <w:rPr>
          <w:rFonts w:ascii="Calibri" w:hAnsi="Calibri" w:cs="Calibri"/>
          <w:noProof/>
          <w:sz w:val="24"/>
          <w:szCs w:val="24"/>
        </w:rPr>
        <w:t xml:space="preserve"> </w:t>
      </w:r>
      <w:r w:rsidRPr="00752474">
        <w:rPr>
          <w:rFonts w:ascii="Calibri" w:hAnsi="Calibri" w:cs="Calibri"/>
          <w:b/>
          <w:bCs/>
          <w:noProof/>
          <w:sz w:val="24"/>
          <w:szCs w:val="24"/>
        </w:rPr>
        <w:t>329,</w:t>
      </w:r>
      <w:r w:rsidRPr="00752474">
        <w:rPr>
          <w:rFonts w:ascii="Calibri" w:hAnsi="Calibri" w:cs="Calibri"/>
          <w:noProof/>
          <w:sz w:val="24"/>
          <w:szCs w:val="24"/>
        </w:rPr>
        <w:t xml:space="preserve"> 977–986 (1993).</w:t>
      </w:r>
    </w:p>
    <w:p w14:paraId="2D2B109F"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18.</w:t>
      </w:r>
      <w:r w:rsidRPr="00752474">
        <w:rPr>
          <w:rFonts w:ascii="Calibri" w:hAnsi="Calibri" w:cs="Calibri"/>
          <w:noProof/>
          <w:sz w:val="24"/>
          <w:szCs w:val="24"/>
        </w:rPr>
        <w:tab/>
        <w:t xml:space="preserve">Subramanian, S. &amp; Hirsch, I. B. Intensive Diabetes Treatment and Cardiovascular Outcomes in Type 1 Diabetes Mellitus. </w:t>
      </w:r>
      <w:r w:rsidRPr="00752474">
        <w:rPr>
          <w:rFonts w:ascii="Calibri" w:hAnsi="Calibri" w:cs="Calibri"/>
          <w:i/>
          <w:iCs/>
          <w:noProof/>
          <w:sz w:val="24"/>
          <w:szCs w:val="24"/>
        </w:rPr>
        <w:t>Endocrinol. Metab. Clin. North Am.</w:t>
      </w:r>
      <w:r w:rsidRPr="00752474">
        <w:rPr>
          <w:rFonts w:ascii="Calibri" w:hAnsi="Calibri" w:cs="Calibri"/>
          <w:noProof/>
          <w:sz w:val="24"/>
          <w:szCs w:val="24"/>
        </w:rPr>
        <w:t xml:space="preserve"> </w:t>
      </w:r>
      <w:r w:rsidRPr="00752474">
        <w:rPr>
          <w:rFonts w:ascii="Calibri" w:hAnsi="Calibri" w:cs="Calibri"/>
          <w:b/>
          <w:bCs/>
          <w:noProof/>
          <w:sz w:val="24"/>
          <w:szCs w:val="24"/>
        </w:rPr>
        <w:t>47,</w:t>
      </w:r>
      <w:r w:rsidRPr="00752474">
        <w:rPr>
          <w:rFonts w:ascii="Calibri" w:hAnsi="Calibri" w:cs="Calibri"/>
          <w:noProof/>
          <w:sz w:val="24"/>
          <w:szCs w:val="24"/>
        </w:rPr>
        <w:t xml:space="preserve"> 65–79 </w:t>
      </w:r>
      <w:r w:rsidRPr="00752474">
        <w:rPr>
          <w:rFonts w:ascii="Calibri" w:hAnsi="Calibri" w:cs="Calibri"/>
          <w:noProof/>
          <w:sz w:val="24"/>
          <w:szCs w:val="24"/>
        </w:rPr>
        <w:lastRenderedPageBreak/>
        <w:t>(2018).</w:t>
      </w:r>
    </w:p>
    <w:p w14:paraId="68297B33" w14:textId="5D262ED9"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19.</w:t>
      </w:r>
      <w:r w:rsidRPr="00752474">
        <w:rPr>
          <w:rFonts w:ascii="Calibri" w:hAnsi="Calibri" w:cs="Calibri"/>
          <w:noProof/>
          <w:sz w:val="24"/>
          <w:szCs w:val="24"/>
        </w:rPr>
        <w:tab/>
      </w:r>
      <w:r w:rsidR="005D7AEE">
        <w:rPr>
          <w:rFonts w:ascii="Calibri" w:hAnsi="Calibri" w:cs="Calibri"/>
          <w:noProof/>
          <w:sz w:val="24"/>
          <w:szCs w:val="24"/>
        </w:rPr>
        <w:t>D</w:t>
      </w:r>
      <w:r w:rsidR="005D7AEE" w:rsidRPr="008A5C8C">
        <w:rPr>
          <w:rFonts w:ascii="Calibri" w:hAnsi="Calibri" w:cs="Calibri"/>
          <w:noProof/>
          <w:sz w:val="24"/>
          <w:szCs w:val="24"/>
        </w:rPr>
        <w:t>iabetes Control and Complications Trial</w:t>
      </w:r>
      <w:r w:rsidR="005D7AEE">
        <w:rPr>
          <w:rFonts w:ascii="Calibri" w:hAnsi="Calibri" w:cs="Calibri"/>
          <w:noProof/>
          <w:sz w:val="24"/>
          <w:szCs w:val="24"/>
        </w:rPr>
        <w:t xml:space="preserve"> Research group</w:t>
      </w:r>
      <w:r w:rsidR="005D7AEE" w:rsidRPr="008A5C8C">
        <w:rPr>
          <w:rFonts w:ascii="Calibri" w:hAnsi="Calibri" w:cs="Calibri"/>
          <w:i/>
          <w:iCs/>
          <w:noProof/>
          <w:sz w:val="24"/>
          <w:szCs w:val="24"/>
        </w:rPr>
        <w:t>.</w:t>
      </w:r>
      <w:r w:rsidRPr="00752474">
        <w:rPr>
          <w:rFonts w:ascii="Calibri" w:hAnsi="Calibri" w:cs="Calibri"/>
          <w:noProof/>
          <w:sz w:val="24"/>
          <w:szCs w:val="24"/>
        </w:rPr>
        <w:t xml:space="preserve"> Effect of intensive diabetes treatment on the development and progression of long-term complications in adolescents with insulin-dependent diabetes mellitus: Diabetes Control and Complications Trial. </w:t>
      </w:r>
      <w:r w:rsidRPr="00752474">
        <w:rPr>
          <w:rFonts w:ascii="Calibri" w:hAnsi="Calibri" w:cs="Calibri"/>
          <w:i/>
          <w:iCs/>
          <w:noProof/>
          <w:sz w:val="24"/>
          <w:szCs w:val="24"/>
        </w:rPr>
        <w:t>J. Pediatr.</w:t>
      </w:r>
      <w:r w:rsidRPr="00752474">
        <w:rPr>
          <w:rFonts w:ascii="Calibri" w:hAnsi="Calibri" w:cs="Calibri"/>
          <w:noProof/>
          <w:sz w:val="24"/>
          <w:szCs w:val="24"/>
        </w:rPr>
        <w:t xml:space="preserve"> </w:t>
      </w:r>
      <w:r w:rsidRPr="00752474">
        <w:rPr>
          <w:rFonts w:ascii="Calibri" w:hAnsi="Calibri" w:cs="Calibri"/>
          <w:b/>
          <w:bCs/>
          <w:noProof/>
          <w:sz w:val="24"/>
          <w:szCs w:val="24"/>
        </w:rPr>
        <w:t>125,</w:t>
      </w:r>
      <w:r w:rsidRPr="00752474">
        <w:rPr>
          <w:rFonts w:ascii="Calibri" w:hAnsi="Calibri" w:cs="Calibri"/>
          <w:noProof/>
          <w:sz w:val="24"/>
          <w:szCs w:val="24"/>
        </w:rPr>
        <w:t xml:space="preserve"> 177–188 (1994).</w:t>
      </w:r>
    </w:p>
    <w:p w14:paraId="1A6852C2"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20.</w:t>
      </w:r>
      <w:r w:rsidRPr="00752474">
        <w:rPr>
          <w:rFonts w:ascii="Calibri" w:hAnsi="Calibri" w:cs="Calibri"/>
          <w:noProof/>
          <w:sz w:val="24"/>
          <w:szCs w:val="24"/>
        </w:rPr>
        <w:tab/>
        <w:t xml:space="preserve">American Diabetes Association. 13. Children and Adolescents: Standards of Medical Care in Diabetes-2019. </w:t>
      </w:r>
      <w:r w:rsidRPr="00752474">
        <w:rPr>
          <w:rFonts w:ascii="Calibri" w:hAnsi="Calibri" w:cs="Calibri"/>
          <w:i/>
          <w:iCs/>
          <w:noProof/>
          <w:sz w:val="24"/>
          <w:szCs w:val="24"/>
        </w:rPr>
        <w:t>Diabetes Care</w:t>
      </w:r>
      <w:r w:rsidRPr="00752474">
        <w:rPr>
          <w:rFonts w:ascii="Calibri" w:hAnsi="Calibri" w:cs="Calibri"/>
          <w:noProof/>
          <w:sz w:val="24"/>
          <w:szCs w:val="24"/>
        </w:rPr>
        <w:t xml:space="preserve"> </w:t>
      </w:r>
      <w:r w:rsidRPr="00752474">
        <w:rPr>
          <w:rFonts w:ascii="Calibri" w:hAnsi="Calibri" w:cs="Calibri"/>
          <w:b/>
          <w:bCs/>
          <w:noProof/>
          <w:sz w:val="24"/>
          <w:szCs w:val="24"/>
        </w:rPr>
        <w:t>42,</w:t>
      </w:r>
      <w:r w:rsidRPr="00752474">
        <w:rPr>
          <w:rFonts w:ascii="Calibri" w:hAnsi="Calibri" w:cs="Calibri"/>
          <w:noProof/>
          <w:sz w:val="24"/>
          <w:szCs w:val="24"/>
        </w:rPr>
        <w:t xml:space="preserve"> S148–S164 (2019).</w:t>
      </w:r>
    </w:p>
    <w:p w14:paraId="2F3BA04A"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21.</w:t>
      </w:r>
      <w:r w:rsidRPr="00752474">
        <w:rPr>
          <w:rFonts w:ascii="Calibri" w:hAnsi="Calibri" w:cs="Calibri"/>
          <w:noProof/>
          <w:sz w:val="24"/>
          <w:szCs w:val="24"/>
        </w:rPr>
        <w:tab/>
        <w:t xml:space="preserve">Donaghue, K. C. </w:t>
      </w:r>
      <w:r w:rsidRPr="00752474">
        <w:rPr>
          <w:rFonts w:ascii="Calibri" w:hAnsi="Calibri" w:cs="Calibri"/>
          <w:i/>
          <w:iCs/>
          <w:noProof/>
          <w:sz w:val="24"/>
          <w:szCs w:val="24"/>
        </w:rPr>
        <w:t>et al.</w:t>
      </w:r>
      <w:r w:rsidRPr="00752474">
        <w:rPr>
          <w:rFonts w:ascii="Calibri" w:hAnsi="Calibri" w:cs="Calibri"/>
          <w:noProof/>
          <w:sz w:val="24"/>
          <w:szCs w:val="24"/>
        </w:rPr>
        <w:t xml:space="preserve"> ISPAD Clinical Practice Consensus Guidelines 2018: Microvascular and macrovascular complications in children and adolescents. </w:t>
      </w:r>
      <w:r w:rsidRPr="00752474">
        <w:rPr>
          <w:rFonts w:ascii="Calibri" w:hAnsi="Calibri" w:cs="Calibri"/>
          <w:i/>
          <w:iCs/>
          <w:noProof/>
          <w:sz w:val="24"/>
          <w:szCs w:val="24"/>
        </w:rPr>
        <w:t>Pediatr. Diabetes</w:t>
      </w:r>
      <w:r w:rsidRPr="00752474">
        <w:rPr>
          <w:rFonts w:ascii="Calibri" w:hAnsi="Calibri" w:cs="Calibri"/>
          <w:noProof/>
          <w:sz w:val="24"/>
          <w:szCs w:val="24"/>
        </w:rPr>
        <w:t xml:space="preserve"> </w:t>
      </w:r>
      <w:r w:rsidRPr="00752474">
        <w:rPr>
          <w:rFonts w:ascii="Calibri" w:hAnsi="Calibri" w:cs="Calibri"/>
          <w:b/>
          <w:bCs/>
          <w:noProof/>
          <w:sz w:val="24"/>
          <w:szCs w:val="24"/>
        </w:rPr>
        <w:t>19,</w:t>
      </w:r>
      <w:r w:rsidRPr="00752474">
        <w:rPr>
          <w:rFonts w:ascii="Calibri" w:hAnsi="Calibri" w:cs="Calibri"/>
          <w:noProof/>
          <w:sz w:val="24"/>
          <w:szCs w:val="24"/>
        </w:rPr>
        <w:t xml:space="preserve"> 262–274 (2018).</w:t>
      </w:r>
    </w:p>
    <w:p w14:paraId="57B8B1E1" w14:textId="0135D3D3" w:rsidR="008A49A4" w:rsidRPr="008A5C8C" w:rsidRDefault="00752474" w:rsidP="008A49A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22.</w:t>
      </w:r>
      <w:r w:rsidRPr="00752474">
        <w:rPr>
          <w:rFonts w:ascii="Calibri" w:hAnsi="Calibri" w:cs="Calibri"/>
          <w:noProof/>
          <w:sz w:val="24"/>
          <w:szCs w:val="24"/>
        </w:rPr>
        <w:tab/>
        <w:t>Diabetes (type 1 and type 2) in children Diabetes (type 1 and type 2) in children and young people: diagnosis and oung people: diagnosis and management management NICE guideline. (2015).</w:t>
      </w:r>
      <w:r w:rsidR="008A49A4">
        <w:rPr>
          <w:rFonts w:ascii="Calibri" w:hAnsi="Calibri" w:cs="Calibri"/>
          <w:noProof/>
          <w:sz w:val="24"/>
          <w:szCs w:val="24"/>
        </w:rPr>
        <w:t xml:space="preserve"> Available at </w:t>
      </w:r>
      <w:r w:rsidR="008A49A4" w:rsidRPr="0017737F">
        <w:rPr>
          <w:rFonts w:ascii="Calibri" w:hAnsi="Calibri" w:cs="Calibri"/>
          <w:noProof/>
          <w:sz w:val="24"/>
          <w:szCs w:val="24"/>
        </w:rPr>
        <w:t>https://www.nice.org.uk/guidance/ng18</w:t>
      </w:r>
    </w:p>
    <w:p w14:paraId="77E1E39D"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23.</w:t>
      </w:r>
      <w:r w:rsidRPr="00752474">
        <w:rPr>
          <w:rFonts w:ascii="Calibri" w:hAnsi="Calibri" w:cs="Calibri"/>
          <w:noProof/>
          <w:sz w:val="24"/>
          <w:szCs w:val="24"/>
        </w:rPr>
        <w:tab/>
        <w:t xml:space="preserve">Wherrett, D. K. </w:t>
      </w:r>
      <w:r w:rsidRPr="00752474">
        <w:rPr>
          <w:rFonts w:ascii="Calibri" w:hAnsi="Calibri" w:cs="Calibri"/>
          <w:i/>
          <w:iCs/>
          <w:noProof/>
          <w:sz w:val="24"/>
          <w:szCs w:val="24"/>
        </w:rPr>
        <w:t>et al.</w:t>
      </w:r>
      <w:r w:rsidRPr="00752474">
        <w:rPr>
          <w:rFonts w:ascii="Calibri" w:hAnsi="Calibri" w:cs="Calibri"/>
          <w:noProof/>
          <w:sz w:val="24"/>
          <w:szCs w:val="24"/>
        </w:rPr>
        <w:t xml:space="preserve"> Type 1 Diabetes in Children and Adolescents. </w:t>
      </w:r>
      <w:r w:rsidRPr="00752474">
        <w:rPr>
          <w:rFonts w:ascii="Calibri" w:hAnsi="Calibri" w:cs="Calibri"/>
          <w:i/>
          <w:iCs/>
          <w:noProof/>
          <w:sz w:val="24"/>
          <w:szCs w:val="24"/>
        </w:rPr>
        <w:t>Can. J. Diabetes</w:t>
      </w:r>
      <w:r w:rsidRPr="00752474">
        <w:rPr>
          <w:rFonts w:ascii="Calibri" w:hAnsi="Calibri" w:cs="Calibri"/>
          <w:noProof/>
          <w:sz w:val="24"/>
          <w:szCs w:val="24"/>
        </w:rPr>
        <w:t xml:space="preserve"> </w:t>
      </w:r>
      <w:r w:rsidRPr="00752474">
        <w:rPr>
          <w:rFonts w:ascii="Calibri" w:hAnsi="Calibri" w:cs="Calibri"/>
          <w:b/>
          <w:bCs/>
          <w:noProof/>
          <w:sz w:val="24"/>
          <w:szCs w:val="24"/>
        </w:rPr>
        <w:t>42,</w:t>
      </w:r>
      <w:r w:rsidRPr="00752474">
        <w:rPr>
          <w:rFonts w:ascii="Calibri" w:hAnsi="Calibri" w:cs="Calibri"/>
          <w:noProof/>
          <w:sz w:val="24"/>
          <w:szCs w:val="24"/>
        </w:rPr>
        <w:t xml:space="preserve"> S234–S246 (2018).</w:t>
      </w:r>
    </w:p>
    <w:p w14:paraId="2FE5F792"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24.</w:t>
      </w:r>
      <w:r w:rsidRPr="00752474">
        <w:rPr>
          <w:rFonts w:ascii="Calibri" w:hAnsi="Calibri" w:cs="Calibri"/>
          <w:noProof/>
          <w:sz w:val="24"/>
          <w:szCs w:val="24"/>
        </w:rPr>
        <w:tab/>
        <w:t xml:space="preserve">Tauschmann, M. &amp; Hovorka, R. Technology in the management of type 1 diabetes mellitus — current status and future prospects. </w:t>
      </w:r>
      <w:r w:rsidRPr="00752474">
        <w:rPr>
          <w:rFonts w:ascii="Calibri" w:hAnsi="Calibri" w:cs="Calibri"/>
          <w:i/>
          <w:iCs/>
          <w:noProof/>
          <w:sz w:val="24"/>
          <w:szCs w:val="24"/>
        </w:rPr>
        <w:t>Nat. Rev. Endocrinol.</w:t>
      </w:r>
      <w:r w:rsidRPr="00752474">
        <w:rPr>
          <w:rFonts w:ascii="Calibri" w:hAnsi="Calibri" w:cs="Calibri"/>
          <w:noProof/>
          <w:sz w:val="24"/>
          <w:szCs w:val="24"/>
        </w:rPr>
        <w:t xml:space="preserve"> </w:t>
      </w:r>
      <w:r w:rsidRPr="00752474">
        <w:rPr>
          <w:rFonts w:ascii="Calibri" w:hAnsi="Calibri" w:cs="Calibri"/>
          <w:b/>
          <w:bCs/>
          <w:noProof/>
          <w:sz w:val="24"/>
          <w:szCs w:val="24"/>
        </w:rPr>
        <w:t>14,</w:t>
      </w:r>
      <w:r w:rsidRPr="00752474">
        <w:rPr>
          <w:rFonts w:ascii="Calibri" w:hAnsi="Calibri" w:cs="Calibri"/>
          <w:noProof/>
          <w:sz w:val="24"/>
          <w:szCs w:val="24"/>
        </w:rPr>
        <w:t xml:space="preserve"> 464–475 (2018).</w:t>
      </w:r>
    </w:p>
    <w:p w14:paraId="2457677E"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25.</w:t>
      </w:r>
      <w:r w:rsidRPr="00752474">
        <w:rPr>
          <w:rFonts w:ascii="Calibri" w:hAnsi="Calibri" w:cs="Calibri"/>
          <w:noProof/>
          <w:sz w:val="24"/>
          <w:szCs w:val="24"/>
        </w:rPr>
        <w:tab/>
        <w:t xml:space="preserve">Prahalad, P., Tanenbaum, M., Hood, K. &amp; Maahs, D. M. Diabetes technology: improving care, improving patient-reported outcomes and preventing complications in young people with Type 1 diabetes. </w:t>
      </w:r>
      <w:r w:rsidRPr="00752474">
        <w:rPr>
          <w:rFonts w:ascii="Calibri" w:hAnsi="Calibri" w:cs="Calibri"/>
          <w:i/>
          <w:iCs/>
          <w:noProof/>
          <w:sz w:val="24"/>
          <w:szCs w:val="24"/>
        </w:rPr>
        <w:t>Diabet. Med.</w:t>
      </w:r>
      <w:r w:rsidRPr="00752474">
        <w:rPr>
          <w:rFonts w:ascii="Calibri" w:hAnsi="Calibri" w:cs="Calibri"/>
          <w:noProof/>
          <w:sz w:val="24"/>
          <w:szCs w:val="24"/>
        </w:rPr>
        <w:t xml:space="preserve"> </w:t>
      </w:r>
      <w:r w:rsidRPr="00752474">
        <w:rPr>
          <w:rFonts w:ascii="Calibri" w:hAnsi="Calibri" w:cs="Calibri"/>
          <w:b/>
          <w:bCs/>
          <w:noProof/>
          <w:sz w:val="24"/>
          <w:szCs w:val="24"/>
        </w:rPr>
        <w:t>35,</w:t>
      </w:r>
      <w:r w:rsidRPr="00752474">
        <w:rPr>
          <w:rFonts w:ascii="Calibri" w:hAnsi="Calibri" w:cs="Calibri"/>
          <w:noProof/>
          <w:sz w:val="24"/>
          <w:szCs w:val="24"/>
        </w:rPr>
        <w:t xml:space="preserve"> 419–429 (2018).</w:t>
      </w:r>
    </w:p>
    <w:p w14:paraId="482A233E"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26.</w:t>
      </w:r>
      <w:r w:rsidRPr="00752474">
        <w:rPr>
          <w:rFonts w:ascii="Calibri" w:hAnsi="Calibri" w:cs="Calibri"/>
          <w:noProof/>
          <w:sz w:val="24"/>
          <w:szCs w:val="24"/>
        </w:rPr>
        <w:tab/>
        <w:t xml:space="preserve">Hovorka, R. </w:t>
      </w:r>
      <w:r w:rsidRPr="00752474">
        <w:rPr>
          <w:rFonts w:ascii="Calibri" w:hAnsi="Calibri" w:cs="Calibri"/>
          <w:i/>
          <w:iCs/>
          <w:noProof/>
          <w:sz w:val="24"/>
          <w:szCs w:val="24"/>
        </w:rPr>
        <w:t>et al.</w:t>
      </w:r>
      <w:r w:rsidRPr="00752474">
        <w:rPr>
          <w:rFonts w:ascii="Calibri" w:hAnsi="Calibri" w:cs="Calibri"/>
          <w:noProof/>
          <w:sz w:val="24"/>
          <w:szCs w:val="24"/>
        </w:rPr>
        <w:t xml:space="preserve"> Manual closed-loop insulin delivery in children and adolescents with type 1 diabetes: a phase 2 randomised crossover trial. </w:t>
      </w:r>
      <w:r w:rsidRPr="00752474">
        <w:rPr>
          <w:rFonts w:ascii="Calibri" w:hAnsi="Calibri" w:cs="Calibri"/>
          <w:i/>
          <w:iCs/>
          <w:noProof/>
          <w:sz w:val="24"/>
          <w:szCs w:val="24"/>
        </w:rPr>
        <w:t>Lancet (London, England)</w:t>
      </w:r>
      <w:r w:rsidRPr="00752474">
        <w:rPr>
          <w:rFonts w:ascii="Calibri" w:hAnsi="Calibri" w:cs="Calibri"/>
          <w:noProof/>
          <w:sz w:val="24"/>
          <w:szCs w:val="24"/>
        </w:rPr>
        <w:t xml:space="preserve"> </w:t>
      </w:r>
      <w:r w:rsidRPr="00752474">
        <w:rPr>
          <w:rFonts w:ascii="Calibri" w:hAnsi="Calibri" w:cs="Calibri"/>
          <w:b/>
          <w:bCs/>
          <w:noProof/>
          <w:sz w:val="24"/>
          <w:szCs w:val="24"/>
        </w:rPr>
        <w:t>375,</w:t>
      </w:r>
      <w:r w:rsidRPr="00752474">
        <w:rPr>
          <w:rFonts w:ascii="Calibri" w:hAnsi="Calibri" w:cs="Calibri"/>
          <w:noProof/>
          <w:sz w:val="24"/>
          <w:szCs w:val="24"/>
        </w:rPr>
        <w:t xml:space="preserve"> 743–51 (2010).</w:t>
      </w:r>
    </w:p>
    <w:p w14:paraId="1396CC88"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27.</w:t>
      </w:r>
      <w:r w:rsidRPr="00752474">
        <w:rPr>
          <w:rFonts w:ascii="Calibri" w:hAnsi="Calibri" w:cs="Calibri"/>
          <w:noProof/>
          <w:sz w:val="24"/>
          <w:szCs w:val="24"/>
        </w:rPr>
        <w:tab/>
        <w:t xml:space="preserve">Bekiari, E. </w:t>
      </w:r>
      <w:r w:rsidRPr="00752474">
        <w:rPr>
          <w:rFonts w:ascii="Calibri" w:hAnsi="Calibri" w:cs="Calibri"/>
          <w:i/>
          <w:iCs/>
          <w:noProof/>
          <w:sz w:val="24"/>
          <w:szCs w:val="24"/>
        </w:rPr>
        <w:t>et al.</w:t>
      </w:r>
      <w:r w:rsidRPr="00752474">
        <w:rPr>
          <w:rFonts w:ascii="Calibri" w:hAnsi="Calibri" w:cs="Calibri"/>
          <w:noProof/>
          <w:sz w:val="24"/>
          <w:szCs w:val="24"/>
        </w:rPr>
        <w:t xml:space="preserve"> Artificial pancreas treatment for outpatients with type 1 diabetes: systematic review and meta-analysis. </w:t>
      </w:r>
      <w:r w:rsidRPr="00752474">
        <w:rPr>
          <w:rFonts w:ascii="Calibri" w:hAnsi="Calibri" w:cs="Calibri"/>
          <w:i/>
          <w:iCs/>
          <w:noProof/>
          <w:sz w:val="24"/>
          <w:szCs w:val="24"/>
        </w:rPr>
        <w:t>BMJ</w:t>
      </w:r>
      <w:r w:rsidRPr="00752474">
        <w:rPr>
          <w:rFonts w:ascii="Calibri" w:hAnsi="Calibri" w:cs="Calibri"/>
          <w:noProof/>
          <w:sz w:val="24"/>
          <w:szCs w:val="24"/>
        </w:rPr>
        <w:t xml:space="preserve"> </w:t>
      </w:r>
      <w:r w:rsidRPr="00752474">
        <w:rPr>
          <w:rFonts w:ascii="Calibri" w:hAnsi="Calibri" w:cs="Calibri"/>
          <w:b/>
          <w:bCs/>
          <w:noProof/>
          <w:sz w:val="24"/>
          <w:szCs w:val="24"/>
        </w:rPr>
        <w:t>361,</w:t>
      </w:r>
      <w:r w:rsidRPr="00752474">
        <w:rPr>
          <w:rFonts w:ascii="Calibri" w:hAnsi="Calibri" w:cs="Calibri"/>
          <w:noProof/>
          <w:sz w:val="24"/>
          <w:szCs w:val="24"/>
        </w:rPr>
        <w:t xml:space="preserve"> k1310 (2018).</w:t>
      </w:r>
    </w:p>
    <w:p w14:paraId="1B312A11" w14:textId="1EF1F9C9"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28.</w:t>
      </w:r>
      <w:r w:rsidRPr="00752474">
        <w:rPr>
          <w:rFonts w:ascii="Calibri" w:hAnsi="Calibri" w:cs="Calibri"/>
          <w:noProof/>
          <w:sz w:val="24"/>
          <w:szCs w:val="24"/>
        </w:rPr>
        <w:tab/>
      </w:r>
      <w:r w:rsidR="00887E8E">
        <w:rPr>
          <w:rFonts w:ascii="Calibri" w:hAnsi="Calibri" w:cs="Calibri"/>
          <w:noProof/>
          <w:sz w:val="24"/>
          <w:szCs w:val="24"/>
        </w:rPr>
        <w:t xml:space="preserve">National Paediatric Diabetes Audit </w:t>
      </w:r>
      <w:r w:rsidR="00887E8E" w:rsidRPr="008A5C8C">
        <w:rPr>
          <w:rFonts w:ascii="Calibri" w:hAnsi="Calibri" w:cs="Calibri"/>
          <w:noProof/>
          <w:sz w:val="24"/>
          <w:szCs w:val="24"/>
        </w:rPr>
        <w:t>2016-2017</w:t>
      </w:r>
      <w:r w:rsidR="00887E8E">
        <w:rPr>
          <w:rFonts w:ascii="Calibri" w:hAnsi="Calibri" w:cs="Calibri"/>
          <w:noProof/>
          <w:sz w:val="24"/>
          <w:szCs w:val="24"/>
        </w:rPr>
        <w:t xml:space="preserve"> -Care Processes and Outcomes</w:t>
      </w:r>
      <w:r w:rsidR="00887E8E" w:rsidRPr="008A5C8C">
        <w:rPr>
          <w:rFonts w:ascii="Calibri" w:hAnsi="Calibri" w:cs="Calibri"/>
          <w:noProof/>
          <w:sz w:val="24"/>
          <w:szCs w:val="24"/>
        </w:rPr>
        <w:t xml:space="preserve">. </w:t>
      </w:r>
      <w:r w:rsidRPr="00752474">
        <w:rPr>
          <w:rFonts w:ascii="Calibri" w:hAnsi="Calibri" w:cs="Calibri"/>
          <w:noProof/>
          <w:sz w:val="24"/>
          <w:szCs w:val="24"/>
        </w:rPr>
        <w:t>Available at: https://www.rcpch.ac.uk/sites/default/files/2018-07/npda_annual_report_2016_-_2017_april_2018_final_updated_</w:t>
      </w:r>
      <w:r w:rsidR="00887E8E">
        <w:rPr>
          <w:rFonts w:ascii="Calibri" w:hAnsi="Calibri" w:cs="Calibri"/>
          <w:noProof/>
          <w:sz w:val="24"/>
          <w:szCs w:val="24"/>
        </w:rPr>
        <w:t>3</w:t>
      </w:r>
      <w:r w:rsidRPr="00752474">
        <w:rPr>
          <w:rFonts w:ascii="Calibri" w:hAnsi="Calibri" w:cs="Calibri"/>
          <w:noProof/>
          <w:sz w:val="24"/>
          <w:szCs w:val="24"/>
        </w:rPr>
        <w:t xml:space="preserve">.pdf. </w:t>
      </w:r>
    </w:p>
    <w:p w14:paraId="48278B8B"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29.</w:t>
      </w:r>
      <w:r w:rsidRPr="00752474">
        <w:rPr>
          <w:rFonts w:ascii="Calibri" w:hAnsi="Calibri" w:cs="Calibri"/>
          <w:noProof/>
          <w:sz w:val="24"/>
          <w:szCs w:val="24"/>
        </w:rPr>
        <w:tab/>
        <w:t xml:space="preserve">Phelan, H. </w:t>
      </w:r>
      <w:r w:rsidRPr="00752474">
        <w:rPr>
          <w:rFonts w:ascii="Calibri" w:hAnsi="Calibri" w:cs="Calibri"/>
          <w:i/>
          <w:iCs/>
          <w:noProof/>
          <w:sz w:val="24"/>
          <w:szCs w:val="24"/>
        </w:rPr>
        <w:t>et al.</w:t>
      </w:r>
      <w:r w:rsidRPr="00752474">
        <w:rPr>
          <w:rFonts w:ascii="Calibri" w:hAnsi="Calibri" w:cs="Calibri"/>
          <w:noProof/>
          <w:sz w:val="24"/>
          <w:szCs w:val="24"/>
        </w:rPr>
        <w:t xml:space="preserve"> The Australasian Diabetes Data Network: first national audit of children and adolescents with type 1 diabetes. </w:t>
      </w:r>
      <w:r w:rsidRPr="00752474">
        <w:rPr>
          <w:rFonts w:ascii="Calibri" w:hAnsi="Calibri" w:cs="Calibri"/>
          <w:i/>
          <w:iCs/>
          <w:noProof/>
          <w:sz w:val="24"/>
          <w:szCs w:val="24"/>
        </w:rPr>
        <w:t>Med. J. Aust.</w:t>
      </w:r>
      <w:r w:rsidRPr="00752474">
        <w:rPr>
          <w:rFonts w:ascii="Calibri" w:hAnsi="Calibri" w:cs="Calibri"/>
          <w:noProof/>
          <w:sz w:val="24"/>
          <w:szCs w:val="24"/>
        </w:rPr>
        <w:t xml:space="preserve"> </w:t>
      </w:r>
      <w:r w:rsidRPr="00752474">
        <w:rPr>
          <w:rFonts w:ascii="Calibri" w:hAnsi="Calibri" w:cs="Calibri"/>
          <w:b/>
          <w:bCs/>
          <w:noProof/>
          <w:sz w:val="24"/>
          <w:szCs w:val="24"/>
        </w:rPr>
        <w:t>206,</w:t>
      </w:r>
      <w:r w:rsidRPr="00752474">
        <w:rPr>
          <w:rFonts w:ascii="Calibri" w:hAnsi="Calibri" w:cs="Calibri"/>
          <w:noProof/>
          <w:sz w:val="24"/>
          <w:szCs w:val="24"/>
        </w:rPr>
        <w:t xml:space="preserve"> 121–125 (2017).</w:t>
      </w:r>
    </w:p>
    <w:p w14:paraId="30212445"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30.</w:t>
      </w:r>
      <w:r w:rsidRPr="00752474">
        <w:rPr>
          <w:rFonts w:ascii="Calibri" w:hAnsi="Calibri" w:cs="Calibri"/>
          <w:noProof/>
          <w:sz w:val="24"/>
          <w:szCs w:val="24"/>
        </w:rPr>
        <w:tab/>
        <w:t xml:space="preserve">Miller, K. M. </w:t>
      </w:r>
      <w:r w:rsidRPr="00752474">
        <w:rPr>
          <w:rFonts w:ascii="Calibri" w:hAnsi="Calibri" w:cs="Calibri"/>
          <w:i/>
          <w:iCs/>
          <w:noProof/>
          <w:sz w:val="24"/>
          <w:szCs w:val="24"/>
        </w:rPr>
        <w:t>et al.</w:t>
      </w:r>
      <w:r w:rsidRPr="00752474">
        <w:rPr>
          <w:rFonts w:ascii="Calibri" w:hAnsi="Calibri" w:cs="Calibri"/>
          <w:noProof/>
          <w:sz w:val="24"/>
          <w:szCs w:val="24"/>
        </w:rPr>
        <w:t xml:space="preserve"> Current state of type 1 diabetes treatment in the U.S.: updated data from the T1D Exchange clinic registry. </w:t>
      </w:r>
      <w:r w:rsidRPr="00752474">
        <w:rPr>
          <w:rFonts w:ascii="Calibri" w:hAnsi="Calibri" w:cs="Calibri"/>
          <w:i/>
          <w:iCs/>
          <w:noProof/>
          <w:sz w:val="24"/>
          <w:szCs w:val="24"/>
        </w:rPr>
        <w:t>Diabetes Care</w:t>
      </w:r>
      <w:r w:rsidRPr="00752474">
        <w:rPr>
          <w:rFonts w:ascii="Calibri" w:hAnsi="Calibri" w:cs="Calibri"/>
          <w:noProof/>
          <w:sz w:val="24"/>
          <w:szCs w:val="24"/>
        </w:rPr>
        <w:t xml:space="preserve"> </w:t>
      </w:r>
      <w:r w:rsidRPr="00752474">
        <w:rPr>
          <w:rFonts w:ascii="Calibri" w:hAnsi="Calibri" w:cs="Calibri"/>
          <w:b/>
          <w:bCs/>
          <w:noProof/>
          <w:sz w:val="24"/>
          <w:szCs w:val="24"/>
        </w:rPr>
        <w:t>38,</w:t>
      </w:r>
      <w:r w:rsidRPr="00752474">
        <w:rPr>
          <w:rFonts w:ascii="Calibri" w:hAnsi="Calibri" w:cs="Calibri"/>
          <w:noProof/>
          <w:sz w:val="24"/>
          <w:szCs w:val="24"/>
        </w:rPr>
        <w:t xml:space="preserve"> 971–8 (2015).</w:t>
      </w:r>
    </w:p>
    <w:p w14:paraId="02793D91"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31.</w:t>
      </w:r>
      <w:r w:rsidRPr="00752474">
        <w:rPr>
          <w:rFonts w:ascii="Calibri" w:hAnsi="Calibri" w:cs="Calibri"/>
          <w:noProof/>
          <w:sz w:val="24"/>
          <w:szCs w:val="24"/>
        </w:rPr>
        <w:tab/>
        <w:t xml:space="preserve">Amin, R. </w:t>
      </w:r>
      <w:r w:rsidRPr="00752474">
        <w:rPr>
          <w:rFonts w:ascii="Calibri" w:hAnsi="Calibri" w:cs="Calibri"/>
          <w:i/>
          <w:iCs/>
          <w:noProof/>
          <w:sz w:val="24"/>
          <w:szCs w:val="24"/>
        </w:rPr>
        <w:t>et al.</w:t>
      </w:r>
      <w:r w:rsidRPr="00752474">
        <w:rPr>
          <w:rFonts w:ascii="Calibri" w:hAnsi="Calibri" w:cs="Calibri"/>
          <w:noProof/>
          <w:sz w:val="24"/>
          <w:szCs w:val="24"/>
        </w:rPr>
        <w:t xml:space="preserve"> Risk of microalbuminuria and progression to macroalbuminuria in a cohort with childhood onset type 1 diabetes: prospective observational study. </w:t>
      </w:r>
      <w:r w:rsidRPr="00752474">
        <w:rPr>
          <w:rFonts w:ascii="Calibri" w:hAnsi="Calibri" w:cs="Calibri"/>
          <w:i/>
          <w:iCs/>
          <w:noProof/>
          <w:sz w:val="24"/>
          <w:szCs w:val="24"/>
        </w:rPr>
        <w:t>BMJ</w:t>
      </w:r>
      <w:r w:rsidRPr="00752474">
        <w:rPr>
          <w:rFonts w:ascii="Calibri" w:hAnsi="Calibri" w:cs="Calibri"/>
          <w:noProof/>
          <w:sz w:val="24"/>
          <w:szCs w:val="24"/>
        </w:rPr>
        <w:t xml:space="preserve"> </w:t>
      </w:r>
      <w:r w:rsidRPr="00752474">
        <w:rPr>
          <w:rFonts w:ascii="Calibri" w:hAnsi="Calibri" w:cs="Calibri"/>
          <w:b/>
          <w:bCs/>
          <w:noProof/>
          <w:sz w:val="24"/>
          <w:szCs w:val="24"/>
        </w:rPr>
        <w:t>336,</w:t>
      </w:r>
      <w:r w:rsidRPr="00752474">
        <w:rPr>
          <w:rFonts w:ascii="Calibri" w:hAnsi="Calibri" w:cs="Calibri"/>
          <w:noProof/>
          <w:sz w:val="24"/>
          <w:szCs w:val="24"/>
        </w:rPr>
        <w:t xml:space="preserve"> 697–701 (2008).</w:t>
      </w:r>
    </w:p>
    <w:p w14:paraId="003B96A2"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32.</w:t>
      </w:r>
      <w:r w:rsidRPr="00752474">
        <w:rPr>
          <w:rFonts w:ascii="Calibri" w:hAnsi="Calibri" w:cs="Calibri"/>
          <w:noProof/>
          <w:sz w:val="24"/>
          <w:szCs w:val="24"/>
        </w:rPr>
        <w:tab/>
        <w:t xml:space="preserve">Cho, Y. H. </w:t>
      </w:r>
      <w:r w:rsidRPr="00752474">
        <w:rPr>
          <w:rFonts w:ascii="Calibri" w:hAnsi="Calibri" w:cs="Calibri"/>
          <w:i/>
          <w:iCs/>
          <w:noProof/>
          <w:sz w:val="24"/>
          <w:szCs w:val="24"/>
        </w:rPr>
        <w:t>et al.</w:t>
      </w:r>
      <w:r w:rsidRPr="00752474">
        <w:rPr>
          <w:rFonts w:ascii="Calibri" w:hAnsi="Calibri" w:cs="Calibri"/>
          <w:noProof/>
          <w:sz w:val="24"/>
          <w:szCs w:val="24"/>
        </w:rPr>
        <w:t xml:space="preserve"> Microvascular complications assessment in adolescents with 2- to 5-yr duration of type 1 diabetes from 1990 to 2006. </w:t>
      </w:r>
      <w:r w:rsidRPr="00752474">
        <w:rPr>
          <w:rFonts w:ascii="Calibri" w:hAnsi="Calibri" w:cs="Calibri"/>
          <w:i/>
          <w:iCs/>
          <w:noProof/>
          <w:sz w:val="24"/>
          <w:szCs w:val="24"/>
        </w:rPr>
        <w:t>Pediatr. Diabetes</w:t>
      </w:r>
      <w:r w:rsidRPr="00752474">
        <w:rPr>
          <w:rFonts w:ascii="Calibri" w:hAnsi="Calibri" w:cs="Calibri"/>
          <w:noProof/>
          <w:sz w:val="24"/>
          <w:szCs w:val="24"/>
        </w:rPr>
        <w:t xml:space="preserve"> </w:t>
      </w:r>
      <w:r w:rsidRPr="00752474">
        <w:rPr>
          <w:rFonts w:ascii="Calibri" w:hAnsi="Calibri" w:cs="Calibri"/>
          <w:b/>
          <w:bCs/>
          <w:noProof/>
          <w:sz w:val="24"/>
          <w:szCs w:val="24"/>
        </w:rPr>
        <w:t>12,</w:t>
      </w:r>
      <w:r w:rsidRPr="00752474">
        <w:rPr>
          <w:rFonts w:ascii="Calibri" w:hAnsi="Calibri" w:cs="Calibri"/>
          <w:noProof/>
          <w:sz w:val="24"/>
          <w:szCs w:val="24"/>
        </w:rPr>
        <w:t xml:space="preserve"> 682–689 (2011).</w:t>
      </w:r>
    </w:p>
    <w:p w14:paraId="090E65C0"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33.</w:t>
      </w:r>
      <w:r w:rsidRPr="00752474">
        <w:rPr>
          <w:rFonts w:ascii="Calibri" w:hAnsi="Calibri" w:cs="Calibri"/>
          <w:noProof/>
          <w:sz w:val="24"/>
          <w:szCs w:val="24"/>
        </w:rPr>
        <w:tab/>
        <w:t xml:space="preserve">Dunger, D. B. Banting Memorial Lecture 2016 Reducing lifetime risk of complications in adolescents with Type 1 diabetes. </w:t>
      </w:r>
      <w:r w:rsidRPr="00752474">
        <w:rPr>
          <w:rFonts w:ascii="Calibri" w:hAnsi="Calibri" w:cs="Calibri"/>
          <w:i/>
          <w:iCs/>
          <w:noProof/>
          <w:sz w:val="24"/>
          <w:szCs w:val="24"/>
        </w:rPr>
        <w:t>Diabet. Med.</w:t>
      </w:r>
      <w:r w:rsidRPr="00752474">
        <w:rPr>
          <w:rFonts w:ascii="Calibri" w:hAnsi="Calibri" w:cs="Calibri"/>
          <w:noProof/>
          <w:sz w:val="24"/>
          <w:szCs w:val="24"/>
        </w:rPr>
        <w:t xml:space="preserve"> </w:t>
      </w:r>
      <w:r w:rsidRPr="00752474">
        <w:rPr>
          <w:rFonts w:ascii="Calibri" w:hAnsi="Calibri" w:cs="Calibri"/>
          <w:b/>
          <w:bCs/>
          <w:noProof/>
          <w:sz w:val="24"/>
          <w:szCs w:val="24"/>
        </w:rPr>
        <w:t>34,</w:t>
      </w:r>
      <w:r w:rsidRPr="00752474">
        <w:rPr>
          <w:rFonts w:ascii="Calibri" w:hAnsi="Calibri" w:cs="Calibri"/>
          <w:noProof/>
          <w:sz w:val="24"/>
          <w:szCs w:val="24"/>
        </w:rPr>
        <w:t xml:space="preserve"> 460–466 (2017).</w:t>
      </w:r>
    </w:p>
    <w:p w14:paraId="08623743"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34.</w:t>
      </w:r>
      <w:r w:rsidRPr="00752474">
        <w:rPr>
          <w:rFonts w:ascii="Calibri" w:hAnsi="Calibri" w:cs="Calibri"/>
          <w:noProof/>
          <w:sz w:val="24"/>
          <w:szCs w:val="24"/>
        </w:rPr>
        <w:tab/>
        <w:t xml:space="preserve">Hietala, K. </w:t>
      </w:r>
      <w:r w:rsidRPr="00752474">
        <w:rPr>
          <w:rFonts w:ascii="Calibri" w:hAnsi="Calibri" w:cs="Calibri"/>
          <w:i/>
          <w:iCs/>
          <w:noProof/>
          <w:sz w:val="24"/>
          <w:szCs w:val="24"/>
        </w:rPr>
        <w:t>et al.</w:t>
      </w:r>
      <w:r w:rsidRPr="00752474">
        <w:rPr>
          <w:rFonts w:ascii="Calibri" w:hAnsi="Calibri" w:cs="Calibri"/>
          <w:noProof/>
          <w:sz w:val="24"/>
          <w:szCs w:val="24"/>
        </w:rPr>
        <w:t xml:space="preserve"> Age at onset and the risk of proliferative retinopathy in type 1 diabetes. </w:t>
      </w:r>
      <w:r w:rsidRPr="00752474">
        <w:rPr>
          <w:rFonts w:ascii="Calibri" w:hAnsi="Calibri" w:cs="Calibri"/>
          <w:i/>
          <w:iCs/>
          <w:noProof/>
          <w:sz w:val="24"/>
          <w:szCs w:val="24"/>
        </w:rPr>
        <w:t>Diabetes Care</w:t>
      </w:r>
      <w:r w:rsidRPr="00752474">
        <w:rPr>
          <w:rFonts w:ascii="Calibri" w:hAnsi="Calibri" w:cs="Calibri"/>
          <w:noProof/>
          <w:sz w:val="24"/>
          <w:szCs w:val="24"/>
        </w:rPr>
        <w:t xml:space="preserve"> </w:t>
      </w:r>
      <w:r w:rsidRPr="00752474">
        <w:rPr>
          <w:rFonts w:ascii="Calibri" w:hAnsi="Calibri" w:cs="Calibri"/>
          <w:b/>
          <w:bCs/>
          <w:noProof/>
          <w:sz w:val="24"/>
          <w:szCs w:val="24"/>
        </w:rPr>
        <w:t>33,</w:t>
      </w:r>
      <w:r w:rsidRPr="00752474">
        <w:rPr>
          <w:rFonts w:ascii="Calibri" w:hAnsi="Calibri" w:cs="Calibri"/>
          <w:noProof/>
          <w:sz w:val="24"/>
          <w:szCs w:val="24"/>
        </w:rPr>
        <w:t xml:space="preserve"> 1315–9 (2010).</w:t>
      </w:r>
    </w:p>
    <w:p w14:paraId="3AEEB7A0"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35.</w:t>
      </w:r>
      <w:r w:rsidRPr="00752474">
        <w:rPr>
          <w:rFonts w:ascii="Calibri" w:hAnsi="Calibri" w:cs="Calibri"/>
          <w:noProof/>
          <w:sz w:val="24"/>
          <w:szCs w:val="24"/>
        </w:rPr>
        <w:tab/>
        <w:t xml:space="preserve">Hovind, P. </w:t>
      </w:r>
      <w:r w:rsidRPr="00752474">
        <w:rPr>
          <w:rFonts w:ascii="Calibri" w:hAnsi="Calibri" w:cs="Calibri"/>
          <w:i/>
          <w:iCs/>
          <w:noProof/>
          <w:sz w:val="24"/>
          <w:szCs w:val="24"/>
        </w:rPr>
        <w:t>et al.</w:t>
      </w:r>
      <w:r w:rsidRPr="00752474">
        <w:rPr>
          <w:rFonts w:ascii="Calibri" w:hAnsi="Calibri" w:cs="Calibri"/>
          <w:noProof/>
          <w:sz w:val="24"/>
          <w:szCs w:val="24"/>
        </w:rPr>
        <w:t xml:space="preserve"> Predictors for the development of microalbuminuria and macroalbuminuria in patients with type 1 diabetes: inception cohort study. </w:t>
      </w:r>
      <w:r w:rsidRPr="00752474">
        <w:rPr>
          <w:rFonts w:ascii="Calibri" w:hAnsi="Calibri" w:cs="Calibri"/>
          <w:i/>
          <w:iCs/>
          <w:noProof/>
          <w:sz w:val="24"/>
          <w:szCs w:val="24"/>
        </w:rPr>
        <w:t>BMJ</w:t>
      </w:r>
      <w:r w:rsidRPr="00752474">
        <w:rPr>
          <w:rFonts w:ascii="Calibri" w:hAnsi="Calibri" w:cs="Calibri"/>
          <w:noProof/>
          <w:sz w:val="24"/>
          <w:szCs w:val="24"/>
        </w:rPr>
        <w:t xml:space="preserve"> </w:t>
      </w:r>
      <w:r w:rsidRPr="00752474">
        <w:rPr>
          <w:rFonts w:ascii="Calibri" w:hAnsi="Calibri" w:cs="Calibri"/>
          <w:b/>
          <w:bCs/>
          <w:noProof/>
          <w:sz w:val="24"/>
          <w:szCs w:val="24"/>
        </w:rPr>
        <w:t>328,</w:t>
      </w:r>
      <w:r w:rsidRPr="00752474">
        <w:rPr>
          <w:rFonts w:ascii="Calibri" w:hAnsi="Calibri" w:cs="Calibri"/>
          <w:noProof/>
          <w:sz w:val="24"/>
          <w:szCs w:val="24"/>
        </w:rPr>
        <w:t xml:space="preserve"> 1105 (2004).</w:t>
      </w:r>
    </w:p>
    <w:p w14:paraId="730759A6"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36.</w:t>
      </w:r>
      <w:r w:rsidRPr="00752474">
        <w:rPr>
          <w:rFonts w:ascii="Calibri" w:hAnsi="Calibri" w:cs="Calibri"/>
          <w:noProof/>
          <w:sz w:val="24"/>
          <w:szCs w:val="24"/>
        </w:rPr>
        <w:tab/>
        <w:t xml:space="preserve">Cho, Y. H., Craig, M. E. &amp; Donaghue, K. C. Puberty as an accelerator for diabetes complications. </w:t>
      </w:r>
      <w:r w:rsidRPr="00752474">
        <w:rPr>
          <w:rFonts w:ascii="Calibri" w:hAnsi="Calibri" w:cs="Calibri"/>
          <w:i/>
          <w:iCs/>
          <w:noProof/>
          <w:sz w:val="24"/>
          <w:szCs w:val="24"/>
        </w:rPr>
        <w:t>Pediatr. Diabetes</w:t>
      </w:r>
      <w:r w:rsidRPr="00752474">
        <w:rPr>
          <w:rFonts w:ascii="Calibri" w:hAnsi="Calibri" w:cs="Calibri"/>
          <w:noProof/>
          <w:sz w:val="24"/>
          <w:szCs w:val="24"/>
        </w:rPr>
        <w:t xml:space="preserve"> </w:t>
      </w:r>
      <w:r w:rsidRPr="00752474">
        <w:rPr>
          <w:rFonts w:ascii="Calibri" w:hAnsi="Calibri" w:cs="Calibri"/>
          <w:b/>
          <w:bCs/>
          <w:noProof/>
          <w:sz w:val="24"/>
          <w:szCs w:val="24"/>
        </w:rPr>
        <w:t>15,</w:t>
      </w:r>
      <w:r w:rsidRPr="00752474">
        <w:rPr>
          <w:rFonts w:ascii="Calibri" w:hAnsi="Calibri" w:cs="Calibri"/>
          <w:noProof/>
          <w:sz w:val="24"/>
          <w:szCs w:val="24"/>
        </w:rPr>
        <w:t xml:space="preserve"> 18–26 (2014).</w:t>
      </w:r>
    </w:p>
    <w:p w14:paraId="7C0724F2"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lastRenderedPageBreak/>
        <w:t>37.</w:t>
      </w:r>
      <w:r w:rsidRPr="00752474">
        <w:rPr>
          <w:rFonts w:ascii="Calibri" w:hAnsi="Calibri" w:cs="Calibri"/>
          <w:noProof/>
          <w:sz w:val="24"/>
          <w:szCs w:val="24"/>
        </w:rPr>
        <w:tab/>
        <w:t xml:space="preserve">Lane, P. H. Diabetic kidney disease: impact of puberty. </w:t>
      </w:r>
      <w:r w:rsidRPr="00752474">
        <w:rPr>
          <w:rFonts w:ascii="Calibri" w:hAnsi="Calibri" w:cs="Calibri"/>
          <w:i/>
          <w:iCs/>
          <w:noProof/>
          <w:sz w:val="24"/>
          <w:szCs w:val="24"/>
        </w:rPr>
        <w:t>Am. J. Physiol. Physiol.</w:t>
      </w:r>
      <w:r w:rsidRPr="00752474">
        <w:rPr>
          <w:rFonts w:ascii="Calibri" w:hAnsi="Calibri" w:cs="Calibri"/>
          <w:noProof/>
          <w:sz w:val="24"/>
          <w:szCs w:val="24"/>
        </w:rPr>
        <w:t xml:space="preserve"> </w:t>
      </w:r>
      <w:r w:rsidRPr="00752474">
        <w:rPr>
          <w:rFonts w:ascii="Calibri" w:hAnsi="Calibri" w:cs="Calibri"/>
          <w:b/>
          <w:bCs/>
          <w:noProof/>
          <w:sz w:val="24"/>
          <w:szCs w:val="24"/>
        </w:rPr>
        <w:t>283,</w:t>
      </w:r>
      <w:r w:rsidRPr="00752474">
        <w:rPr>
          <w:rFonts w:ascii="Calibri" w:hAnsi="Calibri" w:cs="Calibri"/>
          <w:noProof/>
          <w:sz w:val="24"/>
          <w:szCs w:val="24"/>
        </w:rPr>
        <w:t xml:space="preserve"> F589–F600 (2002).</w:t>
      </w:r>
    </w:p>
    <w:p w14:paraId="39214AA1"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38.</w:t>
      </w:r>
      <w:r w:rsidRPr="00752474">
        <w:rPr>
          <w:rFonts w:ascii="Calibri" w:hAnsi="Calibri" w:cs="Calibri"/>
          <w:noProof/>
          <w:sz w:val="24"/>
          <w:szCs w:val="24"/>
        </w:rPr>
        <w:tab/>
        <w:t xml:space="preserve">Amin, R. </w:t>
      </w:r>
      <w:r w:rsidRPr="00752474">
        <w:rPr>
          <w:rFonts w:ascii="Calibri" w:hAnsi="Calibri" w:cs="Calibri"/>
          <w:i/>
          <w:iCs/>
          <w:noProof/>
          <w:sz w:val="24"/>
          <w:szCs w:val="24"/>
        </w:rPr>
        <w:t>et al.</w:t>
      </w:r>
      <w:r w:rsidRPr="00752474">
        <w:rPr>
          <w:rFonts w:ascii="Calibri" w:hAnsi="Calibri" w:cs="Calibri"/>
          <w:noProof/>
          <w:sz w:val="24"/>
          <w:szCs w:val="24"/>
        </w:rPr>
        <w:t xml:space="preserve"> Increasing urine albumin excretion is associated with growth hormone hypersecretion and reduced clearance of insulin in adolescents and young adults with type 1 diabetes: the Oxford Regional Prospective Study. </w:t>
      </w:r>
      <w:r w:rsidRPr="00752474">
        <w:rPr>
          <w:rFonts w:ascii="Calibri" w:hAnsi="Calibri" w:cs="Calibri"/>
          <w:i/>
          <w:iCs/>
          <w:noProof/>
          <w:sz w:val="24"/>
          <w:szCs w:val="24"/>
        </w:rPr>
        <w:t>Clin. Endocrinol. (Oxf).</w:t>
      </w:r>
      <w:r w:rsidRPr="00752474">
        <w:rPr>
          <w:rFonts w:ascii="Calibri" w:hAnsi="Calibri" w:cs="Calibri"/>
          <w:noProof/>
          <w:sz w:val="24"/>
          <w:szCs w:val="24"/>
        </w:rPr>
        <w:t xml:space="preserve"> </w:t>
      </w:r>
      <w:r w:rsidRPr="00752474">
        <w:rPr>
          <w:rFonts w:ascii="Calibri" w:hAnsi="Calibri" w:cs="Calibri"/>
          <w:b/>
          <w:bCs/>
          <w:noProof/>
          <w:sz w:val="24"/>
          <w:szCs w:val="24"/>
        </w:rPr>
        <w:t>62,</w:t>
      </w:r>
      <w:r w:rsidRPr="00752474">
        <w:rPr>
          <w:rFonts w:ascii="Calibri" w:hAnsi="Calibri" w:cs="Calibri"/>
          <w:noProof/>
          <w:sz w:val="24"/>
          <w:szCs w:val="24"/>
        </w:rPr>
        <w:t xml:space="preserve"> 137–44 (2005).</w:t>
      </w:r>
    </w:p>
    <w:p w14:paraId="4D38DFEC"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39.</w:t>
      </w:r>
      <w:r w:rsidRPr="00752474">
        <w:rPr>
          <w:rFonts w:ascii="Calibri" w:hAnsi="Calibri" w:cs="Calibri"/>
          <w:noProof/>
          <w:sz w:val="24"/>
          <w:szCs w:val="24"/>
        </w:rPr>
        <w:tab/>
        <w:t xml:space="preserve">Nadeau, K. J. </w:t>
      </w:r>
      <w:r w:rsidRPr="00752474">
        <w:rPr>
          <w:rFonts w:ascii="Calibri" w:hAnsi="Calibri" w:cs="Calibri"/>
          <w:i/>
          <w:iCs/>
          <w:noProof/>
          <w:sz w:val="24"/>
          <w:szCs w:val="24"/>
        </w:rPr>
        <w:t>et al.</w:t>
      </w:r>
      <w:r w:rsidRPr="00752474">
        <w:rPr>
          <w:rFonts w:ascii="Calibri" w:hAnsi="Calibri" w:cs="Calibri"/>
          <w:noProof/>
          <w:sz w:val="24"/>
          <w:szCs w:val="24"/>
        </w:rPr>
        <w:t xml:space="preserve"> Insulin Resistance in Adolescents with Type 1 Diabetes and Its Relationship to Cardiovascular Function. </w:t>
      </w:r>
      <w:r w:rsidRPr="00752474">
        <w:rPr>
          <w:rFonts w:ascii="Calibri" w:hAnsi="Calibri" w:cs="Calibri"/>
          <w:i/>
          <w:iCs/>
          <w:noProof/>
          <w:sz w:val="24"/>
          <w:szCs w:val="24"/>
        </w:rPr>
        <w:t>J. Clin. Endocrinol. Metab.</w:t>
      </w:r>
      <w:r w:rsidRPr="00752474">
        <w:rPr>
          <w:rFonts w:ascii="Calibri" w:hAnsi="Calibri" w:cs="Calibri"/>
          <w:noProof/>
          <w:sz w:val="24"/>
          <w:szCs w:val="24"/>
        </w:rPr>
        <w:t xml:space="preserve"> </w:t>
      </w:r>
      <w:r w:rsidRPr="00752474">
        <w:rPr>
          <w:rFonts w:ascii="Calibri" w:hAnsi="Calibri" w:cs="Calibri"/>
          <w:b/>
          <w:bCs/>
          <w:noProof/>
          <w:sz w:val="24"/>
          <w:szCs w:val="24"/>
        </w:rPr>
        <w:t>95,</w:t>
      </w:r>
      <w:r w:rsidRPr="00752474">
        <w:rPr>
          <w:rFonts w:ascii="Calibri" w:hAnsi="Calibri" w:cs="Calibri"/>
          <w:noProof/>
          <w:sz w:val="24"/>
          <w:szCs w:val="24"/>
        </w:rPr>
        <w:t xml:space="preserve"> 513–521 (2010).</w:t>
      </w:r>
    </w:p>
    <w:p w14:paraId="19F34DFC"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40.</w:t>
      </w:r>
      <w:r w:rsidRPr="00752474">
        <w:rPr>
          <w:rFonts w:ascii="Calibri" w:hAnsi="Calibri" w:cs="Calibri"/>
          <w:noProof/>
          <w:sz w:val="24"/>
          <w:szCs w:val="24"/>
        </w:rPr>
        <w:tab/>
        <w:t xml:space="preserve">Cree-Green, M. </w:t>
      </w:r>
      <w:r w:rsidRPr="00752474">
        <w:rPr>
          <w:rFonts w:ascii="Calibri" w:hAnsi="Calibri" w:cs="Calibri"/>
          <w:i/>
          <w:iCs/>
          <w:noProof/>
          <w:sz w:val="24"/>
          <w:szCs w:val="24"/>
        </w:rPr>
        <w:t>et al.</w:t>
      </w:r>
      <w:r w:rsidRPr="00752474">
        <w:rPr>
          <w:rFonts w:ascii="Calibri" w:hAnsi="Calibri" w:cs="Calibri"/>
          <w:noProof/>
          <w:sz w:val="24"/>
          <w:szCs w:val="24"/>
        </w:rPr>
        <w:t xml:space="preserve"> Delayed Skeletal Muscle Mitochondrial ADP Recovery in Youth With Type 1 Diabetes Relates to Muscle Insulin Resistance. </w:t>
      </w:r>
      <w:r w:rsidRPr="00752474">
        <w:rPr>
          <w:rFonts w:ascii="Calibri" w:hAnsi="Calibri" w:cs="Calibri"/>
          <w:i/>
          <w:iCs/>
          <w:noProof/>
          <w:sz w:val="24"/>
          <w:szCs w:val="24"/>
        </w:rPr>
        <w:t>Diabetes</w:t>
      </w:r>
      <w:r w:rsidRPr="00752474">
        <w:rPr>
          <w:rFonts w:ascii="Calibri" w:hAnsi="Calibri" w:cs="Calibri"/>
          <w:noProof/>
          <w:sz w:val="24"/>
          <w:szCs w:val="24"/>
        </w:rPr>
        <w:t xml:space="preserve"> </w:t>
      </w:r>
      <w:r w:rsidRPr="00752474">
        <w:rPr>
          <w:rFonts w:ascii="Calibri" w:hAnsi="Calibri" w:cs="Calibri"/>
          <w:b/>
          <w:bCs/>
          <w:noProof/>
          <w:sz w:val="24"/>
          <w:szCs w:val="24"/>
        </w:rPr>
        <w:t>64,</w:t>
      </w:r>
      <w:r w:rsidRPr="00752474">
        <w:rPr>
          <w:rFonts w:ascii="Calibri" w:hAnsi="Calibri" w:cs="Calibri"/>
          <w:noProof/>
          <w:sz w:val="24"/>
          <w:szCs w:val="24"/>
        </w:rPr>
        <w:t xml:space="preserve"> 383–392 (2015).</w:t>
      </w:r>
    </w:p>
    <w:p w14:paraId="26036995"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41.</w:t>
      </w:r>
      <w:r w:rsidRPr="00752474">
        <w:rPr>
          <w:rFonts w:ascii="Calibri" w:hAnsi="Calibri" w:cs="Calibri"/>
          <w:noProof/>
          <w:sz w:val="24"/>
          <w:szCs w:val="24"/>
        </w:rPr>
        <w:tab/>
        <w:t xml:space="preserve">Bjornstad, P. </w:t>
      </w:r>
      <w:r w:rsidRPr="00752474">
        <w:rPr>
          <w:rFonts w:ascii="Calibri" w:hAnsi="Calibri" w:cs="Calibri"/>
          <w:i/>
          <w:iCs/>
          <w:noProof/>
          <w:sz w:val="24"/>
          <w:szCs w:val="24"/>
        </w:rPr>
        <w:t>et al.</w:t>
      </w:r>
      <w:r w:rsidRPr="00752474">
        <w:rPr>
          <w:rFonts w:ascii="Calibri" w:hAnsi="Calibri" w:cs="Calibri"/>
          <w:noProof/>
          <w:sz w:val="24"/>
          <w:szCs w:val="24"/>
        </w:rPr>
        <w:t xml:space="preserve"> Insulin sensitivity is an important determinant of renal health in adolescents with type 2 diabetes. </w:t>
      </w:r>
      <w:r w:rsidRPr="00752474">
        <w:rPr>
          <w:rFonts w:ascii="Calibri" w:hAnsi="Calibri" w:cs="Calibri"/>
          <w:i/>
          <w:iCs/>
          <w:noProof/>
          <w:sz w:val="24"/>
          <w:szCs w:val="24"/>
        </w:rPr>
        <w:t>Diabetes Care</w:t>
      </w:r>
      <w:r w:rsidRPr="00752474">
        <w:rPr>
          <w:rFonts w:ascii="Calibri" w:hAnsi="Calibri" w:cs="Calibri"/>
          <w:noProof/>
          <w:sz w:val="24"/>
          <w:szCs w:val="24"/>
        </w:rPr>
        <w:t xml:space="preserve"> </w:t>
      </w:r>
      <w:r w:rsidRPr="00752474">
        <w:rPr>
          <w:rFonts w:ascii="Calibri" w:hAnsi="Calibri" w:cs="Calibri"/>
          <w:b/>
          <w:bCs/>
          <w:noProof/>
          <w:sz w:val="24"/>
          <w:szCs w:val="24"/>
        </w:rPr>
        <w:t>37,</w:t>
      </w:r>
      <w:r w:rsidRPr="00752474">
        <w:rPr>
          <w:rFonts w:ascii="Calibri" w:hAnsi="Calibri" w:cs="Calibri"/>
          <w:noProof/>
          <w:sz w:val="24"/>
          <w:szCs w:val="24"/>
        </w:rPr>
        <w:t xml:space="preserve"> 3033–9 (2014).</w:t>
      </w:r>
    </w:p>
    <w:p w14:paraId="6BF632F9"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42.</w:t>
      </w:r>
      <w:r w:rsidRPr="00752474">
        <w:rPr>
          <w:rFonts w:ascii="Calibri" w:hAnsi="Calibri" w:cs="Calibri"/>
          <w:noProof/>
          <w:sz w:val="24"/>
          <w:szCs w:val="24"/>
        </w:rPr>
        <w:tab/>
        <w:t xml:space="preserve">Bjornstad, P. </w:t>
      </w:r>
      <w:r w:rsidRPr="00752474">
        <w:rPr>
          <w:rFonts w:ascii="Calibri" w:hAnsi="Calibri" w:cs="Calibri"/>
          <w:i/>
          <w:iCs/>
          <w:noProof/>
          <w:sz w:val="24"/>
          <w:szCs w:val="24"/>
        </w:rPr>
        <w:t>et al.</w:t>
      </w:r>
      <w:r w:rsidRPr="00752474">
        <w:rPr>
          <w:rFonts w:ascii="Calibri" w:hAnsi="Calibri" w:cs="Calibri"/>
          <w:noProof/>
          <w:sz w:val="24"/>
          <w:szCs w:val="24"/>
        </w:rPr>
        <w:t xml:space="preserve"> Metformin Improves Insulin Sensitivity and Vascular Health in Youth With Type 1 Diabetes Mellitus. </w:t>
      </w:r>
      <w:r w:rsidRPr="00752474">
        <w:rPr>
          <w:rFonts w:ascii="Calibri" w:hAnsi="Calibri" w:cs="Calibri"/>
          <w:i/>
          <w:iCs/>
          <w:noProof/>
          <w:sz w:val="24"/>
          <w:szCs w:val="24"/>
        </w:rPr>
        <w:t>Circulation</w:t>
      </w:r>
      <w:r w:rsidRPr="00752474">
        <w:rPr>
          <w:rFonts w:ascii="Calibri" w:hAnsi="Calibri" w:cs="Calibri"/>
          <w:noProof/>
          <w:sz w:val="24"/>
          <w:szCs w:val="24"/>
        </w:rPr>
        <w:t xml:space="preserve"> </w:t>
      </w:r>
      <w:r w:rsidRPr="00752474">
        <w:rPr>
          <w:rFonts w:ascii="Calibri" w:hAnsi="Calibri" w:cs="Calibri"/>
          <w:b/>
          <w:bCs/>
          <w:noProof/>
          <w:sz w:val="24"/>
          <w:szCs w:val="24"/>
        </w:rPr>
        <w:t>138,</w:t>
      </w:r>
      <w:r w:rsidRPr="00752474">
        <w:rPr>
          <w:rFonts w:ascii="Calibri" w:hAnsi="Calibri" w:cs="Calibri"/>
          <w:noProof/>
          <w:sz w:val="24"/>
          <w:szCs w:val="24"/>
        </w:rPr>
        <w:t xml:space="preserve"> 2895–2907 (2018).</w:t>
      </w:r>
    </w:p>
    <w:p w14:paraId="5F0E5CFC"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43.</w:t>
      </w:r>
      <w:r w:rsidRPr="00752474">
        <w:rPr>
          <w:rFonts w:ascii="Calibri" w:hAnsi="Calibri" w:cs="Calibri"/>
          <w:noProof/>
          <w:sz w:val="24"/>
          <w:szCs w:val="24"/>
        </w:rPr>
        <w:tab/>
        <w:t xml:space="preserve">Benitez-Aguirre, P. </w:t>
      </w:r>
      <w:r w:rsidRPr="00752474">
        <w:rPr>
          <w:rFonts w:ascii="Calibri" w:hAnsi="Calibri" w:cs="Calibri"/>
          <w:i/>
          <w:iCs/>
          <w:noProof/>
          <w:sz w:val="24"/>
          <w:szCs w:val="24"/>
        </w:rPr>
        <w:t>et al.</w:t>
      </w:r>
      <w:r w:rsidRPr="00752474">
        <w:rPr>
          <w:rFonts w:ascii="Calibri" w:hAnsi="Calibri" w:cs="Calibri"/>
          <w:noProof/>
          <w:sz w:val="24"/>
          <w:szCs w:val="24"/>
        </w:rPr>
        <w:t xml:space="preserve"> Sex differences in retinal microvasculature through puberty in type 1 diabetes: are girls at greater risk of diabetic microvascular complications? </w:t>
      </w:r>
      <w:r w:rsidRPr="00752474">
        <w:rPr>
          <w:rFonts w:ascii="Calibri" w:hAnsi="Calibri" w:cs="Calibri"/>
          <w:i/>
          <w:iCs/>
          <w:noProof/>
          <w:sz w:val="24"/>
          <w:szCs w:val="24"/>
        </w:rPr>
        <w:t>Invest. Ophthalmol. Vis. Sci.</w:t>
      </w:r>
      <w:r w:rsidRPr="00752474">
        <w:rPr>
          <w:rFonts w:ascii="Calibri" w:hAnsi="Calibri" w:cs="Calibri"/>
          <w:noProof/>
          <w:sz w:val="24"/>
          <w:szCs w:val="24"/>
        </w:rPr>
        <w:t xml:space="preserve"> </w:t>
      </w:r>
      <w:r w:rsidRPr="00752474">
        <w:rPr>
          <w:rFonts w:ascii="Calibri" w:hAnsi="Calibri" w:cs="Calibri"/>
          <w:b/>
          <w:bCs/>
          <w:noProof/>
          <w:sz w:val="24"/>
          <w:szCs w:val="24"/>
        </w:rPr>
        <w:t>56,</w:t>
      </w:r>
      <w:r w:rsidRPr="00752474">
        <w:rPr>
          <w:rFonts w:ascii="Calibri" w:hAnsi="Calibri" w:cs="Calibri"/>
          <w:noProof/>
          <w:sz w:val="24"/>
          <w:szCs w:val="24"/>
        </w:rPr>
        <w:t xml:space="preserve"> 571–7 (2015).</w:t>
      </w:r>
    </w:p>
    <w:p w14:paraId="45122A5B"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44.</w:t>
      </w:r>
      <w:r w:rsidRPr="00752474">
        <w:rPr>
          <w:rFonts w:ascii="Calibri" w:hAnsi="Calibri" w:cs="Calibri"/>
          <w:noProof/>
          <w:sz w:val="24"/>
          <w:szCs w:val="24"/>
        </w:rPr>
        <w:tab/>
        <w:t xml:space="preserve">Amin, R. </w:t>
      </w:r>
      <w:r w:rsidRPr="00752474">
        <w:rPr>
          <w:rFonts w:ascii="Calibri" w:hAnsi="Calibri" w:cs="Calibri"/>
          <w:i/>
          <w:iCs/>
          <w:noProof/>
          <w:sz w:val="24"/>
          <w:szCs w:val="24"/>
        </w:rPr>
        <w:t>et al.</w:t>
      </w:r>
      <w:r w:rsidRPr="00752474">
        <w:rPr>
          <w:rFonts w:ascii="Calibri" w:hAnsi="Calibri" w:cs="Calibri"/>
          <w:noProof/>
          <w:sz w:val="24"/>
          <w:szCs w:val="24"/>
        </w:rPr>
        <w:t xml:space="preserve"> Low IGF-I and elevated testosterone during puberty in subjects with type 1 diabetes developing microalbuminuria in comparison to normoalbuminuric control subjects: the Oxford Regional Prospective Study. </w:t>
      </w:r>
      <w:r w:rsidRPr="00752474">
        <w:rPr>
          <w:rFonts w:ascii="Calibri" w:hAnsi="Calibri" w:cs="Calibri"/>
          <w:i/>
          <w:iCs/>
          <w:noProof/>
          <w:sz w:val="24"/>
          <w:szCs w:val="24"/>
        </w:rPr>
        <w:t>Diabetes Care</w:t>
      </w:r>
      <w:r w:rsidRPr="00752474">
        <w:rPr>
          <w:rFonts w:ascii="Calibri" w:hAnsi="Calibri" w:cs="Calibri"/>
          <w:noProof/>
          <w:sz w:val="24"/>
          <w:szCs w:val="24"/>
        </w:rPr>
        <w:t xml:space="preserve"> </w:t>
      </w:r>
      <w:r w:rsidRPr="00752474">
        <w:rPr>
          <w:rFonts w:ascii="Calibri" w:hAnsi="Calibri" w:cs="Calibri"/>
          <w:b/>
          <w:bCs/>
          <w:noProof/>
          <w:sz w:val="24"/>
          <w:szCs w:val="24"/>
        </w:rPr>
        <w:t>26,</w:t>
      </w:r>
      <w:r w:rsidRPr="00752474">
        <w:rPr>
          <w:rFonts w:ascii="Calibri" w:hAnsi="Calibri" w:cs="Calibri"/>
          <w:noProof/>
          <w:sz w:val="24"/>
          <w:szCs w:val="24"/>
        </w:rPr>
        <w:t xml:space="preserve"> 1456–61 (2003).</w:t>
      </w:r>
    </w:p>
    <w:p w14:paraId="64EFB3BB"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45.</w:t>
      </w:r>
      <w:r w:rsidRPr="00752474">
        <w:rPr>
          <w:rFonts w:ascii="Calibri" w:hAnsi="Calibri" w:cs="Calibri"/>
          <w:noProof/>
          <w:sz w:val="24"/>
          <w:szCs w:val="24"/>
        </w:rPr>
        <w:tab/>
        <w:t xml:space="preserve">Codner, E. &amp; Cassorla, F. Puberty and Ovarian Function in Girls with Type 1 Diabetes Mellitus. </w:t>
      </w:r>
      <w:r w:rsidRPr="00752474">
        <w:rPr>
          <w:rFonts w:ascii="Calibri" w:hAnsi="Calibri" w:cs="Calibri"/>
          <w:i/>
          <w:iCs/>
          <w:noProof/>
          <w:sz w:val="24"/>
          <w:szCs w:val="24"/>
        </w:rPr>
        <w:t>Horm. Res. Paediatr.</w:t>
      </w:r>
      <w:r w:rsidRPr="00752474">
        <w:rPr>
          <w:rFonts w:ascii="Calibri" w:hAnsi="Calibri" w:cs="Calibri"/>
          <w:noProof/>
          <w:sz w:val="24"/>
          <w:szCs w:val="24"/>
        </w:rPr>
        <w:t xml:space="preserve"> </w:t>
      </w:r>
      <w:r w:rsidRPr="00752474">
        <w:rPr>
          <w:rFonts w:ascii="Calibri" w:hAnsi="Calibri" w:cs="Calibri"/>
          <w:b/>
          <w:bCs/>
          <w:noProof/>
          <w:sz w:val="24"/>
          <w:szCs w:val="24"/>
        </w:rPr>
        <w:t>71,</w:t>
      </w:r>
      <w:r w:rsidRPr="00752474">
        <w:rPr>
          <w:rFonts w:ascii="Calibri" w:hAnsi="Calibri" w:cs="Calibri"/>
          <w:noProof/>
          <w:sz w:val="24"/>
          <w:szCs w:val="24"/>
        </w:rPr>
        <w:t xml:space="preserve"> 12–21 (2009).</w:t>
      </w:r>
    </w:p>
    <w:p w14:paraId="5ACF027F"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46.</w:t>
      </w:r>
      <w:r w:rsidRPr="00752474">
        <w:rPr>
          <w:rFonts w:ascii="Calibri" w:hAnsi="Calibri" w:cs="Calibri"/>
          <w:noProof/>
          <w:sz w:val="24"/>
          <w:szCs w:val="24"/>
        </w:rPr>
        <w:tab/>
        <w:t xml:space="preserve">Costacou, T. </w:t>
      </w:r>
      <w:r w:rsidRPr="00752474">
        <w:rPr>
          <w:rFonts w:ascii="Calibri" w:hAnsi="Calibri" w:cs="Calibri"/>
          <w:i/>
          <w:iCs/>
          <w:noProof/>
          <w:sz w:val="24"/>
          <w:szCs w:val="24"/>
        </w:rPr>
        <w:t>et al.</w:t>
      </w:r>
      <w:r w:rsidRPr="00752474">
        <w:rPr>
          <w:rFonts w:ascii="Calibri" w:hAnsi="Calibri" w:cs="Calibri"/>
          <w:noProof/>
          <w:sz w:val="24"/>
          <w:szCs w:val="24"/>
        </w:rPr>
        <w:t xml:space="preserve"> Dietary Patterns Over Time and Microalbuminuria in Youth and Young Adults With Type 1 Diabetes: The SEARCH Nutrition Ancillary Study. </w:t>
      </w:r>
      <w:r w:rsidRPr="00752474">
        <w:rPr>
          <w:rFonts w:ascii="Calibri" w:hAnsi="Calibri" w:cs="Calibri"/>
          <w:i/>
          <w:iCs/>
          <w:noProof/>
          <w:sz w:val="24"/>
          <w:szCs w:val="24"/>
        </w:rPr>
        <w:t>Diabetes Care</w:t>
      </w:r>
      <w:r w:rsidRPr="00752474">
        <w:rPr>
          <w:rFonts w:ascii="Calibri" w:hAnsi="Calibri" w:cs="Calibri"/>
          <w:noProof/>
          <w:sz w:val="24"/>
          <w:szCs w:val="24"/>
        </w:rPr>
        <w:t xml:space="preserve"> </w:t>
      </w:r>
      <w:r w:rsidRPr="00752474">
        <w:rPr>
          <w:rFonts w:ascii="Calibri" w:hAnsi="Calibri" w:cs="Calibri"/>
          <w:b/>
          <w:bCs/>
          <w:noProof/>
          <w:sz w:val="24"/>
          <w:szCs w:val="24"/>
        </w:rPr>
        <w:t>41,</w:t>
      </w:r>
      <w:r w:rsidRPr="00752474">
        <w:rPr>
          <w:rFonts w:ascii="Calibri" w:hAnsi="Calibri" w:cs="Calibri"/>
          <w:noProof/>
          <w:sz w:val="24"/>
          <w:szCs w:val="24"/>
        </w:rPr>
        <w:t xml:space="preserve"> 1615–1622 (2018).</w:t>
      </w:r>
    </w:p>
    <w:p w14:paraId="529F9BC0"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47.</w:t>
      </w:r>
      <w:r w:rsidRPr="00752474">
        <w:rPr>
          <w:rFonts w:ascii="Calibri" w:hAnsi="Calibri" w:cs="Calibri"/>
          <w:noProof/>
          <w:sz w:val="24"/>
          <w:szCs w:val="24"/>
        </w:rPr>
        <w:tab/>
        <w:t xml:space="preserve">Parving, H.-H., Persson, F. &amp; Rossing, P. Microalbuminuria: A parameter that has changed diabetes care. </w:t>
      </w:r>
      <w:r w:rsidRPr="00752474">
        <w:rPr>
          <w:rFonts w:ascii="Calibri" w:hAnsi="Calibri" w:cs="Calibri"/>
          <w:i/>
          <w:iCs/>
          <w:noProof/>
          <w:sz w:val="24"/>
          <w:szCs w:val="24"/>
        </w:rPr>
        <w:t>Diabetes Res. Clin. Pract.</w:t>
      </w:r>
      <w:r w:rsidRPr="00752474">
        <w:rPr>
          <w:rFonts w:ascii="Calibri" w:hAnsi="Calibri" w:cs="Calibri"/>
          <w:noProof/>
          <w:sz w:val="24"/>
          <w:szCs w:val="24"/>
        </w:rPr>
        <w:t xml:space="preserve"> </w:t>
      </w:r>
      <w:r w:rsidRPr="00752474">
        <w:rPr>
          <w:rFonts w:ascii="Calibri" w:hAnsi="Calibri" w:cs="Calibri"/>
          <w:b/>
          <w:bCs/>
          <w:noProof/>
          <w:sz w:val="24"/>
          <w:szCs w:val="24"/>
        </w:rPr>
        <w:t>107,</w:t>
      </w:r>
      <w:r w:rsidRPr="00752474">
        <w:rPr>
          <w:rFonts w:ascii="Calibri" w:hAnsi="Calibri" w:cs="Calibri"/>
          <w:noProof/>
          <w:sz w:val="24"/>
          <w:szCs w:val="24"/>
        </w:rPr>
        <w:t xml:space="preserve"> 1–8 (2015).</w:t>
      </w:r>
    </w:p>
    <w:p w14:paraId="5026F7E1"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48.</w:t>
      </w:r>
      <w:r w:rsidRPr="00752474">
        <w:rPr>
          <w:rFonts w:ascii="Calibri" w:hAnsi="Calibri" w:cs="Calibri"/>
          <w:noProof/>
          <w:sz w:val="24"/>
          <w:szCs w:val="24"/>
        </w:rPr>
        <w:tab/>
        <w:t xml:space="preserve">Viberti, G. C. </w:t>
      </w:r>
      <w:r w:rsidRPr="00752474">
        <w:rPr>
          <w:rFonts w:ascii="Calibri" w:hAnsi="Calibri" w:cs="Calibri"/>
          <w:i/>
          <w:iCs/>
          <w:noProof/>
          <w:sz w:val="24"/>
          <w:szCs w:val="24"/>
        </w:rPr>
        <w:t>et al.</w:t>
      </w:r>
      <w:r w:rsidRPr="00752474">
        <w:rPr>
          <w:rFonts w:ascii="Calibri" w:hAnsi="Calibri" w:cs="Calibri"/>
          <w:noProof/>
          <w:sz w:val="24"/>
          <w:szCs w:val="24"/>
        </w:rPr>
        <w:t xml:space="preserve"> Microalbuminuria as a predictor of clinical nephropathy in insulin-dependent diabetes mellitus. </w:t>
      </w:r>
      <w:r w:rsidRPr="00752474">
        <w:rPr>
          <w:rFonts w:ascii="Calibri" w:hAnsi="Calibri" w:cs="Calibri"/>
          <w:i/>
          <w:iCs/>
          <w:noProof/>
          <w:sz w:val="24"/>
          <w:szCs w:val="24"/>
        </w:rPr>
        <w:t>Lancet (London, England)</w:t>
      </w:r>
      <w:r w:rsidRPr="00752474">
        <w:rPr>
          <w:rFonts w:ascii="Calibri" w:hAnsi="Calibri" w:cs="Calibri"/>
          <w:noProof/>
          <w:sz w:val="24"/>
          <w:szCs w:val="24"/>
        </w:rPr>
        <w:t xml:space="preserve"> </w:t>
      </w:r>
      <w:r w:rsidRPr="00752474">
        <w:rPr>
          <w:rFonts w:ascii="Calibri" w:hAnsi="Calibri" w:cs="Calibri"/>
          <w:b/>
          <w:bCs/>
          <w:noProof/>
          <w:sz w:val="24"/>
          <w:szCs w:val="24"/>
        </w:rPr>
        <w:t>1,</w:t>
      </w:r>
      <w:r w:rsidRPr="00752474">
        <w:rPr>
          <w:rFonts w:ascii="Calibri" w:hAnsi="Calibri" w:cs="Calibri"/>
          <w:noProof/>
          <w:sz w:val="24"/>
          <w:szCs w:val="24"/>
        </w:rPr>
        <w:t xml:space="preserve"> 1430–2 (1982).</w:t>
      </w:r>
    </w:p>
    <w:p w14:paraId="0200587F"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49.</w:t>
      </w:r>
      <w:r w:rsidRPr="00752474">
        <w:rPr>
          <w:rFonts w:ascii="Calibri" w:hAnsi="Calibri" w:cs="Calibri"/>
          <w:noProof/>
          <w:sz w:val="24"/>
          <w:szCs w:val="24"/>
        </w:rPr>
        <w:tab/>
        <w:t xml:space="preserve">Deckert, T., Feldt-Rasmussen, B., Borch-Johnsen, K., Jensen, T. &amp; Kofoed-Enevoldsen, A. Albuminuria reflects widespread vascular damage. The Steno hypothesis. </w:t>
      </w:r>
      <w:r w:rsidRPr="00752474">
        <w:rPr>
          <w:rFonts w:ascii="Calibri" w:hAnsi="Calibri" w:cs="Calibri"/>
          <w:i/>
          <w:iCs/>
          <w:noProof/>
          <w:sz w:val="24"/>
          <w:szCs w:val="24"/>
        </w:rPr>
        <w:t>Diabetologia</w:t>
      </w:r>
      <w:r w:rsidRPr="00752474">
        <w:rPr>
          <w:rFonts w:ascii="Calibri" w:hAnsi="Calibri" w:cs="Calibri"/>
          <w:noProof/>
          <w:sz w:val="24"/>
          <w:szCs w:val="24"/>
        </w:rPr>
        <w:t xml:space="preserve"> </w:t>
      </w:r>
      <w:r w:rsidRPr="00752474">
        <w:rPr>
          <w:rFonts w:ascii="Calibri" w:hAnsi="Calibri" w:cs="Calibri"/>
          <w:b/>
          <w:bCs/>
          <w:noProof/>
          <w:sz w:val="24"/>
          <w:szCs w:val="24"/>
        </w:rPr>
        <w:t>32,</w:t>
      </w:r>
      <w:r w:rsidRPr="00752474">
        <w:rPr>
          <w:rFonts w:ascii="Calibri" w:hAnsi="Calibri" w:cs="Calibri"/>
          <w:noProof/>
          <w:sz w:val="24"/>
          <w:szCs w:val="24"/>
        </w:rPr>
        <w:t xml:space="preserve"> 219–26 (1989).</w:t>
      </w:r>
    </w:p>
    <w:p w14:paraId="624FA6DF"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50.</w:t>
      </w:r>
      <w:r w:rsidRPr="00752474">
        <w:rPr>
          <w:rFonts w:ascii="Calibri" w:hAnsi="Calibri" w:cs="Calibri"/>
          <w:noProof/>
          <w:sz w:val="24"/>
          <w:szCs w:val="24"/>
        </w:rPr>
        <w:tab/>
        <w:t xml:space="preserve">Rossing, P., Hougaard, P., Borch-Johnsen, K. &amp; Parving, H. H. Predictors of mortality in insulin dependent diabetes: 10 year observational follow up study. </w:t>
      </w:r>
      <w:r w:rsidRPr="00752474">
        <w:rPr>
          <w:rFonts w:ascii="Calibri" w:hAnsi="Calibri" w:cs="Calibri"/>
          <w:i/>
          <w:iCs/>
          <w:noProof/>
          <w:sz w:val="24"/>
          <w:szCs w:val="24"/>
        </w:rPr>
        <w:t>BMJ</w:t>
      </w:r>
      <w:r w:rsidRPr="00752474">
        <w:rPr>
          <w:rFonts w:ascii="Calibri" w:hAnsi="Calibri" w:cs="Calibri"/>
          <w:noProof/>
          <w:sz w:val="24"/>
          <w:szCs w:val="24"/>
        </w:rPr>
        <w:t xml:space="preserve"> </w:t>
      </w:r>
      <w:r w:rsidRPr="00752474">
        <w:rPr>
          <w:rFonts w:ascii="Calibri" w:hAnsi="Calibri" w:cs="Calibri"/>
          <w:b/>
          <w:bCs/>
          <w:noProof/>
          <w:sz w:val="24"/>
          <w:szCs w:val="24"/>
        </w:rPr>
        <w:t>313,</w:t>
      </w:r>
      <w:r w:rsidRPr="00752474">
        <w:rPr>
          <w:rFonts w:ascii="Calibri" w:hAnsi="Calibri" w:cs="Calibri"/>
          <w:noProof/>
          <w:sz w:val="24"/>
          <w:szCs w:val="24"/>
        </w:rPr>
        <w:t xml:space="preserve"> 779–84 (1996).</w:t>
      </w:r>
    </w:p>
    <w:p w14:paraId="24C1B5B2"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51.</w:t>
      </w:r>
      <w:r w:rsidRPr="00752474">
        <w:rPr>
          <w:rFonts w:ascii="Calibri" w:hAnsi="Calibri" w:cs="Calibri"/>
          <w:noProof/>
          <w:sz w:val="24"/>
          <w:szCs w:val="24"/>
        </w:rPr>
        <w:tab/>
        <w:t xml:space="preserve">Orchard, T. J., Secrest, A. M., Miller, R. G. &amp; Costacou, T. In the absence of renal disease, 20 year mortality risk in type 1 diabetes is comparable to that of the general population: a report from the Pittsburgh Epidemiology of Diabetes Complications Study. </w:t>
      </w:r>
      <w:r w:rsidRPr="00752474">
        <w:rPr>
          <w:rFonts w:ascii="Calibri" w:hAnsi="Calibri" w:cs="Calibri"/>
          <w:i/>
          <w:iCs/>
          <w:noProof/>
          <w:sz w:val="24"/>
          <w:szCs w:val="24"/>
        </w:rPr>
        <w:t>Diabetologia</w:t>
      </w:r>
      <w:r w:rsidRPr="00752474">
        <w:rPr>
          <w:rFonts w:ascii="Calibri" w:hAnsi="Calibri" w:cs="Calibri"/>
          <w:noProof/>
          <w:sz w:val="24"/>
          <w:szCs w:val="24"/>
        </w:rPr>
        <w:t xml:space="preserve"> </w:t>
      </w:r>
      <w:r w:rsidRPr="00752474">
        <w:rPr>
          <w:rFonts w:ascii="Calibri" w:hAnsi="Calibri" w:cs="Calibri"/>
          <w:b/>
          <w:bCs/>
          <w:noProof/>
          <w:sz w:val="24"/>
          <w:szCs w:val="24"/>
        </w:rPr>
        <w:t>53,</w:t>
      </w:r>
      <w:r w:rsidRPr="00752474">
        <w:rPr>
          <w:rFonts w:ascii="Calibri" w:hAnsi="Calibri" w:cs="Calibri"/>
          <w:noProof/>
          <w:sz w:val="24"/>
          <w:szCs w:val="24"/>
        </w:rPr>
        <w:t xml:space="preserve"> 2312–2319 (2010).</w:t>
      </w:r>
    </w:p>
    <w:p w14:paraId="366441BC"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52.</w:t>
      </w:r>
      <w:r w:rsidRPr="00752474">
        <w:rPr>
          <w:rFonts w:ascii="Calibri" w:hAnsi="Calibri" w:cs="Calibri"/>
          <w:noProof/>
          <w:sz w:val="24"/>
          <w:szCs w:val="24"/>
        </w:rPr>
        <w:tab/>
        <w:t xml:space="preserve">Groop, P.-H. </w:t>
      </w:r>
      <w:r w:rsidRPr="00752474">
        <w:rPr>
          <w:rFonts w:ascii="Calibri" w:hAnsi="Calibri" w:cs="Calibri"/>
          <w:i/>
          <w:iCs/>
          <w:noProof/>
          <w:sz w:val="24"/>
          <w:szCs w:val="24"/>
        </w:rPr>
        <w:t>et al.</w:t>
      </w:r>
      <w:r w:rsidRPr="00752474">
        <w:rPr>
          <w:rFonts w:ascii="Calibri" w:hAnsi="Calibri" w:cs="Calibri"/>
          <w:noProof/>
          <w:sz w:val="24"/>
          <w:szCs w:val="24"/>
        </w:rPr>
        <w:t xml:space="preserve"> The presence and severity of chronic kidney disease predicts all-cause mortality in type 1 diabetes. </w:t>
      </w:r>
      <w:r w:rsidRPr="00752474">
        <w:rPr>
          <w:rFonts w:ascii="Calibri" w:hAnsi="Calibri" w:cs="Calibri"/>
          <w:i/>
          <w:iCs/>
          <w:noProof/>
          <w:sz w:val="24"/>
          <w:szCs w:val="24"/>
        </w:rPr>
        <w:t>Diabetes</w:t>
      </w:r>
      <w:r w:rsidRPr="00752474">
        <w:rPr>
          <w:rFonts w:ascii="Calibri" w:hAnsi="Calibri" w:cs="Calibri"/>
          <w:noProof/>
          <w:sz w:val="24"/>
          <w:szCs w:val="24"/>
        </w:rPr>
        <w:t xml:space="preserve"> </w:t>
      </w:r>
      <w:r w:rsidRPr="00752474">
        <w:rPr>
          <w:rFonts w:ascii="Calibri" w:hAnsi="Calibri" w:cs="Calibri"/>
          <w:b/>
          <w:bCs/>
          <w:noProof/>
          <w:sz w:val="24"/>
          <w:szCs w:val="24"/>
        </w:rPr>
        <w:t>58,</w:t>
      </w:r>
      <w:r w:rsidRPr="00752474">
        <w:rPr>
          <w:rFonts w:ascii="Calibri" w:hAnsi="Calibri" w:cs="Calibri"/>
          <w:noProof/>
          <w:sz w:val="24"/>
          <w:szCs w:val="24"/>
        </w:rPr>
        <w:t xml:space="preserve"> 1651–8 (2009).</w:t>
      </w:r>
    </w:p>
    <w:p w14:paraId="3F3A9B7E"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53.</w:t>
      </w:r>
      <w:r w:rsidRPr="00752474">
        <w:rPr>
          <w:rFonts w:ascii="Calibri" w:hAnsi="Calibri" w:cs="Calibri"/>
          <w:noProof/>
          <w:sz w:val="24"/>
          <w:szCs w:val="24"/>
        </w:rPr>
        <w:tab/>
        <w:t xml:space="preserve">Fox, C. S. </w:t>
      </w:r>
      <w:r w:rsidRPr="00752474">
        <w:rPr>
          <w:rFonts w:ascii="Calibri" w:hAnsi="Calibri" w:cs="Calibri"/>
          <w:i/>
          <w:iCs/>
          <w:noProof/>
          <w:sz w:val="24"/>
          <w:szCs w:val="24"/>
        </w:rPr>
        <w:t>et al.</w:t>
      </w:r>
      <w:r w:rsidRPr="00752474">
        <w:rPr>
          <w:rFonts w:ascii="Calibri" w:hAnsi="Calibri" w:cs="Calibri"/>
          <w:noProof/>
          <w:sz w:val="24"/>
          <w:szCs w:val="24"/>
        </w:rPr>
        <w:t xml:space="preserve"> Associations of kidney disease measures with mortality and end-stage renal disease in individuals with and without diabetes: a meta-analysis. </w:t>
      </w:r>
      <w:r w:rsidRPr="00752474">
        <w:rPr>
          <w:rFonts w:ascii="Calibri" w:hAnsi="Calibri" w:cs="Calibri"/>
          <w:i/>
          <w:iCs/>
          <w:noProof/>
          <w:sz w:val="24"/>
          <w:szCs w:val="24"/>
        </w:rPr>
        <w:t>Lancet</w:t>
      </w:r>
      <w:r w:rsidRPr="00752474">
        <w:rPr>
          <w:rFonts w:ascii="Calibri" w:hAnsi="Calibri" w:cs="Calibri"/>
          <w:noProof/>
          <w:sz w:val="24"/>
          <w:szCs w:val="24"/>
        </w:rPr>
        <w:t xml:space="preserve"> </w:t>
      </w:r>
      <w:r w:rsidRPr="00752474">
        <w:rPr>
          <w:rFonts w:ascii="Calibri" w:hAnsi="Calibri" w:cs="Calibri"/>
          <w:b/>
          <w:bCs/>
          <w:noProof/>
          <w:sz w:val="24"/>
          <w:szCs w:val="24"/>
        </w:rPr>
        <w:t>380,</w:t>
      </w:r>
      <w:r w:rsidRPr="00752474">
        <w:rPr>
          <w:rFonts w:ascii="Calibri" w:hAnsi="Calibri" w:cs="Calibri"/>
          <w:noProof/>
          <w:sz w:val="24"/>
          <w:szCs w:val="24"/>
        </w:rPr>
        <w:t xml:space="preserve"> 1662–1673 (2012).</w:t>
      </w:r>
    </w:p>
    <w:p w14:paraId="466C1494"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lastRenderedPageBreak/>
        <w:t>54.</w:t>
      </w:r>
      <w:r w:rsidRPr="00752474">
        <w:rPr>
          <w:rFonts w:ascii="Calibri" w:hAnsi="Calibri" w:cs="Calibri"/>
          <w:noProof/>
          <w:sz w:val="24"/>
          <w:szCs w:val="24"/>
        </w:rPr>
        <w:tab/>
        <w:t xml:space="preserve">Matsushita, K. </w:t>
      </w:r>
      <w:r w:rsidRPr="00752474">
        <w:rPr>
          <w:rFonts w:ascii="Calibri" w:hAnsi="Calibri" w:cs="Calibri"/>
          <w:i/>
          <w:iCs/>
          <w:noProof/>
          <w:sz w:val="24"/>
          <w:szCs w:val="24"/>
        </w:rPr>
        <w:t>et al.</w:t>
      </w:r>
      <w:r w:rsidRPr="00752474">
        <w:rPr>
          <w:rFonts w:ascii="Calibri" w:hAnsi="Calibri" w:cs="Calibri"/>
          <w:noProof/>
          <w:sz w:val="24"/>
          <w:szCs w:val="24"/>
        </w:rPr>
        <w:t xml:space="preserve"> Estimated glomerular filtration rate and albuminuria for prediction of cardiovascular outcomes: a collaborative meta-analysis of individual participant data. </w:t>
      </w:r>
      <w:r w:rsidRPr="00752474">
        <w:rPr>
          <w:rFonts w:ascii="Calibri" w:hAnsi="Calibri" w:cs="Calibri"/>
          <w:i/>
          <w:iCs/>
          <w:noProof/>
          <w:sz w:val="24"/>
          <w:szCs w:val="24"/>
        </w:rPr>
        <w:t>lancet. Diabetes Endocrinol.</w:t>
      </w:r>
      <w:r w:rsidRPr="00752474">
        <w:rPr>
          <w:rFonts w:ascii="Calibri" w:hAnsi="Calibri" w:cs="Calibri"/>
          <w:noProof/>
          <w:sz w:val="24"/>
          <w:szCs w:val="24"/>
        </w:rPr>
        <w:t xml:space="preserve"> </w:t>
      </w:r>
      <w:r w:rsidRPr="00752474">
        <w:rPr>
          <w:rFonts w:ascii="Calibri" w:hAnsi="Calibri" w:cs="Calibri"/>
          <w:b/>
          <w:bCs/>
          <w:noProof/>
          <w:sz w:val="24"/>
          <w:szCs w:val="24"/>
        </w:rPr>
        <w:t>3,</w:t>
      </w:r>
      <w:r w:rsidRPr="00752474">
        <w:rPr>
          <w:rFonts w:ascii="Calibri" w:hAnsi="Calibri" w:cs="Calibri"/>
          <w:noProof/>
          <w:sz w:val="24"/>
          <w:szCs w:val="24"/>
        </w:rPr>
        <w:t xml:space="preserve"> 514–25 (2015).</w:t>
      </w:r>
    </w:p>
    <w:p w14:paraId="3B5E4982"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55.</w:t>
      </w:r>
      <w:r w:rsidRPr="00752474">
        <w:rPr>
          <w:rFonts w:ascii="Calibri" w:hAnsi="Calibri" w:cs="Calibri"/>
          <w:noProof/>
          <w:sz w:val="24"/>
          <w:szCs w:val="24"/>
        </w:rPr>
        <w:tab/>
        <w:t xml:space="preserve">Abdelhafiz, A. H., Ahmed, S. &amp; El Nahas, M. Microalbuminuria: Marker or Maker of Cardiovascular Disease. </w:t>
      </w:r>
      <w:r w:rsidRPr="00752474">
        <w:rPr>
          <w:rFonts w:ascii="Calibri" w:hAnsi="Calibri" w:cs="Calibri"/>
          <w:i/>
          <w:iCs/>
          <w:noProof/>
          <w:sz w:val="24"/>
          <w:szCs w:val="24"/>
        </w:rPr>
        <w:t>Nephron Exp. Nephrol.</w:t>
      </w:r>
      <w:r w:rsidRPr="00752474">
        <w:rPr>
          <w:rFonts w:ascii="Calibri" w:hAnsi="Calibri" w:cs="Calibri"/>
          <w:noProof/>
          <w:sz w:val="24"/>
          <w:szCs w:val="24"/>
        </w:rPr>
        <w:t xml:space="preserve"> </w:t>
      </w:r>
      <w:r w:rsidRPr="00752474">
        <w:rPr>
          <w:rFonts w:ascii="Calibri" w:hAnsi="Calibri" w:cs="Calibri"/>
          <w:b/>
          <w:bCs/>
          <w:noProof/>
          <w:sz w:val="24"/>
          <w:szCs w:val="24"/>
        </w:rPr>
        <w:t>119,</w:t>
      </w:r>
      <w:r w:rsidRPr="00752474">
        <w:rPr>
          <w:rFonts w:ascii="Calibri" w:hAnsi="Calibri" w:cs="Calibri"/>
          <w:noProof/>
          <w:sz w:val="24"/>
          <w:szCs w:val="24"/>
        </w:rPr>
        <w:t xml:space="preserve"> e6–e10 (2011).</w:t>
      </w:r>
    </w:p>
    <w:p w14:paraId="2B36CE9A"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56.</w:t>
      </w:r>
      <w:r w:rsidRPr="00752474">
        <w:rPr>
          <w:rFonts w:ascii="Calibri" w:hAnsi="Calibri" w:cs="Calibri"/>
          <w:noProof/>
          <w:sz w:val="24"/>
          <w:szCs w:val="24"/>
        </w:rPr>
        <w:tab/>
        <w:t xml:space="preserve">Schalkwijk, C. G. &amp; Stehouwer, C. D. A. Vascular complications in diabetes mellitus: the role of endothelial dysfunction. </w:t>
      </w:r>
      <w:r w:rsidRPr="00752474">
        <w:rPr>
          <w:rFonts w:ascii="Calibri" w:hAnsi="Calibri" w:cs="Calibri"/>
          <w:i/>
          <w:iCs/>
          <w:noProof/>
          <w:sz w:val="24"/>
          <w:szCs w:val="24"/>
        </w:rPr>
        <w:t>Clin. Sci. (Lond).</w:t>
      </w:r>
      <w:r w:rsidRPr="00752474">
        <w:rPr>
          <w:rFonts w:ascii="Calibri" w:hAnsi="Calibri" w:cs="Calibri"/>
          <w:noProof/>
          <w:sz w:val="24"/>
          <w:szCs w:val="24"/>
        </w:rPr>
        <w:t xml:space="preserve"> </w:t>
      </w:r>
      <w:r w:rsidRPr="00752474">
        <w:rPr>
          <w:rFonts w:ascii="Calibri" w:hAnsi="Calibri" w:cs="Calibri"/>
          <w:b/>
          <w:bCs/>
          <w:noProof/>
          <w:sz w:val="24"/>
          <w:szCs w:val="24"/>
        </w:rPr>
        <w:t>109,</w:t>
      </w:r>
      <w:r w:rsidRPr="00752474">
        <w:rPr>
          <w:rFonts w:ascii="Calibri" w:hAnsi="Calibri" w:cs="Calibri"/>
          <w:noProof/>
          <w:sz w:val="24"/>
          <w:szCs w:val="24"/>
        </w:rPr>
        <w:t xml:space="preserve"> 143–59 (2005).</w:t>
      </w:r>
    </w:p>
    <w:p w14:paraId="70A0C3A2"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57.</w:t>
      </w:r>
      <w:r w:rsidRPr="00752474">
        <w:rPr>
          <w:rFonts w:ascii="Calibri" w:hAnsi="Calibri" w:cs="Calibri"/>
          <w:noProof/>
          <w:sz w:val="24"/>
          <w:szCs w:val="24"/>
        </w:rPr>
        <w:tab/>
        <w:t xml:space="preserve">Schultz, C. J., Neil, H. A., Dalton, R. N., Dunger, D. B. &amp; Oxforn Regional Prospective Study Group. Risk of nephropathy can be detected before the onset of microalbuminuria during the early years after diagnosis of type 1 diabetes. </w:t>
      </w:r>
      <w:r w:rsidRPr="00752474">
        <w:rPr>
          <w:rFonts w:ascii="Calibri" w:hAnsi="Calibri" w:cs="Calibri"/>
          <w:i/>
          <w:iCs/>
          <w:noProof/>
          <w:sz w:val="24"/>
          <w:szCs w:val="24"/>
        </w:rPr>
        <w:t>Diabetes Care</w:t>
      </w:r>
      <w:r w:rsidRPr="00752474">
        <w:rPr>
          <w:rFonts w:ascii="Calibri" w:hAnsi="Calibri" w:cs="Calibri"/>
          <w:noProof/>
          <w:sz w:val="24"/>
          <w:szCs w:val="24"/>
        </w:rPr>
        <w:t xml:space="preserve"> </w:t>
      </w:r>
      <w:r w:rsidRPr="00752474">
        <w:rPr>
          <w:rFonts w:ascii="Calibri" w:hAnsi="Calibri" w:cs="Calibri"/>
          <w:b/>
          <w:bCs/>
          <w:noProof/>
          <w:sz w:val="24"/>
          <w:szCs w:val="24"/>
        </w:rPr>
        <w:t>23,</w:t>
      </w:r>
      <w:r w:rsidRPr="00752474">
        <w:rPr>
          <w:rFonts w:ascii="Calibri" w:hAnsi="Calibri" w:cs="Calibri"/>
          <w:noProof/>
          <w:sz w:val="24"/>
          <w:szCs w:val="24"/>
        </w:rPr>
        <w:t xml:space="preserve"> 1811–5 (2000).</w:t>
      </w:r>
    </w:p>
    <w:p w14:paraId="627E07F3"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58.</w:t>
      </w:r>
      <w:r w:rsidRPr="00752474">
        <w:rPr>
          <w:rFonts w:ascii="Calibri" w:hAnsi="Calibri" w:cs="Calibri"/>
          <w:noProof/>
          <w:sz w:val="24"/>
          <w:szCs w:val="24"/>
        </w:rPr>
        <w:tab/>
        <w:t xml:space="preserve">Dunger, D. B. </w:t>
      </w:r>
      <w:r w:rsidRPr="00752474">
        <w:rPr>
          <w:rFonts w:ascii="Calibri" w:hAnsi="Calibri" w:cs="Calibri"/>
          <w:i/>
          <w:iCs/>
          <w:noProof/>
          <w:sz w:val="24"/>
          <w:szCs w:val="24"/>
        </w:rPr>
        <w:t>et al.</w:t>
      </w:r>
      <w:r w:rsidRPr="00752474">
        <w:rPr>
          <w:rFonts w:ascii="Calibri" w:hAnsi="Calibri" w:cs="Calibri"/>
          <w:noProof/>
          <w:sz w:val="24"/>
          <w:szCs w:val="24"/>
        </w:rPr>
        <w:t xml:space="preserve"> Can we identify adolescents at high risk for nephropathy before the development of microalbuminuria? </w:t>
      </w:r>
      <w:r w:rsidRPr="00752474">
        <w:rPr>
          <w:rFonts w:ascii="Calibri" w:hAnsi="Calibri" w:cs="Calibri"/>
          <w:i/>
          <w:iCs/>
          <w:noProof/>
          <w:sz w:val="24"/>
          <w:szCs w:val="24"/>
        </w:rPr>
        <w:t>Diabet. Med.</w:t>
      </w:r>
      <w:r w:rsidRPr="00752474">
        <w:rPr>
          <w:rFonts w:ascii="Calibri" w:hAnsi="Calibri" w:cs="Calibri"/>
          <w:noProof/>
          <w:sz w:val="24"/>
          <w:szCs w:val="24"/>
        </w:rPr>
        <w:t xml:space="preserve"> </w:t>
      </w:r>
      <w:r w:rsidRPr="00752474">
        <w:rPr>
          <w:rFonts w:ascii="Calibri" w:hAnsi="Calibri" w:cs="Calibri"/>
          <w:b/>
          <w:bCs/>
          <w:noProof/>
          <w:sz w:val="24"/>
          <w:szCs w:val="24"/>
        </w:rPr>
        <w:t>24,</w:t>
      </w:r>
      <w:r w:rsidRPr="00752474">
        <w:rPr>
          <w:rFonts w:ascii="Calibri" w:hAnsi="Calibri" w:cs="Calibri"/>
          <w:noProof/>
          <w:sz w:val="24"/>
          <w:szCs w:val="24"/>
        </w:rPr>
        <w:t xml:space="preserve"> 131–6 (2007).</w:t>
      </w:r>
    </w:p>
    <w:p w14:paraId="1803D6E9"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59.</w:t>
      </w:r>
      <w:r w:rsidRPr="00752474">
        <w:rPr>
          <w:rFonts w:ascii="Calibri" w:hAnsi="Calibri" w:cs="Calibri"/>
          <w:noProof/>
          <w:sz w:val="24"/>
          <w:szCs w:val="24"/>
        </w:rPr>
        <w:tab/>
        <w:t xml:space="preserve">Marcovecchio, M. L. </w:t>
      </w:r>
      <w:r w:rsidRPr="00752474">
        <w:rPr>
          <w:rFonts w:ascii="Calibri" w:hAnsi="Calibri" w:cs="Calibri"/>
          <w:i/>
          <w:iCs/>
          <w:noProof/>
          <w:sz w:val="24"/>
          <w:szCs w:val="24"/>
        </w:rPr>
        <w:t>et al.</w:t>
      </w:r>
      <w:r w:rsidRPr="00752474">
        <w:rPr>
          <w:rFonts w:ascii="Calibri" w:hAnsi="Calibri" w:cs="Calibri"/>
          <w:noProof/>
          <w:sz w:val="24"/>
          <w:szCs w:val="24"/>
        </w:rPr>
        <w:t xml:space="preserve"> Reduced endogenous secretory receptor for advanced glycation end products (esRAGE) in young people with Type 1 diabetes developing microalbuminuria. </w:t>
      </w:r>
      <w:r w:rsidRPr="00752474">
        <w:rPr>
          <w:rFonts w:ascii="Calibri" w:hAnsi="Calibri" w:cs="Calibri"/>
          <w:i/>
          <w:iCs/>
          <w:noProof/>
          <w:sz w:val="24"/>
          <w:szCs w:val="24"/>
        </w:rPr>
        <w:t>Diabet. Med.</w:t>
      </w:r>
      <w:r w:rsidRPr="00752474">
        <w:rPr>
          <w:rFonts w:ascii="Calibri" w:hAnsi="Calibri" w:cs="Calibri"/>
          <w:noProof/>
          <w:sz w:val="24"/>
          <w:szCs w:val="24"/>
        </w:rPr>
        <w:t xml:space="preserve"> </w:t>
      </w:r>
      <w:r w:rsidRPr="00752474">
        <w:rPr>
          <w:rFonts w:ascii="Calibri" w:hAnsi="Calibri" w:cs="Calibri"/>
          <w:b/>
          <w:bCs/>
          <w:noProof/>
          <w:sz w:val="24"/>
          <w:szCs w:val="24"/>
        </w:rPr>
        <w:t>26,</w:t>
      </w:r>
      <w:r w:rsidRPr="00752474">
        <w:rPr>
          <w:rFonts w:ascii="Calibri" w:hAnsi="Calibri" w:cs="Calibri"/>
          <w:noProof/>
          <w:sz w:val="24"/>
          <w:szCs w:val="24"/>
        </w:rPr>
        <w:t xml:space="preserve"> 815–819 (2009).</w:t>
      </w:r>
    </w:p>
    <w:p w14:paraId="6658761E"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60.</w:t>
      </w:r>
      <w:r w:rsidRPr="00752474">
        <w:rPr>
          <w:rFonts w:ascii="Calibri" w:hAnsi="Calibri" w:cs="Calibri"/>
          <w:noProof/>
          <w:sz w:val="24"/>
          <w:szCs w:val="24"/>
        </w:rPr>
        <w:tab/>
        <w:t xml:space="preserve">Marcovecchio, M. L. </w:t>
      </w:r>
      <w:r w:rsidRPr="00752474">
        <w:rPr>
          <w:rFonts w:ascii="Calibri" w:hAnsi="Calibri" w:cs="Calibri"/>
          <w:i/>
          <w:iCs/>
          <w:noProof/>
          <w:sz w:val="24"/>
          <w:szCs w:val="24"/>
        </w:rPr>
        <w:t>et al.</w:t>
      </w:r>
      <w:r w:rsidRPr="00752474">
        <w:rPr>
          <w:rFonts w:ascii="Calibri" w:hAnsi="Calibri" w:cs="Calibri"/>
          <w:noProof/>
          <w:sz w:val="24"/>
          <w:szCs w:val="24"/>
        </w:rPr>
        <w:t xml:space="preserve"> Prevalence of abnormal lipid profiles and the relationship with the development of microalbuminuria in adolescents with type 1 diabetes. </w:t>
      </w:r>
      <w:r w:rsidRPr="00752474">
        <w:rPr>
          <w:rFonts w:ascii="Calibri" w:hAnsi="Calibri" w:cs="Calibri"/>
          <w:i/>
          <w:iCs/>
          <w:noProof/>
          <w:sz w:val="24"/>
          <w:szCs w:val="24"/>
        </w:rPr>
        <w:t>Diabetes Care</w:t>
      </w:r>
      <w:r w:rsidRPr="00752474">
        <w:rPr>
          <w:rFonts w:ascii="Calibri" w:hAnsi="Calibri" w:cs="Calibri"/>
          <w:noProof/>
          <w:sz w:val="24"/>
          <w:szCs w:val="24"/>
        </w:rPr>
        <w:t xml:space="preserve"> </w:t>
      </w:r>
      <w:r w:rsidRPr="00752474">
        <w:rPr>
          <w:rFonts w:ascii="Calibri" w:hAnsi="Calibri" w:cs="Calibri"/>
          <w:b/>
          <w:bCs/>
          <w:noProof/>
          <w:sz w:val="24"/>
          <w:szCs w:val="24"/>
        </w:rPr>
        <w:t>32,</w:t>
      </w:r>
      <w:r w:rsidRPr="00752474">
        <w:rPr>
          <w:rFonts w:ascii="Calibri" w:hAnsi="Calibri" w:cs="Calibri"/>
          <w:noProof/>
          <w:sz w:val="24"/>
          <w:szCs w:val="24"/>
        </w:rPr>
        <w:t xml:space="preserve"> 658–663 (2009).</w:t>
      </w:r>
    </w:p>
    <w:p w14:paraId="6AB8560E"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61.</w:t>
      </w:r>
      <w:r w:rsidRPr="00752474">
        <w:rPr>
          <w:rFonts w:ascii="Calibri" w:hAnsi="Calibri" w:cs="Calibri"/>
          <w:noProof/>
          <w:sz w:val="24"/>
          <w:szCs w:val="24"/>
        </w:rPr>
        <w:tab/>
        <w:t xml:space="preserve">Marcovecchio, M. L. </w:t>
      </w:r>
      <w:r w:rsidRPr="00752474">
        <w:rPr>
          <w:rFonts w:ascii="Calibri" w:hAnsi="Calibri" w:cs="Calibri"/>
          <w:i/>
          <w:iCs/>
          <w:noProof/>
          <w:sz w:val="24"/>
          <w:szCs w:val="24"/>
        </w:rPr>
        <w:t>et al.</w:t>
      </w:r>
      <w:r w:rsidRPr="00752474">
        <w:rPr>
          <w:rFonts w:ascii="Calibri" w:hAnsi="Calibri" w:cs="Calibri"/>
          <w:noProof/>
          <w:sz w:val="24"/>
          <w:szCs w:val="24"/>
        </w:rPr>
        <w:t xml:space="preserve"> Ambulatory blood pressure measurements are related to albumin excretion and are predictive for risk of microalbuminuria in young people with type 1 diabetes. </w:t>
      </w:r>
      <w:r w:rsidRPr="00752474">
        <w:rPr>
          <w:rFonts w:ascii="Calibri" w:hAnsi="Calibri" w:cs="Calibri"/>
          <w:i/>
          <w:iCs/>
          <w:noProof/>
          <w:sz w:val="24"/>
          <w:szCs w:val="24"/>
        </w:rPr>
        <w:t>Diabetologia</w:t>
      </w:r>
      <w:r w:rsidRPr="00752474">
        <w:rPr>
          <w:rFonts w:ascii="Calibri" w:hAnsi="Calibri" w:cs="Calibri"/>
          <w:noProof/>
          <w:sz w:val="24"/>
          <w:szCs w:val="24"/>
        </w:rPr>
        <w:t xml:space="preserve"> </w:t>
      </w:r>
      <w:r w:rsidRPr="00752474">
        <w:rPr>
          <w:rFonts w:ascii="Calibri" w:hAnsi="Calibri" w:cs="Calibri"/>
          <w:b/>
          <w:bCs/>
          <w:noProof/>
          <w:sz w:val="24"/>
          <w:szCs w:val="24"/>
        </w:rPr>
        <w:t>52,</w:t>
      </w:r>
      <w:r w:rsidRPr="00752474">
        <w:rPr>
          <w:rFonts w:ascii="Calibri" w:hAnsi="Calibri" w:cs="Calibri"/>
          <w:noProof/>
          <w:sz w:val="24"/>
          <w:szCs w:val="24"/>
        </w:rPr>
        <w:t xml:space="preserve"> (2009).</w:t>
      </w:r>
    </w:p>
    <w:p w14:paraId="3CCA4C46"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62.</w:t>
      </w:r>
      <w:r w:rsidRPr="00752474">
        <w:rPr>
          <w:rFonts w:ascii="Calibri" w:hAnsi="Calibri" w:cs="Calibri"/>
          <w:noProof/>
          <w:sz w:val="24"/>
          <w:szCs w:val="24"/>
        </w:rPr>
        <w:tab/>
        <w:t xml:space="preserve">Adolescent type 1 Diabetes Cardio-renal Intervention Trial (AdDIT). </w:t>
      </w:r>
      <w:r w:rsidRPr="00752474">
        <w:rPr>
          <w:rFonts w:ascii="Calibri" w:hAnsi="Calibri" w:cs="Calibri"/>
          <w:i/>
          <w:iCs/>
          <w:noProof/>
          <w:sz w:val="24"/>
          <w:szCs w:val="24"/>
        </w:rPr>
        <w:t>BMC Pediatr.</w:t>
      </w:r>
      <w:r w:rsidRPr="00752474">
        <w:rPr>
          <w:rFonts w:ascii="Calibri" w:hAnsi="Calibri" w:cs="Calibri"/>
          <w:noProof/>
          <w:sz w:val="24"/>
          <w:szCs w:val="24"/>
        </w:rPr>
        <w:t xml:space="preserve"> </w:t>
      </w:r>
      <w:r w:rsidRPr="00752474">
        <w:rPr>
          <w:rFonts w:ascii="Calibri" w:hAnsi="Calibri" w:cs="Calibri"/>
          <w:b/>
          <w:bCs/>
          <w:noProof/>
          <w:sz w:val="24"/>
          <w:szCs w:val="24"/>
        </w:rPr>
        <w:t>9,</w:t>
      </w:r>
      <w:r w:rsidRPr="00752474">
        <w:rPr>
          <w:rFonts w:ascii="Calibri" w:hAnsi="Calibri" w:cs="Calibri"/>
          <w:noProof/>
          <w:sz w:val="24"/>
          <w:szCs w:val="24"/>
        </w:rPr>
        <w:t xml:space="preserve"> 79 (2009).</w:t>
      </w:r>
    </w:p>
    <w:p w14:paraId="37DCF691"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63.</w:t>
      </w:r>
      <w:r w:rsidRPr="00752474">
        <w:rPr>
          <w:rFonts w:ascii="Calibri" w:hAnsi="Calibri" w:cs="Calibri"/>
          <w:noProof/>
          <w:sz w:val="24"/>
          <w:szCs w:val="24"/>
        </w:rPr>
        <w:tab/>
        <w:t xml:space="preserve">Marcovecchio, M. L. </w:t>
      </w:r>
      <w:r w:rsidRPr="00752474">
        <w:rPr>
          <w:rFonts w:ascii="Calibri" w:hAnsi="Calibri" w:cs="Calibri"/>
          <w:i/>
          <w:iCs/>
          <w:noProof/>
          <w:sz w:val="24"/>
          <w:szCs w:val="24"/>
        </w:rPr>
        <w:t>et al.</w:t>
      </w:r>
      <w:r w:rsidRPr="00752474">
        <w:rPr>
          <w:rFonts w:ascii="Calibri" w:hAnsi="Calibri" w:cs="Calibri"/>
          <w:noProof/>
          <w:sz w:val="24"/>
          <w:szCs w:val="24"/>
        </w:rPr>
        <w:t xml:space="preserve"> ACE Inhibitors and Statins in Adolescents with Type 1 Diabetes. </w:t>
      </w:r>
      <w:r w:rsidRPr="00752474">
        <w:rPr>
          <w:rFonts w:ascii="Calibri" w:hAnsi="Calibri" w:cs="Calibri"/>
          <w:i/>
          <w:iCs/>
          <w:noProof/>
          <w:sz w:val="24"/>
          <w:szCs w:val="24"/>
        </w:rPr>
        <w:t>N. Engl. J. Med.</w:t>
      </w:r>
      <w:r w:rsidRPr="00752474">
        <w:rPr>
          <w:rFonts w:ascii="Calibri" w:hAnsi="Calibri" w:cs="Calibri"/>
          <w:noProof/>
          <w:sz w:val="24"/>
          <w:szCs w:val="24"/>
        </w:rPr>
        <w:t xml:space="preserve"> </w:t>
      </w:r>
      <w:r w:rsidRPr="00752474">
        <w:rPr>
          <w:rFonts w:ascii="Calibri" w:hAnsi="Calibri" w:cs="Calibri"/>
          <w:b/>
          <w:bCs/>
          <w:noProof/>
          <w:sz w:val="24"/>
          <w:szCs w:val="24"/>
        </w:rPr>
        <w:t>377,</w:t>
      </w:r>
      <w:r w:rsidRPr="00752474">
        <w:rPr>
          <w:rFonts w:ascii="Calibri" w:hAnsi="Calibri" w:cs="Calibri"/>
          <w:noProof/>
          <w:sz w:val="24"/>
          <w:szCs w:val="24"/>
        </w:rPr>
        <w:t xml:space="preserve"> 1733–1745 (2017).</w:t>
      </w:r>
    </w:p>
    <w:p w14:paraId="32EBEA0D"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64.</w:t>
      </w:r>
      <w:r w:rsidRPr="00752474">
        <w:rPr>
          <w:rFonts w:ascii="Calibri" w:hAnsi="Calibri" w:cs="Calibri"/>
          <w:noProof/>
          <w:sz w:val="24"/>
          <w:szCs w:val="24"/>
        </w:rPr>
        <w:tab/>
        <w:t xml:space="preserve">NICE. Type 1 diabetes in adults: diagnosis and management. </w:t>
      </w:r>
      <w:r w:rsidRPr="00752474">
        <w:rPr>
          <w:rFonts w:ascii="Calibri" w:hAnsi="Calibri" w:cs="Calibri"/>
          <w:i/>
          <w:iCs/>
          <w:noProof/>
          <w:sz w:val="24"/>
          <w:szCs w:val="24"/>
        </w:rPr>
        <w:t>2016</w:t>
      </w:r>
      <w:r w:rsidRPr="00752474">
        <w:rPr>
          <w:rFonts w:ascii="Calibri" w:hAnsi="Calibri" w:cs="Calibri"/>
          <w:noProof/>
          <w:sz w:val="24"/>
          <w:szCs w:val="24"/>
        </w:rPr>
        <w:t xml:space="preserve"> Available at: https://www.nice.org.uk/guidance/ng17/chapter/1-recommendations#managing-complications. </w:t>
      </w:r>
    </w:p>
    <w:p w14:paraId="1F7EB23E"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65.</w:t>
      </w:r>
      <w:r w:rsidRPr="00752474">
        <w:rPr>
          <w:rFonts w:ascii="Calibri" w:hAnsi="Calibri" w:cs="Calibri"/>
          <w:noProof/>
          <w:sz w:val="24"/>
          <w:szCs w:val="24"/>
        </w:rPr>
        <w:tab/>
        <w:t xml:space="preserve">Marcovecchio, M. L. </w:t>
      </w:r>
      <w:r w:rsidRPr="00752474">
        <w:rPr>
          <w:rFonts w:ascii="Calibri" w:hAnsi="Calibri" w:cs="Calibri"/>
          <w:i/>
          <w:iCs/>
          <w:noProof/>
          <w:sz w:val="24"/>
          <w:szCs w:val="24"/>
        </w:rPr>
        <w:t>et al.</w:t>
      </w:r>
      <w:r w:rsidRPr="00752474">
        <w:rPr>
          <w:rFonts w:ascii="Calibri" w:hAnsi="Calibri" w:cs="Calibri"/>
          <w:noProof/>
          <w:sz w:val="24"/>
          <w:szCs w:val="24"/>
        </w:rPr>
        <w:t xml:space="preserve"> Adolescent Type 1 Diabetes Cardio-Renal Intervention Trial (AdDIT): urinary screening and baseline biochemical and cardiovascular assessments. </w:t>
      </w:r>
      <w:r w:rsidRPr="00752474">
        <w:rPr>
          <w:rFonts w:ascii="Calibri" w:hAnsi="Calibri" w:cs="Calibri"/>
          <w:i/>
          <w:iCs/>
          <w:noProof/>
          <w:sz w:val="24"/>
          <w:szCs w:val="24"/>
        </w:rPr>
        <w:t>Diabetes Care</w:t>
      </w:r>
      <w:r w:rsidRPr="00752474">
        <w:rPr>
          <w:rFonts w:ascii="Calibri" w:hAnsi="Calibri" w:cs="Calibri"/>
          <w:noProof/>
          <w:sz w:val="24"/>
          <w:szCs w:val="24"/>
        </w:rPr>
        <w:t xml:space="preserve"> </w:t>
      </w:r>
      <w:r w:rsidRPr="00752474">
        <w:rPr>
          <w:rFonts w:ascii="Calibri" w:hAnsi="Calibri" w:cs="Calibri"/>
          <w:b/>
          <w:bCs/>
          <w:noProof/>
          <w:sz w:val="24"/>
          <w:szCs w:val="24"/>
        </w:rPr>
        <w:t>37,</w:t>
      </w:r>
      <w:r w:rsidRPr="00752474">
        <w:rPr>
          <w:rFonts w:ascii="Calibri" w:hAnsi="Calibri" w:cs="Calibri"/>
          <w:noProof/>
          <w:sz w:val="24"/>
          <w:szCs w:val="24"/>
        </w:rPr>
        <w:t xml:space="preserve"> 805–13 (2014).</w:t>
      </w:r>
    </w:p>
    <w:p w14:paraId="5A88ACDE"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66.</w:t>
      </w:r>
      <w:r w:rsidRPr="00752474">
        <w:rPr>
          <w:rFonts w:ascii="Calibri" w:hAnsi="Calibri" w:cs="Calibri"/>
          <w:noProof/>
          <w:sz w:val="24"/>
          <w:szCs w:val="24"/>
        </w:rPr>
        <w:tab/>
        <w:t xml:space="preserve">Benitez-Aguirre, P. Z. </w:t>
      </w:r>
      <w:r w:rsidRPr="00752474">
        <w:rPr>
          <w:rFonts w:ascii="Calibri" w:hAnsi="Calibri" w:cs="Calibri"/>
          <w:i/>
          <w:iCs/>
          <w:noProof/>
          <w:sz w:val="24"/>
          <w:szCs w:val="24"/>
        </w:rPr>
        <w:t>et al.</w:t>
      </w:r>
      <w:r w:rsidRPr="00752474">
        <w:rPr>
          <w:rFonts w:ascii="Calibri" w:hAnsi="Calibri" w:cs="Calibri"/>
          <w:noProof/>
          <w:sz w:val="24"/>
          <w:szCs w:val="24"/>
        </w:rPr>
        <w:t xml:space="preserve"> The Adolescent Cardio-Renal Intervention Trial (AdDIT): retinal vascular geometry and renal function in adolescents with type 1 diabetes. </w:t>
      </w:r>
      <w:r w:rsidRPr="00752474">
        <w:rPr>
          <w:rFonts w:ascii="Calibri" w:hAnsi="Calibri" w:cs="Calibri"/>
          <w:i/>
          <w:iCs/>
          <w:noProof/>
          <w:sz w:val="24"/>
          <w:szCs w:val="24"/>
        </w:rPr>
        <w:t>Diabetologia</w:t>
      </w:r>
      <w:r w:rsidRPr="00752474">
        <w:rPr>
          <w:rFonts w:ascii="Calibri" w:hAnsi="Calibri" w:cs="Calibri"/>
          <w:noProof/>
          <w:sz w:val="24"/>
          <w:szCs w:val="24"/>
        </w:rPr>
        <w:t xml:space="preserve"> </w:t>
      </w:r>
      <w:r w:rsidRPr="00752474">
        <w:rPr>
          <w:rFonts w:ascii="Calibri" w:hAnsi="Calibri" w:cs="Calibri"/>
          <w:b/>
          <w:bCs/>
          <w:noProof/>
          <w:sz w:val="24"/>
          <w:szCs w:val="24"/>
        </w:rPr>
        <w:t>61,</w:t>
      </w:r>
      <w:r w:rsidRPr="00752474">
        <w:rPr>
          <w:rFonts w:ascii="Calibri" w:hAnsi="Calibri" w:cs="Calibri"/>
          <w:noProof/>
          <w:sz w:val="24"/>
          <w:szCs w:val="24"/>
        </w:rPr>
        <w:t xml:space="preserve"> 968–976 (2018).</w:t>
      </w:r>
    </w:p>
    <w:p w14:paraId="485CB144"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67.</w:t>
      </w:r>
      <w:r w:rsidRPr="00752474">
        <w:rPr>
          <w:rFonts w:ascii="Calibri" w:hAnsi="Calibri" w:cs="Calibri"/>
          <w:noProof/>
          <w:sz w:val="24"/>
          <w:szCs w:val="24"/>
        </w:rPr>
        <w:tab/>
        <w:t xml:space="preserve">Cho, Y. H. </w:t>
      </w:r>
      <w:r w:rsidRPr="00752474">
        <w:rPr>
          <w:rFonts w:ascii="Calibri" w:hAnsi="Calibri" w:cs="Calibri"/>
          <w:i/>
          <w:iCs/>
          <w:noProof/>
          <w:sz w:val="24"/>
          <w:szCs w:val="24"/>
        </w:rPr>
        <w:t>et al.</w:t>
      </w:r>
      <w:r w:rsidRPr="00752474">
        <w:rPr>
          <w:rFonts w:ascii="Calibri" w:hAnsi="Calibri" w:cs="Calibri"/>
          <w:noProof/>
          <w:sz w:val="24"/>
          <w:szCs w:val="24"/>
        </w:rPr>
        <w:t xml:space="preserve"> Cardiac autonomic dysfunction is associated with high-risk albumin-to-creatinine ratio in young adolescents with type 1 diabetes in AdDIT (adolescent type 1 diabetes cardio-renal interventional trial). </w:t>
      </w:r>
      <w:r w:rsidRPr="00752474">
        <w:rPr>
          <w:rFonts w:ascii="Calibri" w:hAnsi="Calibri" w:cs="Calibri"/>
          <w:i/>
          <w:iCs/>
          <w:noProof/>
          <w:sz w:val="24"/>
          <w:szCs w:val="24"/>
        </w:rPr>
        <w:t>Diabetes Care</w:t>
      </w:r>
      <w:r w:rsidRPr="00752474">
        <w:rPr>
          <w:rFonts w:ascii="Calibri" w:hAnsi="Calibri" w:cs="Calibri"/>
          <w:noProof/>
          <w:sz w:val="24"/>
          <w:szCs w:val="24"/>
        </w:rPr>
        <w:t xml:space="preserve"> </w:t>
      </w:r>
      <w:r w:rsidRPr="00752474">
        <w:rPr>
          <w:rFonts w:ascii="Calibri" w:hAnsi="Calibri" w:cs="Calibri"/>
          <w:b/>
          <w:bCs/>
          <w:noProof/>
          <w:sz w:val="24"/>
          <w:szCs w:val="24"/>
        </w:rPr>
        <w:t>38,</w:t>
      </w:r>
      <w:r w:rsidRPr="00752474">
        <w:rPr>
          <w:rFonts w:ascii="Calibri" w:hAnsi="Calibri" w:cs="Calibri"/>
          <w:noProof/>
          <w:sz w:val="24"/>
          <w:szCs w:val="24"/>
        </w:rPr>
        <w:t xml:space="preserve"> 676–81 (2015).</w:t>
      </w:r>
    </w:p>
    <w:p w14:paraId="270957C5"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68.</w:t>
      </w:r>
      <w:r w:rsidRPr="00752474">
        <w:rPr>
          <w:rFonts w:ascii="Calibri" w:hAnsi="Calibri" w:cs="Calibri"/>
          <w:noProof/>
          <w:sz w:val="24"/>
          <w:szCs w:val="24"/>
        </w:rPr>
        <w:tab/>
        <w:t xml:space="preserve">Maftei, O. </w:t>
      </w:r>
      <w:r w:rsidRPr="00752474">
        <w:rPr>
          <w:rFonts w:ascii="Calibri" w:hAnsi="Calibri" w:cs="Calibri"/>
          <w:i/>
          <w:iCs/>
          <w:noProof/>
          <w:sz w:val="24"/>
          <w:szCs w:val="24"/>
        </w:rPr>
        <w:t>et al.</w:t>
      </w:r>
      <w:r w:rsidRPr="00752474">
        <w:rPr>
          <w:rFonts w:ascii="Calibri" w:hAnsi="Calibri" w:cs="Calibri"/>
          <w:noProof/>
          <w:sz w:val="24"/>
          <w:szCs w:val="24"/>
        </w:rPr>
        <w:t xml:space="preserve"> Early atherosclerosis relates to urinary albumin excretion and cardiovascular risk factors in adolescents with type 1 diabetes: Adolescent type 1 Diabetes cardio-renal Intervention Trial (AdDIT). </w:t>
      </w:r>
      <w:r w:rsidRPr="00752474">
        <w:rPr>
          <w:rFonts w:ascii="Calibri" w:hAnsi="Calibri" w:cs="Calibri"/>
          <w:i/>
          <w:iCs/>
          <w:noProof/>
          <w:sz w:val="24"/>
          <w:szCs w:val="24"/>
        </w:rPr>
        <w:t>Diabetes Care</w:t>
      </w:r>
      <w:r w:rsidRPr="00752474">
        <w:rPr>
          <w:rFonts w:ascii="Calibri" w:hAnsi="Calibri" w:cs="Calibri"/>
          <w:noProof/>
          <w:sz w:val="24"/>
          <w:szCs w:val="24"/>
        </w:rPr>
        <w:t xml:space="preserve"> </w:t>
      </w:r>
      <w:r w:rsidRPr="00752474">
        <w:rPr>
          <w:rFonts w:ascii="Calibri" w:hAnsi="Calibri" w:cs="Calibri"/>
          <w:b/>
          <w:bCs/>
          <w:noProof/>
          <w:sz w:val="24"/>
          <w:szCs w:val="24"/>
        </w:rPr>
        <w:t>37,</w:t>
      </w:r>
      <w:r w:rsidRPr="00752474">
        <w:rPr>
          <w:rFonts w:ascii="Calibri" w:hAnsi="Calibri" w:cs="Calibri"/>
          <w:noProof/>
          <w:sz w:val="24"/>
          <w:szCs w:val="24"/>
        </w:rPr>
        <w:t xml:space="preserve"> 3069–75 (2014).</w:t>
      </w:r>
    </w:p>
    <w:p w14:paraId="2C78E0C8"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69.</w:t>
      </w:r>
      <w:r w:rsidRPr="00752474">
        <w:rPr>
          <w:rFonts w:ascii="Calibri" w:hAnsi="Calibri" w:cs="Calibri"/>
          <w:noProof/>
          <w:sz w:val="24"/>
          <w:szCs w:val="24"/>
        </w:rPr>
        <w:tab/>
        <w:t xml:space="preserve">Marcovecchio, M. L. </w:t>
      </w:r>
      <w:r w:rsidRPr="00752474">
        <w:rPr>
          <w:rFonts w:ascii="Calibri" w:hAnsi="Calibri" w:cs="Calibri"/>
          <w:i/>
          <w:iCs/>
          <w:noProof/>
          <w:sz w:val="24"/>
          <w:szCs w:val="24"/>
        </w:rPr>
        <w:t>et al.</w:t>
      </w:r>
      <w:r w:rsidRPr="00752474">
        <w:rPr>
          <w:rFonts w:ascii="Calibri" w:hAnsi="Calibri" w:cs="Calibri"/>
          <w:noProof/>
          <w:sz w:val="24"/>
          <w:szCs w:val="24"/>
        </w:rPr>
        <w:t xml:space="preserve"> Renal and Cardiovascular Risk According to Tertiles of Urinary Albumin-to-Creatinine Ratio: The Adolescent Type 1 Diabetes Cardio-Renal Intervention Trial (AdDIT). </w:t>
      </w:r>
      <w:r w:rsidRPr="00752474">
        <w:rPr>
          <w:rFonts w:ascii="Calibri" w:hAnsi="Calibri" w:cs="Calibri"/>
          <w:i/>
          <w:iCs/>
          <w:noProof/>
          <w:sz w:val="24"/>
          <w:szCs w:val="24"/>
        </w:rPr>
        <w:t>Diabetes Care</w:t>
      </w:r>
      <w:r w:rsidRPr="00752474">
        <w:rPr>
          <w:rFonts w:ascii="Calibri" w:hAnsi="Calibri" w:cs="Calibri"/>
          <w:noProof/>
          <w:sz w:val="24"/>
          <w:szCs w:val="24"/>
        </w:rPr>
        <w:t xml:space="preserve"> </w:t>
      </w:r>
      <w:r w:rsidRPr="00752474">
        <w:rPr>
          <w:rFonts w:ascii="Calibri" w:hAnsi="Calibri" w:cs="Calibri"/>
          <w:b/>
          <w:bCs/>
          <w:noProof/>
          <w:sz w:val="24"/>
          <w:szCs w:val="24"/>
        </w:rPr>
        <w:t>41,</w:t>
      </w:r>
      <w:r w:rsidRPr="00752474">
        <w:rPr>
          <w:rFonts w:ascii="Calibri" w:hAnsi="Calibri" w:cs="Calibri"/>
          <w:noProof/>
          <w:sz w:val="24"/>
          <w:szCs w:val="24"/>
        </w:rPr>
        <w:t xml:space="preserve"> 1963–1969 (2018).</w:t>
      </w:r>
    </w:p>
    <w:p w14:paraId="345425AF"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70.</w:t>
      </w:r>
      <w:r w:rsidRPr="00752474">
        <w:rPr>
          <w:rFonts w:ascii="Calibri" w:hAnsi="Calibri" w:cs="Calibri"/>
          <w:noProof/>
          <w:sz w:val="24"/>
          <w:szCs w:val="24"/>
        </w:rPr>
        <w:tab/>
        <w:t xml:space="preserve">ACE Inhibitors in Diabetic Nephropathy Trialist Group. Should all patients with type 1 diabetes mellitus and microalbuminuria receive angiotensin-converting enzyme inhibitors? A meta-analysis of individual patient data. </w:t>
      </w:r>
      <w:r w:rsidRPr="00752474">
        <w:rPr>
          <w:rFonts w:ascii="Calibri" w:hAnsi="Calibri" w:cs="Calibri"/>
          <w:i/>
          <w:iCs/>
          <w:noProof/>
          <w:sz w:val="24"/>
          <w:szCs w:val="24"/>
        </w:rPr>
        <w:t>Ann. Intern. Med.</w:t>
      </w:r>
      <w:r w:rsidRPr="00752474">
        <w:rPr>
          <w:rFonts w:ascii="Calibri" w:hAnsi="Calibri" w:cs="Calibri"/>
          <w:noProof/>
          <w:sz w:val="24"/>
          <w:szCs w:val="24"/>
        </w:rPr>
        <w:t xml:space="preserve"> </w:t>
      </w:r>
      <w:r w:rsidRPr="00752474">
        <w:rPr>
          <w:rFonts w:ascii="Calibri" w:hAnsi="Calibri" w:cs="Calibri"/>
          <w:b/>
          <w:bCs/>
          <w:noProof/>
          <w:sz w:val="24"/>
          <w:szCs w:val="24"/>
        </w:rPr>
        <w:t>134,</w:t>
      </w:r>
      <w:r w:rsidRPr="00752474">
        <w:rPr>
          <w:rFonts w:ascii="Calibri" w:hAnsi="Calibri" w:cs="Calibri"/>
          <w:noProof/>
          <w:sz w:val="24"/>
          <w:szCs w:val="24"/>
        </w:rPr>
        <w:t xml:space="preserve"> 370–9 </w:t>
      </w:r>
      <w:r w:rsidRPr="00752474">
        <w:rPr>
          <w:rFonts w:ascii="Calibri" w:hAnsi="Calibri" w:cs="Calibri"/>
          <w:noProof/>
          <w:sz w:val="24"/>
          <w:szCs w:val="24"/>
        </w:rPr>
        <w:lastRenderedPageBreak/>
        <w:t>(2001).</w:t>
      </w:r>
    </w:p>
    <w:p w14:paraId="1B3679ED"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71.</w:t>
      </w:r>
      <w:r w:rsidRPr="00752474">
        <w:rPr>
          <w:rFonts w:ascii="Calibri" w:hAnsi="Calibri" w:cs="Calibri"/>
          <w:noProof/>
          <w:sz w:val="24"/>
          <w:szCs w:val="24"/>
        </w:rPr>
        <w:tab/>
        <w:t xml:space="preserve">Wiegman, A. </w:t>
      </w:r>
      <w:r w:rsidRPr="00752474">
        <w:rPr>
          <w:rFonts w:ascii="Calibri" w:hAnsi="Calibri" w:cs="Calibri"/>
          <w:i/>
          <w:iCs/>
          <w:noProof/>
          <w:sz w:val="24"/>
          <w:szCs w:val="24"/>
        </w:rPr>
        <w:t>et al.</w:t>
      </w:r>
      <w:r w:rsidRPr="00752474">
        <w:rPr>
          <w:rFonts w:ascii="Calibri" w:hAnsi="Calibri" w:cs="Calibri"/>
          <w:noProof/>
          <w:sz w:val="24"/>
          <w:szCs w:val="24"/>
        </w:rPr>
        <w:t xml:space="preserve"> Efficacy and safety of statin therapy in children with familial hypercholesterolemia: a randomized controlled trial. </w:t>
      </w:r>
      <w:r w:rsidRPr="00752474">
        <w:rPr>
          <w:rFonts w:ascii="Calibri" w:hAnsi="Calibri" w:cs="Calibri"/>
          <w:i/>
          <w:iCs/>
          <w:noProof/>
          <w:sz w:val="24"/>
          <w:szCs w:val="24"/>
        </w:rPr>
        <w:t>JAMA</w:t>
      </w:r>
      <w:r w:rsidRPr="00752474">
        <w:rPr>
          <w:rFonts w:ascii="Calibri" w:hAnsi="Calibri" w:cs="Calibri"/>
          <w:noProof/>
          <w:sz w:val="24"/>
          <w:szCs w:val="24"/>
        </w:rPr>
        <w:t xml:space="preserve"> </w:t>
      </w:r>
      <w:r w:rsidRPr="00752474">
        <w:rPr>
          <w:rFonts w:ascii="Calibri" w:hAnsi="Calibri" w:cs="Calibri"/>
          <w:b/>
          <w:bCs/>
          <w:noProof/>
          <w:sz w:val="24"/>
          <w:szCs w:val="24"/>
        </w:rPr>
        <w:t>292,</w:t>
      </w:r>
      <w:r w:rsidRPr="00752474">
        <w:rPr>
          <w:rFonts w:ascii="Calibri" w:hAnsi="Calibri" w:cs="Calibri"/>
          <w:noProof/>
          <w:sz w:val="24"/>
          <w:szCs w:val="24"/>
        </w:rPr>
        <w:t xml:space="preserve"> 331–7 (2004).</w:t>
      </w:r>
    </w:p>
    <w:p w14:paraId="13F03A4A"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72.</w:t>
      </w:r>
      <w:r w:rsidRPr="00752474">
        <w:rPr>
          <w:rFonts w:ascii="Calibri" w:hAnsi="Calibri" w:cs="Calibri"/>
          <w:noProof/>
          <w:sz w:val="24"/>
          <w:szCs w:val="24"/>
        </w:rPr>
        <w:tab/>
        <w:t xml:space="preserve">de Boer, I. H. </w:t>
      </w:r>
      <w:r w:rsidRPr="00752474">
        <w:rPr>
          <w:rFonts w:ascii="Calibri" w:hAnsi="Calibri" w:cs="Calibri"/>
          <w:i/>
          <w:iCs/>
          <w:noProof/>
          <w:sz w:val="24"/>
          <w:szCs w:val="24"/>
        </w:rPr>
        <w:t>et al.</w:t>
      </w:r>
      <w:r w:rsidRPr="00752474">
        <w:rPr>
          <w:rFonts w:ascii="Calibri" w:hAnsi="Calibri" w:cs="Calibri"/>
          <w:noProof/>
          <w:sz w:val="24"/>
          <w:szCs w:val="24"/>
        </w:rPr>
        <w:t xml:space="preserve"> Albuminuria Changes and Cardiovascular and Renal Outcomes in Type 1 Diabetes: The DCCT/EDIC Study. </w:t>
      </w:r>
      <w:r w:rsidRPr="00752474">
        <w:rPr>
          <w:rFonts w:ascii="Calibri" w:hAnsi="Calibri" w:cs="Calibri"/>
          <w:i/>
          <w:iCs/>
          <w:noProof/>
          <w:sz w:val="24"/>
          <w:szCs w:val="24"/>
        </w:rPr>
        <w:t>Clin. J. Am. Soc. Nephrol.</w:t>
      </w:r>
      <w:r w:rsidRPr="00752474">
        <w:rPr>
          <w:rFonts w:ascii="Calibri" w:hAnsi="Calibri" w:cs="Calibri"/>
          <w:noProof/>
          <w:sz w:val="24"/>
          <w:szCs w:val="24"/>
        </w:rPr>
        <w:t xml:space="preserve"> </w:t>
      </w:r>
      <w:r w:rsidRPr="00752474">
        <w:rPr>
          <w:rFonts w:ascii="Calibri" w:hAnsi="Calibri" w:cs="Calibri"/>
          <w:b/>
          <w:bCs/>
          <w:noProof/>
          <w:sz w:val="24"/>
          <w:szCs w:val="24"/>
        </w:rPr>
        <w:t>11,</w:t>
      </w:r>
      <w:r w:rsidRPr="00752474">
        <w:rPr>
          <w:rFonts w:ascii="Calibri" w:hAnsi="Calibri" w:cs="Calibri"/>
          <w:noProof/>
          <w:sz w:val="24"/>
          <w:szCs w:val="24"/>
        </w:rPr>
        <w:t xml:space="preserve"> 1969–1977 (2016).</w:t>
      </w:r>
    </w:p>
    <w:p w14:paraId="01F8DD69"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73.</w:t>
      </w:r>
      <w:r w:rsidRPr="00752474">
        <w:rPr>
          <w:rFonts w:ascii="Calibri" w:hAnsi="Calibri" w:cs="Calibri"/>
          <w:noProof/>
          <w:sz w:val="24"/>
          <w:szCs w:val="24"/>
        </w:rPr>
        <w:tab/>
        <w:t xml:space="preserve">Rapoff, M. </w:t>
      </w:r>
      <w:r w:rsidRPr="004B77CD">
        <w:rPr>
          <w:rFonts w:ascii="Calibri" w:hAnsi="Calibri" w:cs="Calibri"/>
          <w:iCs/>
          <w:noProof/>
          <w:sz w:val="24"/>
          <w:szCs w:val="24"/>
        </w:rPr>
        <w:t>Adherence to pediatric medical regimens</w:t>
      </w:r>
      <w:r w:rsidRPr="00752474">
        <w:rPr>
          <w:rFonts w:ascii="Calibri" w:hAnsi="Calibri" w:cs="Calibri"/>
          <w:noProof/>
          <w:sz w:val="24"/>
          <w:szCs w:val="24"/>
        </w:rPr>
        <w:t>. (Kluwer Academic/Plenum Publishers, 1999).</w:t>
      </w:r>
    </w:p>
    <w:p w14:paraId="4352C549" w14:textId="41E0F740"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74.</w:t>
      </w:r>
      <w:r w:rsidRPr="00752474">
        <w:rPr>
          <w:rFonts w:ascii="Calibri" w:hAnsi="Calibri" w:cs="Calibri"/>
          <w:noProof/>
          <w:sz w:val="24"/>
          <w:szCs w:val="24"/>
        </w:rPr>
        <w:tab/>
        <w:t>Benitez-Aguirre P.Z.</w:t>
      </w:r>
      <w:r w:rsidR="004B77CD" w:rsidRPr="004B77CD">
        <w:rPr>
          <w:rFonts w:ascii="Calibri" w:hAnsi="Calibri" w:cs="Calibri"/>
          <w:i/>
          <w:iCs/>
          <w:noProof/>
          <w:sz w:val="24"/>
          <w:szCs w:val="24"/>
        </w:rPr>
        <w:t xml:space="preserve"> </w:t>
      </w:r>
      <w:r w:rsidR="004B77CD" w:rsidRPr="00752474">
        <w:rPr>
          <w:rFonts w:ascii="Calibri" w:hAnsi="Calibri" w:cs="Calibri"/>
          <w:i/>
          <w:iCs/>
          <w:noProof/>
          <w:sz w:val="24"/>
          <w:szCs w:val="24"/>
        </w:rPr>
        <w:t>et al.</w:t>
      </w:r>
      <w:r w:rsidRPr="00752474">
        <w:rPr>
          <w:rFonts w:ascii="Calibri" w:hAnsi="Calibri" w:cs="Calibri"/>
          <w:noProof/>
          <w:sz w:val="24"/>
          <w:szCs w:val="24"/>
        </w:rPr>
        <w:t xml:space="preserve"> Top tertile urinary albumin creatinine ratio (ACR)doubles the risk of 3-step progression of diabeticretinopathy: the adolescent type 1 diabetes cardio-renal intervention trial (AdDIT). </w:t>
      </w:r>
      <w:r w:rsidRPr="00752474">
        <w:rPr>
          <w:rFonts w:ascii="Calibri" w:hAnsi="Calibri" w:cs="Calibri"/>
          <w:i/>
          <w:iCs/>
          <w:noProof/>
          <w:sz w:val="24"/>
          <w:szCs w:val="24"/>
        </w:rPr>
        <w:t>Pediatr. Diabetes</w:t>
      </w:r>
      <w:r w:rsidRPr="00752474">
        <w:rPr>
          <w:rFonts w:ascii="Calibri" w:hAnsi="Calibri" w:cs="Calibri"/>
          <w:noProof/>
          <w:sz w:val="24"/>
          <w:szCs w:val="24"/>
        </w:rPr>
        <w:t xml:space="preserve"> </w:t>
      </w:r>
      <w:r w:rsidRPr="00752474">
        <w:rPr>
          <w:rFonts w:ascii="Calibri" w:hAnsi="Calibri" w:cs="Calibri"/>
          <w:b/>
          <w:bCs/>
          <w:noProof/>
          <w:sz w:val="24"/>
          <w:szCs w:val="24"/>
        </w:rPr>
        <w:t>19,</w:t>
      </w:r>
      <w:r w:rsidRPr="00752474">
        <w:rPr>
          <w:rFonts w:ascii="Calibri" w:hAnsi="Calibri" w:cs="Calibri"/>
          <w:noProof/>
          <w:sz w:val="24"/>
          <w:szCs w:val="24"/>
        </w:rPr>
        <w:t xml:space="preserve"> 98 (2018).</w:t>
      </w:r>
    </w:p>
    <w:p w14:paraId="59674794"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szCs w:val="24"/>
        </w:rPr>
      </w:pPr>
      <w:r w:rsidRPr="00752474">
        <w:rPr>
          <w:rFonts w:ascii="Calibri" w:hAnsi="Calibri" w:cs="Calibri"/>
          <w:noProof/>
          <w:sz w:val="24"/>
          <w:szCs w:val="24"/>
        </w:rPr>
        <w:t>75.</w:t>
      </w:r>
      <w:r w:rsidRPr="00752474">
        <w:rPr>
          <w:rFonts w:ascii="Calibri" w:hAnsi="Calibri" w:cs="Calibri"/>
          <w:noProof/>
          <w:sz w:val="24"/>
          <w:szCs w:val="24"/>
        </w:rPr>
        <w:tab/>
        <w:t xml:space="preserve">Vuorio, A. </w:t>
      </w:r>
      <w:r w:rsidRPr="00752474">
        <w:rPr>
          <w:rFonts w:ascii="Calibri" w:hAnsi="Calibri" w:cs="Calibri"/>
          <w:i/>
          <w:iCs/>
          <w:noProof/>
          <w:sz w:val="24"/>
          <w:szCs w:val="24"/>
        </w:rPr>
        <w:t>et al.</w:t>
      </w:r>
      <w:r w:rsidRPr="00752474">
        <w:rPr>
          <w:rFonts w:ascii="Calibri" w:hAnsi="Calibri" w:cs="Calibri"/>
          <w:noProof/>
          <w:sz w:val="24"/>
          <w:szCs w:val="24"/>
        </w:rPr>
        <w:t xml:space="preserve"> Statins for children with familial hypercholesterolemia. </w:t>
      </w:r>
      <w:r w:rsidRPr="00752474">
        <w:rPr>
          <w:rFonts w:ascii="Calibri" w:hAnsi="Calibri" w:cs="Calibri"/>
          <w:i/>
          <w:iCs/>
          <w:noProof/>
          <w:sz w:val="24"/>
          <w:szCs w:val="24"/>
        </w:rPr>
        <w:t>Cochrane Database Syst. Rev.</w:t>
      </w:r>
      <w:r w:rsidRPr="00752474">
        <w:rPr>
          <w:rFonts w:ascii="Calibri" w:hAnsi="Calibri" w:cs="Calibri"/>
          <w:noProof/>
          <w:sz w:val="24"/>
          <w:szCs w:val="24"/>
        </w:rPr>
        <w:t xml:space="preserve"> </w:t>
      </w:r>
      <w:r w:rsidRPr="00752474">
        <w:rPr>
          <w:rFonts w:ascii="Calibri" w:hAnsi="Calibri" w:cs="Calibri"/>
          <w:b/>
          <w:bCs/>
          <w:noProof/>
          <w:sz w:val="24"/>
          <w:szCs w:val="24"/>
        </w:rPr>
        <w:t>7,</w:t>
      </w:r>
      <w:r w:rsidRPr="00752474">
        <w:rPr>
          <w:rFonts w:ascii="Calibri" w:hAnsi="Calibri" w:cs="Calibri"/>
          <w:noProof/>
          <w:sz w:val="24"/>
          <w:szCs w:val="24"/>
        </w:rPr>
        <w:t xml:space="preserve"> CD006401 (2017).</w:t>
      </w:r>
    </w:p>
    <w:p w14:paraId="6A31E33D" w14:textId="77777777" w:rsidR="00752474" w:rsidRPr="00752474" w:rsidRDefault="00752474" w:rsidP="00752474">
      <w:pPr>
        <w:widowControl w:val="0"/>
        <w:autoSpaceDE w:val="0"/>
        <w:autoSpaceDN w:val="0"/>
        <w:adjustRightInd w:val="0"/>
        <w:spacing w:after="0" w:line="240" w:lineRule="auto"/>
        <w:ind w:left="640" w:hanging="640"/>
        <w:rPr>
          <w:rFonts w:ascii="Calibri" w:hAnsi="Calibri" w:cs="Calibri"/>
          <w:noProof/>
          <w:sz w:val="24"/>
        </w:rPr>
      </w:pPr>
      <w:r w:rsidRPr="00752474">
        <w:rPr>
          <w:rFonts w:ascii="Calibri" w:hAnsi="Calibri" w:cs="Calibri"/>
          <w:noProof/>
          <w:sz w:val="24"/>
          <w:szCs w:val="24"/>
        </w:rPr>
        <w:t>76.</w:t>
      </w:r>
      <w:r w:rsidRPr="00752474">
        <w:rPr>
          <w:rFonts w:ascii="Calibri" w:hAnsi="Calibri" w:cs="Calibri"/>
          <w:noProof/>
          <w:sz w:val="24"/>
          <w:szCs w:val="24"/>
        </w:rPr>
        <w:tab/>
        <w:t xml:space="preserve">Kuriyama, S. Protection of the kidney with sodium–glucose cotransporter 2 inhibitors: potential mechanisms raised by the large-scaled randomized control trials. </w:t>
      </w:r>
      <w:r w:rsidRPr="00752474">
        <w:rPr>
          <w:rFonts w:ascii="Calibri" w:hAnsi="Calibri" w:cs="Calibri"/>
          <w:i/>
          <w:iCs/>
          <w:noProof/>
          <w:sz w:val="24"/>
          <w:szCs w:val="24"/>
        </w:rPr>
        <w:t>Clin. Exp. Nephrol.</w:t>
      </w:r>
      <w:r w:rsidRPr="00752474">
        <w:rPr>
          <w:rFonts w:ascii="Calibri" w:hAnsi="Calibri" w:cs="Calibri"/>
          <w:noProof/>
          <w:sz w:val="24"/>
          <w:szCs w:val="24"/>
        </w:rPr>
        <w:t xml:space="preserve"> (2018). doi:10.1007/s10157-018-1673-0</w:t>
      </w:r>
    </w:p>
    <w:p w14:paraId="5EEC70F3" w14:textId="782CA9AC" w:rsidR="00A907B1" w:rsidRPr="00135762" w:rsidRDefault="00477637" w:rsidP="007B5715">
      <w:pPr>
        <w:spacing w:after="0" w:line="240" w:lineRule="auto"/>
        <w:rPr>
          <w:b/>
          <w:color w:val="0000FF"/>
          <w:sz w:val="24"/>
          <w:szCs w:val="24"/>
        </w:rPr>
      </w:pPr>
      <w:r w:rsidRPr="00135762">
        <w:rPr>
          <w:sz w:val="24"/>
          <w:szCs w:val="24"/>
        </w:rPr>
        <w:fldChar w:fldCharType="end"/>
      </w:r>
      <w:r w:rsidR="00C93088" w:rsidRPr="00135762">
        <w:rPr>
          <w:sz w:val="24"/>
          <w:szCs w:val="24"/>
        </w:rPr>
        <w:t xml:space="preserve"> </w:t>
      </w:r>
    </w:p>
    <w:p w14:paraId="7390C6FD" w14:textId="142ECCF3" w:rsidR="00A907B1" w:rsidRPr="00135762" w:rsidRDefault="00A907B1" w:rsidP="00137E55">
      <w:pPr>
        <w:spacing w:after="0" w:line="240" w:lineRule="auto"/>
        <w:rPr>
          <w:sz w:val="24"/>
          <w:szCs w:val="24"/>
        </w:rPr>
      </w:pPr>
    </w:p>
    <w:p w14:paraId="17D7ADBF" w14:textId="483124AB" w:rsidR="008C5205" w:rsidRPr="00135762" w:rsidRDefault="008C5205" w:rsidP="00137E55">
      <w:pPr>
        <w:spacing w:after="0" w:line="240" w:lineRule="auto"/>
        <w:rPr>
          <w:sz w:val="24"/>
          <w:szCs w:val="24"/>
        </w:rPr>
      </w:pPr>
    </w:p>
    <w:p w14:paraId="20589B60" w14:textId="024D70E5" w:rsidR="008C5205" w:rsidRPr="00135762" w:rsidRDefault="008C5205" w:rsidP="00137E55">
      <w:pPr>
        <w:spacing w:after="0" w:line="240" w:lineRule="auto"/>
        <w:rPr>
          <w:sz w:val="24"/>
          <w:szCs w:val="24"/>
        </w:rPr>
      </w:pPr>
    </w:p>
    <w:p w14:paraId="6FF0AB73" w14:textId="7EEE45B3" w:rsidR="008C5205" w:rsidRPr="00135762" w:rsidRDefault="008C5205" w:rsidP="00137E55">
      <w:pPr>
        <w:spacing w:after="0" w:line="240" w:lineRule="auto"/>
        <w:rPr>
          <w:sz w:val="24"/>
          <w:szCs w:val="24"/>
        </w:rPr>
      </w:pPr>
    </w:p>
    <w:p w14:paraId="15F4DC97" w14:textId="6DBF4A5E" w:rsidR="008C5205" w:rsidRPr="00135762" w:rsidRDefault="008C5205" w:rsidP="00137E55">
      <w:pPr>
        <w:spacing w:after="0" w:line="240" w:lineRule="auto"/>
        <w:rPr>
          <w:sz w:val="24"/>
          <w:szCs w:val="24"/>
        </w:rPr>
      </w:pPr>
    </w:p>
    <w:p w14:paraId="5E94FD38" w14:textId="14C33DF7" w:rsidR="008C5205" w:rsidRPr="00135762" w:rsidRDefault="008C5205" w:rsidP="00137E55">
      <w:pPr>
        <w:spacing w:after="0" w:line="240" w:lineRule="auto"/>
        <w:rPr>
          <w:sz w:val="24"/>
          <w:szCs w:val="24"/>
        </w:rPr>
      </w:pPr>
    </w:p>
    <w:p w14:paraId="212CE06F" w14:textId="51AAC289" w:rsidR="008C5205" w:rsidRPr="00135762" w:rsidRDefault="008C5205" w:rsidP="00137E55">
      <w:pPr>
        <w:spacing w:after="0" w:line="240" w:lineRule="auto"/>
        <w:rPr>
          <w:sz w:val="24"/>
          <w:szCs w:val="24"/>
        </w:rPr>
      </w:pPr>
    </w:p>
    <w:p w14:paraId="1EF5F529" w14:textId="5CCAF53E" w:rsidR="008C5205" w:rsidRPr="00135762" w:rsidRDefault="008C5205" w:rsidP="00137E55">
      <w:pPr>
        <w:spacing w:after="0" w:line="240" w:lineRule="auto"/>
        <w:rPr>
          <w:sz w:val="24"/>
          <w:szCs w:val="24"/>
        </w:rPr>
      </w:pPr>
    </w:p>
    <w:p w14:paraId="712F3312" w14:textId="3AC73ACA" w:rsidR="008C5205" w:rsidRPr="00135762" w:rsidRDefault="008C5205" w:rsidP="00137E55">
      <w:pPr>
        <w:spacing w:after="0" w:line="240" w:lineRule="auto"/>
        <w:rPr>
          <w:sz w:val="24"/>
          <w:szCs w:val="24"/>
        </w:rPr>
      </w:pPr>
    </w:p>
    <w:p w14:paraId="0A09C113" w14:textId="4C52C3CF" w:rsidR="008C5205" w:rsidRPr="00135762" w:rsidRDefault="008C5205" w:rsidP="00137E55">
      <w:pPr>
        <w:spacing w:after="0" w:line="240" w:lineRule="auto"/>
        <w:rPr>
          <w:sz w:val="24"/>
          <w:szCs w:val="24"/>
        </w:rPr>
      </w:pPr>
    </w:p>
    <w:p w14:paraId="4163C602" w14:textId="26063DA5" w:rsidR="0024119A" w:rsidRPr="00135762" w:rsidRDefault="0024119A" w:rsidP="00137E55">
      <w:pPr>
        <w:spacing w:after="0" w:line="240" w:lineRule="auto"/>
        <w:rPr>
          <w:b/>
          <w:sz w:val="24"/>
          <w:szCs w:val="24"/>
        </w:rPr>
        <w:sectPr w:rsidR="0024119A" w:rsidRPr="00135762" w:rsidSect="00C5634B">
          <w:footerReference w:type="default" r:id="rId9"/>
          <w:pgSz w:w="11906" w:h="16838"/>
          <w:pgMar w:top="1440" w:right="1440" w:bottom="1440" w:left="1440" w:header="708" w:footer="708" w:gutter="0"/>
          <w:cols w:space="708"/>
          <w:docGrid w:linePitch="360"/>
        </w:sectPr>
      </w:pPr>
    </w:p>
    <w:p w14:paraId="556B71C4" w14:textId="7C9AF81C" w:rsidR="00AC4CAE" w:rsidRPr="00135762" w:rsidRDefault="00AC4CAE" w:rsidP="00AC4CAE">
      <w:pPr>
        <w:rPr>
          <w:rFonts w:cstheme="minorHAnsi"/>
          <w:b/>
          <w:sz w:val="24"/>
          <w:szCs w:val="24"/>
        </w:rPr>
      </w:pPr>
      <w:r w:rsidRPr="00135762">
        <w:rPr>
          <w:rFonts w:cstheme="minorHAnsi"/>
          <w:b/>
          <w:sz w:val="24"/>
          <w:szCs w:val="24"/>
        </w:rPr>
        <w:lastRenderedPageBreak/>
        <w:t>Box 1. Definition</w:t>
      </w:r>
      <w:r>
        <w:rPr>
          <w:rFonts w:cstheme="minorHAnsi"/>
          <w:b/>
          <w:sz w:val="24"/>
          <w:szCs w:val="24"/>
        </w:rPr>
        <w:t>s</w:t>
      </w:r>
      <w:r w:rsidRPr="00135762">
        <w:rPr>
          <w:rFonts w:cstheme="minorHAnsi"/>
          <w:b/>
          <w:sz w:val="24"/>
          <w:szCs w:val="24"/>
        </w:rPr>
        <w:t xml:space="preserve"> of microalbuminuria </w:t>
      </w:r>
    </w:p>
    <w:p w14:paraId="1320D420" w14:textId="09FB5393" w:rsidR="00AC4CAE" w:rsidRDefault="00AC4CAE" w:rsidP="00137E55">
      <w:pPr>
        <w:spacing w:after="0" w:line="240" w:lineRule="auto"/>
        <w:rPr>
          <w:b/>
          <w:sz w:val="24"/>
          <w:szCs w:val="24"/>
        </w:rPr>
      </w:pPr>
    </w:p>
    <w:tbl>
      <w:tblPr>
        <w:tblStyle w:val="TableGrid"/>
        <w:tblW w:w="0" w:type="auto"/>
        <w:tblLook w:val="04A0" w:firstRow="1" w:lastRow="0" w:firstColumn="1" w:lastColumn="0" w:noHBand="0" w:noVBand="1"/>
      </w:tblPr>
      <w:tblGrid>
        <w:gridCol w:w="9016"/>
      </w:tblGrid>
      <w:tr w:rsidR="00AC4CAE" w14:paraId="4D020493" w14:textId="77777777" w:rsidTr="00AC4CAE">
        <w:tc>
          <w:tcPr>
            <w:tcW w:w="9016" w:type="dxa"/>
          </w:tcPr>
          <w:p w14:paraId="57E05E59" w14:textId="4C13B570" w:rsidR="00AC4CAE" w:rsidRPr="00AC4CAE" w:rsidRDefault="00AC4CAE" w:rsidP="00AC4CAE">
            <w:pPr>
              <w:spacing w:after="160" w:line="259" w:lineRule="auto"/>
              <w:rPr>
                <w:rFonts w:cstheme="minorHAnsi"/>
              </w:rPr>
            </w:pPr>
            <w:r w:rsidRPr="00AC4CAE">
              <w:rPr>
                <w:rFonts w:cstheme="minorHAnsi"/>
              </w:rPr>
              <w:t>Based on albumin-creatine ratio (ACR) in a</w:t>
            </w:r>
            <w:r w:rsidR="00182C66">
              <w:rPr>
                <w:rFonts w:cstheme="minorHAnsi"/>
              </w:rPr>
              <w:t>n</w:t>
            </w:r>
            <w:r w:rsidRPr="00AC4CAE">
              <w:rPr>
                <w:rFonts w:cstheme="minorHAnsi"/>
              </w:rPr>
              <w:t xml:space="preserve"> early morning urine sample:</w:t>
            </w:r>
          </w:p>
          <w:p w14:paraId="55906F32" w14:textId="77777777" w:rsidR="00AC4CAE" w:rsidRPr="00135762" w:rsidRDefault="00AC4CAE" w:rsidP="00AC4CAE">
            <w:pPr>
              <w:pStyle w:val="ListParagraph"/>
              <w:numPr>
                <w:ilvl w:val="0"/>
                <w:numId w:val="9"/>
              </w:numPr>
              <w:rPr>
                <w:rFonts w:cstheme="minorHAnsi"/>
              </w:rPr>
            </w:pPr>
            <w:r w:rsidRPr="00135762">
              <w:rPr>
                <w:rFonts w:cstheme="minorHAnsi"/>
              </w:rPr>
              <w:t>Cut-offs used in the ORPS-NFS-AdDIT cohorts:</w:t>
            </w:r>
          </w:p>
          <w:p w14:paraId="2106BC77" w14:textId="7FC1C354" w:rsidR="00AC4CAE" w:rsidRPr="00AC4CAE" w:rsidRDefault="00AC4CAE" w:rsidP="00AC4CAE">
            <w:pPr>
              <w:autoSpaceDE w:val="0"/>
              <w:autoSpaceDN w:val="0"/>
              <w:adjustRightInd w:val="0"/>
              <w:rPr>
                <w:rFonts w:cstheme="minorHAnsi"/>
              </w:rPr>
            </w:pPr>
            <w:r>
              <w:rPr>
                <w:rFonts w:cstheme="minorHAnsi"/>
              </w:rPr>
              <w:t xml:space="preserve">                      </w:t>
            </w:r>
            <w:r w:rsidRPr="00AC4CAE">
              <w:rPr>
                <w:rFonts w:cstheme="minorHAnsi"/>
              </w:rPr>
              <w:t xml:space="preserve">3.5-35 mg/mmol in males </w:t>
            </w:r>
          </w:p>
          <w:p w14:paraId="1A78D8E8" w14:textId="31F39418" w:rsidR="00AC4CAE" w:rsidRPr="00AC4CAE" w:rsidRDefault="00AC4CAE" w:rsidP="00AC4CAE">
            <w:pPr>
              <w:autoSpaceDE w:val="0"/>
              <w:autoSpaceDN w:val="0"/>
              <w:adjustRightInd w:val="0"/>
              <w:ind w:left="1014"/>
              <w:rPr>
                <w:rFonts w:cstheme="minorHAnsi"/>
              </w:rPr>
            </w:pPr>
            <w:r>
              <w:rPr>
                <w:rFonts w:cstheme="minorHAnsi"/>
              </w:rPr>
              <w:t xml:space="preserve"> </w:t>
            </w:r>
            <w:r w:rsidRPr="00AC4CAE">
              <w:rPr>
                <w:rFonts w:cstheme="minorHAnsi"/>
              </w:rPr>
              <w:t>4.0-47 mg/mmol in females</w:t>
            </w:r>
          </w:p>
          <w:p w14:paraId="2925EE2F" w14:textId="77777777" w:rsidR="00AC4CAE" w:rsidRPr="00135762" w:rsidRDefault="00AC4CAE" w:rsidP="00705406">
            <w:pPr>
              <w:autoSpaceDE w:val="0"/>
              <w:autoSpaceDN w:val="0"/>
              <w:adjustRightInd w:val="0"/>
              <w:ind w:left="360" w:firstLine="720"/>
              <w:rPr>
                <w:rFonts w:cstheme="minorHAnsi"/>
                <w:sz w:val="24"/>
                <w:szCs w:val="24"/>
              </w:rPr>
            </w:pPr>
            <w:r w:rsidRPr="00135762">
              <w:rPr>
                <w:rFonts w:cstheme="minorHAnsi"/>
                <w:sz w:val="24"/>
                <w:szCs w:val="24"/>
              </w:rPr>
              <w:t>in at least two out of three consecutive samples</w:t>
            </w:r>
          </w:p>
          <w:p w14:paraId="2F2F59DE" w14:textId="77777777" w:rsidR="00AC4CAE" w:rsidRPr="00135762" w:rsidRDefault="00AC4CAE" w:rsidP="00AC4CAE">
            <w:pPr>
              <w:pStyle w:val="ListParagraph"/>
              <w:ind w:left="1440"/>
              <w:rPr>
                <w:rFonts w:cstheme="minorHAnsi"/>
              </w:rPr>
            </w:pPr>
          </w:p>
          <w:p w14:paraId="4697567D" w14:textId="77777777" w:rsidR="00AC4CAE" w:rsidRPr="00135762" w:rsidRDefault="00AC4CAE" w:rsidP="00AC4CAE">
            <w:pPr>
              <w:pStyle w:val="ListParagraph"/>
              <w:numPr>
                <w:ilvl w:val="0"/>
                <w:numId w:val="9"/>
              </w:numPr>
              <w:rPr>
                <w:rFonts w:cstheme="minorHAnsi"/>
              </w:rPr>
            </w:pPr>
            <w:r w:rsidRPr="00135762">
              <w:rPr>
                <w:rFonts w:cstheme="minorHAnsi"/>
              </w:rPr>
              <w:t>Cut-offs used in the international guidelines*:</w:t>
            </w:r>
          </w:p>
          <w:p w14:paraId="36DDE622" w14:textId="77777777" w:rsidR="00AC4CAE" w:rsidRPr="00AC4CAE" w:rsidRDefault="00AC4CAE" w:rsidP="00AC4CAE">
            <w:pPr>
              <w:ind w:left="1080"/>
              <w:rPr>
                <w:rFonts w:cstheme="minorHAnsi"/>
              </w:rPr>
            </w:pPr>
            <w:r w:rsidRPr="00AC4CAE">
              <w:rPr>
                <w:rFonts w:cstheme="minorHAnsi"/>
              </w:rPr>
              <w:t>2.5 to 25 mg/mmol in males</w:t>
            </w:r>
          </w:p>
          <w:p w14:paraId="79D26F54" w14:textId="77777777" w:rsidR="00AC4CAE" w:rsidRPr="00AC4CAE" w:rsidRDefault="00AC4CAE" w:rsidP="00AC4CAE">
            <w:pPr>
              <w:ind w:left="1080"/>
              <w:rPr>
                <w:rFonts w:cstheme="minorHAnsi"/>
              </w:rPr>
            </w:pPr>
            <w:r w:rsidRPr="00AC4CAE">
              <w:rPr>
                <w:rFonts w:cstheme="minorHAnsi"/>
              </w:rPr>
              <w:t>3.5 to 25 mg/mmol in females</w:t>
            </w:r>
          </w:p>
          <w:p w14:paraId="1905E693" w14:textId="11AE9538" w:rsidR="00AC4CAE" w:rsidRDefault="00AC4CAE" w:rsidP="00AC4CAE">
            <w:pPr>
              <w:ind w:left="360" w:firstLine="720"/>
              <w:rPr>
                <w:rFonts w:cstheme="minorHAnsi"/>
                <w:sz w:val="24"/>
                <w:szCs w:val="24"/>
              </w:rPr>
            </w:pPr>
            <w:r w:rsidRPr="00135762">
              <w:rPr>
                <w:rFonts w:cstheme="minorHAnsi"/>
                <w:sz w:val="24"/>
                <w:szCs w:val="24"/>
              </w:rPr>
              <w:t xml:space="preserve">in at least two out three samples </w:t>
            </w:r>
            <w:r>
              <w:rPr>
                <w:rFonts w:cstheme="minorHAnsi"/>
                <w:sz w:val="24"/>
                <w:szCs w:val="24"/>
              </w:rPr>
              <w:t>collected over a 3- to 6-month period</w:t>
            </w:r>
          </w:p>
          <w:p w14:paraId="719F3658" w14:textId="77777777" w:rsidR="00AC4CAE" w:rsidRPr="00135762" w:rsidRDefault="00AC4CAE" w:rsidP="00AC4CAE">
            <w:pPr>
              <w:ind w:left="360" w:firstLine="720"/>
              <w:rPr>
                <w:rFonts w:cstheme="minorHAnsi"/>
                <w:sz w:val="24"/>
                <w:szCs w:val="24"/>
              </w:rPr>
            </w:pPr>
          </w:p>
          <w:p w14:paraId="126B4F06" w14:textId="42B4FE32" w:rsidR="00AC4CAE" w:rsidRPr="00135762" w:rsidRDefault="00AC4CAE" w:rsidP="00AC4CAE">
            <w:pPr>
              <w:rPr>
                <w:rFonts w:cstheme="minorHAnsi"/>
                <w:sz w:val="24"/>
                <w:szCs w:val="24"/>
              </w:rPr>
            </w:pPr>
            <w:r w:rsidRPr="00135762">
              <w:rPr>
                <w:rFonts w:cstheme="minorHAnsi"/>
                <w:sz w:val="24"/>
                <w:szCs w:val="24"/>
              </w:rPr>
              <w:t>Based on albumin excretion rate (timed overnig</w:t>
            </w:r>
            <w:r>
              <w:rPr>
                <w:rFonts w:cstheme="minorHAnsi"/>
                <w:sz w:val="24"/>
                <w:szCs w:val="24"/>
              </w:rPr>
              <w:t>ht or 24-</w:t>
            </w:r>
            <w:r w:rsidRPr="00135762">
              <w:rPr>
                <w:rFonts w:cstheme="minorHAnsi"/>
                <w:sz w:val="24"/>
                <w:szCs w:val="24"/>
              </w:rPr>
              <w:t>hour urine collection)</w:t>
            </w:r>
          </w:p>
          <w:p w14:paraId="639B0454" w14:textId="22FCE62F" w:rsidR="00AC4CAE" w:rsidRPr="00AC4CAE" w:rsidRDefault="00AC4CAE" w:rsidP="00AC4CAE">
            <w:pPr>
              <w:pStyle w:val="ListParagraph"/>
              <w:spacing w:after="160" w:line="259" w:lineRule="auto"/>
              <w:rPr>
                <w:rFonts w:cstheme="minorHAnsi"/>
              </w:rPr>
            </w:pPr>
            <w:r>
              <w:rPr>
                <w:rFonts w:cstheme="minorHAnsi"/>
              </w:rPr>
              <w:t xml:space="preserve">     </w:t>
            </w:r>
            <w:r w:rsidRPr="00135762">
              <w:rPr>
                <w:rFonts w:cstheme="minorHAnsi"/>
              </w:rPr>
              <w:t xml:space="preserve">20-200 µg/min or 30-300 mg/day </w:t>
            </w:r>
          </w:p>
        </w:tc>
      </w:tr>
    </w:tbl>
    <w:p w14:paraId="6121F052" w14:textId="20ECAF0D" w:rsidR="00AC4CAE" w:rsidRDefault="00370FF8" w:rsidP="00AC4CAE">
      <w:pPr>
        <w:spacing w:after="0" w:line="240" w:lineRule="auto"/>
        <w:rPr>
          <w:rFonts w:cstheme="minorHAnsi"/>
          <w:sz w:val="20"/>
          <w:szCs w:val="20"/>
        </w:rPr>
      </w:pPr>
      <w:r w:rsidRPr="00135762">
        <w:rPr>
          <w:rFonts w:cstheme="minorHAnsi"/>
          <w:sz w:val="20"/>
          <w:szCs w:val="20"/>
        </w:rPr>
        <w:t>*in the most recent international guidelines the term ‘microalbuminuria’ has been replaced by ‘albuminuria’</w:t>
      </w:r>
      <w:r w:rsidR="008B06D0" w:rsidRPr="00135762">
        <w:rPr>
          <w:rFonts w:cstheme="minorHAnsi"/>
          <w:sz w:val="20"/>
          <w:szCs w:val="20"/>
        </w:rPr>
        <w:t xml:space="preserve"> </w:t>
      </w:r>
      <w:r w:rsidR="008B06D0" w:rsidRPr="00746689">
        <w:rPr>
          <w:rFonts w:cstheme="minorHAnsi"/>
          <w:sz w:val="20"/>
          <w:szCs w:val="20"/>
        </w:rPr>
        <w:t xml:space="preserve">(ref </w:t>
      </w:r>
      <w:r w:rsidR="00B7455C" w:rsidRPr="00746689">
        <w:rPr>
          <w:rFonts w:cstheme="minorHAnsi"/>
          <w:sz w:val="20"/>
          <w:szCs w:val="20"/>
        </w:rPr>
        <w:t>21</w:t>
      </w:r>
      <w:r w:rsidR="008B06D0" w:rsidRPr="00746689">
        <w:rPr>
          <w:rFonts w:cstheme="minorHAnsi"/>
          <w:sz w:val="20"/>
          <w:szCs w:val="20"/>
        </w:rPr>
        <w:t>)</w:t>
      </w:r>
    </w:p>
    <w:p w14:paraId="62AB773D" w14:textId="77321E83" w:rsidR="00370FF8" w:rsidRPr="00135762" w:rsidRDefault="00370FF8" w:rsidP="00AC4CAE">
      <w:pPr>
        <w:spacing w:after="0" w:line="240" w:lineRule="auto"/>
        <w:rPr>
          <w:rFonts w:cstheme="minorHAnsi"/>
          <w:sz w:val="20"/>
          <w:szCs w:val="20"/>
        </w:rPr>
      </w:pPr>
      <w:r w:rsidRPr="00135762">
        <w:rPr>
          <w:rFonts w:cstheme="minorHAnsi"/>
          <w:sz w:val="20"/>
          <w:szCs w:val="20"/>
        </w:rPr>
        <w:t>ORPS: Oxford Regional Prospective Study; NFS: Nephropathy Family Study; AdDIT: Adolescent Type 1 Diabetes Intervention Trial</w:t>
      </w:r>
      <w:r w:rsidR="008B06D0" w:rsidRPr="00135762">
        <w:rPr>
          <w:rFonts w:cstheme="minorHAnsi"/>
          <w:sz w:val="20"/>
          <w:szCs w:val="20"/>
        </w:rPr>
        <w:t xml:space="preserve"> (</w:t>
      </w:r>
      <w:r w:rsidR="00803B9A">
        <w:rPr>
          <w:rFonts w:cstheme="minorHAnsi"/>
          <w:sz w:val="20"/>
          <w:szCs w:val="20"/>
        </w:rPr>
        <w:t>r</w:t>
      </w:r>
      <w:r w:rsidR="00B7455C" w:rsidRPr="00135762">
        <w:rPr>
          <w:rFonts w:cstheme="minorHAnsi"/>
          <w:sz w:val="20"/>
          <w:szCs w:val="20"/>
        </w:rPr>
        <w:t xml:space="preserve">efs </w:t>
      </w:r>
      <w:r w:rsidR="00B7455C" w:rsidRPr="00746689">
        <w:rPr>
          <w:rFonts w:cstheme="minorHAnsi"/>
          <w:sz w:val="20"/>
          <w:szCs w:val="20"/>
        </w:rPr>
        <w:t>31,61,</w:t>
      </w:r>
      <w:r w:rsidR="00803B9A">
        <w:rPr>
          <w:rFonts w:cstheme="minorHAnsi"/>
          <w:sz w:val="20"/>
          <w:szCs w:val="20"/>
        </w:rPr>
        <w:t xml:space="preserve"> 62</w:t>
      </w:r>
      <w:r w:rsidR="008B06D0" w:rsidRPr="00746689">
        <w:rPr>
          <w:rFonts w:cstheme="minorHAnsi"/>
          <w:sz w:val="20"/>
          <w:szCs w:val="20"/>
        </w:rPr>
        <w:t>)</w:t>
      </w:r>
    </w:p>
    <w:p w14:paraId="27FDE738" w14:textId="77777777" w:rsidR="00207BFC" w:rsidRPr="00135762" w:rsidRDefault="00207BFC" w:rsidP="009625FB">
      <w:pPr>
        <w:spacing w:after="0" w:line="240" w:lineRule="auto"/>
        <w:rPr>
          <w:b/>
          <w:sz w:val="24"/>
          <w:szCs w:val="24"/>
        </w:rPr>
      </w:pPr>
    </w:p>
    <w:p w14:paraId="4A88F165" w14:textId="77777777" w:rsidR="00207BFC" w:rsidRPr="00135762" w:rsidRDefault="00207BFC" w:rsidP="009625FB">
      <w:pPr>
        <w:spacing w:after="0" w:line="240" w:lineRule="auto"/>
        <w:rPr>
          <w:b/>
          <w:sz w:val="24"/>
          <w:szCs w:val="24"/>
        </w:rPr>
      </w:pPr>
    </w:p>
    <w:p w14:paraId="3AC910D5" w14:textId="77777777" w:rsidR="00207BFC" w:rsidRPr="00135762" w:rsidRDefault="00207BFC" w:rsidP="009625FB">
      <w:pPr>
        <w:spacing w:after="0" w:line="240" w:lineRule="auto"/>
        <w:rPr>
          <w:b/>
          <w:sz w:val="24"/>
          <w:szCs w:val="24"/>
        </w:rPr>
      </w:pPr>
    </w:p>
    <w:p w14:paraId="26336ED0" w14:textId="77777777" w:rsidR="00207BFC" w:rsidRPr="00135762" w:rsidRDefault="00207BFC" w:rsidP="009625FB">
      <w:pPr>
        <w:spacing w:after="0" w:line="240" w:lineRule="auto"/>
        <w:rPr>
          <w:b/>
          <w:sz w:val="24"/>
          <w:szCs w:val="24"/>
        </w:rPr>
      </w:pPr>
    </w:p>
    <w:p w14:paraId="0A054063" w14:textId="77777777" w:rsidR="00207BFC" w:rsidRPr="00135762" w:rsidRDefault="00207BFC" w:rsidP="009625FB">
      <w:pPr>
        <w:spacing w:after="0" w:line="240" w:lineRule="auto"/>
        <w:rPr>
          <w:b/>
          <w:sz w:val="24"/>
          <w:szCs w:val="24"/>
        </w:rPr>
      </w:pPr>
    </w:p>
    <w:p w14:paraId="2921D5F4" w14:textId="77777777" w:rsidR="00207BFC" w:rsidRPr="00135762" w:rsidRDefault="00207BFC" w:rsidP="009625FB">
      <w:pPr>
        <w:spacing w:after="0" w:line="240" w:lineRule="auto"/>
        <w:rPr>
          <w:b/>
          <w:sz w:val="24"/>
          <w:szCs w:val="24"/>
        </w:rPr>
      </w:pPr>
    </w:p>
    <w:p w14:paraId="0052B9DF" w14:textId="77777777" w:rsidR="00207BFC" w:rsidRPr="00135762" w:rsidRDefault="00207BFC" w:rsidP="009625FB">
      <w:pPr>
        <w:spacing w:after="0" w:line="240" w:lineRule="auto"/>
        <w:rPr>
          <w:b/>
          <w:sz w:val="24"/>
          <w:szCs w:val="24"/>
        </w:rPr>
      </w:pPr>
    </w:p>
    <w:p w14:paraId="74D80781" w14:textId="77777777" w:rsidR="00207BFC" w:rsidRPr="00135762" w:rsidRDefault="00207BFC" w:rsidP="009625FB">
      <w:pPr>
        <w:spacing w:after="0" w:line="240" w:lineRule="auto"/>
        <w:rPr>
          <w:b/>
          <w:sz w:val="24"/>
          <w:szCs w:val="24"/>
        </w:rPr>
      </w:pPr>
    </w:p>
    <w:p w14:paraId="48279916" w14:textId="77777777" w:rsidR="00207BFC" w:rsidRPr="00135762" w:rsidRDefault="00207BFC" w:rsidP="009625FB">
      <w:pPr>
        <w:spacing w:after="0" w:line="240" w:lineRule="auto"/>
        <w:rPr>
          <w:b/>
          <w:sz w:val="24"/>
          <w:szCs w:val="24"/>
        </w:rPr>
      </w:pPr>
    </w:p>
    <w:p w14:paraId="5D8646B7" w14:textId="77777777" w:rsidR="00207BFC" w:rsidRPr="00135762" w:rsidRDefault="00207BFC" w:rsidP="009625FB">
      <w:pPr>
        <w:spacing w:after="0" w:line="240" w:lineRule="auto"/>
        <w:rPr>
          <w:b/>
          <w:sz w:val="24"/>
          <w:szCs w:val="24"/>
        </w:rPr>
      </w:pPr>
    </w:p>
    <w:p w14:paraId="40F0F4A8" w14:textId="77777777" w:rsidR="00207BFC" w:rsidRPr="00135762" w:rsidRDefault="00207BFC" w:rsidP="009625FB">
      <w:pPr>
        <w:spacing w:after="0" w:line="240" w:lineRule="auto"/>
        <w:rPr>
          <w:b/>
          <w:sz w:val="24"/>
          <w:szCs w:val="24"/>
        </w:rPr>
      </w:pPr>
    </w:p>
    <w:p w14:paraId="06F19B53" w14:textId="77777777" w:rsidR="00207BFC" w:rsidRPr="00135762" w:rsidRDefault="00207BFC" w:rsidP="009625FB">
      <w:pPr>
        <w:spacing w:after="0" w:line="240" w:lineRule="auto"/>
        <w:rPr>
          <w:b/>
          <w:sz w:val="24"/>
          <w:szCs w:val="24"/>
        </w:rPr>
      </w:pPr>
    </w:p>
    <w:p w14:paraId="26B15B21" w14:textId="77777777" w:rsidR="00207BFC" w:rsidRPr="00135762" w:rsidRDefault="00207BFC" w:rsidP="009625FB">
      <w:pPr>
        <w:spacing w:after="0" w:line="240" w:lineRule="auto"/>
        <w:rPr>
          <w:b/>
          <w:sz w:val="24"/>
          <w:szCs w:val="24"/>
        </w:rPr>
      </w:pPr>
    </w:p>
    <w:p w14:paraId="4638821C" w14:textId="77777777" w:rsidR="00207BFC" w:rsidRPr="00135762" w:rsidRDefault="00207BFC" w:rsidP="009625FB">
      <w:pPr>
        <w:spacing w:after="0" w:line="240" w:lineRule="auto"/>
        <w:rPr>
          <w:b/>
          <w:sz w:val="24"/>
          <w:szCs w:val="24"/>
        </w:rPr>
      </w:pPr>
    </w:p>
    <w:p w14:paraId="4E92C774" w14:textId="0CD7FA6D" w:rsidR="00207BFC" w:rsidRPr="00135762" w:rsidRDefault="00207BFC" w:rsidP="009625FB">
      <w:pPr>
        <w:spacing w:after="0" w:line="240" w:lineRule="auto"/>
        <w:rPr>
          <w:b/>
          <w:sz w:val="24"/>
          <w:szCs w:val="24"/>
        </w:rPr>
      </w:pPr>
    </w:p>
    <w:p w14:paraId="54AEEB2F" w14:textId="7BDA1F70" w:rsidR="00370FF8" w:rsidRPr="00135762" w:rsidRDefault="00370FF8" w:rsidP="009625FB">
      <w:pPr>
        <w:spacing w:after="0" w:line="240" w:lineRule="auto"/>
        <w:rPr>
          <w:b/>
          <w:sz w:val="24"/>
          <w:szCs w:val="24"/>
        </w:rPr>
      </w:pPr>
    </w:p>
    <w:p w14:paraId="79F51806" w14:textId="6C502B0D" w:rsidR="00370FF8" w:rsidRPr="00135762" w:rsidRDefault="00370FF8" w:rsidP="009625FB">
      <w:pPr>
        <w:spacing w:after="0" w:line="240" w:lineRule="auto"/>
        <w:rPr>
          <w:b/>
          <w:sz w:val="24"/>
          <w:szCs w:val="24"/>
        </w:rPr>
      </w:pPr>
    </w:p>
    <w:p w14:paraId="5A907BF8" w14:textId="01505E8A" w:rsidR="00370FF8" w:rsidRPr="00135762" w:rsidRDefault="00370FF8" w:rsidP="009625FB">
      <w:pPr>
        <w:spacing w:after="0" w:line="240" w:lineRule="auto"/>
        <w:rPr>
          <w:b/>
          <w:sz w:val="24"/>
          <w:szCs w:val="24"/>
        </w:rPr>
      </w:pPr>
    </w:p>
    <w:p w14:paraId="03478AC2" w14:textId="3F91772A" w:rsidR="00370FF8" w:rsidRPr="00135762" w:rsidRDefault="00370FF8" w:rsidP="009625FB">
      <w:pPr>
        <w:spacing w:after="0" w:line="240" w:lineRule="auto"/>
        <w:rPr>
          <w:b/>
          <w:sz w:val="24"/>
          <w:szCs w:val="24"/>
        </w:rPr>
      </w:pPr>
    </w:p>
    <w:p w14:paraId="4A954C04" w14:textId="3032ADD5" w:rsidR="00370FF8" w:rsidRPr="00135762" w:rsidRDefault="00370FF8" w:rsidP="009625FB">
      <w:pPr>
        <w:spacing w:after="0" w:line="240" w:lineRule="auto"/>
        <w:rPr>
          <w:b/>
          <w:sz w:val="24"/>
          <w:szCs w:val="24"/>
        </w:rPr>
      </w:pPr>
    </w:p>
    <w:p w14:paraId="234384E5" w14:textId="5DB2AA4D" w:rsidR="00370FF8" w:rsidRPr="00135762" w:rsidRDefault="00370FF8" w:rsidP="009625FB">
      <w:pPr>
        <w:spacing w:after="0" w:line="240" w:lineRule="auto"/>
        <w:rPr>
          <w:b/>
          <w:sz w:val="24"/>
          <w:szCs w:val="24"/>
        </w:rPr>
      </w:pPr>
    </w:p>
    <w:p w14:paraId="2A3C2CA2" w14:textId="77777777" w:rsidR="00370FF8" w:rsidRPr="00135762" w:rsidRDefault="00370FF8" w:rsidP="009625FB">
      <w:pPr>
        <w:spacing w:after="0" w:line="240" w:lineRule="auto"/>
        <w:rPr>
          <w:b/>
          <w:sz w:val="24"/>
          <w:szCs w:val="24"/>
        </w:rPr>
      </w:pPr>
    </w:p>
    <w:p w14:paraId="32138EED" w14:textId="3B4D445D" w:rsidR="003E232A" w:rsidRDefault="003E232A" w:rsidP="009625FB">
      <w:pPr>
        <w:spacing w:after="0" w:line="240" w:lineRule="auto"/>
        <w:rPr>
          <w:b/>
          <w:sz w:val="24"/>
          <w:szCs w:val="24"/>
        </w:rPr>
      </w:pPr>
    </w:p>
    <w:p w14:paraId="1E447F20" w14:textId="5C1E8802" w:rsidR="007B5715" w:rsidRDefault="007B5715" w:rsidP="009625FB">
      <w:pPr>
        <w:spacing w:after="0" w:line="240" w:lineRule="auto"/>
        <w:rPr>
          <w:b/>
          <w:sz w:val="24"/>
          <w:szCs w:val="24"/>
        </w:rPr>
      </w:pPr>
    </w:p>
    <w:p w14:paraId="1A5494B6" w14:textId="2A968003" w:rsidR="007B5715" w:rsidRDefault="007B5715" w:rsidP="009625FB">
      <w:pPr>
        <w:spacing w:after="0" w:line="240" w:lineRule="auto"/>
        <w:rPr>
          <w:b/>
          <w:sz w:val="24"/>
          <w:szCs w:val="24"/>
        </w:rPr>
      </w:pPr>
    </w:p>
    <w:p w14:paraId="6AB9B4F3" w14:textId="137A5531" w:rsidR="00182C66" w:rsidRDefault="00182C66" w:rsidP="009625FB">
      <w:pPr>
        <w:spacing w:after="0" w:line="240" w:lineRule="auto"/>
        <w:rPr>
          <w:b/>
          <w:sz w:val="24"/>
          <w:szCs w:val="24"/>
        </w:rPr>
      </w:pPr>
    </w:p>
    <w:p w14:paraId="5722EBC0" w14:textId="77777777" w:rsidR="00182C66" w:rsidRPr="00135762" w:rsidRDefault="00182C66" w:rsidP="009625FB">
      <w:pPr>
        <w:spacing w:after="0" w:line="240" w:lineRule="auto"/>
        <w:rPr>
          <w:b/>
          <w:sz w:val="24"/>
          <w:szCs w:val="24"/>
        </w:rPr>
      </w:pPr>
    </w:p>
    <w:p w14:paraId="305DD5F5" w14:textId="0644E972" w:rsidR="009625FB" w:rsidRPr="00135762" w:rsidRDefault="009625FB" w:rsidP="009625FB">
      <w:pPr>
        <w:spacing w:after="0" w:line="240" w:lineRule="auto"/>
        <w:rPr>
          <w:b/>
          <w:sz w:val="24"/>
          <w:szCs w:val="24"/>
        </w:rPr>
      </w:pPr>
      <w:r w:rsidRPr="00135762">
        <w:rPr>
          <w:b/>
          <w:sz w:val="24"/>
          <w:szCs w:val="24"/>
        </w:rPr>
        <w:lastRenderedPageBreak/>
        <w:t>Figure 1. Development and Progress</w:t>
      </w:r>
      <w:r w:rsidR="008C5205" w:rsidRPr="00135762">
        <w:rPr>
          <w:b/>
          <w:sz w:val="24"/>
          <w:szCs w:val="24"/>
        </w:rPr>
        <w:t>ion of vascular complications of</w:t>
      </w:r>
      <w:r w:rsidRPr="00135762">
        <w:rPr>
          <w:b/>
          <w:sz w:val="24"/>
          <w:szCs w:val="24"/>
        </w:rPr>
        <w:t xml:space="preserve"> childhood-onset </w:t>
      </w:r>
      <w:r w:rsidR="003F0E67" w:rsidRPr="00135762">
        <w:rPr>
          <w:b/>
          <w:sz w:val="24"/>
          <w:szCs w:val="24"/>
        </w:rPr>
        <w:t>T1DM</w:t>
      </w:r>
    </w:p>
    <w:p w14:paraId="71CAA207" w14:textId="02650A66" w:rsidR="002E38AD" w:rsidRDefault="002E38AD" w:rsidP="009625FB">
      <w:pPr>
        <w:spacing w:after="0" w:line="240" w:lineRule="auto"/>
      </w:pPr>
    </w:p>
    <w:p w14:paraId="794C93F6" w14:textId="30025EC0" w:rsidR="00182C66" w:rsidRDefault="00182C66" w:rsidP="009625FB">
      <w:pPr>
        <w:spacing w:after="0" w:line="240" w:lineRule="auto"/>
      </w:pPr>
      <w:r w:rsidRPr="00182C66">
        <w:drawing>
          <wp:inline distT="0" distB="0" distL="0" distR="0" wp14:anchorId="10543EA8" wp14:editId="42650DE4">
            <wp:extent cx="5731510" cy="3251953"/>
            <wp:effectExtent l="0" t="0" r="254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3251953"/>
                    </a:xfrm>
                    <a:prstGeom prst="rect">
                      <a:avLst/>
                    </a:prstGeom>
                    <a:noFill/>
                    <a:ln>
                      <a:noFill/>
                    </a:ln>
                  </pic:spPr>
                </pic:pic>
              </a:graphicData>
            </a:graphic>
          </wp:inline>
        </w:drawing>
      </w:r>
    </w:p>
    <w:p w14:paraId="335F5BB9" w14:textId="6D21F7A5" w:rsidR="00182C66" w:rsidRDefault="00182C66" w:rsidP="009625FB">
      <w:pPr>
        <w:spacing w:after="0" w:line="240" w:lineRule="auto"/>
      </w:pPr>
    </w:p>
    <w:p w14:paraId="58AA3C06" w14:textId="6BEABDFD" w:rsidR="009625FB" w:rsidRPr="00706022" w:rsidRDefault="00182C66" w:rsidP="009625FB">
      <w:pPr>
        <w:spacing w:after="0" w:line="240" w:lineRule="auto"/>
        <w:rPr>
          <w:sz w:val="24"/>
          <w:szCs w:val="24"/>
        </w:rPr>
      </w:pPr>
      <w:r w:rsidRPr="00706022">
        <w:rPr>
          <w:sz w:val="24"/>
          <w:szCs w:val="24"/>
        </w:rPr>
        <w:t>This graph shows the main factors (exposure) contributing to the development of early signs of vascular complications during puberty, and their continuing effect also during adulthood, when overt manifestations (hard outcomes) of vascular complications occur. The graph highlights two unique pubertal contributors, represented by hormonal changes and insulin resistance</w:t>
      </w:r>
      <w:r w:rsidR="00706022" w:rsidRPr="00706022">
        <w:rPr>
          <w:sz w:val="24"/>
          <w:szCs w:val="24"/>
        </w:rPr>
        <w:t xml:space="preserve">.  </w:t>
      </w:r>
      <w:r w:rsidR="00601492" w:rsidRPr="00706022">
        <w:rPr>
          <w:sz w:val="24"/>
          <w:szCs w:val="24"/>
        </w:rPr>
        <w:t>PWV: pulse wave ve</w:t>
      </w:r>
      <w:r w:rsidR="00706022">
        <w:rPr>
          <w:sz w:val="24"/>
          <w:szCs w:val="24"/>
        </w:rPr>
        <w:t>locity, FMD: flow mediated dila</w:t>
      </w:r>
      <w:r w:rsidR="00601492" w:rsidRPr="00706022">
        <w:rPr>
          <w:sz w:val="24"/>
          <w:szCs w:val="24"/>
        </w:rPr>
        <w:t>tion, cIMT: carotid intima-media thickness</w:t>
      </w:r>
      <w:r w:rsidR="003F0E67" w:rsidRPr="00706022">
        <w:rPr>
          <w:sz w:val="24"/>
          <w:szCs w:val="24"/>
        </w:rPr>
        <w:t xml:space="preserve"> </w:t>
      </w:r>
    </w:p>
    <w:p w14:paraId="30D194BA" w14:textId="3FDC067B" w:rsidR="009625FB" w:rsidRPr="00135762" w:rsidRDefault="009625FB" w:rsidP="00137E55">
      <w:pPr>
        <w:spacing w:after="0" w:line="240" w:lineRule="auto"/>
        <w:rPr>
          <w:sz w:val="24"/>
          <w:szCs w:val="24"/>
        </w:rPr>
      </w:pPr>
    </w:p>
    <w:p w14:paraId="0B0C5C57" w14:textId="5BC84942" w:rsidR="009625FB" w:rsidRPr="00135762" w:rsidRDefault="009625FB" w:rsidP="00137E55">
      <w:pPr>
        <w:spacing w:after="0" w:line="240" w:lineRule="auto"/>
        <w:rPr>
          <w:sz w:val="24"/>
          <w:szCs w:val="24"/>
        </w:rPr>
      </w:pPr>
    </w:p>
    <w:p w14:paraId="2E8559EA" w14:textId="39C0F083" w:rsidR="009625FB" w:rsidRPr="00135762" w:rsidRDefault="009625FB" w:rsidP="00137E55">
      <w:pPr>
        <w:spacing w:after="0" w:line="240" w:lineRule="auto"/>
        <w:rPr>
          <w:sz w:val="24"/>
          <w:szCs w:val="24"/>
        </w:rPr>
      </w:pPr>
    </w:p>
    <w:p w14:paraId="39D7921B" w14:textId="6C9D97F6" w:rsidR="009625FB" w:rsidRPr="00135762" w:rsidRDefault="009625FB" w:rsidP="00137E55">
      <w:pPr>
        <w:spacing w:after="0" w:line="240" w:lineRule="auto"/>
        <w:rPr>
          <w:sz w:val="24"/>
          <w:szCs w:val="24"/>
        </w:rPr>
      </w:pPr>
    </w:p>
    <w:p w14:paraId="74DBA4B6" w14:textId="0C47BEDA" w:rsidR="009625FB" w:rsidRDefault="009625FB" w:rsidP="00137E55">
      <w:pPr>
        <w:spacing w:after="0" w:line="240" w:lineRule="auto"/>
        <w:rPr>
          <w:sz w:val="24"/>
          <w:szCs w:val="24"/>
        </w:rPr>
      </w:pPr>
    </w:p>
    <w:p w14:paraId="377164E6" w14:textId="3A561E4E" w:rsidR="00182C66" w:rsidRDefault="00182C66" w:rsidP="00137E55">
      <w:pPr>
        <w:spacing w:after="0" w:line="240" w:lineRule="auto"/>
        <w:rPr>
          <w:sz w:val="24"/>
          <w:szCs w:val="24"/>
        </w:rPr>
      </w:pPr>
    </w:p>
    <w:p w14:paraId="14D569BC" w14:textId="3A8D6344" w:rsidR="00182C66" w:rsidRDefault="00182C66" w:rsidP="00137E55">
      <w:pPr>
        <w:spacing w:after="0" w:line="240" w:lineRule="auto"/>
        <w:rPr>
          <w:sz w:val="24"/>
          <w:szCs w:val="24"/>
        </w:rPr>
      </w:pPr>
    </w:p>
    <w:p w14:paraId="5D25F4A7" w14:textId="401F6C80" w:rsidR="00182C66" w:rsidRDefault="00182C66" w:rsidP="00137E55">
      <w:pPr>
        <w:spacing w:after="0" w:line="240" w:lineRule="auto"/>
        <w:rPr>
          <w:sz w:val="24"/>
          <w:szCs w:val="24"/>
        </w:rPr>
      </w:pPr>
    </w:p>
    <w:p w14:paraId="10923668" w14:textId="2708A21A" w:rsidR="00182C66" w:rsidRDefault="00182C66" w:rsidP="00137E55">
      <w:pPr>
        <w:spacing w:after="0" w:line="240" w:lineRule="auto"/>
        <w:rPr>
          <w:sz w:val="24"/>
          <w:szCs w:val="24"/>
        </w:rPr>
      </w:pPr>
    </w:p>
    <w:p w14:paraId="113F7F4A" w14:textId="11D34715" w:rsidR="00182C66" w:rsidRDefault="00182C66" w:rsidP="00137E55">
      <w:pPr>
        <w:spacing w:after="0" w:line="240" w:lineRule="auto"/>
        <w:rPr>
          <w:sz w:val="24"/>
          <w:szCs w:val="24"/>
        </w:rPr>
      </w:pPr>
    </w:p>
    <w:p w14:paraId="715AB8C8" w14:textId="42F22270" w:rsidR="00182C66" w:rsidRDefault="00182C66" w:rsidP="00137E55">
      <w:pPr>
        <w:spacing w:after="0" w:line="240" w:lineRule="auto"/>
        <w:rPr>
          <w:sz w:val="24"/>
          <w:szCs w:val="24"/>
        </w:rPr>
      </w:pPr>
    </w:p>
    <w:p w14:paraId="5E1FFED9" w14:textId="754F547A" w:rsidR="00182C66" w:rsidRDefault="00182C66" w:rsidP="00137E55">
      <w:pPr>
        <w:spacing w:after="0" w:line="240" w:lineRule="auto"/>
        <w:rPr>
          <w:sz w:val="24"/>
          <w:szCs w:val="24"/>
        </w:rPr>
      </w:pPr>
    </w:p>
    <w:p w14:paraId="7F68BE82" w14:textId="3694B227" w:rsidR="00182C66" w:rsidRDefault="00182C66" w:rsidP="00137E55">
      <w:pPr>
        <w:spacing w:after="0" w:line="240" w:lineRule="auto"/>
        <w:rPr>
          <w:sz w:val="24"/>
          <w:szCs w:val="24"/>
        </w:rPr>
      </w:pPr>
    </w:p>
    <w:p w14:paraId="01835844" w14:textId="20CD2547" w:rsidR="00182C66" w:rsidRDefault="00182C66" w:rsidP="00137E55">
      <w:pPr>
        <w:spacing w:after="0" w:line="240" w:lineRule="auto"/>
        <w:rPr>
          <w:sz w:val="24"/>
          <w:szCs w:val="24"/>
        </w:rPr>
      </w:pPr>
    </w:p>
    <w:p w14:paraId="791BDC7F" w14:textId="4005E4F5" w:rsidR="00182C66" w:rsidRDefault="00182C66" w:rsidP="00137E55">
      <w:pPr>
        <w:spacing w:after="0" w:line="240" w:lineRule="auto"/>
        <w:rPr>
          <w:sz w:val="24"/>
          <w:szCs w:val="24"/>
        </w:rPr>
      </w:pPr>
    </w:p>
    <w:p w14:paraId="3D2D53D6" w14:textId="58077142" w:rsidR="00182C66" w:rsidRDefault="00182C66" w:rsidP="00137E55">
      <w:pPr>
        <w:spacing w:after="0" w:line="240" w:lineRule="auto"/>
        <w:rPr>
          <w:sz w:val="24"/>
          <w:szCs w:val="24"/>
        </w:rPr>
      </w:pPr>
    </w:p>
    <w:p w14:paraId="3090E8B7" w14:textId="77777777" w:rsidR="00706022" w:rsidRDefault="00706022" w:rsidP="00137E55">
      <w:pPr>
        <w:spacing w:after="0" w:line="240" w:lineRule="auto"/>
        <w:rPr>
          <w:sz w:val="24"/>
          <w:szCs w:val="24"/>
        </w:rPr>
      </w:pPr>
    </w:p>
    <w:p w14:paraId="10B2C30A" w14:textId="02EB363B" w:rsidR="00182C66" w:rsidRDefault="00182C66" w:rsidP="00137E55">
      <w:pPr>
        <w:spacing w:after="0" w:line="240" w:lineRule="auto"/>
        <w:rPr>
          <w:sz w:val="24"/>
          <w:szCs w:val="24"/>
        </w:rPr>
      </w:pPr>
    </w:p>
    <w:p w14:paraId="148C2BE9" w14:textId="620C490E" w:rsidR="00182C66" w:rsidRDefault="00182C66" w:rsidP="00137E55">
      <w:pPr>
        <w:spacing w:after="0" w:line="240" w:lineRule="auto"/>
        <w:rPr>
          <w:sz w:val="24"/>
          <w:szCs w:val="24"/>
        </w:rPr>
      </w:pPr>
    </w:p>
    <w:p w14:paraId="0C5B90F4" w14:textId="2CB62201" w:rsidR="00182C66" w:rsidRDefault="00182C66" w:rsidP="00137E55">
      <w:pPr>
        <w:spacing w:after="0" w:line="240" w:lineRule="auto"/>
        <w:rPr>
          <w:sz w:val="24"/>
          <w:szCs w:val="24"/>
        </w:rPr>
      </w:pPr>
    </w:p>
    <w:p w14:paraId="1AA4A6DE" w14:textId="020F13FB" w:rsidR="009625FB" w:rsidRPr="00135762" w:rsidRDefault="009625FB" w:rsidP="009625FB">
      <w:pPr>
        <w:spacing w:line="360" w:lineRule="auto"/>
        <w:rPr>
          <w:b/>
          <w:sz w:val="24"/>
          <w:szCs w:val="24"/>
        </w:rPr>
      </w:pPr>
      <w:r w:rsidRPr="00135762">
        <w:rPr>
          <w:b/>
          <w:sz w:val="24"/>
          <w:szCs w:val="24"/>
        </w:rPr>
        <w:lastRenderedPageBreak/>
        <w:t xml:space="preserve">Figure </w:t>
      </w:r>
      <w:r w:rsidR="009A4F42" w:rsidRPr="00135762">
        <w:rPr>
          <w:b/>
          <w:sz w:val="24"/>
          <w:szCs w:val="24"/>
        </w:rPr>
        <w:t>2</w:t>
      </w:r>
      <w:r w:rsidRPr="00135762">
        <w:rPr>
          <w:b/>
          <w:sz w:val="24"/>
          <w:szCs w:val="24"/>
        </w:rPr>
        <w:t xml:space="preserve">. Urinary albumin excretion changes from the onset of </w:t>
      </w:r>
      <w:r w:rsidR="00EE5AC1" w:rsidRPr="00135762">
        <w:rPr>
          <w:b/>
          <w:sz w:val="24"/>
          <w:szCs w:val="24"/>
        </w:rPr>
        <w:t>T1DM</w:t>
      </w:r>
      <w:r w:rsidRPr="00135762">
        <w:rPr>
          <w:b/>
          <w:sz w:val="24"/>
          <w:szCs w:val="24"/>
        </w:rPr>
        <w:t xml:space="preserve"> </w:t>
      </w:r>
    </w:p>
    <w:p w14:paraId="6532327D" w14:textId="2CEE0017" w:rsidR="009625FB" w:rsidRPr="00135762" w:rsidRDefault="00182C66" w:rsidP="00706022">
      <w:pPr>
        <w:spacing w:line="240" w:lineRule="auto"/>
        <w:rPr>
          <w:b/>
          <w:sz w:val="32"/>
          <w:szCs w:val="24"/>
        </w:rPr>
      </w:pPr>
      <w:r w:rsidRPr="00182C66">
        <w:rPr>
          <w:noProof/>
          <w:sz w:val="24"/>
          <w:szCs w:val="20"/>
          <w:lang w:eastAsia="en-GB"/>
        </w:rPr>
        <w:drawing>
          <wp:inline distT="0" distB="0" distL="0" distR="0" wp14:anchorId="2DCAC26B" wp14:editId="579B77D3">
            <wp:extent cx="5552059" cy="3781959"/>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654" t="1524" r="1"/>
                    <a:stretch/>
                  </pic:blipFill>
                  <pic:spPr bwMode="auto">
                    <a:xfrm>
                      <a:off x="0" y="0"/>
                      <a:ext cx="5552059" cy="3781959"/>
                    </a:xfrm>
                    <a:prstGeom prst="rect">
                      <a:avLst/>
                    </a:prstGeom>
                    <a:noFill/>
                    <a:ln>
                      <a:noFill/>
                    </a:ln>
                    <a:extLst>
                      <a:ext uri="{53640926-AAD7-44D8-BBD7-CCE9431645EC}">
                        <a14:shadowObscured xmlns:a14="http://schemas.microsoft.com/office/drawing/2010/main"/>
                      </a:ext>
                    </a:extLst>
                  </pic:spPr>
                </pic:pic>
              </a:graphicData>
            </a:graphic>
          </wp:inline>
        </w:drawing>
      </w:r>
      <w:r w:rsidR="00EE5AC1" w:rsidRPr="00135762">
        <w:rPr>
          <w:sz w:val="24"/>
          <w:szCs w:val="20"/>
        </w:rPr>
        <w:t>This graph shows four different broad trends for urinary albumin excretion levels identified in children with type 1 diabetes mellitus (T1DM): persistent microalbuminuria, intermittent microalbuminuria, transient microalbuminuria and normoalbuminuria.</w:t>
      </w:r>
      <w:r w:rsidR="009A4F42" w:rsidRPr="00135762">
        <w:rPr>
          <w:sz w:val="24"/>
          <w:szCs w:val="20"/>
        </w:rPr>
        <w:t xml:space="preserve"> </w:t>
      </w:r>
      <w:r w:rsidR="009625FB" w:rsidRPr="00135762">
        <w:rPr>
          <w:sz w:val="24"/>
          <w:szCs w:val="20"/>
        </w:rPr>
        <w:t>Continuous line</w:t>
      </w:r>
      <w:r w:rsidR="00666AFB" w:rsidRPr="00135762">
        <w:rPr>
          <w:sz w:val="24"/>
          <w:szCs w:val="20"/>
        </w:rPr>
        <w:t>s</w:t>
      </w:r>
      <w:r w:rsidR="009625FB" w:rsidRPr="00135762">
        <w:rPr>
          <w:sz w:val="24"/>
          <w:szCs w:val="20"/>
        </w:rPr>
        <w:t xml:space="preserve"> show trends</w:t>
      </w:r>
      <w:r w:rsidR="00F96BE4" w:rsidRPr="00135762">
        <w:rPr>
          <w:sz w:val="24"/>
          <w:szCs w:val="20"/>
        </w:rPr>
        <w:t xml:space="preserve"> </w:t>
      </w:r>
      <w:r w:rsidR="009625FB" w:rsidRPr="00135762">
        <w:rPr>
          <w:sz w:val="24"/>
          <w:szCs w:val="20"/>
        </w:rPr>
        <w:t>during childhood. Dashed lines show po</w:t>
      </w:r>
      <w:r w:rsidR="00666AFB" w:rsidRPr="00135762">
        <w:rPr>
          <w:sz w:val="24"/>
          <w:szCs w:val="20"/>
        </w:rPr>
        <w:t xml:space="preserve">tential trend during adult life. </w:t>
      </w:r>
      <w:r w:rsidR="009625FB" w:rsidRPr="00135762">
        <w:rPr>
          <w:sz w:val="24"/>
          <w:szCs w:val="20"/>
        </w:rPr>
        <w:t>ACR: albumin-creatinine ratio; AER: albumin excretion rate</w:t>
      </w:r>
    </w:p>
    <w:p w14:paraId="51C7C145" w14:textId="043E7237" w:rsidR="009625FB" w:rsidRDefault="009625FB" w:rsidP="009625FB"/>
    <w:p w14:paraId="6AB05649" w14:textId="4A973B9C" w:rsidR="00706022" w:rsidRDefault="00706022" w:rsidP="009625FB"/>
    <w:p w14:paraId="26D6B38E" w14:textId="1EC51529" w:rsidR="00706022" w:rsidRDefault="00706022" w:rsidP="009625FB"/>
    <w:p w14:paraId="09C979D3" w14:textId="0FAFDC3F" w:rsidR="00706022" w:rsidRDefault="00706022" w:rsidP="009625FB"/>
    <w:p w14:paraId="68A11EAC" w14:textId="5D893114" w:rsidR="00706022" w:rsidRDefault="00706022" w:rsidP="009625FB"/>
    <w:p w14:paraId="732CA4AE" w14:textId="0006C783" w:rsidR="00706022" w:rsidRDefault="00706022" w:rsidP="009625FB"/>
    <w:p w14:paraId="1F2092F5" w14:textId="3EBAA209" w:rsidR="00706022" w:rsidRDefault="00706022" w:rsidP="009625FB"/>
    <w:p w14:paraId="18E71222" w14:textId="10CFC0E0" w:rsidR="00706022" w:rsidRDefault="00706022" w:rsidP="009625FB"/>
    <w:p w14:paraId="0D271E8E" w14:textId="0B6E65F9" w:rsidR="00706022" w:rsidRDefault="00706022" w:rsidP="009625FB"/>
    <w:p w14:paraId="254AB097" w14:textId="1C353FA4" w:rsidR="00706022" w:rsidRDefault="00706022" w:rsidP="009625FB"/>
    <w:p w14:paraId="41D733DF" w14:textId="2A91298E" w:rsidR="00706022" w:rsidRDefault="00706022" w:rsidP="009625FB"/>
    <w:p w14:paraId="1DF3EF59" w14:textId="3AACA512" w:rsidR="00706022" w:rsidRDefault="00706022" w:rsidP="009625FB"/>
    <w:p w14:paraId="0C457F41" w14:textId="77777777" w:rsidR="00706022" w:rsidRPr="00135762" w:rsidRDefault="00706022" w:rsidP="009625FB"/>
    <w:p w14:paraId="51BB0D01" w14:textId="395431FC" w:rsidR="009625FB" w:rsidRPr="00135762" w:rsidRDefault="009625FB" w:rsidP="009625FB">
      <w:pPr>
        <w:spacing w:line="360" w:lineRule="auto"/>
        <w:rPr>
          <w:b/>
          <w:sz w:val="24"/>
          <w:szCs w:val="24"/>
        </w:rPr>
      </w:pPr>
      <w:r w:rsidRPr="00135762">
        <w:rPr>
          <w:b/>
          <w:sz w:val="24"/>
          <w:szCs w:val="24"/>
        </w:rPr>
        <w:lastRenderedPageBreak/>
        <w:t xml:space="preserve">Figure </w:t>
      </w:r>
      <w:r w:rsidR="0024119A" w:rsidRPr="00135762">
        <w:rPr>
          <w:b/>
          <w:sz w:val="24"/>
          <w:szCs w:val="24"/>
        </w:rPr>
        <w:t>3</w:t>
      </w:r>
      <w:r w:rsidRPr="00135762">
        <w:rPr>
          <w:b/>
          <w:sz w:val="24"/>
          <w:szCs w:val="24"/>
        </w:rPr>
        <w:t>. Schematic representation of the design of the AdDIT studies</w:t>
      </w:r>
    </w:p>
    <w:p w14:paraId="0FEEAE6A" w14:textId="1BFCF5AA" w:rsidR="009625FB" w:rsidRPr="00135762" w:rsidRDefault="00706022" w:rsidP="009625FB">
      <w:r w:rsidRPr="00706022">
        <w:rPr>
          <w:noProof/>
          <w:lang w:eastAsia="en-GB"/>
        </w:rPr>
        <w:drawing>
          <wp:inline distT="0" distB="0" distL="0" distR="0" wp14:anchorId="0C2E50EC" wp14:editId="24924F67">
            <wp:extent cx="5629275" cy="310896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29275" cy="3108960"/>
                    </a:xfrm>
                    <a:prstGeom prst="rect">
                      <a:avLst/>
                    </a:prstGeom>
                    <a:noFill/>
                    <a:ln>
                      <a:noFill/>
                    </a:ln>
                  </pic:spPr>
                </pic:pic>
              </a:graphicData>
            </a:graphic>
          </wp:inline>
        </w:drawing>
      </w:r>
    </w:p>
    <w:p w14:paraId="603C83EA" w14:textId="77777777" w:rsidR="00706022" w:rsidRPr="00706022" w:rsidRDefault="00B60FBB" w:rsidP="00706022">
      <w:pPr>
        <w:spacing w:after="0" w:line="240" w:lineRule="auto"/>
        <w:rPr>
          <w:sz w:val="24"/>
          <w:szCs w:val="24"/>
        </w:rPr>
      </w:pPr>
      <w:r w:rsidRPr="00706022">
        <w:rPr>
          <w:sz w:val="24"/>
          <w:szCs w:val="24"/>
        </w:rPr>
        <w:t>This graph show</w:t>
      </w:r>
      <w:r w:rsidR="00D77D24" w:rsidRPr="00706022">
        <w:rPr>
          <w:sz w:val="24"/>
          <w:szCs w:val="24"/>
        </w:rPr>
        <w:t>s</w:t>
      </w:r>
      <w:r w:rsidRPr="00706022">
        <w:rPr>
          <w:sz w:val="24"/>
          <w:szCs w:val="24"/>
        </w:rPr>
        <w:t xml:space="preserve"> the </w:t>
      </w:r>
      <w:r w:rsidR="002E2D0D" w:rsidRPr="00706022">
        <w:rPr>
          <w:sz w:val="24"/>
          <w:szCs w:val="24"/>
        </w:rPr>
        <w:t xml:space="preserve">design of the AdDIT studies, starting from the screening </w:t>
      </w:r>
      <w:r w:rsidR="00F77389" w:rsidRPr="00706022">
        <w:rPr>
          <w:sz w:val="24"/>
          <w:szCs w:val="24"/>
        </w:rPr>
        <w:t xml:space="preserve">phase, followed by stratification of </w:t>
      </w:r>
      <w:r w:rsidR="002B6FC0" w:rsidRPr="00706022">
        <w:rPr>
          <w:sz w:val="24"/>
          <w:szCs w:val="24"/>
        </w:rPr>
        <w:t xml:space="preserve">eligible </w:t>
      </w:r>
      <w:r w:rsidR="00F77389" w:rsidRPr="00706022">
        <w:rPr>
          <w:sz w:val="24"/>
          <w:szCs w:val="24"/>
        </w:rPr>
        <w:t>participants in</w:t>
      </w:r>
      <w:r w:rsidR="002B6FC0" w:rsidRPr="00706022">
        <w:rPr>
          <w:sz w:val="24"/>
          <w:szCs w:val="24"/>
        </w:rPr>
        <w:t>to</w:t>
      </w:r>
      <w:r w:rsidR="00F77389" w:rsidRPr="00706022">
        <w:rPr>
          <w:sz w:val="24"/>
          <w:szCs w:val="24"/>
        </w:rPr>
        <w:t xml:space="preserve"> tertiles of </w:t>
      </w:r>
      <w:r w:rsidR="002B6FC0" w:rsidRPr="00706022">
        <w:rPr>
          <w:sz w:val="24"/>
          <w:szCs w:val="24"/>
        </w:rPr>
        <w:t>albumin-creatinine ratio (</w:t>
      </w:r>
      <w:r w:rsidR="00F77389" w:rsidRPr="00706022">
        <w:rPr>
          <w:sz w:val="24"/>
          <w:szCs w:val="24"/>
        </w:rPr>
        <w:t>ACR</w:t>
      </w:r>
      <w:r w:rsidR="002B6FC0" w:rsidRPr="00706022">
        <w:rPr>
          <w:sz w:val="24"/>
          <w:szCs w:val="24"/>
        </w:rPr>
        <w:t>)</w:t>
      </w:r>
      <w:r w:rsidR="00F77389" w:rsidRPr="00706022">
        <w:rPr>
          <w:sz w:val="24"/>
          <w:szCs w:val="24"/>
        </w:rPr>
        <w:t xml:space="preserve">. 443 </w:t>
      </w:r>
      <w:r w:rsidR="007F094B" w:rsidRPr="00706022">
        <w:rPr>
          <w:sz w:val="24"/>
          <w:szCs w:val="24"/>
        </w:rPr>
        <w:t>adolescents with an ACR in</w:t>
      </w:r>
      <w:r w:rsidR="00F77389" w:rsidRPr="00706022">
        <w:rPr>
          <w:sz w:val="24"/>
          <w:szCs w:val="24"/>
        </w:rPr>
        <w:t xml:space="preserve"> the upper tertile (</w:t>
      </w:r>
      <w:r w:rsidR="007F094B" w:rsidRPr="00706022">
        <w:rPr>
          <w:sz w:val="24"/>
          <w:szCs w:val="24"/>
        </w:rPr>
        <w:t>h</w:t>
      </w:r>
      <w:r w:rsidR="00F77389" w:rsidRPr="00706022">
        <w:rPr>
          <w:sz w:val="24"/>
          <w:szCs w:val="24"/>
        </w:rPr>
        <w:t>igh</w:t>
      </w:r>
      <w:r w:rsidR="007F094B" w:rsidRPr="00706022">
        <w:rPr>
          <w:sz w:val="24"/>
          <w:szCs w:val="24"/>
        </w:rPr>
        <w:t>-</w:t>
      </w:r>
      <w:r w:rsidR="00706022" w:rsidRPr="00706022">
        <w:rPr>
          <w:sz w:val="24"/>
          <w:szCs w:val="24"/>
        </w:rPr>
        <w:t>ACR</w:t>
      </w:r>
      <w:r w:rsidR="007F094B" w:rsidRPr="00706022">
        <w:rPr>
          <w:sz w:val="24"/>
          <w:szCs w:val="24"/>
        </w:rPr>
        <w:t xml:space="preserve"> group</w:t>
      </w:r>
      <w:r w:rsidR="00F77389" w:rsidRPr="00706022">
        <w:rPr>
          <w:sz w:val="24"/>
          <w:szCs w:val="24"/>
        </w:rPr>
        <w:t xml:space="preserve">) </w:t>
      </w:r>
      <w:r w:rsidR="008F3C48" w:rsidRPr="00706022">
        <w:rPr>
          <w:sz w:val="24"/>
          <w:szCs w:val="24"/>
        </w:rPr>
        <w:t>entered the</w:t>
      </w:r>
      <w:r w:rsidR="00F77389" w:rsidRPr="00706022">
        <w:rPr>
          <w:sz w:val="24"/>
          <w:szCs w:val="24"/>
        </w:rPr>
        <w:t xml:space="preserve"> AdDIT </w:t>
      </w:r>
      <w:r w:rsidR="008F3C48" w:rsidRPr="00706022">
        <w:rPr>
          <w:sz w:val="24"/>
          <w:szCs w:val="24"/>
        </w:rPr>
        <w:t>randomized clinical trial</w:t>
      </w:r>
      <w:r w:rsidR="00980C44" w:rsidRPr="00706022">
        <w:rPr>
          <w:sz w:val="24"/>
          <w:szCs w:val="24"/>
        </w:rPr>
        <w:t xml:space="preserve"> and were treated with an ACE-inhibitor</w:t>
      </w:r>
      <w:r w:rsidR="00612EB7" w:rsidRPr="00706022">
        <w:rPr>
          <w:sz w:val="24"/>
          <w:szCs w:val="24"/>
        </w:rPr>
        <w:t>+ placebo, a statin+placebo or a combination of both drugs or placebos,</w:t>
      </w:r>
      <w:r w:rsidR="008F3C48" w:rsidRPr="00706022">
        <w:rPr>
          <w:sz w:val="24"/>
          <w:szCs w:val="24"/>
        </w:rPr>
        <w:t xml:space="preserve"> whereas 400 </w:t>
      </w:r>
      <w:r w:rsidR="007F094B" w:rsidRPr="00706022">
        <w:rPr>
          <w:sz w:val="24"/>
          <w:szCs w:val="24"/>
        </w:rPr>
        <w:t xml:space="preserve">adolescents with an ACR either in </w:t>
      </w:r>
      <w:r w:rsidR="008F3C48" w:rsidRPr="00706022">
        <w:rPr>
          <w:sz w:val="24"/>
          <w:szCs w:val="24"/>
        </w:rPr>
        <w:t xml:space="preserve">lower </w:t>
      </w:r>
      <w:r w:rsidR="007F094B" w:rsidRPr="00706022">
        <w:rPr>
          <w:sz w:val="24"/>
          <w:szCs w:val="24"/>
        </w:rPr>
        <w:t xml:space="preserve">or </w:t>
      </w:r>
      <w:r w:rsidR="008F3C48" w:rsidRPr="00706022">
        <w:rPr>
          <w:sz w:val="24"/>
          <w:szCs w:val="24"/>
        </w:rPr>
        <w:t>midd</w:t>
      </w:r>
      <w:r w:rsidR="00242576" w:rsidRPr="00706022">
        <w:rPr>
          <w:sz w:val="24"/>
          <w:szCs w:val="24"/>
        </w:rPr>
        <w:t>l</w:t>
      </w:r>
      <w:r w:rsidR="008F3C48" w:rsidRPr="00706022">
        <w:rPr>
          <w:sz w:val="24"/>
          <w:szCs w:val="24"/>
        </w:rPr>
        <w:t>e tertile (low</w:t>
      </w:r>
      <w:r w:rsidR="007F094B" w:rsidRPr="00706022">
        <w:rPr>
          <w:sz w:val="24"/>
          <w:szCs w:val="24"/>
        </w:rPr>
        <w:t>-</w:t>
      </w:r>
      <w:r w:rsidR="00706022" w:rsidRPr="00706022">
        <w:rPr>
          <w:sz w:val="24"/>
          <w:szCs w:val="24"/>
        </w:rPr>
        <w:t>ACR</w:t>
      </w:r>
      <w:r w:rsidR="007F094B" w:rsidRPr="00706022">
        <w:rPr>
          <w:sz w:val="24"/>
          <w:szCs w:val="24"/>
        </w:rPr>
        <w:t xml:space="preserve"> group</w:t>
      </w:r>
      <w:r w:rsidR="008F3C48" w:rsidRPr="00706022">
        <w:rPr>
          <w:sz w:val="24"/>
          <w:szCs w:val="24"/>
        </w:rPr>
        <w:t xml:space="preserve">) were </w:t>
      </w:r>
      <w:r w:rsidR="00752FC6" w:rsidRPr="00706022">
        <w:rPr>
          <w:sz w:val="24"/>
          <w:szCs w:val="24"/>
        </w:rPr>
        <w:t xml:space="preserve">recruited </w:t>
      </w:r>
      <w:r w:rsidR="007F094B" w:rsidRPr="00706022">
        <w:rPr>
          <w:sz w:val="24"/>
          <w:szCs w:val="24"/>
        </w:rPr>
        <w:t>in</w:t>
      </w:r>
      <w:r w:rsidR="00752FC6" w:rsidRPr="00706022">
        <w:rPr>
          <w:sz w:val="24"/>
          <w:szCs w:val="24"/>
        </w:rPr>
        <w:t xml:space="preserve">to the AdDIT observational study. Assessment performed </w:t>
      </w:r>
      <w:r w:rsidR="00D77D24" w:rsidRPr="00706022">
        <w:rPr>
          <w:sz w:val="24"/>
          <w:szCs w:val="24"/>
        </w:rPr>
        <w:t>at baseline and during the follow up period (duration 2-4years) are reported.</w:t>
      </w:r>
      <w:r w:rsidR="00706022" w:rsidRPr="00706022">
        <w:rPr>
          <w:sz w:val="24"/>
          <w:szCs w:val="24"/>
        </w:rPr>
        <w:t xml:space="preserve"> </w:t>
      </w:r>
      <w:r w:rsidR="00706022" w:rsidRPr="00706022">
        <w:rPr>
          <w:sz w:val="24"/>
          <w:szCs w:val="24"/>
        </w:rPr>
        <w:t xml:space="preserve">PWV: pulse wave velocity, FMD: flow mediated dilation, cIMT: carotid intima-media thickness </w:t>
      </w:r>
    </w:p>
    <w:p w14:paraId="334E3BC3" w14:textId="0B20BDE3" w:rsidR="00B60FBB" w:rsidRPr="00135762" w:rsidRDefault="00B60FBB" w:rsidP="009625FB"/>
    <w:p w14:paraId="19142398" w14:textId="77777777" w:rsidR="00706022" w:rsidRDefault="00706022" w:rsidP="0047243D">
      <w:pPr>
        <w:spacing w:line="360" w:lineRule="auto"/>
        <w:rPr>
          <w:b/>
          <w:sz w:val="24"/>
          <w:szCs w:val="24"/>
        </w:rPr>
      </w:pPr>
    </w:p>
    <w:p w14:paraId="7C9FF27C" w14:textId="77777777" w:rsidR="00706022" w:rsidRDefault="00706022" w:rsidP="0047243D">
      <w:pPr>
        <w:spacing w:line="360" w:lineRule="auto"/>
        <w:rPr>
          <w:b/>
          <w:sz w:val="24"/>
          <w:szCs w:val="24"/>
        </w:rPr>
      </w:pPr>
    </w:p>
    <w:p w14:paraId="7E914530" w14:textId="77777777" w:rsidR="00706022" w:rsidRDefault="00706022" w:rsidP="0047243D">
      <w:pPr>
        <w:spacing w:line="360" w:lineRule="auto"/>
        <w:rPr>
          <w:b/>
          <w:sz w:val="24"/>
          <w:szCs w:val="24"/>
        </w:rPr>
      </w:pPr>
    </w:p>
    <w:p w14:paraId="79E2A2FB" w14:textId="77777777" w:rsidR="00706022" w:rsidRDefault="00706022" w:rsidP="0047243D">
      <w:pPr>
        <w:spacing w:line="360" w:lineRule="auto"/>
        <w:rPr>
          <w:b/>
          <w:sz w:val="24"/>
          <w:szCs w:val="24"/>
        </w:rPr>
      </w:pPr>
    </w:p>
    <w:p w14:paraId="3C8F095F" w14:textId="77777777" w:rsidR="00706022" w:rsidRDefault="00706022" w:rsidP="0047243D">
      <w:pPr>
        <w:spacing w:line="360" w:lineRule="auto"/>
        <w:rPr>
          <w:b/>
          <w:sz w:val="24"/>
          <w:szCs w:val="24"/>
        </w:rPr>
      </w:pPr>
    </w:p>
    <w:p w14:paraId="34A55617" w14:textId="77777777" w:rsidR="00706022" w:rsidRDefault="00706022" w:rsidP="0047243D">
      <w:pPr>
        <w:spacing w:line="360" w:lineRule="auto"/>
        <w:rPr>
          <w:b/>
          <w:sz w:val="24"/>
          <w:szCs w:val="24"/>
        </w:rPr>
      </w:pPr>
    </w:p>
    <w:p w14:paraId="41A850E4" w14:textId="77777777" w:rsidR="00706022" w:rsidRDefault="00706022" w:rsidP="0047243D">
      <w:pPr>
        <w:spacing w:line="360" w:lineRule="auto"/>
        <w:rPr>
          <w:b/>
          <w:sz w:val="24"/>
          <w:szCs w:val="24"/>
        </w:rPr>
      </w:pPr>
    </w:p>
    <w:p w14:paraId="510D2F33" w14:textId="77777777" w:rsidR="00706022" w:rsidRDefault="00706022" w:rsidP="0047243D">
      <w:pPr>
        <w:spacing w:line="360" w:lineRule="auto"/>
        <w:rPr>
          <w:b/>
          <w:sz w:val="24"/>
          <w:szCs w:val="24"/>
        </w:rPr>
      </w:pPr>
    </w:p>
    <w:p w14:paraId="28BBC2F4" w14:textId="77777777" w:rsidR="00706022" w:rsidRDefault="00706022" w:rsidP="0047243D">
      <w:pPr>
        <w:spacing w:line="360" w:lineRule="auto"/>
        <w:rPr>
          <w:b/>
          <w:sz w:val="24"/>
          <w:szCs w:val="24"/>
        </w:rPr>
      </w:pPr>
    </w:p>
    <w:p w14:paraId="3CF68BF0" w14:textId="77777777" w:rsidR="00706022" w:rsidRDefault="00706022" w:rsidP="0047243D">
      <w:pPr>
        <w:spacing w:line="360" w:lineRule="auto"/>
        <w:rPr>
          <w:b/>
          <w:sz w:val="24"/>
          <w:szCs w:val="24"/>
        </w:rPr>
      </w:pPr>
    </w:p>
    <w:p w14:paraId="4C033F92" w14:textId="36B70C39" w:rsidR="0047243D" w:rsidRDefault="0047243D" w:rsidP="0047243D">
      <w:pPr>
        <w:spacing w:line="360" w:lineRule="auto"/>
        <w:rPr>
          <w:b/>
          <w:bCs/>
          <w:sz w:val="24"/>
          <w:szCs w:val="24"/>
          <w:lang w:val="en-US"/>
        </w:rPr>
      </w:pPr>
      <w:r w:rsidRPr="00135762">
        <w:rPr>
          <w:b/>
          <w:sz w:val="24"/>
          <w:szCs w:val="24"/>
        </w:rPr>
        <w:lastRenderedPageBreak/>
        <w:t xml:space="preserve">Figure </w:t>
      </w:r>
      <w:r w:rsidR="00AC4C6D" w:rsidRPr="00135762">
        <w:rPr>
          <w:b/>
          <w:sz w:val="24"/>
          <w:szCs w:val="24"/>
        </w:rPr>
        <w:t>4</w:t>
      </w:r>
      <w:r w:rsidRPr="00135762">
        <w:rPr>
          <w:b/>
          <w:sz w:val="24"/>
          <w:szCs w:val="24"/>
        </w:rPr>
        <w:t xml:space="preserve">. </w:t>
      </w:r>
      <w:r w:rsidRPr="00135762">
        <w:rPr>
          <w:b/>
          <w:bCs/>
          <w:sz w:val="24"/>
          <w:szCs w:val="24"/>
          <w:lang w:val="en-US"/>
        </w:rPr>
        <w:t>Cumulative incidence of microalbuminuria by tertiles of HbA</w:t>
      </w:r>
      <w:r w:rsidRPr="00135762">
        <w:rPr>
          <w:b/>
          <w:bCs/>
          <w:sz w:val="24"/>
          <w:szCs w:val="24"/>
          <w:vertAlign w:val="subscript"/>
          <w:lang w:val="en-US"/>
        </w:rPr>
        <w:t>1c</w:t>
      </w:r>
      <w:r w:rsidRPr="00135762">
        <w:rPr>
          <w:b/>
          <w:bCs/>
          <w:sz w:val="24"/>
          <w:szCs w:val="24"/>
          <w:lang w:val="en-US"/>
        </w:rPr>
        <w:t xml:space="preserve"> in the AdDIT cohort</w:t>
      </w:r>
      <w:r w:rsidR="00AC4C6D" w:rsidRPr="00135762">
        <w:rPr>
          <w:b/>
          <w:bCs/>
          <w:sz w:val="24"/>
          <w:szCs w:val="24"/>
          <w:lang w:val="en-US"/>
        </w:rPr>
        <w:t xml:space="preserve"> </w:t>
      </w:r>
    </w:p>
    <w:p w14:paraId="777089DD" w14:textId="686A70E3" w:rsidR="00706022" w:rsidRPr="00706022" w:rsidRDefault="00706022" w:rsidP="0047243D">
      <w:pPr>
        <w:spacing w:line="360" w:lineRule="auto"/>
        <w:rPr>
          <w:b/>
          <w:bCs/>
          <w:sz w:val="24"/>
          <w:szCs w:val="24"/>
          <w:lang w:val="en-US"/>
        </w:rPr>
      </w:pPr>
      <w:r w:rsidRPr="00706022">
        <w:rPr>
          <w:b/>
          <w:bCs/>
          <w:noProof/>
          <w:sz w:val="24"/>
          <w:szCs w:val="24"/>
          <w:lang w:eastAsia="en-GB"/>
        </w:rPr>
        <w:drawing>
          <wp:inline distT="0" distB="0" distL="0" distR="0" wp14:anchorId="4D80C79D" wp14:editId="2C5D3311">
            <wp:extent cx="5211624" cy="3132814"/>
            <wp:effectExtent l="0" t="0" r="825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14773" cy="3134707"/>
                    </a:xfrm>
                    <a:prstGeom prst="rect">
                      <a:avLst/>
                    </a:prstGeom>
                    <a:noFill/>
                    <a:ln>
                      <a:noFill/>
                    </a:ln>
                  </pic:spPr>
                </pic:pic>
              </a:graphicData>
            </a:graphic>
          </wp:inline>
        </w:drawing>
      </w:r>
    </w:p>
    <w:p w14:paraId="2A99C83E" w14:textId="24AF5E58" w:rsidR="0047243D" w:rsidRDefault="00AC4C6D" w:rsidP="0047243D">
      <w:r w:rsidRPr="00135762">
        <w:rPr>
          <w:bCs/>
          <w:sz w:val="24"/>
          <w:szCs w:val="24"/>
          <w:lang w:val="en-US"/>
        </w:rPr>
        <w:t xml:space="preserve">Low ACR (middle and lower tertiles) versus high-ACR (upper tertile). </w:t>
      </w:r>
      <w:r w:rsidR="002247CD" w:rsidRPr="00135762">
        <w:rPr>
          <w:rFonts w:cstheme="minorHAnsi"/>
          <w:bCs/>
          <w:sz w:val="24"/>
          <w:szCs w:val="24"/>
        </w:rPr>
        <w:t>Upper tertile of ACR is defined as an adjusted ACR above a cutoff of log 1.2; middle tertile is between 0.8</w:t>
      </w:r>
      <w:r w:rsidRPr="00135762">
        <w:rPr>
          <w:rFonts w:cstheme="minorHAnsi"/>
          <w:bCs/>
          <w:sz w:val="24"/>
          <w:szCs w:val="24"/>
        </w:rPr>
        <w:t>–</w:t>
      </w:r>
      <w:r w:rsidR="002247CD" w:rsidRPr="00135762">
        <w:rPr>
          <w:rFonts w:cstheme="minorHAnsi"/>
          <w:bCs/>
          <w:sz w:val="24"/>
          <w:szCs w:val="24"/>
        </w:rPr>
        <w:t>1.2 and lower tertile is below 0.8 (ref</w:t>
      </w:r>
      <w:r w:rsidR="001862AE" w:rsidRPr="00135762">
        <w:rPr>
          <w:rFonts w:cstheme="minorHAnsi"/>
          <w:bCs/>
          <w:sz w:val="24"/>
          <w:szCs w:val="24"/>
        </w:rPr>
        <w:t xml:space="preserve"> 6</w:t>
      </w:r>
      <w:r w:rsidR="00746689">
        <w:rPr>
          <w:rFonts w:cstheme="minorHAnsi"/>
          <w:bCs/>
          <w:sz w:val="24"/>
          <w:szCs w:val="24"/>
        </w:rPr>
        <w:t>5</w:t>
      </w:r>
      <w:r w:rsidRPr="00135762">
        <w:rPr>
          <w:rFonts w:cstheme="minorHAnsi"/>
          <w:bCs/>
          <w:sz w:val="24"/>
          <w:szCs w:val="24"/>
        </w:rPr>
        <w:t xml:space="preserve">). </w:t>
      </w:r>
      <w:r w:rsidR="001862AE" w:rsidRPr="00135762">
        <w:rPr>
          <w:rFonts w:cstheme="minorHAnsi"/>
          <w:bCs/>
          <w:sz w:val="24"/>
          <w:szCs w:val="24"/>
        </w:rPr>
        <w:t>HbA</w:t>
      </w:r>
      <w:r w:rsidR="001862AE" w:rsidRPr="00135762">
        <w:rPr>
          <w:rFonts w:cstheme="minorHAnsi"/>
          <w:bCs/>
          <w:sz w:val="24"/>
          <w:szCs w:val="24"/>
          <w:vertAlign w:val="subscript"/>
        </w:rPr>
        <w:t>1c</w:t>
      </w:r>
      <w:r w:rsidR="001862AE" w:rsidRPr="00135762">
        <w:rPr>
          <w:rFonts w:cstheme="minorHAnsi"/>
          <w:bCs/>
          <w:sz w:val="24"/>
          <w:szCs w:val="24"/>
        </w:rPr>
        <w:t xml:space="preserve"> </w:t>
      </w:r>
      <w:r w:rsidR="00AD33DE" w:rsidRPr="00135762">
        <w:rPr>
          <w:rFonts w:cstheme="minorHAnsi"/>
          <w:bCs/>
          <w:sz w:val="24"/>
          <w:szCs w:val="24"/>
        </w:rPr>
        <w:t xml:space="preserve">levels are </w:t>
      </w:r>
      <w:r w:rsidR="001862AE" w:rsidRPr="00135762">
        <w:rPr>
          <w:rFonts w:cstheme="minorHAnsi"/>
          <w:bCs/>
          <w:sz w:val="24"/>
          <w:szCs w:val="24"/>
        </w:rPr>
        <w:t xml:space="preserve">expressed </w:t>
      </w:r>
      <w:r w:rsidR="007B5715">
        <w:rPr>
          <w:rFonts w:cstheme="minorHAnsi"/>
          <w:bCs/>
          <w:sz w:val="24"/>
          <w:szCs w:val="24"/>
        </w:rPr>
        <w:t>as percentages</w:t>
      </w:r>
      <w:r w:rsidRPr="00135762">
        <w:rPr>
          <w:rFonts w:cstheme="minorHAnsi"/>
          <w:bCs/>
          <w:sz w:val="24"/>
          <w:szCs w:val="24"/>
        </w:rPr>
        <w:t xml:space="preserve">. </w:t>
      </w:r>
      <w:r w:rsidR="00706022">
        <w:rPr>
          <w:rFonts w:cstheme="minorHAnsi"/>
          <w:bCs/>
          <w:sz w:val="24"/>
          <w:szCs w:val="24"/>
        </w:rPr>
        <w:t>Adapted</w:t>
      </w:r>
      <w:r w:rsidRPr="00135762">
        <w:rPr>
          <w:rFonts w:cstheme="minorHAnsi"/>
          <w:bCs/>
          <w:sz w:val="24"/>
          <w:szCs w:val="24"/>
        </w:rPr>
        <w:t xml:space="preserve"> with permission from ref </w:t>
      </w:r>
      <w:r w:rsidR="00803B9A">
        <w:rPr>
          <w:rFonts w:cstheme="minorHAnsi"/>
          <w:bCs/>
          <w:sz w:val="24"/>
          <w:szCs w:val="24"/>
        </w:rPr>
        <w:t>69</w:t>
      </w:r>
      <w:r w:rsidRPr="00135762">
        <w:rPr>
          <w:rFonts w:cstheme="minorHAnsi"/>
          <w:bCs/>
          <w:sz w:val="24"/>
          <w:szCs w:val="24"/>
        </w:rPr>
        <w:t>.</w:t>
      </w:r>
      <w:bookmarkStart w:id="3" w:name="_GoBack"/>
      <w:bookmarkEnd w:id="3"/>
    </w:p>
    <w:p w14:paraId="5C5BB0D4" w14:textId="2AF67EF7" w:rsidR="0047243D" w:rsidRDefault="0047243D" w:rsidP="00137E55">
      <w:pPr>
        <w:spacing w:after="0" w:line="240" w:lineRule="auto"/>
        <w:rPr>
          <w:sz w:val="24"/>
          <w:szCs w:val="24"/>
        </w:rPr>
      </w:pPr>
    </w:p>
    <w:p w14:paraId="4D718E5D" w14:textId="6C21E854" w:rsidR="00C708C5" w:rsidRDefault="00C708C5" w:rsidP="00A14F22">
      <w:pPr>
        <w:spacing w:after="0" w:line="240" w:lineRule="auto"/>
        <w:rPr>
          <w:sz w:val="24"/>
          <w:szCs w:val="24"/>
        </w:rPr>
      </w:pPr>
    </w:p>
    <w:sectPr w:rsidR="00C708C5" w:rsidSect="00C5634B">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EF2C8F5" w16cid:durableId="20159DC7"/>
  <w16cid:commentId w16cid:paraId="06DD9886" w16cid:durableId="20159DC8"/>
  <w16cid:commentId w16cid:paraId="38978936" w16cid:durableId="20159DC9"/>
  <w16cid:commentId w16cid:paraId="06669633" w16cid:durableId="20159DCA"/>
  <w16cid:commentId w16cid:paraId="0A047915" w16cid:durableId="20159DCB"/>
  <w16cid:commentId w16cid:paraId="3FFB97AE" w16cid:durableId="20159DCC"/>
  <w16cid:commentId w16cid:paraId="11EAFB2C" w16cid:durableId="20159DCD"/>
  <w16cid:commentId w16cid:paraId="3C32C622" w16cid:durableId="20159DCE"/>
  <w16cid:commentId w16cid:paraId="24140B51" w16cid:durableId="20159DCF"/>
  <w16cid:commentId w16cid:paraId="5F76432A" w16cid:durableId="20159DD0"/>
  <w16cid:commentId w16cid:paraId="7B0D5D7F" w16cid:durableId="20159DD1"/>
  <w16cid:commentId w16cid:paraId="5DCD3392" w16cid:durableId="20159DD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3EEEDD" w14:textId="77777777" w:rsidR="007B5715" w:rsidRDefault="007B5715" w:rsidP="00185C33">
      <w:pPr>
        <w:spacing w:after="0" w:line="240" w:lineRule="auto"/>
      </w:pPr>
      <w:r>
        <w:separator/>
      </w:r>
    </w:p>
  </w:endnote>
  <w:endnote w:type="continuationSeparator" w:id="0">
    <w:p w14:paraId="44384FE1" w14:textId="77777777" w:rsidR="007B5715" w:rsidRDefault="007B5715" w:rsidP="00185C33">
      <w:pPr>
        <w:spacing w:after="0" w:line="240" w:lineRule="auto"/>
      </w:pPr>
      <w:r>
        <w:continuationSeparator/>
      </w:r>
    </w:p>
  </w:endnote>
  <w:endnote w:type="continuationNotice" w:id="1">
    <w:p w14:paraId="768D2569" w14:textId="77777777" w:rsidR="007B5715" w:rsidRDefault="007B57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Garamond Premr Pro">
    <w:altName w:val="Cambria"/>
    <w:panose1 w:val="00000000000000000000"/>
    <w:charset w:val="00"/>
    <w:family w:val="roman"/>
    <w:notTrueType/>
    <w:pitch w:val="default"/>
    <w:sig w:usb0="00000003" w:usb1="00000000" w:usb2="00000000" w:usb3="00000000" w:csb0="00000001" w:csb1="00000000"/>
  </w:font>
  <w:font w:name="ITC Symbol Std Medium">
    <w:panose1 w:val="00000000000000000000"/>
    <w:charset w:val="00"/>
    <w:family w:val="swiss"/>
    <w:notTrueType/>
    <w:pitch w:val="variable"/>
    <w:sig w:usb0="800000AF" w:usb1="4000204A" w:usb2="00000000" w:usb3="00000000" w:csb0="00000001" w:csb1="00000000"/>
  </w:font>
  <w:font w:name="ITC Symbol Std Book">
    <w:altName w:val="Calibri"/>
    <w:panose1 w:val="00000000000000000000"/>
    <w:charset w:val="00"/>
    <w:family w:val="swiss"/>
    <w:notTrueType/>
    <w:pitch w:val="variable"/>
    <w:sig w:usb0="800000AF" w:usb1="4000204A" w:usb2="00000000" w:usb3="00000000" w:csb0="0000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BbxkgkAdvTT3713a231">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1469809"/>
      <w:docPartObj>
        <w:docPartGallery w:val="Page Numbers (Bottom of Page)"/>
        <w:docPartUnique/>
      </w:docPartObj>
    </w:sdtPr>
    <w:sdtEndPr>
      <w:rPr>
        <w:noProof/>
      </w:rPr>
    </w:sdtEndPr>
    <w:sdtContent>
      <w:p w14:paraId="7AB5927A" w14:textId="5EF21E9C" w:rsidR="007B5715" w:rsidRDefault="007B5715">
        <w:pPr>
          <w:pStyle w:val="Footer"/>
          <w:jc w:val="right"/>
        </w:pPr>
        <w:r>
          <w:t xml:space="preserve"> </w:t>
        </w:r>
        <w:r>
          <w:fldChar w:fldCharType="begin"/>
        </w:r>
        <w:r>
          <w:instrText xml:space="preserve"> PAGE   \* MERGEFORMAT </w:instrText>
        </w:r>
        <w:r>
          <w:fldChar w:fldCharType="separate"/>
        </w:r>
        <w:r w:rsidR="002E3579">
          <w:rPr>
            <w:noProof/>
          </w:rPr>
          <w:t>1</w:t>
        </w:r>
        <w:r>
          <w:rPr>
            <w:noProof/>
          </w:rPr>
          <w:fldChar w:fldCharType="end"/>
        </w:r>
      </w:p>
    </w:sdtContent>
  </w:sdt>
  <w:p w14:paraId="22C13F31" w14:textId="77777777" w:rsidR="007B5715" w:rsidRDefault="007B5715">
    <w:pPr>
      <w:pStyle w:val="Foo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978D3D" w14:textId="77777777" w:rsidR="007B5715" w:rsidRDefault="007B5715" w:rsidP="00185C33">
      <w:pPr>
        <w:spacing w:after="0" w:line="240" w:lineRule="auto"/>
      </w:pPr>
      <w:r>
        <w:separator/>
      </w:r>
    </w:p>
  </w:footnote>
  <w:footnote w:type="continuationSeparator" w:id="0">
    <w:p w14:paraId="25257490" w14:textId="77777777" w:rsidR="007B5715" w:rsidRDefault="007B5715" w:rsidP="00185C33">
      <w:pPr>
        <w:spacing w:after="0" w:line="240" w:lineRule="auto"/>
      </w:pPr>
      <w:r>
        <w:continuationSeparator/>
      </w:r>
    </w:p>
  </w:footnote>
  <w:footnote w:type="continuationNotice" w:id="1">
    <w:p w14:paraId="6D51323B" w14:textId="77777777" w:rsidR="007B5715" w:rsidRDefault="007B571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0F7C3C"/>
    <w:multiLevelType w:val="hybridMultilevel"/>
    <w:tmpl w:val="9B42C74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CB0627D"/>
    <w:multiLevelType w:val="hybridMultilevel"/>
    <w:tmpl w:val="50BCA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A379E7"/>
    <w:multiLevelType w:val="hybridMultilevel"/>
    <w:tmpl w:val="C8E8E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B22E50"/>
    <w:multiLevelType w:val="hybridMultilevel"/>
    <w:tmpl w:val="15BEA1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A36B6A"/>
    <w:multiLevelType w:val="hybridMultilevel"/>
    <w:tmpl w:val="A950D50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332059B"/>
    <w:multiLevelType w:val="hybridMultilevel"/>
    <w:tmpl w:val="5BA670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11976F6"/>
    <w:multiLevelType w:val="hybridMultilevel"/>
    <w:tmpl w:val="AC886E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9B66A5C"/>
    <w:multiLevelType w:val="hybridMultilevel"/>
    <w:tmpl w:val="8E40D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22C6E43"/>
    <w:multiLevelType w:val="hybridMultilevel"/>
    <w:tmpl w:val="A184CF84"/>
    <w:lvl w:ilvl="0" w:tplc="3CC84CAA">
      <w:start w:val="1"/>
      <w:numFmt w:val="lowerLetter"/>
      <w:lvlText w:val="%1)"/>
      <w:lvlJc w:val="left"/>
      <w:pPr>
        <w:ind w:left="720" w:hanging="360"/>
      </w:pPr>
      <w:rPr>
        <w:rFonts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2D26FB4"/>
    <w:multiLevelType w:val="hybridMultilevel"/>
    <w:tmpl w:val="2BC0AA96"/>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4E27BF1"/>
    <w:multiLevelType w:val="hybridMultilevel"/>
    <w:tmpl w:val="21D07DE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BA67EC3"/>
    <w:multiLevelType w:val="multilevel"/>
    <w:tmpl w:val="04128B7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sz w:val="22"/>
        <w:u w:val="none"/>
      </w:rPr>
    </w:lvl>
    <w:lvl w:ilvl="2">
      <w:start w:val="1"/>
      <w:numFmt w:val="decimal"/>
      <w:isLgl/>
      <w:lvlText w:val="%1.%2.%3"/>
      <w:lvlJc w:val="left"/>
      <w:pPr>
        <w:ind w:left="1080" w:hanging="720"/>
      </w:pPr>
      <w:rPr>
        <w:rFonts w:hint="default"/>
        <w:b w:val="0"/>
        <w:sz w:val="22"/>
        <w:u w:val="none"/>
      </w:rPr>
    </w:lvl>
    <w:lvl w:ilvl="3">
      <w:start w:val="1"/>
      <w:numFmt w:val="decimal"/>
      <w:isLgl/>
      <w:lvlText w:val="%1.%2.%3.%4"/>
      <w:lvlJc w:val="left"/>
      <w:pPr>
        <w:ind w:left="1080" w:hanging="720"/>
      </w:pPr>
      <w:rPr>
        <w:rFonts w:hint="default"/>
        <w:b w:val="0"/>
        <w:sz w:val="22"/>
        <w:u w:val="none"/>
      </w:rPr>
    </w:lvl>
    <w:lvl w:ilvl="4">
      <w:start w:val="1"/>
      <w:numFmt w:val="decimal"/>
      <w:isLgl/>
      <w:lvlText w:val="%1.%2.%3.%4.%5"/>
      <w:lvlJc w:val="left"/>
      <w:pPr>
        <w:ind w:left="1440" w:hanging="1080"/>
      </w:pPr>
      <w:rPr>
        <w:rFonts w:hint="default"/>
        <w:b w:val="0"/>
        <w:sz w:val="22"/>
        <w:u w:val="none"/>
      </w:rPr>
    </w:lvl>
    <w:lvl w:ilvl="5">
      <w:start w:val="1"/>
      <w:numFmt w:val="decimal"/>
      <w:isLgl/>
      <w:lvlText w:val="%1.%2.%3.%4.%5.%6"/>
      <w:lvlJc w:val="left"/>
      <w:pPr>
        <w:ind w:left="1440" w:hanging="1080"/>
      </w:pPr>
      <w:rPr>
        <w:rFonts w:hint="default"/>
        <w:b w:val="0"/>
        <w:sz w:val="22"/>
        <w:u w:val="none"/>
      </w:rPr>
    </w:lvl>
    <w:lvl w:ilvl="6">
      <w:start w:val="1"/>
      <w:numFmt w:val="decimal"/>
      <w:isLgl/>
      <w:lvlText w:val="%1.%2.%3.%4.%5.%6.%7"/>
      <w:lvlJc w:val="left"/>
      <w:pPr>
        <w:ind w:left="1800" w:hanging="1440"/>
      </w:pPr>
      <w:rPr>
        <w:rFonts w:hint="default"/>
        <w:b w:val="0"/>
        <w:sz w:val="22"/>
        <w:u w:val="none"/>
      </w:rPr>
    </w:lvl>
    <w:lvl w:ilvl="7">
      <w:start w:val="1"/>
      <w:numFmt w:val="decimal"/>
      <w:isLgl/>
      <w:lvlText w:val="%1.%2.%3.%4.%5.%6.%7.%8"/>
      <w:lvlJc w:val="left"/>
      <w:pPr>
        <w:ind w:left="1800" w:hanging="1440"/>
      </w:pPr>
      <w:rPr>
        <w:rFonts w:hint="default"/>
        <w:b w:val="0"/>
        <w:sz w:val="22"/>
        <w:u w:val="none"/>
      </w:rPr>
    </w:lvl>
    <w:lvl w:ilvl="8">
      <w:start w:val="1"/>
      <w:numFmt w:val="decimal"/>
      <w:isLgl/>
      <w:lvlText w:val="%1.%2.%3.%4.%5.%6.%7.%8.%9"/>
      <w:lvlJc w:val="left"/>
      <w:pPr>
        <w:ind w:left="2160" w:hanging="1800"/>
      </w:pPr>
      <w:rPr>
        <w:rFonts w:hint="default"/>
        <w:b w:val="0"/>
        <w:sz w:val="22"/>
        <w:u w:val="none"/>
      </w:rPr>
    </w:lvl>
  </w:abstractNum>
  <w:num w:numId="1">
    <w:abstractNumId w:val="3"/>
  </w:num>
  <w:num w:numId="2">
    <w:abstractNumId w:val="7"/>
  </w:num>
  <w:num w:numId="3">
    <w:abstractNumId w:val="4"/>
  </w:num>
  <w:num w:numId="4">
    <w:abstractNumId w:val="8"/>
  </w:num>
  <w:num w:numId="5">
    <w:abstractNumId w:val="2"/>
  </w:num>
  <w:num w:numId="6">
    <w:abstractNumId w:val="11"/>
  </w:num>
  <w:num w:numId="7">
    <w:abstractNumId w:val="1"/>
  </w:num>
  <w:num w:numId="8">
    <w:abstractNumId w:val="0"/>
  </w:num>
  <w:num w:numId="9">
    <w:abstractNumId w:val="9"/>
  </w:num>
  <w:num w:numId="10">
    <w:abstractNumId w:val="5"/>
  </w:num>
  <w:num w:numId="11">
    <w:abstractNumId w:val="1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419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D4D"/>
    <w:rsid w:val="00005D6A"/>
    <w:rsid w:val="00006CD9"/>
    <w:rsid w:val="00007DC7"/>
    <w:rsid w:val="0001573B"/>
    <w:rsid w:val="000174C9"/>
    <w:rsid w:val="000205FA"/>
    <w:rsid w:val="00021247"/>
    <w:rsid w:val="0002344B"/>
    <w:rsid w:val="00023B12"/>
    <w:rsid w:val="00034A4E"/>
    <w:rsid w:val="00034F48"/>
    <w:rsid w:val="00044A60"/>
    <w:rsid w:val="0004659B"/>
    <w:rsid w:val="00046F0C"/>
    <w:rsid w:val="000536E7"/>
    <w:rsid w:val="000560AD"/>
    <w:rsid w:val="00057227"/>
    <w:rsid w:val="00073F14"/>
    <w:rsid w:val="00074615"/>
    <w:rsid w:val="00075801"/>
    <w:rsid w:val="0007657B"/>
    <w:rsid w:val="0008098E"/>
    <w:rsid w:val="00092FAC"/>
    <w:rsid w:val="0009610D"/>
    <w:rsid w:val="00097176"/>
    <w:rsid w:val="000A0FC6"/>
    <w:rsid w:val="000A4681"/>
    <w:rsid w:val="000A6375"/>
    <w:rsid w:val="000A6861"/>
    <w:rsid w:val="000A6B8D"/>
    <w:rsid w:val="000B1527"/>
    <w:rsid w:val="000B7868"/>
    <w:rsid w:val="000C02A0"/>
    <w:rsid w:val="000D6AA8"/>
    <w:rsid w:val="000D785C"/>
    <w:rsid w:val="000E147C"/>
    <w:rsid w:val="000F030A"/>
    <w:rsid w:val="001049E3"/>
    <w:rsid w:val="00106DD2"/>
    <w:rsid w:val="001076CB"/>
    <w:rsid w:val="00114738"/>
    <w:rsid w:val="001151AA"/>
    <w:rsid w:val="00130D7E"/>
    <w:rsid w:val="00131C0E"/>
    <w:rsid w:val="00133E10"/>
    <w:rsid w:val="00135762"/>
    <w:rsid w:val="00136E9B"/>
    <w:rsid w:val="00137E55"/>
    <w:rsid w:val="00143E4D"/>
    <w:rsid w:val="0014485F"/>
    <w:rsid w:val="00145E0B"/>
    <w:rsid w:val="001468A9"/>
    <w:rsid w:val="00152034"/>
    <w:rsid w:val="001557C1"/>
    <w:rsid w:val="00170EE9"/>
    <w:rsid w:val="0017737F"/>
    <w:rsid w:val="00177383"/>
    <w:rsid w:val="001815DF"/>
    <w:rsid w:val="00182A2A"/>
    <w:rsid w:val="00182C66"/>
    <w:rsid w:val="00183429"/>
    <w:rsid w:val="00184E4A"/>
    <w:rsid w:val="001851FC"/>
    <w:rsid w:val="00185C33"/>
    <w:rsid w:val="001862AE"/>
    <w:rsid w:val="00193E1E"/>
    <w:rsid w:val="001976DA"/>
    <w:rsid w:val="001A3269"/>
    <w:rsid w:val="001A6AA6"/>
    <w:rsid w:val="001A6C89"/>
    <w:rsid w:val="001B03DF"/>
    <w:rsid w:val="001B0DFE"/>
    <w:rsid w:val="001B27DF"/>
    <w:rsid w:val="001C0C3E"/>
    <w:rsid w:val="001C1F4C"/>
    <w:rsid w:val="001C5513"/>
    <w:rsid w:val="001C5E09"/>
    <w:rsid w:val="001D1C29"/>
    <w:rsid w:val="001D437B"/>
    <w:rsid w:val="001D5533"/>
    <w:rsid w:val="001D6EC1"/>
    <w:rsid w:val="001E31C9"/>
    <w:rsid w:val="001E3E16"/>
    <w:rsid w:val="001E4B0E"/>
    <w:rsid w:val="001E748D"/>
    <w:rsid w:val="001F7991"/>
    <w:rsid w:val="001F7EE7"/>
    <w:rsid w:val="0020209C"/>
    <w:rsid w:val="00205B63"/>
    <w:rsid w:val="00207BFC"/>
    <w:rsid w:val="00211400"/>
    <w:rsid w:val="00221F08"/>
    <w:rsid w:val="00222FCA"/>
    <w:rsid w:val="002247CD"/>
    <w:rsid w:val="0024119A"/>
    <w:rsid w:val="00242087"/>
    <w:rsid w:val="00242576"/>
    <w:rsid w:val="00256395"/>
    <w:rsid w:val="00266699"/>
    <w:rsid w:val="00270C33"/>
    <w:rsid w:val="00273322"/>
    <w:rsid w:val="00283B7A"/>
    <w:rsid w:val="00284F85"/>
    <w:rsid w:val="00285E2D"/>
    <w:rsid w:val="002879A5"/>
    <w:rsid w:val="00287B4F"/>
    <w:rsid w:val="00291A57"/>
    <w:rsid w:val="00292B92"/>
    <w:rsid w:val="0029354C"/>
    <w:rsid w:val="002A1370"/>
    <w:rsid w:val="002A24CA"/>
    <w:rsid w:val="002A2DB7"/>
    <w:rsid w:val="002A5F7F"/>
    <w:rsid w:val="002B03AB"/>
    <w:rsid w:val="002B103B"/>
    <w:rsid w:val="002B2908"/>
    <w:rsid w:val="002B6FC0"/>
    <w:rsid w:val="002B77B3"/>
    <w:rsid w:val="002C081F"/>
    <w:rsid w:val="002C1FA5"/>
    <w:rsid w:val="002C4EED"/>
    <w:rsid w:val="002D018B"/>
    <w:rsid w:val="002D0E8C"/>
    <w:rsid w:val="002D20FC"/>
    <w:rsid w:val="002E1F3E"/>
    <w:rsid w:val="002E2D0D"/>
    <w:rsid w:val="002E2FD9"/>
    <w:rsid w:val="002E3579"/>
    <w:rsid w:val="002E38AD"/>
    <w:rsid w:val="002E391E"/>
    <w:rsid w:val="002E4738"/>
    <w:rsid w:val="002F13AA"/>
    <w:rsid w:val="002F376D"/>
    <w:rsid w:val="002F5161"/>
    <w:rsid w:val="0030270D"/>
    <w:rsid w:val="00302B3B"/>
    <w:rsid w:val="00306855"/>
    <w:rsid w:val="0030708C"/>
    <w:rsid w:val="00307D49"/>
    <w:rsid w:val="00320BA5"/>
    <w:rsid w:val="003277AA"/>
    <w:rsid w:val="00334F87"/>
    <w:rsid w:val="0036154F"/>
    <w:rsid w:val="00364B00"/>
    <w:rsid w:val="00370FF8"/>
    <w:rsid w:val="003726EA"/>
    <w:rsid w:val="003744DB"/>
    <w:rsid w:val="00374B97"/>
    <w:rsid w:val="00376CF3"/>
    <w:rsid w:val="00380265"/>
    <w:rsid w:val="0038238B"/>
    <w:rsid w:val="00382794"/>
    <w:rsid w:val="003827EB"/>
    <w:rsid w:val="00383960"/>
    <w:rsid w:val="003859FD"/>
    <w:rsid w:val="003B2BF7"/>
    <w:rsid w:val="003C030B"/>
    <w:rsid w:val="003C178A"/>
    <w:rsid w:val="003D0E3E"/>
    <w:rsid w:val="003E03CF"/>
    <w:rsid w:val="003E18E0"/>
    <w:rsid w:val="003E232A"/>
    <w:rsid w:val="003E4568"/>
    <w:rsid w:val="003E627E"/>
    <w:rsid w:val="003E63F6"/>
    <w:rsid w:val="003F0E67"/>
    <w:rsid w:val="003F1709"/>
    <w:rsid w:val="003F1D4D"/>
    <w:rsid w:val="003F6EBF"/>
    <w:rsid w:val="00405BC7"/>
    <w:rsid w:val="00415337"/>
    <w:rsid w:val="00416D49"/>
    <w:rsid w:val="00420F6A"/>
    <w:rsid w:val="00441BE6"/>
    <w:rsid w:val="00442180"/>
    <w:rsid w:val="00443094"/>
    <w:rsid w:val="00443B07"/>
    <w:rsid w:val="004478B2"/>
    <w:rsid w:val="004542EA"/>
    <w:rsid w:val="00460676"/>
    <w:rsid w:val="0046150A"/>
    <w:rsid w:val="00462DF4"/>
    <w:rsid w:val="0046431D"/>
    <w:rsid w:val="004659F6"/>
    <w:rsid w:val="0047243D"/>
    <w:rsid w:val="0047279A"/>
    <w:rsid w:val="0047609F"/>
    <w:rsid w:val="00476674"/>
    <w:rsid w:val="00477637"/>
    <w:rsid w:val="004801A3"/>
    <w:rsid w:val="004821A8"/>
    <w:rsid w:val="004851D0"/>
    <w:rsid w:val="0048533F"/>
    <w:rsid w:val="004856D6"/>
    <w:rsid w:val="00485C7B"/>
    <w:rsid w:val="004967CD"/>
    <w:rsid w:val="004A0C1F"/>
    <w:rsid w:val="004A1353"/>
    <w:rsid w:val="004A6689"/>
    <w:rsid w:val="004B6BF8"/>
    <w:rsid w:val="004B7227"/>
    <w:rsid w:val="004B72AD"/>
    <w:rsid w:val="004B77CD"/>
    <w:rsid w:val="004C1B7F"/>
    <w:rsid w:val="004C2213"/>
    <w:rsid w:val="004C691A"/>
    <w:rsid w:val="004D0DDA"/>
    <w:rsid w:val="004D6996"/>
    <w:rsid w:val="004E35DC"/>
    <w:rsid w:val="004E6B5D"/>
    <w:rsid w:val="004E726B"/>
    <w:rsid w:val="004E7985"/>
    <w:rsid w:val="004F050C"/>
    <w:rsid w:val="004F1D21"/>
    <w:rsid w:val="004F5673"/>
    <w:rsid w:val="004F7591"/>
    <w:rsid w:val="004F7DD0"/>
    <w:rsid w:val="0050038A"/>
    <w:rsid w:val="00500E1F"/>
    <w:rsid w:val="00505512"/>
    <w:rsid w:val="0050649E"/>
    <w:rsid w:val="00510AAC"/>
    <w:rsid w:val="00524B28"/>
    <w:rsid w:val="00531BD3"/>
    <w:rsid w:val="00540BC0"/>
    <w:rsid w:val="005432C7"/>
    <w:rsid w:val="005474CC"/>
    <w:rsid w:val="00554A8A"/>
    <w:rsid w:val="00554C53"/>
    <w:rsid w:val="0055554C"/>
    <w:rsid w:val="005568F4"/>
    <w:rsid w:val="0056274E"/>
    <w:rsid w:val="005659A0"/>
    <w:rsid w:val="005707E6"/>
    <w:rsid w:val="00571AB6"/>
    <w:rsid w:val="00572DE2"/>
    <w:rsid w:val="00572F8A"/>
    <w:rsid w:val="005809D2"/>
    <w:rsid w:val="00581F5B"/>
    <w:rsid w:val="005844AF"/>
    <w:rsid w:val="00591CC9"/>
    <w:rsid w:val="00593FA5"/>
    <w:rsid w:val="00595FEE"/>
    <w:rsid w:val="005A000B"/>
    <w:rsid w:val="005A3093"/>
    <w:rsid w:val="005A7D3D"/>
    <w:rsid w:val="005B31D8"/>
    <w:rsid w:val="005C0B9B"/>
    <w:rsid w:val="005C634B"/>
    <w:rsid w:val="005C72A6"/>
    <w:rsid w:val="005C7AB7"/>
    <w:rsid w:val="005D01E0"/>
    <w:rsid w:val="005D188B"/>
    <w:rsid w:val="005D3EC9"/>
    <w:rsid w:val="005D6F26"/>
    <w:rsid w:val="005D7AEE"/>
    <w:rsid w:val="005F0263"/>
    <w:rsid w:val="005F14B3"/>
    <w:rsid w:val="005F4DC6"/>
    <w:rsid w:val="005F5D96"/>
    <w:rsid w:val="005F6C08"/>
    <w:rsid w:val="006001A0"/>
    <w:rsid w:val="00600872"/>
    <w:rsid w:val="00601492"/>
    <w:rsid w:val="00601E3C"/>
    <w:rsid w:val="00610D92"/>
    <w:rsid w:val="00611D33"/>
    <w:rsid w:val="00612EB7"/>
    <w:rsid w:val="006211EF"/>
    <w:rsid w:val="00621DD5"/>
    <w:rsid w:val="00625086"/>
    <w:rsid w:val="00631C40"/>
    <w:rsid w:val="00635A8D"/>
    <w:rsid w:val="00641198"/>
    <w:rsid w:val="006418D4"/>
    <w:rsid w:val="0064239A"/>
    <w:rsid w:val="0064340C"/>
    <w:rsid w:val="00643736"/>
    <w:rsid w:val="0064643D"/>
    <w:rsid w:val="00650476"/>
    <w:rsid w:val="00652209"/>
    <w:rsid w:val="00661DFA"/>
    <w:rsid w:val="00664B40"/>
    <w:rsid w:val="00666AFB"/>
    <w:rsid w:val="0066750D"/>
    <w:rsid w:val="006700EA"/>
    <w:rsid w:val="006704C9"/>
    <w:rsid w:val="00675724"/>
    <w:rsid w:val="00677FFE"/>
    <w:rsid w:val="00686EE7"/>
    <w:rsid w:val="006924E3"/>
    <w:rsid w:val="00693189"/>
    <w:rsid w:val="006933CB"/>
    <w:rsid w:val="00695E7E"/>
    <w:rsid w:val="00696CFE"/>
    <w:rsid w:val="006A056A"/>
    <w:rsid w:val="006A4B71"/>
    <w:rsid w:val="006A6B17"/>
    <w:rsid w:val="006B15E3"/>
    <w:rsid w:val="006B19BA"/>
    <w:rsid w:val="006B3F70"/>
    <w:rsid w:val="006B4C49"/>
    <w:rsid w:val="006C4E10"/>
    <w:rsid w:val="006C59DB"/>
    <w:rsid w:val="006C64E5"/>
    <w:rsid w:val="006D0284"/>
    <w:rsid w:val="006D0E4F"/>
    <w:rsid w:val="006D12A8"/>
    <w:rsid w:val="006D4E71"/>
    <w:rsid w:val="006D7B27"/>
    <w:rsid w:val="006E5826"/>
    <w:rsid w:val="006E7820"/>
    <w:rsid w:val="006F6566"/>
    <w:rsid w:val="007001F7"/>
    <w:rsid w:val="00705114"/>
    <w:rsid w:val="00705406"/>
    <w:rsid w:val="00705960"/>
    <w:rsid w:val="00706022"/>
    <w:rsid w:val="00711A26"/>
    <w:rsid w:val="00712B7E"/>
    <w:rsid w:val="00722745"/>
    <w:rsid w:val="007249C9"/>
    <w:rsid w:val="00734705"/>
    <w:rsid w:val="00735752"/>
    <w:rsid w:val="007361A8"/>
    <w:rsid w:val="0073662D"/>
    <w:rsid w:val="00737C14"/>
    <w:rsid w:val="00741BD0"/>
    <w:rsid w:val="00746689"/>
    <w:rsid w:val="00752474"/>
    <w:rsid w:val="00752FC6"/>
    <w:rsid w:val="00753A24"/>
    <w:rsid w:val="00757193"/>
    <w:rsid w:val="00770F34"/>
    <w:rsid w:val="00771632"/>
    <w:rsid w:val="00772D28"/>
    <w:rsid w:val="0077694C"/>
    <w:rsid w:val="007806BE"/>
    <w:rsid w:val="00781A8F"/>
    <w:rsid w:val="00783F15"/>
    <w:rsid w:val="007951D3"/>
    <w:rsid w:val="007971BF"/>
    <w:rsid w:val="00797D74"/>
    <w:rsid w:val="007A10B1"/>
    <w:rsid w:val="007A5D3C"/>
    <w:rsid w:val="007B18F3"/>
    <w:rsid w:val="007B3548"/>
    <w:rsid w:val="007B3DE3"/>
    <w:rsid w:val="007B5715"/>
    <w:rsid w:val="007B69B4"/>
    <w:rsid w:val="007D57F6"/>
    <w:rsid w:val="007D5F2C"/>
    <w:rsid w:val="007E1CDA"/>
    <w:rsid w:val="007E5FA7"/>
    <w:rsid w:val="007F094B"/>
    <w:rsid w:val="007F6B0F"/>
    <w:rsid w:val="00802192"/>
    <w:rsid w:val="00803B9A"/>
    <w:rsid w:val="008050B9"/>
    <w:rsid w:val="00807691"/>
    <w:rsid w:val="00812160"/>
    <w:rsid w:val="008133EA"/>
    <w:rsid w:val="0081555B"/>
    <w:rsid w:val="00815E4D"/>
    <w:rsid w:val="0082199E"/>
    <w:rsid w:val="008277BB"/>
    <w:rsid w:val="0083214B"/>
    <w:rsid w:val="00844CFE"/>
    <w:rsid w:val="00845B40"/>
    <w:rsid w:val="008542E8"/>
    <w:rsid w:val="00863164"/>
    <w:rsid w:val="008659B3"/>
    <w:rsid w:val="00866B31"/>
    <w:rsid w:val="00870A3F"/>
    <w:rsid w:val="008736A2"/>
    <w:rsid w:val="00875302"/>
    <w:rsid w:val="00875D96"/>
    <w:rsid w:val="00876BBD"/>
    <w:rsid w:val="00882CBF"/>
    <w:rsid w:val="008855B3"/>
    <w:rsid w:val="00885B5D"/>
    <w:rsid w:val="00887E8E"/>
    <w:rsid w:val="0089065A"/>
    <w:rsid w:val="00891C82"/>
    <w:rsid w:val="0089325E"/>
    <w:rsid w:val="00893F90"/>
    <w:rsid w:val="008A2996"/>
    <w:rsid w:val="008A36AD"/>
    <w:rsid w:val="008A49A4"/>
    <w:rsid w:val="008A5C8C"/>
    <w:rsid w:val="008B06D0"/>
    <w:rsid w:val="008B2218"/>
    <w:rsid w:val="008B2939"/>
    <w:rsid w:val="008C0D33"/>
    <w:rsid w:val="008C5205"/>
    <w:rsid w:val="008C6CE6"/>
    <w:rsid w:val="008D5BD6"/>
    <w:rsid w:val="008E120C"/>
    <w:rsid w:val="008E63AB"/>
    <w:rsid w:val="008F1506"/>
    <w:rsid w:val="008F2C5F"/>
    <w:rsid w:val="008F2E8C"/>
    <w:rsid w:val="008F3C48"/>
    <w:rsid w:val="008F72D5"/>
    <w:rsid w:val="0090422F"/>
    <w:rsid w:val="009047B1"/>
    <w:rsid w:val="00904CE7"/>
    <w:rsid w:val="00910C66"/>
    <w:rsid w:val="009140AD"/>
    <w:rsid w:val="009160DB"/>
    <w:rsid w:val="0092581A"/>
    <w:rsid w:val="0093069B"/>
    <w:rsid w:val="00930A01"/>
    <w:rsid w:val="00932654"/>
    <w:rsid w:val="00934E0F"/>
    <w:rsid w:val="00936D7D"/>
    <w:rsid w:val="00944825"/>
    <w:rsid w:val="0094598A"/>
    <w:rsid w:val="00946444"/>
    <w:rsid w:val="009508D8"/>
    <w:rsid w:val="00952D5D"/>
    <w:rsid w:val="00956680"/>
    <w:rsid w:val="0096161A"/>
    <w:rsid w:val="009625FB"/>
    <w:rsid w:val="00965B40"/>
    <w:rsid w:val="0096754B"/>
    <w:rsid w:val="009730FD"/>
    <w:rsid w:val="009733B8"/>
    <w:rsid w:val="00975785"/>
    <w:rsid w:val="00980C44"/>
    <w:rsid w:val="00981B3B"/>
    <w:rsid w:val="00982431"/>
    <w:rsid w:val="0098604A"/>
    <w:rsid w:val="00986BF4"/>
    <w:rsid w:val="00991D7D"/>
    <w:rsid w:val="00992BD9"/>
    <w:rsid w:val="00992CDB"/>
    <w:rsid w:val="009A3E82"/>
    <w:rsid w:val="009A4F42"/>
    <w:rsid w:val="009B066D"/>
    <w:rsid w:val="009B3E6F"/>
    <w:rsid w:val="009B418C"/>
    <w:rsid w:val="009B51AC"/>
    <w:rsid w:val="009C06A3"/>
    <w:rsid w:val="009C7E7E"/>
    <w:rsid w:val="009D2295"/>
    <w:rsid w:val="009D311B"/>
    <w:rsid w:val="009D42F2"/>
    <w:rsid w:val="009D6E6F"/>
    <w:rsid w:val="009E0149"/>
    <w:rsid w:val="009E0B77"/>
    <w:rsid w:val="009E2596"/>
    <w:rsid w:val="009E5A9A"/>
    <w:rsid w:val="009E6AC5"/>
    <w:rsid w:val="009E7198"/>
    <w:rsid w:val="009F72A9"/>
    <w:rsid w:val="00A03259"/>
    <w:rsid w:val="00A056EE"/>
    <w:rsid w:val="00A11BAF"/>
    <w:rsid w:val="00A123F6"/>
    <w:rsid w:val="00A14F22"/>
    <w:rsid w:val="00A20E90"/>
    <w:rsid w:val="00A217C7"/>
    <w:rsid w:val="00A22421"/>
    <w:rsid w:val="00A2385A"/>
    <w:rsid w:val="00A36639"/>
    <w:rsid w:val="00A43C0D"/>
    <w:rsid w:val="00A45244"/>
    <w:rsid w:val="00A46512"/>
    <w:rsid w:val="00A519E3"/>
    <w:rsid w:val="00A51DC1"/>
    <w:rsid w:val="00A53A75"/>
    <w:rsid w:val="00A64308"/>
    <w:rsid w:val="00A65484"/>
    <w:rsid w:val="00A772D5"/>
    <w:rsid w:val="00A84E1D"/>
    <w:rsid w:val="00A865EF"/>
    <w:rsid w:val="00A871BF"/>
    <w:rsid w:val="00A8783A"/>
    <w:rsid w:val="00A907B1"/>
    <w:rsid w:val="00A90A3A"/>
    <w:rsid w:val="00A90E57"/>
    <w:rsid w:val="00A919FC"/>
    <w:rsid w:val="00A938E0"/>
    <w:rsid w:val="00A93F93"/>
    <w:rsid w:val="00A973D7"/>
    <w:rsid w:val="00AA04CB"/>
    <w:rsid w:val="00AA4C36"/>
    <w:rsid w:val="00AA5047"/>
    <w:rsid w:val="00AA7F02"/>
    <w:rsid w:val="00AB148C"/>
    <w:rsid w:val="00AB779A"/>
    <w:rsid w:val="00AC039E"/>
    <w:rsid w:val="00AC0F40"/>
    <w:rsid w:val="00AC2E37"/>
    <w:rsid w:val="00AC4649"/>
    <w:rsid w:val="00AC4C6D"/>
    <w:rsid w:val="00AC4CAE"/>
    <w:rsid w:val="00AC7E0B"/>
    <w:rsid w:val="00AD13E1"/>
    <w:rsid w:val="00AD2CB2"/>
    <w:rsid w:val="00AD33DE"/>
    <w:rsid w:val="00AD452E"/>
    <w:rsid w:val="00AD4C6B"/>
    <w:rsid w:val="00AD505A"/>
    <w:rsid w:val="00AD5D97"/>
    <w:rsid w:val="00AE1072"/>
    <w:rsid w:val="00AE4304"/>
    <w:rsid w:val="00AE4C24"/>
    <w:rsid w:val="00AE5BDD"/>
    <w:rsid w:val="00AF082E"/>
    <w:rsid w:val="00AF789F"/>
    <w:rsid w:val="00B01E64"/>
    <w:rsid w:val="00B0325A"/>
    <w:rsid w:val="00B05A93"/>
    <w:rsid w:val="00B10ECB"/>
    <w:rsid w:val="00B17183"/>
    <w:rsid w:val="00B24B38"/>
    <w:rsid w:val="00B26893"/>
    <w:rsid w:val="00B27FA3"/>
    <w:rsid w:val="00B3173F"/>
    <w:rsid w:val="00B409E0"/>
    <w:rsid w:val="00B40A5F"/>
    <w:rsid w:val="00B40EEE"/>
    <w:rsid w:val="00B433B3"/>
    <w:rsid w:val="00B5452B"/>
    <w:rsid w:val="00B57F31"/>
    <w:rsid w:val="00B60FBB"/>
    <w:rsid w:val="00B64195"/>
    <w:rsid w:val="00B655C5"/>
    <w:rsid w:val="00B70BA3"/>
    <w:rsid w:val="00B7455C"/>
    <w:rsid w:val="00B77760"/>
    <w:rsid w:val="00B82F6F"/>
    <w:rsid w:val="00B92711"/>
    <w:rsid w:val="00B94DE8"/>
    <w:rsid w:val="00B96996"/>
    <w:rsid w:val="00B9773E"/>
    <w:rsid w:val="00BA0459"/>
    <w:rsid w:val="00BA0826"/>
    <w:rsid w:val="00BB14E7"/>
    <w:rsid w:val="00BB53BB"/>
    <w:rsid w:val="00BB566B"/>
    <w:rsid w:val="00BC0CAC"/>
    <w:rsid w:val="00BC13E4"/>
    <w:rsid w:val="00BC3245"/>
    <w:rsid w:val="00BC4042"/>
    <w:rsid w:val="00BD1F52"/>
    <w:rsid w:val="00BD4280"/>
    <w:rsid w:val="00BE181B"/>
    <w:rsid w:val="00BE3B0E"/>
    <w:rsid w:val="00BE5E4C"/>
    <w:rsid w:val="00BE7198"/>
    <w:rsid w:val="00BF3293"/>
    <w:rsid w:val="00C004B9"/>
    <w:rsid w:val="00C05AF8"/>
    <w:rsid w:val="00C150E6"/>
    <w:rsid w:val="00C170F3"/>
    <w:rsid w:val="00C17B6F"/>
    <w:rsid w:val="00C17D49"/>
    <w:rsid w:val="00C205A0"/>
    <w:rsid w:val="00C247D0"/>
    <w:rsid w:val="00C25D41"/>
    <w:rsid w:val="00C26D22"/>
    <w:rsid w:val="00C31142"/>
    <w:rsid w:val="00C32386"/>
    <w:rsid w:val="00C377ED"/>
    <w:rsid w:val="00C4148E"/>
    <w:rsid w:val="00C419A1"/>
    <w:rsid w:val="00C4729A"/>
    <w:rsid w:val="00C536A4"/>
    <w:rsid w:val="00C55A2C"/>
    <w:rsid w:val="00C5634B"/>
    <w:rsid w:val="00C60456"/>
    <w:rsid w:val="00C6117D"/>
    <w:rsid w:val="00C613F4"/>
    <w:rsid w:val="00C6214D"/>
    <w:rsid w:val="00C6295D"/>
    <w:rsid w:val="00C708C5"/>
    <w:rsid w:val="00C70FF2"/>
    <w:rsid w:val="00C72475"/>
    <w:rsid w:val="00C72790"/>
    <w:rsid w:val="00C756AD"/>
    <w:rsid w:val="00C75A0A"/>
    <w:rsid w:val="00C80C82"/>
    <w:rsid w:val="00C82F2C"/>
    <w:rsid w:val="00C8597C"/>
    <w:rsid w:val="00C93088"/>
    <w:rsid w:val="00CA6BCC"/>
    <w:rsid w:val="00CB058F"/>
    <w:rsid w:val="00CB3D18"/>
    <w:rsid w:val="00CB3DB5"/>
    <w:rsid w:val="00CB5DE4"/>
    <w:rsid w:val="00CC101B"/>
    <w:rsid w:val="00CD38CF"/>
    <w:rsid w:val="00CE220B"/>
    <w:rsid w:val="00CE2890"/>
    <w:rsid w:val="00CF0FC0"/>
    <w:rsid w:val="00CF5BF1"/>
    <w:rsid w:val="00D03D8A"/>
    <w:rsid w:val="00D10676"/>
    <w:rsid w:val="00D12CA5"/>
    <w:rsid w:val="00D12FC1"/>
    <w:rsid w:val="00D15277"/>
    <w:rsid w:val="00D164A5"/>
    <w:rsid w:val="00D207D6"/>
    <w:rsid w:val="00D22B4C"/>
    <w:rsid w:val="00D27429"/>
    <w:rsid w:val="00D27987"/>
    <w:rsid w:val="00D31363"/>
    <w:rsid w:val="00D31D6B"/>
    <w:rsid w:val="00D35F6E"/>
    <w:rsid w:val="00D36DA2"/>
    <w:rsid w:val="00D41F1C"/>
    <w:rsid w:val="00D42700"/>
    <w:rsid w:val="00D430E4"/>
    <w:rsid w:val="00D43524"/>
    <w:rsid w:val="00D459AE"/>
    <w:rsid w:val="00D45D18"/>
    <w:rsid w:val="00D45FED"/>
    <w:rsid w:val="00D47662"/>
    <w:rsid w:val="00D54F77"/>
    <w:rsid w:val="00D55330"/>
    <w:rsid w:val="00D57BA1"/>
    <w:rsid w:val="00D603A0"/>
    <w:rsid w:val="00D61F90"/>
    <w:rsid w:val="00D62CFA"/>
    <w:rsid w:val="00D63F1C"/>
    <w:rsid w:val="00D64E77"/>
    <w:rsid w:val="00D66C54"/>
    <w:rsid w:val="00D66DB8"/>
    <w:rsid w:val="00D677A4"/>
    <w:rsid w:val="00D77D24"/>
    <w:rsid w:val="00D82D2F"/>
    <w:rsid w:val="00D83A8C"/>
    <w:rsid w:val="00D92701"/>
    <w:rsid w:val="00DA0E39"/>
    <w:rsid w:val="00DA5EF2"/>
    <w:rsid w:val="00DA6DAB"/>
    <w:rsid w:val="00DA75D0"/>
    <w:rsid w:val="00DB0D97"/>
    <w:rsid w:val="00DB215B"/>
    <w:rsid w:val="00DB32F2"/>
    <w:rsid w:val="00DB706B"/>
    <w:rsid w:val="00DB7227"/>
    <w:rsid w:val="00DB7D13"/>
    <w:rsid w:val="00DC4489"/>
    <w:rsid w:val="00DC6DB9"/>
    <w:rsid w:val="00DD0095"/>
    <w:rsid w:val="00DD3DA2"/>
    <w:rsid w:val="00DD56A3"/>
    <w:rsid w:val="00DE61A6"/>
    <w:rsid w:val="00DE66F0"/>
    <w:rsid w:val="00DF020D"/>
    <w:rsid w:val="00DF3CB6"/>
    <w:rsid w:val="00DF402D"/>
    <w:rsid w:val="00DF6E52"/>
    <w:rsid w:val="00DF75E8"/>
    <w:rsid w:val="00E00661"/>
    <w:rsid w:val="00E02B8D"/>
    <w:rsid w:val="00E05AC1"/>
    <w:rsid w:val="00E1423E"/>
    <w:rsid w:val="00E2090D"/>
    <w:rsid w:val="00E21EA5"/>
    <w:rsid w:val="00E24B79"/>
    <w:rsid w:val="00E31CEB"/>
    <w:rsid w:val="00E32A2C"/>
    <w:rsid w:val="00E340FA"/>
    <w:rsid w:val="00E360FD"/>
    <w:rsid w:val="00E36A41"/>
    <w:rsid w:val="00E36E86"/>
    <w:rsid w:val="00E409E1"/>
    <w:rsid w:val="00E41485"/>
    <w:rsid w:val="00E42B10"/>
    <w:rsid w:val="00E44F36"/>
    <w:rsid w:val="00E50F82"/>
    <w:rsid w:val="00E52A9A"/>
    <w:rsid w:val="00E54394"/>
    <w:rsid w:val="00E549B8"/>
    <w:rsid w:val="00E565EA"/>
    <w:rsid w:val="00E56736"/>
    <w:rsid w:val="00E6486A"/>
    <w:rsid w:val="00E64B50"/>
    <w:rsid w:val="00E668EA"/>
    <w:rsid w:val="00E7035B"/>
    <w:rsid w:val="00E769F5"/>
    <w:rsid w:val="00E76D6A"/>
    <w:rsid w:val="00E805C6"/>
    <w:rsid w:val="00E845A9"/>
    <w:rsid w:val="00E92DBC"/>
    <w:rsid w:val="00E95872"/>
    <w:rsid w:val="00EA619A"/>
    <w:rsid w:val="00EA63A0"/>
    <w:rsid w:val="00EA78DD"/>
    <w:rsid w:val="00EB475D"/>
    <w:rsid w:val="00ED53BB"/>
    <w:rsid w:val="00ED664B"/>
    <w:rsid w:val="00ED7061"/>
    <w:rsid w:val="00EE1282"/>
    <w:rsid w:val="00EE1AEB"/>
    <w:rsid w:val="00EE1C27"/>
    <w:rsid w:val="00EE447D"/>
    <w:rsid w:val="00EE5AC1"/>
    <w:rsid w:val="00EE67E7"/>
    <w:rsid w:val="00EF3E04"/>
    <w:rsid w:val="00F04253"/>
    <w:rsid w:val="00F07B5A"/>
    <w:rsid w:val="00F11680"/>
    <w:rsid w:val="00F21EB4"/>
    <w:rsid w:val="00F23637"/>
    <w:rsid w:val="00F253F3"/>
    <w:rsid w:val="00F2753E"/>
    <w:rsid w:val="00F27799"/>
    <w:rsid w:val="00F27BB0"/>
    <w:rsid w:val="00F33A6C"/>
    <w:rsid w:val="00F4305A"/>
    <w:rsid w:val="00F44864"/>
    <w:rsid w:val="00F478F7"/>
    <w:rsid w:val="00F47B38"/>
    <w:rsid w:val="00F515B0"/>
    <w:rsid w:val="00F56F41"/>
    <w:rsid w:val="00F627D3"/>
    <w:rsid w:val="00F63B73"/>
    <w:rsid w:val="00F65CEE"/>
    <w:rsid w:val="00F70CC2"/>
    <w:rsid w:val="00F7259D"/>
    <w:rsid w:val="00F7331B"/>
    <w:rsid w:val="00F73EAB"/>
    <w:rsid w:val="00F7478A"/>
    <w:rsid w:val="00F77389"/>
    <w:rsid w:val="00F83745"/>
    <w:rsid w:val="00F91174"/>
    <w:rsid w:val="00F95424"/>
    <w:rsid w:val="00F96035"/>
    <w:rsid w:val="00F965CE"/>
    <w:rsid w:val="00F96BE4"/>
    <w:rsid w:val="00FA20EA"/>
    <w:rsid w:val="00FA7B5C"/>
    <w:rsid w:val="00FB0F98"/>
    <w:rsid w:val="00FB1493"/>
    <w:rsid w:val="00FB1E88"/>
    <w:rsid w:val="00FB533A"/>
    <w:rsid w:val="00FB5349"/>
    <w:rsid w:val="00FB69C0"/>
    <w:rsid w:val="00FB6DE6"/>
    <w:rsid w:val="00FB73DE"/>
    <w:rsid w:val="00FC14D2"/>
    <w:rsid w:val="00FC43E5"/>
    <w:rsid w:val="00FD196A"/>
    <w:rsid w:val="00FD2E4E"/>
    <w:rsid w:val="00FD3189"/>
    <w:rsid w:val="00FD6B3B"/>
    <w:rsid w:val="00FD797C"/>
    <w:rsid w:val="00FE1178"/>
    <w:rsid w:val="00FE3848"/>
    <w:rsid w:val="00FE7F0D"/>
    <w:rsid w:val="00FF23E7"/>
    <w:rsid w:val="00FF5465"/>
    <w:rsid w:val="00FF71C7"/>
    <w:rsid w:val="00FF77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1985"/>
    <o:shapelayout v:ext="edit">
      <o:idmap v:ext="edit" data="1"/>
    </o:shapelayout>
  </w:shapeDefaults>
  <w:decimalSymbol w:val="."/>
  <w:listSeparator w:val=","/>
  <w14:docId w14:val="414FDB19"/>
  <w15:docId w15:val="{03F4A898-8BC4-4CD9-9CAB-34145A64D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951D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08098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unhideWhenUsed/>
    <w:qFormat/>
    <w:rsid w:val="00442180"/>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85C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5C33"/>
  </w:style>
  <w:style w:type="paragraph" w:styleId="Footer">
    <w:name w:val="footer"/>
    <w:basedOn w:val="Normal"/>
    <w:link w:val="FooterChar"/>
    <w:uiPriority w:val="99"/>
    <w:unhideWhenUsed/>
    <w:rsid w:val="00185C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5C33"/>
  </w:style>
  <w:style w:type="paragraph" w:styleId="BalloonText">
    <w:name w:val="Balloon Text"/>
    <w:basedOn w:val="Normal"/>
    <w:link w:val="BalloonTextChar"/>
    <w:uiPriority w:val="99"/>
    <w:semiHidden/>
    <w:unhideWhenUsed/>
    <w:rsid w:val="008B293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2939"/>
    <w:rPr>
      <w:rFonts w:ascii="Segoe UI" w:hAnsi="Segoe UI" w:cs="Segoe UI"/>
      <w:sz w:val="18"/>
      <w:szCs w:val="18"/>
    </w:rPr>
  </w:style>
  <w:style w:type="character" w:customStyle="1" w:styleId="Heading3Char">
    <w:name w:val="Heading 3 Char"/>
    <w:basedOn w:val="DefaultParagraphFont"/>
    <w:link w:val="Heading3"/>
    <w:uiPriority w:val="9"/>
    <w:rsid w:val="00442180"/>
    <w:rPr>
      <w:rFonts w:ascii="Times New Roman" w:eastAsia="Times New Roman" w:hAnsi="Times New Roman" w:cs="Times New Roman"/>
      <w:b/>
      <w:bCs/>
      <w:sz w:val="27"/>
      <w:szCs w:val="27"/>
      <w:lang w:eastAsia="en-GB"/>
    </w:rPr>
  </w:style>
  <w:style w:type="character" w:customStyle="1" w:styleId="apple-converted-space">
    <w:name w:val="apple-converted-space"/>
    <w:basedOn w:val="DefaultParagraphFont"/>
    <w:rsid w:val="00442180"/>
  </w:style>
  <w:style w:type="character" w:styleId="CommentReference">
    <w:name w:val="annotation reference"/>
    <w:basedOn w:val="DefaultParagraphFont"/>
    <w:uiPriority w:val="99"/>
    <w:semiHidden/>
    <w:unhideWhenUsed/>
    <w:rsid w:val="00034A4E"/>
    <w:rPr>
      <w:sz w:val="16"/>
      <w:szCs w:val="16"/>
    </w:rPr>
  </w:style>
  <w:style w:type="paragraph" w:styleId="CommentText">
    <w:name w:val="annotation text"/>
    <w:basedOn w:val="Normal"/>
    <w:link w:val="CommentTextChar"/>
    <w:uiPriority w:val="99"/>
    <w:semiHidden/>
    <w:unhideWhenUsed/>
    <w:rsid w:val="00034A4E"/>
    <w:pPr>
      <w:spacing w:line="240" w:lineRule="auto"/>
    </w:pPr>
    <w:rPr>
      <w:sz w:val="20"/>
      <w:szCs w:val="20"/>
    </w:rPr>
  </w:style>
  <w:style w:type="character" w:customStyle="1" w:styleId="CommentTextChar">
    <w:name w:val="Comment Text Char"/>
    <w:basedOn w:val="DefaultParagraphFont"/>
    <w:link w:val="CommentText"/>
    <w:uiPriority w:val="99"/>
    <w:semiHidden/>
    <w:rsid w:val="00034A4E"/>
    <w:rPr>
      <w:sz w:val="20"/>
      <w:szCs w:val="20"/>
    </w:rPr>
  </w:style>
  <w:style w:type="paragraph" w:styleId="CommentSubject">
    <w:name w:val="annotation subject"/>
    <w:basedOn w:val="CommentText"/>
    <w:next w:val="CommentText"/>
    <w:link w:val="CommentSubjectChar"/>
    <w:uiPriority w:val="99"/>
    <w:semiHidden/>
    <w:unhideWhenUsed/>
    <w:rsid w:val="00034A4E"/>
    <w:rPr>
      <w:b/>
      <w:bCs/>
    </w:rPr>
  </w:style>
  <w:style w:type="character" w:customStyle="1" w:styleId="CommentSubjectChar">
    <w:name w:val="Comment Subject Char"/>
    <w:basedOn w:val="CommentTextChar"/>
    <w:link w:val="CommentSubject"/>
    <w:uiPriority w:val="99"/>
    <w:semiHidden/>
    <w:rsid w:val="00034A4E"/>
    <w:rPr>
      <w:b/>
      <w:bCs/>
      <w:sz w:val="20"/>
      <w:szCs w:val="20"/>
    </w:rPr>
  </w:style>
  <w:style w:type="paragraph" w:customStyle="1" w:styleId="BodyA">
    <w:name w:val="Body A"/>
    <w:rsid w:val="0073662D"/>
    <w:pPr>
      <w:pBdr>
        <w:top w:val="nil"/>
        <w:left w:val="nil"/>
        <w:bottom w:val="nil"/>
        <w:right w:val="nil"/>
        <w:between w:val="nil"/>
        <w:bar w:val="nil"/>
      </w:pBdr>
      <w:spacing w:after="0" w:line="240" w:lineRule="auto"/>
    </w:pPr>
    <w:rPr>
      <w:rFonts w:ascii="Calibri" w:eastAsia="Arial Unicode MS" w:hAnsi="Calibri" w:cs="Arial Unicode MS"/>
      <w:color w:val="000000"/>
      <w:u w:color="000000"/>
      <w:bdr w:val="nil"/>
      <w:lang w:val="en-US" w:eastAsia="en-GB"/>
    </w:rPr>
  </w:style>
  <w:style w:type="paragraph" w:styleId="NormalWeb">
    <w:name w:val="Normal (Web)"/>
    <w:basedOn w:val="Normal"/>
    <w:uiPriority w:val="99"/>
    <w:semiHidden/>
    <w:unhideWhenUsed/>
    <w:rsid w:val="00D459A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C170F3"/>
    <w:rPr>
      <w:color w:val="0000FF"/>
      <w:u w:val="single"/>
    </w:rPr>
  </w:style>
  <w:style w:type="paragraph" w:styleId="ListParagraph">
    <w:name w:val="List Paragraph"/>
    <w:basedOn w:val="Normal"/>
    <w:link w:val="ListParagraphChar"/>
    <w:uiPriority w:val="34"/>
    <w:qFormat/>
    <w:rsid w:val="00992CDB"/>
    <w:pPr>
      <w:spacing w:after="0" w:line="240" w:lineRule="auto"/>
      <w:ind w:left="720"/>
      <w:contextualSpacing/>
    </w:pPr>
    <w:rPr>
      <w:rFonts w:eastAsiaTheme="minorEastAsia"/>
      <w:sz w:val="24"/>
      <w:szCs w:val="24"/>
    </w:rPr>
  </w:style>
  <w:style w:type="character" w:customStyle="1" w:styleId="ListParagraphChar">
    <w:name w:val="List Paragraph Char"/>
    <w:link w:val="ListParagraph"/>
    <w:uiPriority w:val="34"/>
    <w:locked/>
    <w:rsid w:val="00992CDB"/>
    <w:rPr>
      <w:rFonts w:eastAsiaTheme="minorEastAsia"/>
      <w:sz w:val="24"/>
      <w:szCs w:val="24"/>
    </w:rPr>
  </w:style>
  <w:style w:type="paragraph" w:styleId="BodyText3">
    <w:name w:val="Body Text 3"/>
    <w:basedOn w:val="Normal"/>
    <w:link w:val="BodyText3Char"/>
    <w:uiPriority w:val="99"/>
    <w:unhideWhenUsed/>
    <w:rsid w:val="00CB5DE4"/>
    <w:pPr>
      <w:spacing w:after="120"/>
    </w:pPr>
    <w:rPr>
      <w:sz w:val="16"/>
      <w:szCs w:val="16"/>
    </w:rPr>
  </w:style>
  <w:style w:type="character" w:customStyle="1" w:styleId="BodyText3Char">
    <w:name w:val="Body Text 3 Char"/>
    <w:basedOn w:val="DefaultParagraphFont"/>
    <w:link w:val="BodyText3"/>
    <w:uiPriority w:val="99"/>
    <w:rsid w:val="00CB5DE4"/>
    <w:rPr>
      <w:sz w:val="16"/>
      <w:szCs w:val="16"/>
    </w:rPr>
  </w:style>
  <w:style w:type="character" w:customStyle="1" w:styleId="jrnl">
    <w:name w:val="jrnl"/>
    <w:basedOn w:val="DefaultParagraphFont"/>
    <w:rsid w:val="00DE61A6"/>
  </w:style>
  <w:style w:type="paragraph" w:customStyle="1" w:styleId="Title1">
    <w:name w:val="Title1"/>
    <w:basedOn w:val="Normal"/>
    <w:rsid w:val="00DE61A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5">
    <w:name w:val="A5"/>
    <w:uiPriority w:val="99"/>
    <w:rsid w:val="000B1527"/>
    <w:rPr>
      <w:rFonts w:ascii="Garamond Premr Pro" w:hAnsi="Garamond Premr Pro" w:cs="Garamond Premr Pro"/>
      <w:color w:val="000000"/>
      <w:sz w:val="14"/>
      <w:szCs w:val="14"/>
    </w:rPr>
  </w:style>
  <w:style w:type="character" w:styleId="LineNumber">
    <w:name w:val="line number"/>
    <w:basedOn w:val="DefaultParagraphFont"/>
    <w:uiPriority w:val="99"/>
    <w:semiHidden/>
    <w:unhideWhenUsed/>
    <w:rsid w:val="00737C14"/>
  </w:style>
  <w:style w:type="character" w:customStyle="1" w:styleId="Heading1Char">
    <w:name w:val="Heading 1 Char"/>
    <w:basedOn w:val="DefaultParagraphFont"/>
    <w:link w:val="Heading1"/>
    <w:uiPriority w:val="9"/>
    <w:rsid w:val="007951D3"/>
    <w:rPr>
      <w:rFonts w:asciiTheme="majorHAnsi" w:eastAsiaTheme="majorEastAsia" w:hAnsiTheme="majorHAnsi" w:cstheme="majorBidi"/>
      <w:b/>
      <w:bCs/>
      <w:color w:val="2E74B5" w:themeColor="accent1" w:themeShade="BF"/>
      <w:sz w:val="28"/>
      <w:szCs w:val="28"/>
    </w:rPr>
  </w:style>
  <w:style w:type="paragraph" w:customStyle="1" w:styleId="Smallprinttext">
    <w:name w:val="*Smallprint text"/>
    <w:basedOn w:val="Normal"/>
    <w:link w:val="SmallprinttextChar"/>
    <w:rsid w:val="00B96996"/>
    <w:pPr>
      <w:spacing w:after="0" w:line="480" w:lineRule="auto"/>
    </w:pPr>
    <w:rPr>
      <w:rFonts w:ascii="ITC Symbol Std Medium" w:hAnsi="ITC Symbol Std Medium" w:cs="Times New Roman"/>
      <w:b/>
      <w:sz w:val="12"/>
      <w:szCs w:val="24"/>
    </w:rPr>
  </w:style>
  <w:style w:type="character" w:customStyle="1" w:styleId="SmallprinttextChar">
    <w:name w:val="*Smallprint text Char"/>
    <w:basedOn w:val="DefaultParagraphFont"/>
    <w:link w:val="Smallprinttext"/>
    <w:rsid w:val="00B96996"/>
    <w:rPr>
      <w:rFonts w:ascii="ITC Symbol Std Medium" w:hAnsi="ITC Symbol Std Medium" w:cs="Times New Roman"/>
      <w:b/>
      <w:sz w:val="12"/>
      <w:szCs w:val="24"/>
    </w:rPr>
  </w:style>
  <w:style w:type="paragraph" w:customStyle="1" w:styleId="Smallprinthead">
    <w:name w:val="*Smallprint head"/>
    <w:basedOn w:val="Normal"/>
    <w:link w:val="SmallprintheadChar"/>
    <w:rsid w:val="00B96996"/>
    <w:pPr>
      <w:spacing w:before="147" w:after="0" w:line="480" w:lineRule="auto"/>
    </w:pPr>
    <w:rPr>
      <w:rFonts w:ascii="ITC Symbol Std Book" w:hAnsi="ITC Symbol Std Book" w:cs="Times New Roman"/>
      <w:b/>
      <w:sz w:val="13"/>
      <w:szCs w:val="24"/>
    </w:rPr>
  </w:style>
  <w:style w:type="character" w:customStyle="1" w:styleId="SmallprintheadChar">
    <w:name w:val="*Smallprint head Char"/>
    <w:basedOn w:val="DefaultParagraphFont"/>
    <w:link w:val="Smallprinthead"/>
    <w:rsid w:val="00B96996"/>
    <w:rPr>
      <w:rFonts w:ascii="ITC Symbol Std Book" w:hAnsi="ITC Symbol Std Book" w:cs="Times New Roman"/>
      <w:b/>
      <w:sz w:val="13"/>
      <w:szCs w:val="24"/>
    </w:rPr>
  </w:style>
  <w:style w:type="paragraph" w:styleId="Revision">
    <w:name w:val="Revision"/>
    <w:hidden/>
    <w:uiPriority w:val="99"/>
    <w:semiHidden/>
    <w:rsid w:val="002B03AB"/>
    <w:pPr>
      <w:spacing w:after="0" w:line="240" w:lineRule="auto"/>
    </w:pPr>
  </w:style>
  <w:style w:type="character" w:customStyle="1" w:styleId="Heading2Char">
    <w:name w:val="Heading 2 Char"/>
    <w:basedOn w:val="DefaultParagraphFont"/>
    <w:link w:val="Heading2"/>
    <w:uiPriority w:val="9"/>
    <w:rsid w:val="0008098E"/>
    <w:rPr>
      <w:rFonts w:asciiTheme="majorHAnsi" w:eastAsiaTheme="majorEastAsia" w:hAnsiTheme="majorHAnsi" w:cstheme="majorBidi"/>
      <w:color w:val="2E74B5" w:themeColor="accent1" w:themeShade="BF"/>
      <w:sz w:val="26"/>
      <w:szCs w:val="26"/>
    </w:rPr>
  </w:style>
  <w:style w:type="paragraph" w:customStyle="1" w:styleId="para">
    <w:name w:val="para"/>
    <w:basedOn w:val="Normal"/>
    <w:rsid w:val="0008098E"/>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AC4C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7531960">
      <w:bodyDiv w:val="1"/>
      <w:marLeft w:val="0"/>
      <w:marRight w:val="0"/>
      <w:marTop w:val="0"/>
      <w:marBottom w:val="0"/>
      <w:divBdr>
        <w:top w:val="none" w:sz="0" w:space="0" w:color="auto"/>
        <w:left w:val="none" w:sz="0" w:space="0" w:color="auto"/>
        <w:bottom w:val="none" w:sz="0" w:space="0" w:color="auto"/>
        <w:right w:val="none" w:sz="0" w:space="0" w:color="auto"/>
      </w:divBdr>
    </w:div>
    <w:div w:id="638339693">
      <w:bodyDiv w:val="1"/>
      <w:marLeft w:val="0"/>
      <w:marRight w:val="0"/>
      <w:marTop w:val="0"/>
      <w:marBottom w:val="0"/>
      <w:divBdr>
        <w:top w:val="none" w:sz="0" w:space="0" w:color="auto"/>
        <w:left w:val="none" w:sz="0" w:space="0" w:color="auto"/>
        <w:bottom w:val="none" w:sz="0" w:space="0" w:color="auto"/>
        <w:right w:val="none" w:sz="0" w:space="0" w:color="auto"/>
      </w:divBdr>
    </w:div>
    <w:div w:id="798232480">
      <w:bodyDiv w:val="1"/>
      <w:marLeft w:val="0"/>
      <w:marRight w:val="0"/>
      <w:marTop w:val="0"/>
      <w:marBottom w:val="0"/>
      <w:divBdr>
        <w:top w:val="none" w:sz="0" w:space="0" w:color="auto"/>
        <w:left w:val="none" w:sz="0" w:space="0" w:color="auto"/>
        <w:bottom w:val="none" w:sz="0" w:space="0" w:color="auto"/>
        <w:right w:val="none" w:sz="0" w:space="0" w:color="auto"/>
      </w:divBdr>
    </w:div>
    <w:div w:id="879125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bd25@cam.ac.uk" TargetMode="External"/><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9E34A8-B57D-4CB4-B341-5CA33618E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73552</Words>
  <Characters>419248</Characters>
  <Application>Microsoft Office Word</Application>
  <DocSecurity>0</DocSecurity>
  <Lines>3493</Lines>
  <Paragraphs>983</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491817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Horsford</dc:creator>
  <cp:keywords/>
  <dc:description/>
  <cp:lastModifiedBy>Loredana Marcovecchio</cp:lastModifiedBy>
  <cp:revision>2</cp:revision>
  <cp:lastPrinted>2019-02-18T17:54:00Z</cp:lastPrinted>
  <dcterms:created xsi:type="dcterms:W3CDTF">2019-04-11T13:27:00Z</dcterms:created>
  <dcterms:modified xsi:type="dcterms:W3CDTF">2019-04-11T13:27:00Z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9a58947a-53c4-31be-b23e-1e2d90371dd0</vt:lpwstr>
  </property>
  <property fmtid="{D5CDD505-2E9C-101B-9397-08002B2CF9AE}" pid="4" name="Mendeley Recent Style Id 0_1">
    <vt:lpwstr>http://www.zotero.org/styles/harvard-cite-them-right</vt:lpwstr>
  </property>
  <property fmtid="{D5CDD505-2E9C-101B-9397-08002B2CF9AE}" pid="5" name="Mendeley Recent Style Name 0_1">
    <vt:lpwstr>Cite Them Right 10th edition - Harvard</vt:lpwstr>
  </property>
  <property fmtid="{D5CDD505-2E9C-101B-9397-08002B2CF9AE}" pid="6" name="Mendeley Recent Style Id 1_1">
    <vt:lpwstr>http://www.zotero.org/styles/diabetes-care</vt:lpwstr>
  </property>
  <property fmtid="{D5CDD505-2E9C-101B-9397-08002B2CF9AE}" pid="7" name="Mendeley Recent Style Name 1_1">
    <vt:lpwstr>Diabetes Care</vt:lpwstr>
  </property>
  <property fmtid="{D5CDD505-2E9C-101B-9397-08002B2CF9AE}" pid="8" name="Mendeley Recent Style Id 2_1">
    <vt:lpwstr>http://www.zotero.org/styles/ieee</vt:lpwstr>
  </property>
  <property fmtid="{D5CDD505-2E9C-101B-9397-08002B2CF9AE}" pid="9" name="Mendeley Recent Style Name 2_1">
    <vt:lpwstr>IEEE</vt:lpwstr>
  </property>
  <property fmtid="{D5CDD505-2E9C-101B-9397-08002B2CF9AE}" pid="10" name="Mendeley Recent Style Id 3_1">
    <vt:lpwstr>http://www.zotero.org/styles/jama</vt:lpwstr>
  </property>
  <property fmtid="{D5CDD505-2E9C-101B-9397-08002B2CF9AE}" pid="11" name="Mendeley Recent Style Name 3_1">
    <vt:lpwstr>JAMA (The Journal of the American Medical Association)</vt:lpwstr>
  </property>
  <property fmtid="{D5CDD505-2E9C-101B-9397-08002B2CF9AE}" pid="12" name="Mendeley Recent Style Id 4_1">
    <vt:lpwstr>http://www.zotero.org/styles/modern-language-association</vt:lpwstr>
  </property>
  <property fmtid="{D5CDD505-2E9C-101B-9397-08002B2CF9AE}" pid="13" name="Mendeley Recent Style Name 4_1">
    <vt:lpwstr>Modern Language Association 8th edition</vt:lpwstr>
  </property>
  <property fmtid="{D5CDD505-2E9C-101B-9397-08002B2CF9AE}" pid="14" name="Mendeley Recent Style Id 5_1">
    <vt:lpwstr>http://www.zotero.org/styles/national-library-of-medicine</vt:lpwstr>
  </property>
  <property fmtid="{D5CDD505-2E9C-101B-9397-08002B2CF9AE}" pid="15" name="Mendeley Recent Style Name 5_1">
    <vt:lpwstr>National Library of Medicine</vt:lpwstr>
  </property>
  <property fmtid="{D5CDD505-2E9C-101B-9397-08002B2CF9AE}" pid="16" name="Mendeley Recent Style Id 6_1">
    <vt:lpwstr>http://www.zotero.org/styles/nature</vt:lpwstr>
  </property>
  <property fmtid="{D5CDD505-2E9C-101B-9397-08002B2CF9AE}" pid="17" name="Mendeley Recent Style Name 6_1">
    <vt:lpwstr>Nature</vt:lpwstr>
  </property>
  <property fmtid="{D5CDD505-2E9C-101B-9397-08002B2CF9AE}" pid="18" name="Mendeley Recent Style Id 7_1">
    <vt:lpwstr>http://www.zotero.org/styles/science</vt:lpwstr>
  </property>
  <property fmtid="{D5CDD505-2E9C-101B-9397-08002B2CF9AE}" pid="19" name="Mendeley Recent Style Name 7_1">
    <vt:lpwstr>Science</vt:lpwstr>
  </property>
  <property fmtid="{D5CDD505-2E9C-101B-9397-08002B2CF9AE}" pid="20" name="Mendeley Recent Style Id 8_1">
    <vt:lpwstr>http://www.zotero.org/styles/the-lancet</vt:lpwstr>
  </property>
  <property fmtid="{D5CDD505-2E9C-101B-9397-08002B2CF9AE}" pid="21" name="Mendeley Recent Style Name 8_1">
    <vt:lpwstr>The Lancet</vt:lpwstr>
  </property>
  <property fmtid="{D5CDD505-2E9C-101B-9397-08002B2CF9AE}" pid="22" name="Mendeley Recent Style Id 9_1">
    <vt:lpwstr>http://www.zotero.org/styles/vancouver</vt:lpwstr>
  </property>
  <property fmtid="{D5CDD505-2E9C-101B-9397-08002B2CF9AE}" pid="23" name="Mendeley Recent Style Name 9_1">
    <vt:lpwstr>Vancouver</vt:lpwstr>
  </property>
  <property fmtid="{D5CDD505-2E9C-101B-9397-08002B2CF9AE}" pid="24" name="Mendeley Citation Style_1">
    <vt:lpwstr>http://www.zotero.org/styles/nature</vt:lpwstr>
  </property>
</Properties>
</file>