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14:paraId="421E8ABD" w14:textId="5EA7C9D3" w:rsidR="00517F83" w:rsidRDefault="00517F83" w:rsidP="00517F83">
      <w:pPr>
        <w:pStyle w:val="Heading"/>
        <w:spacing w:line="480" w:lineRule="auto"/>
      </w:pPr>
      <w:r>
        <w:t>Abstract</w:t>
      </w:r>
    </w:p>
    <w:p w14:paraId="7FCF78E8" w14:textId="04A287F5" w:rsidR="00517F83" w:rsidRDefault="00517F83" w:rsidP="003D24CC">
      <w:pPr>
        <w:pStyle w:val="Body"/>
        <w:numPr>
          <w:ilvl w:val="0"/>
          <w:numId w:val="9"/>
        </w:numPr>
      </w:pPr>
      <w:r>
        <w:t>The Special Feature led by Sutherland et al. (2018) sought to highlight the importance of ‘qualitative methods’ for conservation. The intention is welcome, and the collection makes many important contributions. Yet, the articles presented a limited perspective on the field, with a focus on objectivist and instrumental meth</w:t>
      </w:r>
      <w:r w:rsidR="002C044B">
        <w:t xml:space="preserve">ods, omitting discussion of some broader philosophical and methodological consideration crucial to social science research. Consequently, the Special Feature risks narrowing the scope of social science research and, potentially, reducing its quality and usefulness. In this article, we see to build on the strengths of the articles of the Special Feature by drawing in a discussion on social science research philosophy, methodology and methods. </w:t>
      </w:r>
    </w:p>
    <w:p w14:paraId="0915CA31" w14:textId="1D2B4D4B" w:rsidR="002C044B" w:rsidRDefault="002C044B" w:rsidP="003D24CC">
      <w:pPr>
        <w:pStyle w:val="Body"/>
        <w:numPr>
          <w:ilvl w:val="0"/>
          <w:numId w:val="9"/>
        </w:numPr>
      </w:pPr>
      <w:r>
        <w:t xml:space="preserve">We start with a brief discussion on the value of </w:t>
      </w:r>
      <w:r w:rsidRPr="0080160E">
        <w:t>think</w:t>
      </w:r>
      <w:r>
        <w:t>ing</w:t>
      </w:r>
      <w:r w:rsidRPr="0080160E">
        <w:t xml:space="preserve"> abou</w:t>
      </w:r>
      <w:r>
        <w:t xml:space="preserve">t </w:t>
      </w:r>
      <w:r w:rsidRPr="002C044B">
        <w:rPr>
          <w:i/>
        </w:rPr>
        <w:t>data</w:t>
      </w:r>
      <w:r w:rsidRPr="0080160E">
        <w:t xml:space="preserve"> as being qualitative </w:t>
      </w:r>
      <w:r>
        <w:t xml:space="preserve">(i.e. text, image or numeric) </w:t>
      </w:r>
      <w:r w:rsidRPr="0080160E">
        <w:t>or quantitative</w:t>
      </w:r>
      <w:r>
        <w:t xml:space="preserve"> (</w:t>
      </w:r>
      <w:proofErr w:type="spellStart"/>
      <w:r>
        <w:t>i.e</w:t>
      </w:r>
      <w:proofErr w:type="spellEnd"/>
      <w:r>
        <w:t xml:space="preserve"> numeric), not </w:t>
      </w:r>
      <w:r w:rsidRPr="003D24CC">
        <w:rPr>
          <w:i/>
        </w:rPr>
        <w:t>methods</w:t>
      </w:r>
      <w:r>
        <w:t xml:space="preserve"> or </w:t>
      </w:r>
      <w:r w:rsidRPr="003D24CC">
        <w:rPr>
          <w:i/>
        </w:rPr>
        <w:t>research</w:t>
      </w:r>
      <w:r>
        <w:t>. Thinking about methods as qualitative can o</w:t>
      </w:r>
      <w:r w:rsidRPr="0080160E">
        <w:t>bscure many important aspects of research design</w:t>
      </w:r>
      <w:r>
        <w:t xml:space="preserve"> by implying that ‘qualitative methods’ somehow embody a particular set of assumptions or principles. R</w:t>
      </w:r>
      <w:r w:rsidRPr="0080160E">
        <w:t>esearchers can bring similar</w:t>
      </w:r>
      <w:r>
        <w:t>, or very different,</w:t>
      </w:r>
      <w:r w:rsidRPr="0080160E">
        <w:t xml:space="preserve"> sets of assumptions to their research design, irrespective of whether they collect qualitative or quantitative data.</w:t>
      </w:r>
    </w:p>
    <w:p w14:paraId="52E56E6C" w14:textId="45DE3348" w:rsidR="002C044B" w:rsidRDefault="002C044B" w:rsidP="003D24CC">
      <w:pPr>
        <w:pStyle w:val="Body"/>
        <w:numPr>
          <w:ilvl w:val="0"/>
          <w:numId w:val="9"/>
        </w:numPr>
      </w:pPr>
      <w:r>
        <w:t>We clarify broad concepts, including philosophy, methodology and methods, explaining their role in social science research design. Doing so provides us with an opportunity to examine some of the terms used across the articles of the Special Feature (e.g. bias), revealing that they are used in ways that could be interpreted as being inconsistent with their use in the social sciences.</w:t>
      </w:r>
    </w:p>
    <w:p w14:paraId="64C09BCE" w14:textId="2D70B4C3" w:rsidR="002C044B" w:rsidRDefault="002C044B" w:rsidP="003D24CC">
      <w:pPr>
        <w:pStyle w:val="Body"/>
        <w:numPr>
          <w:ilvl w:val="0"/>
          <w:numId w:val="9"/>
        </w:numPr>
      </w:pPr>
      <w:r>
        <w:t xml:space="preserve">We provide worked examples of how social science research can be designed to collect qualitative data that not only understands decision-making processes, but also the unique social-ecological contexts in which it takes place. These examples </w:t>
      </w:r>
      <w:proofErr w:type="gramStart"/>
      <w:r>
        <w:t>demonstrate</w:t>
      </w:r>
      <w:proofErr w:type="gramEnd"/>
      <w:r>
        <w:t xml:space="preserve"> the importance of coherence between philosophy, methodology and methods in research design, and the importance of reflexivity throughout the research process.</w:t>
      </w:r>
    </w:p>
    <w:p w14:paraId="099ED57C" w14:textId="036F26AD" w:rsidR="002C044B" w:rsidRDefault="002C044B" w:rsidP="003D24CC">
      <w:pPr>
        <w:pStyle w:val="Body"/>
        <w:numPr>
          <w:ilvl w:val="0"/>
          <w:numId w:val="9"/>
        </w:numPr>
      </w:pPr>
      <w:r>
        <w:lastRenderedPageBreak/>
        <w:t>We conclude with encouragement for conservation scientists to explore a wider range of qualitative research approaches, providing guidance for the selection and application of social science methods for ecology and conservation.</w:t>
      </w:r>
    </w:p>
    <w:p w14:paraId="585657B2" w14:textId="5888DA48" w:rsidR="002C044B" w:rsidRPr="002C044B" w:rsidRDefault="002C044B" w:rsidP="003D24CC">
      <w:pPr>
        <w:pStyle w:val="Body"/>
      </w:pPr>
      <w:r>
        <w:rPr>
          <w:b/>
        </w:rPr>
        <w:t xml:space="preserve">Keywords: </w:t>
      </w:r>
      <w:r>
        <w:t xml:space="preserve">conservation social science; decision-making; focus groups; guideline; interviews; </w:t>
      </w:r>
      <w:r w:rsidR="009B155C">
        <w:t xml:space="preserve">qualitative data; </w:t>
      </w:r>
      <w:r>
        <w:t>policy-making;</w:t>
      </w:r>
      <w:r w:rsidR="009B155C">
        <w:t xml:space="preserve"> surveys</w:t>
      </w:r>
    </w:p>
    <w:p w14:paraId="41C00F59" w14:textId="1109A1CC" w:rsidR="003118C5" w:rsidRDefault="009F6801">
      <w:pPr>
        <w:pStyle w:val="Heading"/>
        <w:spacing w:line="480" w:lineRule="auto"/>
      </w:pPr>
      <w:r>
        <w:rPr>
          <w:color w:val="0000FF"/>
          <w:u w:color="0000FF"/>
        </w:rPr>
        <w:br w:type="column"/>
      </w:r>
      <w:r w:rsidRPr="00AF6D16">
        <w:rPr>
          <w:lang w:val="en-GB"/>
        </w:rPr>
        <w:lastRenderedPageBreak/>
        <w:t>1. Introduction</w:t>
      </w:r>
    </w:p>
    <w:p w14:paraId="6F934350" w14:textId="14C84A04" w:rsidR="003118C5" w:rsidRDefault="009F6801">
      <w:pPr>
        <w:pStyle w:val="Body"/>
        <w:tabs>
          <w:tab w:val="left" w:pos="4820"/>
        </w:tabs>
        <w:spacing w:line="480" w:lineRule="auto"/>
      </w:pPr>
      <w:r>
        <w:t>In a Special Feature of this journal, Sutherland et al. (2018) sought to highlight the importance of qualitative methods in ecology and conservation, and to review and provide guidance to conservation scientists on their use. W</w:t>
      </w:r>
      <w:r w:rsidR="006C0EED">
        <w:t>hile</w:t>
      </w:r>
      <w:r>
        <w:t xml:space="preserve"> highly supportive of the aims and intent of this collection of papers and agree</w:t>
      </w:r>
      <w:r w:rsidR="006C0EED">
        <w:t>ing</w:t>
      </w:r>
      <w:r>
        <w:t xml:space="preserve"> with many of the conclusions reached</w:t>
      </w:r>
      <w:r w:rsidR="006C0EED">
        <w:t xml:space="preserve">, </w:t>
      </w:r>
      <w:r w:rsidR="000B39C5">
        <w:t>we are</w:t>
      </w:r>
      <w:r w:rsidR="00D942D9">
        <w:t xml:space="preserve"> concern</w:t>
      </w:r>
      <w:r w:rsidR="000B39C5">
        <w:t>ed</w:t>
      </w:r>
      <w:r>
        <w:t xml:space="preserve"> that the authors </w:t>
      </w:r>
      <w:r w:rsidR="00FE39CE">
        <w:t xml:space="preserve">have </w:t>
      </w:r>
      <w:r>
        <w:t xml:space="preserve">downplayed the broader value of </w:t>
      </w:r>
      <w:r w:rsidR="003E0705">
        <w:t>social science</w:t>
      </w:r>
      <w:r w:rsidR="00E87E19">
        <w:t xml:space="preserve"> </w:t>
      </w:r>
      <w:r w:rsidR="00144694">
        <w:t>for ecology and conservation science and practice. They offer</w:t>
      </w:r>
      <w:r>
        <w:t xml:space="preserve"> a ‘how to’ guide of select</w:t>
      </w:r>
      <w:r w:rsidR="00EF0D0D">
        <w:t xml:space="preserve"> qualitative</w:t>
      </w:r>
      <w:r>
        <w:t xml:space="preserve"> methods </w:t>
      </w:r>
      <w:r w:rsidR="00144694">
        <w:t xml:space="preserve">for conservation decision-making </w:t>
      </w:r>
      <w:r>
        <w:t>that</w:t>
      </w:r>
      <w:r w:rsidR="00FE39CE">
        <w:t xml:space="preserve">, in some instances, mischaracterizes the nature and intent of </w:t>
      </w:r>
      <w:r w:rsidR="003E0705">
        <w:t>social science research</w:t>
      </w:r>
      <w:r>
        <w:t xml:space="preserve">. In particular, we consider that the articles overlooked critical points of philosophy that are central to the selection and use of </w:t>
      </w:r>
      <w:r w:rsidR="003E0705">
        <w:t xml:space="preserve">social science </w:t>
      </w:r>
      <w:r>
        <w:t xml:space="preserve">methods. </w:t>
      </w:r>
      <w:r w:rsidR="00C948DF">
        <w:t xml:space="preserve">Examining the philosophical and theoretical assumptions of the methods </w:t>
      </w:r>
      <w:r>
        <w:t xml:space="preserve">presented in the Special Feature </w:t>
      </w:r>
      <w:r w:rsidR="00755B22">
        <w:t xml:space="preserve">suggests that up to half </w:t>
      </w:r>
      <w:r>
        <w:t xml:space="preserve">might not, in fact, be considered as </w:t>
      </w:r>
      <w:r w:rsidR="003E0705">
        <w:t>‘</w:t>
      </w:r>
      <w:r>
        <w:t>qualitative</w:t>
      </w:r>
      <w:r w:rsidR="003E0705">
        <w:t xml:space="preserve"> methods’</w:t>
      </w:r>
      <w:r>
        <w:t xml:space="preserve"> </w:t>
      </w:r>
      <w:r>
        <w:fldChar w:fldCharType="begin"/>
      </w:r>
      <w:r>
        <w:instrText xml:space="preserve"> ADDIN EN.CITE &lt;EndNote&gt;&lt;Cite  &gt;&lt;Author&gt;Bennett&lt;/Author&gt;&lt;Year&gt;2017&lt;/Year&gt;&lt;Prefix&gt;&lt;/Prefix&gt;&lt;Suffix&gt;&lt;/Suffix&gt;&lt;Pages&gt;&lt;/Pages&gt;&lt;DisplayText&gt;(Bennett, Roth et al. 2017)&lt;/DisplayText&gt;&lt;record&gt;&lt;rec-number&gt;3782&lt;/rec-number&gt;&lt;foreign-keys&gt;&lt;key app="EN" db-id="vxpvtwxzj5v0x5eve2lvrp5cfrpr2v0pfsx2" timestamp="1532912720"&gt;3782&lt;/key&gt;&lt;/foreign-keys&gt;&lt;ref-type name="Journal Article"&gt;17&lt;/ref-type&gt;&lt;contributors&gt;&lt;authors&gt;&lt;author&gt;Bennett, Nathan J.&lt;/author&gt;&lt;author&gt;Roth, Robin&lt;/author&gt;&lt;author&gt;Klain, Sarah C.&lt;/author&gt;&lt;author&gt;Chan, Kai&lt;/author&gt;&lt;author&gt;Christie, Patrick&lt;/author&gt;&lt;author&gt;Clark, Douglas A.&lt;/author&gt;&lt;author&gt;Cullman, Georgina&lt;/author&gt;&lt;author&gt;Curran, Deborah&lt;/author&gt;&lt;author&gt;Durbin, Trevor J.&lt;/author&gt;&lt;author&gt;Epstein, Graham&lt;/author&gt;&lt;author&gt;Greenberg, Alison&lt;/author&gt;&lt;author&gt;Nelson, Michael P.&lt;/author&gt;&lt;author&gt;Sandlos, John&lt;/author&gt;&lt;author&gt;Stedman, Richard&lt;/author&gt;&lt;author&gt;Teel, Tara L.&lt;/author&gt;&lt;author&gt;Thomas, Rebecca&lt;/author&gt;&lt;author&gt;Veríssimo, Diogo&lt;/author&gt;&lt;author&gt;Wyborn, Carina&lt;/author&gt;&lt;/authors&gt;&lt;/contributors&gt;&lt;titles&gt;&lt;title&gt;Conservation social science: Understanding and integrating human dimensions to improve conservation&lt;/title&gt;&lt;secondary-title&gt;Biological Conservation&lt;/secondary-title&gt;&lt;/titles&gt;&lt;periodical&gt;&lt;full-title&gt;Biological Conservation&lt;/full-title&gt;&lt;/periodical&gt;&lt;pages&gt;93-108&lt;/pages&gt;&lt;volume&gt;205&lt;/volume&gt;&lt;keywords&gt;&lt;keyword&gt;Conservation social science&lt;/keyword&gt;&lt;keyword&gt;Environmental social science&lt;/keyword&gt;&lt;keyword&gt;Conservation science&lt;/keyword&gt;&lt;keyword&gt;Human dimensions&lt;/keyword&gt;&lt;keyword&gt;Conservation biology&lt;/keyword&gt;&lt;keyword&gt;Environmental management&lt;/keyword&gt;&lt;/keywords&gt;&lt;dates&gt;&lt;year&gt;2017&lt;/year&gt;&lt;pub-dates&gt;&lt;date&gt;2017/01/01/&lt;/date&gt;&lt;/pub-dates&gt;&lt;/dates&gt;&lt;isbn&gt;0006-3207&lt;/isbn&gt;&lt;urls&gt;&lt;related-urls&gt;&lt;url&gt;http://www.sciencedirect.com/science/article/pii/S0006320716305328&lt;/url&gt;&lt;/related-urls&gt;&lt;/urls&gt;&lt;electronic-resource-num&gt;https://doi.org/10.1016/j.biocon.2016.10.006&lt;/electronic-resource-num&gt;&lt;/record&gt;&lt;/Cite&gt;&lt;/EndNote&gt;</w:instrText>
      </w:r>
      <w:r>
        <w:fldChar w:fldCharType="separate"/>
      </w:r>
      <w:r>
        <w:t>(Bennett, Roth et al. 2017)</w:t>
      </w:r>
      <w:r>
        <w:fldChar w:fldCharType="end"/>
      </w:r>
      <w:r>
        <w:t>.</w:t>
      </w:r>
    </w:p>
    <w:p w14:paraId="77F5263C" w14:textId="62CC4482" w:rsidR="00746928" w:rsidRDefault="00D2619B">
      <w:pPr>
        <w:pStyle w:val="Body"/>
        <w:tabs>
          <w:tab w:val="left" w:pos="4820"/>
        </w:tabs>
        <w:spacing w:line="480" w:lineRule="auto"/>
      </w:pPr>
      <w:r w:rsidRPr="0080160E">
        <w:t>One way to conceptualize the problems we identified is to think abou</w:t>
      </w:r>
      <w:r>
        <w:t xml:space="preserve">t </w:t>
      </w:r>
      <w:r w:rsidRPr="0080160E">
        <w:rPr>
          <w:i/>
        </w:rPr>
        <w:t>data</w:t>
      </w:r>
      <w:r w:rsidRPr="0080160E">
        <w:t xml:space="preserve"> as being qualitative </w:t>
      </w:r>
      <w:r>
        <w:t>(i.e. text, image or nu</w:t>
      </w:r>
      <w:bookmarkStart w:id="0" w:name="_GoBack"/>
      <w:bookmarkEnd w:id="0"/>
      <w:r>
        <w:t xml:space="preserve">meric) </w:t>
      </w:r>
      <w:r w:rsidRPr="0080160E">
        <w:t>or quantitative</w:t>
      </w:r>
      <w:r>
        <w:t xml:space="preserve"> (</w:t>
      </w:r>
      <w:proofErr w:type="spellStart"/>
      <w:r>
        <w:t>i.e</w:t>
      </w:r>
      <w:proofErr w:type="spellEnd"/>
      <w:r>
        <w:t xml:space="preserve"> numeric) (</w:t>
      </w:r>
      <w:proofErr w:type="spellStart"/>
      <w:r>
        <w:t>Bietsa</w:t>
      </w:r>
      <w:proofErr w:type="spellEnd"/>
      <w:r>
        <w:t>, 2010)</w:t>
      </w:r>
      <w:r w:rsidRPr="0080160E">
        <w:t xml:space="preserve">. </w:t>
      </w:r>
      <w:r w:rsidR="00396DCF">
        <w:t>A</w:t>
      </w:r>
      <w:r>
        <w:t>pply</w:t>
      </w:r>
      <w:r w:rsidR="00396DCF">
        <w:t>ing</w:t>
      </w:r>
      <w:r>
        <w:t xml:space="preserve"> these terms </w:t>
      </w:r>
      <w:r w:rsidR="00396DCF">
        <w:t xml:space="preserve">directly </w:t>
      </w:r>
      <w:r>
        <w:t xml:space="preserve">to </w:t>
      </w:r>
      <w:r w:rsidR="00396DCF">
        <w:t>‘</w:t>
      </w:r>
      <w:r>
        <w:t>methods</w:t>
      </w:r>
      <w:r w:rsidR="00396DCF">
        <w:t>’</w:t>
      </w:r>
      <w:r>
        <w:t xml:space="preserve"> or </w:t>
      </w:r>
      <w:r w:rsidR="00396DCF">
        <w:t>‘</w:t>
      </w:r>
      <w:r>
        <w:t>research</w:t>
      </w:r>
      <w:r w:rsidR="00396DCF">
        <w:t>’</w:t>
      </w:r>
      <w:r>
        <w:t xml:space="preserve"> can </w:t>
      </w:r>
      <w:r w:rsidRPr="0080160E">
        <w:t>obscure many important aspects of research design</w:t>
      </w:r>
      <w:r>
        <w:t xml:space="preserve"> by implying that ‘qualitative methods’ or ‘qualitative research’ somehow embody a particular set of assumptions or principles. Yet, the collection of any</w:t>
      </w:r>
      <w:r w:rsidRPr="0080160E">
        <w:t xml:space="preserve"> qualitative or quantitative</w:t>
      </w:r>
      <w:r>
        <w:t xml:space="preserve"> </w:t>
      </w:r>
      <w:r w:rsidRPr="003D24CC">
        <w:t>social</w:t>
      </w:r>
      <w:r w:rsidRPr="0080160E">
        <w:t xml:space="preserve"> data is underpinned by a</w:t>
      </w:r>
      <w:r>
        <w:t xml:space="preserve"> unique</w:t>
      </w:r>
      <w:r w:rsidRPr="0080160E">
        <w:t xml:space="preserve"> set of assumptions about the nature of social reality</w:t>
      </w:r>
      <w:r>
        <w:t xml:space="preserve">, the limits of knowledge and the purpose of research </w:t>
      </w:r>
      <w:r w:rsidRPr="0080160E">
        <w:t>(</w:t>
      </w:r>
      <w:proofErr w:type="spellStart"/>
      <w:r w:rsidRPr="0080160E">
        <w:t>Bietsa</w:t>
      </w:r>
      <w:proofErr w:type="spellEnd"/>
      <w:r w:rsidRPr="0080160E">
        <w:t>, 2010).</w:t>
      </w:r>
      <w:r>
        <w:t xml:space="preserve"> R</w:t>
      </w:r>
      <w:r w:rsidRPr="0080160E">
        <w:t>esearchers can bring similar sets of assumptions to their research design, irrespective of whether they collect qualitative or quantitative data.</w:t>
      </w:r>
      <w:r>
        <w:t xml:space="preserve"> For example, researchers might assume that large amounts of either qualitative or quantitative data can be reduced to identify common themes that can apply universally. The term ‘social science methods’ </w:t>
      </w:r>
      <w:r>
        <w:lastRenderedPageBreak/>
        <w:t xml:space="preserve">would have arguably been a better choice, because </w:t>
      </w:r>
      <w:r w:rsidR="00746928">
        <w:t>this term</w:t>
      </w:r>
      <w:r>
        <w:t xml:space="preserve"> encapsulates the disciplinary foundations that inform </w:t>
      </w:r>
      <w:r w:rsidR="00766C6D">
        <w:t xml:space="preserve">social science </w:t>
      </w:r>
      <w:r>
        <w:t xml:space="preserve">research design and data collection. </w:t>
      </w:r>
    </w:p>
    <w:p w14:paraId="6919E26D" w14:textId="001D8D0D" w:rsidR="00C6096F" w:rsidRDefault="00746928">
      <w:pPr>
        <w:pStyle w:val="Body"/>
        <w:tabs>
          <w:tab w:val="left" w:pos="4820"/>
        </w:tabs>
        <w:spacing w:line="480" w:lineRule="auto"/>
      </w:pPr>
      <w:r>
        <w:t>We present this Forum Article as a complementary paper to the Special Feature by</w:t>
      </w:r>
      <w:r w:rsidR="00D2619B">
        <w:t xml:space="preserve"> drawing attention to aspects of </w:t>
      </w:r>
      <w:r w:rsidR="007A2ADA">
        <w:t xml:space="preserve">social science </w:t>
      </w:r>
      <w:r w:rsidR="00D2619B">
        <w:t>research philosophy and design</w:t>
      </w:r>
      <w:r w:rsidR="009F6801">
        <w:t xml:space="preserve">. Whether undertaken inside a well-established discipline or by interdisciplinary individuals or teams, we </w:t>
      </w:r>
      <w:proofErr w:type="spellStart"/>
      <w:r w:rsidR="009F6801">
        <w:t>emphasise</w:t>
      </w:r>
      <w:proofErr w:type="spellEnd"/>
      <w:r w:rsidR="009F6801">
        <w:t xml:space="preserve"> that high-quality research – whether it be social or natural science – should be conducted with a fundamental understanding of the philosophies that ground specific methodologies and methods. Just as it is unlikely to be acceptable for a researcher to implement and interpret a linear regression model without a fundamental understanding of the central limit theorem, </w:t>
      </w:r>
      <w:r w:rsidR="00D2619B">
        <w:t xml:space="preserve">social science </w:t>
      </w:r>
      <w:r w:rsidR="009F6801">
        <w:t xml:space="preserve">methods need to be applied consistent with their associated theoretical assumptions. As </w:t>
      </w:r>
      <w:proofErr w:type="spellStart"/>
      <w:r w:rsidR="009F6801">
        <w:t>emphasised</w:t>
      </w:r>
      <w:proofErr w:type="spellEnd"/>
      <w:r w:rsidR="009F6801">
        <w:t xml:space="preserve"> by St. John (2014, p. 1484): “…the philosophical and methodological foundations of </w:t>
      </w:r>
      <w:r w:rsidR="00766C6D">
        <w:t xml:space="preserve">[social science] </w:t>
      </w:r>
      <w:r w:rsidR="009F6801">
        <w:t xml:space="preserve">methods are far removed from the disciplinary training of most applied ecologists [or conservation scientists], [so] even more care and attention is required when carrying out studies using these approaches”. </w:t>
      </w:r>
      <w:r w:rsidR="001E162C">
        <w:t xml:space="preserve">We have written this article for </w:t>
      </w:r>
      <w:r w:rsidR="001E162C">
        <w:rPr>
          <w:i/>
          <w:iCs/>
        </w:rPr>
        <w:t>researchers</w:t>
      </w:r>
      <w:r w:rsidR="001E162C">
        <w:t xml:space="preserve"> who want to understand the potential of social science methods to improve research quality and, by extension, conservation outcomes. W</w:t>
      </w:r>
      <w:r w:rsidR="009F6801">
        <w:t xml:space="preserve">e do </w:t>
      </w:r>
      <w:r w:rsidR="001E162C">
        <w:t>recognize, however,</w:t>
      </w:r>
      <w:r w:rsidR="009F6801">
        <w:t xml:space="preserve"> a broad and valuable role for social science within conservation practice </w:t>
      </w:r>
      <w:r w:rsidR="00C6096F">
        <w:t>(see for example</w:t>
      </w:r>
      <w:r w:rsidR="00D2619B">
        <w:t xml:space="preserve"> </w:t>
      </w:r>
      <w:proofErr w:type="spellStart"/>
      <w:r w:rsidR="00D2619B">
        <w:t>Sandbrook</w:t>
      </w:r>
      <w:proofErr w:type="spellEnd"/>
      <w:r w:rsidR="00D2619B">
        <w:t xml:space="preserve"> et al. 2013,</w:t>
      </w:r>
      <w:r w:rsidR="00C6096F">
        <w:t xml:space="preserve"> Bennett, Roth et al. 2017, Bennett, Roth et al. 2017).</w:t>
      </w:r>
    </w:p>
    <w:p w14:paraId="3BB26C75" w14:textId="6C3D7701" w:rsidR="004C3EA9" w:rsidRDefault="009F6801">
      <w:pPr>
        <w:pStyle w:val="Body"/>
        <w:tabs>
          <w:tab w:val="left" w:pos="4820"/>
        </w:tabs>
        <w:spacing w:line="480" w:lineRule="auto"/>
      </w:pPr>
      <w:r>
        <w:t xml:space="preserve">Our article </w:t>
      </w:r>
      <w:r w:rsidR="007A2ADA">
        <w:t xml:space="preserve">is structured into </w:t>
      </w:r>
      <w:r>
        <w:t xml:space="preserve">three </w:t>
      </w:r>
      <w:r w:rsidR="00C948DF">
        <w:t>parts</w:t>
      </w:r>
      <w:r>
        <w:t xml:space="preserve">. The first </w:t>
      </w:r>
      <w:r w:rsidR="00C948DF">
        <w:t xml:space="preserve">part </w:t>
      </w:r>
      <w:r>
        <w:t xml:space="preserve">examines </w:t>
      </w:r>
      <w:r w:rsidR="007A2ADA">
        <w:t>the</w:t>
      </w:r>
      <w:r>
        <w:t xml:space="preserve"> influence </w:t>
      </w:r>
      <w:r w:rsidR="007A2ADA">
        <w:t xml:space="preserve">of </w:t>
      </w:r>
      <w:r>
        <w:t xml:space="preserve">research </w:t>
      </w:r>
      <w:r w:rsidR="007A2ADA">
        <w:t xml:space="preserve">philosophy on research </w:t>
      </w:r>
      <w:r w:rsidR="002642E6">
        <w:t>design</w:t>
      </w:r>
      <w:r>
        <w:t xml:space="preserve">. The second </w:t>
      </w:r>
      <w:r w:rsidR="00C948DF">
        <w:t xml:space="preserve">part </w:t>
      </w:r>
      <w:r>
        <w:t xml:space="preserve">discusses methodology, its role in research design and the implications for interpretation and application of methods. The third </w:t>
      </w:r>
      <w:r w:rsidR="00C948DF">
        <w:t xml:space="preserve">part </w:t>
      </w:r>
      <w:r>
        <w:t xml:space="preserve">examines methods, including a discussion of how different </w:t>
      </w:r>
      <w:r w:rsidR="00396DCF">
        <w:t>methods</w:t>
      </w:r>
      <w:r w:rsidRPr="007E2861">
        <w:rPr>
          <w:lang w:val="fr-FR"/>
        </w:rPr>
        <w:t xml:space="preserve"> influence</w:t>
      </w:r>
      <w:r>
        <w:t xml:space="preserve"> how concepts</w:t>
      </w:r>
      <w:r w:rsidR="00396DCF">
        <w:t>,</w:t>
      </w:r>
      <w:r>
        <w:t xml:space="preserve"> such as bias</w:t>
      </w:r>
      <w:r w:rsidR="00396DCF">
        <w:t>,</w:t>
      </w:r>
      <w:r w:rsidR="002642E6">
        <w:t xml:space="preserve"> </w:t>
      </w:r>
      <w:r>
        <w:t xml:space="preserve">are treated in research design. We consider it crucial </w:t>
      </w:r>
      <w:r w:rsidRPr="00E97E5E">
        <w:t>that social science</w:t>
      </w:r>
      <w:r>
        <w:t xml:space="preserve"> </w:t>
      </w:r>
      <w:r w:rsidR="001E162C">
        <w:t xml:space="preserve">methods in conservation are applied </w:t>
      </w:r>
      <w:r>
        <w:t xml:space="preserve">in a way that is consistent with existing social science </w:t>
      </w:r>
      <w:r>
        <w:lastRenderedPageBreak/>
        <w:t xml:space="preserve">practice; doing so will help to ensure </w:t>
      </w:r>
      <w:r w:rsidR="002D1109">
        <w:t xml:space="preserve">the </w:t>
      </w:r>
      <w:r>
        <w:t xml:space="preserve">high quality research outcomes </w:t>
      </w:r>
      <w:r w:rsidR="007A2ADA">
        <w:t xml:space="preserve">that can assist in </w:t>
      </w:r>
      <w:r>
        <w:t>conservation (e.g. Bennett et al. 2017; Moon &amp; Blackman, 2014).</w:t>
      </w:r>
    </w:p>
    <w:p w14:paraId="661EDBBF" w14:textId="61DDD6ED" w:rsidR="003118C5" w:rsidRDefault="009F6801">
      <w:pPr>
        <w:pStyle w:val="Heading"/>
        <w:spacing w:line="480" w:lineRule="auto"/>
      </w:pPr>
      <w:r>
        <w:t xml:space="preserve">2. </w:t>
      </w:r>
      <w:r w:rsidR="007E2861">
        <w:t xml:space="preserve">Research </w:t>
      </w:r>
      <w:r w:rsidR="007A2ADA">
        <w:t>philosophy</w:t>
      </w:r>
    </w:p>
    <w:p w14:paraId="372B4CCE" w14:textId="5C18D9C9" w:rsidR="00AF6D16" w:rsidRDefault="009F6801" w:rsidP="00616B2C">
      <w:pPr>
        <w:pStyle w:val="Body"/>
        <w:spacing w:line="480" w:lineRule="auto"/>
      </w:pPr>
      <w:r>
        <w:t xml:space="preserve">Philosophy is concerned with the study of knowledge, reality and existence; it includes general principles of theoretical thinking, methods of cognition, perspective and self-awareness </w:t>
      </w:r>
      <w:r>
        <w:fldChar w:fldCharType="begin"/>
      </w:r>
      <w:r>
        <w:instrText xml:space="preserve"> ADDIN EN.CITE &lt;EndNote&gt;&lt;Cite  &gt;&lt;Author&gt;Spirkin&lt;/Author&gt;&lt;Year&gt;1983&lt;/Year&gt;&lt;RecNum&gt;2670&lt;/RecNum&gt;&lt;Prefix&gt;&lt;/Prefix&gt;&lt;Suffix&gt;&lt;/Suffix&gt;&lt;Pages&gt;&lt;/Pages&gt;&lt;DisplayText&gt;(Spirkin 1983)&lt;/DisplayText&gt;&lt;record&gt;&lt;rec-number&gt;2670&lt;/rec-number&gt;&lt;foreign-keys&gt;&lt;key app="EN" db-id="vxpvtwxzj5v0x5eve2lvrp5cfrpr2v0pfsx2" timestamp="1375411358"&gt;2670&lt;/key&gt;&lt;/foreign-keys&gt;&lt;ref-type name="Book"&gt;6&lt;/ref-type&gt;&lt;contributors&gt;&lt;authors&gt;&lt;author&gt;Spirkin, Alexander&lt;/author&gt;&lt;/authors&gt;&lt;/contributors&gt;&lt;titles&gt;&lt;title&gt;Dialectical Materialism&lt;/title&gt;&lt;/titles&gt;&lt;dates&gt;&lt;year&gt;1983&lt;/year&gt;&lt;/dates&gt;&lt;pub-location&gt;Moscow&lt;/pub-location&gt;&lt;publisher&gt;Progress Publishers&lt;/publisher&gt;&lt;urls&gt;&lt;related-urls&gt;&lt;url&gt;http://www.marxists.org/reference/archive/spirkin/works/dialectical-materialism/&lt;/url&gt;&lt;/related-urls&gt;&lt;/urls&gt;&lt;/record&gt;&lt;/Cite&gt;&lt;/EndNote&gt;</w:instrText>
      </w:r>
      <w:r>
        <w:fldChar w:fldCharType="separate"/>
      </w:r>
      <w:r>
        <w:t>(</w:t>
      </w:r>
      <w:proofErr w:type="spellStart"/>
      <w:r>
        <w:t>Spirkin</w:t>
      </w:r>
      <w:proofErr w:type="spellEnd"/>
      <w:r>
        <w:t xml:space="preserve"> 1983)</w:t>
      </w:r>
      <w:r>
        <w:fldChar w:fldCharType="end"/>
      </w:r>
      <w:r>
        <w:t>. How a researcher thinks about reality (</w:t>
      </w:r>
      <w:r w:rsidR="00E97E5E">
        <w:t xml:space="preserve">i.e. ontology, </w:t>
      </w:r>
      <w:r>
        <w:t>what exists that we can acquire knowledge about) and knowledge (</w:t>
      </w:r>
      <w:r w:rsidR="00E97E5E">
        <w:t xml:space="preserve">i.e. epistemology, </w:t>
      </w:r>
      <w:r>
        <w:t>how we create knowledge) influences how they design and conduct their research</w:t>
      </w:r>
      <w:r w:rsidR="009100DF">
        <w:t>.</w:t>
      </w:r>
      <w:r>
        <w:t xml:space="preserve"> The philosophical position of the researcher frames their theoretical perspective (</w:t>
      </w:r>
      <w:r w:rsidRPr="007263E2">
        <w:t>i.e.</w:t>
      </w:r>
      <w:r>
        <w:t xml:space="preserve"> the ideas, concepts and assumptions the researcher brings to their research), influencing the kinds of questions they ask and how they seek to answer them. These elements shape the methodology </w:t>
      </w:r>
      <w:r w:rsidR="00E97E5E">
        <w:t>and</w:t>
      </w:r>
      <w:r>
        <w:t xml:space="preserve"> approaches that will best suit the philosophy, the theory and the desired research outcome/s, and ultimately provide the rationale for </w:t>
      </w:r>
      <w:r w:rsidR="00C948DF">
        <w:t xml:space="preserve">the chosen </w:t>
      </w:r>
      <w:r>
        <w:t>methods</w:t>
      </w:r>
      <w:r w:rsidR="009100DF">
        <w:t>.</w:t>
      </w:r>
      <w:r>
        <w:t xml:space="preserve"> </w:t>
      </w:r>
      <w:r w:rsidRPr="00EF48E8">
        <w:t xml:space="preserve">While philosophy </w:t>
      </w:r>
      <w:r w:rsidR="009100DF" w:rsidRPr="00EF48E8">
        <w:t xml:space="preserve">might </w:t>
      </w:r>
      <w:r w:rsidRPr="00EF48E8">
        <w:t xml:space="preserve">not always </w:t>
      </w:r>
      <w:r w:rsidR="00937033" w:rsidRPr="00EF48E8">
        <w:t xml:space="preserve">appear to </w:t>
      </w:r>
      <w:r w:rsidRPr="00EF48E8">
        <w:t xml:space="preserve">drive research, it will always </w:t>
      </w:r>
      <w:r w:rsidR="00AB2042" w:rsidRPr="00EF48E8">
        <w:t xml:space="preserve">implicitly </w:t>
      </w:r>
      <w:r w:rsidRPr="00EF48E8">
        <w:t>underpin the choices made.</w:t>
      </w:r>
    </w:p>
    <w:p w14:paraId="1579BC14" w14:textId="48595219" w:rsidR="003118C5" w:rsidRDefault="00BF10E2" w:rsidP="00AD61C0">
      <w:pPr>
        <w:pStyle w:val="Body"/>
        <w:spacing w:line="480" w:lineRule="auto"/>
      </w:pPr>
      <w:r>
        <w:t>For example, o</w:t>
      </w:r>
      <w:r w:rsidR="00AD61C0">
        <w:t xml:space="preserve">ne position a researcher could take is objectivism, </w:t>
      </w:r>
      <w:r w:rsidR="00F218A0">
        <w:t xml:space="preserve">which </w:t>
      </w:r>
      <w:r w:rsidR="00AD61C0">
        <w:t>assum</w:t>
      </w:r>
      <w:r w:rsidR="00F218A0">
        <w:t>es</w:t>
      </w:r>
      <w:r>
        <w:t xml:space="preserve"> that </w:t>
      </w:r>
      <w:r w:rsidR="009F6801">
        <w:t xml:space="preserve">researchers </w:t>
      </w:r>
      <w:r w:rsidR="000B39C5">
        <w:t>can</w:t>
      </w:r>
      <w:r w:rsidR="009F6801">
        <w:t xml:space="preserve"> confirm </w:t>
      </w:r>
      <w:r w:rsidR="000B39C5">
        <w:t xml:space="preserve">their </w:t>
      </w:r>
      <w:r w:rsidR="009F6801">
        <w:t>predictions empirically</w:t>
      </w:r>
      <w:r w:rsidR="00AD61C0">
        <w:t xml:space="preserve"> by examining </w:t>
      </w:r>
      <w:r w:rsidR="00E97E5E">
        <w:t xml:space="preserve">objective </w:t>
      </w:r>
      <w:r w:rsidR="00AD61C0">
        <w:t>reality</w:t>
      </w:r>
      <w:r w:rsidR="00F04F7B">
        <w:t xml:space="preserve"> (i.e. outside the human mind)</w:t>
      </w:r>
      <w:r w:rsidR="009F6801">
        <w:t xml:space="preserve">. A primary </w:t>
      </w:r>
      <w:r w:rsidR="00E97E5E">
        <w:t xml:space="preserve">aim </w:t>
      </w:r>
      <w:r w:rsidR="009F6801">
        <w:t xml:space="preserve">of this type of research is to make </w:t>
      </w:r>
      <w:r w:rsidR="009F6801" w:rsidRPr="00EF48E8">
        <w:t>predictions</w:t>
      </w:r>
      <w:r w:rsidR="009F6801">
        <w:t xml:space="preserve"> about</w:t>
      </w:r>
      <w:r w:rsidR="00B41AB9">
        <w:t>, and explain,</w:t>
      </w:r>
      <w:r w:rsidR="009F6801">
        <w:t xml:space="preserve"> people, a phenomenon or a system. </w:t>
      </w:r>
      <w:r w:rsidR="00AD61C0">
        <w:t>When adopting this position, the researcher</w:t>
      </w:r>
      <w:r w:rsidR="00FF48C4">
        <w:rPr>
          <w:lang w:val="fr-FR"/>
        </w:rPr>
        <w:t xml:space="preserve"> </w:t>
      </w:r>
      <w:proofErr w:type="spellStart"/>
      <w:r w:rsidR="00FF48C4">
        <w:rPr>
          <w:lang w:val="fr-FR"/>
        </w:rPr>
        <w:t>usually</w:t>
      </w:r>
      <w:proofErr w:type="spellEnd"/>
      <w:r w:rsidR="009F6801" w:rsidRPr="007E2861">
        <w:rPr>
          <w:lang w:val="fr-FR"/>
        </w:rPr>
        <w:t xml:space="preserve"> </w:t>
      </w:r>
      <w:r w:rsidR="009F6801">
        <w:t xml:space="preserve">assumes that reality exists independent of the human mind and that </w:t>
      </w:r>
      <w:proofErr w:type="gramStart"/>
      <w:r w:rsidR="009F6801">
        <w:t>an ‘objective</w:t>
      </w:r>
      <w:proofErr w:type="gramEnd"/>
      <w:r w:rsidR="009F6801">
        <w:t xml:space="preserve"> truth’ can be discovered. </w:t>
      </w:r>
      <w:r w:rsidR="000B39C5">
        <w:t>For example</w:t>
      </w:r>
      <w:r w:rsidR="009F6801">
        <w:t xml:space="preserve">, </w:t>
      </w:r>
      <w:r w:rsidR="000B39C5">
        <w:t>a</w:t>
      </w:r>
      <w:r w:rsidR="009F6801">
        <w:t xml:space="preserve"> researcher might expect that they could predict the outcomes from implementing different policy goals on the social and economic circumstances of resource-depend</w:t>
      </w:r>
      <w:proofErr w:type="spellStart"/>
      <w:r w:rsidR="009F6801" w:rsidRPr="007E2861">
        <w:rPr>
          <w:lang w:val="fr-FR"/>
        </w:rPr>
        <w:t>ent</w:t>
      </w:r>
      <w:proofErr w:type="spellEnd"/>
      <w:r w:rsidR="009F6801" w:rsidRPr="007E2861">
        <w:rPr>
          <w:lang w:val="fr-FR"/>
        </w:rPr>
        <w:t xml:space="preserve"> </w:t>
      </w:r>
      <w:proofErr w:type="spellStart"/>
      <w:r w:rsidR="009F6801" w:rsidRPr="007E2861">
        <w:rPr>
          <w:lang w:val="fr-FR"/>
        </w:rPr>
        <w:t>communitie</w:t>
      </w:r>
      <w:proofErr w:type="spellEnd"/>
      <w:r w:rsidR="009F6801">
        <w:t xml:space="preserve">s. The researcher typically seeks to remain </w:t>
      </w:r>
      <w:r w:rsidR="009F6801">
        <w:lastRenderedPageBreak/>
        <w:t xml:space="preserve">detached from the subject of their research to reduce the </w:t>
      </w:r>
      <w:r w:rsidR="007263E2">
        <w:t>influence</w:t>
      </w:r>
      <w:r w:rsidR="009F6801">
        <w:t xml:space="preserve"> of their own values and opinions when creating knowledge (</w:t>
      </w:r>
      <w:proofErr w:type="spellStart"/>
      <w:r w:rsidR="009F6801">
        <w:t>Crotty</w:t>
      </w:r>
      <w:proofErr w:type="spellEnd"/>
      <w:r w:rsidR="009F6801">
        <w:t xml:space="preserve">, 1998; </w:t>
      </w:r>
      <w:proofErr w:type="spellStart"/>
      <w:r w:rsidR="009F6801">
        <w:t>Flyvberg</w:t>
      </w:r>
      <w:proofErr w:type="spellEnd"/>
      <w:r w:rsidR="009F6801">
        <w:t>, 2001).</w:t>
      </w:r>
    </w:p>
    <w:p w14:paraId="7A30FA05" w14:textId="7337F0A9" w:rsidR="003118C5" w:rsidRDefault="00AD61C0" w:rsidP="004F65DF">
      <w:pPr>
        <w:pStyle w:val="Body"/>
        <w:spacing w:line="480" w:lineRule="auto"/>
      </w:pPr>
      <w:r w:rsidRPr="003D24CC">
        <w:t xml:space="preserve">An alternative position would be constructionism, which is </w:t>
      </w:r>
      <w:r w:rsidR="009F6801" w:rsidRPr="00E97E5E">
        <w:t xml:space="preserve">underpinned by a different set of assumptions. </w:t>
      </w:r>
      <w:r w:rsidR="00B41AB9" w:rsidRPr="00E97E5E">
        <w:t>The aim</w:t>
      </w:r>
      <w:r w:rsidR="009F6801" w:rsidRPr="00E97E5E">
        <w:t xml:space="preserve"> of much </w:t>
      </w:r>
      <w:r w:rsidRPr="00E97E5E">
        <w:t xml:space="preserve">constructionist </w:t>
      </w:r>
      <w:r w:rsidR="009F6801" w:rsidRPr="00E97E5E">
        <w:t>research</w:t>
      </w:r>
      <w:r w:rsidR="00E87E19">
        <w:t xml:space="preserve"> </w:t>
      </w:r>
      <w:r w:rsidR="009F6801">
        <w:t xml:space="preserve">is to </w:t>
      </w:r>
      <w:r w:rsidR="009F6801" w:rsidRPr="003D24CC">
        <w:rPr>
          <w:i/>
        </w:rPr>
        <w:t>understand</w:t>
      </w:r>
      <w:r w:rsidR="009F6801">
        <w:t xml:space="preserve"> people, a phenomenon, or a system, with an assumption that ‘reality’ is created through people’s individual experiences of, and interactions with, the world (</w:t>
      </w:r>
      <w:proofErr w:type="spellStart"/>
      <w:r w:rsidR="009F6801">
        <w:t>Crotty</w:t>
      </w:r>
      <w:proofErr w:type="spellEnd"/>
      <w:r w:rsidR="009F6801">
        <w:t xml:space="preserve">, 1998). Here, reality is not objective and outside the mind, but is intimately tied to the human mind and experience. According to </w:t>
      </w:r>
      <w:r>
        <w:t xml:space="preserve">this </w:t>
      </w:r>
      <w:r w:rsidR="009F6801">
        <w:t xml:space="preserve">position, diverse and conflicting versions of reality can exist simultaneously, </w:t>
      </w:r>
      <w:r w:rsidR="00D903F3">
        <w:t>and</w:t>
      </w:r>
      <w:r w:rsidR="009F6801">
        <w:t xml:space="preserve"> </w:t>
      </w:r>
      <w:r>
        <w:t xml:space="preserve">can be shared within, </w:t>
      </w:r>
      <w:r w:rsidR="007E2861">
        <w:t>or move chaotically through</w:t>
      </w:r>
      <w:r>
        <w:t>,</w:t>
      </w:r>
      <w:r w:rsidR="007E2861">
        <w:t xml:space="preserve"> social groups</w:t>
      </w:r>
      <w:r w:rsidR="009F6801">
        <w:t xml:space="preserve"> </w:t>
      </w:r>
      <w:r w:rsidR="009F6801" w:rsidRPr="007E2861">
        <w:rPr>
          <w:lang w:val="it-IT"/>
        </w:rPr>
        <w:t>(</w:t>
      </w:r>
      <w:r w:rsidR="007E2861">
        <w:rPr>
          <w:lang w:val="en-GB"/>
        </w:rPr>
        <w:t xml:space="preserve">e.g. </w:t>
      </w:r>
      <w:proofErr w:type="spellStart"/>
      <w:r w:rsidR="009F6801" w:rsidRPr="007E2861">
        <w:rPr>
          <w:lang w:val="it-IT"/>
        </w:rPr>
        <w:t>Crotty</w:t>
      </w:r>
      <w:proofErr w:type="spellEnd"/>
      <w:r w:rsidR="009F6801" w:rsidRPr="007E2861">
        <w:rPr>
          <w:lang w:val="it-IT"/>
        </w:rPr>
        <w:t xml:space="preserve">, 1998). </w:t>
      </w:r>
    </w:p>
    <w:p w14:paraId="0EFBC869" w14:textId="41A8A0E1" w:rsidR="003118C5" w:rsidRDefault="009F6801">
      <w:pPr>
        <w:pStyle w:val="Body"/>
        <w:spacing w:line="480" w:lineRule="auto"/>
      </w:pPr>
      <w:r>
        <w:t xml:space="preserve">It is important that researchers consider the influence of their underlying philosophy on how they approach their research and interpret their data. For example, some statements across the Special Feature hinted at assumptions that one truth exists and that research goals and markers of quality are the same across fields. For example, “Some authors highlighted that interviews had not allowed for </w:t>
      </w:r>
      <w:proofErr w:type="spellStart"/>
      <w:r w:rsidRPr="007E2861">
        <w:rPr>
          <w:i/>
          <w:iCs/>
          <w:lang w:val="fr-FR"/>
        </w:rPr>
        <w:t>generalisations</w:t>
      </w:r>
      <w:proofErr w:type="spellEnd"/>
      <w:r>
        <w:t xml:space="preserve">, either statistical, contextual or because interviewees were not necessarily </w:t>
      </w:r>
      <w:proofErr w:type="spellStart"/>
      <w:r w:rsidRPr="007E2861">
        <w:rPr>
          <w:i/>
          <w:iCs/>
          <w:lang w:val="it-IT"/>
        </w:rPr>
        <w:t>representative</w:t>
      </w:r>
      <w:proofErr w:type="spellEnd"/>
      <w:r>
        <w:t xml:space="preserve">” (Young et al., p. 17, emphasis added and figures removed); and “As a data gathering process, focus group discussion relied on people’s experiences and perceptions to generate </w:t>
      </w:r>
      <w:proofErr w:type="spellStart"/>
      <w:r w:rsidRPr="007E2861">
        <w:rPr>
          <w:i/>
          <w:iCs/>
          <w:lang w:val="es-ES_tradnl"/>
        </w:rPr>
        <w:t>anecdotal</w:t>
      </w:r>
      <w:proofErr w:type="spellEnd"/>
      <w:r>
        <w:rPr>
          <w:lang w:val="nl-NL"/>
        </w:rPr>
        <w:t xml:space="preserve"> data</w:t>
      </w:r>
      <w:r>
        <w:t>” (</w:t>
      </w:r>
      <w:proofErr w:type="spellStart"/>
      <w:r>
        <w:t>Nyumba</w:t>
      </w:r>
      <w:proofErr w:type="spellEnd"/>
      <w:r>
        <w:t xml:space="preserve"> et al., p. 26, emphasis added). These statements </w:t>
      </w:r>
      <w:r w:rsidRPr="007E2861">
        <w:rPr>
          <w:lang w:val="it-IT"/>
        </w:rPr>
        <w:t xml:space="preserve">are </w:t>
      </w:r>
      <w:r>
        <w:t xml:space="preserve">somewhat dismissive of the full set of rationales for </w:t>
      </w:r>
      <w:r w:rsidR="003A1FA1">
        <w:t xml:space="preserve">collecting and </w:t>
      </w:r>
      <w:proofErr w:type="spellStart"/>
      <w:r w:rsidR="003A1FA1">
        <w:t>analysing</w:t>
      </w:r>
      <w:proofErr w:type="spellEnd"/>
      <w:r w:rsidR="003A1FA1">
        <w:t xml:space="preserve"> </w:t>
      </w:r>
      <w:r w:rsidRPr="00EF48E8">
        <w:t xml:space="preserve">qualitative </w:t>
      </w:r>
      <w:r w:rsidR="003A1FA1" w:rsidRPr="00EF48E8">
        <w:t>data</w:t>
      </w:r>
      <w:r w:rsidRPr="00EF48E8">
        <w:t xml:space="preserve">, which may lie outside of generalizability or ‘truth’ seeking. Instead, the purpose of </w:t>
      </w:r>
      <w:r w:rsidR="003C1CDC" w:rsidRPr="003D24CC">
        <w:t>social</w:t>
      </w:r>
      <w:r w:rsidR="00D61202" w:rsidRPr="00EF48E8">
        <w:t xml:space="preserve"> </w:t>
      </w:r>
      <w:r w:rsidR="00E87E19" w:rsidRPr="003D24CC">
        <w:t>inquiry</w:t>
      </w:r>
      <w:r w:rsidRPr="00EF48E8">
        <w:t xml:space="preserve"> might</w:t>
      </w:r>
      <w:r>
        <w:t xml:space="preserve"> be exploratory, </w:t>
      </w:r>
      <w:r w:rsidR="00D61202">
        <w:t xml:space="preserve">helping to expose the </w:t>
      </w:r>
      <w:r>
        <w:t xml:space="preserve">range of ideas </w:t>
      </w:r>
      <w:r w:rsidR="00D61202">
        <w:t xml:space="preserve">held by different actors </w:t>
      </w:r>
      <w:r>
        <w:t xml:space="preserve">on a topic. The </w:t>
      </w:r>
      <w:r w:rsidR="00D61202">
        <w:t xml:space="preserve">view </w:t>
      </w:r>
      <w:r>
        <w:t>that qualitative data is “overwhelming” (see</w:t>
      </w:r>
      <w:r>
        <w:rPr>
          <w:i/>
          <w:iCs/>
        </w:rPr>
        <w:t xml:space="preserve"> </w:t>
      </w:r>
      <w:r>
        <w:t>Mukherjee et al., p. 56) in its diversity or volume could guide a researcher towards more constraining methods for data collection and analysis over others, missing real opportunities for additional insights.</w:t>
      </w:r>
      <w:r w:rsidR="007E2861">
        <w:t xml:space="preserve"> </w:t>
      </w:r>
    </w:p>
    <w:p w14:paraId="6C442375" w14:textId="0EE2761F" w:rsidR="003118C5" w:rsidRDefault="009F6801">
      <w:pPr>
        <w:pStyle w:val="Body"/>
        <w:spacing w:line="480" w:lineRule="auto"/>
      </w:pPr>
      <w:r>
        <w:lastRenderedPageBreak/>
        <w:t>We do not suggest that one research philosophy is better than another – different approaches suit different fields and studies</w:t>
      </w:r>
      <w:r w:rsidRPr="00EF48E8">
        <w:t xml:space="preserve">. </w:t>
      </w:r>
      <w:r w:rsidR="00BF10E2" w:rsidRPr="003D24CC">
        <w:t xml:space="preserve">It is important, however, that </w:t>
      </w:r>
      <w:r w:rsidR="00E17594" w:rsidRPr="00EF48E8">
        <w:t xml:space="preserve">researchers </w:t>
      </w:r>
      <w:r w:rsidR="00BF10E2" w:rsidRPr="003D24CC">
        <w:t>remain</w:t>
      </w:r>
      <w:r w:rsidRPr="00EF48E8">
        <w:t xml:space="preserve"> aware of the assumptions embedded in the choices they mak</w:t>
      </w:r>
      <w:r w:rsidR="000E5C4F" w:rsidRPr="00EF48E8">
        <w:t>e</w:t>
      </w:r>
      <w:r w:rsidRPr="00EF48E8">
        <w:t xml:space="preserve"> during the research process and, where possible, report and reflect on these choices in their research outputs.</w:t>
      </w:r>
    </w:p>
    <w:p w14:paraId="0D112C01" w14:textId="77777777" w:rsidR="003118C5" w:rsidRDefault="009F6801">
      <w:pPr>
        <w:pStyle w:val="Heading"/>
        <w:spacing w:line="480" w:lineRule="auto"/>
      </w:pPr>
      <w:r>
        <w:t>3. Research methodology</w:t>
      </w:r>
    </w:p>
    <w:p w14:paraId="2C117CCF" w14:textId="5CD74818" w:rsidR="003118C5" w:rsidRDefault="009F6801">
      <w:pPr>
        <w:pStyle w:val="Body"/>
        <w:spacing w:line="480" w:lineRule="auto"/>
      </w:pPr>
      <w:r w:rsidRPr="003C1CDC">
        <w:t xml:space="preserve">The terms methodology and methods </w:t>
      </w:r>
      <w:r w:rsidR="00FF48C4" w:rsidRPr="003D24CC">
        <w:t>represent</w:t>
      </w:r>
      <w:r w:rsidRPr="003C1CDC">
        <w:t xml:space="preserve"> important</w:t>
      </w:r>
      <w:r w:rsidR="00CE4312" w:rsidRPr="003D24CC">
        <w:t xml:space="preserve"> and different aspects of research design</w:t>
      </w:r>
      <w:r w:rsidRPr="003C1CDC">
        <w:t xml:space="preserve"> </w:t>
      </w:r>
      <w:r w:rsidR="00CE4312" w:rsidRPr="003D24CC">
        <w:t>in the social sciences</w:t>
      </w:r>
      <w:r w:rsidRPr="003C1CDC">
        <w:t>.</w:t>
      </w:r>
      <w:r>
        <w:t xml:space="preserve"> </w:t>
      </w:r>
      <w:r>
        <w:rPr>
          <w:i/>
          <w:iCs/>
        </w:rPr>
        <w:t>Methodology</w:t>
      </w:r>
      <w:r>
        <w:t xml:space="preserve"> (etymologically, the ‘logic of method’) provides a rationale and overarching framework for undertaking a program of research; it explains why and how the research is being undertaken and guides the choice of methods (Creswell, 2009). </w:t>
      </w:r>
      <w:r>
        <w:rPr>
          <w:i/>
          <w:iCs/>
        </w:rPr>
        <w:t>Methods</w:t>
      </w:r>
      <w:r>
        <w:t xml:space="preserve"> are tools of data collection and analysis. A chosen methodology captures the intention for the research and the traditions and philosophies that will inform its design (Creswell, 2009; </w:t>
      </w:r>
      <w:proofErr w:type="spellStart"/>
      <w:r>
        <w:t>McCaslin</w:t>
      </w:r>
      <w:proofErr w:type="spellEnd"/>
      <w:r>
        <w:t xml:space="preserve"> &amp; Scott, 2003). Methodologies shape the </w:t>
      </w:r>
      <w:r>
        <w:rPr>
          <w:i/>
          <w:iCs/>
        </w:rPr>
        <w:t xml:space="preserve">design </w:t>
      </w:r>
      <w:r>
        <w:t xml:space="preserve">phase where the researcher decides what it is that they want to do and how they want to do it, while methods represent the </w:t>
      </w:r>
      <w:r>
        <w:rPr>
          <w:i/>
          <w:iCs/>
        </w:rPr>
        <w:t>doing</w:t>
      </w:r>
      <w:r>
        <w:t xml:space="preserve"> phase. It is the </w:t>
      </w:r>
      <w:r w:rsidRPr="003D24CC">
        <w:rPr>
          <w:iCs/>
        </w:rPr>
        <w:t>combination</w:t>
      </w:r>
      <w:r>
        <w:t xml:space="preserve"> of, and logical connections between, methodology and methods that establishes quality in the social sciences, informing</w:t>
      </w:r>
      <w:r>
        <w:rPr>
          <w:i/>
          <w:iCs/>
        </w:rPr>
        <w:t xml:space="preserve"> </w:t>
      </w:r>
      <w:r>
        <w:t xml:space="preserve">discussions about subjectivity and bias, recruitment and sampling, data analysis and interpretation, and reflexivity. </w:t>
      </w:r>
      <w:r w:rsidR="000B39C5">
        <w:t>Researchers should</w:t>
      </w:r>
      <w:r>
        <w:t xml:space="preserve"> </w:t>
      </w:r>
      <w:r w:rsidR="008F133D">
        <w:t xml:space="preserve">be encouraged to </w:t>
      </w:r>
      <w:r>
        <w:t>describe their methodology</w:t>
      </w:r>
      <w:r w:rsidR="000B39C5">
        <w:t>,</w:t>
      </w:r>
      <w:r>
        <w:t xml:space="preserve"> because “method alone is not sufficient to allow us to make strong claims about what we have done” and why it has been appropriate (Wolcott, 1990, p. 93). </w:t>
      </w:r>
    </w:p>
    <w:p w14:paraId="02141F2E" w14:textId="2DDDD17E" w:rsidR="003118C5" w:rsidRDefault="009F6801">
      <w:pPr>
        <w:pStyle w:val="Body"/>
        <w:spacing w:line="480" w:lineRule="auto"/>
      </w:pPr>
      <w:r>
        <w:t xml:space="preserve">Across the Special Feature, the term methodology was used in ways that are inconsistent with its use in the social sciences. </w:t>
      </w:r>
      <w:r w:rsidR="00CE4312">
        <w:t>For example, i</w:t>
      </w:r>
      <w:r>
        <w:t xml:space="preserve">n the social sciences, focus groups and interviews are viewed as methods (Carter &amp; Little, 2007) to which different methodological decisions are applied. Given the importance of the differences between methodology and </w:t>
      </w:r>
      <w:r>
        <w:lastRenderedPageBreak/>
        <w:t xml:space="preserve">methods, we discuss them here to </w:t>
      </w:r>
      <w:r w:rsidR="00CE4312">
        <w:t xml:space="preserve">support the design of </w:t>
      </w:r>
      <w:r w:rsidR="008F133D">
        <w:t xml:space="preserve">quality </w:t>
      </w:r>
      <w:r w:rsidR="00CE4312">
        <w:t xml:space="preserve">social science for conservation. </w:t>
      </w:r>
    </w:p>
    <w:p w14:paraId="79689B7A" w14:textId="38C51052" w:rsidR="003118C5" w:rsidRDefault="008F133D">
      <w:pPr>
        <w:pStyle w:val="Body"/>
        <w:spacing w:line="480" w:lineRule="auto"/>
      </w:pPr>
      <w:r>
        <w:t>Creswell (2009) argues that s</w:t>
      </w:r>
      <w:r w:rsidR="00CE4312">
        <w:t>o</w:t>
      </w:r>
      <w:r w:rsidR="009F6801">
        <w:t xml:space="preserve">cial science research </w:t>
      </w:r>
      <w:r w:rsidR="00CE4312">
        <w:t xml:space="preserve">that involves the collection of primarily quantitative data </w:t>
      </w:r>
      <w:r w:rsidR="009F6801">
        <w:t>is dominated by two methodologies: experimental and non-experimental. Experimental methodologies seek to test whether a specific treatment affects an outcome by applying a treatment to one group (experimental) but not to another (control) (Creswell, 2009). Assignment to these groups, ideally, is random, or the approach can leverage from ‘natural experiments’</w:t>
      </w:r>
      <w:r w:rsidR="00E65441">
        <w:t xml:space="preserve"> or cohorts</w:t>
      </w:r>
      <w:r w:rsidR="009F6801">
        <w:t>, particularly where experimentation would be unethical. Non-experimental methodologies provide numeric descriptions of, for example, socio-demographic or socio-psychological beliefs of a sample of a population that can potentially be used to make generalizations about that population (Creswell, 2009). Typically, the rationale for using these methodologies is implicit in the research aims. For example</w:t>
      </w:r>
      <w:r w:rsidR="00E65441">
        <w:t>,</w:t>
      </w:r>
      <w:r w:rsidR="00E65441" w:rsidRPr="00E65441">
        <w:t xml:space="preserve"> </w:t>
      </w:r>
      <w:r w:rsidR="00E65441">
        <w:t>an experimental methodology is needed to</w:t>
      </w:r>
      <w:r w:rsidR="009F6801">
        <w:t xml:space="preserve"> test for an effect of exposure to natural environments on mood. Understanding how gender, income, education and other variables affect concern for climate change concern is non-experimental. </w:t>
      </w:r>
    </w:p>
    <w:p w14:paraId="3D218F6E" w14:textId="4EF1CAB4" w:rsidR="003118C5" w:rsidRDefault="00CE4312">
      <w:pPr>
        <w:pStyle w:val="Body"/>
        <w:spacing w:line="480" w:lineRule="auto"/>
      </w:pPr>
      <w:r>
        <w:t xml:space="preserve">Social science research that involves the collection of primarily qualitative data </w:t>
      </w:r>
      <w:r w:rsidR="009F6801">
        <w:t xml:space="preserve">offers a greater diversity of methodologies, because of the complexity of studying people combined with, among other things, the philosophy of the researcher, what knowledge they are seeking to uncover or create, the research context and ethical considerations (e.g. </w:t>
      </w:r>
      <w:proofErr w:type="spellStart"/>
      <w:r w:rsidR="009F6801">
        <w:t>Crotty</w:t>
      </w:r>
      <w:proofErr w:type="spellEnd"/>
      <w:r w:rsidR="009F6801">
        <w:t>, 1998; Patton, 2002). For instance, we might want to discover the meaning of one person’s lived experience (biography), or the shared lived experiences of one quality or phenomenon by multiple people (phenomenology), what occurred and was experienced in a single lived event, context, institution or domain of practice (case study), or develop theory for a single phenomenon as shared by individuals (grounded theory)</w:t>
      </w:r>
      <w:r w:rsidR="00A93B87">
        <w:t xml:space="preserve"> (</w:t>
      </w:r>
      <w:proofErr w:type="spellStart"/>
      <w:r w:rsidR="00A93B87">
        <w:t>McCaslin</w:t>
      </w:r>
      <w:proofErr w:type="spellEnd"/>
      <w:r w:rsidR="00A93B87">
        <w:t xml:space="preserve"> et al., 2003)</w:t>
      </w:r>
      <w:r w:rsidR="009F6801">
        <w:t xml:space="preserve">. We might also want to understand a different culture by living or observing it (ethnography) or </w:t>
      </w:r>
      <w:r w:rsidR="009F6801">
        <w:lastRenderedPageBreak/>
        <w:t xml:space="preserve">examining its cultural products such as visual art or documents (content analysis), or to empower </w:t>
      </w:r>
      <w:proofErr w:type="spellStart"/>
      <w:r w:rsidR="009F6801">
        <w:t>marginalised</w:t>
      </w:r>
      <w:proofErr w:type="spellEnd"/>
      <w:r w:rsidR="009F6801">
        <w:t xml:space="preserve"> groups (action research)</w:t>
      </w:r>
      <w:r w:rsidR="00A93B87">
        <w:t xml:space="preserve"> (</w:t>
      </w:r>
      <w:proofErr w:type="spellStart"/>
      <w:r w:rsidR="00A93B87">
        <w:t>McCaslin</w:t>
      </w:r>
      <w:proofErr w:type="spellEnd"/>
      <w:r w:rsidR="00A93B87">
        <w:t xml:space="preserve"> et al., 2003)</w:t>
      </w:r>
      <w:r w:rsidR="009F6801">
        <w:t xml:space="preserve">. Depending on the research objectives and approach, several methodological choices are available, and combining methodologies is also an option. </w:t>
      </w:r>
    </w:p>
    <w:p w14:paraId="26850335" w14:textId="2CFA3C0D" w:rsidR="000B4B3B" w:rsidRDefault="000B4B3B" w:rsidP="000B4B3B">
      <w:pPr>
        <w:pStyle w:val="Body"/>
        <w:spacing w:line="480" w:lineRule="auto"/>
      </w:pPr>
      <w:r>
        <w:t xml:space="preserve">Different methodologies offer specific value to decision-making contexts. We offer some examples that illustrate how different methodologies can be used to generate qualitative data that could be used to support conservation deliberations and decision-making (Table 1). What these examples show is that </w:t>
      </w:r>
      <w:r w:rsidR="00487231">
        <w:t>these methodologies</w:t>
      </w:r>
      <w:r>
        <w:t xml:space="preserve"> </w:t>
      </w:r>
      <w:r w:rsidR="00487231">
        <w:t>are</w:t>
      </w:r>
      <w:r>
        <w:t xml:space="preserve"> particularly useful in making sense of the </w:t>
      </w:r>
      <w:r w:rsidRPr="00D740DD">
        <w:rPr>
          <w:i/>
        </w:rPr>
        <w:t>where</w:t>
      </w:r>
      <w:r>
        <w:t xml:space="preserve">, </w:t>
      </w:r>
      <w:r w:rsidRPr="00D740DD">
        <w:rPr>
          <w:i/>
        </w:rPr>
        <w:t>when</w:t>
      </w:r>
      <w:r>
        <w:t xml:space="preserve">, </w:t>
      </w:r>
      <w:r w:rsidRPr="00D740DD">
        <w:rPr>
          <w:i/>
        </w:rPr>
        <w:t>how</w:t>
      </w:r>
      <w:r>
        <w:t xml:space="preserve"> and </w:t>
      </w:r>
      <w:r w:rsidRPr="00D740DD">
        <w:rPr>
          <w:i/>
        </w:rPr>
        <w:t>why</w:t>
      </w:r>
      <w:r>
        <w:t xml:space="preserve"> of conservation contexts and decision-making processes.</w:t>
      </w:r>
      <w:r w:rsidRPr="002B2791">
        <w:t xml:space="preserve"> </w:t>
      </w:r>
      <w:r w:rsidR="00CE4312">
        <w:t>Questions that can be asked include</w:t>
      </w:r>
      <w:r>
        <w:t>: how might the distinct history, culture and worldviews be incorporated into conservation design and practices</w:t>
      </w:r>
      <w:proofErr w:type="gramStart"/>
      <w:r>
        <w:t>?;</w:t>
      </w:r>
      <w:proofErr w:type="gramEnd"/>
      <w:r>
        <w:t xml:space="preserve"> who is involved in decision-making and why?; how does power influence who is ‘in’ or ‘out’ of decision processes?; and how </w:t>
      </w:r>
      <w:r w:rsidR="00E133B8">
        <w:t xml:space="preserve">and why </w:t>
      </w:r>
      <w:r>
        <w:t>will people’s lives be affected by decisions?</w:t>
      </w:r>
    </w:p>
    <w:p w14:paraId="7BBC7535" w14:textId="057FFA98" w:rsidR="003118C5" w:rsidRDefault="001F7177">
      <w:pPr>
        <w:pStyle w:val="Body"/>
        <w:spacing w:line="480" w:lineRule="auto"/>
        <w:rPr>
          <w:b/>
          <w:bCs/>
          <w:sz w:val="20"/>
          <w:szCs w:val="20"/>
        </w:rPr>
      </w:pPr>
      <w:r>
        <w:t>T</w:t>
      </w:r>
      <w:r w:rsidR="000B4B3B">
        <w:t>hese examples also show that</w:t>
      </w:r>
      <w:r w:rsidR="000B4B3B" w:rsidRPr="002B2791">
        <w:t xml:space="preserve"> </w:t>
      </w:r>
      <w:r w:rsidR="00CE4312">
        <w:t xml:space="preserve">how </w:t>
      </w:r>
      <w:r w:rsidR="000B4B3B" w:rsidRPr="004C3EA9">
        <w:t>research</w:t>
      </w:r>
      <w:r>
        <w:t xml:space="preserve"> can</w:t>
      </w:r>
      <w:r w:rsidR="000B4B3B">
        <w:t xml:space="preserve"> offer unique insight into social, cultural and political decision-making </w:t>
      </w:r>
      <w:r w:rsidR="000B4B3B" w:rsidRPr="00C00152">
        <w:rPr>
          <w:i/>
        </w:rPr>
        <w:t>contexts</w:t>
      </w:r>
      <w:r w:rsidR="000B4B3B">
        <w:t xml:space="preserve">, rather than just decision-making </w:t>
      </w:r>
      <w:r w:rsidR="000B4B3B" w:rsidRPr="00C00152">
        <w:rPr>
          <w:i/>
        </w:rPr>
        <w:t>processes</w:t>
      </w:r>
      <w:r w:rsidR="000B4B3B">
        <w:t xml:space="preserve">. For example, a </w:t>
      </w:r>
      <w:r w:rsidR="00C63180">
        <w:t>social scientist</w:t>
      </w:r>
      <w:r w:rsidR="000B4B3B">
        <w:t xml:space="preserve"> might be interested in how Pacific Islanders experience sea level rise. The research might reveal that different perceptions of threats to livelihoods influence preferences to invest in particular technologies, initiatives or infrastructure. While this data could be used to </w:t>
      </w:r>
      <w:r w:rsidR="000B4B3B" w:rsidRPr="00F220DF">
        <w:rPr>
          <w:i/>
        </w:rPr>
        <w:t>inform</w:t>
      </w:r>
      <w:r w:rsidR="000B4B3B">
        <w:t xml:space="preserve"> decision-making, a question that focused solely </w:t>
      </w:r>
      <w:r w:rsidR="000B4B3B" w:rsidRPr="003D24CC">
        <w:rPr>
          <w:i/>
        </w:rPr>
        <w:t>on</w:t>
      </w:r>
      <w:r w:rsidR="000B4B3B">
        <w:t xml:space="preserve"> decision-making </w:t>
      </w:r>
      <w:r w:rsidR="00627228">
        <w:t xml:space="preserve">(e.g. do you support x, y, z interventions) </w:t>
      </w:r>
      <w:r w:rsidR="000B4B3B">
        <w:t>might not have revealed these important relationships between perceptions of threats and priorities</w:t>
      </w:r>
      <w:r>
        <w:t xml:space="preserve"> and how they influence decision-making or support for different policies</w:t>
      </w:r>
      <w:r w:rsidR="000B4B3B">
        <w:t xml:space="preserve">. Being too focused on seeking </w:t>
      </w:r>
      <w:proofErr w:type="gramStart"/>
      <w:r w:rsidR="000B4B3B">
        <w:t>an ‘instrumental</w:t>
      </w:r>
      <w:proofErr w:type="gramEnd"/>
      <w:r w:rsidR="000B4B3B">
        <w:t xml:space="preserve"> outcome’ can mean that we lose the capacity to recognize and understand the unexpected. It is often what we do </w:t>
      </w:r>
      <w:r w:rsidR="000B4B3B" w:rsidRPr="00F220DF">
        <w:rPr>
          <w:i/>
        </w:rPr>
        <w:t>not</w:t>
      </w:r>
      <w:r w:rsidR="000B4B3B">
        <w:t xml:space="preserve"> expect that explains why conservation succeeds or fails in a given context; </w:t>
      </w:r>
      <w:r w:rsidR="00CE4312">
        <w:t xml:space="preserve">qualitative data often leads to </w:t>
      </w:r>
      <w:r w:rsidR="000B4B3B">
        <w:t xml:space="preserve">unexpected discovery. </w:t>
      </w:r>
      <w:r>
        <w:br w:type="column"/>
      </w:r>
      <w:r w:rsidR="009F6801">
        <w:rPr>
          <w:b/>
          <w:bCs/>
          <w:sz w:val="20"/>
          <w:szCs w:val="20"/>
        </w:rPr>
        <w:lastRenderedPageBreak/>
        <w:t xml:space="preserve">Table 1: Examples of how common </w:t>
      </w:r>
      <w:r w:rsidR="006D1EC8">
        <w:rPr>
          <w:b/>
          <w:bCs/>
          <w:sz w:val="20"/>
          <w:szCs w:val="20"/>
        </w:rPr>
        <w:t>social science</w:t>
      </w:r>
      <w:r w:rsidR="009F6801">
        <w:rPr>
          <w:b/>
          <w:bCs/>
          <w:sz w:val="20"/>
          <w:szCs w:val="20"/>
        </w:rPr>
        <w:t xml:space="preserve"> methodologies can be applied to conservation decision-making</w:t>
      </w:r>
    </w:p>
    <w:tbl>
      <w:tblPr>
        <w:tblW w:w="8516" w:type="dxa"/>
        <w:tblInd w:w="108" w:type="dxa"/>
        <w:tblBorders>
          <w:top w:val="single" w:sz="4" w:space="0" w:color="000000"/>
          <w:bottom w:val="single" w:sz="4" w:space="0" w:color="000000"/>
        </w:tblBorders>
        <w:shd w:val="clear" w:color="auto" w:fill="CED7E7"/>
        <w:tblLayout w:type="fixed"/>
        <w:tblLook w:val="04A0" w:firstRow="1" w:lastRow="0" w:firstColumn="1" w:lastColumn="0" w:noHBand="0" w:noVBand="1"/>
      </w:tblPr>
      <w:tblGrid>
        <w:gridCol w:w="1548"/>
        <w:gridCol w:w="2447"/>
        <w:gridCol w:w="2375"/>
        <w:gridCol w:w="2146"/>
      </w:tblGrid>
      <w:tr w:rsidR="00A93B87" w:rsidRPr="001F7177" w14:paraId="3325AD15" w14:textId="77777777" w:rsidTr="003D24CC">
        <w:trPr>
          <w:trHeight w:val="821"/>
        </w:trPr>
        <w:tc>
          <w:tcPr>
            <w:tcW w:w="1548" w:type="dxa"/>
            <w:tcBorders>
              <w:top w:val="single" w:sz="4" w:space="0" w:color="000000"/>
              <w:bottom w:val="single" w:sz="4" w:space="0" w:color="auto"/>
            </w:tcBorders>
            <w:shd w:val="clear" w:color="auto" w:fill="auto"/>
            <w:tcMar>
              <w:top w:w="80" w:type="dxa"/>
              <w:left w:w="80" w:type="dxa"/>
              <w:bottom w:w="80" w:type="dxa"/>
              <w:right w:w="80" w:type="dxa"/>
            </w:tcMar>
          </w:tcPr>
          <w:p w14:paraId="067A378A" w14:textId="77777777" w:rsidR="00A93B87" w:rsidRPr="003D24CC" w:rsidRDefault="00A93B87" w:rsidP="00A93B87">
            <w:pPr>
              <w:pStyle w:val="Body"/>
              <w:tabs>
                <w:tab w:val="center" w:pos="4513"/>
                <w:tab w:val="right" w:pos="9026"/>
              </w:tabs>
              <w:spacing w:after="0" w:line="240" w:lineRule="auto"/>
              <w:rPr>
                <w:b/>
                <w:sz w:val="20"/>
                <w:szCs w:val="20"/>
              </w:rPr>
            </w:pPr>
            <w:r w:rsidRPr="003D24CC">
              <w:rPr>
                <w:b/>
                <w:sz w:val="20"/>
                <w:szCs w:val="20"/>
              </w:rPr>
              <w:t>Methodology</w:t>
            </w:r>
          </w:p>
        </w:tc>
        <w:tc>
          <w:tcPr>
            <w:tcW w:w="2447" w:type="dxa"/>
            <w:tcBorders>
              <w:top w:val="single" w:sz="4" w:space="0" w:color="000000"/>
              <w:bottom w:val="single" w:sz="4" w:space="0" w:color="auto"/>
            </w:tcBorders>
            <w:shd w:val="clear" w:color="auto" w:fill="auto"/>
            <w:tcMar>
              <w:top w:w="80" w:type="dxa"/>
              <w:left w:w="80" w:type="dxa"/>
              <w:bottom w:w="80" w:type="dxa"/>
              <w:right w:w="80" w:type="dxa"/>
            </w:tcMar>
          </w:tcPr>
          <w:p w14:paraId="19B15D83" w14:textId="40A7CE53" w:rsidR="00A93B87" w:rsidRPr="003D24CC" w:rsidRDefault="00487231" w:rsidP="00487231">
            <w:pPr>
              <w:pStyle w:val="Body"/>
              <w:tabs>
                <w:tab w:val="center" w:pos="4513"/>
                <w:tab w:val="right" w:pos="9026"/>
              </w:tabs>
              <w:spacing w:after="0" w:line="240" w:lineRule="auto"/>
              <w:rPr>
                <w:b/>
                <w:sz w:val="20"/>
                <w:szCs w:val="20"/>
              </w:rPr>
            </w:pPr>
            <w:r w:rsidRPr="003D24CC">
              <w:rPr>
                <w:b/>
                <w:sz w:val="20"/>
                <w:szCs w:val="20"/>
              </w:rPr>
              <w:t>R</w:t>
            </w:r>
            <w:r w:rsidR="00A93B87" w:rsidRPr="003D24CC">
              <w:rPr>
                <w:b/>
                <w:sz w:val="20"/>
                <w:szCs w:val="20"/>
              </w:rPr>
              <w:t>esearch question</w:t>
            </w:r>
          </w:p>
        </w:tc>
        <w:tc>
          <w:tcPr>
            <w:tcW w:w="2375" w:type="dxa"/>
            <w:tcBorders>
              <w:top w:val="single" w:sz="4" w:space="0" w:color="000000"/>
              <w:bottom w:val="single" w:sz="4" w:space="0" w:color="auto"/>
            </w:tcBorders>
            <w:shd w:val="clear" w:color="auto" w:fill="auto"/>
            <w:tcMar>
              <w:top w:w="80" w:type="dxa"/>
              <w:left w:w="80" w:type="dxa"/>
              <w:bottom w:w="80" w:type="dxa"/>
              <w:right w:w="80" w:type="dxa"/>
            </w:tcMar>
          </w:tcPr>
          <w:p w14:paraId="445D1CCB" w14:textId="77777777" w:rsidR="00A93B87" w:rsidRPr="003D24CC" w:rsidRDefault="00A93B87" w:rsidP="00A93B87">
            <w:pPr>
              <w:pStyle w:val="Body"/>
              <w:tabs>
                <w:tab w:val="center" w:pos="4513"/>
                <w:tab w:val="right" w:pos="9026"/>
              </w:tabs>
              <w:spacing w:after="0" w:line="240" w:lineRule="auto"/>
              <w:rPr>
                <w:b/>
                <w:sz w:val="20"/>
                <w:szCs w:val="20"/>
              </w:rPr>
            </w:pPr>
            <w:r w:rsidRPr="003D24CC">
              <w:rPr>
                <w:b/>
                <w:sz w:val="20"/>
                <w:szCs w:val="20"/>
              </w:rPr>
              <w:t>Broad application to decision-making context</w:t>
            </w:r>
          </w:p>
        </w:tc>
        <w:tc>
          <w:tcPr>
            <w:tcW w:w="2146" w:type="dxa"/>
            <w:tcBorders>
              <w:top w:val="single" w:sz="4" w:space="0" w:color="000000"/>
              <w:bottom w:val="single" w:sz="4" w:space="0" w:color="auto"/>
            </w:tcBorders>
            <w:shd w:val="clear" w:color="auto" w:fill="auto"/>
            <w:tcMar>
              <w:top w:w="80" w:type="dxa"/>
              <w:left w:w="80" w:type="dxa"/>
              <w:bottom w:w="80" w:type="dxa"/>
              <w:right w:w="80" w:type="dxa"/>
            </w:tcMar>
          </w:tcPr>
          <w:p w14:paraId="4326660C" w14:textId="77777777" w:rsidR="00A93B87" w:rsidRPr="003D24CC" w:rsidRDefault="00A93B87" w:rsidP="00A93B87">
            <w:pPr>
              <w:pStyle w:val="Body"/>
              <w:tabs>
                <w:tab w:val="center" w:pos="4513"/>
                <w:tab w:val="right" w:pos="9026"/>
              </w:tabs>
              <w:spacing w:after="0" w:line="240" w:lineRule="auto"/>
              <w:rPr>
                <w:b/>
                <w:sz w:val="20"/>
                <w:szCs w:val="20"/>
              </w:rPr>
            </w:pPr>
            <w:r w:rsidRPr="003D24CC">
              <w:rPr>
                <w:b/>
                <w:sz w:val="20"/>
                <w:szCs w:val="20"/>
              </w:rPr>
              <w:t>Specific application to decision-making context</w:t>
            </w:r>
            <w:r w:rsidRPr="003D24CC" w:rsidDel="00D903F3">
              <w:rPr>
                <w:b/>
                <w:sz w:val="20"/>
                <w:szCs w:val="20"/>
              </w:rPr>
              <w:t xml:space="preserve"> </w:t>
            </w:r>
          </w:p>
        </w:tc>
      </w:tr>
      <w:tr w:rsidR="00A93B87" w14:paraId="7750681B" w14:textId="77777777" w:rsidTr="003D24CC">
        <w:trPr>
          <w:trHeight w:val="1550"/>
        </w:trPr>
        <w:tc>
          <w:tcPr>
            <w:tcW w:w="1548" w:type="dxa"/>
            <w:tcBorders>
              <w:top w:val="single" w:sz="4" w:space="0" w:color="auto"/>
            </w:tcBorders>
            <w:shd w:val="clear" w:color="auto" w:fill="auto"/>
            <w:tcMar>
              <w:top w:w="80" w:type="dxa"/>
              <w:left w:w="80" w:type="dxa"/>
              <w:bottom w:w="80" w:type="dxa"/>
              <w:right w:w="80" w:type="dxa"/>
            </w:tcMar>
          </w:tcPr>
          <w:p w14:paraId="476DC67C" w14:textId="77777777" w:rsidR="00A93B87" w:rsidRPr="00A93B87" w:rsidRDefault="00A93B87" w:rsidP="00A93B87">
            <w:pPr>
              <w:pStyle w:val="Body"/>
              <w:spacing w:after="0" w:line="240" w:lineRule="auto"/>
              <w:rPr>
                <w:sz w:val="20"/>
                <w:szCs w:val="20"/>
              </w:rPr>
            </w:pPr>
            <w:r>
              <w:rPr>
                <w:sz w:val="20"/>
                <w:szCs w:val="20"/>
              </w:rPr>
              <w:t>Biography</w:t>
            </w:r>
          </w:p>
        </w:tc>
        <w:tc>
          <w:tcPr>
            <w:tcW w:w="2447" w:type="dxa"/>
            <w:tcBorders>
              <w:top w:val="single" w:sz="4" w:space="0" w:color="auto"/>
            </w:tcBorders>
            <w:shd w:val="clear" w:color="auto" w:fill="auto"/>
            <w:tcMar>
              <w:top w:w="80" w:type="dxa"/>
              <w:left w:w="80" w:type="dxa"/>
              <w:bottom w:w="80" w:type="dxa"/>
              <w:right w:w="80" w:type="dxa"/>
            </w:tcMar>
          </w:tcPr>
          <w:p w14:paraId="5964644D" w14:textId="5FB90325" w:rsidR="00A93B87" w:rsidRPr="00A93B87" w:rsidRDefault="00A93B87" w:rsidP="00544D00">
            <w:pPr>
              <w:pStyle w:val="Body"/>
              <w:spacing w:after="0" w:line="240" w:lineRule="auto"/>
              <w:rPr>
                <w:sz w:val="20"/>
                <w:szCs w:val="20"/>
              </w:rPr>
            </w:pPr>
            <w:r>
              <w:rPr>
                <w:sz w:val="20"/>
                <w:szCs w:val="20"/>
              </w:rPr>
              <w:t xml:space="preserve">How can we </w:t>
            </w:r>
            <w:r w:rsidR="00544D00">
              <w:rPr>
                <w:sz w:val="20"/>
                <w:szCs w:val="20"/>
              </w:rPr>
              <w:t xml:space="preserve">integrate individuals’ lived experiences to create a </w:t>
            </w:r>
            <w:r>
              <w:rPr>
                <w:sz w:val="20"/>
                <w:szCs w:val="20"/>
              </w:rPr>
              <w:t>history of political decision-making and its outcomes in this location?</w:t>
            </w:r>
          </w:p>
        </w:tc>
        <w:tc>
          <w:tcPr>
            <w:tcW w:w="2375" w:type="dxa"/>
            <w:tcBorders>
              <w:top w:val="single" w:sz="4" w:space="0" w:color="auto"/>
            </w:tcBorders>
            <w:shd w:val="clear" w:color="auto" w:fill="auto"/>
            <w:tcMar>
              <w:top w:w="80" w:type="dxa"/>
              <w:left w:w="80" w:type="dxa"/>
              <w:bottom w:w="80" w:type="dxa"/>
              <w:right w:w="80" w:type="dxa"/>
            </w:tcMar>
          </w:tcPr>
          <w:p w14:paraId="7B68D555" w14:textId="77777777" w:rsidR="00A93B87" w:rsidRPr="00A93B87" w:rsidRDefault="00A93B87" w:rsidP="00A93B87">
            <w:pPr>
              <w:pStyle w:val="Body"/>
              <w:spacing w:after="0" w:line="240" w:lineRule="auto"/>
              <w:rPr>
                <w:sz w:val="20"/>
                <w:szCs w:val="20"/>
              </w:rPr>
            </w:pPr>
            <w:r>
              <w:rPr>
                <w:sz w:val="20"/>
                <w:szCs w:val="20"/>
              </w:rPr>
              <w:t>How might the history of this area influence resource users’ willingness to participate in conservation decision-making processes?</w:t>
            </w:r>
          </w:p>
        </w:tc>
        <w:tc>
          <w:tcPr>
            <w:tcW w:w="2146" w:type="dxa"/>
            <w:tcBorders>
              <w:top w:val="single" w:sz="4" w:space="0" w:color="auto"/>
            </w:tcBorders>
            <w:shd w:val="clear" w:color="auto" w:fill="auto"/>
            <w:tcMar>
              <w:top w:w="80" w:type="dxa"/>
              <w:left w:w="80" w:type="dxa"/>
              <w:bottom w:w="80" w:type="dxa"/>
              <w:right w:w="80" w:type="dxa"/>
            </w:tcMar>
          </w:tcPr>
          <w:p w14:paraId="7FCD0547" w14:textId="77777777" w:rsidR="00A93B87" w:rsidRPr="00A93B87" w:rsidRDefault="00A93B87" w:rsidP="00A93B87">
            <w:pPr>
              <w:pStyle w:val="Body"/>
              <w:spacing w:after="0" w:line="240" w:lineRule="auto"/>
              <w:rPr>
                <w:sz w:val="20"/>
                <w:szCs w:val="20"/>
              </w:rPr>
            </w:pPr>
            <w:r>
              <w:rPr>
                <w:sz w:val="20"/>
                <w:szCs w:val="20"/>
              </w:rPr>
              <w:t>How can we design conservation programs that meet the needs of resources users and are sensitive to context?</w:t>
            </w:r>
          </w:p>
        </w:tc>
      </w:tr>
      <w:tr w:rsidR="00A93B87" w14:paraId="124DBCBF" w14:textId="77777777" w:rsidTr="003D24CC">
        <w:trPr>
          <w:trHeight w:val="1550"/>
        </w:trPr>
        <w:tc>
          <w:tcPr>
            <w:tcW w:w="1548" w:type="dxa"/>
            <w:shd w:val="clear" w:color="auto" w:fill="auto"/>
            <w:tcMar>
              <w:top w:w="80" w:type="dxa"/>
              <w:left w:w="80" w:type="dxa"/>
              <w:bottom w:w="80" w:type="dxa"/>
              <w:right w:w="80" w:type="dxa"/>
            </w:tcMar>
          </w:tcPr>
          <w:p w14:paraId="62B6C2A0" w14:textId="77777777" w:rsidR="00A93B87" w:rsidRPr="00A93B87" w:rsidRDefault="00A93B87" w:rsidP="00A93B87">
            <w:pPr>
              <w:pStyle w:val="Body"/>
              <w:spacing w:after="0" w:line="240" w:lineRule="auto"/>
              <w:rPr>
                <w:sz w:val="20"/>
                <w:szCs w:val="20"/>
              </w:rPr>
            </w:pPr>
            <w:r>
              <w:rPr>
                <w:sz w:val="20"/>
                <w:szCs w:val="20"/>
              </w:rPr>
              <w:t>Phenomenology</w:t>
            </w:r>
          </w:p>
        </w:tc>
        <w:tc>
          <w:tcPr>
            <w:tcW w:w="2447" w:type="dxa"/>
            <w:shd w:val="clear" w:color="auto" w:fill="auto"/>
            <w:tcMar>
              <w:top w:w="80" w:type="dxa"/>
              <w:left w:w="80" w:type="dxa"/>
              <w:bottom w:w="80" w:type="dxa"/>
              <w:right w:w="80" w:type="dxa"/>
            </w:tcMar>
          </w:tcPr>
          <w:p w14:paraId="185566D8" w14:textId="77777777" w:rsidR="00A93B87" w:rsidRPr="00A93B87" w:rsidRDefault="00A93B87" w:rsidP="00A93B87">
            <w:pPr>
              <w:pStyle w:val="Body"/>
              <w:spacing w:after="0" w:line="240" w:lineRule="auto"/>
              <w:rPr>
                <w:sz w:val="20"/>
                <w:szCs w:val="20"/>
              </w:rPr>
            </w:pPr>
            <w:r w:rsidRPr="00A93B87">
              <w:rPr>
                <w:sz w:val="20"/>
                <w:szCs w:val="20"/>
              </w:rPr>
              <w:t>How do Pacific Islanders’ experience rising sea level</w:t>
            </w:r>
            <w:r>
              <w:rPr>
                <w:sz w:val="20"/>
                <w:szCs w:val="20"/>
              </w:rPr>
              <w:t>?</w:t>
            </w:r>
          </w:p>
        </w:tc>
        <w:tc>
          <w:tcPr>
            <w:tcW w:w="2375" w:type="dxa"/>
            <w:shd w:val="clear" w:color="auto" w:fill="auto"/>
            <w:tcMar>
              <w:top w:w="80" w:type="dxa"/>
              <w:left w:w="80" w:type="dxa"/>
              <w:bottom w:w="80" w:type="dxa"/>
              <w:right w:w="80" w:type="dxa"/>
            </w:tcMar>
          </w:tcPr>
          <w:p w14:paraId="1F572378" w14:textId="77777777" w:rsidR="00A93B87" w:rsidRPr="00A93B87" w:rsidRDefault="00A93B87" w:rsidP="00A93B87">
            <w:pPr>
              <w:pStyle w:val="Body"/>
              <w:spacing w:after="0" w:line="240" w:lineRule="auto"/>
              <w:rPr>
                <w:sz w:val="20"/>
                <w:szCs w:val="20"/>
              </w:rPr>
            </w:pPr>
            <w:r>
              <w:rPr>
                <w:sz w:val="20"/>
                <w:szCs w:val="20"/>
              </w:rPr>
              <w:t>How does the experience of rising sea levels influence individuals’ and communities’ perceptions of the importance of different conservation decisions and initiatives?</w:t>
            </w:r>
          </w:p>
        </w:tc>
        <w:tc>
          <w:tcPr>
            <w:tcW w:w="2146" w:type="dxa"/>
            <w:shd w:val="clear" w:color="auto" w:fill="auto"/>
            <w:tcMar>
              <w:top w:w="80" w:type="dxa"/>
              <w:left w:w="80" w:type="dxa"/>
              <w:bottom w:w="80" w:type="dxa"/>
              <w:right w:w="80" w:type="dxa"/>
            </w:tcMar>
          </w:tcPr>
          <w:p w14:paraId="6CF87281" w14:textId="52519749" w:rsidR="00A93B87" w:rsidRPr="00A93B87" w:rsidRDefault="00544D00" w:rsidP="00544D00">
            <w:pPr>
              <w:pStyle w:val="Body"/>
              <w:spacing w:after="0" w:line="240" w:lineRule="auto"/>
              <w:rPr>
                <w:sz w:val="20"/>
                <w:szCs w:val="20"/>
              </w:rPr>
            </w:pPr>
            <w:r>
              <w:rPr>
                <w:sz w:val="20"/>
                <w:szCs w:val="20"/>
              </w:rPr>
              <w:t xml:space="preserve">How does experiential and contextual knowledge </w:t>
            </w:r>
            <w:r w:rsidR="00A93B87">
              <w:rPr>
                <w:sz w:val="20"/>
                <w:szCs w:val="20"/>
              </w:rPr>
              <w:t>influence prioritization of local, regional and global scale conservation actions?</w:t>
            </w:r>
          </w:p>
        </w:tc>
      </w:tr>
      <w:tr w:rsidR="00A93B87" w14:paraId="51D239A4" w14:textId="77777777" w:rsidTr="003D24CC">
        <w:trPr>
          <w:trHeight w:val="1550"/>
        </w:trPr>
        <w:tc>
          <w:tcPr>
            <w:tcW w:w="1548" w:type="dxa"/>
            <w:shd w:val="clear" w:color="auto" w:fill="auto"/>
            <w:tcMar>
              <w:top w:w="80" w:type="dxa"/>
              <w:left w:w="80" w:type="dxa"/>
              <w:bottom w:w="80" w:type="dxa"/>
              <w:right w:w="80" w:type="dxa"/>
            </w:tcMar>
          </w:tcPr>
          <w:p w14:paraId="4B4EA4DB" w14:textId="77777777" w:rsidR="00A93B87" w:rsidRPr="00A93B87" w:rsidRDefault="00A93B87" w:rsidP="00A93B87">
            <w:pPr>
              <w:pStyle w:val="Body"/>
              <w:spacing w:after="0" w:line="240" w:lineRule="auto"/>
              <w:rPr>
                <w:sz w:val="20"/>
                <w:szCs w:val="20"/>
              </w:rPr>
            </w:pPr>
            <w:r>
              <w:rPr>
                <w:sz w:val="20"/>
                <w:szCs w:val="20"/>
              </w:rPr>
              <w:t>Case study</w:t>
            </w:r>
          </w:p>
        </w:tc>
        <w:tc>
          <w:tcPr>
            <w:tcW w:w="2447" w:type="dxa"/>
            <w:shd w:val="clear" w:color="auto" w:fill="auto"/>
            <w:tcMar>
              <w:top w:w="80" w:type="dxa"/>
              <w:left w:w="80" w:type="dxa"/>
              <w:bottom w:w="80" w:type="dxa"/>
              <w:right w:w="80" w:type="dxa"/>
            </w:tcMar>
          </w:tcPr>
          <w:p w14:paraId="23174B9D" w14:textId="19BD5876" w:rsidR="00A93B87" w:rsidRPr="00A93B87" w:rsidRDefault="00A93B87" w:rsidP="004F65DF">
            <w:pPr>
              <w:pStyle w:val="Body"/>
              <w:spacing w:after="0" w:line="240" w:lineRule="auto"/>
              <w:rPr>
                <w:sz w:val="20"/>
                <w:szCs w:val="20"/>
              </w:rPr>
            </w:pPr>
            <w:r>
              <w:rPr>
                <w:sz w:val="20"/>
                <w:szCs w:val="20"/>
              </w:rPr>
              <w:t>How were the livelihoods of farmers affected by changes to tree clearing legislation?</w:t>
            </w:r>
          </w:p>
        </w:tc>
        <w:tc>
          <w:tcPr>
            <w:tcW w:w="2375" w:type="dxa"/>
            <w:shd w:val="clear" w:color="auto" w:fill="auto"/>
            <w:tcMar>
              <w:top w:w="80" w:type="dxa"/>
              <w:left w:w="80" w:type="dxa"/>
              <w:bottom w:w="80" w:type="dxa"/>
              <w:right w:w="80" w:type="dxa"/>
            </w:tcMar>
          </w:tcPr>
          <w:p w14:paraId="4FBC88A5" w14:textId="0F9CC2B9" w:rsidR="00A93B87" w:rsidRPr="00A93B87" w:rsidRDefault="00A93B87" w:rsidP="00A93B87">
            <w:pPr>
              <w:pStyle w:val="Body"/>
              <w:spacing w:after="0" w:line="240" w:lineRule="auto"/>
              <w:rPr>
                <w:sz w:val="20"/>
                <w:szCs w:val="20"/>
              </w:rPr>
            </w:pPr>
            <w:r>
              <w:rPr>
                <w:sz w:val="20"/>
                <w:szCs w:val="20"/>
              </w:rPr>
              <w:t xml:space="preserve">What structures and policy instruments </w:t>
            </w:r>
            <w:r w:rsidR="004F65DF">
              <w:rPr>
                <w:sz w:val="20"/>
                <w:szCs w:val="20"/>
              </w:rPr>
              <w:t xml:space="preserve">are </w:t>
            </w:r>
            <w:r>
              <w:rPr>
                <w:sz w:val="20"/>
                <w:szCs w:val="20"/>
              </w:rPr>
              <w:t>need</w:t>
            </w:r>
            <w:r w:rsidR="004F65DF">
              <w:rPr>
                <w:sz w:val="20"/>
                <w:szCs w:val="20"/>
              </w:rPr>
              <w:t>ed</w:t>
            </w:r>
            <w:r>
              <w:rPr>
                <w:sz w:val="20"/>
                <w:szCs w:val="20"/>
              </w:rPr>
              <w:t xml:space="preserve"> to support legislative change?</w:t>
            </w:r>
          </w:p>
        </w:tc>
        <w:tc>
          <w:tcPr>
            <w:tcW w:w="2146" w:type="dxa"/>
            <w:shd w:val="clear" w:color="auto" w:fill="auto"/>
            <w:tcMar>
              <w:top w:w="80" w:type="dxa"/>
              <w:left w:w="80" w:type="dxa"/>
              <w:bottom w:w="80" w:type="dxa"/>
              <w:right w:w="80" w:type="dxa"/>
            </w:tcMar>
          </w:tcPr>
          <w:p w14:paraId="0ED30E24" w14:textId="77777777" w:rsidR="00A93B87" w:rsidRPr="00A93B87" w:rsidRDefault="00A93B87" w:rsidP="00A93B87">
            <w:pPr>
              <w:pStyle w:val="Body"/>
              <w:spacing w:after="0" w:line="240" w:lineRule="auto"/>
              <w:rPr>
                <w:sz w:val="20"/>
                <w:szCs w:val="20"/>
              </w:rPr>
            </w:pPr>
            <w:r>
              <w:rPr>
                <w:sz w:val="20"/>
                <w:szCs w:val="20"/>
              </w:rPr>
              <w:t>When, and how, should landholders be compensated for changes to their property rights?</w:t>
            </w:r>
          </w:p>
        </w:tc>
      </w:tr>
      <w:tr w:rsidR="00A93B87" w14:paraId="04C41BA0" w14:textId="77777777" w:rsidTr="003D24CC">
        <w:trPr>
          <w:trHeight w:val="1550"/>
        </w:trPr>
        <w:tc>
          <w:tcPr>
            <w:tcW w:w="1548" w:type="dxa"/>
            <w:shd w:val="clear" w:color="auto" w:fill="auto"/>
            <w:tcMar>
              <w:top w:w="80" w:type="dxa"/>
              <w:left w:w="80" w:type="dxa"/>
              <w:bottom w:w="80" w:type="dxa"/>
              <w:right w:w="80" w:type="dxa"/>
            </w:tcMar>
          </w:tcPr>
          <w:p w14:paraId="08FA3C1F" w14:textId="77777777" w:rsidR="00A93B87" w:rsidRPr="00A93B87" w:rsidRDefault="00A93B87" w:rsidP="00A93B87">
            <w:pPr>
              <w:pStyle w:val="Body"/>
              <w:spacing w:after="0" w:line="240" w:lineRule="auto"/>
              <w:rPr>
                <w:sz w:val="20"/>
                <w:szCs w:val="20"/>
              </w:rPr>
            </w:pPr>
            <w:r>
              <w:rPr>
                <w:sz w:val="20"/>
                <w:szCs w:val="20"/>
              </w:rPr>
              <w:t>Grounded theory</w:t>
            </w:r>
          </w:p>
        </w:tc>
        <w:tc>
          <w:tcPr>
            <w:tcW w:w="2447" w:type="dxa"/>
            <w:shd w:val="clear" w:color="auto" w:fill="auto"/>
            <w:tcMar>
              <w:top w:w="80" w:type="dxa"/>
              <w:left w:w="80" w:type="dxa"/>
              <w:bottom w:w="80" w:type="dxa"/>
              <w:right w:w="80" w:type="dxa"/>
            </w:tcMar>
          </w:tcPr>
          <w:p w14:paraId="02E12830" w14:textId="77777777" w:rsidR="00A93B87" w:rsidRPr="00A93B87" w:rsidRDefault="00A93B87" w:rsidP="00A93B87">
            <w:pPr>
              <w:pStyle w:val="Body"/>
              <w:spacing w:after="0" w:line="240" w:lineRule="auto"/>
              <w:rPr>
                <w:sz w:val="20"/>
                <w:szCs w:val="20"/>
              </w:rPr>
            </w:pPr>
            <w:r>
              <w:rPr>
                <w:sz w:val="20"/>
                <w:szCs w:val="20"/>
              </w:rPr>
              <w:t>What is the theory of conservation intention and commitment?</w:t>
            </w:r>
          </w:p>
        </w:tc>
        <w:tc>
          <w:tcPr>
            <w:tcW w:w="2375" w:type="dxa"/>
            <w:shd w:val="clear" w:color="auto" w:fill="auto"/>
            <w:tcMar>
              <w:top w:w="80" w:type="dxa"/>
              <w:left w:w="80" w:type="dxa"/>
              <w:bottom w:w="80" w:type="dxa"/>
              <w:right w:w="80" w:type="dxa"/>
            </w:tcMar>
          </w:tcPr>
          <w:p w14:paraId="12CF7263" w14:textId="77777777" w:rsidR="00A93B87" w:rsidRPr="00A93B87" w:rsidRDefault="00A93B87" w:rsidP="00A93B87">
            <w:pPr>
              <w:pStyle w:val="Body"/>
              <w:spacing w:after="0" w:line="240" w:lineRule="auto"/>
              <w:rPr>
                <w:sz w:val="20"/>
                <w:szCs w:val="20"/>
              </w:rPr>
            </w:pPr>
            <w:r>
              <w:rPr>
                <w:sz w:val="20"/>
                <w:szCs w:val="20"/>
              </w:rPr>
              <w:t xml:space="preserve">Who are the types of people that have an intention to conserve and why? </w:t>
            </w:r>
          </w:p>
        </w:tc>
        <w:tc>
          <w:tcPr>
            <w:tcW w:w="2146" w:type="dxa"/>
            <w:shd w:val="clear" w:color="auto" w:fill="auto"/>
            <w:tcMar>
              <w:top w:w="80" w:type="dxa"/>
              <w:left w:w="80" w:type="dxa"/>
              <w:bottom w:w="80" w:type="dxa"/>
              <w:right w:w="80" w:type="dxa"/>
            </w:tcMar>
          </w:tcPr>
          <w:p w14:paraId="3B63F53E" w14:textId="77777777" w:rsidR="00A93B87" w:rsidRPr="00A93B87" w:rsidRDefault="00A93B87" w:rsidP="00A93B87">
            <w:pPr>
              <w:pStyle w:val="Body"/>
              <w:spacing w:after="0" w:line="240" w:lineRule="auto"/>
              <w:rPr>
                <w:sz w:val="20"/>
                <w:szCs w:val="20"/>
              </w:rPr>
            </w:pPr>
            <w:r>
              <w:rPr>
                <w:sz w:val="20"/>
                <w:szCs w:val="20"/>
              </w:rPr>
              <w:t>What combination of policy instruments could stimulate conservation behavior in a given socio-political context?</w:t>
            </w:r>
          </w:p>
        </w:tc>
      </w:tr>
      <w:tr w:rsidR="00A93B87" w14:paraId="7EF14827" w14:textId="77777777" w:rsidTr="003D24CC">
        <w:trPr>
          <w:trHeight w:val="1550"/>
        </w:trPr>
        <w:tc>
          <w:tcPr>
            <w:tcW w:w="1548" w:type="dxa"/>
            <w:shd w:val="clear" w:color="auto" w:fill="auto"/>
            <w:tcMar>
              <w:top w:w="80" w:type="dxa"/>
              <w:left w:w="80" w:type="dxa"/>
              <w:bottom w:w="80" w:type="dxa"/>
              <w:right w:w="80" w:type="dxa"/>
            </w:tcMar>
          </w:tcPr>
          <w:p w14:paraId="72648344" w14:textId="77777777" w:rsidR="00A93B87" w:rsidRPr="00A93B87" w:rsidRDefault="00A93B87" w:rsidP="00A93B87">
            <w:pPr>
              <w:pStyle w:val="Body"/>
              <w:spacing w:after="0" w:line="240" w:lineRule="auto"/>
              <w:rPr>
                <w:sz w:val="20"/>
                <w:szCs w:val="20"/>
              </w:rPr>
            </w:pPr>
            <w:r>
              <w:rPr>
                <w:sz w:val="20"/>
                <w:szCs w:val="20"/>
              </w:rPr>
              <w:t>Ethnography</w:t>
            </w:r>
          </w:p>
        </w:tc>
        <w:tc>
          <w:tcPr>
            <w:tcW w:w="2447" w:type="dxa"/>
            <w:shd w:val="clear" w:color="auto" w:fill="auto"/>
            <w:tcMar>
              <w:top w:w="80" w:type="dxa"/>
              <w:left w:w="80" w:type="dxa"/>
              <w:bottom w:w="80" w:type="dxa"/>
              <w:right w:w="80" w:type="dxa"/>
            </w:tcMar>
          </w:tcPr>
          <w:p w14:paraId="150CC61C" w14:textId="77777777" w:rsidR="00A93B87" w:rsidRPr="00A93B87" w:rsidRDefault="00A93B87" w:rsidP="00A93B87">
            <w:pPr>
              <w:pStyle w:val="Body"/>
              <w:spacing w:after="0" w:line="240" w:lineRule="auto"/>
              <w:rPr>
                <w:sz w:val="20"/>
                <w:szCs w:val="20"/>
              </w:rPr>
            </w:pPr>
            <w:r>
              <w:rPr>
                <w:sz w:val="20"/>
                <w:szCs w:val="20"/>
              </w:rPr>
              <w:t>What role do stories play in shaping resource management decisions among Indigenous Australians?</w:t>
            </w:r>
          </w:p>
        </w:tc>
        <w:tc>
          <w:tcPr>
            <w:tcW w:w="2375" w:type="dxa"/>
            <w:shd w:val="clear" w:color="auto" w:fill="auto"/>
            <w:tcMar>
              <w:top w:w="80" w:type="dxa"/>
              <w:left w:w="80" w:type="dxa"/>
              <w:bottom w:w="80" w:type="dxa"/>
              <w:right w:w="80" w:type="dxa"/>
            </w:tcMar>
          </w:tcPr>
          <w:p w14:paraId="2618E422" w14:textId="77777777" w:rsidR="00A93B87" w:rsidRPr="00A93B87" w:rsidRDefault="00A93B87" w:rsidP="00A93B87">
            <w:pPr>
              <w:pStyle w:val="Body"/>
              <w:spacing w:after="0" w:line="240" w:lineRule="auto"/>
              <w:rPr>
                <w:sz w:val="20"/>
                <w:szCs w:val="20"/>
              </w:rPr>
            </w:pPr>
            <w:r>
              <w:rPr>
                <w:sz w:val="20"/>
                <w:szCs w:val="20"/>
              </w:rPr>
              <w:t xml:space="preserve">How compatible are rationales for traditional and Western resource practices? </w:t>
            </w:r>
          </w:p>
        </w:tc>
        <w:tc>
          <w:tcPr>
            <w:tcW w:w="2146" w:type="dxa"/>
            <w:shd w:val="clear" w:color="auto" w:fill="auto"/>
            <w:tcMar>
              <w:top w:w="80" w:type="dxa"/>
              <w:left w:w="80" w:type="dxa"/>
              <w:bottom w:w="80" w:type="dxa"/>
              <w:right w:w="80" w:type="dxa"/>
            </w:tcMar>
          </w:tcPr>
          <w:p w14:paraId="23F4BC87" w14:textId="77777777" w:rsidR="00A93B87" w:rsidRPr="00A93B87" w:rsidRDefault="00A93B87" w:rsidP="00A93B87">
            <w:pPr>
              <w:pStyle w:val="Body"/>
              <w:spacing w:after="0" w:line="240" w:lineRule="auto"/>
              <w:rPr>
                <w:sz w:val="20"/>
                <w:szCs w:val="20"/>
              </w:rPr>
            </w:pPr>
            <w:r>
              <w:rPr>
                <w:sz w:val="20"/>
                <w:szCs w:val="20"/>
              </w:rPr>
              <w:t>Can decision-making processes accommodate different ways of seeing and managing resources and if so, how?</w:t>
            </w:r>
          </w:p>
        </w:tc>
      </w:tr>
    </w:tbl>
    <w:p w14:paraId="4BEE22D1" w14:textId="77777777" w:rsidR="003118C5" w:rsidRDefault="003118C5">
      <w:pPr>
        <w:pStyle w:val="Body"/>
        <w:widowControl w:val="0"/>
        <w:spacing w:line="240" w:lineRule="auto"/>
      </w:pPr>
    </w:p>
    <w:p w14:paraId="5A1C52D3" w14:textId="70B30A99" w:rsidR="003118C5" w:rsidRDefault="001F7177" w:rsidP="006D1EC8">
      <w:pPr>
        <w:pStyle w:val="Body"/>
        <w:spacing w:line="480" w:lineRule="auto"/>
      </w:pPr>
      <w:r>
        <w:t xml:space="preserve">Discussions of methodological choices should be encouraged in all research publications, and not only those using qualitative methods (a point we expect the Special Feature authors would support). </w:t>
      </w:r>
      <w:proofErr w:type="spellStart"/>
      <w:r w:rsidRPr="00F220DF">
        <w:rPr>
          <w:lang w:val="de-DE"/>
        </w:rPr>
        <w:t>We</w:t>
      </w:r>
      <w:proofErr w:type="spellEnd"/>
      <w:r>
        <w:t xml:space="preserve"> are cautious about insisting on an exhaustive discussion in publications of all choices made during the research process</w:t>
      </w:r>
      <w:r w:rsidR="006D1EC8">
        <w:t xml:space="preserve"> </w:t>
      </w:r>
      <w:r>
        <w:t xml:space="preserve">given the very tight word limits in some journals. </w:t>
      </w:r>
      <w:r w:rsidRPr="00F220DF">
        <w:rPr>
          <w:lang w:val="de-DE"/>
        </w:rPr>
        <w:t xml:space="preserve">As such, </w:t>
      </w:r>
      <w:proofErr w:type="spellStart"/>
      <w:r w:rsidRPr="00F220DF">
        <w:rPr>
          <w:lang w:val="de-DE"/>
        </w:rPr>
        <w:t>we</w:t>
      </w:r>
      <w:proofErr w:type="spellEnd"/>
      <w:r>
        <w:t xml:space="preserve"> encourage authors to publish details of their methodology in supplementary online material. Providing this information opens opportunities to repeat studies, teach novices and assess the extent to which data can be transferred between contexts, noting here that repetition </w:t>
      </w:r>
      <w:r w:rsidR="00487231">
        <w:t xml:space="preserve">in </w:t>
      </w:r>
      <w:r w:rsidR="006D1EC8">
        <w:t>social science</w:t>
      </w:r>
      <w:r>
        <w:t xml:space="preserve"> is often not motivated by a search for generalizable results, but rather to enable comparative analysis across contexts. Providing methodological details allows others to assess the quality of the </w:t>
      </w:r>
      <w:r w:rsidRPr="00EF48E8">
        <w:t>research</w:t>
      </w:r>
      <w:r w:rsidR="006D1EC8" w:rsidRPr="00EF48E8">
        <w:t xml:space="preserve"> (see </w:t>
      </w:r>
      <w:r w:rsidR="00E17594" w:rsidRPr="003D24CC">
        <w:t xml:space="preserve">Moon et al., 2016, </w:t>
      </w:r>
      <w:r w:rsidR="008F133D" w:rsidRPr="003D24CC">
        <w:t xml:space="preserve">Teel et al., 2017, </w:t>
      </w:r>
      <w:r w:rsidR="009F6801" w:rsidRPr="00EF48E8">
        <w:t xml:space="preserve">Tong et al., </w:t>
      </w:r>
      <w:proofErr w:type="spellStart"/>
      <w:r w:rsidR="009F6801" w:rsidRPr="00EF48E8">
        <w:t>2016b</w:t>
      </w:r>
      <w:proofErr w:type="spellEnd"/>
      <w:r w:rsidR="006D1EC8" w:rsidRPr="00EF48E8">
        <w:t xml:space="preserve"> for discussions on </w:t>
      </w:r>
      <w:r w:rsidR="008F133D">
        <w:t>quality in the</w:t>
      </w:r>
      <w:r w:rsidR="006D1EC8" w:rsidRPr="00EF48E8">
        <w:t xml:space="preserve"> social science</w:t>
      </w:r>
      <w:r w:rsidR="008F133D">
        <w:t>s</w:t>
      </w:r>
      <w:r w:rsidR="009F6801">
        <w:t xml:space="preserve">). </w:t>
      </w:r>
    </w:p>
    <w:p w14:paraId="0BA252D4" w14:textId="77777777" w:rsidR="003118C5" w:rsidRDefault="009F6801">
      <w:pPr>
        <w:pStyle w:val="Heading"/>
        <w:spacing w:line="480" w:lineRule="auto"/>
      </w:pPr>
      <w:r>
        <w:t>4. Research methods</w:t>
      </w:r>
    </w:p>
    <w:p w14:paraId="3D49F3F8" w14:textId="0CF96193" w:rsidR="003118C5" w:rsidRDefault="009F6801">
      <w:pPr>
        <w:pStyle w:val="Body"/>
        <w:spacing w:line="480" w:lineRule="auto"/>
      </w:pPr>
      <w:r>
        <w:t xml:space="preserve">The methodology a researcher adopts for a particular research project influences how they use methods to collect, </w:t>
      </w:r>
      <w:proofErr w:type="spellStart"/>
      <w:r>
        <w:t>analyse</w:t>
      </w:r>
      <w:proofErr w:type="spellEnd"/>
      <w:r>
        <w:t xml:space="preserve"> and interpret data. Imagine the hypothetical situation in which a researcher developed the following research question: How do resource-dependent communities make decisions to reduce the negative social and ecological effects of logging practices while still maintaining a livelihood? The researcher could make explicit their assumption that community members’ perceptions and behaviors will be influenced by history (e.g. previous experience with erosion and reduced water quality from </w:t>
      </w:r>
      <w:r w:rsidR="002462EE">
        <w:t>logging</w:t>
      </w:r>
      <w:r>
        <w:t xml:space="preserve">), livelihoods and/or cultural identity (e.g. ’logging </w:t>
      </w:r>
      <w:r w:rsidR="002462EE">
        <w:t>community’</w:t>
      </w:r>
      <w:r>
        <w:t xml:space="preserve">). As such, the researcher seeks to understand how community members ‘construct’ their knowledge of logging practices on the basis of history and culture, other land uses in the region and the various roles of stakeholders (e.g. other community members, NGOs, the government). This framing reflects a constructionist epistemology (philosophy). The researcher chooses only to ‘understand’, not to change or liberate, and so they adopt an </w:t>
      </w:r>
      <w:proofErr w:type="spellStart"/>
      <w:r>
        <w:t>interpretivist</w:t>
      </w:r>
      <w:proofErr w:type="spellEnd"/>
      <w:r>
        <w:t xml:space="preserve"> </w:t>
      </w:r>
      <w:r w:rsidR="003A2302">
        <w:t xml:space="preserve">(theoretical) </w:t>
      </w:r>
      <w:r>
        <w:t>perspective and conduct an ethnographic inquiry (methodology) that seeks to understand decision-making “against the backdrop of people’s overall worldview or ‘culture’” (</w:t>
      </w:r>
      <w:proofErr w:type="spellStart"/>
      <w:r>
        <w:t>Crotty</w:t>
      </w:r>
      <w:proofErr w:type="spellEnd"/>
      <w:r>
        <w:t xml:space="preserve"> 1998, p. 7). Research participants would be invited to explain how history and culture influences their perceptions and decision-making. Interviews with</w:t>
      </w:r>
      <w:r w:rsidR="00E17594">
        <w:t>, and observations of,</w:t>
      </w:r>
      <w:r>
        <w:t xml:space="preserve"> community members (methods) could be used to generate the qualitative data necessary to answer the research question. </w:t>
      </w:r>
      <w:r w:rsidR="002462EE">
        <w:t xml:space="preserve">While not a specific goal of the research, the </w:t>
      </w:r>
      <w:r>
        <w:t xml:space="preserve">data could be used to support decision-making processes that </w:t>
      </w:r>
      <w:r w:rsidR="00FA5DC8">
        <w:t>engages with</w:t>
      </w:r>
      <w:r>
        <w:t xml:space="preserve"> cultural identity and livelihoods while meeting ecological, social and economic goals.</w:t>
      </w:r>
      <w:r w:rsidR="002462EE">
        <w:t xml:space="preserve"> The research could also reveal the types of people who should be included in any decision-making processes and why.</w:t>
      </w:r>
      <w:r>
        <w:t xml:space="preserve"> This example shows how the construction of a research question is imbued with researchers’ values and assumptions, how perceptions of human communities drive choices of methodologies, and how the choice of methodology influences the types of methods that are used to collect data </w:t>
      </w:r>
      <w:r w:rsidR="002462EE">
        <w:t>and how th</w:t>
      </w:r>
      <w:r w:rsidR="00557FF9">
        <w:t>ose</w:t>
      </w:r>
      <w:r w:rsidR="002462EE">
        <w:t xml:space="preserve"> data can be used</w:t>
      </w:r>
      <w:r>
        <w:t xml:space="preserve">. We have attempted, in presenting this example, to make clear the critical importance and interrelatedness of all of these elements of research design in qualitative social research. </w:t>
      </w:r>
    </w:p>
    <w:p w14:paraId="6C478FE0" w14:textId="3D290AA1" w:rsidR="003118C5" w:rsidRDefault="009F6801">
      <w:pPr>
        <w:pStyle w:val="Body"/>
        <w:spacing w:line="480" w:lineRule="auto"/>
      </w:pPr>
      <w:r>
        <w:t xml:space="preserve">Below, we discuss additional considerations </w:t>
      </w:r>
      <w:r w:rsidRPr="00EF48E8">
        <w:t xml:space="preserve">in </w:t>
      </w:r>
      <w:r w:rsidR="00FF48C4" w:rsidRPr="003D24CC">
        <w:t xml:space="preserve">social science </w:t>
      </w:r>
      <w:r w:rsidRPr="00EF48E8">
        <w:t>research design that we</w:t>
      </w:r>
      <w:r w:rsidRPr="00EF48E8">
        <w:rPr>
          <w:lang w:val="pt-PT"/>
        </w:rPr>
        <w:t xml:space="preserve"> </w:t>
      </w:r>
      <w:proofErr w:type="spellStart"/>
      <w:r w:rsidRPr="00EF48E8">
        <w:rPr>
          <w:lang w:val="pt-PT"/>
        </w:rPr>
        <w:t>conside</w:t>
      </w:r>
      <w:proofErr w:type="spellEnd"/>
      <w:r w:rsidRPr="00EF48E8">
        <w:t xml:space="preserve">r require more description and discussion than was provided across the articles of the Special Feature: bias and </w:t>
      </w:r>
      <w:r w:rsidR="004352E3" w:rsidRPr="00EF48E8">
        <w:t>data collection</w:t>
      </w:r>
      <w:r w:rsidRPr="00EF48E8">
        <w:t xml:space="preserve">. Considering these aspects of research design from alternative philosophical positions is important because of how these choices influence the selected methods, type of data that is generated and how it is interpreted and </w:t>
      </w:r>
      <w:r w:rsidR="00EF48E8">
        <w:t>applied</w:t>
      </w:r>
      <w:r w:rsidRPr="00EF48E8">
        <w:t>.</w:t>
      </w:r>
      <w:r>
        <w:t xml:space="preserve"> </w:t>
      </w:r>
    </w:p>
    <w:p w14:paraId="10676F27" w14:textId="77777777" w:rsidR="003118C5" w:rsidRDefault="009F6801">
      <w:pPr>
        <w:pStyle w:val="Heading2"/>
        <w:spacing w:line="480" w:lineRule="auto"/>
      </w:pPr>
      <w:r>
        <w:t>4.1 ‘Bias’</w:t>
      </w:r>
    </w:p>
    <w:p w14:paraId="70B9A9D8" w14:textId="41A5233D" w:rsidR="003C1CDC" w:rsidRDefault="003C1CDC" w:rsidP="003C1CDC">
      <w:pPr>
        <w:pStyle w:val="Body"/>
        <w:spacing w:line="480" w:lineRule="auto"/>
      </w:pPr>
      <w:r w:rsidRPr="003D24CC">
        <w:t xml:space="preserve">Social scientists often acknowledge an interaction between researcher and research subject/s, and account for it in research design, practice, and interpretation (Barbour, 2008). For some social scientists it is </w:t>
      </w:r>
      <w:r w:rsidRPr="003D24CC">
        <w:rPr>
          <w:i/>
          <w:iCs/>
        </w:rPr>
        <w:t>only</w:t>
      </w:r>
      <w:r w:rsidRPr="003D24CC">
        <w:t xml:space="preserve"> possible to understand the meaning of a phenomenon by embedding oneself within the research context (e.g. Anderson, 2006; Ellis &amp; Flaherty, 1992). </w:t>
      </w:r>
      <w:r w:rsidR="00EF48E8">
        <w:t xml:space="preserve">Social scientist often </w:t>
      </w:r>
      <w:proofErr w:type="gramStart"/>
      <w:r w:rsidR="00EF48E8">
        <w:t>consider</w:t>
      </w:r>
      <w:proofErr w:type="gramEnd"/>
      <w:r w:rsidRPr="003D24CC">
        <w:t xml:space="preserve"> that no clear divide exists between the researcher and the subject/s of the research, a view that is contrary to </w:t>
      </w:r>
      <w:r>
        <w:t>objectivist</w:t>
      </w:r>
      <w:r w:rsidRPr="003D24CC">
        <w:t xml:space="preserve"> scientific philosophy and practice that typically infers a research ‘subject-object dualism’ (</w:t>
      </w:r>
      <w:proofErr w:type="spellStart"/>
      <w:r w:rsidRPr="003D24CC">
        <w:t>Bryman</w:t>
      </w:r>
      <w:proofErr w:type="spellEnd"/>
      <w:r w:rsidRPr="003D24CC">
        <w:t xml:space="preserve">, 2012). At the core of the subject-object dualism is the fundamental question of whether something being observed can be completely detached from whoever is doing the observing. Social scientists do not necessarily assume they could, or would even want to, remain detached from the research subjects (e.g. </w:t>
      </w:r>
      <w:proofErr w:type="spellStart"/>
      <w:r w:rsidRPr="003D24CC">
        <w:t>Drapeau</w:t>
      </w:r>
      <w:proofErr w:type="spellEnd"/>
      <w:r w:rsidRPr="003D24CC">
        <w:t xml:space="preserve">, 2002; Morgan &amp; Drury, 2003). They embrace the fact that the researcher </w:t>
      </w:r>
      <w:r w:rsidRPr="003D24CC">
        <w:rPr>
          <w:i/>
          <w:iCs/>
        </w:rPr>
        <w:t>is</w:t>
      </w:r>
      <w:r w:rsidRPr="003D24CC">
        <w:t xml:space="preserve"> the instrument, because the trade-off of that subjectivity is worth it: it takes a</w:t>
      </w:r>
      <w:r>
        <w:t xml:space="preserve"> human to understand one. To support effective decision-making, social scientists might be willing to accept invitations to become involved in community activities, increasing their ability to observe and understand how people within the community manage resources and the reasons why. These experiences can allow the researcher to observe, for example, how different conservation interventions might affect a particular community in different ways. Experiencing daily life can reveal much about how an intervention may be experienced. Such experiences can also shed light on the roles that communities like to have in decision-making and implementation processes and what outcomes they expect or desire.</w:t>
      </w:r>
    </w:p>
    <w:p w14:paraId="0078C4AF" w14:textId="77777777" w:rsidR="003C1CDC" w:rsidRDefault="003C1CDC" w:rsidP="003C1CDC">
      <w:pPr>
        <w:pStyle w:val="Body"/>
        <w:spacing w:line="480" w:lineRule="auto"/>
      </w:pPr>
      <w:r>
        <w:t>Social scientists often acknowledge that their expertise, background, and theoretical perspectives are critical factors that shape the exploration and interpretation of their research findings (</w:t>
      </w:r>
      <w:proofErr w:type="spellStart"/>
      <w:r>
        <w:t>Babbie</w:t>
      </w:r>
      <w:proofErr w:type="spellEnd"/>
      <w:r>
        <w:t xml:space="preserve">, 2010; Barbour, 2008; </w:t>
      </w:r>
      <w:proofErr w:type="spellStart"/>
      <w:r>
        <w:t>Bryman</w:t>
      </w:r>
      <w:proofErr w:type="spellEnd"/>
      <w:r>
        <w:t>, 2012). Studies of the same phenomenon by researchers from different disciplinary backgrounds yield different insights, thus providing value in different ways (</w:t>
      </w:r>
      <w:proofErr w:type="spellStart"/>
      <w:r>
        <w:t>Easterby</w:t>
      </w:r>
      <w:proofErr w:type="spellEnd"/>
      <w:r>
        <w:t xml:space="preserve">-Smith et al., 2008). Subjectivities of the researcher are not necessarily understood as something to be controlled for in the way experimental bias may be treated. Instead, the unique value brought to the research process by the researcher (e.g. Fontana &amp; Frey, 2005) must be </w:t>
      </w:r>
      <w:proofErr w:type="spellStart"/>
      <w:r>
        <w:t>recognised</w:t>
      </w:r>
      <w:proofErr w:type="spellEnd"/>
      <w:r>
        <w:t xml:space="preserve"> and explicated throughout the research, from the methodological design through to communication of the findings (</w:t>
      </w:r>
      <w:proofErr w:type="spellStart"/>
      <w:r>
        <w:t>Heyink</w:t>
      </w:r>
      <w:proofErr w:type="spellEnd"/>
      <w:r>
        <w:t xml:space="preserve"> &amp; </w:t>
      </w:r>
      <w:proofErr w:type="spellStart"/>
      <w:r>
        <w:t>Tymstra</w:t>
      </w:r>
      <w:proofErr w:type="spellEnd"/>
      <w:r>
        <w:t xml:space="preserve">, 1993; Patton, 2002; </w:t>
      </w:r>
      <w:proofErr w:type="spellStart"/>
      <w:r>
        <w:t>Babbie</w:t>
      </w:r>
      <w:proofErr w:type="spellEnd"/>
      <w:r>
        <w:t>, 2010).</w:t>
      </w:r>
    </w:p>
    <w:p w14:paraId="6B1FD87F" w14:textId="7359DC6D" w:rsidR="003118C5" w:rsidRDefault="009F6801">
      <w:pPr>
        <w:pStyle w:val="Body"/>
        <w:spacing w:line="480" w:lineRule="auto"/>
      </w:pPr>
      <w:r>
        <w:t xml:space="preserve">Across the Special Feature, we observed a number of statements that appear to view </w:t>
      </w:r>
      <w:proofErr w:type="spellStart"/>
      <w:r w:rsidRPr="00F220DF">
        <w:rPr>
          <w:lang w:val="es-ES_tradnl"/>
        </w:rPr>
        <w:t>bias</w:t>
      </w:r>
      <w:proofErr w:type="spellEnd"/>
      <w:r>
        <w:t xml:space="preserve"> as something problematic that should</w:t>
      </w:r>
      <w:r w:rsidR="00F218A0">
        <w:t xml:space="preserve"> necessarily</w:t>
      </w:r>
      <w:r>
        <w:t xml:space="preserve"> be controlled for. For instance, “…check that the interview length and language are suitable for the target population, and that useful results can be obtained </w:t>
      </w:r>
      <w:r>
        <w:rPr>
          <w:i/>
          <w:iCs/>
        </w:rPr>
        <w:t>without bias</w:t>
      </w:r>
      <w:r>
        <w:t xml:space="preserve">” (Sutherland et al., p. 8, emphasis added);  “… facilitation is central to </w:t>
      </w:r>
      <w:r>
        <w:rPr>
          <w:i/>
          <w:iCs/>
        </w:rPr>
        <w:t>unbiased</w:t>
      </w:r>
      <w:r w:rsidRPr="00F220DF">
        <w:rPr>
          <w:lang w:val="fr-FR"/>
        </w:rPr>
        <w:t xml:space="preserve"> data collection</w:t>
      </w:r>
      <w:r>
        <w:t>” (</w:t>
      </w:r>
      <w:proofErr w:type="spellStart"/>
      <w:r>
        <w:t>Nyumba</w:t>
      </w:r>
      <w:proofErr w:type="spellEnd"/>
      <w:r>
        <w:t xml:space="preserve"> et al., p. 29, emphasis added)”; and “[NGT] method enables to reach consensus</w:t>
      </w:r>
      <w:r w:rsidR="002462EE">
        <w:t xml:space="preserve"> </w:t>
      </w:r>
      <w:r>
        <w:t xml:space="preserve">on complex issues, and </w:t>
      </w:r>
      <w:r>
        <w:rPr>
          <w:i/>
          <w:iCs/>
        </w:rPr>
        <w:t>minimizes researcher bias</w:t>
      </w:r>
      <w:r>
        <w:t>” (</w:t>
      </w:r>
      <w:proofErr w:type="spellStart"/>
      <w:r>
        <w:t>Hugé</w:t>
      </w:r>
      <w:proofErr w:type="spellEnd"/>
      <w:r>
        <w:t xml:space="preserve"> et al, 2018, emphasis added). </w:t>
      </w:r>
    </w:p>
    <w:p w14:paraId="21EA9417" w14:textId="5CFC8CD0" w:rsidR="00F04F7B" w:rsidRDefault="0082344E">
      <w:pPr>
        <w:pStyle w:val="Body"/>
        <w:spacing w:line="480" w:lineRule="auto"/>
      </w:pPr>
      <w:r>
        <w:t xml:space="preserve">While terminology differs, it can be helpful to differentiate between the inevitable ‘subjectivity’ of research, which we may </w:t>
      </w:r>
      <w:proofErr w:type="spellStart"/>
      <w:r>
        <w:t>recognise</w:t>
      </w:r>
      <w:proofErr w:type="spellEnd"/>
      <w:r>
        <w:t>, reflect on, and build strategies to challenge; and ‘</w:t>
      </w:r>
      <w:proofErr w:type="spellStart"/>
      <w:r w:rsidRPr="00F220DF">
        <w:rPr>
          <w:lang w:val="es-ES_tradnl"/>
        </w:rPr>
        <w:t>bias</w:t>
      </w:r>
      <w:proofErr w:type="spellEnd"/>
      <w:r>
        <w:t xml:space="preserve">’ that is </w:t>
      </w:r>
      <w:proofErr w:type="spellStart"/>
      <w:r>
        <w:t>unrecognised</w:t>
      </w:r>
      <w:proofErr w:type="spellEnd"/>
      <w:r>
        <w:t xml:space="preserve"> and thus cannot be accounted for. Different strategies can be used to reduce subjectivity and </w:t>
      </w:r>
      <w:proofErr w:type="spellStart"/>
      <w:r>
        <w:t>minimise</w:t>
      </w:r>
      <w:proofErr w:type="spellEnd"/>
      <w:r>
        <w:t xml:space="preserve"> the risk of bias, such as member checking (asking participants for feedback on preliminary findings), and many researchers include reflexive practices in their research design. Reflexivity (i.e. a self-assessment of subjectivity) is essential for producing high quality qualitative </w:t>
      </w:r>
      <w:r w:rsidR="00EF48E8">
        <w:t>data</w:t>
      </w:r>
      <w:r>
        <w:t xml:space="preserve"> that does not seek to control the social complexity of a given setting, but instead accepts it as an inherent part of the research process, including interpretation and communication of findings (Creswell &amp; Miller, 2000). At times, reflexivity can involve allowing research participants (who are usually the subjects of the research) to influence the lines of inquiry and research approach (e.g. community-based participatory research) (</w:t>
      </w:r>
      <w:proofErr w:type="spellStart"/>
      <w:r>
        <w:t>Guba</w:t>
      </w:r>
      <w:proofErr w:type="spellEnd"/>
      <w:r>
        <w:t xml:space="preserve"> &amp; Lincoln, 2005; Barbour, 2008).</w:t>
      </w:r>
    </w:p>
    <w:p w14:paraId="3E56087E" w14:textId="0923C95C" w:rsidR="003118C5" w:rsidRDefault="009F6801">
      <w:pPr>
        <w:pStyle w:val="Heading2"/>
        <w:spacing w:line="480" w:lineRule="auto"/>
      </w:pPr>
      <w:r>
        <w:t>4.</w:t>
      </w:r>
      <w:r w:rsidR="0082344E">
        <w:t>2</w:t>
      </w:r>
      <w:r>
        <w:t xml:space="preserve"> </w:t>
      </w:r>
      <w:r w:rsidR="004352E3">
        <w:t>Data collection</w:t>
      </w:r>
    </w:p>
    <w:p w14:paraId="62C69D99" w14:textId="3C3FED7F" w:rsidR="005E1BDB" w:rsidRDefault="005E1BDB" w:rsidP="005E1BDB">
      <w:pPr>
        <w:pStyle w:val="Body"/>
        <w:spacing w:line="480" w:lineRule="auto"/>
      </w:pPr>
      <w:r>
        <w:t xml:space="preserve">As </w:t>
      </w:r>
      <w:r w:rsidR="0082344E">
        <w:t>noted in the introduction</w:t>
      </w:r>
      <w:r>
        <w:t xml:space="preserve">, </w:t>
      </w:r>
      <w:proofErr w:type="spellStart"/>
      <w:r>
        <w:t>Biesta</w:t>
      </w:r>
      <w:proofErr w:type="spellEnd"/>
      <w:r>
        <w:t xml:space="preserve"> (2010, p. 98) argues that the “notions of qualitative research and qua</w:t>
      </w:r>
      <w:r w:rsidR="0082344E">
        <w:t xml:space="preserve">ntitative </w:t>
      </w:r>
      <w:r>
        <w:t>research actually stand for a whole cluster of assumptions”</w:t>
      </w:r>
      <w:r w:rsidR="0082344E">
        <w:t xml:space="preserve">, </w:t>
      </w:r>
      <w:r w:rsidR="003E0705">
        <w:t>and that</w:t>
      </w:r>
      <w:r w:rsidR="003C1CDC">
        <w:t xml:space="preserve"> by employing</w:t>
      </w:r>
      <w:r w:rsidR="003E0705">
        <w:t xml:space="preserve"> this </w:t>
      </w:r>
      <w:r w:rsidR="0082344E">
        <w:t>distinction</w:t>
      </w:r>
      <w:r w:rsidR="003C1CDC">
        <w:t xml:space="preserve"> we</w:t>
      </w:r>
      <w:r w:rsidR="0082344E">
        <w:t xml:space="preserve"> can </w:t>
      </w:r>
      <w:r w:rsidR="003E0705">
        <w:t>“obscure those aspects that really matter in the discussion and can even create quasi-problems and oppositions, for example, when researchers who use numbers and researchers who use text assume that they have nothing to share, even if their research is actually informed by similar assumptions about the nature of social reality or driven by similar ambitions about knowledge creation”. In other words, si</w:t>
      </w:r>
      <w:r>
        <w:t>mply describing methods as ‘qualitative’ does not tell us anything about the purposes of the research or the process of research design.</w:t>
      </w:r>
      <w:r w:rsidRPr="005E1BDB">
        <w:t xml:space="preserve"> </w:t>
      </w:r>
      <w:r>
        <w:t xml:space="preserve">In the Special Feature, for example, the discussion of </w:t>
      </w:r>
      <w:r>
        <w:rPr>
          <w:shd w:val="clear" w:color="auto" w:fill="FFFFFF"/>
        </w:rPr>
        <w:t xml:space="preserve">multi-criteria decision analysis (MCDA) </w:t>
      </w:r>
      <w:r>
        <w:t xml:space="preserve">introduced views that described this method as qualitative research in a problematic way. </w:t>
      </w:r>
      <w:proofErr w:type="spellStart"/>
      <w:r>
        <w:t>Esmail</w:t>
      </w:r>
      <w:proofErr w:type="spellEnd"/>
      <w:r>
        <w:t xml:space="preserve"> et al. (2018, p. 43) argued that MDCA uses “explicitly defined criteria that account for the most relevant aspects in a decision making process” allowing for “testing of robustness” in a “transparent and replicable fashion”, where “a successful MCDA application should </w:t>
      </w:r>
      <w:r>
        <w:rPr>
          <w:i/>
          <w:iCs/>
        </w:rPr>
        <w:t>always</w:t>
      </w:r>
      <w:r>
        <w:t xml:space="preserve"> include a sensitivity analysis to examine the </w:t>
      </w:r>
      <w:r>
        <w:rPr>
          <w:i/>
          <w:iCs/>
        </w:rPr>
        <w:t xml:space="preserve">trustworthiness </w:t>
      </w:r>
      <w:r>
        <w:t xml:space="preserve">and </w:t>
      </w:r>
      <w:r>
        <w:rPr>
          <w:i/>
          <w:iCs/>
        </w:rPr>
        <w:t>robustness</w:t>
      </w:r>
      <w:r>
        <w:t xml:space="preserve"> of its conclusions” (</w:t>
      </w:r>
      <w:proofErr w:type="spellStart"/>
      <w:r>
        <w:t>Esmail</w:t>
      </w:r>
      <w:proofErr w:type="spellEnd"/>
      <w:r>
        <w:t xml:space="preserve"> et al., 2018, p. 51, emphasis added). </w:t>
      </w:r>
      <w:r>
        <w:rPr>
          <w:shd w:val="clear" w:color="auto" w:fill="FFFFFF"/>
        </w:rPr>
        <w:t xml:space="preserve">Lacking across the </w:t>
      </w:r>
      <w:r w:rsidRPr="00A8179B">
        <w:rPr>
          <w:shd w:val="clear" w:color="auto" w:fill="FFFFFF"/>
          <w:lang w:val="en-GB"/>
        </w:rPr>
        <w:t xml:space="preserve">articles </w:t>
      </w:r>
      <w:r>
        <w:rPr>
          <w:shd w:val="clear" w:color="auto" w:fill="FFFFFF"/>
        </w:rPr>
        <w:t>was a discussion of the rationales for method selection that can assist in understanding why different types of methods are used and the types of data (e.g. quantitative and/or qualitative) they generate.</w:t>
      </w:r>
    </w:p>
    <w:p w14:paraId="0081AA71" w14:textId="55867F5A" w:rsidR="003118C5" w:rsidRDefault="009F6801">
      <w:pPr>
        <w:pStyle w:val="Body"/>
        <w:spacing w:line="480" w:lineRule="auto"/>
      </w:pPr>
      <w:r>
        <w:t xml:space="preserve">What seemed apparent to us when reading such perspectives was that most of the methods reviewed by the authors in the Special Feature were selected because they have the potential to </w:t>
      </w:r>
      <w:r>
        <w:rPr>
          <w:i/>
          <w:iCs/>
        </w:rPr>
        <w:t xml:space="preserve">reduce qualitative data in some way, </w:t>
      </w:r>
      <w:r>
        <w:t xml:space="preserve">indicating a desire to find ‘the answer’, ideally a numerical one, rather than to explore the problem. For example, “Focus group discussion provides depth and insight, but </w:t>
      </w:r>
      <w:r>
        <w:rPr>
          <w:i/>
          <w:iCs/>
        </w:rPr>
        <w:t>cannot produce useful numerical</w:t>
      </w:r>
      <w:r>
        <w:t xml:space="preserve"> </w:t>
      </w:r>
      <w:r>
        <w:rPr>
          <w:i/>
          <w:iCs/>
        </w:rPr>
        <w:t>results</w:t>
      </w:r>
      <w:r>
        <w:t>” (</w:t>
      </w:r>
      <w:proofErr w:type="spellStart"/>
      <w:r>
        <w:t>Nyumba</w:t>
      </w:r>
      <w:proofErr w:type="spellEnd"/>
      <w:r>
        <w:t xml:space="preserve"> et al., 2018, p. 28, emphasis added); and “Documenting the knowledge of practitioners is a </w:t>
      </w:r>
      <w:r>
        <w:rPr>
          <w:i/>
          <w:iCs/>
        </w:rPr>
        <w:t>challenge</w:t>
      </w:r>
      <w:r>
        <w:t xml:space="preserve"> (let alone </w:t>
      </w:r>
      <w:r>
        <w:rPr>
          <w:i/>
          <w:iCs/>
        </w:rPr>
        <w:t>quantifying</w:t>
      </w:r>
      <w:r>
        <w:t xml:space="preserve"> it)” (Mukherjee et al., 2018, p. 56, emphasis added). MCDA is presented as ‘</w:t>
      </w:r>
      <w:r w:rsidRPr="004F2C97">
        <w:rPr>
          <w:lang w:val="es-ES_tradnl"/>
        </w:rPr>
        <w:t>replicable</w:t>
      </w:r>
      <w:r>
        <w:t xml:space="preserve">’ despite the hidden subjectivities in associated scoring or ranking processes in complex settings. </w:t>
      </w:r>
      <w:r w:rsidR="003E0705">
        <w:t>Social scientists</w:t>
      </w:r>
      <w:r w:rsidR="005E1BDB">
        <w:t xml:space="preserve"> </w:t>
      </w:r>
      <w:r>
        <w:t>often</w:t>
      </w:r>
      <w:r w:rsidR="003E0705">
        <w:t xml:space="preserve"> collect qualitative data to </w:t>
      </w:r>
      <w:r>
        <w:t>develop insights and create theories, but these outcomes are only possible where the chosen methodology and methods create the space for the unexpected to both emerge and be recogni</w:t>
      </w:r>
      <w:r w:rsidR="00D903F3">
        <w:t>z</w:t>
      </w:r>
      <w:r>
        <w:t>ed. We acknowledge that these perspectives of qualitative data are not restricted to the articles of the Special Feature (e.g. Sullivan, 2011) or to the field of conservation (</w:t>
      </w:r>
      <w:proofErr w:type="spellStart"/>
      <w:r>
        <w:t>Sherren</w:t>
      </w:r>
      <w:proofErr w:type="spellEnd"/>
      <w:r>
        <w:t xml:space="preserve"> and </w:t>
      </w:r>
      <w:proofErr w:type="spellStart"/>
      <w:r>
        <w:t>Darnhofer</w:t>
      </w:r>
      <w:proofErr w:type="spellEnd"/>
      <w:r>
        <w:t xml:space="preserve">, </w:t>
      </w:r>
      <w:r w:rsidR="00561CC8">
        <w:t>2018</w:t>
      </w:r>
      <w:r>
        <w:t>)</w:t>
      </w:r>
      <w:r w:rsidR="003E0705">
        <w:t xml:space="preserve"> but consider that a deeper conversation needs to take place about what we mean by ‘qualitative methods’.</w:t>
      </w:r>
    </w:p>
    <w:p w14:paraId="0974503A" w14:textId="23D092DD" w:rsidR="003118C5" w:rsidRDefault="009F6801">
      <w:pPr>
        <w:pStyle w:val="Heading"/>
        <w:spacing w:line="480" w:lineRule="auto"/>
      </w:pPr>
      <w:r>
        <w:t xml:space="preserve">5. </w:t>
      </w:r>
      <w:r w:rsidR="00512CE3">
        <w:t>Clarifying our engagement with social research</w:t>
      </w:r>
      <w:r>
        <w:t xml:space="preserve"> in ecology and conservation science</w:t>
      </w:r>
    </w:p>
    <w:p w14:paraId="179E1901" w14:textId="518D5007" w:rsidR="003118C5" w:rsidRDefault="009F6801">
      <w:pPr>
        <w:pStyle w:val="Body"/>
        <w:spacing w:line="480" w:lineRule="auto"/>
      </w:pPr>
      <w:r>
        <w:t>We believe that a</w:t>
      </w:r>
      <w:r w:rsidR="007712FC">
        <w:t>n</w:t>
      </w:r>
      <w:r>
        <w:t xml:space="preserve"> expanded understanding of </w:t>
      </w:r>
      <w:r w:rsidR="003E0705">
        <w:t>social science research</w:t>
      </w:r>
      <w:r>
        <w:t xml:space="preserve"> is necessary to </w:t>
      </w:r>
      <w:r w:rsidR="00512CE3">
        <w:t xml:space="preserve">achieve conservation outcomes across the </w:t>
      </w:r>
      <w:r>
        <w:t xml:space="preserve">different stages of decision-making </w:t>
      </w:r>
      <w:r w:rsidR="00512CE3">
        <w:t>processes and within different decision-making contexts</w:t>
      </w:r>
      <w:r>
        <w:t xml:space="preserve">. </w:t>
      </w:r>
      <w:r w:rsidR="004F2C97">
        <w:t xml:space="preserve">We support the efforts of the authors of the Special Feature in bringing increased attention to the value of </w:t>
      </w:r>
      <w:r w:rsidR="003E0705">
        <w:t>social science</w:t>
      </w:r>
      <w:r w:rsidR="004F2C97">
        <w:t xml:space="preserve"> research, although we stress that </w:t>
      </w:r>
      <w:r w:rsidR="003E0705">
        <w:t>it</w:t>
      </w:r>
      <w:r>
        <w:t xml:space="preserve"> offers more than a means to arrive at a (supposed) consensus, or set of decisions. First, </w:t>
      </w:r>
      <w:r w:rsidR="003E0705">
        <w:t xml:space="preserve">social science methods can generate qualitative data to derive </w:t>
      </w:r>
      <w:r>
        <w:t xml:space="preserve">insights into the social context within which conservation occurs, the perspectives of </w:t>
      </w:r>
      <w:r w:rsidR="00512CE3">
        <w:t xml:space="preserve">different </w:t>
      </w:r>
      <w:r>
        <w:t xml:space="preserve">people, the perceptions of stakeholders on past conservation governance practices, or the factors that </w:t>
      </w:r>
      <w:r w:rsidR="00512CE3">
        <w:t xml:space="preserve">enable </w:t>
      </w:r>
      <w:r>
        <w:t>or undermine the capacity of some communities to support conservation. In this way, the people involved in conservation problems can be understood, and potentially leveraged as experts, rather than immediately conceptualized as ‘problems to solve’ (</w:t>
      </w:r>
      <w:proofErr w:type="spellStart"/>
      <w:r>
        <w:t>Sherren</w:t>
      </w:r>
      <w:proofErr w:type="spellEnd"/>
      <w:r>
        <w:t xml:space="preserve"> and </w:t>
      </w:r>
      <w:proofErr w:type="spellStart"/>
      <w:r>
        <w:t>Darnhofer</w:t>
      </w:r>
      <w:proofErr w:type="spellEnd"/>
      <w:r>
        <w:t xml:space="preserve">, </w:t>
      </w:r>
      <w:r w:rsidR="00A06619">
        <w:t>2018</w:t>
      </w:r>
      <w:r>
        <w:t xml:space="preserve">). Second, </w:t>
      </w:r>
      <w:r w:rsidR="003E0705">
        <w:t>social science methods that generate qualitative data</w:t>
      </w:r>
      <w:r>
        <w:t xml:space="preserve"> can be critical in understanding conservation decision-making processes. For example, one might examine questions such as</w:t>
      </w:r>
      <w:r w:rsidR="00561CC8">
        <w:t>:</w:t>
      </w:r>
      <w:r>
        <w:t xml:space="preserve"> where does conflict exist</w:t>
      </w:r>
      <w:proofErr w:type="gramStart"/>
      <w:r w:rsidR="003E0705">
        <w:t>?</w:t>
      </w:r>
      <w:r w:rsidR="00561CC8">
        <w:t>;</w:t>
      </w:r>
      <w:proofErr w:type="gramEnd"/>
      <w:r w:rsidR="00561CC8">
        <w:t xml:space="preserve"> </w:t>
      </w:r>
      <w:r>
        <w:t xml:space="preserve">how might </w:t>
      </w:r>
      <w:r w:rsidR="004F2C97">
        <w:t xml:space="preserve">conflict </w:t>
      </w:r>
      <w:r>
        <w:t>be resolved</w:t>
      </w:r>
      <w:r w:rsidR="003E0705">
        <w:t>?</w:t>
      </w:r>
      <w:r>
        <w:t xml:space="preserve">; </w:t>
      </w:r>
      <w:r w:rsidR="00561CC8">
        <w:t>why is scientific evidence used (or not)</w:t>
      </w:r>
      <w:r w:rsidR="003E0705">
        <w:t>?</w:t>
      </w:r>
      <w:r w:rsidR="00561CC8">
        <w:t xml:space="preserve">; </w:t>
      </w:r>
      <w:r w:rsidR="00752A5D">
        <w:t>who is considered an ‘expert’</w:t>
      </w:r>
      <w:r w:rsidR="003E0705">
        <w:t>?</w:t>
      </w:r>
      <w:r w:rsidR="00752A5D">
        <w:t xml:space="preserve">; </w:t>
      </w:r>
      <w:r>
        <w:t xml:space="preserve">why are </w:t>
      </w:r>
      <w:r w:rsidR="00517F83">
        <w:t>policies</w:t>
      </w:r>
      <w:r>
        <w:t xml:space="preserve"> not always implemented as intended</w:t>
      </w:r>
      <w:r w:rsidR="003E0705">
        <w:t>?</w:t>
      </w:r>
      <w:r>
        <w:t xml:space="preserve">; </w:t>
      </w:r>
      <w:r w:rsidR="00752A5D">
        <w:t xml:space="preserve">and, </w:t>
      </w:r>
      <w:r>
        <w:t xml:space="preserve">how are </w:t>
      </w:r>
      <w:proofErr w:type="spellStart"/>
      <w:r>
        <w:t>behaviours</w:t>
      </w:r>
      <w:proofErr w:type="spellEnd"/>
      <w:r>
        <w:t xml:space="preserve"> expected to chang</w:t>
      </w:r>
      <w:r w:rsidR="00752A5D">
        <w:t>e</w:t>
      </w:r>
      <w:r w:rsidR="003E0705">
        <w:t xml:space="preserve"> and why</w:t>
      </w:r>
      <w:r>
        <w:t xml:space="preserve">? Third, </w:t>
      </w:r>
      <w:r w:rsidR="003E0705">
        <w:t xml:space="preserve">social science </w:t>
      </w:r>
      <w:r>
        <w:t xml:space="preserve">research might be employed to help individuals or groups arrive at a decision (as discussed in the Special Feature) while also examining questions related to ‘why’ (the rationale for decisions) and ‘how’ (the way that decisions </w:t>
      </w:r>
      <w:r w:rsidRPr="003D24CC">
        <w:rPr>
          <w:i/>
        </w:rPr>
        <w:t>should</w:t>
      </w:r>
      <w:r>
        <w:t xml:space="preserve"> be made and actions pursued)’ of decision-making for conservation.  </w:t>
      </w:r>
    </w:p>
    <w:p w14:paraId="2731FF66" w14:textId="7AB32236" w:rsidR="003118C5" w:rsidRDefault="003E0705">
      <w:pPr>
        <w:pStyle w:val="Body"/>
        <w:spacing w:line="480" w:lineRule="auto"/>
      </w:pPr>
      <w:r>
        <w:t>Social science, as a broad discipline,</w:t>
      </w:r>
      <w:r w:rsidR="009F6801">
        <w:t xml:space="preserve"> offers a rich set of philosophies, methodologies and methods that can help us to understand the social context of conservation, to interrogate solutions and decision-making processes behind conservation, and to provide evidence that will guide decision-making processes. Important assumptions underpin each choice that is made, and consideration must be given to these assumptions in any research design. We strongly encourage readers to engage with a number of philosophical, theoretical, methodological and methods-related questions during the process of research design (Table </w:t>
      </w:r>
      <w:r w:rsidR="00D903F3">
        <w:t>2</w:t>
      </w:r>
      <w:r w:rsidR="009F6801">
        <w:t xml:space="preserve">), which will provide them with a clearer understanding of the role and value of </w:t>
      </w:r>
      <w:r>
        <w:t xml:space="preserve">social science </w:t>
      </w:r>
      <w:r w:rsidR="009F6801">
        <w:t>research, its applications and why it forms a legitimate approach to knowledge generation. A deeper understanding of the process of research design will contribute to high quality social</w:t>
      </w:r>
      <w:r>
        <w:t xml:space="preserve"> science</w:t>
      </w:r>
      <w:r w:rsidR="009F6801">
        <w:t xml:space="preserve"> research that has greater potential to generate knowledge that can contribute to just decision-making in conservation and ultimately, the attainment of conservation outcomes.</w:t>
      </w:r>
    </w:p>
    <w:p w14:paraId="11903886" w14:textId="04A0FDD6" w:rsidR="003118C5" w:rsidRDefault="009F6801">
      <w:pPr>
        <w:pStyle w:val="Body"/>
        <w:spacing w:line="480" w:lineRule="auto"/>
      </w:pPr>
      <w:r w:rsidRPr="004F2C97">
        <w:rPr>
          <w:b/>
          <w:bCs/>
          <w:lang w:val="fr-FR"/>
        </w:rPr>
        <w:t xml:space="preserve">Table </w:t>
      </w:r>
      <w:r>
        <w:rPr>
          <w:b/>
          <w:bCs/>
        </w:rPr>
        <w:t>2:</w:t>
      </w:r>
      <w:r>
        <w:t xml:space="preserve"> Qualitative research design criteria for conservation decision-making (adapted from Moon et </w:t>
      </w:r>
      <w:proofErr w:type="gramStart"/>
      <w:r>
        <w:t>al.,</w:t>
      </w:r>
      <w:proofErr w:type="gramEnd"/>
      <w:r>
        <w:t xml:space="preserve"> 2016).</w:t>
      </w:r>
    </w:p>
    <w:tbl>
      <w:tblPr>
        <w:tblW w:w="8516"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1384"/>
        <w:gridCol w:w="7132"/>
      </w:tblGrid>
      <w:tr w:rsidR="003118C5" w14:paraId="3F65B85F" w14:textId="77777777">
        <w:trPr>
          <w:trHeight w:val="1110"/>
        </w:trPr>
        <w:tc>
          <w:tcPr>
            <w:tcW w:w="1384" w:type="dxa"/>
            <w:tcBorders>
              <w:top w:val="single" w:sz="4" w:space="0" w:color="000000"/>
              <w:left w:val="nil"/>
              <w:bottom w:val="single" w:sz="4" w:space="0" w:color="000000"/>
              <w:right w:val="single" w:sz="4" w:space="0" w:color="000000"/>
            </w:tcBorders>
            <w:shd w:val="clear" w:color="auto" w:fill="auto"/>
            <w:tcMar>
              <w:top w:w="80" w:type="dxa"/>
              <w:left w:w="80" w:type="dxa"/>
              <w:bottom w:w="80" w:type="dxa"/>
              <w:right w:w="80" w:type="dxa"/>
            </w:tcMar>
          </w:tcPr>
          <w:p w14:paraId="64D51A9C" w14:textId="77777777" w:rsidR="003118C5" w:rsidRDefault="009F6801">
            <w:pPr>
              <w:pStyle w:val="Body"/>
              <w:spacing w:after="0" w:line="480" w:lineRule="auto"/>
            </w:pPr>
            <w:r>
              <w:rPr>
                <w:b/>
                <w:bCs/>
                <w:sz w:val="20"/>
                <w:szCs w:val="20"/>
              </w:rPr>
              <w:t>Research design criteria</w:t>
            </w:r>
          </w:p>
        </w:tc>
        <w:tc>
          <w:tcPr>
            <w:tcW w:w="7132" w:type="dxa"/>
            <w:tcBorders>
              <w:top w:val="single" w:sz="4" w:space="0" w:color="000000"/>
              <w:left w:val="single" w:sz="4" w:space="0" w:color="000000"/>
              <w:bottom w:val="single" w:sz="4" w:space="0" w:color="000000"/>
              <w:right w:val="nil"/>
            </w:tcBorders>
            <w:shd w:val="clear" w:color="auto" w:fill="auto"/>
            <w:tcMar>
              <w:top w:w="80" w:type="dxa"/>
              <w:left w:w="80" w:type="dxa"/>
              <w:bottom w:w="80" w:type="dxa"/>
              <w:right w:w="80" w:type="dxa"/>
            </w:tcMar>
          </w:tcPr>
          <w:p w14:paraId="5E6AB9C6" w14:textId="77777777" w:rsidR="003118C5" w:rsidRDefault="009F6801">
            <w:pPr>
              <w:pStyle w:val="Body"/>
              <w:spacing w:after="0" w:line="480" w:lineRule="auto"/>
            </w:pPr>
            <w:r>
              <w:rPr>
                <w:b/>
                <w:bCs/>
                <w:sz w:val="20"/>
                <w:szCs w:val="20"/>
              </w:rPr>
              <w:t>Questions to ask</w:t>
            </w:r>
          </w:p>
        </w:tc>
      </w:tr>
      <w:tr w:rsidR="003118C5" w14:paraId="2F8C20B9" w14:textId="77777777">
        <w:trPr>
          <w:trHeight w:val="1110"/>
        </w:trPr>
        <w:tc>
          <w:tcPr>
            <w:tcW w:w="1384" w:type="dxa"/>
            <w:tcBorders>
              <w:top w:val="single" w:sz="4" w:space="0" w:color="000000"/>
              <w:left w:val="nil"/>
              <w:bottom w:val="single" w:sz="4" w:space="0" w:color="000000"/>
              <w:right w:val="single" w:sz="4" w:space="0" w:color="000000"/>
            </w:tcBorders>
            <w:shd w:val="clear" w:color="auto" w:fill="auto"/>
            <w:tcMar>
              <w:top w:w="80" w:type="dxa"/>
              <w:left w:w="80" w:type="dxa"/>
              <w:bottom w:w="80" w:type="dxa"/>
              <w:right w:w="80" w:type="dxa"/>
            </w:tcMar>
          </w:tcPr>
          <w:p w14:paraId="3C5EED61" w14:textId="77777777" w:rsidR="003118C5" w:rsidRDefault="009F6801">
            <w:pPr>
              <w:pStyle w:val="Body"/>
              <w:spacing w:after="0" w:line="480" w:lineRule="auto"/>
            </w:pPr>
            <w:r>
              <w:rPr>
                <w:sz w:val="20"/>
                <w:szCs w:val="20"/>
              </w:rPr>
              <w:t>Philosophy</w:t>
            </w:r>
          </w:p>
        </w:tc>
        <w:tc>
          <w:tcPr>
            <w:tcW w:w="7132" w:type="dxa"/>
            <w:tcBorders>
              <w:top w:val="single" w:sz="4" w:space="0" w:color="000000"/>
              <w:left w:val="single" w:sz="4" w:space="0" w:color="000000"/>
              <w:bottom w:val="single" w:sz="4" w:space="0" w:color="000000"/>
              <w:right w:val="nil"/>
            </w:tcBorders>
            <w:shd w:val="clear" w:color="auto" w:fill="auto"/>
            <w:tcMar>
              <w:top w:w="80" w:type="dxa"/>
              <w:left w:w="80" w:type="dxa"/>
              <w:bottom w:w="80" w:type="dxa"/>
              <w:right w:w="80" w:type="dxa"/>
            </w:tcMar>
          </w:tcPr>
          <w:p w14:paraId="20C5660D" w14:textId="77777777" w:rsidR="003118C5" w:rsidRDefault="009F6801">
            <w:pPr>
              <w:pStyle w:val="ListParagraph"/>
              <w:widowControl w:val="0"/>
              <w:numPr>
                <w:ilvl w:val="0"/>
                <w:numId w:val="3"/>
              </w:numPr>
              <w:spacing w:after="0" w:line="480" w:lineRule="auto"/>
              <w:rPr>
                <w:sz w:val="20"/>
                <w:szCs w:val="20"/>
              </w:rPr>
            </w:pPr>
            <w:r>
              <w:rPr>
                <w:sz w:val="20"/>
                <w:szCs w:val="20"/>
              </w:rPr>
              <w:t>What ontology and epistemology is underpinning the research?</w:t>
            </w:r>
          </w:p>
          <w:p w14:paraId="4FE8C2F5" w14:textId="77777777" w:rsidR="003118C5" w:rsidRDefault="009F6801">
            <w:pPr>
              <w:pStyle w:val="ListParagraph"/>
              <w:widowControl w:val="0"/>
              <w:numPr>
                <w:ilvl w:val="0"/>
                <w:numId w:val="3"/>
              </w:numPr>
              <w:spacing w:after="0" w:line="480" w:lineRule="auto"/>
              <w:rPr>
                <w:sz w:val="20"/>
                <w:szCs w:val="20"/>
              </w:rPr>
            </w:pPr>
            <w:r>
              <w:rPr>
                <w:sz w:val="20"/>
                <w:szCs w:val="20"/>
              </w:rPr>
              <w:t>What assumptions of the researcher’s philosophy are embedded in the research design?</w:t>
            </w:r>
          </w:p>
        </w:tc>
      </w:tr>
      <w:tr w:rsidR="003118C5" w14:paraId="7F75AD06" w14:textId="77777777">
        <w:trPr>
          <w:trHeight w:val="1110"/>
        </w:trPr>
        <w:tc>
          <w:tcPr>
            <w:tcW w:w="1384" w:type="dxa"/>
            <w:tcBorders>
              <w:top w:val="single" w:sz="4" w:space="0" w:color="000000"/>
              <w:left w:val="nil"/>
              <w:bottom w:val="single" w:sz="4" w:space="0" w:color="000000"/>
              <w:right w:val="single" w:sz="4" w:space="0" w:color="000000"/>
            </w:tcBorders>
            <w:shd w:val="clear" w:color="auto" w:fill="auto"/>
            <w:tcMar>
              <w:top w:w="80" w:type="dxa"/>
              <w:left w:w="80" w:type="dxa"/>
              <w:bottom w:w="80" w:type="dxa"/>
              <w:right w:w="80" w:type="dxa"/>
            </w:tcMar>
          </w:tcPr>
          <w:p w14:paraId="2DD02C61" w14:textId="77777777" w:rsidR="003118C5" w:rsidRDefault="009F6801">
            <w:pPr>
              <w:pStyle w:val="Body"/>
              <w:spacing w:after="0" w:line="480" w:lineRule="auto"/>
            </w:pPr>
            <w:r>
              <w:rPr>
                <w:sz w:val="20"/>
                <w:szCs w:val="20"/>
              </w:rPr>
              <w:t>Theoretical perspective</w:t>
            </w:r>
          </w:p>
        </w:tc>
        <w:tc>
          <w:tcPr>
            <w:tcW w:w="7132" w:type="dxa"/>
            <w:tcBorders>
              <w:top w:val="single" w:sz="4" w:space="0" w:color="000000"/>
              <w:left w:val="single" w:sz="4" w:space="0" w:color="000000"/>
              <w:bottom w:val="single" w:sz="4" w:space="0" w:color="000000"/>
              <w:right w:val="nil"/>
            </w:tcBorders>
            <w:shd w:val="clear" w:color="auto" w:fill="auto"/>
            <w:tcMar>
              <w:top w:w="80" w:type="dxa"/>
              <w:left w:w="80" w:type="dxa"/>
              <w:bottom w:w="80" w:type="dxa"/>
              <w:right w:w="80" w:type="dxa"/>
            </w:tcMar>
          </w:tcPr>
          <w:p w14:paraId="2643508B" w14:textId="77777777" w:rsidR="003118C5" w:rsidRDefault="009F6801">
            <w:pPr>
              <w:pStyle w:val="ListParagraph"/>
              <w:numPr>
                <w:ilvl w:val="0"/>
                <w:numId w:val="4"/>
              </w:numPr>
              <w:spacing w:after="0" w:line="480" w:lineRule="auto"/>
              <w:rPr>
                <w:sz w:val="20"/>
                <w:szCs w:val="20"/>
              </w:rPr>
            </w:pPr>
            <w:r>
              <w:rPr>
                <w:sz w:val="20"/>
                <w:szCs w:val="20"/>
              </w:rPr>
              <w:t>What is the purpose of the research (e.g. to predict, to understand, to emancipate or liberate, to deconstruct, to use whatever methods are necessary)?</w:t>
            </w:r>
          </w:p>
        </w:tc>
      </w:tr>
      <w:tr w:rsidR="003118C5" w14:paraId="07ED6091" w14:textId="77777777">
        <w:trPr>
          <w:trHeight w:val="1990"/>
        </w:trPr>
        <w:tc>
          <w:tcPr>
            <w:tcW w:w="1384" w:type="dxa"/>
            <w:tcBorders>
              <w:top w:val="single" w:sz="4" w:space="0" w:color="000000"/>
              <w:left w:val="nil"/>
              <w:bottom w:val="single" w:sz="4" w:space="0" w:color="000000"/>
              <w:right w:val="single" w:sz="4" w:space="0" w:color="000000"/>
            </w:tcBorders>
            <w:shd w:val="clear" w:color="auto" w:fill="auto"/>
            <w:tcMar>
              <w:top w:w="80" w:type="dxa"/>
              <w:left w:w="80" w:type="dxa"/>
              <w:bottom w:w="80" w:type="dxa"/>
              <w:right w:w="80" w:type="dxa"/>
            </w:tcMar>
          </w:tcPr>
          <w:p w14:paraId="607BB8C9" w14:textId="77777777" w:rsidR="003118C5" w:rsidRDefault="009F6801">
            <w:pPr>
              <w:pStyle w:val="Body"/>
              <w:spacing w:after="0" w:line="480" w:lineRule="auto"/>
            </w:pPr>
            <w:r>
              <w:rPr>
                <w:sz w:val="20"/>
                <w:szCs w:val="20"/>
              </w:rPr>
              <w:t>Strategy and design</w:t>
            </w:r>
          </w:p>
        </w:tc>
        <w:tc>
          <w:tcPr>
            <w:tcW w:w="7132" w:type="dxa"/>
            <w:tcBorders>
              <w:top w:val="single" w:sz="4" w:space="0" w:color="000000"/>
              <w:left w:val="single" w:sz="4" w:space="0" w:color="000000"/>
              <w:bottom w:val="single" w:sz="4" w:space="0" w:color="000000"/>
              <w:right w:val="nil"/>
            </w:tcBorders>
            <w:shd w:val="clear" w:color="auto" w:fill="auto"/>
            <w:tcMar>
              <w:top w:w="80" w:type="dxa"/>
              <w:left w:w="80" w:type="dxa"/>
              <w:bottom w:w="80" w:type="dxa"/>
              <w:right w:w="80" w:type="dxa"/>
            </w:tcMar>
          </w:tcPr>
          <w:p w14:paraId="056CEFBC" w14:textId="77777777" w:rsidR="003118C5" w:rsidRDefault="009F6801">
            <w:pPr>
              <w:pStyle w:val="ListParagraph"/>
              <w:numPr>
                <w:ilvl w:val="0"/>
                <w:numId w:val="5"/>
              </w:numPr>
              <w:spacing w:after="0" w:line="480" w:lineRule="auto"/>
              <w:rPr>
                <w:sz w:val="20"/>
                <w:szCs w:val="20"/>
              </w:rPr>
            </w:pPr>
            <w:r>
              <w:rPr>
                <w:sz w:val="20"/>
                <w:szCs w:val="20"/>
              </w:rPr>
              <w:t>What is the best research design suited to the research question and philosophy?</w:t>
            </w:r>
          </w:p>
          <w:p w14:paraId="3F35A450" w14:textId="77777777" w:rsidR="003118C5" w:rsidRDefault="009F6801">
            <w:pPr>
              <w:pStyle w:val="ListParagraph"/>
              <w:numPr>
                <w:ilvl w:val="0"/>
                <w:numId w:val="5"/>
              </w:numPr>
              <w:spacing w:after="0" w:line="480" w:lineRule="auto"/>
              <w:rPr>
                <w:sz w:val="20"/>
                <w:szCs w:val="20"/>
              </w:rPr>
            </w:pPr>
            <w:r>
              <w:rPr>
                <w:sz w:val="20"/>
                <w:szCs w:val="20"/>
              </w:rPr>
              <w:t>What biases are the researchers bringing to their research and how are they explaining the influence on the research design and findings?</w:t>
            </w:r>
          </w:p>
        </w:tc>
      </w:tr>
      <w:tr w:rsidR="003118C5" w14:paraId="3DC9079A" w14:textId="77777777">
        <w:trPr>
          <w:trHeight w:val="5070"/>
        </w:trPr>
        <w:tc>
          <w:tcPr>
            <w:tcW w:w="1384" w:type="dxa"/>
            <w:tcBorders>
              <w:top w:val="single" w:sz="4" w:space="0" w:color="000000"/>
              <w:left w:val="nil"/>
              <w:bottom w:val="single" w:sz="4" w:space="0" w:color="000000"/>
              <w:right w:val="single" w:sz="4" w:space="0" w:color="000000"/>
            </w:tcBorders>
            <w:shd w:val="clear" w:color="auto" w:fill="auto"/>
            <w:tcMar>
              <w:top w:w="80" w:type="dxa"/>
              <w:left w:w="80" w:type="dxa"/>
              <w:bottom w:w="80" w:type="dxa"/>
              <w:right w:w="80" w:type="dxa"/>
            </w:tcMar>
          </w:tcPr>
          <w:p w14:paraId="389E4370" w14:textId="77777777" w:rsidR="003118C5" w:rsidRDefault="009F6801">
            <w:pPr>
              <w:pStyle w:val="Body"/>
              <w:spacing w:after="0" w:line="480" w:lineRule="auto"/>
            </w:pPr>
            <w:r>
              <w:rPr>
                <w:sz w:val="20"/>
                <w:szCs w:val="20"/>
              </w:rPr>
              <w:t>Methods</w:t>
            </w:r>
          </w:p>
        </w:tc>
        <w:tc>
          <w:tcPr>
            <w:tcW w:w="7132" w:type="dxa"/>
            <w:tcBorders>
              <w:top w:val="single" w:sz="4" w:space="0" w:color="000000"/>
              <w:left w:val="single" w:sz="4" w:space="0" w:color="000000"/>
              <w:bottom w:val="single" w:sz="4" w:space="0" w:color="000000"/>
              <w:right w:val="nil"/>
            </w:tcBorders>
            <w:shd w:val="clear" w:color="auto" w:fill="auto"/>
            <w:tcMar>
              <w:top w:w="80" w:type="dxa"/>
              <w:left w:w="80" w:type="dxa"/>
              <w:bottom w:w="80" w:type="dxa"/>
              <w:right w:w="80" w:type="dxa"/>
            </w:tcMar>
          </w:tcPr>
          <w:p w14:paraId="2A8DF256" w14:textId="77777777" w:rsidR="003118C5" w:rsidRDefault="009F6801">
            <w:pPr>
              <w:pStyle w:val="ListParagraph"/>
              <w:numPr>
                <w:ilvl w:val="0"/>
                <w:numId w:val="6"/>
              </w:numPr>
              <w:spacing w:after="0" w:line="480" w:lineRule="auto"/>
              <w:rPr>
                <w:sz w:val="20"/>
                <w:szCs w:val="20"/>
              </w:rPr>
            </w:pPr>
            <w:r>
              <w:rPr>
                <w:sz w:val="20"/>
                <w:szCs w:val="20"/>
              </w:rPr>
              <w:t>Who is the researcher engaging in the research and why are they best suited to answer the research question/s?</w:t>
            </w:r>
          </w:p>
          <w:p w14:paraId="22968E22" w14:textId="77777777" w:rsidR="003118C5" w:rsidRDefault="009F6801">
            <w:pPr>
              <w:pStyle w:val="ListParagraph"/>
              <w:numPr>
                <w:ilvl w:val="0"/>
                <w:numId w:val="6"/>
              </w:numPr>
              <w:spacing w:after="0" w:line="480" w:lineRule="auto"/>
              <w:rPr>
                <w:sz w:val="20"/>
                <w:szCs w:val="20"/>
              </w:rPr>
            </w:pPr>
            <w:r>
              <w:rPr>
                <w:sz w:val="20"/>
                <w:szCs w:val="20"/>
              </w:rPr>
              <w:t xml:space="preserve">Why is </w:t>
            </w:r>
            <w:r>
              <w:rPr>
                <w:i/>
                <w:iCs/>
                <w:sz w:val="20"/>
                <w:szCs w:val="20"/>
              </w:rPr>
              <w:t>each</w:t>
            </w:r>
            <w:r>
              <w:rPr>
                <w:sz w:val="20"/>
                <w:szCs w:val="20"/>
              </w:rPr>
              <w:t xml:space="preserve"> participant suitable to include in the research?</w:t>
            </w:r>
          </w:p>
          <w:p w14:paraId="04D76D5F" w14:textId="77777777" w:rsidR="003118C5" w:rsidRPr="00517F83" w:rsidRDefault="009F6801">
            <w:pPr>
              <w:pStyle w:val="ListParagraph"/>
              <w:numPr>
                <w:ilvl w:val="0"/>
                <w:numId w:val="6"/>
              </w:numPr>
              <w:spacing w:after="0" w:line="480" w:lineRule="auto"/>
              <w:rPr>
                <w:sz w:val="20"/>
                <w:szCs w:val="20"/>
              </w:rPr>
            </w:pPr>
            <w:r w:rsidRPr="00517F83">
              <w:rPr>
                <w:sz w:val="20"/>
                <w:szCs w:val="20"/>
              </w:rPr>
              <w:t>Does the researcher clearly explain the reasons for the chosen methods?</w:t>
            </w:r>
          </w:p>
          <w:p w14:paraId="578B7FC5" w14:textId="2F36BD6E" w:rsidR="003118C5" w:rsidRPr="00517F83" w:rsidRDefault="00517F83">
            <w:pPr>
              <w:pStyle w:val="ListParagraph"/>
              <w:numPr>
                <w:ilvl w:val="0"/>
                <w:numId w:val="6"/>
              </w:numPr>
              <w:spacing w:after="0" w:line="480" w:lineRule="auto"/>
              <w:rPr>
                <w:sz w:val="20"/>
                <w:szCs w:val="20"/>
              </w:rPr>
            </w:pPr>
            <w:r w:rsidRPr="003D24CC">
              <w:rPr>
                <w:sz w:val="20"/>
                <w:szCs w:val="20"/>
              </w:rPr>
              <w:t>What type of data is the researcher collecting,</w:t>
            </w:r>
            <w:r w:rsidR="009F6801" w:rsidRPr="00517F83">
              <w:rPr>
                <w:sz w:val="20"/>
                <w:szCs w:val="20"/>
              </w:rPr>
              <w:t xml:space="preserve"> how and why?</w:t>
            </w:r>
          </w:p>
          <w:p w14:paraId="1DB1937E" w14:textId="620DF1C3" w:rsidR="003118C5" w:rsidRPr="00517F83" w:rsidRDefault="009F6801">
            <w:pPr>
              <w:pStyle w:val="ListParagraph"/>
              <w:numPr>
                <w:ilvl w:val="0"/>
                <w:numId w:val="6"/>
              </w:numPr>
              <w:spacing w:after="0" w:line="480" w:lineRule="auto"/>
              <w:rPr>
                <w:sz w:val="20"/>
                <w:szCs w:val="20"/>
              </w:rPr>
            </w:pPr>
            <w:r w:rsidRPr="00517F83">
              <w:rPr>
                <w:sz w:val="20"/>
                <w:szCs w:val="20"/>
              </w:rPr>
              <w:t>Ha</w:t>
            </w:r>
            <w:r w:rsidR="00517F83" w:rsidRPr="00517F83">
              <w:rPr>
                <w:sz w:val="20"/>
                <w:szCs w:val="20"/>
              </w:rPr>
              <w:t>s</w:t>
            </w:r>
            <w:r w:rsidRPr="00517F83">
              <w:rPr>
                <w:sz w:val="20"/>
                <w:szCs w:val="20"/>
              </w:rPr>
              <w:t xml:space="preserve"> the researcher been transparent in describing the data collection and analysis methods (e.g. provided the interview schedule or codebook)?</w:t>
            </w:r>
          </w:p>
          <w:p w14:paraId="231D8FCD" w14:textId="77777777" w:rsidR="003118C5" w:rsidRPr="00517F83" w:rsidRDefault="009F6801">
            <w:pPr>
              <w:pStyle w:val="ListParagraph"/>
              <w:numPr>
                <w:ilvl w:val="0"/>
                <w:numId w:val="6"/>
              </w:numPr>
              <w:spacing w:after="0" w:line="480" w:lineRule="auto"/>
              <w:rPr>
                <w:sz w:val="20"/>
                <w:szCs w:val="20"/>
              </w:rPr>
            </w:pPr>
            <w:r w:rsidRPr="00517F83">
              <w:rPr>
                <w:sz w:val="20"/>
                <w:szCs w:val="20"/>
              </w:rPr>
              <w:t>Has the researcher undertaken a process of reflexivity throughout the research process and how did this process influence design and interpretation?</w:t>
            </w:r>
          </w:p>
          <w:p w14:paraId="407403F8" w14:textId="09C368BA" w:rsidR="00E17594" w:rsidRDefault="00517F83" w:rsidP="00517F83">
            <w:pPr>
              <w:pStyle w:val="ListParagraph"/>
              <w:numPr>
                <w:ilvl w:val="0"/>
                <w:numId w:val="6"/>
              </w:numPr>
              <w:spacing w:after="0" w:line="480" w:lineRule="auto"/>
              <w:rPr>
                <w:sz w:val="20"/>
                <w:szCs w:val="20"/>
              </w:rPr>
            </w:pPr>
            <w:r w:rsidRPr="003D24CC">
              <w:rPr>
                <w:sz w:val="20"/>
                <w:szCs w:val="20"/>
              </w:rPr>
              <w:t xml:space="preserve">Has the researcher described </w:t>
            </w:r>
            <w:r w:rsidRPr="00517F83">
              <w:rPr>
                <w:sz w:val="20"/>
                <w:szCs w:val="20"/>
              </w:rPr>
              <w:t>their sampling strategy (</w:t>
            </w:r>
            <w:r w:rsidRPr="00517F83">
              <w:rPr>
                <w:i/>
                <w:sz w:val="20"/>
                <w:szCs w:val="20"/>
              </w:rPr>
              <w:t xml:space="preserve">who </w:t>
            </w:r>
            <w:r w:rsidRPr="00517F83">
              <w:rPr>
                <w:sz w:val="20"/>
                <w:szCs w:val="20"/>
              </w:rPr>
              <w:t xml:space="preserve">is selected) and </w:t>
            </w:r>
            <w:r w:rsidRPr="003D24CC">
              <w:rPr>
                <w:sz w:val="20"/>
                <w:szCs w:val="20"/>
              </w:rPr>
              <w:t>participant recruitment (</w:t>
            </w:r>
            <w:r w:rsidRPr="003D24CC">
              <w:rPr>
                <w:i/>
                <w:iCs/>
                <w:sz w:val="20"/>
                <w:szCs w:val="20"/>
              </w:rPr>
              <w:t>how</w:t>
            </w:r>
            <w:r w:rsidRPr="003D24CC">
              <w:rPr>
                <w:sz w:val="20"/>
                <w:szCs w:val="20"/>
              </w:rPr>
              <w:t xml:space="preserve"> participants are selected)?</w:t>
            </w:r>
          </w:p>
        </w:tc>
      </w:tr>
    </w:tbl>
    <w:p w14:paraId="643575DC" w14:textId="77777777" w:rsidR="003118C5" w:rsidRDefault="003118C5">
      <w:pPr>
        <w:pStyle w:val="Body"/>
        <w:widowControl w:val="0"/>
        <w:spacing w:line="240" w:lineRule="auto"/>
      </w:pPr>
    </w:p>
    <w:p w14:paraId="46B9BA25" w14:textId="77777777" w:rsidR="003118C5" w:rsidRDefault="009F6801">
      <w:pPr>
        <w:pStyle w:val="Heading"/>
      </w:pPr>
      <w:r>
        <w:t>Author contributions</w:t>
      </w:r>
    </w:p>
    <w:p w14:paraId="5E270584" w14:textId="5005FBDB" w:rsidR="003118C5" w:rsidRDefault="009F6801">
      <w:pPr>
        <w:pStyle w:val="Body"/>
        <w:spacing w:line="480" w:lineRule="auto"/>
      </w:pPr>
      <w:r>
        <w:t xml:space="preserve">Two groups of authors contributed to this article, led by KM: a core writing team (first group) and a critical revision team (second group). The first group of authors comprised: DB, VMA, RMC, FD, MCE and SRJ. All authors in the core writing team undertook an analysis of the articles of the Special Feature; contributed to the main arguments, content and structure of the article; developed and reviewed iterations of the article; provided feedback and sourced supporting material and references as required. The second group of authors comprised: NJB, HD, CS, KS, FSJ, </w:t>
      </w:r>
      <w:proofErr w:type="spellStart"/>
      <w:r>
        <w:t>LvK</w:t>
      </w:r>
      <w:proofErr w:type="spellEnd"/>
      <w:r>
        <w:t>, CW. All authors in this critical revision team reviewed the manuscript for intellectual content and completeness and provided improvements and additional material as necessary.</w:t>
      </w:r>
    </w:p>
    <w:p w14:paraId="1A0B7E42" w14:textId="77777777" w:rsidR="003118C5" w:rsidRDefault="009F6801">
      <w:pPr>
        <w:pStyle w:val="Heading"/>
        <w:spacing w:line="480" w:lineRule="auto"/>
      </w:pPr>
      <w:proofErr w:type="spellStart"/>
      <w:r>
        <w:rPr>
          <w:lang w:val="es-ES_tradnl"/>
        </w:rPr>
        <w:t>References</w:t>
      </w:r>
      <w:proofErr w:type="spellEnd"/>
      <w:r>
        <w:rPr>
          <w:lang w:val="es-ES_tradnl"/>
        </w:rPr>
        <w:t xml:space="preserve"> </w:t>
      </w:r>
    </w:p>
    <w:p w14:paraId="45F773A2" w14:textId="77777777" w:rsidR="003118C5" w:rsidRDefault="009F6801">
      <w:pPr>
        <w:pStyle w:val="Body"/>
        <w:spacing w:line="480" w:lineRule="auto"/>
      </w:pPr>
      <w:proofErr w:type="gramStart"/>
      <w:r>
        <w:t xml:space="preserve">Adams, W. M. &amp; </w:t>
      </w:r>
      <w:proofErr w:type="spellStart"/>
      <w:r>
        <w:t>Sandbrook</w:t>
      </w:r>
      <w:proofErr w:type="spellEnd"/>
      <w:r>
        <w:t>, C. (2013) Conservation, evidence and policy.</w:t>
      </w:r>
      <w:proofErr w:type="gramEnd"/>
      <w:r>
        <w:t xml:space="preserve"> </w:t>
      </w:r>
      <w:r>
        <w:rPr>
          <w:i/>
          <w:iCs/>
        </w:rPr>
        <w:t>Oryx</w:t>
      </w:r>
      <w:r>
        <w:t>, 47, 329-335</w:t>
      </w:r>
    </w:p>
    <w:p w14:paraId="411BD688" w14:textId="77777777" w:rsidR="003118C5" w:rsidRDefault="009F6801">
      <w:pPr>
        <w:pStyle w:val="Body"/>
        <w:spacing w:line="480" w:lineRule="auto"/>
      </w:pPr>
      <w:r>
        <w:t xml:space="preserve">Ahern, K. J. (1999). Ten tips for reflexive bracketing. </w:t>
      </w:r>
      <w:r>
        <w:rPr>
          <w:i/>
          <w:iCs/>
        </w:rPr>
        <w:t>Qualitative Health Research,</w:t>
      </w:r>
      <w:r>
        <w:t xml:space="preserve"> 9, 407-411</w:t>
      </w:r>
    </w:p>
    <w:p w14:paraId="64020096" w14:textId="77777777" w:rsidR="003118C5" w:rsidRDefault="009F6801">
      <w:pPr>
        <w:pStyle w:val="Body"/>
        <w:spacing w:after="120" w:line="480" w:lineRule="auto"/>
      </w:pPr>
      <w:r>
        <w:t xml:space="preserve">Anderson, L. (2006). Analytic </w:t>
      </w:r>
      <w:proofErr w:type="spellStart"/>
      <w:r>
        <w:t>autoethnography</w:t>
      </w:r>
      <w:proofErr w:type="spellEnd"/>
      <w:r>
        <w:t xml:space="preserve">. </w:t>
      </w:r>
      <w:proofErr w:type="gramStart"/>
      <w:r>
        <w:rPr>
          <w:i/>
          <w:iCs/>
        </w:rPr>
        <w:t>Journal of Contemporary Ethnography</w:t>
      </w:r>
      <w:r>
        <w:t xml:space="preserve">, </w:t>
      </w:r>
      <w:r>
        <w:rPr>
          <w:i/>
          <w:iCs/>
        </w:rPr>
        <w:t>35</w:t>
      </w:r>
      <w:r>
        <w:t>, 373-395.</w:t>
      </w:r>
      <w:proofErr w:type="gramEnd"/>
    </w:p>
    <w:p w14:paraId="3BDD6AE3" w14:textId="77777777" w:rsidR="003118C5" w:rsidRDefault="009F6801">
      <w:pPr>
        <w:pStyle w:val="EndNoteBibliography"/>
        <w:spacing w:after="120" w:line="480" w:lineRule="auto"/>
      </w:pPr>
      <w:proofErr w:type="spellStart"/>
      <w:r>
        <w:t>Babbie</w:t>
      </w:r>
      <w:proofErr w:type="spellEnd"/>
      <w:r>
        <w:t xml:space="preserve"> E. (2010). </w:t>
      </w:r>
      <w:proofErr w:type="gramStart"/>
      <w:r>
        <w:t>The Practice of Social Research.</w:t>
      </w:r>
      <w:proofErr w:type="gramEnd"/>
      <w:r>
        <w:t xml:space="preserve"> </w:t>
      </w:r>
      <w:proofErr w:type="gramStart"/>
      <w:r>
        <w:t>Wadsworth/Thompson Learning, Belmont, CA.</w:t>
      </w:r>
      <w:proofErr w:type="gramEnd"/>
    </w:p>
    <w:p w14:paraId="385A4BA0" w14:textId="77777777" w:rsidR="003118C5" w:rsidRDefault="009F6801">
      <w:pPr>
        <w:pStyle w:val="EndNoteBibliography"/>
        <w:spacing w:after="120" w:line="480" w:lineRule="auto"/>
      </w:pPr>
      <w:r>
        <w:t xml:space="preserve">Barbour R. (2008). The scope and contribution of qualitative research in </w:t>
      </w:r>
      <w:r>
        <w:rPr>
          <w:i/>
          <w:iCs/>
        </w:rPr>
        <w:t>Introducing Qualitative Research: A student guide to the craft of doing qualitative research</w:t>
      </w:r>
      <w:r>
        <w:t>. Barbour R. (Ed.) Sage Publications, Los Angeles, p. 9-31.</w:t>
      </w:r>
    </w:p>
    <w:p w14:paraId="7B1405B3" w14:textId="77777777" w:rsidR="003118C5" w:rsidRDefault="009F6801">
      <w:pPr>
        <w:pStyle w:val="EndNoteBibliography"/>
        <w:spacing w:after="120" w:line="480" w:lineRule="auto"/>
      </w:pPr>
      <w:proofErr w:type="gramStart"/>
      <w:r>
        <w:t xml:space="preserve">Bartlett J.E., </w:t>
      </w:r>
      <w:proofErr w:type="spellStart"/>
      <w:r>
        <w:t>Kotrlik</w:t>
      </w:r>
      <w:proofErr w:type="spellEnd"/>
      <w:r>
        <w:t xml:space="preserve"> J.W., &amp; Higgins C.C. (2001).</w:t>
      </w:r>
      <w:proofErr w:type="gramEnd"/>
      <w:r>
        <w:t xml:space="preserve"> Organizational research: Determining appropriate sample size in survey research. </w:t>
      </w:r>
      <w:r>
        <w:rPr>
          <w:i/>
          <w:iCs/>
        </w:rPr>
        <w:t>Information Technology, Learning and Performance Journal</w:t>
      </w:r>
      <w:r>
        <w:t>, 19, 43-50.</w:t>
      </w:r>
    </w:p>
    <w:p w14:paraId="0439B4EE" w14:textId="6C1EBF3E" w:rsidR="00F149CD" w:rsidRDefault="00F149CD" w:rsidP="007E2861">
      <w:pPr>
        <w:spacing w:line="480" w:lineRule="auto"/>
      </w:pPr>
      <w:r w:rsidRPr="00F149CD">
        <w:rPr>
          <w:rFonts w:ascii="Calibri" w:eastAsia="Calibri" w:hAnsi="Calibri" w:cs="Calibri"/>
          <w:color w:val="000000"/>
          <w:sz w:val="22"/>
          <w:szCs w:val="22"/>
          <w:u w:color="000000"/>
        </w:rPr>
        <w:t xml:space="preserve">Bennett, N.J. (2016). Using perceptions as evidence to improve conservation and environmental management. </w:t>
      </w:r>
      <w:proofErr w:type="gramStart"/>
      <w:r w:rsidRPr="00F149CD">
        <w:rPr>
          <w:rFonts w:ascii="Calibri" w:eastAsia="Calibri" w:hAnsi="Calibri" w:cs="Calibri"/>
          <w:color w:val="000000"/>
          <w:sz w:val="22"/>
          <w:szCs w:val="22"/>
          <w:u w:color="000000"/>
        </w:rPr>
        <w:t>Conservation Biology, 30, 582–592.</w:t>
      </w:r>
      <w:proofErr w:type="gramEnd"/>
    </w:p>
    <w:p w14:paraId="4A2B964B" w14:textId="77777777" w:rsidR="003118C5" w:rsidRDefault="009F6801">
      <w:pPr>
        <w:pStyle w:val="EndNoteBibliography"/>
        <w:spacing w:after="120" w:line="480" w:lineRule="auto"/>
      </w:pPr>
      <w:r>
        <w:t xml:space="preserve">Bennett, N. J., Roth, R., </w:t>
      </w:r>
      <w:proofErr w:type="spellStart"/>
      <w:r>
        <w:t>Klain</w:t>
      </w:r>
      <w:proofErr w:type="spellEnd"/>
      <w:r>
        <w:t xml:space="preserve">, S. C., Chan, K., Christie, P., Clark, D. A., Cullman, G., Curran, D., Durbin, T. J., Epstein, G. &amp; Greenberg, A. (2017). Conservation social science: Understanding and integrating human dimensions to improve conservation. </w:t>
      </w:r>
      <w:proofErr w:type="gramStart"/>
      <w:r>
        <w:rPr>
          <w:i/>
          <w:iCs/>
        </w:rPr>
        <w:t>Biological Conservation</w:t>
      </w:r>
      <w:r>
        <w:t xml:space="preserve">, </w:t>
      </w:r>
      <w:r>
        <w:rPr>
          <w:i/>
          <w:iCs/>
        </w:rPr>
        <w:t>205</w:t>
      </w:r>
      <w:r>
        <w:t>, 93-108.</w:t>
      </w:r>
      <w:proofErr w:type="gramEnd"/>
    </w:p>
    <w:p w14:paraId="33E89708" w14:textId="77777777" w:rsidR="00C826A9" w:rsidRDefault="00C826A9" w:rsidP="00C826A9">
      <w:pPr>
        <w:pStyle w:val="EndNoteBibliography"/>
        <w:spacing w:after="120" w:line="480" w:lineRule="auto"/>
      </w:pPr>
      <w:r>
        <w:t xml:space="preserve">Bennett, N. J., R. Roth, S. C. </w:t>
      </w:r>
      <w:proofErr w:type="spellStart"/>
      <w:r>
        <w:t>Klain</w:t>
      </w:r>
      <w:proofErr w:type="spellEnd"/>
      <w:r>
        <w:t xml:space="preserve">, K. M. Chan, D. A. Clark, G. Cullman, G. Epstein, M. P. Nelson, R. Stedman and T. L. Teel (2017). "Mainstreaming the social sciences in conservation." </w:t>
      </w:r>
      <w:proofErr w:type="gramStart"/>
      <w:r>
        <w:t>Conservation Biology 31(1): 56-66.</w:t>
      </w:r>
      <w:proofErr w:type="gramEnd"/>
    </w:p>
    <w:p w14:paraId="0531953D" w14:textId="77777777" w:rsidR="003118C5" w:rsidRDefault="009F6801">
      <w:pPr>
        <w:pStyle w:val="EndNoteBibliography"/>
        <w:spacing w:after="120" w:line="480" w:lineRule="auto"/>
      </w:pPr>
      <w:proofErr w:type="spellStart"/>
      <w:r>
        <w:t>Bryman</w:t>
      </w:r>
      <w:proofErr w:type="spellEnd"/>
      <w:r>
        <w:t xml:space="preserve"> A. (2012</w:t>
      </w:r>
      <w:r>
        <w:rPr>
          <w:i/>
          <w:iCs/>
        </w:rPr>
        <w:t xml:space="preserve">). </w:t>
      </w:r>
      <w:proofErr w:type="gramStart"/>
      <w:r>
        <w:rPr>
          <w:i/>
          <w:iCs/>
        </w:rPr>
        <w:t>Social Research Methods.</w:t>
      </w:r>
      <w:proofErr w:type="gramEnd"/>
      <w:r>
        <w:t xml:space="preserve"> Oxford University Press, New York.</w:t>
      </w:r>
    </w:p>
    <w:p w14:paraId="5A36FE67" w14:textId="77777777" w:rsidR="003118C5" w:rsidRDefault="009F6801">
      <w:pPr>
        <w:pStyle w:val="Body"/>
        <w:spacing w:after="120" w:line="480" w:lineRule="auto"/>
      </w:pPr>
      <w:proofErr w:type="gramStart"/>
      <w:r>
        <w:t>Carter, S.M. &amp; Little, M. (2007).</w:t>
      </w:r>
      <w:proofErr w:type="gramEnd"/>
      <w:r>
        <w:t xml:space="preserve"> Justifying knowledge, justifying method, </w:t>
      </w:r>
      <w:proofErr w:type="gramStart"/>
      <w:r>
        <w:t>taking</w:t>
      </w:r>
      <w:proofErr w:type="gramEnd"/>
      <w:r>
        <w:t xml:space="preserve"> action: Epistemologies, methodologies, and methods in qualitative research. </w:t>
      </w:r>
      <w:proofErr w:type="gramStart"/>
      <w:r>
        <w:rPr>
          <w:i/>
          <w:iCs/>
        </w:rPr>
        <w:t>Qualitative Health Research</w:t>
      </w:r>
      <w:r>
        <w:t xml:space="preserve">, </w:t>
      </w:r>
      <w:r>
        <w:rPr>
          <w:i/>
          <w:iCs/>
        </w:rPr>
        <w:t>17</w:t>
      </w:r>
      <w:r>
        <w:t xml:space="preserve">, </w:t>
      </w:r>
      <w:proofErr w:type="spellStart"/>
      <w:r>
        <w:t>p.1316</w:t>
      </w:r>
      <w:proofErr w:type="spellEnd"/>
      <w:r>
        <w:t>-1328.</w:t>
      </w:r>
      <w:proofErr w:type="gramEnd"/>
    </w:p>
    <w:p w14:paraId="0ACAACEF" w14:textId="77777777" w:rsidR="003118C5" w:rsidRDefault="009F6801">
      <w:pPr>
        <w:pStyle w:val="Body"/>
        <w:spacing w:after="120" w:line="480" w:lineRule="auto"/>
      </w:pPr>
      <w:r>
        <w:t xml:space="preserve">Corbin, J., Strauss, A. (2008) </w:t>
      </w:r>
      <w:r>
        <w:rPr>
          <w:i/>
          <w:iCs/>
        </w:rPr>
        <w:t>Basics of Qualitative Research</w:t>
      </w:r>
      <w:r>
        <w:t>, Third Ed. SAGE, Thousand Oaks.</w:t>
      </w:r>
    </w:p>
    <w:p w14:paraId="1C58F570" w14:textId="77777777" w:rsidR="003118C5" w:rsidRDefault="009F6801">
      <w:pPr>
        <w:pStyle w:val="EndNoteBibliography"/>
        <w:spacing w:after="120" w:line="480" w:lineRule="auto"/>
      </w:pPr>
      <w:proofErr w:type="spellStart"/>
      <w:r>
        <w:t>Sharifa</w:t>
      </w:r>
      <w:proofErr w:type="spellEnd"/>
      <w:r>
        <w:t xml:space="preserve"> G. Crandall, Jennifer L. </w:t>
      </w:r>
      <w:proofErr w:type="spellStart"/>
      <w:r>
        <w:t>Ohayon</w:t>
      </w:r>
      <w:proofErr w:type="spellEnd"/>
      <w:r>
        <w:t xml:space="preserve">, Luz A. de Wit, J.E. Hammond, Kate L. </w:t>
      </w:r>
      <w:proofErr w:type="spellStart"/>
      <w:r>
        <w:t>Melanson</w:t>
      </w:r>
      <w:proofErr w:type="spellEnd"/>
      <w:r>
        <w:t xml:space="preserve">, Monica M. </w:t>
      </w:r>
      <w:proofErr w:type="spellStart"/>
      <w:r>
        <w:t>Moritsch</w:t>
      </w:r>
      <w:proofErr w:type="spellEnd"/>
      <w:r>
        <w:t xml:space="preserve">, Rob Davenport, Diana Ruiz, Bradford </w:t>
      </w:r>
      <w:proofErr w:type="spellStart"/>
      <w:r>
        <w:t>Keitt</w:t>
      </w:r>
      <w:proofErr w:type="spellEnd"/>
      <w:r>
        <w:t xml:space="preserve">, Nick D. Holmes, Heath G. Packard, Jeffrey Bury, Gregory S. Gilbert &amp; Ingrid M. Parker (2018) Best practices: social research methods to inform biological conservation. </w:t>
      </w:r>
      <w:proofErr w:type="gramStart"/>
      <w:r>
        <w:rPr>
          <w:i/>
          <w:iCs/>
        </w:rPr>
        <w:t>Australasian Journal of Environmental Management</w:t>
      </w:r>
      <w:r>
        <w:t>, 25, 6-23.</w:t>
      </w:r>
      <w:proofErr w:type="gramEnd"/>
    </w:p>
    <w:p w14:paraId="1BCC8E66" w14:textId="77777777" w:rsidR="003118C5" w:rsidRDefault="009F6801">
      <w:pPr>
        <w:pStyle w:val="EndNoteBibliography"/>
        <w:spacing w:after="120" w:line="480" w:lineRule="auto"/>
      </w:pPr>
      <w:r>
        <w:t xml:space="preserve">Creswell J.W., &amp; Miller D.L. (2000). Determining validity in qualitative inquiry. </w:t>
      </w:r>
      <w:proofErr w:type="gramStart"/>
      <w:r>
        <w:rPr>
          <w:i/>
          <w:iCs/>
        </w:rPr>
        <w:t xml:space="preserve">Theory into Practice </w:t>
      </w:r>
      <w:r>
        <w:t>39, 124-130.</w:t>
      </w:r>
      <w:proofErr w:type="gramEnd"/>
    </w:p>
    <w:p w14:paraId="117FA830" w14:textId="77777777" w:rsidR="003118C5" w:rsidRDefault="009F6801">
      <w:pPr>
        <w:pStyle w:val="EndNoteBibliography"/>
        <w:spacing w:after="120" w:line="480" w:lineRule="auto"/>
      </w:pPr>
      <w:r w:rsidRPr="003D24CC">
        <w:rPr>
          <w:lang w:val="en-GB"/>
        </w:rPr>
        <w:t xml:space="preserve">Creswell, J.W. (2009) </w:t>
      </w:r>
      <w:r>
        <w:rPr>
          <w:i/>
          <w:iCs/>
        </w:rPr>
        <w:t>Research Design: Qualitative, Quantitative, and Mixed Methods Approaches</w:t>
      </w:r>
      <w:r>
        <w:rPr>
          <w:lang w:val="pt-PT"/>
        </w:rPr>
        <w:t xml:space="preserve">. SAGE, </w:t>
      </w:r>
      <w:proofErr w:type="spellStart"/>
      <w:r>
        <w:rPr>
          <w:lang w:val="pt-PT"/>
        </w:rPr>
        <w:t>Los</w:t>
      </w:r>
      <w:proofErr w:type="spellEnd"/>
      <w:r>
        <w:rPr>
          <w:lang w:val="pt-PT"/>
        </w:rPr>
        <w:t xml:space="preserve"> Angeles.</w:t>
      </w:r>
    </w:p>
    <w:p w14:paraId="6963F7B3" w14:textId="77777777" w:rsidR="003118C5" w:rsidRDefault="009F6801">
      <w:pPr>
        <w:pStyle w:val="Body"/>
        <w:spacing w:after="120" w:line="480" w:lineRule="auto"/>
      </w:pPr>
      <w:bookmarkStart w:id="1" w:name="_ENREF_8"/>
      <w:r w:rsidRPr="003D24CC">
        <w:rPr>
          <w:lang w:val="en-GB"/>
        </w:rPr>
        <w:t xml:space="preserve">Creswell J.W. &amp; Plano Clark V.L. (2007) </w:t>
      </w:r>
      <w:r>
        <w:rPr>
          <w:i/>
          <w:iCs/>
        </w:rPr>
        <w:t>Designing and conducting mixed methods research</w:t>
      </w:r>
      <w:r>
        <w:t xml:space="preserve">. </w:t>
      </w:r>
      <w:proofErr w:type="gramStart"/>
      <w:r>
        <w:t>SAGE, Thousand Oaks.</w:t>
      </w:r>
      <w:bookmarkEnd w:id="1"/>
      <w:proofErr w:type="gramEnd"/>
    </w:p>
    <w:p w14:paraId="3B228C0F" w14:textId="77777777" w:rsidR="003118C5" w:rsidRDefault="009F6801">
      <w:pPr>
        <w:pStyle w:val="EndNoteBibliography"/>
        <w:spacing w:after="120" w:line="480" w:lineRule="auto"/>
      </w:pPr>
      <w:proofErr w:type="gramStart"/>
      <w:r>
        <w:t xml:space="preserve">Critical Appraisal Skills </w:t>
      </w:r>
      <w:proofErr w:type="spellStart"/>
      <w:r>
        <w:t>Programme</w:t>
      </w:r>
      <w:proofErr w:type="spellEnd"/>
      <w:r>
        <w:t xml:space="preserve"> (2017).</w:t>
      </w:r>
      <w:proofErr w:type="gramEnd"/>
      <w:r>
        <w:t xml:space="preserve"> </w:t>
      </w:r>
      <w:proofErr w:type="gramStart"/>
      <w:r>
        <w:t>CASP (Qualitative Research) Checklist.</w:t>
      </w:r>
      <w:proofErr w:type="gramEnd"/>
      <w:r>
        <w:t xml:space="preserve"> [</w:t>
      </w:r>
      <w:proofErr w:type="gramStart"/>
      <w:r>
        <w:t>online</w:t>
      </w:r>
      <w:proofErr w:type="gramEnd"/>
      <w:r>
        <w:t>] Available at: http://docs.wixstatic.com/ugd/dded87_25658615020e427da194a325e7773d42.pdf.</w:t>
      </w:r>
    </w:p>
    <w:p w14:paraId="3763E2DB" w14:textId="77777777" w:rsidR="003118C5" w:rsidRDefault="009F6801">
      <w:pPr>
        <w:pStyle w:val="Body"/>
        <w:spacing w:after="120" w:line="480" w:lineRule="auto"/>
      </w:pPr>
      <w:proofErr w:type="spellStart"/>
      <w:r>
        <w:t>Crotty</w:t>
      </w:r>
      <w:proofErr w:type="spellEnd"/>
      <w:r>
        <w:t xml:space="preserve">, M. (1998) </w:t>
      </w:r>
      <w:r>
        <w:rPr>
          <w:i/>
          <w:iCs/>
        </w:rPr>
        <w:t>The Foundations of Social Research: meaning and perspectives in the research process</w:t>
      </w:r>
      <w:r>
        <w:t xml:space="preserve">. </w:t>
      </w:r>
      <w:proofErr w:type="gramStart"/>
      <w:r>
        <w:t>SAGE, London.</w:t>
      </w:r>
      <w:proofErr w:type="gramEnd"/>
    </w:p>
    <w:p w14:paraId="0E02C95F" w14:textId="77777777" w:rsidR="003118C5" w:rsidRDefault="009F6801">
      <w:pPr>
        <w:pStyle w:val="EndNoteBibliography"/>
        <w:spacing w:after="120" w:line="480" w:lineRule="auto"/>
      </w:pPr>
      <w:proofErr w:type="gramStart"/>
      <w:r>
        <w:t xml:space="preserve">Davies A. l., Bryce R. &amp; </w:t>
      </w:r>
      <w:proofErr w:type="spellStart"/>
      <w:r>
        <w:t>Redpath</w:t>
      </w:r>
      <w:proofErr w:type="spellEnd"/>
      <w:r>
        <w:t xml:space="preserve"> S. M. (2013).</w:t>
      </w:r>
      <w:proofErr w:type="gramEnd"/>
      <w:r>
        <w:t xml:space="preserve"> </w:t>
      </w:r>
      <w:proofErr w:type="gramStart"/>
      <w:r>
        <w:t xml:space="preserve">Use of </w:t>
      </w:r>
      <w:proofErr w:type="spellStart"/>
      <w:r>
        <w:t>Multicriteria</w:t>
      </w:r>
      <w:proofErr w:type="spellEnd"/>
      <w:r>
        <w:t xml:space="preserve"> Decision Analysis to Address Conservation Conflicts.</w:t>
      </w:r>
      <w:proofErr w:type="gramEnd"/>
      <w:r>
        <w:t xml:space="preserve"> </w:t>
      </w:r>
      <w:proofErr w:type="gramStart"/>
      <w:r>
        <w:rPr>
          <w:i/>
          <w:iCs/>
        </w:rPr>
        <w:t>Conservation Biology</w:t>
      </w:r>
      <w:r>
        <w:t>, 27, 936-944.</w:t>
      </w:r>
      <w:proofErr w:type="gramEnd"/>
    </w:p>
    <w:p w14:paraId="1BF404E0" w14:textId="77777777" w:rsidR="003118C5" w:rsidRDefault="009F6801">
      <w:pPr>
        <w:pStyle w:val="Body"/>
        <w:spacing w:after="120" w:line="480" w:lineRule="auto"/>
      </w:pPr>
      <w:proofErr w:type="spellStart"/>
      <w:r>
        <w:rPr>
          <w:shd w:val="clear" w:color="auto" w:fill="FFFFFF"/>
        </w:rPr>
        <w:t>Drapeau</w:t>
      </w:r>
      <w:proofErr w:type="spellEnd"/>
      <w:r>
        <w:rPr>
          <w:shd w:val="clear" w:color="auto" w:fill="FFFFFF"/>
        </w:rPr>
        <w:t xml:space="preserve">, M. (2002). Subjectivity in research: Why </w:t>
      </w:r>
      <w:proofErr w:type="gramStart"/>
      <w:r>
        <w:rPr>
          <w:shd w:val="clear" w:color="auto" w:fill="FFFFFF"/>
        </w:rPr>
        <w:t>not ?</w:t>
      </w:r>
      <w:proofErr w:type="gramEnd"/>
      <w:r>
        <w:rPr>
          <w:shd w:val="clear" w:color="auto" w:fill="FFFFFF"/>
        </w:rPr>
        <w:t xml:space="preserve"> But…. </w:t>
      </w:r>
      <w:proofErr w:type="gramStart"/>
      <w:r>
        <w:rPr>
          <w:i/>
          <w:iCs/>
          <w:shd w:val="clear" w:color="auto" w:fill="FFFFFF"/>
        </w:rPr>
        <w:t>The Qualitative Report</w:t>
      </w:r>
      <w:r>
        <w:rPr>
          <w:shd w:val="clear" w:color="auto" w:fill="FFFFFF"/>
        </w:rPr>
        <w:t>, 7, 1-15.</w:t>
      </w:r>
      <w:proofErr w:type="gramEnd"/>
    </w:p>
    <w:p w14:paraId="7B6BC429" w14:textId="77777777" w:rsidR="003118C5" w:rsidRDefault="009F6801">
      <w:pPr>
        <w:pStyle w:val="Body"/>
        <w:spacing w:after="120" w:line="480" w:lineRule="auto"/>
      </w:pPr>
      <w:proofErr w:type="spellStart"/>
      <w:r w:rsidRPr="003D24CC">
        <w:rPr>
          <w:lang w:val="en-GB"/>
        </w:rPr>
        <w:t>Denzin</w:t>
      </w:r>
      <w:proofErr w:type="spellEnd"/>
      <w:r w:rsidRPr="003D24CC">
        <w:rPr>
          <w:lang w:val="en-GB"/>
        </w:rPr>
        <w:t xml:space="preserve">, N.K. &amp; Lincoln, Y.S. Eds. </w:t>
      </w:r>
      <w:proofErr w:type="gramStart"/>
      <w:r>
        <w:rPr>
          <w:lang w:val="it-IT"/>
        </w:rPr>
        <w:t>(2011</w:t>
      </w:r>
      <w:proofErr w:type="gramEnd"/>
      <w:r>
        <w:rPr>
          <w:lang w:val="it-IT"/>
        </w:rPr>
        <w:t xml:space="preserve">). </w:t>
      </w:r>
      <w:proofErr w:type="gramStart"/>
      <w:r>
        <w:rPr>
          <w:i/>
          <w:iCs/>
        </w:rPr>
        <w:t>The Sage Handbook of Qualitative Research</w:t>
      </w:r>
      <w:r>
        <w:t>.</w:t>
      </w:r>
      <w:proofErr w:type="gramEnd"/>
      <w:r>
        <w:t xml:space="preserve"> Sage.</w:t>
      </w:r>
    </w:p>
    <w:p w14:paraId="70516156" w14:textId="77777777" w:rsidR="003118C5" w:rsidRDefault="009F6801">
      <w:pPr>
        <w:pStyle w:val="EndNoteBibliography"/>
        <w:spacing w:after="120" w:line="480" w:lineRule="auto"/>
      </w:pPr>
      <w:proofErr w:type="spellStart"/>
      <w:proofErr w:type="gramStart"/>
      <w:r>
        <w:t>Easterby</w:t>
      </w:r>
      <w:proofErr w:type="spellEnd"/>
      <w:r>
        <w:t>-Smith M., Thorpe R. &amp; Jackson P. R. (2008).</w:t>
      </w:r>
      <w:proofErr w:type="gramEnd"/>
      <w:r>
        <w:t xml:space="preserve"> </w:t>
      </w:r>
      <w:proofErr w:type="gramStart"/>
      <w:r>
        <w:t xml:space="preserve">The politics and ethics of management research in </w:t>
      </w:r>
      <w:proofErr w:type="spellStart"/>
      <w:r>
        <w:t>Easterby</w:t>
      </w:r>
      <w:proofErr w:type="spellEnd"/>
      <w:r>
        <w:t>-Smith M., Thorpe R., &amp; Jackson PR, (Eds.).</w:t>
      </w:r>
      <w:proofErr w:type="gramEnd"/>
      <w:r>
        <w:t xml:space="preserve"> </w:t>
      </w:r>
      <w:r>
        <w:rPr>
          <w:i/>
          <w:iCs/>
        </w:rPr>
        <w:t>Management Research</w:t>
      </w:r>
      <w:r>
        <w:t>. Sage Publications, London, p. 113-139</w:t>
      </w:r>
    </w:p>
    <w:p w14:paraId="7D101799" w14:textId="77777777" w:rsidR="003118C5" w:rsidRDefault="009F6801">
      <w:pPr>
        <w:pStyle w:val="Body"/>
        <w:spacing w:after="120" w:line="480" w:lineRule="auto"/>
      </w:pPr>
      <w:r>
        <w:t xml:space="preserve">Eisner, E. W. (1981) "On the differences between scientific and artistic approaches to qualitative research." </w:t>
      </w:r>
      <w:r>
        <w:rPr>
          <w:i/>
          <w:iCs/>
        </w:rPr>
        <w:t>Educational Researcher</w:t>
      </w:r>
      <w:r>
        <w:t xml:space="preserve"> 10, 5-9</w:t>
      </w:r>
    </w:p>
    <w:p w14:paraId="6D66566B" w14:textId="77777777" w:rsidR="003118C5" w:rsidRDefault="009F6801">
      <w:pPr>
        <w:pStyle w:val="CommentText"/>
        <w:spacing w:after="120" w:line="480" w:lineRule="auto"/>
        <w:rPr>
          <w:rFonts w:ascii="Calibri" w:eastAsia="Calibri" w:hAnsi="Calibri" w:cs="Calibri"/>
        </w:rPr>
      </w:pPr>
      <w:r>
        <w:rPr>
          <w:rFonts w:ascii="Calibri" w:eastAsia="Calibri" w:hAnsi="Calibri" w:cs="Calibri"/>
        </w:rPr>
        <w:t>Ellis, C., Flaherty, M.G. Eds. (1992) Investigating Subjectivity, Research on Lived Experience. Sage.</w:t>
      </w:r>
    </w:p>
    <w:p w14:paraId="0A0E413C" w14:textId="77777777" w:rsidR="003118C5" w:rsidRDefault="009F6801">
      <w:pPr>
        <w:pStyle w:val="EndNoteBibliography"/>
        <w:spacing w:after="120" w:line="480" w:lineRule="auto"/>
      </w:pPr>
      <w:proofErr w:type="spellStart"/>
      <w:r>
        <w:rPr>
          <w:lang w:val="pt-PT"/>
        </w:rPr>
        <w:t>Est</w:t>
      </w:r>
      <w:r w:rsidRPr="004F2C97">
        <w:rPr>
          <w:lang w:val="en-CA"/>
        </w:rPr>
        <w:t>évez</w:t>
      </w:r>
      <w:proofErr w:type="spellEnd"/>
      <w:r w:rsidRPr="004F2C97">
        <w:rPr>
          <w:lang w:val="en-CA"/>
        </w:rPr>
        <w:t xml:space="preserve"> R. </w:t>
      </w:r>
      <w:proofErr w:type="gramStart"/>
      <w:r w:rsidRPr="004F2C97">
        <w:rPr>
          <w:lang w:val="en-CA"/>
        </w:rPr>
        <w:t xml:space="preserve">A. &amp; </w:t>
      </w:r>
      <w:proofErr w:type="spellStart"/>
      <w:r w:rsidRPr="004F2C97">
        <w:rPr>
          <w:lang w:val="en-CA"/>
        </w:rPr>
        <w:t>Gelcich</w:t>
      </w:r>
      <w:proofErr w:type="spellEnd"/>
      <w:r w:rsidRPr="004F2C97">
        <w:rPr>
          <w:lang w:val="en-CA"/>
        </w:rPr>
        <w:t xml:space="preserve"> S. (2015).</w:t>
      </w:r>
      <w:proofErr w:type="gramEnd"/>
      <w:r w:rsidRPr="004F2C97">
        <w:rPr>
          <w:lang w:val="en-CA"/>
        </w:rPr>
        <w:t xml:space="preserve"> </w:t>
      </w:r>
      <w:r>
        <w:t xml:space="preserve">Participative multi-criteria decision analysis in marine management and conservation: Research progress and the challenge of integrating value judgments and uncertainty. </w:t>
      </w:r>
      <w:proofErr w:type="gramStart"/>
      <w:r>
        <w:rPr>
          <w:i/>
          <w:iCs/>
        </w:rPr>
        <w:t xml:space="preserve">Marine Policy, </w:t>
      </w:r>
      <w:r>
        <w:t>61, 1-7.</w:t>
      </w:r>
      <w:proofErr w:type="gramEnd"/>
    </w:p>
    <w:p w14:paraId="5FE93FBC" w14:textId="77777777" w:rsidR="003118C5" w:rsidRDefault="009F6801">
      <w:pPr>
        <w:pStyle w:val="Body"/>
        <w:spacing w:line="480" w:lineRule="auto"/>
      </w:pPr>
      <w:proofErr w:type="spellStart"/>
      <w:proofErr w:type="gramStart"/>
      <w:r>
        <w:t>Flyvbjerg</w:t>
      </w:r>
      <w:proofErr w:type="spellEnd"/>
      <w:r>
        <w:t>, B., 2001.</w:t>
      </w:r>
      <w:proofErr w:type="gramEnd"/>
      <w:r>
        <w:t xml:space="preserve"> Making social science matter: why social science inquiry fails and how it can succeed again. Cambridge University Press, New York.</w:t>
      </w:r>
    </w:p>
    <w:p w14:paraId="123EFE32" w14:textId="77777777" w:rsidR="003118C5" w:rsidRDefault="009F6801">
      <w:pPr>
        <w:pStyle w:val="EndNoteBibliography"/>
        <w:spacing w:after="120" w:line="480" w:lineRule="auto"/>
      </w:pPr>
      <w:r w:rsidRPr="004F2C97">
        <w:t xml:space="preserve">Fontana A. &amp; Frey J. H. (2005). </w:t>
      </w:r>
      <w:r>
        <w:t xml:space="preserve">The interview: From neutral stance to political involvement. </w:t>
      </w:r>
      <w:proofErr w:type="gramStart"/>
      <w:r>
        <w:t>in</w:t>
      </w:r>
      <w:proofErr w:type="gramEnd"/>
      <w:r>
        <w:t xml:space="preserve"> </w:t>
      </w:r>
      <w:proofErr w:type="spellStart"/>
      <w:r>
        <w:t>Denzin</w:t>
      </w:r>
      <w:proofErr w:type="spellEnd"/>
      <w:r>
        <w:t xml:space="preserve"> N. K., &amp; Lincoln Y.S., (Eds.) </w:t>
      </w:r>
      <w:proofErr w:type="gramStart"/>
      <w:r>
        <w:rPr>
          <w:i/>
          <w:iCs/>
        </w:rPr>
        <w:t>The Sage Handbook of Qualitative Research</w:t>
      </w:r>
      <w:r>
        <w:t>.</w:t>
      </w:r>
      <w:proofErr w:type="gramEnd"/>
      <w:r>
        <w:t xml:space="preserve"> Sage, Thousand Oaks, CA., p. 695-727</w:t>
      </w:r>
    </w:p>
    <w:p w14:paraId="15AA710D" w14:textId="77777777" w:rsidR="003118C5" w:rsidRDefault="009F6801">
      <w:pPr>
        <w:pStyle w:val="Body"/>
        <w:spacing w:after="120" w:line="480" w:lineRule="auto"/>
      </w:pPr>
      <w:r w:rsidRPr="004F2C97">
        <w:rPr>
          <w:lang w:val="it-IT"/>
        </w:rPr>
        <w:t xml:space="preserve">Greene J.C. &amp; </w:t>
      </w:r>
      <w:proofErr w:type="spellStart"/>
      <w:r w:rsidRPr="004F2C97">
        <w:rPr>
          <w:lang w:val="it-IT"/>
        </w:rPr>
        <w:t>Caracelli</w:t>
      </w:r>
      <w:proofErr w:type="spellEnd"/>
      <w:r w:rsidRPr="004F2C97">
        <w:rPr>
          <w:lang w:val="it-IT"/>
        </w:rPr>
        <w:t xml:space="preserve"> </w:t>
      </w:r>
      <w:proofErr w:type="gramStart"/>
      <w:r w:rsidRPr="004F2C97">
        <w:rPr>
          <w:lang w:val="it-IT"/>
        </w:rPr>
        <w:t>V.J.</w:t>
      </w:r>
      <w:proofErr w:type="gramEnd"/>
      <w:r w:rsidRPr="004F2C97">
        <w:rPr>
          <w:lang w:val="it-IT"/>
        </w:rPr>
        <w:t xml:space="preserve"> (1997) </w:t>
      </w:r>
      <w:r>
        <w:rPr>
          <w:i/>
          <w:iCs/>
        </w:rPr>
        <w:t>Advances in Mixed-Method Evaluation: The Challenges and Benefits of Integrating Diverse Paradigms (New Directions for Evaluation, No. 74)</w:t>
      </w:r>
      <w:r w:rsidRPr="004F2C97">
        <w:rPr>
          <w:lang w:val="it-IT"/>
        </w:rPr>
        <w:t xml:space="preserve">. </w:t>
      </w:r>
      <w:proofErr w:type="spellStart"/>
      <w:r w:rsidRPr="004F2C97">
        <w:rPr>
          <w:lang w:val="it-IT"/>
        </w:rPr>
        <w:t>Jossey-Bass</w:t>
      </w:r>
      <w:proofErr w:type="spellEnd"/>
      <w:r w:rsidRPr="004F2C97">
        <w:rPr>
          <w:lang w:val="it-IT"/>
        </w:rPr>
        <w:t>, San Francisco.</w:t>
      </w:r>
    </w:p>
    <w:p w14:paraId="46BFABA1" w14:textId="77777777" w:rsidR="003118C5" w:rsidRDefault="009F6801">
      <w:pPr>
        <w:pStyle w:val="Body"/>
        <w:spacing w:after="120" w:line="480" w:lineRule="auto"/>
      </w:pPr>
      <w:proofErr w:type="spellStart"/>
      <w:proofErr w:type="gramStart"/>
      <w:r>
        <w:t>Guba</w:t>
      </w:r>
      <w:proofErr w:type="spellEnd"/>
      <w:r>
        <w:t>, E. G. (1990).</w:t>
      </w:r>
      <w:proofErr w:type="gramEnd"/>
      <w:r>
        <w:t xml:space="preserve"> </w:t>
      </w:r>
      <w:proofErr w:type="gramStart"/>
      <w:r>
        <w:t>The alternative paradigm dialog.</w:t>
      </w:r>
      <w:proofErr w:type="gramEnd"/>
      <w:r>
        <w:t xml:space="preserve"> In E. G. </w:t>
      </w:r>
      <w:proofErr w:type="spellStart"/>
      <w:r>
        <w:t>Guba</w:t>
      </w:r>
      <w:proofErr w:type="spellEnd"/>
      <w:r>
        <w:t xml:space="preserve"> (Ed.) </w:t>
      </w:r>
      <w:r>
        <w:rPr>
          <w:i/>
          <w:iCs/>
        </w:rPr>
        <w:t>The Paradigm Dialog</w:t>
      </w:r>
      <w:r>
        <w:t xml:space="preserve"> Newbury Park, CA: Sage, p. 17-30.</w:t>
      </w:r>
    </w:p>
    <w:p w14:paraId="42282A43" w14:textId="77777777" w:rsidR="003118C5" w:rsidRDefault="009F6801">
      <w:pPr>
        <w:pStyle w:val="EndNoteBibliography"/>
        <w:spacing w:after="120" w:line="480" w:lineRule="auto"/>
      </w:pPr>
      <w:bookmarkStart w:id="2" w:name="_ENREF_15"/>
      <w:proofErr w:type="spellStart"/>
      <w:r w:rsidRPr="004F2C97">
        <w:t>Guba</w:t>
      </w:r>
      <w:proofErr w:type="spellEnd"/>
      <w:r w:rsidRPr="004F2C97">
        <w:t xml:space="preserve"> E. G. &amp; Lincoln Y.S. (2005). </w:t>
      </w:r>
      <w:r>
        <w:t xml:space="preserve">Paradigmatic controversies, contradictions and emerging confluences in </w:t>
      </w:r>
      <w:proofErr w:type="spellStart"/>
      <w:r>
        <w:t>Denzin</w:t>
      </w:r>
      <w:proofErr w:type="spellEnd"/>
      <w:r>
        <w:t xml:space="preserve"> N. K., and Lincoln Y.S., (Eds.) </w:t>
      </w:r>
      <w:proofErr w:type="gramStart"/>
      <w:r>
        <w:rPr>
          <w:i/>
          <w:iCs/>
        </w:rPr>
        <w:t>The Sage Handbook of Qualitative Research</w:t>
      </w:r>
      <w:r>
        <w:t>.</w:t>
      </w:r>
      <w:proofErr w:type="gramEnd"/>
      <w:r>
        <w:t xml:space="preserve"> Sage, Thousand Oaks, CA, p. 191-215</w:t>
      </w:r>
    </w:p>
    <w:p w14:paraId="19EA1FF6" w14:textId="77777777" w:rsidR="003118C5" w:rsidRDefault="009F6801">
      <w:pPr>
        <w:pStyle w:val="Body"/>
        <w:spacing w:after="120" w:line="480" w:lineRule="auto"/>
      </w:pPr>
      <w:proofErr w:type="gramStart"/>
      <w:r>
        <w:t xml:space="preserve">Guest, G., </w:t>
      </w:r>
      <w:proofErr w:type="spellStart"/>
      <w:r>
        <w:t>Bunce</w:t>
      </w:r>
      <w:proofErr w:type="spellEnd"/>
      <w:r>
        <w:t>, A. &amp; Johnson, L. (2006).</w:t>
      </w:r>
      <w:proofErr w:type="gramEnd"/>
      <w:r>
        <w:t xml:space="preserve"> How many interviews are enough? </w:t>
      </w:r>
      <w:proofErr w:type="gramStart"/>
      <w:r>
        <w:t>An experiment with data saturation and variability.</w:t>
      </w:r>
      <w:proofErr w:type="gramEnd"/>
      <w:r>
        <w:t xml:space="preserve"> </w:t>
      </w:r>
      <w:proofErr w:type="gramStart"/>
      <w:r>
        <w:rPr>
          <w:i/>
          <w:iCs/>
        </w:rPr>
        <w:t>Field Methods</w:t>
      </w:r>
      <w:r>
        <w:t xml:space="preserve">, </w:t>
      </w:r>
      <w:r>
        <w:rPr>
          <w:i/>
          <w:iCs/>
        </w:rPr>
        <w:t xml:space="preserve">18, </w:t>
      </w:r>
      <w:r>
        <w:t>59-82.</w:t>
      </w:r>
      <w:bookmarkEnd w:id="2"/>
      <w:proofErr w:type="gramEnd"/>
    </w:p>
    <w:p w14:paraId="45D8EF1E" w14:textId="77777777" w:rsidR="003118C5" w:rsidRDefault="009F6801">
      <w:pPr>
        <w:pStyle w:val="EndNoteBibliography"/>
        <w:spacing w:after="120" w:line="480" w:lineRule="auto"/>
      </w:pPr>
      <w:proofErr w:type="spellStart"/>
      <w:r>
        <w:t>Hajkowicz</w:t>
      </w:r>
      <w:proofErr w:type="spellEnd"/>
      <w:r>
        <w:t xml:space="preserve"> S. (2007). Allocating scarce financial resources across regions for environmental management in Queensland, Australia. </w:t>
      </w:r>
      <w:proofErr w:type="spellStart"/>
      <w:r>
        <w:rPr>
          <w:i/>
          <w:iCs/>
          <w:lang w:val="it-IT"/>
        </w:rPr>
        <w:t>Ecological</w:t>
      </w:r>
      <w:proofErr w:type="spellEnd"/>
      <w:r>
        <w:rPr>
          <w:i/>
          <w:iCs/>
          <w:lang w:val="it-IT"/>
        </w:rPr>
        <w:t xml:space="preserve"> </w:t>
      </w:r>
      <w:proofErr w:type="spellStart"/>
      <w:r>
        <w:rPr>
          <w:i/>
          <w:iCs/>
          <w:lang w:val="it-IT"/>
        </w:rPr>
        <w:t>Economics</w:t>
      </w:r>
      <w:proofErr w:type="spellEnd"/>
      <w:r>
        <w:rPr>
          <w:i/>
          <w:iCs/>
          <w:lang w:val="it-IT"/>
        </w:rPr>
        <w:t>,</w:t>
      </w:r>
      <w:r>
        <w:t xml:space="preserve"> 61, 208-216.</w:t>
      </w:r>
    </w:p>
    <w:p w14:paraId="2E5A2811" w14:textId="77777777" w:rsidR="003118C5" w:rsidRDefault="009F6801">
      <w:pPr>
        <w:pStyle w:val="EndNoteBibliography"/>
        <w:spacing w:after="120" w:line="480" w:lineRule="auto"/>
      </w:pPr>
      <w:proofErr w:type="spellStart"/>
      <w:r>
        <w:t>Heyink</w:t>
      </w:r>
      <w:proofErr w:type="spellEnd"/>
      <w:r>
        <w:t xml:space="preserve"> J. W. &amp; </w:t>
      </w:r>
      <w:proofErr w:type="spellStart"/>
      <w:r>
        <w:t>Tymstra</w:t>
      </w:r>
      <w:proofErr w:type="spellEnd"/>
      <w:r>
        <w:t xml:space="preserve"> T. J. (1993). </w:t>
      </w:r>
      <w:proofErr w:type="gramStart"/>
      <w:r>
        <w:t>The Function of Qualitative Research</w:t>
      </w:r>
      <w:r>
        <w:rPr>
          <w:i/>
          <w:iCs/>
        </w:rPr>
        <w:t>.</w:t>
      </w:r>
      <w:proofErr w:type="gramEnd"/>
      <w:r>
        <w:rPr>
          <w:i/>
          <w:iCs/>
        </w:rPr>
        <w:t xml:space="preserve"> </w:t>
      </w:r>
      <w:proofErr w:type="gramStart"/>
      <w:r>
        <w:rPr>
          <w:i/>
          <w:iCs/>
        </w:rPr>
        <w:t>Social Indicators Research</w:t>
      </w:r>
      <w:r>
        <w:t>, 29,</w:t>
      </w:r>
      <w:r>
        <w:rPr>
          <w:b/>
          <w:bCs/>
        </w:rPr>
        <w:t xml:space="preserve"> </w:t>
      </w:r>
      <w:r>
        <w:t>291-305.</w:t>
      </w:r>
      <w:proofErr w:type="gramEnd"/>
    </w:p>
    <w:p w14:paraId="53BFE9AB" w14:textId="77777777" w:rsidR="003118C5" w:rsidRDefault="009F6801">
      <w:pPr>
        <w:pStyle w:val="Body"/>
        <w:spacing w:after="120" w:line="480" w:lineRule="auto"/>
      </w:pPr>
      <w:r>
        <w:t xml:space="preserve">Justine L., </w:t>
      </w:r>
      <w:proofErr w:type="spellStart"/>
      <w:r>
        <w:t>Howden</w:t>
      </w:r>
      <w:proofErr w:type="spellEnd"/>
      <w:r>
        <w:t xml:space="preserve"> S.M., </w:t>
      </w:r>
      <w:proofErr w:type="spellStart"/>
      <w:r>
        <w:t>Cvitanovic</w:t>
      </w:r>
      <w:proofErr w:type="spellEnd"/>
      <w:r>
        <w:t xml:space="preserve"> C., Dowd A-M. (2015) Informed adaptation: Ethical considerations for adaptation researchers and decision-makers. </w:t>
      </w:r>
      <w:r>
        <w:rPr>
          <w:i/>
          <w:iCs/>
        </w:rPr>
        <w:t>Global Environmental Change</w:t>
      </w:r>
      <w:r>
        <w:t>, 32, 200-</w:t>
      </w:r>
      <w:proofErr w:type="spellStart"/>
      <w:r>
        <w:t>210.McCaslin</w:t>
      </w:r>
      <w:proofErr w:type="spellEnd"/>
      <w:r>
        <w:t xml:space="preserve">, M.L. &amp; Scott, K.W. (2003) The five-question method for framing a qualitative research study. </w:t>
      </w:r>
      <w:proofErr w:type="gramStart"/>
      <w:r>
        <w:rPr>
          <w:i/>
          <w:iCs/>
        </w:rPr>
        <w:t>The Qualitative Report</w:t>
      </w:r>
      <w:r>
        <w:t>, 8, 447-461.</w:t>
      </w:r>
      <w:proofErr w:type="gramEnd"/>
    </w:p>
    <w:p w14:paraId="14E8F3CE" w14:textId="77777777" w:rsidR="006E4B50" w:rsidRDefault="006E4B50" w:rsidP="006E4B50">
      <w:pPr>
        <w:pStyle w:val="Body"/>
        <w:spacing w:after="120" w:line="480" w:lineRule="auto"/>
      </w:pPr>
      <w:proofErr w:type="spellStart"/>
      <w:r>
        <w:t>Longino</w:t>
      </w:r>
      <w:proofErr w:type="spellEnd"/>
      <w:r>
        <w:t>, H. E. (1990). Science as social knowledge: Values and objectivity in scientific inquiry, Princeton University Press.</w:t>
      </w:r>
    </w:p>
    <w:p w14:paraId="47DDE9A5" w14:textId="77777777" w:rsidR="006E4B50" w:rsidRDefault="006E4B50" w:rsidP="006E4B50">
      <w:pPr>
        <w:pStyle w:val="Body"/>
        <w:spacing w:after="120" w:line="480" w:lineRule="auto"/>
      </w:pPr>
      <w:proofErr w:type="spellStart"/>
      <w:r>
        <w:t>Longino</w:t>
      </w:r>
      <w:proofErr w:type="spellEnd"/>
      <w:r>
        <w:t>, H. E. (2002). The fate of knowledge, Princeton University Press.</w:t>
      </w:r>
    </w:p>
    <w:p w14:paraId="047428A1" w14:textId="77777777" w:rsidR="003118C5" w:rsidRDefault="009F6801">
      <w:pPr>
        <w:pStyle w:val="Body"/>
        <w:spacing w:after="120" w:line="480" w:lineRule="auto"/>
      </w:pPr>
      <w:proofErr w:type="spellStart"/>
      <w:r w:rsidRPr="004F2C97">
        <w:t>Malterud</w:t>
      </w:r>
      <w:proofErr w:type="spellEnd"/>
      <w:r w:rsidRPr="004F2C97">
        <w:t xml:space="preserve">, K., </w:t>
      </w:r>
      <w:proofErr w:type="spellStart"/>
      <w:r w:rsidRPr="004F2C97">
        <w:t>Siersma</w:t>
      </w:r>
      <w:proofErr w:type="spellEnd"/>
      <w:r w:rsidRPr="004F2C97">
        <w:t xml:space="preserve">, V. D. &amp; </w:t>
      </w:r>
      <w:proofErr w:type="spellStart"/>
      <w:r w:rsidRPr="004F2C97">
        <w:t>Guassora</w:t>
      </w:r>
      <w:proofErr w:type="spellEnd"/>
      <w:r w:rsidRPr="004F2C97">
        <w:t xml:space="preserve">, A D. (2016). </w:t>
      </w:r>
      <w:r>
        <w:t xml:space="preserve">"Sample size in qualitative interview studies: guided by information power." </w:t>
      </w:r>
      <w:proofErr w:type="gramStart"/>
      <w:r>
        <w:rPr>
          <w:i/>
          <w:iCs/>
        </w:rPr>
        <w:t>Qualitative Health Research</w:t>
      </w:r>
      <w:r>
        <w:t>, 26, 1753-1760.</w:t>
      </w:r>
      <w:proofErr w:type="gramEnd"/>
    </w:p>
    <w:p w14:paraId="7747645A" w14:textId="77777777" w:rsidR="003118C5" w:rsidRDefault="009F6801">
      <w:pPr>
        <w:pStyle w:val="Body"/>
        <w:spacing w:after="120" w:line="480" w:lineRule="auto"/>
      </w:pPr>
      <w:r>
        <w:t xml:space="preserve">Maxwell, J.A. (2012). </w:t>
      </w:r>
      <w:r>
        <w:rPr>
          <w:i/>
          <w:iCs/>
        </w:rPr>
        <w:t>Qualitative Research Design: An Interactive Approach</w:t>
      </w:r>
      <w:r>
        <w:t xml:space="preserve"> (Vol. 41). Sage.</w:t>
      </w:r>
    </w:p>
    <w:p w14:paraId="08E1D5EC" w14:textId="77777777" w:rsidR="003118C5" w:rsidRDefault="009F6801">
      <w:pPr>
        <w:pStyle w:val="Body"/>
        <w:spacing w:after="120" w:line="480" w:lineRule="auto"/>
      </w:pPr>
      <w:proofErr w:type="gramStart"/>
      <w:r>
        <w:t>Moon, K. &amp; Blackman, D. (2014).</w:t>
      </w:r>
      <w:proofErr w:type="gramEnd"/>
      <w:r>
        <w:t xml:space="preserve"> A Guide to Understanding Social Science Research for Natural Scientists: Social Science for Natural Scientists. </w:t>
      </w:r>
      <w:r>
        <w:rPr>
          <w:i/>
          <w:iCs/>
        </w:rPr>
        <w:t>Conservation Biology,</w:t>
      </w:r>
      <w:r>
        <w:t xml:space="preserve"> 28, 1167–1177.</w:t>
      </w:r>
    </w:p>
    <w:p w14:paraId="5AD870B6" w14:textId="77777777" w:rsidR="003118C5" w:rsidRDefault="009F6801">
      <w:pPr>
        <w:pStyle w:val="Body"/>
        <w:spacing w:after="120" w:line="480" w:lineRule="auto"/>
      </w:pPr>
      <w:proofErr w:type="gramStart"/>
      <w:r>
        <w:t xml:space="preserve">Moon, K., Brewer, T.D., </w:t>
      </w:r>
      <w:proofErr w:type="spellStart"/>
      <w:r>
        <w:t>Januchowski</w:t>
      </w:r>
      <w:proofErr w:type="spellEnd"/>
      <w:r>
        <w:t>-Hartley, S.R., Adams, V.M., &amp; Blackman, D.A. (2016).</w:t>
      </w:r>
      <w:proofErr w:type="gramEnd"/>
      <w:r>
        <w:t xml:space="preserve"> </w:t>
      </w:r>
      <w:proofErr w:type="gramStart"/>
      <w:r>
        <w:t>A guideline to improve qualitative social science publishing in ecology and conservation journals.</w:t>
      </w:r>
      <w:proofErr w:type="gramEnd"/>
      <w:r>
        <w:t xml:space="preserve"> </w:t>
      </w:r>
      <w:proofErr w:type="gramStart"/>
      <w:r>
        <w:rPr>
          <w:i/>
          <w:iCs/>
        </w:rPr>
        <w:t>Ecology and Society</w:t>
      </w:r>
      <w:r>
        <w:t>, 21.</w:t>
      </w:r>
      <w:proofErr w:type="gramEnd"/>
      <w:r>
        <w:t xml:space="preserve"> </w:t>
      </w:r>
    </w:p>
    <w:p w14:paraId="3C68D5E0" w14:textId="77777777" w:rsidR="003118C5" w:rsidRDefault="009F6801">
      <w:pPr>
        <w:pStyle w:val="Body"/>
        <w:spacing w:after="120" w:line="480" w:lineRule="auto"/>
      </w:pPr>
      <w:bookmarkStart w:id="3" w:name="_ENREF_31"/>
      <w:r>
        <w:t xml:space="preserve">Morgan D.L. (1998) Practical strategies for combining qualitative and quantitative methods: applications to health research. </w:t>
      </w:r>
      <w:proofErr w:type="gramStart"/>
      <w:r>
        <w:rPr>
          <w:i/>
          <w:iCs/>
        </w:rPr>
        <w:t>Qualitative Health Research,</w:t>
      </w:r>
      <w:r>
        <w:t xml:space="preserve"> 8, 362-376.</w:t>
      </w:r>
      <w:bookmarkStart w:id="4" w:name="_ENREF_33"/>
      <w:bookmarkEnd w:id="3"/>
      <w:proofErr w:type="gramEnd"/>
    </w:p>
    <w:p w14:paraId="1CE1D176" w14:textId="77777777" w:rsidR="003118C5" w:rsidRDefault="009F6801">
      <w:pPr>
        <w:pStyle w:val="Body"/>
        <w:spacing w:after="120" w:line="480" w:lineRule="auto"/>
      </w:pPr>
      <w:proofErr w:type="gramStart"/>
      <w:r>
        <w:rPr>
          <w:shd w:val="clear" w:color="auto" w:fill="FFFFFF"/>
        </w:rPr>
        <w:t>Morgan, A. K. &amp; Drury, V. B. (2003).</w:t>
      </w:r>
      <w:proofErr w:type="gramEnd"/>
      <w:r>
        <w:rPr>
          <w:shd w:val="clear" w:color="auto" w:fill="FFFFFF"/>
        </w:rPr>
        <w:t xml:space="preserve"> </w:t>
      </w:r>
      <w:proofErr w:type="spellStart"/>
      <w:r>
        <w:rPr>
          <w:shd w:val="clear" w:color="auto" w:fill="FFFFFF"/>
        </w:rPr>
        <w:t>Legitimising</w:t>
      </w:r>
      <w:proofErr w:type="spellEnd"/>
      <w:r>
        <w:rPr>
          <w:shd w:val="clear" w:color="auto" w:fill="FFFFFF"/>
        </w:rPr>
        <w:t xml:space="preserve"> the subjectivity of human reality through qualitative research method. </w:t>
      </w:r>
      <w:r>
        <w:rPr>
          <w:i/>
          <w:iCs/>
          <w:shd w:val="clear" w:color="auto" w:fill="FFFFFF"/>
        </w:rPr>
        <w:t>The Qualitative Report</w:t>
      </w:r>
      <w:r>
        <w:rPr>
          <w:shd w:val="clear" w:color="auto" w:fill="FFFFFF"/>
        </w:rPr>
        <w:t>, </w:t>
      </w:r>
      <w:r>
        <w:rPr>
          <w:i/>
          <w:iCs/>
          <w:shd w:val="clear" w:color="auto" w:fill="FFFFFF"/>
        </w:rPr>
        <w:t>8</w:t>
      </w:r>
      <w:r>
        <w:rPr>
          <w:shd w:val="clear" w:color="auto" w:fill="FFFFFF"/>
        </w:rPr>
        <w:t>: 70-80.</w:t>
      </w:r>
    </w:p>
    <w:p w14:paraId="1E2D629A" w14:textId="77777777" w:rsidR="003118C5" w:rsidRDefault="009F6801">
      <w:pPr>
        <w:pStyle w:val="Body"/>
        <w:spacing w:after="120" w:line="480" w:lineRule="auto"/>
      </w:pPr>
      <w:proofErr w:type="gramStart"/>
      <w:r>
        <w:t>Morse J.M.R.N. (1991) Approaches to qualitative-quantitative methodological triangulation.</w:t>
      </w:r>
      <w:proofErr w:type="gramEnd"/>
      <w:r>
        <w:t xml:space="preserve"> </w:t>
      </w:r>
      <w:r>
        <w:rPr>
          <w:i/>
          <w:iCs/>
        </w:rPr>
        <w:t>Nursing Research,</w:t>
      </w:r>
      <w:r w:rsidRPr="004F2C97">
        <w:rPr>
          <w:lang w:val="it-IT"/>
        </w:rPr>
        <w:t xml:space="preserve"> 40, 120-123.</w:t>
      </w:r>
      <w:bookmarkEnd w:id="4"/>
    </w:p>
    <w:p w14:paraId="4E2C7367" w14:textId="77777777" w:rsidR="003118C5" w:rsidRDefault="009F6801">
      <w:pPr>
        <w:pStyle w:val="EndNoteBibliography"/>
        <w:spacing w:after="120" w:line="480" w:lineRule="auto"/>
      </w:pPr>
      <w:r>
        <w:t xml:space="preserve">Mukherjee N, </w:t>
      </w:r>
      <w:proofErr w:type="spellStart"/>
      <w:r>
        <w:t>Zabala</w:t>
      </w:r>
      <w:proofErr w:type="spellEnd"/>
      <w:r>
        <w:t xml:space="preserve"> A, Huge J, </w:t>
      </w:r>
      <w:proofErr w:type="spellStart"/>
      <w:r>
        <w:t>Nyumba</w:t>
      </w:r>
      <w:proofErr w:type="spellEnd"/>
      <w:r>
        <w:t xml:space="preserve"> TO, </w:t>
      </w:r>
      <w:proofErr w:type="spellStart"/>
      <w:r>
        <w:t>Adem</w:t>
      </w:r>
      <w:proofErr w:type="spellEnd"/>
      <w:r>
        <w:t xml:space="preserve"> </w:t>
      </w:r>
      <w:proofErr w:type="spellStart"/>
      <w:r>
        <w:t>Esmail</w:t>
      </w:r>
      <w:proofErr w:type="spellEnd"/>
      <w:r>
        <w:t xml:space="preserve"> B, Sutherland WJ. (2018)</w:t>
      </w:r>
      <w:proofErr w:type="gramStart"/>
      <w:r>
        <w:t xml:space="preserve">. Comparison of techniques for eliciting views and </w:t>
      </w:r>
      <w:proofErr w:type="spellStart"/>
      <w:r>
        <w:t>judgements</w:t>
      </w:r>
      <w:proofErr w:type="spellEnd"/>
      <w:r>
        <w:t xml:space="preserve"> in decision-making.</w:t>
      </w:r>
      <w:proofErr w:type="gramEnd"/>
      <w:r>
        <w:t xml:space="preserve"> </w:t>
      </w:r>
      <w:proofErr w:type="gramStart"/>
      <w:r>
        <w:t>Methods in Ecology and Evolution 9, 54-63.</w:t>
      </w:r>
      <w:proofErr w:type="gramEnd"/>
    </w:p>
    <w:p w14:paraId="1A541EDF" w14:textId="77777777" w:rsidR="003118C5" w:rsidRDefault="009F6801">
      <w:pPr>
        <w:pStyle w:val="Body"/>
        <w:spacing w:after="120" w:line="480" w:lineRule="auto"/>
      </w:pPr>
      <w:r>
        <w:t xml:space="preserve">O’Reilly, M. &amp; Parker, N. (2013). ‘Unsatisfactory Saturation’: a critical exploration of the notion of saturated sample sizes in qualitative research. </w:t>
      </w:r>
      <w:proofErr w:type="gramStart"/>
      <w:r>
        <w:rPr>
          <w:i/>
          <w:iCs/>
        </w:rPr>
        <w:t>Qualitative Research</w:t>
      </w:r>
      <w:r>
        <w:t xml:space="preserve">, </w:t>
      </w:r>
      <w:r>
        <w:rPr>
          <w:i/>
          <w:iCs/>
        </w:rPr>
        <w:t>13</w:t>
      </w:r>
      <w:r>
        <w:t>, 90-197.</w:t>
      </w:r>
      <w:proofErr w:type="gramEnd"/>
    </w:p>
    <w:p w14:paraId="28310C6E" w14:textId="77777777" w:rsidR="003118C5" w:rsidRDefault="009F6801">
      <w:pPr>
        <w:pStyle w:val="Body"/>
        <w:spacing w:after="120" w:line="480" w:lineRule="auto"/>
      </w:pPr>
      <w:proofErr w:type="gramStart"/>
      <w:r>
        <w:t xml:space="preserve">Patton, M.Q. (2002) </w:t>
      </w:r>
      <w:r>
        <w:rPr>
          <w:i/>
          <w:iCs/>
        </w:rPr>
        <w:t>Qualitative Research &amp; Evaluation Methods</w:t>
      </w:r>
      <w:r>
        <w:t>, Third Ed. SAGE, Thousand Oaks.</w:t>
      </w:r>
      <w:proofErr w:type="gramEnd"/>
    </w:p>
    <w:p w14:paraId="7CB6B35F" w14:textId="77777777" w:rsidR="003118C5" w:rsidRDefault="009F6801">
      <w:pPr>
        <w:pStyle w:val="Body"/>
        <w:spacing w:after="120" w:line="480" w:lineRule="auto"/>
      </w:pPr>
      <w:proofErr w:type="spellStart"/>
      <w:r>
        <w:t>Pawson</w:t>
      </w:r>
      <w:proofErr w:type="spellEnd"/>
      <w:r>
        <w:t xml:space="preserve"> R. (2006). Evidence-based policy: a realist perspective. London: SAGE </w:t>
      </w:r>
    </w:p>
    <w:p w14:paraId="080C346F" w14:textId="77777777" w:rsidR="003118C5" w:rsidRDefault="009F6801">
      <w:pPr>
        <w:pStyle w:val="EndNoteBibliography"/>
        <w:spacing w:after="120" w:line="480" w:lineRule="auto"/>
      </w:pPr>
      <w:r>
        <w:t xml:space="preserve">Rose J. &amp; </w:t>
      </w:r>
      <w:proofErr w:type="spellStart"/>
      <w:r>
        <w:t>Bliemer</w:t>
      </w:r>
      <w:proofErr w:type="spellEnd"/>
      <w:r>
        <w:t xml:space="preserve"> M.J. (2013). Sample size requirements for stated choice experiments. </w:t>
      </w:r>
      <w:r w:rsidRPr="004F2C97">
        <w:rPr>
          <w:i/>
          <w:iCs/>
          <w:lang w:val="fr-FR"/>
        </w:rPr>
        <w:t>Transportation</w:t>
      </w:r>
      <w:r>
        <w:rPr>
          <w:lang w:val="ru-RU"/>
        </w:rPr>
        <w:t>, 40,</w:t>
      </w:r>
      <w:r>
        <w:rPr>
          <w:b/>
          <w:bCs/>
        </w:rPr>
        <w:t xml:space="preserve"> </w:t>
      </w:r>
      <w:r>
        <w:t>1021-1041.</w:t>
      </w:r>
    </w:p>
    <w:p w14:paraId="57442F9C" w14:textId="77777777" w:rsidR="003118C5" w:rsidRDefault="009F6801">
      <w:pPr>
        <w:pStyle w:val="Body"/>
        <w:spacing w:after="120" w:line="480" w:lineRule="auto"/>
      </w:pPr>
      <w:proofErr w:type="spellStart"/>
      <w:r>
        <w:t>Salda</w:t>
      </w:r>
      <w:proofErr w:type="spellEnd"/>
      <w:r w:rsidRPr="004F2C97">
        <w:rPr>
          <w:lang w:val="es-ES_tradnl"/>
        </w:rPr>
        <w:t>ñ</w:t>
      </w:r>
      <w:r>
        <w:t xml:space="preserve">a, J. (2015). </w:t>
      </w:r>
      <w:proofErr w:type="gramStart"/>
      <w:r>
        <w:rPr>
          <w:i/>
          <w:iCs/>
        </w:rPr>
        <w:t>The coding manual for qualitative researchers</w:t>
      </w:r>
      <w:r>
        <w:t>.</w:t>
      </w:r>
      <w:proofErr w:type="gramEnd"/>
      <w:r>
        <w:t xml:space="preserve"> Sage. </w:t>
      </w:r>
    </w:p>
    <w:p w14:paraId="6DE350BB" w14:textId="77777777" w:rsidR="003118C5" w:rsidRDefault="009F6801">
      <w:pPr>
        <w:pStyle w:val="Body"/>
        <w:spacing w:after="120" w:line="480" w:lineRule="auto"/>
      </w:pPr>
      <w:proofErr w:type="spellStart"/>
      <w:r>
        <w:t>Sandelowski</w:t>
      </w:r>
      <w:proofErr w:type="spellEnd"/>
      <w:r>
        <w:t xml:space="preserve">, M. (2010). "What's in a name? Qualitative description revisited." </w:t>
      </w:r>
      <w:proofErr w:type="gramStart"/>
      <w:r>
        <w:rPr>
          <w:i/>
          <w:iCs/>
        </w:rPr>
        <w:t>Research in Nursing &amp; Health,</w:t>
      </w:r>
      <w:r>
        <w:t xml:space="preserve"> 33, 77-84.</w:t>
      </w:r>
      <w:proofErr w:type="gramEnd"/>
    </w:p>
    <w:p w14:paraId="449D06B3" w14:textId="77777777" w:rsidR="003118C5" w:rsidRDefault="009F6801">
      <w:pPr>
        <w:pStyle w:val="Body"/>
        <w:spacing w:after="120" w:line="480" w:lineRule="auto"/>
      </w:pPr>
      <w:proofErr w:type="spellStart"/>
      <w:r>
        <w:t>Sandelowski</w:t>
      </w:r>
      <w:proofErr w:type="spellEnd"/>
      <w:r>
        <w:t xml:space="preserve">, M. (1995). </w:t>
      </w:r>
      <w:proofErr w:type="gramStart"/>
      <w:r>
        <w:t>Sample size in qualitative research.</w:t>
      </w:r>
      <w:proofErr w:type="gramEnd"/>
      <w:r>
        <w:t xml:space="preserve"> </w:t>
      </w:r>
      <w:proofErr w:type="gramStart"/>
      <w:r>
        <w:rPr>
          <w:i/>
          <w:iCs/>
        </w:rPr>
        <w:t>Research in Nursing &amp; Health</w:t>
      </w:r>
      <w:r>
        <w:t xml:space="preserve">, </w:t>
      </w:r>
      <w:r>
        <w:rPr>
          <w:i/>
          <w:iCs/>
        </w:rPr>
        <w:t>18</w:t>
      </w:r>
      <w:r>
        <w:t>, 179-183.</w:t>
      </w:r>
      <w:proofErr w:type="gramEnd"/>
    </w:p>
    <w:p w14:paraId="77344BEF" w14:textId="3E616E54" w:rsidR="00D2619B" w:rsidRPr="003D24CC" w:rsidRDefault="00D2619B" w:rsidP="003D24CC">
      <w:pPr>
        <w:spacing w:line="480" w:lineRule="auto"/>
        <w:rPr>
          <w:rFonts w:ascii="Calibri" w:eastAsia="Times New Roman" w:hAnsi="Calibri"/>
          <w:sz w:val="22"/>
          <w:szCs w:val="22"/>
        </w:rPr>
      </w:pPr>
      <w:proofErr w:type="spellStart"/>
      <w:proofErr w:type="gramStart"/>
      <w:r w:rsidRPr="003D24CC">
        <w:rPr>
          <w:rFonts w:ascii="Calibri" w:eastAsia="Times New Roman" w:hAnsi="Calibri"/>
          <w:sz w:val="22"/>
          <w:szCs w:val="22"/>
        </w:rPr>
        <w:t>Sandbrook</w:t>
      </w:r>
      <w:proofErr w:type="spellEnd"/>
      <w:r w:rsidRPr="003D24CC">
        <w:rPr>
          <w:rFonts w:ascii="Calibri" w:eastAsia="Times New Roman" w:hAnsi="Calibri"/>
          <w:sz w:val="22"/>
          <w:szCs w:val="22"/>
        </w:rPr>
        <w:t>, C</w:t>
      </w:r>
      <w:r>
        <w:rPr>
          <w:rFonts w:ascii="Calibri" w:eastAsia="Times New Roman" w:hAnsi="Calibri"/>
          <w:sz w:val="22"/>
          <w:szCs w:val="22"/>
        </w:rPr>
        <w:t>.</w:t>
      </w:r>
      <w:r w:rsidRPr="003D24CC">
        <w:rPr>
          <w:rFonts w:ascii="Calibri" w:eastAsia="Times New Roman" w:hAnsi="Calibri"/>
          <w:sz w:val="22"/>
          <w:szCs w:val="22"/>
        </w:rPr>
        <w:t>, A</w:t>
      </w:r>
      <w:r>
        <w:rPr>
          <w:rFonts w:ascii="Calibri" w:eastAsia="Times New Roman" w:hAnsi="Calibri"/>
          <w:sz w:val="22"/>
          <w:szCs w:val="22"/>
        </w:rPr>
        <w:t>dam</w:t>
      </w:r>
      <w:r w:rsidRPr="003D24CC">
        <w:rPr>
          <w:rFonts w:ascii="Calibri" w:eastAsia="Times New Roman" w:hAnsi="Calibri"/>
          <w:sz w:val="22"/>
          <w:szCs w:val="22"/>
        </w:rPr>
        <w:t>s</w:t>
      </w:r>
      <w:r>
        <w:rPr>
          <w:rFonts w:ascii="Calibri" w:eastAsia="Times New Roman" w:hAnsi="Calibri"/>
          <w:sz w:val="22"/>
          <w:szCs w:val="22"/>
        </w:rPr>
        <w:t>, W. M.</w:t>
      </w:r>
      <w:r w:rsidRPr="003D24CC">
        <w:rPr>
          <w:rFonts w:ascii="Calibri" w:eastAsia="Times New Roman" w:hAnsi="Calibri"/>
          <w:sz w:val="22"/>
          <w:szCs w:val="22"/>
        </w:rPr>
        <w:t xml:space="preserve">, </w:t>
      </w:r>
      <w:proofErr w:type="spellStart"/>
      <w:r w:rsidRPr="003D24CC">
        <w:rPr>
          <w:rFonts w:ascii="Calibri" w:eastAsia="Times New Roman" w:hAnsi="Calibri"/>
          <w:sz w:val="22"/>
          <w:szCs w:val="22"/>
        </w:rPr>
        <w:t>Büscher</w:t>
      </w:r>
      <w:proofErr w:type="spellEnd"/>
      <w:r w:rsidRPr="003D24CC">
        <w:rPr>
          <w:rFonts w:ascii="Calibri" w:eastAsia="Times New Roman" w:hAnsi="Calibri"/>
          <w:sz w:val="22"/>
          <w:szCs w:val="22"/>
        </w:rPr>
        <w:t xml:space="preserve">, </w:t>
      </w:r>
      <w:r>
        <w:rPr>
          <w:rFonts w:ascii="Calibri" w:eastAsia="Times New Roman" w:hAnsi="Calibri"/>
          <w:sz w:val="22"/>
          <w:szCs w:val="22"/>
        </w:rPr>
        <w:t xml:space="preserve">B. &amp; </w:t>
      </w:r>
      <w:proofErr w:type="spellStart"/>
      <w:r w:rsidRPr="003D24CC">
        <w:rPr>
          <w:rFonts w:ascii="Calibri" w:eastAsia="Times New Roman" w:hAnsi="Calibri"/>
          <w:sz w:val="22"/>
          <w:szCs w:val="22"/>
        </w:rPr>
        <w:t>Vira</w:t>
      </w:r>
      <w:proofErr w:type="spellEnd"/>
      <w:r>
        <w:rPr>
          <w:rFonts w:ascii="Calibri" w:eastAsia="Times New Roman" w:hAnsi="Calibri"/>
          <w:sz w:val="22"/>
          <w:szCs w:val="22"/>
        </w:rPr>
        <w:t>, B</w:t>
      </w:r>
      <w:r w:rsidRPr="003D24CC">
        <w:rPr>
          <w:rFonts w:ascii="Calibri" w:eastAsia="Times New Roman" w:hAnsi="Calibri"/>
          <w:sz w:val="22"/>
          <w:szCs w:val="22"/>
        </w:rPr>
        <w:t xml:space="preserve">. </w:t>
      </w:r>
      <w:r>
        <w:rPr>
          <w:rFonts w:ascii="Calibri" w:eastAsia="Times New Roman" w:hAnsi="Calibri"/>
          <w:sz w:val="22"/>
          <w:szCs w:val="22"/>
        </w:rPr>
        <w:t>(2013).</w:t>
      </w:r>
      <w:proofErr w:type="gramEnd"/>
      <w:r>
        <w:rPr>
          <w:rFonts w:ascii="Calibri" w:eastAsia="Times New Roman" w:hAnsi="Calibri"/>
          <w:sz w:val="22"/>
          <w:szCs w:val="22"/>
        </w:rPr>
        <w:t xml:space="preserve"> </w:t>
      </w:r>
      <w:r w:rsidRPr="003D24CC">
        <w:rPr>
          <w:rFonts w:ascii="Calibri" w:eastAsia="Times New Roman" w:hAnsi="Calibri"/>
          <w:sz w:val="22"/>
          <w:szCs w:val="22"/>
        </w:rPr>
        <w:t xml:space="preserve">"Social research and biodiversity conservation." </w:t>
      </w:r>
      <w:proofErr w:type="gramStart"/>
      <w:r w:rsidRPr="003D24CC">
        <w:rPr>
          <w:rFonts w:ascii="Calibri" w:eastAsia="Times New Roman" w:hAnsi="Calibri"/>
          <w:i/>
          <w:iCs/>
          <w:sz w:val="22"/>
          <w:szCs w:val="22"/>
        </w:rPr>
        <w:t>Conservation Biology</w:t>
      </w:r>
      <w:r w:rsidRPr="003D24CC">
        <w:rPr>
          <w:rFonts w:ascii="Calibri" w:eastAsia="Times New Roman" w:hAnsi="Calibri"/>
          <w:sz w:val="22"/>
          <w:szCs w:val="22"/>
        </w:rPr>
        <w:t xml:space="preserve"> 27, 1487-1490.</w:t>
      </w:r>
      <w:proofErr w:type="gramEnd"/>
    </w:p>
    <w:p w14:paraId="2D5B880F" w14:textId="2C5205C3" w:rsidR="00A06619" w:rsidRDefault="00D2619B" w:rsidP="00D2619B">
      <w:pPr>
        <w:pStyle w:val="Body"/>
        <w:spacing w:after="120" w:line="480" w:lineRule="auto"/>
      </w:pPr>
      <w:r>
        <w:t xml:space="preserve"> </w:t>
      </w:r>
      <w:proofErr w:type="spellStart"/>
      <w:r w:rsidR="00A06619">
        <w:t>Sherren</w:t>
      </w:r>
      <w:proofErr w:type="spellEnd"/>
      <w:r w:rsidR="00A06619">
        <w:t xml:space="preserve">, K. &amp; </w:t>
      </w:r>
      <w:proofErr w:type="spellStart"/>
      <w:r w:rsidR="00A06619">
        <w:t>Darnhofer</w:t>
      </w:r>
      <w:proofErr w:type="spellEnd"/>
      <w:r w:rsidR="00A06619">
        <w:t xml:space="preserve">, I. (2018). Precondition for Integration: In Support of Stand-alone Social Science in Rangeland and </w:t>
      </w:r>
      <w:proofErr w:type="spellStart"/>
      <w:r w:rsidR="00A06619">
        <w:t>Silvopastoral</w:t>
      </w:r>
      <w:proofErr w:type="spellEnd"/>
      <w:r w:rsidR="00A06619">
        <w:t xml:space="preserve"> Research. </w:t>
      </w:r>
      <w:proofErr w:type="gramStart"/>
      <w:r w:rsidR="00A06619" w:rsidRPr="004F2C97">
        <w:rPr>
          <w:i/>
        </w:rPr>
        <w:t xml:space="preserve">Rangeland Ecology &amp; Management </w:t>
      </w:r>
      <w:r w:rsidR="00A06619">
        <w:t>71, 545-548.</w:t>
      </w:r>
      <w:proofErr w:type="gramEnd"/>
    </w:p>
    <w:p w14:paraId="24F96FC0" w14:textId="77777777" w:rsidR="003118C5" w:rsidRDefault="009F6801">
      <w:pPr>
        <w:pStyle w:val="Body"/>
        <w:spacing w:after="120" w:line="480" w:lineRule="auto"/>
      </w:pPr>
      <w:r>
        <w:t>Smith K. (2013). Beyond evidence-based policy in public health: The interplay of ideas. Basingstoke: Palgrave Macmillan.</w:t>
      </w:r>
    </w:p>
    <w:p w14:paraId="03909746" w14:textId="77777777" w:rsidR="00BF6E60" w:rsidRDefault="00BF6E60" w:rsidP="00BF6E60">
      <w:pPr>
        <w:pStyle w:val="Body"/>
        <w:spacing w:after="120" w:line="480" w:lineRule="auto"/>
      </w:pPr>
      <w:proofErr w:type="spellStart"/>
      <w:r>
        <w:t>Spirkin</w:t>
      </w:r>
      <w:proofErr w:type="spellEnd"/>
      <w:r>
        <w:t xml:space="preserve">, A. (1983). Dialectical Materialism. </w:t>
      </w:r>
      <w:proofErr w:type="gramStart"/>
      <w:r>
        <w:t>Moscow, Progress Publishers.</w:t>
      </w:r>
      <w:proofErr w:type="gramEnd"/>
    </w:p>
    <w:p w14:paraId="1040E268" w14:textId="77777777" w:rsidR="003118C5" w:rsidRDefault="009F6801">
      <w:pPr>
        <w:pStyle w:val="Body"/>
        <w:spacing w:after="120" w:line="480" w:lineRule="auto"/>
      </w:pPr>
      <w:r>
        <w:t>St. John, F.A.V., Keane, A.M., Jones, J.P.G., &amp; Milner-</w:t>
      </w:r>
      <w:proofErr w:type="spellStart"/>
      <w:r>
        <w:t>Gulland</w:t>
      </w:r>
      <w:proofErr w:type="spellEnd"/>
      <w:r>
        <w:t xml:space="preserve">, E.J. (2014). Robust study design is as important on the social as it is on the ecological side of applied ecological research. </w:t>
      </w:r>
      <w:r>
        <w:rPr>
          <w:i/>
          <w:iCs/>
        </w:rPr>
        <w:t>Journal of Applied Ecology</w:t>
      </w:r>
      <w:r>
        <w:t>, 51, 1479–1485.</w:t>
      </w:r>
    </w:p>
    <w:p w14:paraId="243A7877" w14:textId="77777777" w:rsidR="003118C5" w:rsidRDefault="009F6801">
      <w:pPr>
        <w:pStyle w:val="Body"/>
        <w:spacing w:after="120" w:line="480" w:lineRule="auto"/>
      </w:pPr>
      <w:proofErr w:type="gramStart"/>
      <w:r>
        <w:t>Starbuck, W. H. (2006).</w:t>
      </w:r>
      <w:proofErr w:type="gramEnd"/>
      <w:r>
        <w:t xml:space="preserve"> </w:t>
      </w:r>
      <w:r>
        <w:rPr>
          <w:i/>
          <w:iCs/>
        </w:rPr>
        <w:t>The Production of Knowledge: The Challenge of Social Science Research</w:t>
      </w:r>
      <w:r>
        <w:t xml:space="preserve"> New York: Oxford University Press Inc. </w:t>
      </w:r>
    </w:p>
    <w:p w14:paraId="722C280C" w14:textId="77777777" w:rsidR="003118C5" w:rsidRDefault="009F6801">
      <w:pPr>
        <w:pStyle w:val="Body"/>
        <w:spacing w:after="120" w:line="480" w:lineRule="auto"/>
      </w:pPr>
      <w:r>
        <w:t xml:space="preserve">Sullivan, H. (2011). 'Truth' junkies: using evaluation in UK public policy. </w:t>
      </w:r>
      <w:r>
        <w:rPr>
          <w:i/>
          <w:iCs/>
        </w:rPr>
        <w:t>Policy &amp; Politics</w:t>
      </w:r>
      <w:r>
        <w:t>, 39: 499-512.</w:t>
      </w:r>
    </w:p>
    <w:p w14:paraId="230944C1" w14:textId="77777777" w:rsidR="003118C5" w:rsidRDefault="009F6801">
      <w:pPr>
        <w:pStyle w:val="Body"/>
        <w:spacing w:after="120" w:line="480" w:lineRule="auto"/>
      </w:pPr>
      <w:r>
        <w:t xml:space="preserve">Sutherland, W.J., Dicks, L.V., </w:t>
      </w:r>
      <w:proofErr w:type="spellStart"/>
      <w:r>
        <w:t>Everard</w:t>
      </w:r>
      <w:proofErr w:type="spellEnd"/>
      <w:r>
        <w:t xml:space="preserve">, M. &amp; </w:t>
      </w:r>
      <w:proofErr w:type="spellStart"/>
      <w:r>
        <w:t>Geneletti</w:t>
      </w:r>
      <w:proofErr w:type="spellEnd"/>
      <w:r>
        <w:t xml:space="preserve">, D. (2018). </w:t>
      </w:r>
      <w:proofErr w:type="gramStart"/>
      <w:r>
        <w:t>Qualitative methods for ecologists and conservation scientists.</w:t>
      </w:r>
      <w:proofErr w:type="gramEnd"/>
      <w:r>
        <w:t xml:space="preserve"> Methods Ecology and Evolution, 9, 7–9. </w:t>
      </w:r>
    </w:p>
    <w:p w14:paraId="359F6546" w14:textId="77777777" w:rsidR="003118C5" w:rsidRDefault="009F6801">
      <w:pPr>
        <w:pStyle w:val="Body"/>
        <w:spacing w:after="120" w:line="480" w:lineRule="auto"/>
      </w:pPr>
      <w:bookmarkStart w:id="5" w:name="_ENREF_49"/>
      <w:proofErr w:type="spellStart"/>
      <w:proofErr w:type="gramStart"/>
      <w:r>
        <w:t>Tashakkori</w:t>
      </w:r>
      <w:proofErr w:type="spellEnd"/>
      <w:r>
        <w:t xml:space="preserve"> A. &amp; </w:t>
      </w:r>
      <w:proofErr w:type="spellStart"/>
      <w:r>
        <w:t>Teddlie</w:t>
      </w:r>
      <w:proofErr w:type="spellEnd"/>
      <w:r>
        <w:t xml:space="preserve"> C. (2003) </w:t>
      </w:r>
      <w:r>
        <w:rPr>
          <w:i/>
          <w:iCs/>
        </w:rPr>
        <w:t>Handbook of Mixed Methods in Social &amp; Behavioral Research</w:t>
      </w:r>
      <w:r>
        <w:t>.</w:t>
      </w:r>
      <w:proofErr w:type="gramEnd"/>
      <w:r>
        <w:t xml:space="preserve"> </w:t>
      </w:r>
      <w:proofErr w:type="gramStart"/>
      <w:r>
        <w:t>Sage, Thousand Oaks, CA.</w:t>
      </w:r>
      <w:bookmarkEnd w:id="5"/>
      <w:proofErr w:type="gramEnd"/>
    </w:p>
    <w:p w14:paraId="3EFCFB02" w14:textId="77777777" w:rsidR="003118C5" w:rsidRDefault="009F6801">
      <w:pPr>
        <w:pStyle w:val="Body"/>
        <w:spacing w:after="120" w:line="480" w:lineRule="auto"/>
      </w:pPr>
      <w:r>
        <w:t xml:space="preserve">Teel, T. L., Anderson, C. B., </w:t>
      </w:r>
      <w:proofErr w:type="spellStart"/>
      <w:r>
        <w:t>Burgman</w:t>
      </w:r>
      <w:proofErr w:type="spellEnd"/>
      <w:r>
        <w:t xml:space="preserve">, M. A., </w:t>
      </w:r>
      <w:proofErr w:type="spellStart"/>
      <w:r>
        <w:t>Cinner</w:t>
      </w:r>
      <w:proofErr w:type="spellEnd"/>
      <w:r>
        <w:t>, J</w:t>
      </w:r>
      <w:proofErr w:type="gramStart"/>
      <w:r>
        <w:t>. ,</w:t>
      </w:r>
      <w:proofErr w:type="gramEnd"/>
      <w:r>
        <w:t xml:space="preserve"> Clark, D. , </w:t>
      </w:r>
      <w:proofErr w:type="spellStart"/>
      <w:r>
        <w:t>Est</w:t>
      </w:r>
      <w:proofErr w:type="spellEnd"/>
      <w:r w:rsidRPr="004F2C97">
        <w:rPr>
          <w:lang w:val="fr-FR"/>
        </w:rPr>
        <w:t>é</w:t>
      </w:r>
      <w:proofErr w:type="spellStart"/>
      <w:r>
        <w:t>vez</w:t>
      </w:r>
      <w:proofErr w:type="spellEnd"/>
      <w:r>
        <w:t xml:space="preserve">, R. A., Jones, J. P., McClanahan, T. R., Reed, M. S., </w:t>
      </w:r>
      <w:proofErr w:type="spellStart"/>
      <w:r>
        <w:t>Sandbrook</w:t>
      </w:r>
      <w:proofErr w:type="spellEnd"/>
      <w:r>
        <w:t xml:space="preserve">, C. and John, F. A. (2018), Publishing social science research in </w:t>
      </w:r>
      <w:r>
        <w:rPr>
          <w:i/>
          <w:iCs/>
        </w:rPr>
        <w:t>Conservation Biology</w:t>
      </w:r>
      <w:r>
        <w:t xml:space="preserve"> to move beyond biology. </w:t>
      </w:r>
      <w:r>
        <w:rPr>
          <w:i/>
          <w:iCs/>
        </w:rPr>
        <w:t>Conservation Biology</w:t>
      </w:r>
      <w:r>
        <w:t>, 32, 6-8.</w:t>
      </w:r>
    </w:p>
    <w:p w14:paraId="0A3647A2" w14:textId="77777777" w:rsidR="003118C5" w:rsidRDefault="009F6801">
      <w:pPr>
        <w:pStyle w:val="CommentText"/>
        <w:spacing w:after="120" w:line="480" w:lineRule="auto"/>
        <w:rPr>
          <w:rFonts w:ascii="Calibri" w:eastAsia="Calibri" w:hAnsi="Calibri" w:cs="Calibri"/>
        </w:rPr>
      </w:pPr>
      <w:r>
        <w:rPr>
          <w:rFonts w:ascii="Calibri" w:eastAsia="Calibri" w:hAnsi="Calibri" w:cs="Calibri"/>
        </w:rPr>
        <w:t xml:space="preserve">Tong, A., Palmer, S., Craig, J.C. &amp; </w:t>
      </w:r>
      <w:proofErr w:type="spellStart"/>
      <w:r>
        <w:rPr>
          <w:rFonts w:ascii="Calibri" w:eastAsia="Calibri" w:hAnsi="Calibri" w:cs="Calibri"/>
        </w:rPr>
        <w:t>Strippoli</w:t>
      </w:r>
      <w:proofErr w:type="spellEnd"/>
      <w:r>
        <w:rPr>
          <w:rFonts w:ascii="Calibri" w:eastAsia="Calibri" w:hAnsi="Calibri" w:cs="Calibri"/>
        </w:rPr>
        <w:t>, G.F.M. (</w:t>
      </w:r>
      <w:proofErr w:type="spellStart"/>
      <w:r>
        <w:rPr>
          <w:rFonts w:ascii="Calibri" w:eastAsia="Calibri" w:hAnsi="Calibri" w:cs="Calibri"/>
        </w:rPr>
        <w:t>2016a</w:t>
      </w:r>
      <w:proofErr w:type="spellEnd"/>
      <w:r>
        <w:rPr>
          <w:rFonts w:ascii="Calibri" w:eastAsia="Calibri" w:hAnsi="Calibri" w:cs="Calibri"/>
        </w:rPr>
        <w:t xml:space="preserve">). A guide to reading and using systematic reviews of qualitative research. </w:t>
      </w:r>
      <w:r>
        <w:rPr>
          <w:rFonts w:ascii="Calibri" w:eastAsia="Calibri" w:hAnsi="Calibri" w:cs="Calibri"/>
          <w:i/>
          <w:iCs/>
        </w:rPr>
        <w:t>Nephrology Dialysis Transplantation,</w:t>
      </w:r>
      <w:r>
        <w:rPr>
          <w:rFonts w:ascii="Calibri" w:eastAsia="Calibri" w:hAnsi="Calibri" w:cs="Calibri"/>
        </w:rPr>
        <w:t xml:space="preserve"> 31, 897-903. </w:t>
      </w:r>
    </w:p>
    <w:p w14:paraId="5F66C567" w14:textId="77777777" w:rsidR="003118C5" w:rsidRDefault="009F6801">
      <w:pPr>
        <w:pStyle w:val="Body"/>
        <w:tabs>
          <w:tab w:val="left" w:pos="1413"/>
        </w:tabs>
        <w:spacing w:after="120" w:line="480" w:lineRule="auto"/>
      </w:pPr>
      <w:r>
        <w:t>Tong, A. and Dew, M.A. (</w:t>
      </w:r>
      <w:proofErr w:type="spellStart"/>
      <w:r>
        <w:t>2016b</w:t>
      </w:r>
      <w:proofErr w:type="spellEnd"/>
      <w:r>
        <w:t xml:space="preserve">). Qualitative research in transplantation: Ensuring relevance and rigor. </w:t>
      </w:r>
      <w:r w:rsidRPr="004F2C97">
        <w:rPr>
          <w:i/>
          <w:iCs/>
          <w:lang w:val="fr-FR"/>
        </w:rPr>
        <w:t>Transplantation</w:t>
      </w:r>
      <w:r>
        <w:t>, 100: 710-712.</w:t>
      </w:r>
    </w:p>
    <w:p w14:paraId="04AFD910" w14:textId="77777777" w:rsidR="003118C5" w:rsidRDefault="009F6801">
      <w:pPr>
        <w:pStyle w:val="Body"/>
        <w:tabs>
          <w:tab w:val="left" w:pos="1413"/>
        </w:tabs>
        <w:spacing w:after="120" w:line="480" w:lineRule="auto"/>
      </w:pPr>
      <w:r>
        <w:t xml:space="preserve">Wolcott, H. F. (1990). </w:t>
      </w:r>
      <w:r>
        <w:rPr>
          <w:i/>
          <w:iCs/>
        </w:rPr>
        <w:t>Writing up Qualitative Research</w:t>
      </w:r>
      <w:r>
        <w:t xml:space="preserve"> (Sage Qualitative Research Methods Series, Vol. 20). Newbury Park, CA: Sage.</w:t>
      </w:r>
    </w:p>
    <w:p w14:paraId="6926E9B7" w14:textId="77777777" w:rsidR="003118C5" w:rsidRDefault="009F6801">
      <w:pPr>
        <w:pStyle w:val="Body"/>
        <w:spacing w:after="120" w:line="480" w:lineRule="auto"/>
      </w:pPr>
      <w:r>
        <w:t xml:space="preserve">Yin, R.K. (2015). </w:t>
      </w:r>
      <w:r>
        <w:rPr>
          <w:i/>
          <w:iCs/>
        </w:rPr>
        <w:t>Qualitative Research from Start to Finish</w:t>
      </w:r>
      <w:r>
        <w:t>. Guilford Publications</w:t>
      </w:r>
    </w:p>
    <w:p w14:paraId="14E10672" w14:textId="77777777" w:rsidR="003118C5" w:rsidRDefault="009F6801">
      <w:pPr>
        <w:pStyle w:val="Body"/>
        <w:spacing w:after="120" w:line="480" w:lineRule="auto"/>
      </w:pPr>
      <w:r>
        <w:t xml:space="preserve">Young, J.C., Rose, D.C., </w:t>
      </w:r>
      <w:proofErr w:type="spellStart"/>
      <w:r>
        <w:t>Mumby</w:t>
      </w:r>
      <w:proofErr w:type="spellEnd"/>
      <w:r>
        <w:t>, H.S., Benitez-</w:t>
      </w:r>
      <w:proofErr w:type="spellStart"/>
      <w:r>
        <w:t>Capistros</w:t>
      </w:r>
      <w:proofErr w:type="spellEnd"/>
      <w:r>
        <w:t xml:space="preserve">, F., Derrick, C.J., Finch, T., Garcia, C., Home, C., </w:t>
      </w:r>
      <w:proofErr w:type="spellStart"/>
      <w:r>
        <w:t>Marwaha</w:t>
      </w:r>
      <w:proofErr w:type="spellEnd"/>
      <w:r>
        <w:t xml:space="preserve">, E., </w:t>
      </w:r>
      <w:proofErr w:type="spellStart"/>
      <w:r>
        <w:t>Morgans</w:t>
      </w:r>
      <w:proofErr w:type="spellEnd"/>
      <w:r>
        <w:t xml:space="preserve">, C., Parkinson, S., Shah, J., Wilson, K.A. &amp; Mukherjee, N. (2018). A methodological guide to using and reporting on interviews in conservation science research. Methods Ecology and Evolution 9, 10–19. </w:t>
      </w:r>
    </w:p>
    <w:p w14:paraId="17C10BA6" w14:textId="3E1729BC" w:rsidR="003118C5" w:rsidRDefault="00C6096F">
      <w:pPr>
        <w:pStyle w:val="Body"/>
        <w:spacing w:line="480" w:lineRule="auto"/>
      </w:pPr>
      <w:proofErr w:type="spellStart"/>
      <w:r w:rsidRPr="00C6096F">
        <w:t>Zabala</w:t>
      </w:r>
      <w:proofErr w:type="spellEnd"/>
      <w:r w:rsidRPr="00C6096F">
        <w:t>, A., C. Sandbrook and N. Mukherjee (2018). "When and how to use Q methodology to understand perspectives in conservation research." Conservation Biology.</w:t>
      </w:r>
    </w:p>
    <w:p w14:paraId="19F13B0A" w14:textId="329DDF64" w:rsidR="003118C5" w:rsidRDefault="003118C5">
      <w:pPr>
        <w:pStyle w:val="EndNoteBibliography"/>
      </w:pPr>
    </w:p>
    <w:sectPr w:rsidR="003118C5" w:rsidSect="003D24CC">
      <w:headerReference w:type="default" r:id="rId9"/>
      <w:footerReference w:type="even" r:id="rId10"/>
      <w:footerReference w:type="default" r:id="rId11"/>
      <w:pgSz w:w="11900" w:h="16840"/>
      <w:pgMar w:top="1440" w:right="1800" w:bottom="1440" w:left="1800" w:header="708" w:footer="708" w:gutter="0"/>
      <w:lnNumType w:countBy="1" w:restart="continuous"/>
      <w:cols w:space="72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06925F7C" w15:done="0"/>
  <w15:commentEx w15:paraId="3A75DB98" w15:done="0"/>
  <w15:commentEx w15:paraId="5E4A3517" w15:done="0"/>
  <w15:commentEx w15:paraId="4160D2B8" w15:done="0"/>
  <w15:commentEx w15:paraId="2405296A" w15:done="0"/>
  <w15:commentEx w15:paraId="756FFBF1" w15:done="0"/>
  <w15:commentEx w15:paraId="6F71F1E8" w15:done="0"/>
  <w15:commentEx w15:paraId="56D3DC74" w15:done="0"/>
  <w15:commentEx w15:paraId="4CDB1318" w15:paraIdParent="56D3DC74" w15:done="0"/>
  <w15:commentEx w15:paraId="452507BF" w15:done="0"/>
  <w15:commentEx w15:paraId="0DD1DEB8" w15:done="0"/>
  <w15:commentEx w15:paraId="24307533" w15:paraIdParent="0DD1DEB8" w15:done="0"/>
  <w15:commentEx w15:paraId="25FBD549" w15:done="0"/>
  <w15:commentEx w15:paraId="0372A62D" w15:paraIdParent="25FBD549" w15:done="0"/>
  <w15:commentEx w15:paraId="5F67551A" w15:done="0"/>
  <w15:commentEx w15:paraId="327C39B1" w15:done="0"/>
  <w15:commentEx w15:paraId="6EB7BD7B" w15:done="0"/>
  <w15:commentEx w15:paraId="349B3582" w15:done="0"/>
  <w15:commentEx w15:paraId="73C3D576" w15:paraIdParent="349B3582" w15:done="0"/>
  <w15:commentEx w15:paraId="12F5A6B9" w15:done="0"/>
  <w15:commentEx w15:paraId="78A4864A" w15:paraIdParent="12F5A6B9" w15:done="0"/>
  <w15:commentEx w15:paraId="318D7083" w15:done="0"/>
  <w15:commentEx w15:paraId="48D6311B" w15:done="0"/>
  <w15:commentEx w15:paraId="66F87A46" w15:done="0"/>
  <w15:commentEx w15:paraId="32BF2114" w15:done="0"/>
  <w15:commentEx w15:paraId="5EC70A54" w15:done="0"/>
  <w15:commentEx w15:paraId="44A45CB5" w15:paraIdParent="5EC70A54" w15:done="0"/>
  <w15:commentEx w15:paraId="2DD0E602" w15:paraIdParent="5EC70A54" w15:done="0"/>
  <w15:commentEx w15:paraId="1138CE84" w15:done="0"/>
  <w15:commentEx w15:paraId="373596F7" w15:paraIdParent="1138CE84" w15:done="0"/>
  <w15:commentEx w15:paraId="7F11D824" w15:done="0"/>
  <w15:commentEx w15:paraId="5E12A819" w15:done="0"/>
  <w15:commentEx w15:paraId="19F46129" w15:done="0"/>
  <w15:commentEx w15:paraId="5282DC71" w15:done="0"/>
  <w15:commentEx w15:paraId="45E36EA2" w15:done="0"/>
  <w15:commentEx w15:paraId="6DB1DDAB" w15:done="0"/>
  <w15:commentEx w15:paraId="00076699" w15:paraIdParent="6DB1DDAB" w15:done="0"/>
  <w15:commentEx w15:paraId="36725C54" w15:done="0"/>
  <w15:commentEx w15:paraId="29D4A887" w15:done="0"/>
  <w15:commentEx w15:paraId="49F79035" w15:done="0"/>
  <w15:commentEx w15:paraId="539D9A48" w15:paraIdParent="49F79035" w15:done="0"/>
  <w15:commentEx w15:paraId="759A170A" w15:done="0"/>
  <w15:commentEx w15:paraId="5D2F9A2E" w15:done="0"/>
  <w15:commentEx w15:paraId="5E862D0C" w15:done="0"/>
  <w15:commentEx w15:paraId="2AF5EAA0" w15:done="0"/>
  <w15:commentEx w15:paraId="687E8B77" w15:paraIdParent="2AF5EAA0" w15:done="0"/>
  <w15:commentEx w15:paraId="4806C10A" w15:paraIdParent="2AF5EAA0" w15:done="0"/>
  <w15:commentEx w15:paraId="7AC22026" w15:paraIdParent="2AF5EAA0" w15:done="0"/>
  <w15:commentEx w15:paraId="5A09321E" w15:done="0"/>
  <w15:commentEx w15:paraId="564DEBFE" w15:done="0"/>
  <w15:commentEx w15:paraId="3BF17A62" w15:done="0"/>
  <w15:commentEx w15:paraId="69EA303D" w15:done="0"/>
  <w15:commentEx w15:paraId="47C6BECC" w15:paraIdParent="69EA303D" w15:done="0"/>
  <w15:commentEx w15:paraId="2AA8CC5C" w15:done="0"/>
  <w15:commentEx w15:paraId="5B6EFA3C" w15:paraIdParent="2AA8CC5C" w15:done="0"/>
  <w15:commentEx w15:paraId="75725CBE" w15:done="0"/>
  <w15:commentEx w15:paraId="17216DE8" w15:done="0"/>
  <w15:commentEx w15:paraId="292C9864" w15:done="0"/>
  <w15:commentEx w15:paraId="34DC3D9E" w15:done="0"/>
  <w15:commentEx w15:paraId="3812C02D" w15:done="0"/>
  <w15:commentEx w15:paraId="2B983193" w15:done="0"/>
  <w15:commentEx w15:paraId="3141C5B2" w15:done="0"/>
  <w15:commentEx w15:paraId="282EC336" w15:done="0"/>
  <w15:commentEx w15:paraId="4468B97E" w15:done="0"/>
  <w15:commentEx w15:paraId="554D4D6C" w15:paraIdParent="4468B97E" w15:done="0"/>
  <w15:commentEx w15:paraId="3F353F50" w15:done="0"/>
  <w15:commentEx w15:paraId="165F8FF8" w15:done="0"/>
  <w15:commentEx w15:paraId="70A45B48" w15:done="0"/>
  <w15:commentEx w15:paraId="7E338912" w15:done="0"/>
  <w15:commentEx w15:paraId="2177F189"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06925F7C" w16cid:durableId="1F1C35A0"/>
  <w16cid:commentId w16cid:paraId="3A75DB98" w16cid:durableId="1F1C35A1"/>
  <w16cid:commentId w16cid:paraId="5E4A3517" w16cid:durableId="1F1C35A2"/>
  <w16cid:commentId w16cid:paraId="4160D2B8" w16cid:durableId="1F1C3980"/>
  <w16cid:commentId w16cid:paraId="2405296A" w16cid:durableId="1F1C35A3"/>
  <w16cid:commentId w16cid:paraId="756FFBF1" w16cid:durableId="1F1C35A4"/>
  <w16cid:commentId w16cid:paraId="6F71F1E8" w16cid:durableId="1F1C35A5"/>
  <w16cid:commentId w16cid:paraId="56D3DC74" w16cid:durableId="1F1C39EE"/>
  <w16cid:commentId w16cid:paraId="4CDB1318" w16cid:durableId="1F1F1BFB"/>
  <w16cid:commentId w16cid:paraId="452507BF" w16cid:durableId="1F1C3B68"/>
  <w16cid:commentId w16cid:paraId="0DD1DEB8" w16cid:durableId="1F1C67C9"/>
  <w16cid:commentId w16cid:paraId="24307533" w16cid:durableId="1F1F1BFE"/>
  <w16cid:commentId w16cid:paraId="25FBD549" w16cid:durableId="1F1C35A6"/>
  <w16cid:commentId w16cid:paraId="0372A62D" w16cid:durableId="1F1C3CA3"/>
  <w16cid:commentId w16cid:paraId="5F67551A" w16cid:durableId="1F1C35A7"/>
  <w16cid:commentId w16cid:paraId="327C39B1" w16cid:durableId="1F1F1C02"/>
  <w16cid:commentId w16cid:paraId="6EB7BD7B" w16cid:durableId="1F1C3EA3"/>
  <w16cid:commentId w16cid:paraId="349B3582" w16cid:durableId="1F1C35A8"/>
  <w16cid:commentId w16cid:paraId="73C3D576" w16cid:durableId="1F1F20BC"/>
  <w16cid:commentId w16cid:paraId="12F5A6B9" w16cid:durableId="1F1C35A9"/>
  <w16cid:commentId w16cid:paraId="78A4864A" w16cid:durableId="1F1C3FB5"/>
  <w16cid:commentId w16cid:paraId="318D7083" w16cid:durableId="1F1C35AA"/>
  <w16cid:commentId w16cid:paraId="48D6311B" w16cid:durableId="1F1C408C"/>
  <w16cid:commentId w16cid:paraId="66F87A46" w16cid:durableId="1F1F211A"/>
  <w16cid:commentId w16cid:paraId="32BF2114" w16cid:durableId="1F1C414D"/>
  <w16cid:commentId w16cid:paraId="5EC70A54" w16cid:durableId="1F1C35AB"/>
  <w16cid:commentId w16cid:paraId="44A45CB5" w16cid:durableId="1F1C41ED"/>
  <w16cid:commentId w16cid:paraId="2DD0E602" w16cid:durableId="1F1F1C0C"/>
  <w16cid:commentId w16cid:paraId="1138CE84" w16cid:durableId="1F1C42ED"/>
  <w16cid:commentId w16cid:paraId="373596F7" w16cid:durableId="1F1F1C0E"/>
  <w16cid:commentId w16cid:paraId="7F11D824" w16cid:durableId="1F1C35AC"/>
  <w16cid:commentId w16cid:paraId="5E12A819" w16cid:durableId="1F1F2231"/>
  <w16cid:commentId w16cid:paraId="19F46129" w16cid:durableId="1F1C4461"/>
  <w16cid:commentId w16cid:paraId="5282DC71" w16cid:durableId="1F1C35AD"/>
  <w16cid:commentId w16cid:paraId="45E36EA2" w16cid:durableId="1F1F2366"/>
  <w16cid:commentId w16cid:paraId="6DB1DDAB" w16cid:durableId="1F1C35AE"/>
  <w16cid:commentId w16cid:paraId="00076699" w16cid:durableId="1F1F23A0"/>
  <w16cid:commentId w16cid:paraId="36725C54" w16cid:durableId="1F1C44D2"/>
  <w16cid:commentId w16cid:paraId="29D4A887" w16cid:durableId="1F1F1C14"/>
  <w16cid:commentId w16cid:paraId="49F79035" w16cid:durableId="1F1F1C15"/>
  <w16cid:commentId w16cid:paraId="539D9A48" w16cid:durableId="1F1F26A6"/>
  <w16cid:commentId w16cid:paraId="759A170A" w16cid:durableId="1F1C35AF"/>
  <w16cid:commentId w16cid:paraId="5D2F9A2E" w16cid:durableId="1F1C35B0"/>
  <w16cid:commentId w16cid:paraId="5E862D0C" w16cid:durableId="1F1C4626"/>
  <w16cid:commentId w16cid:paraId="2AF5EAA0" w16cid:durableId="1F1C35B1"/>
  <w16cid:commentId w16cid:paraId="687E8B77" w16cid:durableId="1F1C65D6"/>
  <w16cid:commentId w16cid:paraId="4806C10A" w16cid:durableId="1F1F1C1B"/>
  <w16cid:commentId w16cid:paraId="7AC22026" w16cid:durableId="1F1F2513"/>
  <w16cid:commentId w16cid:paraId="5A09321E" w16cid:durableId="1F1F25B4"/>
  <w16cid:commentId w16cid:paraId="3BF17A62" w16cid:durableId="1F1C35B2"/>
  <w16cid:commentId w16cid:paraId="69EA303D" w16cid:durableId="1F1C6B5E"/>
  <w16cid:commentId w16cid:paraId="47C6BECC" w16cid:durableId="1F1F2738"/>
  <w16cid:commentId w16cid:paraId="2AA8CC5C" w16cid:durableId="1F1F1C1E"/>
  <w16cid:commentId w16cid:paraId="5B6EFA3C" w16cid:durableId="1F1F2774"/>
  <w16cid:commentId w16cid:paraId="75725CBE" w16cid:durableId="1F1F1C1F"/>
  <w16cid:commentId w16cid:paraId="17216DE8" w16cid:durableId="1F1C6CA3"/>
  <w16cid:commentId w16cid:paraId="292C9864" w16cid:durableId="1F1C35B3"/>
  <w16cid:commentId w16cid:paraId="34DC3D9E" w16cid:durableId="1F1C35B4"/>
  <w16cid:commentId w16cid:paraId="3812C02D" w16cid:durableId="1F1F1C23"/>
  <w16cid:commentId w16cid:paraId="2B983193" w16cid:durableId="1F1F1C24"/>
  <w16cid:commentId w16cid:paraId="3141C5B2" w16cid:durableId="1F1C6DF8"/>
  <w16cid:commentId w16cid:paraId="282EC336" w16cid:durableId="1F1C35B5"/>
  <w16cid:commentId w16cid:paraId="4468B97E" w16cid:durableId="1F1F1C27"/>
  <w16cid:commentId w16cid:paraId="554D4D6C" w16cid:durableId="1F1F285C"/>
  <w16cid:commentId w16cid:paraId="3F353F50" w16cid:durableId="1F1C35B6"/>
  <w16cid:commentId w16cid:paraId="165F8FF8" w16cid:durableId="1F1C6F2F"/>
  <w16cid:commentId w16cid:paraId="70A45B48" w16cid:durableId="1F1C35B7"/>
  <w16cid:commentId w16cid:paraId="7E338912" w16cid:durableId="1F1C35B8"/>
  <w16cid:commentId w16cid:paraId="2177F189" w16cid:durableId="1F1C6FAA"/>
</w16cid:commentsIds>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BC62E04" w14:textId="77777777" w:rsidR="00F218A0" w:rsidRDefault="00F218A0">
      <w:r>
        <w:separator/>
      </w:r>
    </w:p>
  </w:endnote>
  <w:endnote w:type="continuationSeparator" w:id="0">
    <w:p w14:paraId="20B39BDE" w14:textId="77777777" w:rsidR="00F218A0" w:rsidRDefault="00F218A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Arial Unicode MS">
    <w:panose1 w:val="020B0604020202020204"/>
    <w:charset w:val="00"/>
    <w:family w:val="auto"/>
    <w:pitch w:val="variable"/>
    <w:sig w:usb0="F7FFAFFF" w:usb1="E9DFFFFF" w:usb2="0000003F" w:usb3="00000000" w:csb0="003F01FF"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10002FF" w:usb1="4000ACFF" w:usb2="00000009" w:usb3="00000000" w:csb0="0000019F" w:csb1="00000000"/>
  </w:font>
  <w:font w:name="Helvetica Neue">
    <w:panose1 w:val="02000503000000020004"/>
    <w:charset w:val="00"/>
    <w:family w:val="auto"/>
    <w:pitch w:val="variable"/>
    <w:sig w:usb0="E50002FF" w:usb1="500079DB" w:usb2="00000010" w:usb3="00000000" w:csb0="00000001" w:csb1="00000000"/>
  </w:font>
  <w:font w:name="Lucida Grande">
    <w:panose1 w:val="020B0600040502020204"/>
    <w:charset w:val="00"/>
    <w:family w:val="auto"/>
    <w:pitch w:val="variable"/>
    <w:sig w:usb0="E1000AEF" w:usb1="5000A1FF" w:usb2="00000000" w:usb3="00000000" w:csb0="000001BF" w:csb1="00000000"/>
  </w:font>
  <w:font w:name="Arial">
    <w:panose1 w:val="020B0604020202020204"/>
    <w:charset w:val="00"/>
    <w:family w:val="auto"/>
    <w:pitch w:val="variable"/>
    <w:sig w:usb0="E0002AFF" w:usb1="C0007843" w:usb2="00000009" w:usb3="00000000" w:csb0="000001F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8DA2702" w14:textId="77777777" w:rsidR="00F218A0" w:rsidRDefault="00F218A0" w:rsidP="00BF10E2">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1EBD8D15" w14:textId="77777777" w:rsidR="00F218A0" w:rsidRDefault="00F218A0" w:rsidP="003D24CC">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90116B4" w14:textId="77777777" w:rsidR="00F218A0" w:rsidRDefault="00F218A0" w:rsidP="00BF10E2">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BE3F6B">
      <w:rPr>
        <w:rStyle w:val="PageNumber"/>
        <w:noProof/>
      </w:rPr>
      <w:t>4</w:t>
    </w:r>
    <w:r>
      <w:rPr>
        <w:rStyle w:val="PageNumber"/>
      </w:rPr>
      <w:fldChar w:fldCharType="end"/>
    </w:r>
  </w:p>
  <w:p w14:paraId="604D1A91" w14:textId="77777777" w:rsidR="00F218A0" w:rsidRDefault="00F218A0" w:rsidP="003D24CC">
    <w:pPr>
      <w:pStyle w:val="Foote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4DC2BE9" w14:textId="77777777" w:rsidR="00F218A0" w:rsidRDefault="00F218A0">
      <w:r>
        <w:separator/>
      </w:r>
    </w:p>
  </w:footnote>
  <w:footnote w:type="continuationSeparator" w:id="0">
    <w:p w14:paraId="6605C882" w14:textId="77777777" w:rsidR="00F218A0" w:rsidRDefault="00F218A0">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7C63675" w14:textId="77777777" w:rsidR="00F218A0" w:rsidRDefault="00F218A0">
    <w:pPr>
      <w:pStyle w:val="HeaderFoote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5A3770"/>
    <w:multiLevelType w:val="hybridMultilevel"/>
    <w:tmpl w:val="E40648F8"/>
    <w:lvl w:ilvl="0" w:tplc="CFAEC980">
      <w:start w:val="1"/>
      <w:numFmt w:val="bullet"/>
      <w:lvlText w:val="·"/>
      <w:lvlJc w:val="left"/>
      <w:pPr>
        <w:ind w:left="72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B7CA74B2">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4142147E">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810AECEE">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FE4C601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3D925D44">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7B6C6310">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C7521416">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EBA81220">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
    <w:nsid w:val="094009C3"/>
    <w:multiLevelType w:val="hybridMultilevel"/>
    <w:tmpl w:val="67F45570"/>
    <w:lvl w:ilvl="0" w:tplc="2D2427FA">
      <w:start w:val="1"/>
      <w:numFmt w:val="bullet"/>
      <w:lvlText w:val="·"/>
      <w:lvlJc w:val="left"/>
      <w:pPr>
        <w:ind w:left="72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F426EC18">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E52EBEF0">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B2BECA94">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46360458">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066A778A">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59BE58BA">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54B623A0">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F7CA8574">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2">
    <w:nsid w:val="1A3C195D"/>
    <w:multiLevelType w:val="hybridMultilevel"/>
    <w:tmpl w:val="4F2EFB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8741EE9"/>
    <w:multiLevelType w:val="hybridMultilevel"/>
    <w:tmpl w:val="FBBC1520"/>
    <w:lvl w:ilvl="0" w:tplc="BB380A5C">
      <w:start w:val="1"/>
      <w:numFmt w:val="bullet"/>
      <w:lvlText w:val="·"/>
      <w:lvlJc w:val="left"/>
      <w:pPr>
        <w:ind w:left="72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B2362E78">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2D22FFB6">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B7304270">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509E56D0">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CECAD3EA">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427E5C80">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108E97DC">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5B3C62A6">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4">
    <w:nsid w:val="41F0462B"/>
    <w:multiLevelType w:val="hybridMultilevel"/>
    <w:tmpl w:val="7826BA12"/>
    <w:lvl w:ilvl="0" w:tplc="EEA82450">
      <w:start w:val="4"/>
      <w:numFmt w:val="bullet"/>
      <w:lvlText w:val="-"/>
      <w:lvlJc w:val="left"/>
      <w:pPr>
        <w:ind w:left="720" w:hanging="360"/>
      </w:pPr>
      <w:rPr>
        <w:rFonts w:ascii="Calibri" w:eastAsia="Calibri" w:hAnsi="Calibri" w:cs="Calibri"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4B182C05"/>
    <w:multiLevelType w:val="hybridMultilevel"/>
    <w:tmpl w:val="FADC8B4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612E5CA4"/>
    <w:multiLevelType w:val="hybridMultilevel"/>
    <w:tmpl w:val="038A1C1E"/>
    <w:numStyleLink w:val="ImportedStyle1"/>
  </w:abstractNum>
  <w:abstractNum w:abstractNumId="7">
    <w:nsid w:val="69A8289E"/>
    <w:multiLevelType w:val="hybridMultilevel"/>
    <w:tmpl w:val="FE2C606A"/>
    <w:lvl w:ilvl="0" w:tplc="3134F3A8">
      <w:start w:val="1"/>
      <w:numFmt w:val="bullet"/>
      <w:lvlText w:val="·"/>
      <w:lvlJc w:val="left"/>
      <w:pPr>
        <w:ind w:left="72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29224EE0">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679C4AC6">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073E2A5C">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7F903296">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F1D404FA">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5FC0AC50">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F31E475C">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E43EBAF0">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8">
    <w:nsid w:val="6B1553A7"/>
    <w:multiLevelType w:val="hybridMultilevel"/>
    <w:tmpl w:val="038A1C1E"/>
    <w:styleLink w:val="ImportedStyle1"/>
    <w:lvl w:ilvl="0" w:tplc="2AC2E00E">
      <w:start w:val="1"/>
      <w:numFmt w:val="decimal"/>
      <w:lvlText w:val="%1."/>
      <w:lvlJc w:val="left"/>
      <w:pPr>
        <w:ind w:left="720"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2E62DFBA">
      <w:start w:val="1"/>
      <w:numFmt w:val="lowerLetter"/>
      <w:lvlText w:val="%2."/>
      <w:lvlJc w:val="left"/>
      <w:pPr>
        <w:ind w:left="1440"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6786E3A2">
      <w:start w:val="1"/>
      <w:numFmt w:val="lowerRoman"/>
      <w:lvlText w:val="%3."/>
      <w:lvlJc w:val="left"/>
      <w:pPr>
        <w:ind w:left="2160" w:hanging="295"/>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7924F014">
      <w:start w:val="1"/>
      <w:numFmt w:val="decimal"/>
      <w:lvlText w:val="%4."/>
      <w:lvlJc w:val="left"/>
      <w:pPr>
        <w:ind w:left="2880"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F070BFEA">
      <w:start w:val="1"/>
      <w:numFmt w:val="lowerLetter"/>
      <w:lvlText w:val="%5."/>
      <w:lvlJc w:val="left"/>
      <w:pPr>
        <w:ind w:left="3600"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1F92776E">
      <w:start w:val="1"/>
      <w:numFmt w:val="lowerRoman"/>
      <w:lvlText w:val="%6."/>
      <w:lvlJc w:val="left"/>
      <w:pPr>
        <w:ind w:left="4320" w:hanging="295"/>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1C320092">
      <w:start w:val="1"/>
      <w:numFmt w:val="decimal"/>
      <w:lvlText w:val="%7."/>
      <w:lvlJc w:val="left"/>
      <w:pPr>
        <w:ind w:left="5040"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4D540152">
      <w:start w:val="1"/>
      <w:numFmt w:val="lowerLetter"/>
      <w:lvlText w:val="%8."/>
      <w:lvlJc w:val="left"/>
      <w:pPr>
        <w:ind w:left="5760"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F150223C">
      <w:start w:val="1"/>
      <w:numFmt w:val="lowerRoman"/>
      <w:lvlText w:val="%9."/>
      <w:lvlJc w:val="left"/>
      <w:pPr>
        <w:ind w:left="6480" w:hanging="295"/>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num w:numId="1">
    <w:abstractNumId w:val="8"/>
  </w:num>
  <w:num w:numId="2">
    <w:abstractNumId w:val="6"/>
  </w:num>
  <w:num w:numId="3">
    <w:abstractNumId w:val="7"/>
  </w:num>
  <w:num w:numId="4">
    <w:abstractNumId w:val="1"/>
  </w:num>
  <w:num w:numId="5">
    <w:abstractNumId w:val="3"/>
  </w:num>
  <w:num w:numId="6">
    <w:abstractNumId w:val="0"/>
  </w:num>
  <w:num w:numId="7">
    <w:abstractNumId w:val="2"/>
  </w:num>
  <w:num w:numId="8">
    <w:abstractNumId w:val="4"/>
  </w:num>
  <w:num w:numId="9">
    <w:abstractNumId w:val="5"/>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Januchowski S.R.">
    <w15:presenceInfo w15:providerId="AD" w15:userId="S-1-5-21-2898559981-3147354998-1008051048-155178"/>
  </w15:person>
  <w15:person w15:author="Megan Evans">
    <w15:presenceInfo w15:providerId="Windows Live" w15:userId="15d811e9135c8559"/>
  </w15:person>
  <w15:person w15:author="Kate Sherren">
    <w15:presenceInfo w15:providerId="Windows Live" w15:userId="005d4a4751f7dfff"/>
  </w15:person>
  <w15:person w15:author="Chris Sandbrook">
    <w15:presenceInfo w15:providerId="None" w15:userId="Chris Sandbrook"/>
  </w15:person>
  <w15:person w15:author="Microsoft Office User">
    <w15:presenceInfo w15:providerId="None" w15:userId="Microsoft Office Use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70"/>
  <w:displayBackgroundShape/>
  <w:activeWritingStyle w:appName="MSWord" w:lang="it-IT" w:vendorID="64" w:dllVersion="6" w:nlCheck="1" w:checkStyle="0"/>
  <w:activeWritingStyle w:appName="MSWord" w:lang="en-US" w:vendorID="64" w:dllVersion="6" w:nlCheck="1" w:checkStyle="1"/>
  <w:activeWritingStyle w:appName="MSWord" w:lang="en-GB" w:vendorID="64" w:dllVersion="6" w:nlCheck="1" w:checkStyle="0"/>
  <w:activeWritingStyle w:appName="MSWord" w:lang="pt-PT" w:vendorID="64" w:dllVersion="6" w:nlCheck="1" w:checkStyle="0"/>
  <w:activeWritingStyle w:appName="MSWord" w:lang="es-ES_tradnl" w:vendorID="64" w:dllVersion="6" w:nlCheck="1" w:checkStyle="0"/>
  <w:activeWritingStyle w:appName="MSWord" w:lang="fr-FR" w:vendorID="64" w:dllVersion="6" w:nlCheck="1" w:checkStyle="0"/>
  <w:activeWritingStyle w:appName="MSWord" w:lang="en-AU" w:vendorID="64" w:dllVersion="6" w:nlCheck="1" w:checkStyle="1"/>
  <w:activeWritingStyle w:appName="MSWord" w:lang="en-CA" w:vendorID="64" w:dllVersion="6" w:nlCheck="1" w:checkStyle="1"/>
  <w:activeWritingStyle w:appName="MSWord" w:lang="en-US" w:vendorID="64" w:dllVersion="0" w:nlCheck="1" w:checkStyle="0"/>
  <w:activeWritingStyle w:appName="MSWord" w:lang="en-GB" w:vendorID="64" w:dllVersion="0" w:nlCheck="1" w:checkStyle="0"/>
  <w:activeWritingStyle w:appName="MSWord" w:lang="es-ES_tradnl" w:vendorID="64" w:dllVersion="0" w:nlCheck="1" w:checkStyle="0"/>
  <w:activeWritingStyle w:appName="MSWord" w:lang="fr-FR" w:vendorID="64" w:dllVersion="0" w:nlCheck="1" w:checkStyle="0"/>
  <w:activeWritingStyle w:appName="MSWord" w:lang="en-CA" w:vendorID="64" w:dllVersion="0" w:nlCheck="1" w:checkStyle="0"/>
  <w:activeWritingStyle w:appName="MSWord" w:lang="en-AU" w:vendorID="64" w:dllVersion="0" w:nlCheck="1" w:checkStyle="0"/>
  <w:activeWritingStyle w:appName="MSWord" w:lang="en-US" w:vendorID="64" w:dllVersion="131078" w:nlCheck="1" w:checkStyle="1"/>
  <w:activeWritingStyle w:appName="MSWord" w:lang="en-GB" w:vendorID="64" w:dllVersion="131078" w:nlCheck="1" w:checkStyle="1"/>
  <w:activeWritingStyle w:appName="MSWord" w:lang="en-AU" w:vendorID="64" w:dllVersion="131078" w:nlCheck="1" w:checkStyle="1"/>
  <w:activeWritingStyle w:appName="MSWord" w:lang="en-CA" w:vendorID="64" w:dllVersion="131078" w:nlCheck="1" w:checkStyle="1"/>
  <w:activeWritingStyle w:appName="MSWord" w:lang="de-DE" w:vendorID="64" w:dllVersion="131078" w:nlCheck="1" w:checkStyle="1"/>
  <w:activeWritingStyle w:appName="MSWord" w:lang="fr-FR" w:vendorID="64" w:dllVersion="131078" w:nlCheck="1" w:checkStyle="1"/>
  <w:proofState w:spelling="clean" w:grammar="clean"/>
  <w:revisionView w:insDel="0" w:formatting="0"/>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118C5"/>
    <w:rsid w:val="000176F4"/>
    <w:rsid w:val="00020439"/>
    <w:rsid w:val="000317DF"/>
    <w:rsid w:val="00034E42"/>
    <w:rsid w:val="00090A15"/>
    <w:rsid w:val="000A6E6D"/>
    <w:rsid w:val="000B39C5"/>
    <w:rsid w:val="000B4B3B"/>
    <w:rsid w:val="000D5CD7"/>
    <w:rsid w:val="000E5C4F"/>
    <w:rsid w:val="000F5C5C"/>
    <w:rsid w:val="00144694"/>
    <w:rsid w:val="00153837"/>
    <w:rsid w:val="00183BD9"/>
    <w:rsid w:val="00193B20"/>
    <w:rsid w:val="001B2DD4"/>
    <w:rsid w:val="001E162C"/>
    <w:rsid w:val="001F7177"/>
    <w:rsid w:val="00215519"/>
    <w:rsid w:val="002162A1"/>
    <w:rsid w:val="002462EE"/>
    <w:rsid w:val="002476DF"/>
    <w:rsid w:val="002642E6"/>
    <w:rsid w:val="00274614"/>
    <w:rsid w:val="002770DF"/>
    <w:rsid w:val="002C044B"/>
    <w:rsid w:val="002C0DA8"/>
    <w:rsid w:val="002D1109"/>
    <w:rsid w:val="002F337A"/>
    <w:rsid w:val="003118C5"/>
    <w:rsid w:val="003162A3"/>
    <w:rsid w:val="00396DCF"/>
    <w:rsid w:val="003A1FA1"/>
    <w:rsid w:val="003A2302"/>
    <w:rsid w:val="003C1CDC"/>
    <w:rsid w:val="003D24CC"/>
    <w:rsid w:val="003D2554"/>
    <w:rsid w:val="003E0705"/>
    <w:rsid w:val="003E5C6D"/>
    <w:rsid w:val="00403EB4"/>
    <w:rsid w:val="00412ECC"/>
    <w:rsid w:val="004216CF"/>
    <w:rsid w:val="00426146"/>
    <w:rsid w:val="004352E3"/>
    <w:rsid w:val="004355DF"/>
    <w:rsid w:val="00461136"/>
    <w:rsid w:val="00473626"/>
    <w:rsid w:val="00487231"/>
    <w:rsid w:val="004C3EA9"/>
    <w:rsid w:val="004C663C"/>
    <w:rsid w:val="004E4624"/>
    <w:rsid w:val="004F2C97"/>
    <w:rsid w:val="004F65DF"/>
    <w:rsid w:val="00503140"/>
    <w:rsid w:val="00512CE3"/>
    <w:rsid w:val="00517905"/>
    <w:rsid w:val="00517F83"/>
    <w:rsid w:val="00544BA0"/>
    <w:rsid w:val="00544D00"/>
    <w:rsid w:val="00551DE8"/>
    <w:rsid w:val="00557FF9"/>
    <w:rsid w:val="00561CC8"/>
    <w:rsid w:val="00576EDB"/>
    <w:rsid w:val="005E1BDB"/>
    <w:rsid w:val="00616B2C"/>
    <w:rsid w:val="00627228"/>
    <w:rsid w:val="0064620F"/>
    <w:rsid w:val="00653089"/>
    <w:rsid w:val="006C0EED"/>
    <w:rsid w:val="006C2C49"/>
    <w:rsid w:val="006D1EC8"/>
    <w:rsid w:val="006D61D5"/>
    <w:rsid w:val="006E4B50"/>
    <w:rsid w:val="006E63B7"/>
    <w:rsid w:val="006F3F1C"/>
    <w:rsid w:val="007263E2"/>
    <w:rsid w:val="0074097E"/>
    <w:rsid w:val="00746928"/>
    <w:rsid w:val="00752A5D"/>
    <w:rsid w:val="00755B22"/>
    <w:rsid w:val="00766C6D"/>
    <w:rsid w:val="007712FC"/>
    <w:rsid w:val="007911FD"/>
    <w:rsid w:val="007A2ADA"/>
    <w:rsid w:val="007E2861"/>
    <w:rsid w:val="007E4F9E"/>
    <w:rsid w:val="007F2106"/>
    <w:rsid w:val="007F732C"/>
    <w:rsid w:val="0082344E"/>
    <w:rsid w:val="00843BA0"/>
    <w:rsid w:val="008620AE"/>
    <w:rsid w:val="00873A9A"/>
    <w:rsid w:val="0089324E"/>
    <w:rsid w:val="008A35E2"/>
    <w:rsid w:val="008B0BE5"/>
    <w:rsid w:val="008C1D4E"/>
    <w:rsid w:val="008D4A10"/>
    <w:rsid w:val="008E69FC"/>
    <w:rsid w:val="008F133D"/>
    <w:rsid w:val="008F1F29"/>
    <w:rsid w:val="009100DF"/>
    <w:rsid w:val="00913205"/>
    <w:rsid w:val="00916FAA"/>
    <w:rsid w:val="00937033"/>
    <w:rsid w:val="00967547"/>
    <w:rsid w:val="00997E16"/>
    <w:rsid w:val="009B155C"/>
    <w:rsid w:val="009B5AA6"/>
    <w:rsid w:val="009C6E7D"/>
    <w:rsid w:val="009E7A8D"/>
    <w:rsid w:val="009F6801"/>
    <w:rsid w:val="00A06619"/>
    <w:rsid w:val="00A21F2B"/>
    <w:rsid w:val="00A26DB0"/>
    <w:rsid w:val="00A55462"/>
    <w:rsid w:val="00A71BCA"/>
    <w:rsid w:val="00A7664A"/>
    <w:rsid w:val="00A85C01"/>
    <w:rsid w:val="00A93B87"/>
    <w:rsid w:val="00AB2042"/>
    <w:rsid w:val="00AB5147"/>
    <w:rsid w:val="00AC47E6"/>
    <w:rsid w:val="00AD61C0"/>
    <w:rsid w:val="00AD674A"/>
    <w:rsid w:val="00AE1542"/>
    <w:rsid w:val="00AF6D16"/>
    <w:rsid w:val="00B019B0"/>
    <w:rsid w:val="00B042E2"/>
    <w:rsid w:val="00B058BD"/>
    <w:rsid w:val="00B21F85"/>
    <w:rsid w:val="00B33591"/>
    <w:rsid w:val="00B41AB9"/>
    <w:rsid w:val="00B4599C"/>
    <w:rsid w:val="00B77451"/>
    <w:rsid w:val="00BA650C"/>
    <w:rsid w:val="00BB7C51"/>
    <w:rsid w:val="00BC48FF"/>
    <w:rsid w:val="00BE212B"/>
    <w:rsid w:val="00BE3F6B"/>
    <w:rsid w:val="00BF10E2"/>
    <w:rsid w:val="00BF6E60"/>
    <w:rsid w:val="00C45691"/>
    <w:rsid w:val="00C6096F"/>
    <w:rsid w:val="00C63180"/>
    <w:rsid w:val="00C826A9"/>
    <w:rsid w:val="00C948DF"/>
    <w:rsid w:val="00C96672"/>
    <w:rsid w:val="00CA28E3"/>
    <w:rsid w:val="00CA71A4"/>
    <w:rsid w:val="00CE4312"/>
    <w:rsid w:val="00D2619B"/>
    <w:rsid w:val="00D458C9"/>
    <w:rsid w:val="00D51D1E"/>
    <w:rsid w:val="00D61202"/>
    <w:rsid w:val="00D903F3"/>
    <w:rsid w:val="00D942D9"/>
    <w:rsid w:val="00DA30FF"/>
    <w:rsid w:val="00DB6BA0"/>
    <w:rsid w:val="00DD2177"/>
    <w:rsid w:val="00DD264F"/>
    <w:rsid w:val="00DE4C73"/>
    <w:rsid w:val="00E133B8"/>
    <w:rsid w:val="00E17594"/>
    <w:rsid w:val="00E26A13"/>
    <w:rsid w:val="00E33AF3"/>
    <w:rsid w:val="00E3575F"/>
    <w:rsid w:val="00E42DD3"/>
    <w:rsid w:val="00E57536"/>
    <w:rsid w:val="00E65441"/>
    <w:rsid w:val="00E66D06"/>
    <w:rsid w:val="00E87E19"/>
    <w:rsid w:val="00E97E5E"/>
    <w:rsid w:val="00EB55CC"/>
    <w:rsid w:val="00EF0D0D"/>
    <w:rsid w:val="00EF48E8"/>
    <w:rsid w:val="00F04F7B"/>
    <w:rsid w:val="00F078B3"/>
    <w:rsid w:val="00F149CD"/>
    <w:rsid w:val="00F218A0"/>
    <w:rsid w:val="00F220DF"/>
    <w:rsid w:val="00F86F24"/>
    <w:rsid w:val="00FA5DC8"/>
    <w:rsid w:val="00FB6B90"/>
    <w:rsid w:val="00FD7D20"/>
    <w:rsid w:val="00FE39CE"/>
    <w:rsid w:val="00FF266D"/>
    <w:rsid w:val="00FF48C4"/>
  </w:rsids>
  <m:mathPr>
    <m:mathFont m:val="Cambria Math"/>
    <m:brkBin m:val="before"/>
    <m:brkBinSub m:val="--"/>
    <m:smallFrac m:val="0"/>
    <m:dispDef/>
    <m:lMargin m:val="0"/>
    <m:rMargin m:val="0"/>
    <m:defJc m:val="centerGroup"/>
    <m:wrapIndent m:val="1440"/>
    <m:intLim m:val="subSup"/>
    <m:naryLim m:val="undOvr"/>
  </m:mathPr>
  <w:themeFontLang w:val="en-AU"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2A3450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Arial Unicode MS" w:hAnsi="Times New Roman" w:cs="Times New Roman"/>
        <w:bdr w:val="nil"/>
        <w:lang w:val="en-AU" w:eastAsia="en-US" w:bidi="ar-SA"/>
      </w:rPr>
    </w:rPrDefault>
    <w:pPrDefault>
      <w:pPr>
        <w:pBdr>
          <w:top w:val="nil"/>
          <w:left w:val="nil"/>
          <w:bottom w:val="nil"/>
          <w:right w:val="nil"/>
          <w:between w:val="nil"/>
          <w:bar w:val="nil"/>
        </w:pBdr>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Subtle 2" w:semiHidden="0" w:unhideWhenUsed="0"/>
    <w:lsdException w:name="Table Web 3" w:semiHidden="0" w:unhideWhenUsed="0"/>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Pr>
      <w:sz w:val="24"/>
      <w:szCs w:val="24"/>
      <w:lang w:val="en-US"/>
    </w:rPr>
  </w:style>
  <w:style w:type="paragraph" w:styleId="Heading2">
    <w:name w:val="heading 2"/>
    <w:next w:val="Body"/>
    <w:pPr>
      <w:keepNext/>
      <w:keepLines/>
      <w:spacing w:before="200" w:line="360" w:lineRule="auto"/>
      <w:outlineLvl w:val="1"/>
    </w:pPr>
    <w:rPr>
      <w:rFonts w:ascii="Calibri" w:eastAsia="Calibri" w:hAnsi="Calibri" w:cs="Calibri"/>
      <w:b/>
      <w:bCs/>
      <w:color w:val="4F81BD"/>
      <w:sz w:val="26"/>
      <w:szCs w:val="26"/>
      <w:u w:color="4F81BD"/>
      <w:lang w:val="en-US"/>
    </w:rPr>
  </w:style>
  <w:style w:type="paragraph" w:styleId="Heading3">
    <w:name w:val="heading 3"/>
    <w:basedOn w:val="Normal"/>
    <w:next w:val="Normal"/>
    <w:link w:val="Heading3Char"/>
    <w:uiPriority w:val="9"/>
    <w:unhideWhenUsed/>
    <w:qFormat/>
    <w:rsid w:val="007E2861"/>
    <w:pPr>
      <w:keepNext/>
      <w:keepLines/>
      <w:spacing w:before="20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customStyle="1" w:styleId="HeaderFooter">
    <w:name w:val="Header &amp; Footer"/>
    <w:pPr>
      <w:tabs>
        <w:tab w:val="right" w:pos="9020"/>
      </w:tabs>
    </w:pPr>
    <w:rPr>
      <w:rFonts w:ascii="Helvetica Neue" w:hAnsi="Helvetica Neue" w:cs="Arial Unicode MS"/>
      <w:color w:val="000000"/>
      <w:sz w:val="24"/>
      <w:szCs w:val="24"/>
    </w:rPr>
  </w:style>
  <w:style w:type="paragraph" w:styleId="Footer">
    <w:name w:val="footer"/>
    <w:pPr>
      <w:tabs>
        <w:tab w:val="center" w:pos="4513"/>
        <w:tab w:val="right" w:pos="9026"/>
      </w:tabs>
    </w:pPr>
    <w:rPr>
      <w:rFonts w:ascii="Calibri" w:eastAsia="Calibri" w:hAnsi="Calibri" w:cs="Calibri"/>
      <w:color w:val="000000"/>
      <w:sz w:val="22"/>
      <w:szCs w:val="22"/>
      <w:u w:color="000000"/>
      <w:lang w:val="en-US"/>
    </w:rPr>
  </w:style>
  <w:style w:type="paragraph" w:customStyle="1" w:styleId="Heading">
    <w:name w:val="Heading"/>
    <w:next w:val="Body"/>
    <w:pPr>
      <w:keepNext/>
      <w:keepLines/>
      <w:spacing w:before="240" w:after="240" w:line="360" w:lineRule="auto"/>
      <w:outlineLvl w:val="0"/>
    </w:pPr>
    <w:rPr>
      <w:rFonts w:ascii="Calibri" w:eastAsia="Calibri" w:hAnsi="Calibri" w:cs="Calibri"/>
      <w:color w:val="365F91"/>
      <w:sz w:val="32"/>
      <w:szCs w:val="32"/>
      <w:u w:color="365F91"/>
      <w:lang w:val="en-US"/>
    </w:rPr>
  </w:style>
  <w:style w:type="paragraph" w:customStyle="1" w:styleId="Body">
    <w:name w:val="Body"/>
    <w:pPr>
      <w:spacing w:after="240" w:line="360" w:lineRule="auto"/>
    </w:pPr>
    <w:rPr>
      <w:rFonts w:ascii="Calibri" w:eastAsia="Calibri" w:hAnsi="Calibri" w:cs="Calibri"/>
      <w:color w:val="000000"/>
      <w:sz w:val="22"/>
      <w:szCs w:val="22"/>
      <w:u w:color="000000"/>
      <w:lang w:val="en-US"/>
    </w:rPr>
  </w:style>
  <w:style w:type="paragraph" w:styleId="ListParagraph">
    <w:name w:val="List Paragraph"/>
    <w:pPr>
      <w:spacing w:after="240" w:line="360" w:lineRule="auto"/>
      <w:ind w:left="720"/>
    </w:pPr>
    <w:rPr>
      <w:rFonts w:ascii="Calibri" w:eastAsia="Calibri" w:hAnsi="Calibri" w:cs="Calibri"/>
      <w:color w:val="000000"/>
      <w:sz w:val="22"/>
      <w:szCs w:val="22"/>
      <w:u w:color="000000"/>
      <w:lang w:val="en-US"/>
    </w:rPr>
  </w:style>
  <w:style w:type="numbering" w:customStyle="1" w:styleId="ImportedStyle1">
    <w:name w:val="Imported Style 1"/>
    <w:pPr>
      <w:numPr>
        <w:numId w:val="1"/>
      </w:numPr>
    </w:pPr>
  </w:style>
  <w:style w:type="paragraph" w:customStyle="1" w:styleId="Default">
    <w:name w:val="Default"/>
    <w:rPr>
      <w:rFonts w:ascii="Helvetica Neue" w:eastAsia="Helvetica Neue" w:hAnsi="Helvetica Neue" w:cs="Helvetica Neue"/>
      <w:color w:val="000000"/>
      <w:sz w:val="22"/>
      <w:szCs w:val="22"/>
    </w:rPr>
  </w:style>
  <w:style w:type="paragraph" w:customStyle="1" w:styleId="EndNoteBibliography">
    <w:name w:val="EndNote Bibliography"/>
    <w:pPr>
      <w:spacing w:after="240"/>
    </w:pPr>
    <w:rPr>
      <w:rFonts w:ascii="Calibri" w:eastAsia="Calibri" w:hAnsi="Calibri" w:cs="Calibri"/>
      <w:color w:val="000000"/>
      <w:sz w:val="22"/>
      <w:szCs w:val="22"/>
      <w:u w:color="000000"/>
      <w:lang w:val="en-US"/>
    </w:rPr>
  </w:style>
  <w:style w:type="paragraph" w:styleId="CommentText">
    <w:name w:val="annotation text"/>
    <w:link w:val="CommentTextChar"/>
    <w:pPr>
      <w:spacing w:after="200" w:line="360" w:lineRule="auto"/>
    </w:pPr>
    <w:rPr>
      <w:rFonts w:cs="Arial Unicode MS"/>
      <w:color w:val="000000"/>
      <w:sz w:val="22"/>
      <w:szCs w:val="22"/>
      <w:u w:color="000000"/>
      <w:lang w:val="en-US"/>
    </w:rPr>
  </w:style>
  <w:style w:type="character" w:styleId="CommentReference">
    <w:name w:val="annotation reference"/>
    <w:basedOn w:val="DefaultParagraphFont"/>
    <w:uiPriority w:val="99"/>
    <w:semiHidden/>
    <w:unhideWhenUsed/>
    <w:rPr>
      <w:sz w:val="18"/>
      <w:szCs w:val="18"/>
    </w:rPr>
  </w:style>
  <w:style w:type="paragraph" w:styleId="BalloonText">
    <w:name w:val="Balloon Text"/>
    <w:basedOn w:val="Normal"/>
    <w:link w:val="BalloonTextChar"/>
    <w:uiPriority w:val="99"/>
    <w:semiHidden/>
    <w:unhideWhenUsed/>
    <w:rsid w:val="00215519"/>
    <w:rPr>
      <w:rFonts w:ascii="Lucida Grande" w:hAnsi="Lucida Grande"/>
      <w:sz w:val="18"/>
      <w:szCs w:val="18"/>
    </w:rPr>
  </w:style>
  <w:style w:type="character" w:customStyle="1" w:styleId="BalloonTextChar">
    <w:name w:val="Balloon Text Char"/>
    <w:basedOn w:val="DefaultParagraphFont"/>
    <w:link w:val="BalloonText"/>
    <w:uiPriority w:val="99"/>
    <w:semiHidden/>
    <w:rsid w:val="00215519"/>
    <w:rPr>
      <w:rFonts w:ascii="Lucida Grande" w:hAnsi="Lucida Grande"/>
      <w:sz w:val="18"/>
      <w:szCs w:val="18"/>
      <w:lang w:val="en-US"/>
    </w:rPr>
  </w:style>
  <w:style w:type="paragraph" w:styleId="CommentSubject">
    <w:name w:val="annotation subject"/>
    <w:basedOn w:val="CommentText"/>
    <w:next w:val="CommentText"/>
    <w:link w:val="CommentSubjectChar"/>
    <w:uiPriority w:val="99"/>
    <w:semiHidden/>
    <w:unhideWhenUsed/>
    <w:rsid w:val="009F6801"/>
    <w:pPr>
      <w:spacing w:after="0" w:line="240" w:lineRule="auto"/>
    </w:pPr>
    <w:rPr>
      <w:rFonts w:cs="Times New Roman"/>
      <w:b/>
      <w:bCs/>
      <w:color w:val="auto"/>
      <w:sz w:val="20"/>
      <w:szCs w:val="20"/>
    </w:rPr>
  </w:style>
  <w:style w:type="character" w:customStyle="1" w:styleId="CommentTextChar">
    <w:name w:val="Comment Text Char"/>
    <w:basedOn w:val="DefaultParagraphFont"/>
    <w:link w:val="CommentText"/>
    <w:rsid w:val="009F6801"/>
    <w:rPr>
      <w:rFonts w:cs="Arial Unicode MS"/>
      <w:color w:val="000000"/>
      <w:sz w:val="22"/>
      <w:szCs w:val="22"/>
      <w:u w:color="000000"/>
      <w:lang w:val="en-US"/>
    </w:rPr>
  </w:style>
  <w:style w:type="character" w:customStyle="1" w:styleId="CommentSubjectChar">
    <w:name w:val="Comment Subject Char"/>
    <w:basedOn w:val="CommentTextChar"/>
    <w:link w:val="CommentSubject"/>
    <w:uiPriority w:val="99"/>
    <w:semiHidden/>
    <w:rsid w:val="009F6801"/>
    <w:rPr>
      <w:rFonts w:cs="Arial Unicode MS"/>
      <w:b/>
      <w:bCs/>
      <w:color w:val="000000"/>
      <w:sz w:val="22"/>
      <w:szCs w:val="22"/>
      <w:u w:color="000000"/>
      <w:lang w:val="en-US"/>
    </w:rPr>
  </w:style>
  <w:style w:type="paragraph" w:styleId="Revision">
    <w:name w:val="Revision"/>
    <w:hidden/>
    <w:uiPriority w:val="99"/>
    <w:semiHidden/>
    <w:rsid w:val="00A93B87"/>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rPr>
  </w:style>
  <w:style w:type="paragraph" w:styleId="NoSpacing">
    <w:name w:val="No Spacing"/>
    <w:uiPriority w:val="1"/>
    <w:qFormat/>
    <w:rsid w:val="00FF266D"/>
    <w:rPr>
      <w:sz w:val="24"/>
      <w:szCs w:val="24"/>
      <w:lang w:val="en-US"/>
    </w:rPr>
  </w:style>
  <w:style w:type="character" w:customStyle="1" w:styleId="Heading3Char">
    <w:name w:val="Heading 3 Char"/>
    <w:basedOn w:val="DefaultParagraphFont"/>
    <w:link w:val="Heading3"/>
    <w:uiPriority w:val="9"/>
    <w:rsid w:val="007E2861"/>
    <w:rPr>
      <w:rFonts w:asciiTheme="majorHAnsi" w:eastAsiaTheme="majorEastAsia" w:hAnsiTheme="majorHAnsi" w:cstheme="majorBidi"/>
      <w:b/>
      <w:bCs/>
      <w:color w:val="4F81BD" w:themeColor="accent1"/>
      <w:sz w:val="24"/>
      <w:szCs w:val="24"/>
      <w:lang w:val="en-US"/>
    </w:rPr>
  </w:style>
  <w:style w:type="character" w:styleId="SubtleEmphasis">
    <w:name w:val="Subtle Emphasis"/>
    <w:basedOn w:val="DefaultParagraphFont"/>
    <w:uiPriority w:val="19"/>
    <w:qFormat/>
    <w:rsid w:val="00E42DD3"/>
    <w:rPr>
      <w:i/>
      <w:iCs/>
      <w:color w:val="808080" w:themeColor="text1" w:themeTint="7F"/>
    </w:rPr>
  </w:style>
  <w:style w:type="character" w:styleId="LineNumber">
    <w:name w:val="line number"/>
    <w:basedOn w:val="DefaultParagraphFont"/>
    <w:uiPriority w:val="99"/>
    <w:semiHidden/>
    <w:unhideWhenUsed/>
    <w:rsid w:val="00BF10E2"/>
  </w:style>
  <w:style w:type="character" w:styleId="PageNumber">
    <w:name w:val="page number"/>
    <w:basedOn w:val="DefaultParagraphFont"/>
    <w:uiPriority w:val="99"/>
    <w:semiHidden/>
    <w:unhideWhenUsed/>
    <w:rsid w:val="00BF10E2"/>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Arial Unicode MS" w:hAnsi="Times New Roman" w:cs="Times New Roman"/>
        <w:bdr w:val="nil"/>
        <w:lang w:val="en-AU" w:eastAsia="en-US" w:bidi="ar-SA"/>
      </w:rPr>
    </w:rPrDefault>
    <w:pPrDefault>
      <w:pPr>
        <w:pBdr>
          <w:top w:val="nil"/>
          <w:left w:val="nil"/>
          <w:bottom w:val="nil"/>
          <w:right w:val="nil"/>
          <w:between w:val="nil"/>
          <w:bar w:val="nil"/>
        </w:pBdr>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Subtle 2" w:semiHidden="0" w:unhideWhenUsed="0"/>
    <w:lsdException w:name="Table Web 3" w:semiHidden="0" w:unhideWhenUsed="0"/>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Pr>
      <w:sz w:val="24"/>
      <w:szCs w:val="24"/>
      <w:lang w:val="en-US"/>
    </w:rPr>
  </w:style>
  <w:style w:type="paragraph" w:styleId="Heading2">
    <w:name w:val="heading 2"/>
    <w:next w:val="Body"/>
    <w:pPr>
      <w:keepNext/>
      <w:keepLines/>
      <w:spacing w:before="200" w:line="360" w:lineRule="auto"/>
      <w:outlineLvl w:val="1"/>
    </w:pPr>
    <w:rPr>
      <w:rFonts w:ascii="Calibri" w:eastAsia="Calibri" w:hAnsi="Calibri" w:cs="Calibri"/>
      <w:b/>
      <w:bCs/>
      <w:color w:val="4F81BD"/>
      <w:sz w:val="26"/>
      <w:szCs w:val="26"/>
      <w:u w:color="4F81BD"/>
      <w:lang w:val="en-US"/>
    </w:rPr>
  </w:style>
  <w:style w:type="paragraph" w:styleId="Heading3">
    <w:name w:val="heading 3"/>
    <w:basedOn w:val="Normal"/>
    <w:next w:val="Normal"/>
    <w:link w:val="Heading3Char"/>
    <w:uiPriority w:val="9"/>
    <w:unhideWhenUsed/>
    <w:qFormat/>
    <w:rsid w:val="007E2861"/>
    <w:pPr>
      <w:keepNext/>
      <w:keepLines/>
      <w:spacing w:before="20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customStyle="1" w:styleId="HeaderFooter">
    <w:name w:val="Header &amp; Footer"/>
    <w:pPr>
      <w:tabs>
        <w:tab w:val="right" w:pos="9020"/>
      </w:tabs>
    </w:pPr>
    <w:rPr>
      <w:rFonts w:ascii="Helvetica Neue" w:hAnsi="Helvetica Neue" w:cs="Arial Unicode MS"/>
      <w:color w:val="000000"/>
      <w:sz w:val="24"/>
      <w:szCs w:val="24"/>
    </w:rPr>
  </w:style>
  <w:style w:type="paragraph" w:styleId="Footer">
    <w:name w:val="footer"/>
    <w:pPr>
      <w:tabs>
        <w:tab w:val="center" w:pos="4513"/>
        <w:tab w:val="right" w:pos="9026"/>
      </w:tabs>
    </w:pPr>
    <w:rPr>
      <w:rFonts w:ascii="Calibri" w:eastAsia="Calibri" w:hAnsi="Calibri" w:cs="Calibri"/>
      <w:color w:val="000000"/>
      <w:sz w:val="22"/>
      <w:szCs w:val="22"/>
      <w:u w:color="000000"/>
      <w:lang w:val="en-US"/>
    </w:rPr>
  </w:style>
  <w:style w:type="paragraph" w:customStyle="1" w:styleId="Heading">
    <w:name w:val="Heading"/>
    <w:next w:val="Body"/>
    <w:pPr>
      <w:keepNext/>
      <w:keepLines/>
      <w:spacing w:before="240" w:after="240" w:line="360" w:lineRule="auto"/>
      <w:outlineLvl w:val="0"/>
    </w:pPr>
    <w:rPr>
      <w:rFonts w:ascii="Calibri" w:eastAsia="Calibri" w:hAnsi="Calibri" w:cs="Calibri"/>
      <w:color w:val="365F91"/>
      <w:sz w:val="32"/>
      <w:szCs w:val="32"/>
      <w:u w:color="365F91"/>
      <w:lang w:val="en-US"/>
    </w:rPr>
  </w:style>
  <w:style w:type="paragraph" w:customStyle="1" w:styleId="Body">
    <w:name w:val="Body"/>
    <w:pPr>
      <w:spacing w:after="240" w:line="360" w:lineRule="auto"/>
    </w:pPr>
    <w:rPr>
      <w:rFonts w:ascii="Calibri" w:eastAsia="Calibri" w:hAnsi="Calibri" w:cs="Calibri"/>
      <w:color w:val="000000"/>
      <w:sz w:val="22"/>
      <w:szCs w:val="22"/>
      <w:u w:color="000000"/>
      <w:lang w:val="en-US"/>
    </w:rPr>
  </w:style>
  <w:style w:type="paragraph" w:styleId="ListParagraph">
    <w:name w:val="List Paragraph"/>
    <w:pPr>
      <w:spacing w:after="240" w:line="360" w:lineRule="auto"/>
      <w:ind w:left="720"/>
    </w:pPr>
    <w:rPr>
      <w:rFonts w:ascii="Calibri" w:eastAsia="Calibri" w:hAnsi="Calibri" w:cs="Calibri"/>
      <w:color w:val="000000"/>
      <w:sz w:val="22"/>
      <w:szCs w:val="22"/>
      <w:u w:color="000000"/>
      <w:lang w:val="en-US"/>
    </w:rPr>
  </w:style>
  <w:style w:type="numbering" w:customStyle="1" w:styleId="ImportedStyle1">
    <w:name w:val="Imported Style 1"/>
    <w:pPr>
      <w:numPr>
        <w:numId w:val="1"/>
      </w:numPr>
    </w:pPr>
  </w:style>
  <w:style w:type="paragraph" w:customStyle="1" w:styleId="Default">
    <w:name w:val="Default"/>
    <w:rPr>
      <w:rFonts w:ascii="Helvetica Neue" w:eastAsia="Helvetica Neue" w:hAnsi="Helvetica Neue" w:cs="Helvetica Neue"/>
      <w:color w:val="000000"/>
      <w:sz w:val="22"/>
      <w:szCs w:val="22"/>
    </w:rPr>
  </w:style>
  <w:style w:type="paragraph" w:customStyle="1" w:styleId="EndNoteBibliography">
    <w:name w:val="EndNote Bibliography"/>
    <w:pPr>
      <w:spacing w:after="240"/>
    </w:pPr>
    <w:rPr>
      <w:rFonts w:ascii="Calibri" w:eastAsia="Calibri" w:hAnsi="Calibri" w:cs="Calibri"/>
      <w:color w:val="000000"/>
      <w:sz w:val="22"/>
      <w:szCs w:val="22"/>
      <w:u w:color="000000"/>
      <w:lang w:val="en-US"/>
    </w:rPr>
  </w:style>
  <w:style w:type="paragraph" w:styleId="CommentText">
    <w:name w:val="annotation text"/>
    <w:link w:val="CommentTextChar"/>
    <w:pPr>
      <w:spacing w:after="200" w:line="360" w:lineRule="auto"/>
    </w:pPr>
    <w:rPr>
      <w:rFonts w:cs="Arial Unicode MS"/>
      <w:color w:val="000000"/>
      <w:sz w:val="22"/>
      <w:szCs w:val="22"/>
      <w:u w:color="000000"/>
      <w:lang w:val="en-US"/>
    </w:rPr>
  </w:style>
  <w:style w:type="character" w:styleId="CommentReference">
    <w:name w:val="annotation reference"/>
    <w:basedOn w:val="DefaultParagraphFont"/>
    <w:uiPriority w:val="99"/>
    <w:semiHidden/>
    <w:unhideWhenUsed/>
    <w:rPr>
      <w:sz w:val="18"/>
      <w:szCs w:val="18"/>
    </w:rPr>
  </w:style>
  <w:style w:type="paragraph" w:styleId="BalloonText">
    <w:name w:val="Balloon Text"/>
    <w:basedOn w:val="Normal"/>
    <w:link w:val="BalloonTextChar"/>
    <w:uiPriority w:val="99"/>
    <w:semiHidden/>
    <w:unhideWhenUsed/>
    <w:rsid w:val="00215519"/>
    <w:rPr>
      <w:rFonts w:ascii="Lucida Grande" w:hAnsi="Lucida Grande"/>
      <w:sz w:val="18"/>
      <w:szCs w:val="18"/>
    </w:rPr>
  </w:style>
  <w:style w:type="character" w:customStyle="1" w:styleId="BalloonTextChar">
    <w:name w:val="Balloon Text Char"/>
    <w:basedOn w:val="DefaultParagraphFont"/>
    <w:link w:val="BalloonText"/>
    <w:uiPriority w:val="99"/>
    <w:semiHidden/>
    <w:rsid w:val="00215519"/>
    <w:rPr>
      <w:rFonts w:ascii="Lucida Grande" w:hAnsi="Lucida Grande"/>
      <w:sz w:val="18"/>
      <w:szCs w:val="18"/>
      <w:lang w:val="en-US"/>
    </w:rPr>
  </w:style>
  <w:style w:type="paragraph" w:styleId="CommentSubject">
    <w:name w:val="annotation subject"/>
    <w:basedOn w:val="CommentText"/>
    <w:next w:val="CommentText"/>
    <w:link w:val="CommentSubjectChar"/>
    <w:uiPriority w:val="99"/>
    <w:semiHidden/>
    <w:unhideWhenUsed/>
    <w:rsid w:val="009F6801"/>
    <w:pPr>
      <w:spacing w:after="0" w:line="240" w:lineRule="auto"/>
    </w:pPr>
    <w:rPr>
      <w:rFonts w:cs="Times New Roman"/>
      <w:b/>
      <w:bCs/>
      <w:color w:val="auto"/>
      <w:sz w:val="20"/>
      <w:szCs w:val="20"/>
    </w:rPr>
  </w:style>
  <w:style w:type="character" w:customStyle="1" w:styleId="CommentTextChar">
    <w:name w:val="Comment Text Char"/>
    <w:basedOn w:val="DefaultParagraphFont"/>
    <w:link w:val="CommentText"/>
    <w:rsid w:val="009F6801"/>
    <w:rPr>
      <w:rFonts w:cs="Arial Unicode MS"/>
      <w:color w:val="000000"/>
      <w:sz w:val="22"/>
      <w:szCs w:val="22"/>
      <w:u w:color="000000"/>
      <w:lang w:val="en-US"/>
    </w:rPr>
  </w:style>
  <w:style w:type="character" w:customStyle="1" w:styleId="CommentSubjectChar">
    <w:name w:val="Comment Subject Char"/>
    <w:basedOn w:val="CommentTextChar"/>
    <w:link w:val="CommentSubject"/>
    <w:uiPriority w:val="99"/>
    <w:semiHidden/>
    <w:rsid w:val="009F6801"/>
    <w:rPr>
      <w:rFonts w:cs="Arial Unicode MS"/>
      <w:b/>
      <w:bCs/>
      <w:color w:val="000000"/>
      <w:sz w:val="22"/>
      <w:szCs w:val="22"/>
      <w:u w:color="000000"/>
      <w:lang w:val="en-US"/>
    </w:rPr>
  </w:style>
  <w:style w:type="paragraph" w:styleId="Revision">
    <w:name w:val="Revision"/>
    <w:hidden/>
    <w:uiPriority w:val="99"/>
    <w:semiHidden/>
    <w:rsid w:val="00A93B87"/>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rPr>
  </w:style>
  <w:style w:type="paragraph" w:styleId="NoSpacing">
    <w:name w:val="No Spacing"/>
    <w:uiPriority w:val="1"/>
    <w:qFormat/>
    <w:rsid w:val="00FF266D"/>
    <w:rPr>
      <w:sz w:val="24"/>
      <w:szCs w:val="24"/>
      <w:lang w:val="en-US"/>
    </w:rPr>
  </w:style>
  <w:style w:type="character" w:customStyle="1" w:styleId="Heading3Char">
    <w:name w:val="Heading 3 Char"/>
    <w:basedOn w:val="DefaultParagraphFont"/>
    <w:link w:val="Heading3"/>
    <w:uiPriority w:val="9"/>
    <w:rsid w:val="007E2861"/>
    <w:rPr>
      <w:rFonts w:asciiTheme="majorHAnsi" w:eastAsiaTheme="majorEastAsia" w:hAnsiTheme="majorHAnsi" w:cstheme="majorBidi"/>
      <w:b/>
      <w:bCs/>
      <w:color w:val="4F81BD" w:themeColor="accent1"/>
      <w:sz w:val="24"/>
      <w:szCs w:val="24"/>
      <w:lang w:val="en-US"/>
    </w:rPr>
  </w:style>
  <w:style w:type="character" w:styleId="SubtleEmphasis">
    <w:name w:val="Subtle Emphasis"/>
    <w:basedOn w:val="DefaultParagraphFont"/>
    <w:uiPriority w:val="19"/>
    <w:qFormat/>
    <w:rsid w:val="00E42DD3"/>
    <w:rPr>
      <w:i/>
      <w:iCs/>
      <w:color w:val="808080" w:themeColor="text1" w:themeTint="7F"/>
    </w:rPr>
  </w:style>
  <w:style w:type="character" w:styleId="LineNumber">
    <w:name w:val="line number"/>
    <w:basedOn w:val="DefaultParagraphFont"/>
    <w:uiPriority w:val="99"/>
    <w:semiHidden/>
    <w:unhideWhenUsed/>
    <w:rsid w:val="00BF10E2"/>
  </w:style>
  <w:style w:type="character" w:styleId="PageNumber">
    <w:name w:val="page number"/>
    <w:basedOn w:val="DefaultParagraphFont"/>
    <w:uiPriority w:val="99"/>
    <w:semiHidden/>
    <w:unhideWhenUsed/>
    <w:rsid w:val="00BF10E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9587469">
      <w:bodyDiv w:val="1"/>
      <w:marLeft w:val="0"/>
      <w:marRight w:val="0"/>
      <w:marTop w:val="0"/>
      <w:marBottom w:val="0"/>
      <w:divBdr>
        <w:top w:val="none" w:sz="0" w:space="0" w:color="auto"/>
        <w:left w:val="none" w:sz="0" w:space="0" w:color="auto"/>
        <w:bottom w:val="none" w:sz="0" w:space="0" w:color="auto"/>
        <w:right w:val="none" w:sz="0" w:space="0" w:color="auto"/>
      </w:divBdr>
      <w:divsChild>
        <w:div w:id="1876456330">
          <w:marLeft w:val="0"/>
          <w:marRight w:val="0"/>
          <w:marTop w:val="0"/>
          <w:marBottom w:val="0"/>
          <w:divBdr>
            <w:top w:val="none" w:sz="0" w:space="0" w:color="auto"/>
            <w:left w:val="none" w:sz="0" w:space="0" w:color="auto"/>
            <w:bottom w:val="none" w:sz="0" w:space="0" w:color="auto"/>
            <w:right w:val="none" w:sz="0" w:space="0" w:color="auto"/>
          </w:divBdr>
        </w:div>
      </w:divsChild>
    </w:div>
    <w:div w:id="827598737">
      <w:bodyDiv w:val="1"/>
      <w:marLeft w:val="0"/>
      <w:marRight w:val="0"/>
      <w:marTop w:val="0"/>
      <w:marBottom w:val="0"/>
      <w:divBdr>
        <w:top w:val="none" w:sz="0" w:space="0" w:color="auto"/>
        <w:left w:val="none" w:sz="0" w:space="0" w:color="auto"/>
        <w:bottom w:val="none" w:sz="0" w:space="0" w:color="auto"/>
        <w:right w:val="none" w:sz="0" w:space="0" w:color="auto"/>
      </w:divBdr>
      <w:divsChild>
        <w:div w:id="323164690">
          <w:marLeft w:val="0"/>
          <w:marRight w:val="0"/>
          <w:marTop w:val="0"/>
          <w:marBottom w:val="0"/>
          <w:divBdr>
            <w:top w:val="none" w:sz="0" w:space="0" w:color="auto"/>
            <w:left w:val="none" w:sz="0" w:space="0" w:color="auto"/>
            <w:bottom w:val="none" w:sz="0" w:space="0" w:color="auto"/>
            <w:right w:val="none" w:sz="0" w:space="0" w:color="auto"/>
          </w:divBdr>
          <w:divsChild>
            <w:div w:id="8787876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4748433">
      <w:bodyDiv w:val="1"/>
      <w:marLeft w:val="0"/>
      <w:marRight w:val="0"/>
      <w:marTop w:val="0"/>
      <w:marBottom w:val="0"/>
      <w:divBdr>
        <w:top w:val="none" w:sz="0" w:space="0" w:color="auto"/>
        <w:left w:val="none" w:sz="0" w:space="0" w:color="auto"/>
        <w:bottom w:val="none" w:sz="0" w:space="0" w:color="auto"/>
        <w:right w:val="none" w:sz="0" w:space="0" w:color="auto"/>
      </w:divBdr>
      <w:divsChild>
        <w:div w:id="1807432430">
          <w:marLeft w:val="0"/>
          <w:marRight w:val="0"/>
          <w:marTop w:val="0"/>
          <w:marBottom w:val="0"/>
          <w:divBdr>
            <w:top w:val="none" w:sz="0" w:space="0" w:color="auto"/>
            <w:left w:val="none" w:sz="0" w:space="0" w:color="auto"/>
            <w:bottom w:val="none" w:sz="0" w:space="0" w:color="auto"/>
            <w:right w:val="none" w:sz="0" w:space="0" w:color="auto"/>
          </w:divBdr>
          <w:divsChild>
            <w:div w:id="10937414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doNotSaveAsSingleFile/>
</w:webSettings>
</file>

<file path=word/_rels/document.xml.rels><?xml version="1.0" encoding="UTF-8" standalone="yes"?>
<Relationships xmlns="http://schemas.openxmlformats.org/package/2006/relationships"><Relationship Id="rId11" Type="http://schemas.openxmlformats.org/officeDocument/2006/relationships/footer" Target="footer2.xml"/><Relationship Id="rId12" Type="http://schemas.openxmlformats.org/officeDocument/2006/relationships/fontTable" Target="fontTable.xml"/><Relationship Id="rId13" Type="http://schemas.openxmlformats.org/officeDocument/2006/relationships/theme" Target="theme/theme1.xml"/><Relationship Id="rId16" Type="http://schemas.microsoft.com/office/2011/relationships/people" Target="people.xml"/><Relationship Id="rId17" Type="http://schemas.microsoft.com/office/2011/relationships/commentsExtended" Target="commentsExtended.xml"/><Relationship Id="rId18" Type="http://schemas.microsoft.com/office/2016/09/relationships/commentsIds" Target="commentsIds.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header" Target="header1.xml"/><Relationship Id="rId10" Type="http://schemas.openxmlformats.org/officeDocument/2006/relationships/footer" Target="footer1.xml"/></Relationships>
</file>

<file path=word/theme/theme1.xml><?xml version="1.0" encoding="utf-8"?>
<a:theme xmlns:a="http://schemas.openxmlformats.org/drawingml/2006/main" name="Office Theme">
  <a:themeElements>
    <a:clrScheme name="Office Theme">
      <a:dk1>
        <a:srgbClr val="000000"/>
      </a:dk1>
      <a:lt1>
        <a:srgbClr val="FFFFFF"/>
      </a:lt1>
      <a:dk2>
        <a:srgbClr val="A7A7A7"/>
      </a:dk2>
      <a:lt2>
        <a:srgbClr val="535353"/>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FF00FF"/>
      </a:folHlink>
    </a:clrScheme>
    <a:fontScheme name="Office Theme">
      <a:majorFont>
        <a:latin typeface="Helvetica Neue"/>
        <a:ea typeface="Helvetica Neue"/>
        <a:cs typeface="Helvetica Neue"/>
      </a:majorFont>
      <a:minorFont>
        <a:latin typeface="Helvetica Neue"/>
        <a:ea typeface="Helvetica Neue"/>
        <a:cs typeface="Helvetica Neue"/>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3000" dir="5400000" rotWithShape="0">
              <a:srgbClr val="000000">
                <a:alpha val="35000"/>
              </a:srgbClr>
            </a:outerShdw>
          </a:effectLst>
        </a:effectStyle>
        <a:effectStyle>
          <a:effectLst>
            <a:outerShdw blurRad="38100" dist="23000" dir="5400000" rotWithShape="0">
              <a:srgbClr val="000000">
                <a:alpha val="35000"/>
              </a:srgbClr>
            </a:outerShdw>
          </a:effectLst>
        </a:effectStyle>
        <a:effectStyle>
          <a:effectLst>
            <a:outerShdw blurRad="38100" dist="20000" dir="5400000" rotWithShape="0">
              <a:srgbClr val="000000">
                <a:alpha val="38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outerShdw blurRad="38100" dist="23000" dir="5400000" rotWithShape="0">
            <a:srgbClr val="000000">
              <a:alpha val="35000"/>
            </a:srgbClr>
          </a:outerShdw>
        </a:effectLst>
        <a:sp3d/>
      </a:spPr>
      <a:bodyPr rot="0" spcFirstLastPara="1" vertOverflow="overflow" horzOverflow="overflow" vert="horz" wrap="square" lIns="45719" tIns="45719" rIns="45719" bIns="45719"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mbria"/>
            <a:ea typeface="Cambria"/>
            <a:cs typeface="Cambria"/>
            <a:sym typeface="Cambri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outerShdw blurRad="38100" dist="20000" dir="5400000" rotWithShape="0">
            <a:srgbClr val="000000">
              <a:alpha val="38000"/>
            </a:srgbClr>
          </a:outerShdw>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9" tIns="45719" rIns="45719" bIns="45719"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mbria"/>
            <a:ea typeface="Cambria"/>
            <a:cs typeface="Cambria"/>
            <a:sym typeface="Cambri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0F69DD5-0596-BD44-82C3-D61B84ADC1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25</Pages>
  <Words>7194</Words>
  <Characters>41007</Characters>
  <Application>Microsoft Macintosh Word</Application>
  <DocSecurity>0</DocSecurity>
  <Lines>341</Lines>
  <Paragraphs>96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48105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Januchowski S.R.</dc:creator>
  <cp:lastModifiedBy>Katie</cp:lastModifiedBy>
  <cp:revision>4</cp:revision>
  <dcterms:created xsi:type="dcterms:W3CDTF">2018-08-23T05:03:00Z</dcterms:created>
  <dcterms:modified xsi:type="dcterms:W3CDTF">2018-08-23T05:25:00Z</dcterms:modified>
</cp:coreProperties>
</file>